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left"/>
        <w:rPr>
          <w:rFonts w:hint="default" w:ascii="Calibri" w:hAnsi="Calibri" w:cs="Calibri"/>
          <w:b/>
          <w:bCs/>
          <w:sz w:val="48"/>
          <w:szCs w:val="48"/>
          <w:lang w:val="en-US" w:eastAsia="zh-CN"/>
        </w:rPr>
      </w:pPr>
      <w:r>
        <w:rPr>
          <w:rFonts w:hint="default" w:ascii="Calibri" w:hAnsi="Calibri" w:eastAsia="等线" w:cs="Calibri"/>
          <w:b/>
          <w:bCs/>
          <w:i w:val="0"/>
          <w:iCs w:val="0"/>
          <w:caps w:val="0"/>
          <w:color w:val="auto"/>
          <w:spacing w:val="0"/>
          <w:sz w:val="48"/>
          <w:szCs w:val="48"/>
          <w:u w:val="none"/>
          <w:shd w:val="clear" w:color="auto" w:fill="FFFFFF"/>
          <w:lang w:val="en-US" w:eastAsia="zh-CN"/>
        </w:rPr>
        <w:t>Depict</w:t>
      </w:r>
      <w:r>
        <w:rPr>
          <w:rFonts w:hint="eastAsia" w:ascii="Calibri" w:hAnsi="Calibri" w:eastAsia="等线" w:cs="Calibri"/>
          <w:b/>
          <w:bCs/>
          <w:i w:val="0"/>
          <w:iCs w:val="0"/>
          <w:caps w:val="0"/>
          <w:color w:val="auto"/>
          <w:spacing w:val="0"/>
          <w:sz w:val="48"/>
          <w:szCs w:val="48"/>
          <w:u w:val="none"/>
          <w:shd w:val="clear" w:color="auto" w:fill="FFFFFF"/>
          <w:lang w:val="en-US" w:eastAsia="zh-CN"/>
        </w:rPr>
        <w:t>ing</w:t>
      </w:r>
      <w:r>
        <w:rPr>
          <w:rFonts w:hint="default" w:ascii="Calibri" w:hAnsi="Calibri" w:eastAsia="等线" w:cs="Calibri"/>
          <w:b/>
          <w:bCs/>
          <w:i w:val="0"/>
          <w:iCs w:val="0"/>
          <w:caps w:val="0"/>
          <w:color w:val="auto"/>
          <w:spacing w:val="0"/>
          <w:sz w:val="48"/>
          <w:szCs w:val="48"/>
          <w:u w:val="none"/>
          <w:shd w:val="clear" w:color="auto" w:fill="FFFFFF"/>
          <w:lang w:val="en-US" w:eastAsia="zh-CN"/>
        </w:rPr>
        <w:t xml:space="preserve"> the </w:t>
      </w:r>
      <w:r>
        <w:rPr>
          <w:rFonts w:hint="eastAsia" w:ascii="Calibri" w:hAnsi="Calibri" w:eastAsia="等线" w:cs="Calibri"/>
          <w:b/>
          <w:bCs/>
          <w:i w:val="0"/>
          <w:iCs w:val="0"/>
          <w:caps w:val="0"/>
          <w:color w:val="auto"/>
          <w:spacing w:val="0"/>
          <w:sz w:val="48"/>
          <w:szCs w:val="48"/>
          <w:u w:val="none"/>
          <w:shd w:val="clear" w:color="auto" w:fill="FFFFFF"/>
          <w:lang w:val="en-US" w:eastAsia="zh-CN"/>
        </w:rPr>
        <w:t>future-</w:t>
      </w:r>
      <w:r>
        <w:rPr>
          <w:rFonts w:hint="default" w:ascii="Calibri" w:hAnsi="Calibri" w:eastAsia="等线" w:cs="Calibri"/>
          <w:b/>
          <w:bCs/>
          <w:i w:val="0"/>
          <w:iCs w:val="0"/>
          <w:caps w:val="0"/>
          <w:color w:val="auto"/>
          <w:spacing w:val="0"/>
          <w:sz w:val="48"/>
          <w:szCs w:val="48"/>
          <w:u w:val="none"/>
          <w:shd w:val="clear" w:color="auto" w:fill="FFFFFF"/>
          <w:lang w:val="en-US" w:eastAsia="zh-CN"/>
        </w:rPr>
        <w:t>vision</w:t>
      </w:r>
      <w:r>
        <w:rPr>
          <w:rFonts w:hint="eastAsia" w:ascii="Calibri" w:hAnsi="Calibri" w:eastAsia="等线" w:cs="Calibri"/>
          <w:b/>
          <w:bCs/>
          <w:i w:val="0"/>
          <w:iCs w:val="0"/>
          <w:caps w:val="0"/>
          <w:color w:val="auto"/>
          <w:spacing w:val="0"/>
          <w:sz w:val="48"/>
          <w:szCs w:val="48"/>
          <w:u w:val="none"/>
          <w:shd w:val="clear" w:color="auto" w:fill="FFFFFF"/>
          <w:lang w:val="en-US" w:eastAsia="zh-CN"/>
        </w:rPr>
        <w:t xml:space="preserve"> with your own hand：</w:t>
      </w:r>
      <w:r>
        <w:rPr>
          <w:rFonts w:hint="default" w:ascii="Calibri" w:hAnsi="Calibri" w:eastAsia="等线" w:cs="Calibri"/>
          <w:b/>
          <w:bCs/>
          <w:i w:val="0"/>
          <w:iCs w:val="0"/>
          <w:caps w:val="0"/>
          <w:color w:val="auto"/>
          <w:spacing w:val="0"/>
          <w:sz w:val="48"/>
          <w:szCs w:val="48"/>
          <w:u w:val="none"/>
          <w:shd w:val="clear" w:color="auto" w:fill="FFFFFF"/>
          <w:lang w:val="en-US" w:eastAsia="zh-CN"/>
        </w:rPr>
        <w:t>Proposal</w:t>
      </w:r>
      <w:r>
        <w:rPr>
          <w:rFonts w:hint="eastAsia" w:ascii="Calibri" w:hAnsi="Calibri" w:eastAsia="等线" w:cs="Calibri"/>
          <w:b/>
          <w:bCs/>
          <w:i w:val="0"/>
          <w:iCs w:val="0"/>
          <w:caps w:val="0"/>
          <w:color w:val="auto"/>
          <w:spacing w:val="0"/>
          <w:sz w:val="48"/>
          <w:szCs w:val="48"/>
          <w:u w:val="none"/>
          <w:shd w:val="clear" w:color="auto" w:fill="FFFFFF"/>
          <w:lang w:val="en-US" w:eastAsia="zh-CN"/>
        </w:rPr>
        <w:t xml:space="preserve"> </w:t>
      </w:r>
      <w:r>
        <w:rPr>
          <w:rFonts w:hint="default" w:ascii="Calibri" w:hAnsi="Calibri" w:eastAsia="等线" w:cs="Calibri"/>
          <w:b/>
          <w:bCs/>
          <w:i w:val="0"/>
          <w:iCs w:val="0"/>
          <w:caps w:val="0"/>
          <w:color w:val="auto"/>
          <w:spacing w:val="0"/>
          <w:sz w:val="48"/>
          <w:szCs w:val="48"/>
          <w:u w:val="none"/>
          <w:shd w:val="clear" w:color="auto" w:fill="FFFFFF"/>
          <w:lang w:val="en-US" w:eastAsia="zh-CN"/>
        </w:rPr>
        <w:t xml:space="preserve">for Media architecture workshop </w:t>
      </w:r>
      <w:r>
        <w:rPr>
          <w:rFonts w:hint="eastAsia" w:ascii="Calibri" w:hAnsi="Calibri" w:eastAsia="等线" w:cs="Calibri"/>
          <w:b/>
          <w:bCs/>
          <w:i w:val="0"/>
          <w:iCs w:val="0"/>
          <w:caps w:val="0"/>
          <w:color w:val="auto"/>
          <w:spacing w:val="0"/>
          <w:sz w:val="48"/>
          <w:szCs w:val="48"/>
          <w:u w:val="none"/>
          <w:shd w:val="clear" w:color="auto" w:fill="FFFFFF"/>
          <w:lang w:val="en-US" w:eastAsia="zh-CN"/>
        </w:rPr>
        <w:t>in</w:t>
      </w:r>
      <w:r>
        <w:rPr>
          <w:rFonts w:hint="default" w:ascii="Calibri" w:hAnsi="Calibri" w:eastAsia="等线" w:cs="Calibri"/>
          <w:b/>
          <w:bCs/>
          <w:i w:val="0"/>
          <w:iCs w:val="0"/>
          <w:caps w:val="0"/>
          <w:color w:val="auto"/>
          <w:spacing w:val="0"/>
          <w:sz w:val="48"/>
          <w:szCs w:val="48"/>
          <w:u w:val="none"/>
          <w:shd w:val="clear" w:color="auto" w:fill="FFFFFF"/>
          <w:lang w:val="en-US" w:eastAsia="zh-CN"/>
        </w:rPr>
        <w:t xml:space="preserve"> </w:t>
      </w:r>
      <w:r>
        <w:rPr>
          <w:rFonts w:hint="eastAsia" w:ascii="Calibri" w:hAnsi="Calibri" w:eastAsia="等线" w:cs="Calibri"/>
          <w:b/>
          <w:bCs/>
          <w:i w:val="0"/>
          <w:iCs w:val="0"/>
          <w:caps w:val="0"/>
          <w:color w:val="auto"/>
          <w:spacing w:val="0"/>
          <w:sz w:val="48"/>
          <w:szCs w:val="48"/>
          <w:u w:val="none"/>
          <w:shd w:val="clear" w:color="auto" w:fill="FFFFFF"/>
          <w:lang w:val="en-US" w:eastAsia="zh-CN"/>
        </w:rPr>
        <w:t>C</w:t>
      </w:r>
      <w:r>
        <w:rPr>
          <w:rFonts w:hint="default" w:ascii="Calibri" w:hAnsi="Calibri" w:eastAsia="等线" w:cs="Calibri"/>
          <w:b/>
          <w:bCs/>
          <w:i w:val="0"/>
          <w:iCs w:val="0"/>
          <w:caps w:val="0"/>
          <w:color w:val="auto"/>
          <w:spacing w:val="0"/>
          <w:sz w:val="48"/>
          <w:szCs w:val="48"/>
          <w:u w:val="none"/>
          <w:shd w:val="clear" w:color="auto" w:fill="FFFFFF"/>
          <w:lang w:val="en-US" w:eastAsia="zh-CN"/>
        </w:rPr>
        <w:t>o-</w:t>
      </w:r>
      <w:r>
        <w:rPr>
          <w:rFonts w:hint="eastAsia" w:ascii="Calibri" w:hAnsi="Calibri" w:eastAsia="等线" w:cs="Calibri"/>
          <w:b/>
          <w:bCs/>
          <w:i w:val="0"/>
          <w:iCs w:val="0"/>
          <w:caps w:val="0"/>
          <w:color w:val="auto"/>
          <w:spacing w:val="0"/>
          <w:sz w:val="48"/>
          <w:szCs w:val="48"/>
          <w:u w:val="none"/>
          <w:shd w:val="clear" w:color="auto" w:fill="FFFFFF"/>
          <w:lang w:val="en-US" w:eastAsia="zh-CN"/>
        </w:rPr>
        <w:t>C</w:t>
      </w:r>
      <w:r>
        <w:rPr>
          <w:rFonts w:hint="default" w:ascii="Calibri" w:hAnsi="Calibri" w:eastAsia="等线" w:cs="Calibri"/>
          <w:b/>
          <w:bCs/>
          <w:i w:val="0"/>
          <w:iCs w:val="0"/>
          <w:caps w:val="0"/>
          <w:color w:val="auto"/>
          <w:spacing w:val="0"/>
          <w:sz w:val="48"/>
          <w:szCs w:val="48"/>
          <w:u w:val="none"/>
          <w:shd w:val="clear" w:color="auto" w:fill="FFFFFF"/>
          <w:lang w:val="en-US" w:eastAsia="zh-CN"/>
        </w:rPr>
        <w:t>reation</w:t>
      </w:r>
    </w:p>
    <w:p>
      <w:pPr>
        <w:rPr>
          <w:rFonts w:hint="default" w:ascii="Calibri Light" w:hAnsi="Calibri Light" w:cs="Calibri Light"/>
          <w:b w:val="0"/>
          <w:bCs w:val="0"/>
          <w:sz w:val="30"/>
          <w:szCs w:val="30"/>
          <w:lang w:val="en-US" w:eastAsia="zh-CN"/>
        </w:rPr>
      </w:pPr>
      <w:r>
        <w:rPr>
          <w:rFonts w:hint="default" w:ascii="Calibri Light" w:hAnsi="Calibri Light" w:cs="Calibri Light"/>
          <w:b w:val="0"/>
          <w:bCs w:val="0"/>
          <w:sz w:val="30"/>
          <w:szCs w:val="30"/>
          <w:lang w:val="en-US" w:eastAsia="zh-CN"/>
        </w:rPr>
        <w:t>Haoyi Ruan</w:t>
      </w:r>
    </w:p>
    <w:p>
      <w:pPr>
        <w:rPr>
          <w:rFonts w:hint="default" w:ascii="Calibri Light" w:hAnsi="Calibri Light" w:cs="Calibri Light"/>
          <w:b w:val="0"/>
          <w:bCs w:val="0"/>
          <w:sz w:val="30"/>
          <w:szCs w:val="30"/>
          <w:lang w:val="en-US" w:eastAsia="zh-CN"/>
        </w:rPr>
      </w:pPr>
      <w:r>
        <w:rPr>
          <w:sz w:val="30"/>
        </w:rPr>
        <mc:AlternateContent>
          <mc:Choice Requires="wps">
            <w:drawing>
              <wp:anchor distT="0" distB="0" distL="114300" distR="114300" simplePos="0" relativeHeight="251660288" behindDoc="0" locked="0" layoutInCell="1" allowOverlap="1">
                <wp:simplePos x="0" y="0"/>
                <wp:positionH relativeFrom="column">
                  <wp:posOffset>39370</wp:posOffset>
                </wp:positionH>
                <wp:positionV relativeFrom="paragraph">
                  <wp:posOffset>153670</wp:posOffset>
                </wp:positionV>
                <wp:extent cx="5179695" cy="0"/>
                <wp:effectExtent l="0" t="0" r="0" b="0"/>
                <wp:wrapNone/>
                <wp:docPr id="4" name="直接连接符 4"/>
                <wp:cNvGraphicFramePr/>
                <a:graphic xmlns:a="http://schemas.openxmlformats.org/drawingml/2006/main">
                  <a:graphicData uri="http://schemas.microsoft.com/office/word/2010/wordprocessingShape">
                    <wps:wsp>
                      <wps:cNvCnPr/>
                      <wps:spPr>
                        <a:xfrm>
                          <a:off x="2053590" y="3430270"/>
                          <a:ext cx="517969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3.1pt;margin-top:12.1pt;height:0pt;width:407.85pt;z-index:251660288;mso-width-relative:page;mso-height-relative:page;" filled="f" stroked="t" coordsize="21600,21600" o:gfxdata="UEsDBAoAAAAAAIdO4kAAAAAAAAAAAAAAAAAEAAAAZHJzL1BLAwQUAAAACACHTuJAEfuE0NYAAAAH&#10;AQAADwAAAGRycy9kb3ducmV2LnhtbE2OQUvDQBCF74L/YRnBm91N0NLGbIoIQgUptArW2yYZk+Du&#10;bNjdtvHfO+Khnh7z3uPNV64mZ8URQxw8achmCgRS49uBOg1vr083CxAxGWqN9YQavjHCqrq8KE3R&#10;+hNt8bhLneARioXR0Kc0FlLGpkdn4syPSJx9+uBM4jN0sg3mxOPOylypuXRmIP7QmxEfe2y+dgen&#10;od6EsL/7eB/tw8tWbaa49uF5rfX1VabuQSSc0rkMv/iMDhUz1f5AbRRWwzznoob8lpXjRZ4tQdR/&#10;hqxK+Z+/+gFQSwMEFAAAAAgAh07iQKtOdjf5AQAAvQMAAA4AAABkcnMvZTJvRG9jLnhtbK1TS27b&#10;MBDdF+gdCO5ryR85sWA5QGKkm6I10OYANEVJBPgDh7HsS/QCBbprV11239s0PUaHlJK06SaLakEN&#10;OY9v+B6H64ujVuQgPEhrKjqd5JQIw20tTVvRmw/Xr84pgcBMzZQ1oqInAfRi8/LFunelmNnOqlp4&#10;giQGyt5VtAvBlVkGvBOawcQ6YTDZWK9ZwKlvs9qzHtm1ymZ5vsx662vnLRcAuLodknRk9M8htE0j&#10;udhafquFCQOrF4oFlASddEA36bRNI3h41zQgAlEVRaUhjVgE430cs82ala1nrpN8PAJ7zhGeaNJM&#10;Giz6QLVlgZFbL/+h0pJ7C7YJE251NghJjqCKaf7Em/cdcyJpQavBPZgO/4+Wvz3sPJF1RReUGKbx&#10;wu8+ff/58cuvH59xvPv2lSyiSb2DErFXZufHGbidj4qPjdfxj1rIsaKzvJgXK7T3VNH5Yp7PzkaT&#10;xTEQjoBierZargpKOCJSLnskcR7Ca2E1iUFFlTRRPyvZ4Q0ELIzQe0hcNvZaKpXuUBnSV3Q5L7A0&#10;Z9iXDfYDhtqhNjAtJUy12PA8+MQIVsk67o484Nv9lfLkwLBNisvV5baIorHaX7BYesugG3ApNTSQ&#10;lgHfhJK6oud5/MbdyiBJtG4wK0Z7W5+Sh2kdbzWVGTswts2f87T78dVtfgN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BoBAAAW0NvbnRlbnRfVHlw&#10;ZXNdLnhtbFBLAQIUAAoAAAAAAIdO4kAAAAAAAAAAAAAAAAAGAAAAAAAAAAAAEAAAAEoDAABfcmVs&#10;cy9QSwECFAAUAAAACACHTuJAihRmPNEAAACUAQAACwAAAAAAAAABACAAAABuAwAAX3JlbHMvLnJl&#10;bHNQSwECFAAKAAAAAACHTuJAAAAAAAAAAAAAAAAABAAAAAAAAAAAABAAAAAAAAAAZHJzL1BLAQIU&#10;ABQAAAAIAIdO4kAR+4TQ1gAAAAcBAAAPAAAAAAAAAAEAIAAAACIAAABkcnMvZG93bnJldi54bWxQ&#10;SwECFAAUAAAACACHTuJAq052N/kBAAC9AwAADgAAAAAAAAABACAAAAAlAQAAZHJzL2Uyb0RvYy54&#10;bWxQSwUGAAAAAAYABgBZAQAAkAUAAAAA&#10;">
                <v:fill on="f" focussize="0,0"/>
                <v:stroke weight="0.5pt" color="#5B9BD5 [3204]" miterlimit="8" joinstyle="miter"/>
                <v:imagedata o:title=""/>
                <o:lock v:ext="edit" aspectratio="f"/>
              </v:line>
            </w:pict>
          </mc:Fallback>
        </mc:AlternateConten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Correspondence:</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2105637@student.uwtsd.ac.uk</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Institute of Science and Art</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Doctoral candidate in Art&amp;Design,</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Uni</w:t>
      </w:r>
      <w:r>
        <w:rPr>
          <w:rFonts w:hint="eastAsia" w:ascii="Calibri Light" w:hAnsi="Calibri Light" w:cs="Calibri Light"/>
          <w:b w:val="0"/>
          <w:bCs w:val="0"/>
          <w:sz w:val="18"/>
          <w:szCs w:val="18"/>
          <w:lang w:val="en-US" w:eastAsia="zh-CN"/>
        </w:rPr>
        <w:t>v</w:t>
      </w:r>
      <w:r>
        <w:rPr>
          <w:rFonts w:hint="default" w:ascii="Calibri Light" w:hAnsi="Calibri Light" w:cs="Calibri Light"/>
          <w:b w:val="0"/>
          <w:bCs w:val="0"/>
          <w:sz w:val="18"/>
          <w:szCs w:val="18"/>
          <w:lang w:val="en-US" w:eastAsia="zh-CN"/>
        </w:rPr>
        <w:t xml:space="preserve">ersity of Wales Trinty Saint David, </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Technium 1, Kings Road, sa18ph,</w:t>
      </w:r>
    </w:p>
    <w:p>
      <w:pPr>
        <w:spacing w:line="240" w:lineRule="auto"/>
        <w:jc w:val="right"/>
        <w:rPr>
          <w:rFonts w:hint="eastAsia"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Swansea</w:t>
      </w:r>
      <w:r>
        <w:rPr>
          <w:rFonts w:hint="eastAsia" w:ascii="Calibri Light" w:hAnsi="Calibri Light" w:cs="Calibri Light"/>
          <w:b w:val="0"/>
          <w:bCs w:val="0"/>
          <w:sz w:val="18"/>
          <w:szCs w:val="18"/>
          <w:lang w:val="en-US" w:eastAsia="zh-CN"/>
        </w:rPr>
        <w:t>,</w:t>
      </w:r>
      <w:r>
        <w:rPr>
          <w:rFonts w:hint="default" w:ascii="Calibri Light" w:hAnsi="Calibri Light" w:cs="Calibri Light"/>
          <w:b w:val="0"/>
          <w:bCs w:val="0"/>
          <w:sz w:val="18"/>
          <w:szCs w:val="18"/>
          <w:lang w:val="en-US" w:eastAsia="zh-CN"/>
        </w:rPr>
        <w:t xml:space="preserve"> Wales, U</w:t>
      </w:r>
      <w:r>
        <w:rPr>
          <w:rFonts w:hint="eastAsia" w:ascii="Calibri Light" w:hAnsi="Calibri Light" w:cs="Calibri Light"/>
          <w:b w:val="0"/>
          <w:bCs w:val="0"/>
          <w:sz w:val="18"/>
          <w:szCs w:val="18"/>
          <w:lang w:val="en-US" w:eastAsia="zh-CN"/>
        </w:rPr>
        <w:t>nited Kingdom</w:t>
      </w:r>
    </w:p>
    <w:p>
      <w:pPr>
        <w:rPr>
          <w:rFonts w:hint="eastAsia" w:asciiTheme="majorAscii"/>
          <w:b/>
          <w:bCs/>
          <w:color w:val="000000" w:themeColor="text1"/>
          <w:sz w:val="28"/>
          <w:szCs w:val="28"/>
          <w:lang w:val="en-US" w:eastAsia="zh-CN"/>
          <w14:textFill>
            <w14:solidFill>
              <w14:schemeClr w14:val="tx1"/>
            </w14:solidFill>
          </w14:textFill>
        </w:rPr>
      </w:pPr>
      <w:r>
        <w:rPr>
          <w:rFonts w:hint="eastAsia" w:asciiTheme="majorAscii"/>
          <w:b/>
          <w:bCs/>
          <w:color w:val="000000" w:themeColor="text1"/>
          <w:sz w:val="28"/>
          <w:szCs w:val="28"/>
          <w:lang w:val="en-US" w:eastAsia="zh-CN"/>
          <w14:textFill>
            <w14:solidFill>
              <w14:schemeClr w14:val="tx1"/>
            </w14:solidFill>
          </w14:textFill>
        </w:rPr>
        <w:t>Abstract</w:t>
      </w:r>
    </w:p>
    <w:p>
      <w:pPr>
        <w:keepNext w:val="0"/>
        <w:keepLines w:val="0"/>
        <w:pageBreakBefore w:val="0"/>
        <w:widowControl w:val="0"/>
        <w:kinsoku/>
        <w:wordWrap/>
        <w:overflowPunct/>
        <w:topLinePunct w:val="0"/>
        <w:autoSpaceDE/>
        <w:autoSpaceDN/>
        <w:bidi w:val="0"/>
        <w:adjustRightInd/>
        <w:snapToGrid/>
        <w:spacing w:line="260" w:lineRule="exact"/>
        <w:textAlignment w:val="auto"/>
        <w:rPr>
          <w:rFonts w:hint="eastAsia" w:hAnsi="Calibri Light" w:eastAsia="等线" w:cs="Calibri Light" w:asciiTheme="majorAscii"/>
          <w:i w:val="0"/>
          <w:iCs w:val="0"/>
          <w:caps w:val="0"/>
          <w:color w:val="auto"/>
          <w:spacing w:val="0"/>
          <w:sz w:val="24"/>
          <w:szCs w:val="24"/>
          <w:u w:val="none"/>
          <w:shd w:val="clear" w:color="auto" w:fill="FFFFFF"/>
          <w:lang w:val="en-US" w:eastAsia="zh-CN"/>
        </w:rPr>
      </w:pPr>
      <w:r>
        <w:rPr>
          <w:rFonts w:hint="eastAsia" w:hAnsi="Calibri Light" w:eastAsia="等线" w:cs="Calibri Light" w:asciiTheme="majorAscii"/>
          <w:i w:val="0"/>
          <w:iCs w:val="0"/>
          <w:caps w:val="0"/>
          <w:color w:val="auto"/>
          <w:spacing w:val="0"/>
          <w:sz w:val="24"/>
          <w:szCs w:val="24"/>
          <w:u w:val="none"/>
          <w:shd w:val="clear" w:color="auto" w:fill="FFFFFF"/>
          <w:lang w:val="en-US" w:eastAsia="zh-CN"/>
        </w:rPr>
        <w:t>We live in an age of screens, which fill our surroundings and require us to process hundreds of pieces of information, both images and text, in front of them. With the development of sensors and interactive architecture, electronic information and LED technology, giant screens are quietly covering our cities, acting like a portal, performing the role of mass media and media interface, becoming a new tool for urban architecture design and landscapes. In the post-media era, the tools of media extended, architecture and the city became part of the media, we control the images on top of our mobile phone screens, and we can control what we see of the urban landscape. In this context, what are the respective responsibilities of screen managers, designers and receivers? Based on such architectural, environmental, behavioural, political and ethical considerations, the author try to creates a workshop model based on a dynamic and balanced structure between the public, the designer and the government. The workshop proceeds from study to application, utilising particular instruments to practise a workshop on current media architecture or the subsequent media architecture by examining the relationship between the "Canvas," "Brush," and "Pigment" of media architecture in the city. During the workshop, participants will have the chance to assess and redesign current media buildings or media buildings that are due to be put into operation. The workshop is intended to examine the civic-informed, image-decision making, urban information attribution, environmental protection of facilities and energy, commercial benefits, and urban night-time development aspects of media buildings, as well as strategic thinking on forms of collaboration, ways of working with media buildings, and the management of urban night-time scenes, to promote more reason, possibilities, and equity in media buildings, and to extend the reach of media buildings.</w:t>
      </w:r>
    </w:p>
    <w:p>
      <w:pPr>
        <w:rPr>
          <w:rFonts w:hint="eastAsia" w:asciiTheme="majorAscii"/>
          <w:b/>
          <w:bCs/>
          <w:color w:val="000000" w:themeColor="text1"/>
          <w:sz w:val="28"/>
          <w:szCs w:val="28"/>
          <w:lang w:val="en-US" w:eastAsia="zh-CN"/>
          <w14:textFill>
            <w14:solidFill>
              <w14:schemeClr w14:val="tx1"/>
            </w14:solidFill>
          </w14:textFill>
        </w:rPr>
      </w:pPr>
      <w:r>
        <w:rPr>
          <w:rFonts w:hint="eastAsia" w:asciiTheme="majorAscii"/>
          <w:b/>
          <w:bCs/>
          <w:color w:val="000000" w:themeColor="text1"/>
          <w:sz w:val="28"/>
          <w:szCs w:val="28"/>
          <w:lang w:val="en-US" w:eastAsia="zh-CN"/>
          <w14:textFill>
            <w14:solidFill>
              <w14:schemeClr w14:val="tx1"/>
            </w14:solidFill>
          </w14:textFill>
        </w:rPr>
        <w:t>Key Words</w:t>
      </w:r>
    </w:p>
    <w:p>
      <w:pPr>
        <w:rPr>
          <w:rFonts w:hint="default" w:asciiTheme="majorAscii"/>
          <w:b w:val="0"/>
          <w:bCs/>
          <w:color w:val="0E101A"/>
          <w:sz w:val="24"/>
          <w:szCs w:val="24"/>
          <w:lang w:val="en-US" w:eastAsia="zh-CN"/>
        </w:rPr>
      </w:pPr>
      <w:r>
        <w:rPr>
          <w:rFonts w:hint="eastAsia" w:asciiTheme="majorAscii" w:hAnsiTheme="majorAscii"/>
          <w:b w:val="0"/>
          <w:bCs w:val="0"/>
          <w:color w:val="000000" w:themeColor="text1"/>
          <w:sz w:val="24"/>
          <w:szCs w:val="24"/>
          <w:lang w:val="en-US" w:eastAsia="zh-CN"/>
          <w14:textFill>
            <w14:solidFill>
              <w14:schemeClr w14:val="tx1"/>
            </w14:solidFill>
          </w14:textFill>
        </w:rPr>
        <w:t>Media architecture, Co-creation, Workshop, Proposal</w:t>
      </w:r>
    </w:p>
    <w:p>
      <w:pPr>
        <w:keepNext w:val="0"/>
        <w:keepLines w:val="0"/>
        <w:widowControl/>
        <w:numPr>
          <w:ilvl w:val="0"/>
          <w:numId w:val="0"/>
        </w:numPr>
        <w:suppressLineNumbers w:val="0"/>
        <w:spacing w:before="0" w:beforeAutospacing="0" w:after="0" w:afterAutospacing="0"/>
        <w:rPr>
          <w:rFonts w:hint="default" w:asciiTheme="majorAscii"/>
          <w:b w:val="0"/>
          <w:bCs/>
          <w:color w:val="0E101A"/>
          <w:sz w:val="24"/>
          <w:szCs w:val="24"/>
          <w:lang w:val="en-US" w:eastAsia="zh-CN"/>
        </w:rPr>
      </w:pPr>
    </w:p>
    <w:p>
      <w:pPr>
        <w:keepNext w:val="0"/>
        <w:keepLines w:val="0"/>
        <w:widowControl/>
        <w:numPr>
          <w:ilvl w:val="0"/>
          <w:numId w:val="1"/>
        </w:numPr>
        <w:suppressLineNumbers w:val="0"/>
        <w:spacing w:before="0" w:beforeAutospacing="0" w:after="0" w:afterAutospacing="0"/>
        <w:rPr>
          <w:rFonts w:hint="default" w:ascii="Calibri" w:hAnsi="Calibri" w:cs="Calibri"/>
          <w:b/>
          <w:bCs w:val="0"/>
          <w:color w:val="0E101A"/>
          <w:sz w:val="24"/>
          <w:szCs w:val="24"/>
          <w:lang w:val="en-US" w:eastAsia="zh-CN"/>
        </w:rPr>
      </w:pPr>
      <w:r>
        <w:rPr>
          <w:rFonts w:hint="default" w:ascii="Calibri" w:hAnsi="Calibri" w:cs="Calibri"/>
          <w:b/>
          <w:bCs w:val="0"/>
          <w:color w:val="0E101A"/>
          <w:sz w:val="24"/>
          <w:szCs w:val="24"/>
          <w:lang w:val="en-US" w:eastAsia="zh-CN"/>
        </w:rPr>
        <w:t>Background</w:t>
      </w: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r>
        <w:rPr>
          <w:rFonts w:hint="default" w:ascii="Calibri" w:hAnsi="Calibri" w:cs="Calibri"/>
          <w:b w:val="0"/>
          <w:bCs/>
          <w:color w:val="0E101A"/>
          <w:sz w:val="24"/>
          <w:szCs w:val="24"/>
          <w:lang w:val="en-US" w:eastAsia="zh-CN"/>
        </w:rPr>
        <w:t xml:space="preserve">We live in an age of screens, and our lives and tied to them. As a result, screens have also become one of how digital facades on buildings are presented, using the building as a canvas to create great images and pictures of technology. This approach to creating buildings is broadly referred to as </w:t>
      </w:r>
      <w:r>
        <w:rPr>
          <w:rFonts w:hint="eastAsia" w:ascii="Calibri" w:hAnsi="Calibri" w:cs="Calibri"/>
          <w:b w:val="0"/>
          <w:bCs/>
          <w:i/>
          <w:iCs/>
          <w:color w:val="0E101A"/>
          <w:sz w:val="24"/>
          <w:szCs w:val="24"/>
          <w:lang w:val="en-US" w:eastAsia="zh-CN"/>
        </w:rPr>
        <w:t>M</w:t>
      </w:r>
      <w:r>
        <w:rPr>
          <w:rFonts w:hint="default" w:ascii="Calibri" w:hAnsi="Calibri" w:cs="Calibri"/>
          <w:b w:val="0"/>
          <w:bCs/>
          <w:i/>
          <w:iCs/>
          <w:color w:val="0E101A"/>
          <w:sz w:val="24"/>
          <w:szCs w:val="24"/>
          <w:lang w:val="en-US" w:eastAsia="zh-CN"/>
        </w:rPr>
        <w:t xml:space="preserve">edia </w:t>
      </w:r>
      <w:r>
        <w:rPr>
          <w:rFonts w:hint="eastAsia" w:ascii="Calibri" w:hAnsi="Calibri" w:cs="Calibri"/>
          <w:b w:val="0"/>
          <w:bCs/>
          <w:i/>
          <w:iCs/>
          <w:color w:val="0E101A"/>
          <w:sz w:val="24"/>
          <w:szCs w:val="24"/>
          <w:lang w:val="en-US" w:eastAsia="zh-CN"/>
        </w:rPr>
        <w:t>A</w:t>
      </w:r>
      <w:r>
        <w:rPr>
          <w:rFonts w:hint="default" w:ascii="Calibri" w:hAnsi="Calibri" w:cs="Calibri"/>
          <w:b w:val="0"/>
          <w:bCs/>
          <w:i/>
          <w:iCs/>
          <w:color w:val="0E101A"/>
          <w:sz w:val="24"/>
          <w:szCs w:val="24"/>
          <w:lang w:val="en-US" w:eastAsia="zh-CN"/>
        </w:rPr>
        <w:t>rchitecture</w:t>
      </w:r>
      <w:r>
        <w:rPr>
          <w:rFonts w:hint="default" w:ascii="Calibri" w:hAnsi="Calibri" w:cs="Calibri"/>
          <w:b w:val="0"/>
          <w:bCs/>
          <w:color w:val="0E101A"/>
          <w:sz w:val="24"/>
          <w:szCs w:val="24"/>
          <w:lang w:val="en-US" w:eastAsia="zh-CN"/>
        </w:rPr>
        <w:t>, which can support corporate advertising, data extraction and civic spectacle</w:t>
      </w:r>
      <w:r>
        <w:rPr>
          <w:rFonts w:hint="eastAsia" w:ascii="Calibri" w:hAnsi="Calibri" w:cs="Calibri"/>
          <w:b w:val="0"/>
          <w:bCs/>
          <w:color w:val="0E101A"/>
          <w:sz w:val="24"/>
          <w:szCs w:val="24"/>
          <w:lang w:val="en-US" w:eastAsia="zh-CN"/>
        </w:rPr>
        <w:t>（MAB23，2022）</w:t>
      </w:r>
      <w:r>
        <w:rPr>
          <w:rFonts w:hint="default" w:ascii="Calibri" w:hAnsi="Calibri" w:cs="Calibri"/>
          <w:b w:val="0"/>
          <w:bCs/>
          <w:color w:val="0E101A"/>
          <w:sz w:val="24"/>
          <w:szCs w:val="24"/>
          <w:lang w:val="en-US" w:eastAsia="zh-CN"/>
        </w:rPr>
        <w:t>. However, it can also act to engage and empower citizens, increase appreciation of artistic design and even empower citizens to address citizenship in content and form, diversity and inclusion to shape collective identity and collective memory through digital engagement.</w:t>
      </w: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p>
    <w:p>
      <w:pPr>
        <w:keepNext w:val="0"/>
        <w:keepLines w:val="0"/>
        <w:widowControl/>
        <w:suppressLineNumbers w:val="0"/>
        <w:jc w:val="left"/>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Take China as an example, the creation of media buildings is in full swing, but along with this process, many problems have come to light. City administrators still view the increasing number of screens as urban advertising. Most of them are contracted by the corresponding media companies, neglecting non-commercial values such as the value of media architecture in public education and public interaction in pursuing economic benefits. According to Wouters, the benefits of media buildings are more non-commercial than the immediate commercial returns of advertising (Wouters, 2021). However, the vast majority of media buildings in China seem to fail to do so. From a resource perspective, this has resulted in an unavoidable waste of public resources; from a content perspective, it lacks a particular mass base and public decision-making. From an ethical perspective, it also causes a certain amount of distress.</w:t>
      </w:r>
    </w:p>
    <w:p>
      <w:pPr>
        <w:keepNext w:val="0"/>
        <w:keepLines w:val="0"/>
        <w:widowControl/>
        <w:suppressLineNumbers w:val="0"/>
        <w:jc w:val="left"/>
        <w:rPr>
          <w:rFonts w:hint="eastAsia" w:ascii="Calibri" w:hAnsi="Calibri" w:cs="Calibri"/>
          <w:b w:val="0"/>
          <w:bCs/>
          <w:color w:val="0E101A"/>
          <w:sz w:val="24"/>
          <w:szCs w:val="24"/>
          <w:lang w:val="en-US" w:eastAsia="zh-CN"/>
        </w:rPr>
      </w:pPr>
    </w:p>
    <w:p>
      <w:pPr>
        <w:keepNext w:val="0"/>
        <w:keepLines w:val="0"/>
        <w:widowControl/>
        <w:suppressLineNumbers w:val="0"/>
        <w:jc w:val="left"/>
        <w:rPr>
          <w:rFonts w:hint="eastAsia" w:ascii="Calibri" w:hAnsi="Calibri" w:eastAsia="LinLibertineT" w:cs="Calibri"/>
          <w:color w:val="000000"/>
          <w:kern w:val="0"/>
          <w:sz w:val="24"/>
          <w:szCs w:val="24"/>
          <w:lang w:val="en-US" w:eastAsia="zh-CN" w:bidi="ar"/>
        </w:rPr>
      </w:pPr>
      <w:r>
        <w:rPr>
          <w:rFonts w:hint="eastAsia" w:ascii="Calibri" w:hAnsi="Calibri" w:eastAsia="LinLibertineT" w:cs="Calibri"/>
          <w:color w:val="000000"/>
          <w:kern w:val="0"/>
          <w:sz w:val="24"/>
          <w:szCs w:val="24"/>
          <w:lang w:val="en-US" w:eastAsia="zh-CN" w:bidi="ar"/>
        </w:rPr>
        <w:t>In the meantime, China, the world's largest LED product producer, has seen rapid development of photovoltaic companies to react to the strong market demand. However, in this process, the Chinese government has so far regulated media equipment more in terms of light pollution and the energy efficiency of the equipment, and there is no professional advice on the content of architectural screens. In his study of media architecture in Seoul, Lee attributes the value of media architecture to the cultural elements of the city, the creation of inter-regional differences and the technological dynamics of hardware and content (Lee, 2016). McArthur defines media architecture as a tool for natio nal identity, a synergist of commercial and cultural innovation and a means of participatory urban planning and governance (McArthur, 2018). Both Lee and McArthur argue that LED screens in the city have a value that goes well beyond commerce. However, the screen's content can best express non-commercial value, so we need again about the screen's content.</w:t>
      </w:r>
    </w:p>
    <w:p>
      <w:pPr>
        <w:keepNext w:val="0"/>
        <w:keepLines w:val="0"/>
        <w:widowControl/>
        <w:suppressLineNumbers w:val="0"/>
        <w:jc w:val="left"/>
        <w:rPr>
          <w:rFonts w:hint="eastAsia" w:ascii="Calibri" w:hAnsi="Calibri" w:eastAsia="LinLibertineT" w:cs="Calibri"/>
          <w:color w:val="000000"/>
          <w:kern w:val="0"/>
          <w:sz w:val="23"/>
          <w:szCs w:val="23"/>
          <w:lang w:val="en-US" w:eastAsia="zh-CN" w:bidi="ar"/>
        </w:rPr>
      </w:pPr>
    </w:p>
    <w:p>
      <w:pPr>
        <w:keepNext w:val="0"/>
        <w:keepLines w:val="0"/>
        <w:widowControl/>
        <w:numPr>
          <w:ilvl w:val="0"/>
          <w:numId w:val="0"/>
        </w:numPr>
        <w:suppressLineNumbers w:val="0"/>
        <w:spacing w:before="0" w:beforeAutospacing="0" w:after="0" w:afterAutospacing="0"/>
        <w:rPr>
          <w:rFonts w:hint="eastAsia" w:ascii="Calibri" w:hAnsi="Calibri" w:eastAsia="LinLibertineT" w:cs="Calibri"/>
          <w:color w:val="000000"/>
          <w:kern w:val="0"/>
          <w:sz w:val="24"/>
          <w:szCs w:val="24"/>
          <w:lang w:val="en-US" w:eastAsia="zh-CN" w:bidi="ar"/>
        </w:rPr>
      </w:pPr>
      <w:r>
        <w:rPr>
          <w:rFonts w:hint="eastAsia" w:ascii="Calibri" w:hAnsi="Calibri" w:eastAsia="LinLibertineT" w:cs="Calibri"/>
          <w:color w:val="000000"/>
          <w:kern w:val="0"/>
          <w:sz w:val="24"/>
          <w:szCs w:val="24"/>
          <w:lang w:val="en-US" w:eastAsia="zh-CN" w:bidi="ar"/>
        </w:rPr>
        <w:t>Media architecture has become a building trend in China, but higher education and research on architecture media have not developed on a large scale. A study by the Australian University of Applied Sciences of architecture universities around the world shows that research on media architecture is more concentrated in Europe (Barnard, 2021). Although scholars in some Asian countries are aware of this phenomenon and are starting to conduct research, the power of the individual is, after all, limited. Therefore, there is imperative that systematic research and public education on media architecture, from the government to business to education in China.</w:t>
      </w:r>
    </w:p>
    <w:p>
      <w:pPr>
        <w:keepNext w:val="0"/>
        <w:keepLines w:val="0"/>
        <w:widowControl/>
        <w:numPr>
          <w:ilvl w:val="0"/>
          <w:numId w:val="0"/>
        </w:numPr>
        <w:suppressLineNumbers w:val="0"/>
        <w:spacing w:before="0" w:beforeAutospacing="0" w:after="0" w:afterAutospacing="0"/>
        <w:rPr>
          <w:rFonts w:hint="eastAsia" w:ascii="Calibri" w:hAnsi="Calibri" w:eastAsia="LinLibertineT" w:cs="Calibri"/>
          <w:color w:val="000000"/>
          <w:kern w:val="0"/>
          <w:sz w:val="24"/>
          <w:szCs w:val="24"/>
          <w:lang w:val="en-US" w:eastAsia="zh-CN" w:bidi="ar"/>
        </w:rPr>
      </w:pPr>
    </w:p>
    <w:p>
      <w:pPr>
        <w:rPr>
          <w:rFonts w:hint="default" w:ascii="Calibri" w:hAnsi="Calibri" w:eastAsia="LinLibertineT"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&gt;</w:t>
      </w:r>
      <w:r>
        <w:rPr>
          <w:rFonts w:hint="default" w:ascii="Calibri" w:hAnsi="Calibri" w:eastAsia="ACaslonPro-Regular" w:cs="Calibri"/>
          <w:i w:val="0"/>
          <w:iCs w:val="0"/>
          <w:color w:val="000000"/>
          <w:kern w:val="0"/>
          <w:sz w:val="24"/>
          <w:szCs w:val="24"/>
          <w:lang w:val="en-US" w:eastAsia="zh-CN" w:bidi="ar"/>
        </w:rPr>
        <w:t xml:space="preserve">Fig. 1: </w:t>
      </w:r>
      <w:r>
        <w:rPr>
          <w:rFonts w:hint="default" w:ascii="Calibri" w:hAnsi="Calibri" w:eastAsia="ACaslonPro-Regular" w:cs="Calibri"/>
          <w:color w:val="000000"/>
          <w:kern w:val="0"/>
          <w:sz w:val="24"/>
          <w:szCs w:val="24"/>
          <w:lang w:val="en-US" w:eastAsia="zh-CN" w:bidi="ar"/>
        </w:rPr>
        <w:t>Higher Education situation in Media Architecture (Baenard,2021</w:t>
      </w:r>
      <w:r>
        <w:rPr>
          <w:rFonts w:hint="eastAsia" w:ascii="Calibri" w:hAnsi="Calibri" w:eastAsia="ACaslonPro-Regular" w:cs="Calibri"/>
          <w:color w:val="000000"/>
          <w:kern w:val="0"/>
          <w:sz w:val="24"/>
          <w:szCs w:val="24"/>
          <w:lang w:val="en-US" w:eastAsia="zh-CN" w:bidi="ar"/>
        </w:rPr>
        <w:t>,P</w:t>
      </w:r>
      <w:r>
        <w:rPr>
          <w:rFonts w:hint="default" w:ascii="Calibri" w:hAnsi="Calibri" w:eastAsia="ACaslonPro-Regular" w:cs="Calibri"/>
          <w:color w:val="000000"/>
          <w:kern w:val="0"/>
          <w:sz w:val="24"/>
          <w:szCs w:val="24"/>
          <w:lang w:val="en-US" w:eastAsia="zh-CN" w:bidi="ar"/>
        </w:rPr>
        <w:t>2)</w:t>
      </w:r>
      <w:r>
        <w:rPr>
          <w:rFonts w:hint="eastAsia" w:ascii="Calibri" w:hAnsi="Calibri" w:eastAsia="ACaslonPro-Regular" w:cs="Calibri"/>
          <w:color w:val="000000"/>
          <w:kern w:val="0"/>
          <w:sz w:val="24"/>
          <w:szCs w:val="24"/>
          <w:lang w:val="en-US" w:eastAsia="zh-CN" w:bidi="ar"/>
        </w:rPr>
        <w:t>.</w:t>
      </w:r>
    </w:p>
    <w:p>
      <w:pPr>
        <w:keepNext w:val="0"/>
        <w:keepLines w:val="0"/>
        <w:widowControl/>
        <w:numPr>
          <w:ilvl w:val="0"/>
          <w:numId w:val="0"/>
        </w:numPr>
        <w:suppressLineNumbers w:val="0"/>
        <w:spacing w:before="0" w:beforeAutospacing="0" w:after="0" w:afterAutospacing="0"/>
      </w:pPr>
      <w:r>
        <w:drawing>
          <wp:inline distT="0" distB="0" distL="114300" distR="114300">
            <wp:extent cx="5269230" cy="3155950"/>
            <wp:effectExtent l="0" t="0" r="1270" b="635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5"/>
                    <a:stretch>
                      <a:fillRect/>
                    </a:stretch>
                  </pic:blipFill>
                  <pic:spPr>
                    <a:xfrm>
                      <a:off x="0" y="0"/>
                      <a:ext cx="5269230" cy="3155950"/>
                    </a:xfrm>
                    <a:prstGeom prst="rect">
                      <a:avLst/>
                    </a:prstGeom>
                    <a:noFill/>
                    <a:ln>
                      <a:noFill/>
                    </a:ln>
                  </pic:spPr>
                </pic:pic>
              </a:graphicData>
            </a:graphic>
          </wp:inline>
        </w:drawing>
      </w:r>
    </w:p>
    <w:p>
      <w:pPr>
        <w:keepNext w:val="0"/>
        <w:keepLines w:val="0"/>
        <w:widowControl/>
        <w:numPr>
          <w:ilvl w:val="0"/>
          <w:numId w:val="0"/>
        </w:numPr>
        <w:suppressLineNumbers w:val="0"/>
        <w:spacing w:before="0" w:beforeAutospacing="0" w:after="0" w:afterAutospacing="0"/>
        <w:rPr>
          <w:rFonts w:hint="default"/>
          <w:lang w:val="en-US" w:eastAsia="zh-CN"/>
        </w:rPr>
      </w:pPr>
    </w:p>
    <w:p>
      <w:pPr>
        <w:keepNext w:val="0"/>
        <w:keepLines w:val="0"/>
        <w:widowControl/>
        <w:numPr>
          <w:ilvl w:val="1"/>
          <w:numId w:val="1"/>
        </w:numPr>
        <w:suppressLineNumbers w:val="0"/>
        <w:spacing w:before="0" w:beforeAutospacing="0" w:after="0" w:afterAutospacing="0"/>
        <w:rPr>
          <w:rFonts w:hint="default" w:ascii="Calibri" w:hAnsi="Calibri" w:cs="Calibri"/>
          <w:b/>
          <w:bCs w:val="0"/>
          <w:color w:val="0E101A"/>
          <w:sz w:val="24"/>
          <w:szCs w:val="24"/>
          <w:lang w:val="en-US" w:eastAsia="zh-CN"/>
        </w:rPr>
      </w:pPr>
      <w:r>
        <w:rPr>
          <w:rFonts w:hint="default" w:ascii="Calibri" w:hAnsi="Calibri" w:cs="Calibri"/>
          <w:b/>
          <w:bCs w:val="0"/>
          <w:color w:val="0E101A"/>
          <w:sz w:val="24"/>
          <w:szCs w:val="24"/>
          <w:lang w:val="en-US" w:eastAsia="zh-CN"/>
        </w:rPr>
        <w:t>Workshop motivation</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The proposal for this workshop will be based in China, so much of what follows is based on exploring and researching the Chinese context.Based on the current situation in China, the motivation for this workshop is two fold.</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The first is to create a platform that links government, business and the public. By strengthening the communication between them, the post-evaluation of buildings and the integration of architectural information, the introduction of a re-evaluation system for completed or upcoming media buildings, and helping media buildings to carry out innovative actions such as public education, university research, architectural evaluation and content creation guidance.</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Secondly, regular and ongoing workshops inform the relevant laws and regulations. Media architecture is contemporary, and despite its decorative and post-modernist origins, the task of conveying information has always remained the same. However, laws and regulations governing architectural information and content have always lagged behind its birth. For media architecture, guidance from above is essential, both on a practical and theoretical level. Media content regulation and guidance also have a counter effect on the construction of media architecture and the development of the related electromechanical industry. This workshop is in an upbeat, positive effect on the industry.</w:t>
      </w:r>
    </w:p>
    <w:p>
      <w:pPr>
        <w:keepNext w:val="0"/>
        <w:keepLines w:val="0"/>
        <w:widowControl/>
        <w:numPr>
          <w:ilvl w:val="2"/>
          <w:numId w:val="1"/>
        </w:numPr>
        <w:suppressLineNumbers w:val="0"/>
        <w:spacing w:before="0" w:beforeAutospacing="0" w:after="0" w:afterAutospacing="0"/>
        <w:ind w:left="0" w:leftChars="0" w:firstLine="0" w:firstLineChars="0"/>
        <w:rPr>
          <w:rFonts w:hint="default" w:ascii="Calibri" w:hAnsi="Calibri" w:cs="Calibri"/>
          <w:b/>
          <w:bCs w:val="0"/>
          <w:color w:val="0E101A"/>
          <w:sz w:val="24"/>
          <w:szCs w:val="24"/>
          <w:lang w:val="en-US" w:eastAsia="zh-CN"/>
        </w:rPr>
      </w:pPr>
      <w:r>
        <w:rPr>
          <w:rFonts w:hint="default" w:ascii="Calibri" w:hAnsi="Calibri" w:cs="Calibri"/>
          <w:b/>
          <w:bCs w:val="0"/>
          <w:color w:val="0E101A"/>
          <w:sz w:val="24"/>
          <w:szCs w:val="24"/>
          <w:lang w:val="en-US" w:eastAsia="zh-CN"/>
        </w:rPr>
        <w:t>Workshop Aims</w:t>
      </w:r>
    </w:p>
    <w:p>
      <w:pPr>
        <w:keepNext w:val="0"/>
        <w:keepLines w:val="0"/>
        <w:widowControl/>
        <w:numPr>
          <w:ilvl w:val="0"/>
          <w:numId w:val="2"/>
        </w:numPr>
        <w:suppressLineNumbers w:val="0"/>
        <w:spacing w:before="0" w:beforeAutospacing="0" w:after="0" w:afterAutospacing="0"/>
        <w:ind w:left="420" w:leftChars="0" w:hanging="420" w:firstLine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Through the workshops, a relatively mature system establish to strengthen the interaction between the stakeholders of the media architecture, create channels of expression and reception, create a long-term, efficient and diverse way of working, and provide different perspectives for the development and improvement of the media architecture.</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2"/>
        </w:numPr>
        <w:suppressLineNumbers w:val="0"/>
        <w:spacing w:before="0" w:beforeAutospacing="0" w:after="0" w:afterAutospacing="0"/>
        <w:ind w:left="420" w:leftChars="0" w:hanging="420" w:firstLine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The workshop will provide official and unofficial advice to the established and upcoming media architecture. In addition, it will provide the most direct and relatively objective feedback during the operational phase of the media architecture.</w:t>
      </w:r>
    </w:p>
    <w:p>
      <w:pPr>
        <w:keepNext w:val="0"/>
        <w:keepLines w:val="0"/>
        <w:widowControl/>
        <w:numPr>
          <w:ilvl w:val="0"/>
          <w:numId w:val="0"/>
        </w:numPr>
        <w:suppressLineNumbers w:val="0"/>
        <w:spacing w:before="0" w:beforeAutospacing="0" w:after="0" w:afterAutospacing="0"/>
        <w:ind w:leftChars="0"/>
        <w:rPr>
          <w:rFonts w:hint="default" w:ascii="Calibri" w:hAnsi="Calibri" w:cs="Calibri"/>
          <w:b w:val="0"/>
          <w:bCs/>
          <w:color w:val="0E101A"/>
          <w:sz w:val="24"/>
          <w:szCs w:val="24"/>
          <w:lang w:val="en-US" w:eastAsia="zh-CN"/>
        </w:rPr>
      </w:pPr>
    </w:p>
    <w:p>
      <w:pPr>
        <w:keepNext w:val="0"/>
        <w:keepLines w:val="0"/>
        <w:widowControl/>
        <w:numPr>
          <w:ilvl w:val="2"/>
          <w:numId w:val="1"/>
        </w:numPr>
        <w:suppressLineNumbers w:val="0"/>
        <w:spacing w:before="0" w:beforeAutospacing="0" w:after="0" w:afterAutospacing="0"/>
        <w:ind w:left="0" w:leftChars="0" w:firstLine="0" w:firstLineChars="0"/>
        <w:rPr>
          <w:rFonts w:hint="default" w:ascii="Calibri" w:hAnsi="Calibri" w:cs="Calibri"/>
          <w:b/>
          <w:bCs w:val="0"/>
          <w:color w:val="0E101A"/>
          <w:sz w:val="24"/>
          <w:szCs w:val="24"/>
          <w:lang w:val="en-US" w:eastAsia="zh-CN"/>
        </w:rPr>
      </w:pPr>
      <w:r>
        <w:rPr>
          <w:rFonts w:hint="default" w:ascii="Calibri" w:hAnsi="Calibri" w:cs="Calibri"/>
          <w:b/>
          <w:bCs w:val="0"/>
          <w:color w:val="0E101A"/>
          <w:sz w:val="24"/>
          <w:szCs w:val="24"/>
          <w:lang w:val="en-US" w:eastAsia="zh-CN"/>
        </w:rPr>
        <w:t>Workshop target group</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Based on Schielke's study of the Chinese media landscape, he attributes the boom in Chinese media architecture to the government's politically driven act of enhancing local and national identity while affirming the influence between elements such as the city's night-time economy, architectural history and tradition, and technological leadership (Schielke, 2021).The target group for the workshop should therefore consist of three components：</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3"/>
        </w:numPr>
        <w:suppressLineNumbers w:val="0"/>
        <w:spacing w:before="0" w:beforeAutospacing="0" w:after="0" w:afterAutospacing="0"/>
        <w:ind w:left="420" w:leftChars="0" w:hanging="420" w:firstLine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Stakeholders: Governments, Screen managers, Owners of media architecture.</w:t>
      </w:r>
    </w:p>
    <w:p>
      <w:pPr>
        <w:keepNext w:val="0"/>
        <w:keepLines w:val="0"/>
        <w:widowControl/>
        <w:numPr>
          <w:ilvl w:val="0"/>
          <w:numId w:val="3"/>
        </w:numPr>
        <w:suppressLineNumbers w:val="0"/>
        <w:spacing w:before="0" w:beforeAutospacing="0" w:after="0" w:afterAutospacing="0"/>
        <w:ind w:left="420" w:leftChars="0" w:hanging="420" w:firstLine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Material and content producers: Designers, Architects, Media equipment engineers, and Media equipment manufacturers.</w:t>
      </w:r>
    </w:p>
    <w:p>
      <w:pPr>
        <w:keepNext w:val="0"/>
        <w:keepLines w:val="0"/>
        <w:widowControl/>
        <w:numPr>
          <w:ilvl w:val="0"/>
          <w:numId w:val="3"/>
        </w:numPr>
        <w:suppressLineNumbers w:val="0"/>
        <w:spacing w:before="0" w:beforeAutospacing="0" w:after="0" w:afterAutospacing="0"/>
        <w:ind w:left="420" w:leftChars="0" w:hanging="420" w:firstLine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Audience: General public form surrounding communities, Visitors, Viewers are watching screen content via remote access.</w:t>
      </w: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p>
    <w:p>
      <w:pPr>
        <w:keepNext w:val="0"/>
        <w:keepLines w:val="0"/>
        <w:widowControl/>
        <w:numPr>
          <w:ilvl w:val="1"/>
          <w:numId w:val="1"/>
        </w:numPr>
        <w:suppressLineNumbers w:val="0"/>
        <w:spacing w:before="0" w:beforeAutospacing="0" w:after="0" w:afterAutospacing="0"/>
        <w:ind w:left="0" w:leftChars="0" w:firstLine="0" w:firstLineChars="0"/>
        <w:rPr>
          <w:rFonts w:hint="default" w:ascii="Calibri" w:hAnsi="Calibri" w:cs="Calibri"/>
          <w:b/>
          <w:bCs w:val="0"/>
          <w:color w:val="0E101A"/>
          <w:sz w:val="24"/>
          <w:szCs w:val="24"/>
          <w:lang w:val="en-US" w:eastAsia="zh-CN"/>
        </w:rPr>
      </w:pPr>
      <w:r>
        <w:rPr>
          <w:rFonts w:hint="eastAsia" w:ascii="Calibri" w:hAnsi="Calibri" w:cs="Calibri"/>
          <w:b/>
          <w:bCs w:val="0"/>
          <w:color w:val="0E101A"/>
          <w:sz w:val="24"/>
          <w:szCs w:val="24"/>
          <w:lang w:val="en-US" w:eastAsia="zh-CN"/>
        </w:rPr>
        <w:t>Discussion of a</w:t>
      </w:r>
      <w:r>
        <w:rPr>
          <w:rFonts w:hint="default" w:ascii="Calibri" w:hAnsi="Calibri" w:cs="Calibri"/>
          <w:b/>
          <w:bCs w:val="0"/>
          <w:color w:val="0E101A"/>
          <w:sz w:val="24"/>
          <w:szCs w:val="24"/>
          <w:lang w:val="en-US" w:eastAsia="zh-CN"/>
        </w:rPr>
        <w:t>ttribution of workshop decisions</w:t>
      </w:r>
    </w:p>
    <w:p>
      <w:pPr>
        <w:keepNext w:val="0"/>
        <w:keepLines w:val="0"/>
        <w:widowControl/>
        <w:suppressLineNumbers w:val="0"/>
        <w:jc w:val="left"/>
        <w:rPr>
          <w:rFonts w:hint="default" w:ascii="Calibri" w:hAnsi="Calibri" w:eastAsia="微软雅黑" w:cs="Calibri"/>
          <w:i w:val="0"/>
          <w:iCs w:val="0"/>
          <w:caps w:val="0"/>
          <w:color w:val="000000"/>
          <w:spacing w:val="0"/>
          <w:sz w:val="24"/>
          <w:szCs w:val="24"/>
          <w:shd w:val="clear" w:fill="FFFFFF"/>
        </w:rPr>
      </w:pPr>
      <w:r>
        <w:rPr>
          <w:rFonts w:hint="default" w:ascii="Calibri" w:hAnsi="Calibri" w:eastAsia="微软雅黑" w:cs="Calibri"/>
          <w:i w:val="0"/>
          <w:iCs w:val="0"/>
          <w:caps w:val="0"/>
          <w:color w:val="000000"/>
          <w:spacing w:val="0"/>
          <w:sz w:val="24"/>
          <w:szCs w:val="24"/>
          <w:shd w:val="clear" w:fill="FFFFFF"/>
        </w:rPr>
        <w:t>Power is the ultimate aphrodisiac, as said by Henry Kissinger. Numerous people are keen to receive public opinion, but at the same time, they only want the information they want. Community Co-creation Workshop (CCW) should first and foremost address the political and ethical issues of content decisions, the politics of images and the freedom to participate in these decisions. When architecture is built, the government or the relevant organisation will research and assess the project's foundations and whether they comply with local laws and regulations. Two points need to be further discussed concerning constructing existing media buildings.</w:t>
      </w:r>
    </w:p>
    <w:p>
      <w:pPr>
        <w:keepNext w:val="0"/>
        <w:keepLines w:val="0"/>
        <w:widowControl/>
        <w:suppressLineNumbers w:val="0"/>
        <w:jc w:val="left"/>
        <w:rPr>
          <w:rFonts w:hint="eastAsia" w:ascii="Calibri" w:hAnsi="Calibri" w:eastAsia="微软雅黑" w:cs="Calibri"/>
          <w:i w:val="0"/>
          <w:iCs w:val="0"/>
          <w:caps w:val="0"/>
          <w:color w:val="000000"/>
          <w:spacing w:val="0"/>
          <w:sz w:val="24"/>
          <w:szCs w:val="24"/>
          <w:shd w:val="clear" w:fill="FFFFFF"/>
          <w:lang w:val="en-US" w:eastAsia="zh-CN"/>
        </w:rPr>
      </w:pPr>
    </w:p>
    <w:p>
      <w:pPr>
        <w:keepNext w:val="0"/>
        <w:keepLines w:val="0"/>
        <w:widowControl/>
        <w:suppressLineNumbers w:val="0"/>
        <w:jc w:val="left"/>
        <w:rPr>
          <w:rFonts w:hint="eastAsia" w:ascii="Calibri" w:hAnsi="Calibri" w:eastAsia="LinLibertineTB" w:cs="Calibri"/>
          <w:b w:val="0"/>
          <w:bCs w:val="0"/>
          <w:color w:val="000000"/>
          <w:kern w:val="0"/>
          <w:sz w:val="24"/>
          <w:szCs w:val="24"/>
          <w:lang w:val="en-US" w:eastAsia="zh-CN" w:bidi="ar"/>
        </w:rPr>
      </w:pPr>
      <w:r>
        <w:rPr>
          <w:rFonts w:hint="eastAsia" w:ascii="Calibri" w:hAnsi="Calibri" w:eastAsia="LinLibertineTB" w:cs="Calibri"/>
          <w:b w:val="0"/>
          <w:bCs w:val="0"/>
          <w:color w:val="000000"/>
          <w:kern w:val="0"/>
          <w:sz w:val="24"/>
          <w:szCs w:val="24"/>
          <w:lang w:val="en-US" w:eastAsia="zh-CN" w:bidi="ar"/>
        </w:rPr>
        <w:t>Firstly, there is a significant disconnect in media buildings' design, decision-making and management. Although most media buildings have a series of photoelectric devices such as LED displays, the architects and builders do not have much right to design the content of the screens. The management of screen content is often in the hands of advertising and media companies, and the discontinuity and disconnect between the contradictions of content and presentation are at the root of countless media architecture projects. Inappropriate light environments for media buildings can affect the city's night view and have a negative impact (Zielinska-Dabkowska 2014). Overly bright advertisements lead to a change in the initial expression of the building and the overall image of the surrounding geography and the city.</w:t>
      </w:r>
    </w:p>
    <w:p>
      <w:pPr>
        <w:keepNext w:val="0"/>
        <w:keepLines w:val="0"/>
        <w:widowControl/>
        <w:suppressLineNumbers w:val="0"/>
        <w:jc w:val="left"/>
        <w:rPr>
          <w:rFonts w:hint="default" w:ascii="Calibri" w:hAnsi="Calibri" w:eastAsia="LinLibertineTB" w:cs="Calibri"/>
          <w:b w:val="0"/>
          <w:bCs w:val="0"/>
          <w:color w:val="000000"/>
          <w:kern w:val="0"/>
          <w:sz w:val="24"/>
          <w:szCs w:val="24"/>
          <w:lang w:val="en-US" w:eastAsia="zh-CN" w:bidi="ar"/>
        </w:rPr>
      </w:pP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r>
        <w:rPr>
          <w:rFonts w:hint="default" w:ascii="Calibri" w:hAnsi="Calibri" w:cs="Calibri"/>
          <w:b w:val="0"/>
          <w:bCs/>
          <w:color w:val="0E101A"/>
          <w:sz w:val="24"/>
          <w:szCs w:val="24"/>
          <w:lang w:val="en-US" w:eastAsia="zh-CN"/>
        </w:rPr>
        <w:t>On the other hand, the level of participation in the media architecture needs to be further constrained or guided. The appropriate level of public participation needs to explore in terms of the surrounding environment, architectural and social practices, and the values and habits of residents and visitors to form a shared social context and cultural boundaries for the community to influence collective decisions and experiences (Hespanhol, 2012). In practice, it can see that commercial decisions about content still take the initiative, and how to balance commercial and public needs is perhaps one of the more essential issues to consider in the operation of media architecture content.</w:t>
      </w: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p>
    <w:p>
      <w:pPr>
        <w:keepNext w:val="0"/>
        <w:keepLines w:val="0"/>
        <w:widowControl/>
        <w:numPr>
          <w:ilvl w:val="1"/>
          <w:numId w:val="1"/>
        </w:numPr>
        <w:suppressLineNumbers w:val="0"/>
        <w:spacing w:before="0" w:beforeAutospacing="0" w:after="0" w:afterAutospacing="0"/>
        <w:ind w:left="0" w:leftChars="0" w:firstLine="0" w:firstLineChars="0"/>
        <w:rPr>
          <w:rFonts w:hint="eastAsia" w:ascii="Calibri" w:hAnsi="Calibri" w:cs="Calibri"/>
          <w:b/>
          <w:bCs w:val="0"/>
          <w:color w:val="0E101A"/>
          <w:sz w:val="24"/>
          <w:szCs w:val="24"/>
          <w:lang w:val="en-US" w:eastAsia="zh-CN"/>
        </w:rPr>
      </w:pPr>
      <w:r>
        <w:rPr>
          <w:rFonts w:hint="eastAsia" w:ascii="Calibri" w:hAnsi="Calibri" w:cs="Calibri"/>
          <w:b/>
          <w:bCs w:val="0"/>
          <w:color w:val="0E101A"/>
          <w:sz w:val="24"/>
          <w:szCs w:val="24"/>
          <w:lang w:val="en-US" w:eastAsia="zh-CN"/>
        </w:rPr>
        <w:t>B</w:t>
      </w:r>
      <w:r>
        <w:rPr>
          <w:rFonts w:hint="default" w:ascii="Calibri" w:hAnsi="Calibri" w:cs="Calibri"/>
          <w:b/>
          <w:bCs w:val="0"/>
          <w:color w:val="0E101A"/>
          <w:sz w:val="24"/>
          <w:szCs w:val="24"/>
          <w:lang w:val="en-US" w:eastAsia="zh-CN"/>
        </w:rPr>
        <w:t>rilliant timing</w:t>
      </w:r>
      <w:r>
        <w:rPr>
          <w:rFonts w:hint="eastAsia" w:ascii="Calibri" w:hAnsi="Calibri" w:cs="Calibri"/>
          <w:b/>
          <w:bCs w:val="0"/>
          <w:color w:val="0E101A"/>
          <w:sz w:val="24"/>
          <w:szCs w:val="24"/>
          <w:lang w:val="en-US" w:eastAsia="zh-CN"/>
        </w:rPr>
        <w:t>: Involvement of media architecture</w:t>
      </w:r>
    </w:p>
    <w:p>
      <w:pPr>
        <w:keepNext w:val="0"/>
        <w:keepLines w:val="0"/>
        <w:pageBreakBefore w:val="0"/>
        <w:widowControl w:val="0"/>
        <w:kinsoku/>
        <w:wordWrap/>
        <w:overflowPunct/>
        <w:topLinePunct w:val="0"/>
        <w:autoSpaceDE/>
        <w:autoSpaceDN/>
        <w:bidi w:val="0"/>
        <w:adjustRightInd/>
        <w:snapToGrid/>
        <w:spacing w:beforeLines="0" w:afterLines="0" w:line="400" w:lineRule="exact"/>
        <w:ind w:left="567" w:right="567"/>
        <w:textAlignment w:val="auto"/>
        <w:rPr>
          <w:rFonts w:hint="default" w:ascii="Calibri" w:hAnsi="Calibri" w:eastAsia="Times New Roman" w:cs="Calibri"/>
          <w:sz w:val="24"/>
          <w:szCs w:val="24"/>
          <w:lang w:val="zh-CN"/>
        </w:rPr>
      </w:pPr>
      <w:r>
        <w:rPr>
          <w:rFonts w:hint="default" w:ascii="Calibri" w:hAnsi="Calibri" w:eastAsia="Times New Roman" w:cs="Calibri"/>
          <w:sz w:val="24"/>
          <w:szCs w:val="24"/>
          <w:lang w:val="zh-CN"/>
        </w:rPr>
        <w:t>"Today</w:t>
      </w:r>
      <w:r>
        <w:rPr>
          <w:rFonts w:hint="eastAsia" w:ascii="Calibri" w:hAnsi="Calibri" w:eastAsia="宋体" w:cs="Calibri"/>
          <w:sz w:val="24"/>
          <w:szCs w:val="24"/>
          <w:lang w:val="en-US" w:eastAsia="zh-CN"/>
        </w:rPr>
        <w:t xml:space="preserve">, </w:t>
      </w:r>
      <w:r>
        <w:rPr>
          <w:rFonts w:hint="default" w:ascii="Calibri" w:hAnsi="Calibri" w:eastAsia="Times New Roman" w:cs="Calibri"/>
          <w:sz w:val="24"/>
          <w:szCs w:val="24"/>
          <w:lang w:val="zh-CN"/>
        </w:rPr>
        <w:t>architecture is interactive and this idea of buildings being able to adapt to their surroundings must be incorporated into their design</w:t>
      </w:r>
      <w:r>
        <w:rPr>
          <w:rFonts w:hint="eastAsia" w:ascii="Calibri" w:hAnsi="Calibri" w:eastAsia="宋体" w:cs="Calibri"/>
          <w:sz w:val="24"/>
          <w:szCs w:val="24"/>
          <w:lang w:val="en-US" w:eastAsia="zh-CN"/>
        </w:rPr>
        <w:t xml:space="preserve">. </w:t>
      </w:r>
      <w:r>
        <w:rPr>
          <w:rFonts w:hint="default" w:ascii="Calibri" w:hAnsi="Calibri" w:eastAsia="Times New Roman" w:cs="Calibri"/>
          <w:sz w:val="24"/>
          <w:szCs w:val="24"/>
          <w:lang w:val="zh-CN"/>
        </w:rPr>
        <w:t>Architecture should be able to respond to its environs and the mood of its inhabitants."</w:t>
      </w:r>
    </w:p>
    <w:p>
      <w:pPr>
        <w:keepNext w:val="0"/>
        <w:keepLines w:val="0"/>
        <w:pageBreakBefore w:val="0"/>
        <w:widowControl w:val="0"/>
        <w:kinsoku/>
        <w:wordWrap/>
        <w:overflowPunct/>
        <w:topLinePunct w:val="0"/>
        <w:autoSpaceDE/>
        <w:autoSpaceDN/>
        <w:bidi w:val="0"/>
        <w:adjustRightInd/>
        <w:snapToGrid/>
        <w:spacing w:beforeLines="0" w:afterLines="0" w:line="400" w:lineRule="exact"/>
        <w:ind w:left="567" w:right="567"/>
        <w:jc w:val="right"/>
        <w:textAlignment w:val="auto"/>
        <w:rPr>
          <w:rFonts w:hint="eastAsia" w:ascii="Calibri" w:hAnsi="Calibri" w:eastAsia="宋体" w:cs="Calibri"/>
          <w:sz w:val="24"/>
          <w:szCs w:val="24"/>
          <w:lang w:val="en-US" w:eastAsia="zh-CN"/>
        </w:rPr>
      </w:pPr>
      <w:r>
        <w:rPr>
          <w:rFonts w:hint="eastAsia" w:ascii="Calibri" w:hAnsi="Calibri" w:eastAsia="宋体" w:cs="Calibri"/>
          <w:sz w:val="24"/>
          <w:szCs w:val="24"/>
          <w:lang w:val="en-US" w:eastAsia="zh-CN"/>
        </w:rPr>
        <w:t>(Boris Bernaskoni, 2016)</w:t>
      </w:r>
    </w:p>
    <w:p>
      <w:pPr>
        <w:keepNext w:val="0"/>
        <w:keepLines w:val="0"/>
        <w:pageBreakBefore w:val="0"/>
        <w:widowControl w:val="0"/>
        <w:kinsoku/>
        <w:wordWrap/>
        <w:overflowPunct/>
        <w:topLinePunct w:val="0"/>
        <w:autoSpaceDE/>
        <w:autoSpaceDN/>
        <w:bidi w:val="0"/>
        <w:adjustRightInd/>
        <w:snapToGrid/>
        <w:spacing w:beforeLines="0" w:afterLines="0" w:line="400" w:lineRule="exact"/>
        <w:ind w:left="567" w:right="567"/>
        <w:jc w:val="right"/>
        <w:textAlignment w:val="auto"/>
        <w:rPr>
          <w:rFonts w:hint="eastAsia" w:ascii="Calibri" w:hAnsi="Calibri" w:eastAsia="宋体" w:cs="Calibri"/>
          <w:sz w:val="24"/>
          <w:szCs w:val="24"/>
          <w:lang w:val="en-US" w:eastAsia="zh-CN"/>
        </w:rPr>
      </w:pP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 xml:space="preserve">The screen is gradually becoming one of the symbols of culture in the city and is taking on a new meaning in the electronic world. The University of Melbourne and the Australian Government Research Council published </w:t>
      </w:r>
      <w:r>
        <w:rPr>
          <w:rFonts w:hint="eastAsia" w:ascii="Calibri" w:hAnsi="Calibri" w:cs="Calibri"/>
          <w:b w:val="0"/>
          <w:bCs/>
          <w:i/>
          <w:iCs/>
          <w:color w:val="0E101A"/>
          <w:sz w:val="24"/>
          <w:szCs w:val="24"/>
          <w:lang w:val="en-US" w:eastAsia="zh-CN"/>
        </w:rPr>
        <w:t>Connecting Audiences: a MANUAL FOR LARGE SCREENS</w:t>
      </w:r>
      <w:r>
        <w:rPr>
          <w:rFonts w:hint="eastAsia" w:ascii="Calibri" w:hAnsi="Calibri" w:cs="Calibri"/>
          <w:b w:val="0"/>
          <w:bCs/>
          <w:color w:val="0E101A"/>
          <w:sz w:val="24"/>
          <w:szCs w:val="24"/>
          <w:lang w:val="en-US" w:eastAsia="zh-CN"/>
        </w:rPr>
        <w:t xml:space="preserve">, finding several core elements of big screen interaction: curation, innovative creativity, culture, commerce, spatial location, community artists and industry members (McQuire et al.2015). Colangelo asserts that when the city becomes a screen, the spatial implications of the city will break down once again, with new meanings for those who engage with it, a significance that Søndergaard calls </w:t>
      </w:r>
      <w:r>
        <w:rPr>
          <w:rFonts w:hint="default" w:ascii="Calibri" w:hAnsi="Calibri" w:cs="Calibri"/>
          <w:b w:val="0"/>
          <w:bCs/>
          <w:color w:val="0E101A"/>
          <w:sz w:val="24"/>
          <w:szCs w:val="24"/>
          <w:lang w:val="en-US" w:eastAsia="zh-CN"/>
        </w:rPr>
        <w:t>“</w:t>
      </w:r>
      <w:r>
        <w:rPr>
          <w:rFonts w:hint="eastAsia" w:ascii="Calibri" w:hAnsi="Calibri" w:cs="Calibri"/>
          <w:b w:val="0"/>
          <w:bCs/>
          <w:color w:val="0E101A"/>
          <w:sz w:val="24"/>
          <w:szCs w:val="24"/>
          <w:lang w:val="en-US" w:eastAsia="zh-CN"/>
        </w:rPr>
        <w:t>the implicit producer</w:t>
      </w:r>
      <w:r>
        <w:rPr>
          <w:rFonts w:hint="default" w:ascii="Calibri" w:hAnsi="Calibri" w:cs="Calibri"/>
          <w:b w:val="0"/>
          <w:bCs/>
          <w:color w:val="0E101A"/>
          <w:sz w:val="24"/>
          <w:szCs w:val="24"/>
          <w:lang w:val="en-US" w:eastAsia="zh-CN"/>
        </w:rPr>
        <w:t>”</w:t>
      </w:r>
      <w:r>
        <w:rPr>
          <w:rFonts w:hint="eastAsia" w:ascii="Calibri" w:hAnsi="Calibri" w:cs="Calibri"/>
          <w:b w:val="0"/>
          <w:bCs/>
          <w:color w:val="0E101A"/>
          <w:sz w:val="24"/>
          <w:szCs w:val="24"/>
          <w:lang w:val="en-US" w:eastAsia="zh-CN"/>
        </w:rPr>
        <w:t xml:space="preserve"> (Colangelo, 2014; Søndergaard, 2012).</w:t>
      </w: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Media architecture has particular strengths in creating innovative models of community interaction. For example, a section of scholars have used media architecture to study the voice of social groups, including the elderly, children, Aboriginal people, LGBTQ, Refugees, and Covid-affected people (Caldwell, 2014; Van, 2018; Anderson, 2021, Offenhuber, 2021). On the one hand, this is because the technologies behind media architecture that support interaction models and behaviours, prototyping of interactive systems, data visualisation, development and application of algorithms can support buildings and people that can interact remotely. However, on the other hand, the interaction mechanisms of the media buildings allow for a special screening of the people who interact with them and further exploration of their reactions.</w:t>
      </w:r>
    </w:p>
    <w:p>
      <w:pPr>
        <w:keepNext w:val="0"/>
        <w:keepLines w:val="0"/>
        <w:widowControl/>
        <w:numPr>
          <w:ilvl w:val="0"/>
          <w:numId w:val="0"/>
        </w:numPr>
        <w:suppressLineNumbers w:val="0"/>
        <w:spacing w:before="0" w:beforeAutospacing="0" w:after="0" w:afterAutospacing="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In his research, Caldwell proposes 'DIY media architecture' to illustrate the interaction between media architecture and people as one of the drivers of place-making (Caldwell 2014). Allen stimulates a basic need for public space, while Sotres explores the effect on urban regeneration through screens evoking collective memory (Allen, 2012; Sotres, 2021).</w:t>
      </w:r>
    </w:p>
    <w:p>
      <w:pPr>
        <w:keepNext w:val="0"/>
        <w:keepLines w:val="0"/>
        <w:widowControl/>
        <w:numPr>
          <w:ilvl w:val="0"/>
          <w:numId w:val="0"/>
        </w:numPr>
        <w:suppressLineNumbers w:val="0"/>
        <w:spacing w:before="0" w:beforeAutospacing="0" w:after="0" w:afterAutospacing="0"/>
        <w:rPr>
          <w:rFonts w:hint="eastAsia"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Papastergiadis develops Socrates' concept of 'cosmopolitan citizenship' and Stoics, explaining the motivation behind the construction of media as 'Aesthetic Cosmopolitanism'(Papastergiadis et al. 2013). Under this 'aesthetic cosmopolitanism', the urban screen becomes an incubator for innovative models of place, a linking tool across cultural territories and countries, a public education interaction and even an alternative to public life. A good grasp of how media architecture engages and interacts can benefit the interaction between buildings and people, as seen in the following examples.</w:t>
      </w:r>
    </w:p>
    <w:p>
      <w:pPr>
        <w:keepNext w:val="0"/>
        <w:keepLines w:val="0"/>
        <w:widowControl/>
        <w:numPr>
          <w:ilvl w:val="0"/>
          <w:numId w:val="0"/>
        </w:numPr>
        <w:suppressLineNumbers w:val="0"/>
        <w:spacing w:before="0" w:beforeAutospacing="0" w:after="0" w:afterAutospacing="0"/>
        <w:rPr>
          <w:rFonts w:hint="eastAsia" w:ascii="Calibri" w:hAnsi="Calibri" w:cs="Calibri"/>
          <w:b w:val="0"/>
          <w:bCs/>
          <w:color w:val="0E101A"/>
          <w:sz w:val="24"/>
          <w:szCs w:val="24"/>
          <w:lang w:val="en-US" w:eastAsia="zh-CN"/>
        </w:rPr>
      </w:pPr>
    </w:p>
    <w:p>
      <w:pPr>
        <w:rPr>
          <w:rFonts w:hint="default" w:ascii="Calibri" w:hAnsi="Calibri" w:eastAsia="ACaslonPro-Regular" w:cs="Calibri"/>
          <w:b w:val="0"/>
          <w:bCs/>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&gt;</w:t>
      </w:r>
      <w:r>
        <w:rPr>
          <w:rFonts w:hint="default" w:ascii="Calibri" w:hAnsi="Calibri" w:eastAsia="ACaslonPro-Regular" w:cs="Calibri"/>
          <w:i w:val="0"/>
          <w:iCs w:val="0"/>
          <w:color w:val="000000"/>
          <w:kern w:val="0"/>
          <w:sz w:val="24"/>
          <w:szCs w:val="24"/>
          <w:lang w:val="en-US" w:eastAsia="zh-CN" w:bidi="ar"/>
        </w:rPr>
        <w:t xml:space="preserve">Fig. </w:t>
      </w:r>
      <w:r>
        <w:rPr>
          <w:rFonts w:hint="eastAsia" w:ascii="Calibri" w:hAnsi="Calibri" w:eastAsia="ACaslonPro-Regular" w:cs="Calibri"/>
          <w:i w:val="0"/>
          <w:iCs w:val="0"/>
          <w:color w:val="000000"/>
          <w:kern w:val="0"/>
          <w:sz w:val="24"/>
          <w:szCs w:val="24"/>
          <w:lang w:val="en-US" w:eastAsia="zh-CN" w:bidi="ar"/>
        </w:rPr>
        <w:t>2</w:t>
      </w:r>
      <w:r>
        <w:rPr>
          <w:rFonts w:hint="default" w:ascii="Calibri" w:hAnsi="Calibri" w:eastAsia="ACaslonPro-Regular" w:cs="Calibri"/>
          <w:i w:val="0"/>
          <w:iCs w:val="0"/>
          <w:color w:val="000000"/>
          <w:kern w:val="0"/>
          <w:sz w:val="24"/>
          <w:szCs w:val="24"/>
          <w:lang w:val="en-US" w:eastAsia="zh-CN" w:bidi="ar"/>
        </w:rPr>
        <w:t xml:space="preserve">: </w:t>
      </w:r>
      <w:r>
        <w:rPr>
          <w:rFonts w:hint="default" w:ascii="Calibri" w:hAnsi="Calibri" w:eastAsia="ACaslonPro-Regular" w:cs="Calibri"/>
          <w:color w:val="000000"/>
          <w:kern w:val="0"/>
          <w:sz w:val="24"/>
          <w:szCs w:val="24"/>
          <w:lang w:val="en-US" w:eastAsia="zh-CN" w:bidi="ar"/>
        </w:rPr>
        <w:t>Some examples of media architecture</w:t>
      </w:r>
      <w:r>
        <w:rPr>
          <w:rFonts w:hint="eastAsia" w:ascii="Calibri" w:hAnsi="Calibri" w:eastAsia="ACaslonPro-Regular" w:cs="Calibri"/>
          <w:color w:val="000000"/>
          <w:kern w:val="0"/>
          <w:sz w:val="24"/>
          <w:szCs w:val="24"/>
          <w:lang w:val="en-US" w:eastAsia="zh-CN" w:bidi="ar"/>
        </w:rPr>
        <w:t>.</w:t>
      </w:r>
    </w:p>
    <w:p>
      <w:pPr>
        <w:keepNext w:val="0"/>
        <w:keepLines w:val="0"/>
        <w:widowControl/>
        <w:numPr>
          <w:ilvl w:val="0"/>
          <w:numId w:val="0"/>
        </w:numPr>
        <w:suppressLineNumbers w:val="0"/>
        <w:spacing w:before="0" w:beforeAutospacing="0" w:after="0" w:afterAutospacing="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drawing>
          <wp:inline distT="0" distB="0" distL="114300" distR="114300">
            <wp:extent cx="5271135" cy="4969510"/>
            <wp:effectExtent l="0" t="0" r="12065" b="8890"/>
            <wp:docPr id="5" name="图片 5" descr="C:\Users\82105\Desktop\asasdas_画板 1_画板 1.jpgasasdas_画板 1_画板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C:\Users\82105\Desktop\asasdas_画板 1_画板 1.jpgasasdas_画板 1_画板 1"/>
                    <pic:cNvPicPr>
                      <a:picLocks noChangeAspect="1"/>
                    </pic:cNvPicPr>
                  </pic:nvPicPr>
                  <pic:blipFill>
                    <a:blip r:embed="rId6"/>
                    <a:srcRect/>
                    <a:stretch>
                      <a:fillRect/>
                    </a:stretch>
                  </pic:blipFill>
                  <pic:spPr>
                    <a:xfrm>
                      <a:off x="0" y="0"/>
                      <a:ext cx="5271135" cy="4969510"/>
                    </a:xfrm>
                    <a:prstGeom prst="rect">
                      <a:avLst/>
                    </a:prstGeom>
                  </pic:spPr>
                </pic:pic>
              </a:graphicData>
            </a:graphic>
          </wp:inline>
        </w:drawing>
      </w:r>
    </w:p>
    <w:p>
      <w:pPr>
        <w:keepNext w:val="0"/>
        <w:keepLines w:val="0"/>
        <w:widowControl/>
        <w:numPr>
          <w:ilvl w:val="0"/>
          <w:numId w:val="0"/>
        </w:numPr>
        <w:suppressLineNumbers w:val="0"/>
        <w:spacing w:before="0" w:beforeAutospacing="0" w:after="0" w:afterAutospacing="0"/>
        <w:rPr>
          <w:rFonts w:hint="eastAsia"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p>
    <w:p>
      <w:pPr>
        <w:keepNext w:val="0"/>
        <w:keepLines w:val="0"/>
        <w:widowControl/>
        <w:numPr>
          <w:ilvl w:val="0"/>
          <w:numId w:val="1"/>
        </w:numPr>
        <w:suppressLineNumbers w:val="0"/>
        <w:spacing w:before="0" w:beforeAutospacing="0" w:after="0" w:afterAutospacing="0"/>
        <w:ind w:left="0" w:leftChars="0" w:firstLine="0" w:firstLineChars="0"/>
        <w:rPr>
          <w:rFonts w:hint="default" w:ascii="Calibri" w:hAnsi="Calibri" w:cs="Calibri"/>
          <w:b/>
          <w:bCs w:val="0"/>
          <w:color w:val="0E101A"/>
          <w:sz w:val="24"/>
          <w:szCs w:val="24"/>
          <w:lang w:val="en-US" w:eastAsia="zh-CN"/>
        </w:rPr>
      </w:pPr>
      <w:r>
        <w:rPr>
          <w:rFonts w:hint="default" w:ascii="Calibri" w:hAnsi="Calibri" w:cs="Calibri"/>
          <w:b/>
          <w:bCs w:val="0"/>
          <w:color w:val="0E101A"/>
          <w:sz w:val="24"/>
          <w:szCs w:val="24"/>
          <w:lang w:val="en-US" w:eastAsia="zh-CN"/>
        </w:rPr>
        <w:t>Workshop design</w:t>
      </w:r>
    </w:p>
    <w:p>
      <w:pPr>
        <w:keepNext w:val="0"/>
        <w:keepLines w:val="0"/>
        <w:widowControl/>
        <w:numPr>
          <w:ilvl w:val="0"/>
          <w:numId w:val="0"/>
        </w:numPr>
        <w:suppressLineNumbers w:val="0"/>
        <w:spacing w:before="0" w:beforeAutospacing="0" w:after="0" w:afterAutospacing="0"/>
        <w:ind w:leftChars="0"/>
        <w:rPr>
          <w:rFonts w:hint="default"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This paper research the media architecture as a trend to which the public, the market and the government respond. At the same time, the author believes this is a b</w:t>
      </w:r>
      <w:r>
        <w:rPr>
          <w:rFonts w:hint="default" w:ascii="Calibri" w:hAnsi="Calibri" w:cs="Calibri"/>
          <w:b w:val="0"/>
          <w:bCs/>
          <w:color w:val="0E101A"/>
          <w:sz w:val="24"/>
          <w:szCs w:val="24"/>
          <w:lang w:val="en-US" w:eastAsia="zh-CN"/>
        </w:rPr>
        <w:t>rilliant timing</w:t>
      </w:r>
      <w:r>
        <w:rPr>
          <w:rFonts w:hint="eastAsia" w:ascii="Calibri" w:hAnsi="Calibri" w:cs="Calibri"/>
          <w:b w:val="0"/>
          <w:bCs/>
          <w:color w:val="0E101A"/>
          <w:sz w:val="24"/>
          <w:szCs w:val="24"/>
          <w:lang w:val="en-US" w:eastAsia="zh-CN"/>
        </w:rPr>
        <w:t xml:space="preserve"> to create a platform to guide completed or upcoming media architecture projects through a workshop.Two issues need to address in this process. Firstly, the need to analyse the dialectical relationship between the parties involved in this platform, and secondly, the framework within which the workshop will operate.</w:t>
      </w:r>
    </w:p>
    <w:p>
      <w:pPr>
        <w:keepNext w:val="0"/>
        <w:keepLines w:val="0"/>
        <w:widowControl/>
        <w:numPr>
          <w:ilvl w:val="0"/>
          <w:numId w:val="0"/>
        </w:numPr>
        <w:suppressLineNumbers w:val="0"/>
        <w:spacing w:before="0" w:beforeAutospacing="0" w:after="0" w:afterAutospacing="0"/>
        <w:ind w:leftChars="0"/>
        <w:rPr>
          <w:rFonts w:hint="default"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rPr>
          <w:rFonts w:hint="default" w:ascii="Calibri" w:hAnsi="Calibri" w:cs="Calibri"/>
          <w:b/>
          <w:bCs w:val="0"/>
          <w:color w:val="0E101A"/>
          <w:sz w:val="24"/>
          <w:szCs w:val="24"/>
          <w:lang w:val="en-US" w:eastAsia="zh-CN"/>
        </w:rPr>
      </w:pPr>
      <w:r>
        <w:rPr>
          <w:rFonts w:hint="default" w:ascii="Calibri" w:hAnsi="Calibri" w:cs="Calibri"/>
          <w:b/>
          <w:bCs w:val="0"/>
          <w:color w:val="0E101A"/>
          <w:sz w:val="24"/>
          <w:szCs w:val="24"/>
          <w:lang w:val="en-US" w:eastAsia="zh-CN"/>
        </w:rPr>
        <w:t xml:space="preserve">2.1 Exploration of the </w:t>
      </w:r>
      <w:r>
        <w:rPr>
          <w:rFonts w:hint="eastAsia" w:ascii="Calibri" w:hAnsi="Calibri" w:cs="Calibri"/>
          <w:b/>
          <w:bCs w:val="0"/>
          <w:color w:val="0E101A"/>
          <w:sz w:val="24"/>
          <w:szCs w:val="24"/>
          <w:lang w:val="en-US" w:eastAsia="zh-CN"/>
        </w:rPr>
        <w:t>P</w:t>
      </w:r>
      <w:r>
        <w:rPr>
          <w:rFonts w:hint="default" w:ascii="Calibri" w:hAnsi="Calibri" w:cs="Calibri"/>
          <w:b/>
          <w:bCs w:val="0"/>
          <w:color w:val="0E101A"/>
          <w:sz w:val="24"/>
          <w:szCs w:val="24"/>
          <w:lang w:val="en-US" w:eastAsia="zh-CN"/>
        </w:rPr>
        <w:t>ublic-</w:t>
      </w:r>
      <w:r>
        <w:rPr>
          <w:rFonts w:hint="eastAsia" w:ascii="Calibri" w:hAnsi="Calibri" w:cs="Calibri"/>
          <w:b/>
          <w:bCs w:val="0"/>
          <w:color w:val="0E101A"/>
          <w:sz w:val="24"/>
          <w:szCs w:val="24"/>
          <w:lang w:val="en-US" w:eastAsia="zh-CN"/>
        </w:rPr>
        <w:t>G</w:t>
      </w:r>
      <w:r>
        <w:rPr>
          <w:rFonts w:hint="default" w:ascii="Calibri" w:hAnsi="Calibri" w:cs="Calibri"/>
          <w:b/>
          <w:bCs w:val="0"/>
          <w:color w:val="0E101A"/>
          <w:sz w:val="24"/>
          <w:szCs w:val="24"/>
          <w:lang w:val="en-US" w:eastAsia="zh-CN"/>
        </w:rPr>
        <w:t>overnment-</w:t>
      </w:r>
      <w:r>
        <w:rPr>
          <w:rFonts w:hint="eastAsia" w:ascii="Calibri" w:hAnsi="Calibri" w:cs="Calibri"/>
          <w:b/>
          <w:bCs w:val="0"/>
          <w:color w:val="0E101A"/>
          <w:sz w:val="24"/>
          <w:szCs w:val="24"/>
          <w:lang w:val="en-US" w:eastAsia="zh-CN"/>
        </w:rPr>
        <w:t>Business(P-G-B)</w:t>
      </w:r>
      <w:r>
        <w:rPr>
          <w:rFonts w:hint="default" w:ascii="Calibri" w:hAnsi="Calibri" w:cs="Calibri"/>
          <w:b/>
          <w:bCs w:val="0"/>
          <w:color w:val="0E101A"/>
          <w:sz w:val="24"/>
          <w:szCs w:val="24"/>
          <w:lang w:val="en-US" w:eastAsia="zh-CN"/>
        </w:rPr>
        <w:t xml:space="preserve"> relationship</w:t>
      </w:r>
      <w:r>
        <w:rPr>
          <w:rFonts w:hint="eastAsia" w:ascii="Calibri" w:hAnsi="Calibri" w:cs="Calibri"/>
          <w:b/>
          <w:bCs w:val="0"/>
          <w:color w:val="0E101A"/>
          <w:sz w:val="24"/>
          <w:szCs w:val="24"/>
          <w:lang w:val="en-US" w:eastAsia="zh-CN"/>
        </w:rPr>
        <w:t xml:space="preserve"> in MA</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Examining the relationship between the public, the government and commerce around media architecture (Image 3), one can see that they are in an interconnected state. At the same time, the author argues that if extending the behaviour between the three elements. The public is the audience of the content, the government is responsible for the construction, and the business is the basis of the production. These six elements are mutually constrained and form a chain of interests in media architecture.</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rPr>
          <w:rFonts w:hint="eastAsia" w:ascii="Calibri" w:hAnsi="Calibri" w:cs="Calibri"/>
          <w:b w:val="0"/>
          <w:bCs/>
          <w:color w:val="0E101A"/>
          <w:sz w:val="24"/>
          <w:szCs w:val="24"/>
          <w:lang w:val="en-US" w:eastAsia="zh-CN"/>
        </w:rPr>
      </w:pPr>
      <w:r>
        <w:rPr>
          <w:rFonts w:hint="default" w:ascii="Calibri" w:hAnsi="Calibri" w:eastAsia="ACaslonPro-Regular" w:cs="Calibri"/>
          <w:color w:val="000000"/>
          <w:kern w:val="0"/>
          <w:sz w:val="24"/>
          <w:szCs w:val="24"/>
          <w:lang w:val="en-US" w:eastAsia="zh-CN" w:bidi="ar"/>
        </w:rPr>
        <w:t>&gt;</w:t>
      </w:r>
      <w:r>
        <w:rPr>
          <w:rFonts w:hint="default" w:ascii="Calibri" w:hAnsi="Calibri" w:eastAsia="ACaslonPro-Regular" w:cs="Calibri"/>
          <w:i w:val="0"/>
          <w:iCs w:val="0"/>
          <w:color w:val="000000"/>
          <w:kern w:val="0"/>
          <w:sz w:val="24"/>
          <w:szCs w:val="24"/>
          <w:lang w:val="en-US" w:eastAsia="zh-CN" w:bidi="ar"/>
        </w:rPr>
        <w:t xml:space="preserve">Fig. </w:t>
      </w:r>
      <w:r>
        <w:rPr>
          <w:rFonts w:hint="eastAsia" w:ascii="Calibri" w:hAnsi="Calibri" w:eastAsia="ACaslonPro-Regular" w:cs="Calibri"/>
          <w:i w:val="0"/>
          <w:iCs w:val="0"/>
          <w:color w:val="000000"/>
          <w:kern w:val="0"/>
          <w:sz w:val="24"/>
          <w:szCs w:val="24"/>
          <w:lang w:val="en-US" w:eastAsia="zh-CN" w:bidi="ar"/>
        </w:rPr>
        <w:t xml:space="preserve">3: </w:t>
      </w:r>
      <w:r>
        <w:rPr>
          <w:rFonts w:hint="eastAsia" w:ascii="Calibri" w:hAnsi="Calibri" w:cs="Calibri"/>
          <w:b w:val="0"/>
          <w:bCs/>
          <w:color w:val="0E101A"/>
          <w:sz w:val="24"/>
          <w:szCs w:val="24"/>
          <w:lang w:val="en-US" w:eastAsia="zh-CN"/>
        </w:rPr>
        <w:t>R</w:t>
      </w:r>
      <w:r>
        <w:rPr>
          <w:rFonts w:hint="default" w:ascii="Calibri" w:hAnsi="Calibri" w:cs="Calibri"/>
          <w:b w:val="0"/>
          <w:bCs/>
          <w:color w:val="0E101A"/>
          <w:sz w:val="24"/>
          <w:szCs w:val="24"/>
          <w:lang w:val="en-US" w:eastAsia="zh-CN"/>
        </w:rPr>
        <w:t>elationship</w:t>
      </w:r>
      <w:r>
        <w:rPr>
          <w:rFonts w:hint="eastAsia" w:ascii="Calibri" w:hAnsi="Calibri" w:cs="Calibri"/>
          <w:b w:val="0"/>
          <w:bCs/>
          <w:color w:val="0E101A"/>
          <w:sz w:val="24"/>
          <w:szCs w:val="24"/>
          <w:lang w:val="en-US" w:eastAsia="zh-CN"/>
        </w:rPr>
        <w:t xml:space="preserve"> between P-G-B</w:t>
      </w:r>
    </w:p>
    <w:p>
      <w:pPr>
        <w:rPr>
          <w:rFonts w:hint="default" w:ascii="Calibri" w:hAnsi="Calibri" w:cs="Calibri"/>
          <w:b w:val="0"/>
          <w:bCs/>
          <w:color w:val="0E101A"/>
          <w:sz w:val="24"/>
          <w:szCs w:val="24"/>
          <w:lang w:val="en-US" w:eastAsia="zh-CN"/>
        </w:rPr>
      </w:pPr>
      <w:r>
        <w:rPr>
          <w:rFonts w:hint="default" w:ascii="Calibri" w:hAnsi="Calibri" w:cs="Calibri"/>
          <w:b w:val="0"/>
          <w:bCs/>
          <w:color w:val="0E101A"/>
          <w:sz w:val="24"/>
          <w:szCs w:val="24"/>
          <w:lang w:val="en-US" w:eastAsia="zh-CN"/>
        </w:rPr>
        <w:drawing>
          <wp:inline distT="0" distB="0" distL="114300" distR="114300">
            <wp:extent cx="5136515" cy="2988945"/>
            <wp:effectExtent l="0" t="0" r="6985" b="8255"/>
            <wp:docPr id="7" name="图片 7" descr="ascasd-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ascasd-01"/>
                    <pic:cNvPicPr>
                      <a:picLocks noChangeAspect="1"/>
                    </pic:cNvPicPr>
                  </pic:nvPicPr>
                  <pic:blipFill>
                    <a:blip r:embed="rId7"/>
                    <a:stretch>
                      <a:fillRect/>
                    </a:stretch>
                  </pic:blipFill>
                  <pic:spPr>
                    <a:xfrm>
                      <a:off x="0" y="0"/>
                      <a:ext cx="5136515" cy="2988945"/>
                    </a:xfrm>
                    <a:prstGeom prst="rect">
                      <a:avLst/>
                    </a:prstGeom>
                  </pic:spPr>
                </pic:pic>
              </a:graphicData>
            </a:graphic>
          </wp:inline>
        </w:drawing>
      </w:r>
    </w:p>
    <w:p>
      <w:pPr>
        <w:rPr>
          <w:rFonts w:hint="default"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r>
        <w:rPr>
          <w:rFonts w:hint="default" w:ascii="Calibri" w:hAnsi="Calibri" w:cs="Calibri"/>
          <w:b/>
          <w:bCs w:val="0"/>
          <w:color w:val="0E101A"/>
          <w:sz w:val="24"/>
          <w:szCs w:val="24"/>
          <w:lang w:val="en-US" w:eastAsia="zh-CN"/>
        </w:rPr>
        <w:t>2.2 Workshop research framework</w:t>
      </w:r>
    </w:p>
    <w:p>
      <w:pPr>
        <w:rPr>
          <w:rFonts w:hint="default" w:ascii="Calibri" w:hAnsi="Calibri" w:eastAsia="ACaslonPro-Regular" w:cs="Calibri"/>
          <w:color w:val="000000"/>
          <w:kern w:val="0"/>
          <w:sz w:val="24"/>
          <w:szCs w:val="24"/>
          <w:lang w:val="en-US" w:eastAsia="zh-CN" w:bidi="ar"/>
        </w:rPr>
      </w:pPr>
      <w:r>
        <w:rPr>
          <w:rFonts w:hint="eastAsia" w:ascii="Calibri" w:hAnsi="Calibri" w:eastAsia="ACaslonPro-Regular" w:cs="Calibri"/>
          <w:color w:val="000000"/>
          <w:kern w:val="0"/>
          <w:sz w:val="24"/>
          <w:szCs w:val="24"/>
          <w:lang w:val="en-US" w:eastAsia="zh-CN" w:bidi="ar"/>
        </w:rPr>
        <w:t>The workshop is designed into seven parts, including a Call for Participants/ Collective-experience/Immediate-feedback/Co-creation/Professional-guidance/Comprehensive comments/Architectural evaluation (Image 4). The process of Immediate feedback/Co-creation/Professional guidance forms a closed loop because it needs to be validated circularly during the creation process. After receiving input from all stakeholders, a definitive collection of opinions consolidate, and the content is judged through a set of evaluation methods to determine the final content presentation of the media building. A range of professionals, including architects, new media designers, visual communication designers, stage directors, spatial environment designers, etc., are required to discuss and guide the process. However, this type of guidance should always base on public participation.</w:t>
      </w: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p>
    <w:p>
      <w:pPr>
        <w:rPr>
          <w:rFonts w:hint="default" w:ascii="Calibri" w:hAnsi="Calibri" w:cs="Calibri"/>
          <w:b w:val="0"/>
          <w:bCs/>
          <w:color w:val="0E101A"/>
          <w:sz w:val="24"/>
          <w:szCs w:val="24"/>
          <w:lang w:val="en-US" w:eastAsia="zh-CN"/>
        </w:rPr>
      </w:pPr>
      <w:r>
        <w:rPr>
          <w:rFonts w:hint="default" w:ascii="Calibri" w:hAnsi="Calibri" w:eastAsia="ACaslonPro-Regular" w:cs="Calibri"/>
          <w:color w:val="000000"/>
          <w:kern w:val="0"/>
          <w:sz w:val="24"/>
          <w:szCs w:val="24"/>
          <w:lang w:val="en-US" w:eastAsia="zh-CN" w:bidi="ar"/>
        </w:rPr>
        <w:t>&gt;</w:t>
      </w:r>
      <w:r>
        <w:rPr>
          <w:rFonts w:hint="default" w:ascii="Calibri" w:hAnsi="Calibri" w:eastAsia="ACaslonPro-Regular" w:cs="Calibri"/>
          <w:i w:val="0"/>
          <w:iCs w:val="0"/>
          <w:color w:val="000000"/>
          <w:kern w:val="0"/>
          <w:sz w:val="24"/>
          <w:szCs w:val="24"/>
          <w:lang w:val="en-US" w:eastAsia="zh-CN" w:bidi="ar"/>
        </w:rPr>
        <w:t xml:space="preserve">Fig. </w:t>
      </w:r>
      <w:r>
        <w:rPr>
          <w:rFonts w:hint="eastAsia" w:ascii="Calibri" w:hAnsi="Calibri" w:eastAsia="ACaslonPro-Regular" w:cs="Calibri"/>
          <w:i w:val="0"/>
          <w:iCs w:val="0"/>
          <w:color w:val="000000"/>
          <w:kern w:val="0"/>
          <w:sz w:val="24"/>
          <w:szCs w:val="24"/>
          <w:lang w:val="en-US" w:eastAsia="zh-CN" w:bidi="ar"/>
        </w:rPr>
        <w:t>4: F</w:t>
      </w:r>
      <w:r>
        <w:rPr>
          <w:rFonts w:hint="default" w:ascii="Calibri" w:hAnsi="Calibri" w:cs="Calibri"/>
          <w:b w:val="0"/>
          <w:bCs/>
          <w:color w:val="0E101A"/>
          <w:sz w:val="24"/>
          <w:szCs w:val="24"/>
          <w:lang w:val="en-US" w:eastAsia="zh-CN"/>
        </w:rPr>
        <w:t>ramework</w:t>
      </w:r>
      <w:r>
        <w:rPr>
          <w:rFonts w:hint="eastAsia" w:ascii="Calibri" w:hAnsi="Calibri" w:cs="Calibri"/>
          <w:b w:val="0"/>
          <w:bCs/>
          <w:color w:val="0E101A"/>
          <w:sz w:val="24"/>
          <w:szCs w:val="24"/>
          <w:lang w:val="en-US" w:eastAsia="zh-CN"/>
        </w:rPr>
        <w:t xml:space="preserve"> of </w:t>
      </w:r>
      <w:r>
        <w:rPr>
          <w:rFonts w:hint="eastAsia" w:ascii="Calibri" w:hAnsi="Calibri" w:eastAsia="ACaslonPro-Regular" w:cs="Calibri"/>
          <w:i w:val="0"/>
          <w:iCs w:val="0"/>
          <w:color w:val="000000"/>
          <w:kern w:val="0"/>
          <w:sz w:val="24"/>
          <w:szCs w:val="24"/>
          <w:lang w:val="en-US" w:eastAsia="zh-CN" w:bidi="ar"/>
        </w:rPr>
        <w:t>CCW</w:t>
      </w: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r>
        <w:rPr>
          <w:rFonts w:hint="default" w:ascii="Calibri" w:hAnsi="Calibri" w:cs="Calibri"/>
          <w:b w:val="0"/>
          <w:bCs/>
          <w:color w:val="0E101A"/>
          <w:sz w:val="24"/>
          <w:szCs w:val="24"/>
          <w:lang w:val="en-US" w:eastAsia="zh-CN"/>
        </w:rPr>
        <w:drawing>
          <wp:inline distT="0" distB="0" distL="114300" distR="114300">
            <wp:extent cx="5271135" cy="7036435"/>
            <wp:effectExtent l="0" t="0" r="12065" b="12065"/>
            <wp:docPr id="6" name="图片 6" descr="C:\Users\82105\Desktop\lunwen1xitong_画板 1_画板 1.jpglunwen1xitong_画板 1_画板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C:\Users\82105\Desktop\lunwen1xitong_画板 1_画板 1.jpglunwen1xitong_画板 1_画板 1"/>
                    <pic:cNvPicPr>
                      <a:picLocks noChangeAspect="1"/>
                    </pic:cNvPicPr>
                  </pic:nvPicPr>
                  <pic:blipFill>
                    <a:blip r:embed="rId8"/>
                    <a:srcRect/>
                    <a:stretch>
                      <a:fillRect/>
                    </a:stretch>
                  </pic:blipFill>
                  <pic:spPr>
                    <a:xfrm>
                      <a:off x="0" y="0"/>
                      <a:ext cx="5271135" cy="7036435"/>
                    </a:xfrm>
                    <a:prstGeom prst="rect">
                      <a:avLst/>
                    </a:prstGeom>
                  </pic:spPr>
                </pic:pic>
              </a:graphicData>
            </a:graphic>
          </wp:inline>
        </w:drawing>
      </w: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p>
    <w:p>
      <w:pPr>
        <w:keepNext w:val="0"/>
        <w:keepLines w:val="0"/>
        <w:widowControl/>
        <w:numPr>
          <w:ilvl w:val="0"/>
          <w:numId w:val="1"/>
        </w:numPr>
        <w:suppressLineNumbers w:val="0"/>
        <w:spacing w:before="0" w:beforeAutospacing="0" w:after="0" w:afterAutospacing="0"/>
        <w:ind w:left="0" w:leftChars="0" w:firstLine="0" w:firstLineChars="0"/>
        <w:rPr>
          <w:rFonts w:hint="default" w:ascii="Calibri" w:hAnsi="Calibri" w:cs="Calibri"/>
          <w:b/>
          <w:bCs w:val="0"/>
          <w:color w:val="0E101A"/>
          <w:sz w:val="24"/>
          <w:szCs w:val="24"/>
          <w:lang w:val="en-US" w:eastAsia="zh-CN"/>
        </w:rPr>
      </w:pPr>
      <w:r>
        <w:rPr>
          <w:rFonts w:hint="eastAsia" w:ascii="Calibri" w:hAnsi="Calibri" w:cs="Calibri"/>
          <w:b/>
          <w:bCs w:val="0"/>
          <w:color w:val="0E101A"/>
          <w:sz w:val="24"/>
          <w:szCs w:val="24"/>
          <w:lang w:val="en-US" w:eastAsia="zh-CN"/>
        </w:rPr>
        <w:t>Key system of w</w:t>
      </w:r>
      <w:r>
        <w:rPr>
          <w:rFonts w:hint="default" w:ascii="Calibri" w:hAnsi="Calibri" w:cs="Calibri"/>
          <w:b/>
          <w:bCs w:val="0"/>
          <w:color w:val="0E101A"/>
          <w:sz w:val="24"/>
          <w:szCs w:val="24"/>
          <w:lang w:val="en-US" w:eastAsia="zh-CN"/>
        </w:rPr>
        <w:t xml:space="preserve">orkshop </w:t>
      </w:r>
    </w:p>
    <w:p>
      <w:pPr>
        <w:keepNext w:val="0"/>
        <w:keepLines w:val="0"/>
        <w:widowControl/>
        <w:numPr>
          <w:ilvl w:val="0"/>
          <w:numId w:val="0"/>
        </w:numPr>
        <w:suppressLineNumbers w:val="0"/>
        <w:spacing w:before="0" w:beforeAutospacing="0" w:after="0" w:afterAutospacing="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Exploring the workshop process recognises that the workshop's critical aspect is the co-collaboration between the participants and the professionals. However, the adoption and analysis of data are a vital part of the process. Dalsgaard defining digital place-making in media architecture claims that the basis of co-collaboration is creating a shared language (Hespanhol 2017, p. 128). The system on which the media architecture workshop is based is then required to explore a language or vocabulary of shared understanding with P-G-B as the leading service.</w:t>
      </w: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rPr>
          <w:rFonts w:hint="default" w:ascii="Calibri" w:hAnsi="Calibri" w:cs="Calibri"/>
          <w:b/>
          <w:bCs w:val="0"/>
          <w:color w:val="0E101A"/>
          <w:sz w:val="24"/>
          <w:szCs w:val="24"/>
          <w:lang w:val="en-US" w:eastAsia="zh-CN"/>
        </w:rPr>
      </w:pPr>
      <w:r>
        <w:rPr>
          <w:rFonts w:hint="default" w:ascii="Calibri" w:hAnsi="Calibri" w:cs="Calibri"/>
          <w:b/>
          <w:bCs w:val="0"/>
          <w:color w:val="0E101A"/>
          <w:sz w:val="24"/>
          <w:szCs w:val="24"/>
          <w:lang w:val="en-US" w:eastAsia="zh-CN"/>
        </w:rPr>
        <w:t xml:space="preserve">3.1 Data Collection: Canvas, </w:t>
      </w:r>
      <w:r>
        <w:rPr>
          <w:rFonts w:hint="eastAsia" w:ascii="Calibri" w:hAnsi="Calibri" w:cs="Calibri"/>
          <w:b/>
          <w:bCs w:val="0"/>
          <w:color w:val="0E101A"/>
          <w:sz w:val="24"/>
          <w:szCs w:val="24"/>
          <w:lang w:val="en-US" w:eastAsia="zh-CN"/>
        </w:rPr>
        <w:t>B</w:t>
      </w:r>
      <w:r>
        <w:rPr>
          <w:rFonts w:hint="default" w:ascii="Calibri" w:hAnsi="Calibri" w:cs="Calibri"/>
          <w:b/>
          <w:bCs w:val="0"/>
          <w:color w:val="0E101A"/>
          <w:sz w:val="24"/>
          <w:szCs w:val="24"/>
          <w:lang w:val="en-US" w:eastAsia="zh-CN"/>
        </w:rPr>
        <w:t xml:space="preserve">rush and </w:t>
      </w:r>
      <w:r>
        <w:rPr>
          <w:rFonts w:hint="eastAsia" w:ascii="Calibri" w:hAnsi="Calibri" w:cs="Calibri"/>
          <w:b/>
          <w:bCs w:val="0"/>
          <w:color w:val="0E101A"/>
          <w:sz w:val="24"/>
          <w:szCs w:val="24"/>
          <w:lang w:val="en-US" w:eastAsia="zh-CN"/>
        </w:rPr>
        <w:t>Pigment</w:t>
      </w: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r>
        <w:rPr>
          <w:rFonts w:hint="default" w:ascii="Calibri" w:hAnsi="Calibri" w:cs="Calibri"/>
          <w:b w:val="0"/>
          <w:bCs/>
          <w:color w:val="0E101A"/>
          <w:sz w:val="24"/>
          <w:szCs w:val="24"/>
          <w:lang w:val="en-US" w:eastAsia="zh-CN"/>
        </w:rPr>
        <w:t xml:space="preserve">Alexandra claims that we should build our own houses through "languages," which, like the languages we speak, allow them to articulate and communicate an infinite variety of designs within a formal system which gives them coherence (Alexandra, 1977). In their study of media architecture, Haeusler and Tscherteu identify three critical concepts: </w:t>
      </w:r>
      <w:r>
        <w:rPr>
          <w:rFonts w:hint="default" w:ascii="Calibri" w:hAnsi="Calibri" w:cs="Calibri"/>
          <w:b w:val="0"/>
          <w:bCs/>
          <w:i/>
          <w:iCs/>
          <w:color w:val="0E101A"/>
          <w:sz w:val="24"/>
          <w:szCs w:val="24"/>
          <w:lang w:val="en-US" w:eastAsia="zh-CN"/>
        </w:rPr>
        <w:t xml:space="preserve">Media façade, </w:t>
      </w:r>
      <w:r>
        <w:rPr>
          <w:rFonts w:hint="eastAsia" w:ascii="Calibri" w:hAnsi="Calibri" w:cs="Calibri"/>
          <w:b w:val="0"/>
          <w:bCs/>
          <w:i/>
          <w:iCs/>
          <w:color w:val="0E101A"/>
          <w:sz w:val="24"/>
          <w:szCs w:val="24"/>
          <w:lang w:val="en-US" w:eastAsia="zh-CN"/>
        </w:rPr>
        <w:t>M</w:t>
      </w:r>
      <w:r>
        <w:rPr>
          <w:rFonts w:hint="default" w:ascii="Calibri" w:hAnsi="Calibri" w:cs="Calibri"/>
          <w:b w:val="0"/>
          <w:bCs/>
          <w:i/>
          <w:iCs/>
          <w:color w:val="0E101A"/>
          <w:sz w:val="24"/>
          <w:szCs w:val="24"/>
          <w:lang w:val="en-US" w:eastAsia="zh-CN"/>
        </w:rPr>
        <w:t xml:space="preserve">edia architecture and </w:t>
      </w:r>
      <w:r>
        <w:rPr>
          <w:rFonts w:hint="eastAsia" w:ascii="Calibri" w:hAnsi="Calibri" w:cs="Calibri"/>
          <w:b w:val="0"/>
          <w:bCs/>
          <w:i/>
          <w:iCs/>
          <w:color w:val="0E101A"/>
          <w:sz w:val="24"/>
          <w:szCs w:val="24"/>
          <w:lang w:val="en-US" w:eastAsia="zh-CN"/>
        </w:rPr>
        <w:t>M</w:t>
      </w:r>
      <w:r>
        <w:rPr>
          <w:rFonts w:hint="default" w:ascii="Calibri" w:hAnsi="Calibri" w:cs="Calibri"/>
          <w:b w:val="0"/>
          <w:bCs/>
          <w:i/>
          <w:iCs/>
          <w:color w:val="0E101A"/>
          <w:sz w:val="24"/>
          <w:szCs w:val="24"/>
          <w:lang w:val="en-US" w:eastAsia="zh-CN"/>
        </w:rPr>
        <w:t>edia content</w:t>
      </w:r>
      <w:r>
        <w:rPr>
          <w:rFonts w:hint="default" w:ascii="Calibri" w:hAnsi="Calibri" w:cs="Calibri"/>
          <w:b w:val="0"/>
          <w:bCs/>
          <w:color w:val="0E101A"/>
          <w:sz w:val="24"/>
          <w:szCs w:val="24"/>
          <w:lang w:val="en-US" w:eastAsia="zh-CN"/>
        </w:rPr>
        <w:t xml:space="preserve"> (Haeusler and Tscherte, 2012, p. 99), which in the authors' view, correspond to surface, entity and ontology respectively.</w:t>
      </w:r>
    </w:p>
    <w:p>
      <w:pPr>
        <w:keepNext w:val="0"/>
        <w:keepLines w:val="0"/>
        <w:widowControl/>
        <w:numPr>
          <w:ilvl w:val="0"/>
          <w:numId w:val="0"/>
        </w:numPr>
        <w:suppressLineNumbers w:val="0"/>
        <w:spacing w:before="0" w:beforeAutospacing="0" w:after="0" w:afterAutospacing="0"/>
        <w:rPr>
          <w:rFonts w:hint="eastAsia"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rPr>
          <w:rFonts w:hint="eastAsia" w:ascii="Calibri" w:hAnsi="Calibri" w:eastAsia="宋体" w:cs="Calibri"/>
          <w:i w:val="0"/>
          <w:iCs w:val="0"/>
          <w:caps w:val="0"/>
          <w:color w:val="444444"/>
          <w:spacing w:val="0"/>
          <w:sz w:val="24"/>
          <w:szCs w:val="24"/>
          <w:u w:val="none"/>
          <w:shd w:val="clear" w:fill="FFFFFF"/>
          <w:lang w:val="en-US" w:eastAsia="zh-CN"/>
        </w:rPr>
      </w:pPr>
      <w:r>
        <w:rPr>
          <w:rFonts w:hint="eastAsia" w:ascii="Calibri" w:hAnsi="Calibri" w:eastAsia="宋体" w:cs="Calibri"/>
          <w:i w:val="0"/>
          <w:iCs w:val="0"/>
          <w:caps w:val="0"/>
          <w:color w:val="444444"/>
          <w:spacing w:val="0"/>
          <w:sz w:val="24"/>
          <w:szCs w:val="24"/>
          <w:u w:val="none"/>
          <w:shd w:val="clear" w:fill="FFFFFF"/>
          <w:lang w:val="en-US" w:eastAsia="zh-CN"/>
        </w:rPr>
        <w:t xml:space="preserve">The term entity and ontology comes from Aristotle and Kant's study of metaphysics. The author sees media architecture as an entity that exists as a canvas; the media façade is subordinate to the media architecture but exists more as a medium that links entity and ontology. The content of the media belongs to the ontology of the media architecture, whose mission is to convey information, and the content of the information primarily reflects the properties of the media architecture. </w:t>
      </w:r>
    </w:p>
    <w:p>
      <w:pPr>
        <w:keepNext w:val="0"/>
        <w:keepLines w:val="0"/>
        <w:widowControl/>
        <w:numPr>
          <w:ilvl w:val="0"/>
          <w:numId w:val="0"/>
        </w:numPr>
        <w:suppressLineNumbers w:val="0"/>
        <w:spacing w:before="0" w:beforeAutospacing="0" w:after="0" w:afterAutospacing="0"/>
        <w:rPr>
          <w:rFonts w:hint="eastAsia" w:ascii="Calibri" w:hAnsi="Calibri" w:eastAsia="宋体" w:cs="Calibri"/>
          <w:i w:val="0"/>
          <w:iCs w:val="0"/>
          <w:caps w:val="0"/>
          <w:color w:val="444444"/>
          <w:spacing w:val="0"/>
          <w:sz w:val="24"/>
          <w:szCs w:val="24"/>
          <w:u w:val="none"/>
          <w:shd w:val="clear" w:fill="FFFFFF"/>
          <w:lang w:val="en-US" w:eastAsia="zh-CN"/>
        </w:rPr>
      </w:pPr>
    </w:p>
    <w:p>
      <w:pPr>
        <w:keepNext w:val="0"/>
        <w:keepLines w:val="0"/>
        <w:widowControl/>
        <w:numPr>
          <w:ilvl w:val="0"/>
          <w:numId w:val="0"/>
        </w:numPr>
        <w:suppressLineNumbers w:val="0"/>
        <w:spacing w:before="0" w:beforeAutospacing="0" w:after="0" w:afterAutospacing="0"/>
        <w:rPr>
          <w:rFonts w:hint="eastAsia" w:ascii="Calibri" w:hAnsi="Calibri" w:eastAsia="宋体" w:cs="Calibri"/>
          <w:i w:val="0"/>
          <w:iCs w:val="0"/>
          <w:caps w:val="0"/>
          <w:color w:val="444444"/>
          <w:spacing w:val="0"/>
          <w:sz w:val="24"/>
          <w:szCs w:val="24"/>
          <w:u w:val="none"/>
          <w:shd w:val="clear" w:fill="FFFFFF"/>
          <w:lang w:val="en-US" w:eastAsia="zh-CN"/>
        </w:rPr>
      </w:pPr>
      <w:r>
        <w:rPr>
          <w:rFonts w:hint="eastAsia" w:ascii="Calibri" w:hAnsi="Calibri" w:eastAsia="宋体" w:cs="Calibri"/>
          <w:i w:val="0"/>
          <w:iCs w:val="0"/>
          <w:caps w:val="0"/>
          <w:color w:val="444444"/>
          <w:spacing w:val="0"/>
          <w:sz w:val="24"/>
          <w:szCs w:val="24"/>
          <w:u w:val="none"/>
          <w:shd w:val="clear" w:fill="FFFFFF"/>
          <w:lang w:val="en-US" w:eastAsia="zh-CN"/>
        </w:rPr>
        <w:t>If a painter needs to create something, he needs first to frame his brushes, pick his special ones, dip them into the desired pigments, and finally express them on the canvas. The creation of a media building is similar in that the right equipment is installed in the suitable building, and the content is finally created (Image 5).</w:t>
      </w:r>
    </w:p>
    <w:p>
      <w:pPr>
        <w:keepNext w:val="0"/>
        <w:keepLines w:val="0"/>
        <w:widowControl/>
        <w:numPr>
          <w:ilvl w:val="0"/>
          <w:numId w:val="0"/>
        </w:numPr>
        <w:suppressLineNumbers w:val="0"/>
        <w:spacing w:before="0" w:beforeAutospacing="0" w:after="0" w:afterAutospacing="0"/>
        <w:rPr>
          <w:rFonts w:hint="default" w:ascii="Calibri" w:hAnsi="Calibri" w:eastAsia="宋体" w:cs="Calibri"/>
          <w:i w:val="0"/>
          <w:iCs w:val="0"/>
          <w:caps w:val="0"/>
          <w:color w:val="444444"/>
          <w:spacing w:val="0"/>
          <w:sz w:val="24"/>
          <w:szCs w:val="24"/>
          <w:u w:val="none"/>
          <w:shd w:val="clear" w:fill="FFFFFF"/>
          <w:lang w:val="en-US" w:eastAsia="zh-CN"/>
        </w:rPr>
      </w:pPr>
    </w:p>
    <w:p>
      <w:pPr>
        <w:rPr>
          <w:rFonts w:hint="default" w:ascii="Calibri" w:hAnsi="Calibri" w:cs="Calibri"/>
          <w:b w:val="0"/>
          <w:bCs/>
          <w:color w:val="0E101A"/>
          <w:sz w:val="24"/>
          <w:szCs w:val="24"/>
          <w:lang w:val="en-US" w:eastAsia="zh-CN"/>
        </w:rPr>
      </w:pPr>
      <w:r>
        <w:rPr>
          <w:rFonts w:hint="default" w:ascii="Calibri" w:hAnsi="Calibri" w:eastAsia="ACaslonPro-Regular" w:cs="Calibri"/>
          <w:color w:val="000000"/>
          <w:kern w:val="0"/>
          <w:sz w:val="24"/>
          <w:szCs w:val="24"/>
          <w:lang w:val="en-US" w:eastAsia="zh-CN" w:bidi="ar"/>
        </w:rPr>
        <w:t>&gt;</w:t>
      </w:r>
      <w:r>
        <w:rPr>
          <w:rFonts w:hint="default" w:ascii="Calibri" w:hAnsi="Calibri" w:eastAsia="ACaslonPro-Regular" w:cs="Calibri"/>
          <w:i w:val="0"/>
          <w:iCs w:val="0"/>
          <w:color w:val="000000"/>
          <w:kern w:val="0"/>
          <w:sz w:val="24"/>
          <w:szCs w:val="24"/>
          <w:lang w:val="en-US" w:eastAsia="zh-CN" w:bidi="ar"/>
        </w:rPr>
        <w:t xml:space="preserve">Fig. </w:t>
      </w:r>
      <w:r>
        <w:rPr>
          <w:rFonts w:hint="eastAsia" w:ascii="Calibri" w:hAnsi="Calibri" w:eastAsia="ACaslonPro-Regular" w:cs="Calibri"/>
          <w:i w:val="0"/>
          <w:iCs w:val="0"/>
          <w:color w:val="000000"/>
          <w:kern w:val="0"/>
          <w:sz w:val="24"/>
          <w:szCs w:val="24"/>
          <w:lang w:val="en-US" w:eastAsia="zh-CN" w:bidi="ar"/>
        </w:rPr>
        <w:t>5: The logic of media architecture</w:t>
      </w:r>
    </w:p>
    <w:p>
      <w:pPr>
        <w:keepNext w:val="0"/>
        <w:keepLines w:val="0"/>
        <w:widowControl/>
        <w:numPr>
          <w:ilvl w:val="0"/>
          <w:numId w:val="0"/>
        </w:numPr>
        <w:suppressLineNumbers w:val="0"/>
        <w:spacing w:before="0" w:beforeAutospacing="0" w:after="0" w:afterAutospacing="0"/>
        <w:jc w:val="center"/>
        <w:rPr>
          <w:rFonts w:hint="default" w:ascii="Calibri" w:hAnsi="Calibri" w:cs="Calibri"/>
          <w:b w:val="0"/>
          <w:bCs/>
          <w:color w:val="0E101A"/>
          <w:sz w:val="24"/>
          <w:szCs w:val="24"/>
          <w:lang w:val="en-US" w:eastAsia="zh-CN"/>
        </w:rPr>
      </w:pPr>
      <w:r>
        <w:rPr>
          <w:rFonts w:hint="default" w:ascii="Calibri" w:hAnsi="Calibri" w:cs="Calibri"/>
          <w:b w:val="0"/>
          <w:bCs/>
          <w:color w:val="0E101A"/>
          <w:sz w:val="24"/>
          <w:szCs w:val="24"/>
          <w:lang w:val="en-US" w:eastAsia="zh-CN"/>
        </w:rPr>
        <w:drawing>
          <wp:inline distT="0" distB="0" distL="114300" distR="114300">
            <wp:extent cx="3927475" cy="2640330"/>
            <wp:effectExtent l="0" t="0" r="9525" b="1270"/>
            <wp:docPr id="8" name="图片 8" descr="asdsdf-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asdsdf-01"/>
                    <pic:cNvPicPr>
                      <a:picLocks noChangeAspect="1"/>
                    </pic:cNvPicPr>
                  </pic:nvPicPr>
                  <pic:blipFill>
                    <a:blip r:embed="rId9"/>
                    <a:stretch>
                      <a:fillRect/>
                    </a:stretch>
                  </pic:blipFill>
                  <pic:spPr>
                    <a:xfrm>
                      <a:off x="0" y="0"/>
                      <a:ext cx="3927475" cy="2640330"/>
                    </a:xfrm>
                    <a:prstGeom prst="rect">
                      <a:avLst/>
                    </a:prstGeom>
                  </pic:spPr>
                </pic:pic>
              </a:graphicData>
            </a:graphic>
          </wp:inline>
        </w:drawing>
      </w:r>
    </w:p>
    <w:p>
      <w:pPr>
        <w:keepNext w:val="0"/>
        <w:keepLines w:val="0"/>
        <w:widowControl/>
        <w:numPr>
          <w:ilvl w:val="0"/>
          <w:numId w:val="0"/>
        </w:numPr>
        <w:suppressLineNumbers w:val="0"/>
        <w:spacing w:before="0" w:beforeAutospacing="0" w:after="0" w:afterAutospacing="0"/>
        <w:jc w:val="left"/>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The CCW needs to translate the logic of the creation of media architecture into a shared language; images are the most basic human language, and the creation of media architecture relies on images. In addition, to avoid ambiguities in the images, it is necessary to have a textual interview around the creative process.The creative process should begin with group discussions and interviews to determine the type of space, with the different stakeholders stating their demands and ideas, then moving on to the creative phase after reaching a consensus(Image 6).</w:t>
      </w:r>
    </w:p>
    <w:p>
      <w:pPr>
        <w:keepNext w:val="0"/>
        <w:keepLines w:val="0"/>
        <w:widowControl/>
        <w:numPr>
          <w:ilvl w:val="0"/>
          <w:numId w:val="0"/>
        </w:numPr>
        <w:suppressLineNumbers w:val="0"/>
        <w:spacing w:before="0" w:beforeAutospacing="0" w:after="0" w:afterAutospacing="0"/>
        <w:jc w:val="left"/>
        <w:rPr>
          <w:rFonts w:hint="eastAsia" w:ascii="Calibri" w:hAnsi="Calibri" w:cs="Calibri"/>
          <w:b w:val="0"/>
          <w:bCs/>
          <w:color w:val="0E101A"/>
          <w:sz w:val="24"/>
          <w:szCs w:val="24"/>
          <w:lang w:val="en-US" w:eastAsia="zh-CN"/>
        </w:rPr>
      </w:pPr>
    </w:p>
    <w:p>
      <w:pPr>
        <w:rPr>
          <w:rFonts w:hint="default" w:ascii="Calibri" w:hAnsi="Calibri" w:cs="Calibri"/>
          <w:b w:val="0"/>
          <w:bCs/>
          <w:color w:val="0E101A"/>
          <w:sz w:val="24"/>
          <w:szCs w:val="24"/>
          <w:lang w:val="en-US" w:eastAsia="zh-CN"/>
        </w:rPr>
      </w:pPr>
      <w:r>
        <w:rPr>
          <w:rFonts w:hint="default" w:ascii="Calibri" w:hAnsi="Calibri" w:eastAsia="ACaslonPro-Regular" w:cs="Calibri"/>
          <w:color w:val="000000"/>
          <w:kern w:val="0"/>
          <w:sz w:val="24"/>
          <w:szCs w:val="24"/>
          <w:lang w:val="en-US" w:eastAsia="zh-CN" w:bidi="ar"/>
        </w:rPr>
        <w:t>&gt;</w:t>
      </w:r>
      <w:r>
        <w:rPr>
          <w:rFonts w:hint="default" w:ascii="Calibri" w:hAnsi="Calibri" w:eastAsia="ACaslonPro-Regular" w:cs="Calibri"/>
          <w:i w:val="0"/>
          <w:iCs w:val="0"/>
          <w:color w:val="000000"/>
          <w:kern w:val="0"/>
          <w:sz w:val="24"/>
          <w:szCs w:val="24"/>
          <w:lang w:val="en-US" w:eastAsia="zh-CN" w:bidi="ar"/>
        </w:rPr>
        <w:t xml:space="preserve">Fig. </w:t>
      </w:r>
      <w:r>
        <w:rPr>
          <w:rFonts w:hint="eastAsia" w:ascii="Calibri" w:hAnsi="Calibri" w:eastAsia="ACaslonPro-Regular" w:cs="Calibri"/>
          <w:i w:val="0"/>
          <w:iCs w:val="0"/>
          <w:color w:val="000000"/>
          <w:kern w:val="0"/>
          <w:sz w:val="24"/>
          <w:szCs w:val="24"/>
          <w:lang w:val="en-US" w:eastAsia="zh-CN" w:bidi="ar"/>
        </w:rPr>
        <w:t>6: Co-creation step by step</w:t>
      </w:r>
    </w:p>
    <w:p>
      <w:pPr>
        <w:keepNext w:val="0"/>
        <w:keepLines w:val="0"/>
        <w:widowControl/>
        <w:numPr>
          <w:ilvl w:val="0"/>
          <w:numId w:val="0"/>
        </w:numPr>
        <w:suppressLineNumbers w:val="0"/>
        <w:spacing w:before="0" w:beforeAutospacing="0" w:after="0" w:afterAutospacing="0"/>
        <w:jc w:val="left"/>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drawing>
          <wp:inline distT="0" distB="0" distL="114300" distR="114300">
            <wp:extent cx="5269230" cy="1952625"/>
            <wp:effectExtent l="0" t="0" r="1270" b="3175"/>
            <wp:docPr id="20" name="图片 20" descr="asdfss-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asdfss-01"/>
                    <pic:cNvPicPr>
                      <a:picLocks noChangeAspect="1"/>
                    </pic:cNvPicPr>
                  </pic:nvPicPr>
                  <pic:blipFill>
                    <a:blip r:embed="rId10"/>
                    <a:stretch>
                      <a:fillRect/>
                    </a:stretch>
                  </pic:blipFill>
                  <pic:spPr>
                    <a:xfrm>
                      <a:off x="0" y="0"/>
                      <a:ext cx="5269230" cy="1952625"/>
                    </a:xfrm>
                    <a:prstGeom prst="rect">
                      <a:avLst/>
                    </a:prstGeom>
                  </pic:spPr>
                </pic:pic>
              </a:graphicData>
            </a:graphic>
          </wp:inline>
        </w:drawing>
      </w:r>
    </w:p>
    <w:p>
      <w:pPr>
        <w:keepNext w:val="0"/>
        <w:keepLines w:val="0"/>
        <w:widowControl/>
        <w:numPr>
          <w:ilvl w:val="0"/>
          <w:numId w:val="0"/>
        </w:numPr>
        <w:suppressLineNumbers w:val="0"/>
        <w:spacing w:before="0" w:beforeAutospacing="0" w:after="0" w:afterAutospacing="0"/>
        <w:jc w:val="left"/>
        <w:rPr>
          <w:rFonts w:hint="eastAsia"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jc w:val="left"/>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The individual creation phase requires a combination of text and images, which can do with computers and electronic devices(</w:t>
      </w:r>
      <w:r>
        <w:rPr>
          <w:rFonts w:hint="default" w:ascii="Calibri" w:hAnsi="Calibri" w:cs="Calibri"/>
          <w:b w:val="0"/>
          <w:bCs/>
          <w:color w:val="000000" w:themeColor="text1"/>
          <w:sz w:val="24"/>
          <w:szCs w:val="24"/>
          <w:lang w:val="en-US" w:eastAsia="zh-CN"/>
          <w14:textFill>
            <w14:solidFill>
              <w14:schemeClr w14:val="tx1"/>
            </w14:solidFill>
          </w14:textFill>
        </w:rPr>
        <w:t xml:space="preserve">Image </w:t>
      </w:r>
      <w:r>
        <w:rPr>
          <w:rFonts w:hint="eastAsia" w:ascii="Calibri" w:hAnsi="Calibri" w:cs="Calibri"/>
          <w:b w:val="0"/>
          <w:bCs/>
          <w:color w:val="000000" w:themeColor="text1"/>
          <w:sz w:val="24"/>
          <w:szCs w:val="24"/>
          <w:lang w:val="en-US" w:eastAsia="zh-CN"/>
          <w14:textFill>
            <w14:solidFill>
              <w14:schemeClr w14:val="tx1"/>
            </w14:solidFill>
          </w14:textFill>
        </w:rPr>
        <w:t>7</w:t>
      </w:r>
      <w:r>
        <w:rPr>
          <w:rFonts w:hint="eastAsia" w:ascii="Calibri" w:hAnsi="Calibri" w:cs="Calibri"/>
          <w:b w:val="0"/>
          <w:bCs/>
          <w:color w:val="0E101A"/>
          <w:sz w:val="24"/>
          <w:szCs w:val="24"/>
          <w:lang w:val="en-US" w:eastAsia="zh-CN"/>
        </w:rPr>
        <w:t>). In the collaborative creation phase, the designer transforms the participants' creations into professional images, depending on the equipment. In the final stage, the designer projects the images onto the media building in real time or presents the final result through technologies such as virtual reality. All participants must evaluate the media building based on the perception of its presentation and finally choose the best image.</w:t>
      </w:r>
    </w:p>
    <w:p>
      <w:pPr>
        <w:keepNext w:val="0"/>
        <w:keepLines w:val="0"/>
        <w:widowControl/>
        <w:numPr>
          <w:ilvl w:val="0"/>
          <w:numId w:val="0"/>
        </w:numPr>
        <w:suppressLineNumbers w:val="0"/>
        <w:spacing w:before="0" w:beforeAutospacing="0" w:after="0" w:afterAutospacing="0"/>
        <w:jc w:val="left"/>
        <w:rPr>
          <w:rFonts w:hint="eastAsia" w:ascii="Calibri" w:hAnsi="Calibri" w:cs="Calibri"/>
          <w:b w:val="0"/>
          <w:bCs/>
          <w:color w:val="0E101A"/>
          <w:sz w:val="24"/>
          <w:szCs w:val="24"/>
          <w:lang w:val="en-US" w:eastAsia="zh-CN"/>
        </w:rPr>
      </w:pPr>
    </w:p>
    <w:p>
      <w:pPr>
        <w:rPr>
          <w:rFonts w:hint="default" w:ascii="Calibri" w:hAnsi="Calibri" w:cs="Calibri"/>
          <w:b w:val="0"/>
          <w:bCs/>
          <w:color w:val="0E101A"/>
          <w:sz w:val="24"/>
          <w:szCs w:val="24"/>
          <w:lang w:val="en-US" w:eastAsia="zh-CN"/>
        </w:rPr>
      </w:pPr>
      <w:r>
        <w:rPr>
          <w:rFonts w:hint="default" w:ascii="Calibri" w:hAnsi="Calibri" w:eastAsia="ACaslonPro-Regular" w:cs="Calibri"/>
          <w:color w:val="000000"/>
          <w:kern w:val="0"/>
          <w:sz w:val="24"/>
          <w:szCs w:val="24"/>
          <w:lang w:val="en-US" w:eastAsia="zh-CN" w:bidi="ar"/>
        </w:rPr>
        <w:t>&gt;</w:t>
      </w:r>
      <w:r>
        <w:rPr>
          <w:rFonts w:hint="default" w:ascii="Calibri" w:hAnsi="Calibri" w:eastAsia="ACaslonPro-Regular" w:cs="Calibri"/>
          <w:i w:val="0"/>
          <w:iCs w:val="0"/>
          <w:color w:val="000000"/>
          <w:kern w:val="0"/>
          <w:sz w:val="24"/>
          <w:szCs w:val="24"/>
          <w:lang w:val="en-US" w:eastAsia="zh-CN" w:bidi="ar"/>
        </w:rPr>
        <w:t xml:space="preserve">Fig. </w:t>
      </w:r>
      <w:r>
        <w:rPr>
          <w:rFonts w:hint="eastAsia" w:ascii="Calibri" w:hAnsi="Calibri" w:eastAsia="ACaslonPro-Regular" w:cs="Calibri"/>
          <w:i w:val="0"/>
          <w:iCs w:val="0"/>
          <w:color w:val="000000"/>
          <w:kern w:val="0"/>
          <w:sz w:val="24"/>
          <w:szCs w:val="24"/>
          <w:lang w:val="en-US" w:eastAsia="zh-CN" w:bidi="ar"/>
        </w:rPr>
        <w:t>7: E</w:t>
      </w:r>
      <w:r>
        <w:rPr>
          <w:rFonts w:hint="eastAsia" w:ascii="Calibri" w:hAnsi="Calibri" w:cs="Calibri"/>
          <w:b w:val="0"/>
          <w:bCs/>
          <w:color w:val="0E101A"/>
          <w:sz w:val="24"/>
          <w:szCs w:val="24"/>
          <w:lang w:val="en-US" w:eastAsia="zh-CN"/>
        </w:rPr>
        <w:t>lectronic devices in different pixel</w:t>
      </w:r>
    </w:p>
    <w:p>
      <w:pPr>
        <w:keepNext w:val="0"/>
        <w:keepLines w:val="0"/>
        <w:widowControl/>
        <w:numPr>
          <w:ilvl w:val="0"/>
          <w:numId w:val="0"/>
        </w:numPr>
        <w:suppressLineNumbers w:val="0"/>
        <w:spacing w:before="0" w:beforeAutospacing="0" w:after="0" w:afterAutospacing="0"/>
        <w:jc w:val="left"/>
        <w:rPr>
          <w:rFonts w:hint="default"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drawing>
          <wp:inline distT="0" distB="0" distL="114300" distR="114300">
            <wp:extent cx="5272405" cy="1482090"/>
            <wp:effectExtent l="0" t="0" r="10795" b="3810"/>
            <wp:docPr id="3" name="图片 3" descr="a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asd"/>
                    <pic:cNvPicPr>
                      <a:picLocks noChangeAspect="1"/>
                    </pic:cNvPicPr>
                  </pic:nvPicPr>
                  <pic:blipFill>
                    <a:blip r:embed="rId11"/>
                    <a:stretch>
                      <a:fillRect/>
                    </a:stretch>
                  </pic:blipFill>
                  <pic:spPr>
                    <a:xfrm>
                      <a:off x="0" y="0"/>
                      <a:ext cx="5272405" cy="1482090"/>
                    </a:xfrm>
                    <a:prstGeom prst="rect">
                      <a:avLst/>
                    </a:prstGeom>
                  </pic:spPr>
                </pic:pic>
              </a:graphicData>
            </a:graphic>
          </wp:inline>
        </w:drawing>
      </w:r>
    </w:p>
    <w:p>
      <w:pPr>
        <w:keepNext w:val="0"/>
        <w:keepLines w:val="0"/>
        <w:widowControl/>
        <w:numPr>
          <w:ilvl w:val="0"/>
          <w:numId w:val="0"/>
        </w:numPr>
        <w:suppressLineNumbers w:val="0"/>
        <w:spacing w:before="0" w:beforeAutospacing="0" w:after="0" w:afterAutospacing="0"/>
        <w:jc w:val="left"/>
        <w:rPr>
          <w:rFonts w:hint="default" w:ascii="Calibri" w:hAnsi="Calibri" w:cs="Calibri"/>
          <w:b w:val="0"/>
          <w:bCs/>
          <w:color w:val="0E101A"/>
          <w:sz w:val="24"/>
          <w:szCs w:val="24"/>
          <w:lang w:val="en-US" w:eastAsia="zh-CN"/>
        </w:rPr>
      </w:pPr>
      <w:r>
        <w:drawing>
          <wp:inline distT="0" distB="0" distL="114300" distR="114300">
            <wp:extent cx="5395595" cy="1377950"/>
            <wp:effectExtent l="0" t="0" r="1905" b="6350"/>
            <wp:docPr id="23" name="图片 23" descr="SQWDFQW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SQWDFQWE"/>
                    <pic:cNvPicPr>
                      <a:picLocks noChangeAspect="1"/>
                    </pic:cNvPicPr>
                  </pic:nvPicPr>
                  <pic:blipFill>
                    <a:blip r:embed="rId12"/>
                    <a:stretch>
                      <a:fillRect/>
                    </a:stretch>
                  </pic:blipFill>
                  <pic:spPr>
                    <a:xfrm>
                      <a:off x="0" y="0"/>
                      <a:ext cx="5395595" cy="1377950"/>
                    </a:xfrm>
                    <a:prstGeom prst="rect">
                      <a:avLst/>
                    </a:prstGeom>
                  </pic:spPr>
                </pic:pic>
              </a:graphicData>
            </a:graphic>
          </wp:inline>
        </w:drawing>
      </w:r>
    </w:p>
    <w:p>
      <w:pPr>
        <w:keepNext w:val="0"/>
        <w:keepLines w:val="0"/>
        <w:widowControl/>
        <w:numPr>
          <w:ilvl w:val="0"/>
          <w:numId w:val="0"/>
        </w:numPr>
        <w:suppressLineNumbers w:val="0"/>
        <w:spacing w:before="0" w:beforeAutospacing="0" w:after="0" w:afterAutospacing="0"/>
        <w:rPr>
          <w:rFonts w:hint="default" w:ascii="Calibri" w:hAnsi="Calibri" w:cs="Calibri"/>
          <w:b/>
          <w:bCs w:val="0"/>
          <w:color w:val="0E101A"/>
          <w:sz w:val="24"/>
          <w:szCs w:val="24"/>
          <w:lang w:val="en-US" w:eastAsia="zh-CN"/>
        </w:rPr>
      </w:pPr>
      <w:r>
        <w:rPr>
          <w:rFonts w:hint="eastAsia" w:ascii="Calibri" w:hAnsi="Calibri" w:cs="Calibri"/>
          <w:b/>
          <w:bCs w:val="0"/>
          <w:color w:val="0E101A"/>
          <w:sz w:val="24"/>
          <w:szCs w:val="24"/>
          <w:lang w:val="en-US" w:eastAsia="zh-CN"/>
        </w:rPr>
        <w:t>3.2 Data Analysis:Post-Occupancy Evaluation(POE)</w:t>
      </w: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r>
        <w:rPr>
          <w:rFonts w:hint="default" w:ascii="Calibri" w:hAnsi="Calibri" w:cs="Calibri"/>
          <w:b w:val="0"/>
          <w:bCs/>
          <w:color w:val="0E101A"/>
          <w:sz w:val="24"/>
          <w:szCs w:val="24"/>
          <w:lang w:val="en-US" w:eastAsia="zh-CN"/>
        </w:rPr>
        <w:t>The final image judging at the end of the CCW and Preiser's Post-Occupancy Evaluation (POE) system will be used to assist in this process (Preiser 2015). The POE is a diagnostic, survey and descriptive study of architectural performance, energy efficiency, occupant satisfaction, operation maintenance and space capability.</w:t>
      </w: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rPr>
          <w:rFonts w:hint="default" w:ascii="Calibri" w:hAnsi="Calibri" w:cs="Calibri"/>
          <w:b w:val="0"/>
          <w:bCs/>
          <w:color w:val="000000" w:themeColor="text1"/>
          <w:sz w:val="24"/>
          <w:szCs w:val="24"/>
          <w:lang w:val="en-US" w:eastAsia="zh-CN"/>
          <w14:textFill>
            <w14:solidFill>
              <w14:schemeClr w14:val="tx1"/>
            </w14:solidFill>
          </w14:textFill>
        </w:rPr>
      </w:pPr>
      <w:r>
        <w:rPr>
          <w:rFonts w:hint="default" w:ascii="Calibri" w:hAnsi="Calibri" w:cs="Calibri"/>
          <w:b w:val="0"/>
          <w:bCs/>
          <w:color w:val="000000" w:themeColor="text1"/>
          <w:sz w:val="24"/>
          <w:szCs w:val="24"/>
          <w:lang w:val="en-US" w:eastAsia="zh-CN"/>
          <w14:textFill>
            <w14:solidFill>
              <w14:schemeClr w14:val="tx1"/>
            </w14:solidFill>
          </w14:textFill>
        </w:rPr>
        <w:t xml:space="preserve">Image </w:t>
      </w:r>
      <w:r>
        <w:rPr>
          <w:rFonts w:hint="eastAsia" w:ascii="Calibri" w:hAnsi="Calibri" w:cs="Calibri"/>
          <w:b w:val="0"/>
          <w:bCs/>
          <w:color w:val="000000" w:themeColor="text1"/>
          <w:sz w:val="24"/>
          <w:szCs w:val="24"/>
          <w:lang w:val="en-US" w:eastAsia="zh-CN"/>
          <w14:textFill>
            <w14:solidFill>
              <w14:schemeClr w14:val="tx1"/>
            </w14:solidFill>
          </w14:textFill>
        </w:rPr>
        <w:t>8</w:t>
      </w:r>
      <w:r>
        <w:rPr>
          <w:rFonts w:hint="default" w:ascii="Calibri" w:hAnsi="Calibri" w:cs="Calibri"/>
          <w:b w:val="0"/>
          <w:bCs/>
          <w:color w:val="000000" w:themeColor="text1"/>
          <w:sz w:val="24"/>
          <w:szCs w:val="24"/>
          <w:lang w:val="en-US" w:eastAsia="zh-CN"/>
          <w14:textFill>
            <w14:solidFill>
              <w14:schemeClr w14:val="tx1"/>
            </w14:solidFill>
          </w14:textFill>
        </w:rPr>
        <w:t xml:space="preserve"> expands the five provisions of the POE into 20 items based on the principles of the POE, tracing the characteristics of the media buildings and the categories assessed for the buildings in Image 4. After an iterative viewing of each image and video, the participants rated the media buildings and each of their types. Finally, the final shape of the media buildings was decided through scoring and shared discussion.</w:t>
      </w:r>
    </w:p>
    <w:p>
      <w:pPr>
        <w:keepNext w:val="0"/>
        <w:keepLines w:val="0"/>
        <w:widowControl/>
        <w:numPr>
          <w:ilvl w:val="0"/>
          <w:numId w:val="0"/>
        </w:numPr>
        <w:suppressLineNumbers w:val="0"/>
        <w:spacing w:before="0" w:beforeAutospacing="0" w:after="0" w:afterAutospacing="0"/>
        <w:rPr>
          <w:rFonts w:hint="default" w:asciiTheme="majorAscii"/>
          <w:b w:val="0"/>
          <w:bCs/>
          <w:color w:val="000000" w:themeColor="text1"/>
          <w:sz w:val="24"/>
          <w:szCs w:val="24"/>
          <w:lang w:val="en-US" w:eastAsia="zh-CN"/>
          <w14:textFill>
            <w14:solidFill>
              <w14:schemeClr w14:val="tx1"/>
            </w14:solidFill>
          </w14:textFill>
        </w:rPr>
      </w:pPr>
    </w:p>
    <w:p>
      <w:pPr>
        <w:keepNext w:val="0"/>
        <w:keepLines w:val="0"/>
        <w:widowControl/>
        <w:numPr>
          <w:ilvl w:val="0"/>
          <w:numId w:val="1"/>
        </w:numPr>
        <w:suppressLineNumbers w:val="0"/>
        <w:spacing w:before="0" w:beforeAutospacing="0" w:after="0" w:afterAutospacing="0"/>
        <w:ind w:left="0" w:leftChars="0" w:firstLine="0" w:firstLineChars="0"/>
        <w:rPr>
          <w:rFonts w:hint="default" w:ascii="Calibri" w:hAnsi="Calibri" w:cs="Calibri"/>
          <w:b/>
          <w:bCs w:val="0"/>
          <w:color w:val="0E101A"/>
          <w:sz w:val="24"/>
          <w:szCs w:val="24"/>
          <w:lang w:val="en-US" w:eastAsia="zh-CN"/>
        </w:rPr>
      </w:pPr>
      <w:r>
        <w:rPr>
          <w:rFonts w:hint="default" w:ascii="Calibri" w:hAnsi="Calibri" w:cs="Calibri"/>
          <w:b/>
          <w:bCs w:val="0"/>
          <w:color w:val="0E101A"/>
          <w:sz w:val="24"/>
          <w:szCs w:val="24"/>
          <w:lang w:val="en-US" w:eastAsia="zh-CN"/>
        </w:rPr>
        <w:t>Conclusion</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Screens adorn architecture, becoming a hyper-everyday presence. In this situation, there is an urgent need for a platform for co-collaboration and creation that reduces the disconnect in decision-making and enhances the participation of multiple parties to face the surging electronic world and aesthetic cosmopolitanism. This essay seeks to create and discuss a CCW framework based on P-G-B, a common language for the co-creation of media architecture, and a POE system for judging the ways of collaboration.</w:t>
      </w:r>
    </w:p>
    <w:p>
      <w:pPr>
        <w:keepNext w:val="0"/>
        <w:keepLines w:val="0"/>
        <w:widowControl/>
        <w:numPr>
          <w:ilvl w:val="0"/>
          <w:numId w:val="0"/>
        </w:numPr>
        <w:suppressLineNumbers w:val="0"/>
        <w:spacing w:before="0" w:beforeAutospacing="0" w:after="0" w:afterAutospacing="0"/>
        <w:rPr>
          <w:rFonts w:hint="default" w:asciiTheme="majorAscii"/>
          <w:b w:val="0"/>
          <w:bCs/>
          <w:color w:val="000000" w:themeColor="text1"/>
          <w:sz w:val="24"/>
          <w:szCs w:val="24"/>
          <w:lang w:val="en-US" w:eastAsia="zh-CN"/>
          <w14:textFill>
            <w14:solidFill>
              <w14:schemeClr w14:val="tx1"/>
            </w14:solidFill>
          </w14:textFill>
        </w:rPr>
      </w:pPr>
    </w:p>
    <w:p>
      <w:pPr>
        <w:keepNext w:val="0"/>
        <w:keepLines w:val="0"/>
        <w:widowControl/>
        <w:numPr>
          <w:ilvl w:val="1"/>
          <w:numId w:val="1"/>
        </w:numPr>
        <w:suppressLineNumbers w:val="0"/>
        <w:spacing w:before="0" w:beforeAutospacing="0" w:after="0" w:afterAutospacing="0"/>
        <w:ind w:left="0" w:leftChars="0" w:firstLine="0" w:firstLineChars="0"/>
        <w:rPr>
          <w:rFonts w:hint="default" w:ascii="Calibri" w:hAnsi="Calibri" w:cs="Calibri"/>
          <w:b/>
          <w:bCs w:val="0"/>
          <w:color w:val="0E101A"/>
          <w:sz w:val="24"/>
          <w:szCs w:val="24"/>
          <w:lang w:val="en-US" w:eastAsia="zh-CN"/>
        </w:rPr>
      </w:pPr>
      <w:r>
        <w:rPr>
          <w:rFonts w:hint="eastAsia" w:ascii="Calibri" w:hAnsi="Calibri" w:cs="Calibri"/>
          <w:b/>
          <w:bCs w:val="0"/>
          <w:color w:val="0E101A"/>
          <w:sz w:val="24"/>
          <w:szCs w:val="24"/>
          <w:lang w:val="en-US" w:eastAsia="zh-CN"/>
        </w:rPr>
        <w:t>Discussion</w:t>
      </w:r>
    </w:p>
    <w:p>
      <w:pPr>
        <w:keepNext w:val="0"/>
        <w:keepLines w:val="0"/>
        <w:widowControl/>
        <w:numPr>
          <w:ilvl w:val="2"/>
          <w:numId w:val="1"/>
        </w:numPr>
        <w:suppressLineNumbers w:val="0"/>
        <w:spacing w:before="0" w:beforeAutospacing="0" w:after="0" w:afterAutospacing="0"/>
        <w:ind w:left="0" w:leftChars="0" w:firstLine="0" w:firstLineChars="0"/>
        <w:rPr>
          <w:rFonts w:hint="eastAsia" w:ascii="Calibri" w:hAnsi="Calibri" w:cs="Calibri"/>
          <w:b/>
          <w:bCs w:val="0"/>
          <w:color w:val="0E101A"/>
          <w:sz w:val="24"/>
          <w:szCs w:val="24"/>
          <w:lang w:val="en-US" w:eastAsia="zh-CN"/>
        </w:rPr>
      </w:pPr>
      <w:r>
        <w:rPr>
          <w:rFonts w:hint="eastAsia" w:ascii="Calibri" w:hAnsi="Calibri" w:cs="Calibri"/>
          <w:b/>
          <w:bCs w:val="0"/>
          <w:color w:val="0E101A"/>
          <w:sz w:val="24"/>
          <w:szCs w:val="24"/>
          <w:lang w:val="en-US" w:eastAsia="zh-CN"/>
        </w:rPr>
        <w:t>The problem of active media architecture participation</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Most people living in the vicinity of a media building may not know much about media architecture before the building is completed. As a result, they do not realise that this type of architecture is invasive and completely forget that they have a right to participate in the content of media architecture. This workshop aims to educate the public and raise awareness of the extent to which this new form of architecture can demonstrate e-citizenship.</w:t>
      </w:r>
    </w:p>
    <w:p>
      <w:pPr>
        <w:keepNext w:val="0"/>
        <w:keepLines w:val="0"/>
        <w:widowControl/>
        <w:numPr>
          <w:ilvl w:val="0"/>
          <w:numId w:val="0"/>
        </w:numPr>
        <w:suppressLineNumbers w:val="0"/>
        <w:spacing w:before="0" w:beforeAutospacing="0" w:after="0" w:afterAutospacing="0"/>
        <w:ind w:leftChars="0"/>
        <w:rPr>
          <w:rFonts w:hint="default" w:ascii="Calibri" w:hAnsi="Calibri" w:cs="Calibri"/>
          <w:b w:val="0"/>
          <w:bCs/>
          <w:color w:val="0E101A"/>
          <w:sz w:val="24"/>
          <w:szCs w:val="24"/>
          <w:lang w:val="en-US" w:eastAsia="zh-CN"/>
        </w:rPr>
      </w:pPr>
    </w:p>
    <w:p>
      <w:pPr>
        <w:keepNext w:val="0"/>
        <w:keepLines w:val="0"/>
        <w:widowControl/>
        <w:numPr>
          <w:ilvl w:val="2"/>
          <w:numId w:val="1"/>
        </w:numPr>
        <w:suppressLineNumbers w:val="0"/>
        <w:spacing w:before="0" w:beforeAutospacing="0" w:after="0" w:afterAutospacing="0"/>
        <w:ind w:left="0" w:leftChars="0" w:firstLine="0" w:firstLineChars="0"/>
        <w:rPr>
          <w:rFonts w:hint="default" w:ascii="Calibri" w:hAnsi="Calibri" w:cs="Calibri"/>
          <w:b/>
          <w:bCs w:val="0"/>
          <w:color w:val="0E101A"/>
          <w:sz w:val="24"/>
          <w:szCs w:val="24"/>
          <w:lang w:val="en-US" w:eastAsia="zh-CN"/>
        </w:rPr>
      </w:pPr>
      <w:r>
        <w:rPr>
          <w:rFonts w:hint="eastAsia" w:ascii="Calibri" w:hAnsi="Calibri" w:cs="Calibri"/>
          <w:b/>
          <w:bCs w:val="0"/>
          <w:color w:val="0E101A"/>
          <w:sz w:val="24"/>
          <w:szCs w:val="24"/>
          <w:lang w:val="en-US" w:eastAsia="zh-CN"/>
        </w:rPr>
        <w:t>Aesthetic cosmopolitanism and pictorial language systems</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In modern cities, media buildings are usually built in the most lively areas of a city, which is closely related to their communication properties. However, the cost of media architecture is enormous, and the equipment research is still in its infancy, so it often requires the joint investment of many parties to support the realisation of a project. Thus, it can be seen that in both London's Piccadilly Circus and New York's Times Square, the media architecture is in tune with the place itself, making the place more communicative. This communicative nature has also transferred to the electronic world, with most photos shared on social media about places related to media architecture. Therefore, the study of images of media architecture is of considerable importance to the study of the communicative properties of places.</w:t>
      </w:r>
    </w:p>
    <w:p>
      <w:pPr>
        <w:keepNext w:val="0"/>
        <w:keepLines w:val="0"/>
        <w:widowControl/>
        <w:numPr>
          <w:ilvl w:val="0"/>
          <w:numId w:val="0"/>
        </w:numPr>
        <w:suppressLineNumbers w:val="0"/>
        <w:spacing w:before="0" w:beforeAutospacing="0" w:after="0" w:afterAutospacing="0"/>
        <w:rPr>
          <w:rFonts w:hint="default" w:asciiTheme="majorAscii"/>
          <w:b w:val="0"/>
          <w:bCs/>
          <w:color w:val="000000" w:themeColor="text1"/>
          <w:sz w:val="24"/>
          <w:szCs w:val="24"/>
          <w:lang w:val="en-US" w:eastAsia="zh-CN"/>
          <w14:textFill>
            <w14:solidFill>
              <w14:schemeClr w14:val="tx1"/>
            </w14:solidFill>
          </w14:textFill>
        </w:rPr>
      </w:pPr>
    </w:p>
    <w:p>
      <w:pPr>
        <w:keepNext w:val="0"/>
        <w:keepLines w:val="0"/>
        <w:widowControl/>
        <w:numPr>
          <w:ilvl w:val="0"/>
          <w:numId w:val="0"/>
        </w:numPr>
        <w:suppressLineNumbers w:val="0"/>
        <w:spacing w:before="0" w:beforeAutospacing="0" w:after="0" w:afterAutospacing="0"/>
        <w:rPr>
          <w:rFonts w:hint="default" w:asciiTheme="majorAscii"/>
          <w:b w:val="0"/>
          <w:bCs/>
          <w:color w:val="000000" w:themeColor="text1"/>
          <w:sz w:val="24"/>
          <w:szCs w:val="24"/>
          <w:lang w:val="en-US" w:eastAsia="zh-CN"/>
          <w14:textFill>
            <w14:solidFill>
              <w14:schemeClr w14:val="tx1"/>
            </w14:solidFill>
          </w14:textFill>
        </w:rPr>
      </w:pPr>
    </w:p>
    <w:p>
      <w:pPr>
        <w:rPr>
          <w:rFonts w:hint="default" w:asciiTheme="majorAscii"/>
          <w:b w:val="0"/>
          <w:bCs/>
          <w:color w:val="000000" w:themeColor="text1"/>
          <w:sz w:val="24"/>
          <w:szCs w:val="24"/>
          <w:lang w:val="en-US" w:eastAsia="zh-CN"/>
          <w14:textFill>
            <w14:solidFill>
              <w14:schemeClr w14:val="tx1"/>
            </w14:solidFill>
          </w14:textFill>
        </w:rPr>
      </w:pPr>
      <w:r>
        <w:rPr>
          <w:rFonts w:hint="default" w:ascii="Calibri" w:hAnsi="Calibri" w:eastAsia="ACaslonPro-Regular" w:cs="Calibri"/>
          <w:color w:val="000000"/>
          <w:kern w:val="0"/>
          <w:sz w:val="24"/>
          <w:szCs w:val="24"/>
          <w:lang w:val="en-US" w:eastAsia="zh-CN" w:bidi="ar"/>
        </w:rPr>
        <w:t>&gt;</w:t>
      </w:r>
      <w:r>
        <w:rPr>
          <w:rFonts w:hint="default" w:ascii="Calibri" w:hAnsi="Calibri" w:eastAsia="ACaslonPro-Regular" w:cs="Calibri"/>
          <w:i w:val="0"/>
          <w:iCs w:val="0"/>
          <w:color w:val="000000"/>
          <w:kern w:val="0"/>
          <w:sz w:val="24"/>
          <w:szCs w:val="24"/>
          <w:lang w:val="en-US" w:eastAsia="zh-CN" w:bidi="ar"/>
        </w:rPr>
        <w:t xml:space="preserve">Fig. </w:t>
      </w:r>
      <w:r>
        <w:rPr>
          <w:rFonts w:hint="eastAsia" w:ascii="Calibri" w:hAnsi="Calibri" w:eastAsia="ACaslonPro-Regular" w:cs="Calibri"/>
          <w:i w:val="0"/>
          <w:iCs w:val="0"/>
          <w:color w:val="000000"/>
          <w:kern w:val="0"/>
          <w:sz w:val="24"/>
          <w:szCs w:val="24"/>
          <w:lang w:val="en-US" w:eastAsia="zh-CN" w:bidi="ar"/>
        </w:rPr>
        <w:t>8: POE of CCW</w:t>
      </w:r>
    </w:p>
    <w:p>
      <w:pPr>
        <w:keepNext w:val="0"/>
        <w:keepLines w:val="0"/>
        <w:widowControl/>
        <w:numPr>
          <w:ilvl w:val="0"/>
          <w:numId w:val="0"/>
        </w:numPr>
        <w:suppressLineNumbers w:val="0"/>
        <w:spacing w:before="0" w:beforeAutospacing="0" w:after="0" w:afterAutospacing="0"/>
        <w:rPr>
          <w:rFonts w:hint="default" w:asciiTheme="majorAscii"/>
          <w:b w:val="0"/>
          <w:bCs/>
          <w:color w:val="000000" w:themeColor="text1"/>
          <w:sz w:val="24"/>
          <w:szCs w:val="24"/>
          <w:lang w:val="en-US" w:eastAsia="zh-CN"/>
          <w14:textFill>
            <w14:solidFill>
              <w14:schemeClr w14:val="tx1"/>
            </w14:solidFill>
          </w14:textFill>
        </w:rPr>
      </w:pPr>
      <w:r>
        <w:rPr>
          <w:rFonts w:hint="default" w:asciiTheme="majorAscii"/>
          <w:b w:val="0"/>
          <w:bCs/>
          <w:color w:val="000000" w:themeColor="text1"/>
          <w:sz w:val="24"/>
          <w:szCs w:val="24"/>
          <w:lang w:val="en-US" w:eastAsia="zh-CN"/>
          <w14:textFill>
            <w14:solidFill>
              <w14:schemeClr w14:val="tx1"/>
            </w14:solidFill>
          </w14:textFill>
        </w:rPr>
        <w:drawing>
          <wp:inline distT="0" distB="0" distL="114300" distR="114300">
            <wp:extent cx="5271770" cy="8263255"/>
            <wp:effectExtent l="0" t="0" r="11430" b="4445"/>
            <wp:docPr id="21" name="图片 21" descr="fawerfae-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fawerfae-01"/>
                    <pic:cNvPicPr>
                      <a:picLocks noChangeAspect="1"/>
                    </pic:cNvPicPr>
                  </pic:nvPicPr>
                  <pic:blipFill>
                    <a:blip r:embed="rId13"/>
                    <a:stretch>
                      <a:fillRect/>
                    </a:stretch>
                  </pic:blipFill>
                  <pic:spPr>
                    <a:xfrm>
                      <a:off x="0" y="0"/>
                      <a:ext cx="5271770" cy="8263255"/>
                    </a:xfrm>
                    <a:prstGeom prst="rect">
                      <a:avLst/>
                    </a:prstGeom>
                  </pic:spPr>
                </pic:pic>
              </a:graphicData>
            </a:graphic>
          </wp:inline>
        </w:drawing>
      </w:r>
    </w:p>
    <w:p>
      <w:pPr>
        <w:keepNext w:val="0"/>
        <w:keepLines w:val="0"/>
        <w:widowControl/>
        <w:numPr>
          <w:ilvl w:val="0"/>
          <w:numId w:val="0"/>
        </w:numPr>
        <w:suppressLineNumbers w:val="0"/>
        <w:spacing w:before="0" w:beforeAutospacing="0" w:after="0" w:afterAutospacing="0"/>
        <w:ind w:leftChars="0"/>
        <w:rPr>
          <w:rFonts w:hint="default" w:ascii="Calibri" w:hAnsi="Calibri" w:cs="Calibri"/>
          <w:b w:val="0"/>
          <w:bCs/>
          <w:color w:val="0E101A"/>
          <w:sz w:val="24"/>
          <w:szCs w:val="24"/>
          <w:lang w:val="en-US" w:eastAsia="zh-CN"/>
        </w:rPr>
      </w:pPr>
    </w:p>
    <w:p>
      <w:pPr>
        <w:keepNext w:val="0"/>
        <w:keepLines w:val="0"/>
        <w:widowControl/>
        <w:numPr>
          <w:ilvl w:val="2"/>
          <w:numId w:val="1"/>
        </w:numPr>
        <w:suppressLineNumbers w:val="0"/>
        <w:spacing w:before="0" w:beforeAutospacing="0" w:after="0" w:afterAutospacing="0"/>
        <w:ind w:left="0" w:leftChars="0" w:firstLine="0" w:firstLineChars="0"/>
        <w:rPr>
          <w:rFonts w:hint="default" w:ascii="Calibri" w:hAnsi="Calibri" w:cs="Calibri"/>
          <w:b/>
          <w:bCs w:val="0"/>
          <w:color w:val="0E101A"/>
          <w:sz w:val="24"/>
          <w:szCs w:val="24"/>
          <w:lang w:val="en-US" w:eastAsia="zh-CN"/>
        </w:rPr>
      </w:pPr>
      <w:r>
        <w:rPr>
          <w:rFonts w:hint="eastAsia" w:ascii="Calibri" w:hAnsi="Calibri" w:cs="Calibri"/>
          <w:b/>
          <w:bCs w:val="0"/>
          <w:color w:val="0E101A"/>
          <w:sz w:val="24"/>
          <w:szCs w:val="24"/>
          <w:lang w:val="en-US" w:eastAsia="zh-CN"/>
        </w:rPr>
        <w:t>The political implications of the image derivation of media architecture</w:t>
      </w:r>
    </w:p>
    <w:p>
      <w:pPr>
        <w:keepNext w:val="0"/>
        <w:keepLines w:val="0"/>
        <w:widowControl/>
        <w:numPr>
          <w:ilvl w:val="0"/>
          <w:numId w:val="0"/>
        </w:numPr>
        <w:suppressLineNumbers w:val="0"/>
        <w:spacing w:before="0" w:beforeAutospacing="0" w:after="0" w:afterAutospacing="0"/>
        <w:ind w:leftChars="0"/>
        <w:rPr>
          <w:rFonts w:hint="default"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Media architecture originates from the decoration of images and the commercialism of images, largely dependent on capital and the market. It is not difficult to see that in various parts of the world, politicians also use this as a tool for political propaganda. This essay explores the participatory nature of architectural imagery for the media and, to a certain extent, opposes this capitalist politics of imagery. Only by controlling the images that people see in the city can we try to avoid having political images invade our eyes. Creating a system of mutual discussion between P-G-B is also a way to moderate the discussion between stakeholders and promote the mutual opinion.</w:t>
      </w:r>
    </w:p>
    <w:p>
      <w:pPr>
        <w:keepNext w:val="0"/>
        <w:keepLines w:val="0"/>
        <w:widowControl/>
        <w:numPr>
          <w:ilvl w:val="0"/>
          <w:numId w:val="0"/>
        </w:numPr>
        <w:suppressLineNumbers w:val="0"/>
        <w:spacing w:before="0" w:beforeAutospacing="0" w:after="0" w:afterAutospacing="0"/>
        <w:ind w:leftChars="0"/>
        <w:rPr>
          <w:rFonts w:hint="default" w:ascii="Calibri" w:hAnsi="Calibri" w:cs="Calibri"/>
          <w:b w:val="0"/>
          <w:bCs/>
          <w:color w:val="0E101A"/>
          <w:sz w:val="24"/>
          <w:szCs w:val="24"/>
          <w:lang w:val="en-US" w:eastAsia="zh-CN"/>
        </w:rPr>
      </w:pPr>
    </w:p>
    <w:p>
      <w:pPr>
        <w:keepNext w:val="0"/>
        <w:keepLines w:val="0"/>
        <w:widowControl/>
        <w:numPr>
          <w:ilvl w:val="1"/>
          <w:numId w:val="1"/>
        </w:numPr>
        <w:suppressLineNumbers w:val="0"/>
        <w:spacing w:before="0" w:beforeAutospacing="0" w:after="0" w:afterAutospacing="0"/>
        <w:ind w:left="0" w:leftChars="0" w:firstLine="0" w:firstLineChars="0"/>
        <w:rPr>
          <w:rFonts w:hint="default" w:ascii="Calibri" w:hAnsi="Calibri" w:cs="Calibri"/>
          <w:b/>
          <w:bCs w:val="0"/>
          <w:color w:val="0E101A"/>
          <w:sz w:val="24"/>
          <w:szCs w:val="24"/>
          <w:lang w:val="en-US" w:eastAsia="zh-CN"/>
        </w:rPr>
      </w:pPr>
      <w:r>
        <w:rPr>
          <w:rFonts w:hint="eastAsia" w:ascii="Calibri" w:hAnsi="Calibri" w:cs="Calibri"/>
          <w:b/>
          <w:bCs w:val="0"/>
          <w:color w:val="0E101A"/>
          <w:sz w:val="24"/>
          <w:szCs w:val="24"/>
          <w:lang w:val="en-US" w:eastAsia="zh-CN"/>
        </w:rPr>
        <w:t>Value</w:t>
      </w:r>
    </w:p>
    <w:p>
      <w:pPr>
        <w:keepNext w:val="0"/>
        <w:keepLines w:val="0"/>
        <w:widowControl/>
        <w:numPr>
          <w:ilvl w:val="0"/>
          <w:numId w:val="0"/>
        </w:numPr>
        <w:suppressLineNumbers w:val="0"/>
        <w:spacing w:before="0" w:beforeAutospacing="0" w:after="0" w:afterAutospacing="0"/>
        <w:ind w:leftChars="0"/>
        <w:rPr>
          <w:rFonts w:hint="default"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This thesis explores the logic of CCW generation and the framework for its implementation and proposes testing and practice tools. It envisages that a framework can provide to relevant parts of government for organising relevant activities. Companies can test it for their products. Universities can use it to research media architecture concerning events such as light festivals.</w:t>
      </w: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1"/>
          <w:numId w:val="1"/>
        </w:numPr>
        <w:suppressLineNumbers w:val="0"/>
        <w:spacing w:before="0" w:beforeAutospacing="0" w:after="0" w:afterAutospacing="0"/>
        <w:ind w:left="0" w:leftChars="0" w:firstLine="0" w:firstLineChars="0"/>
        <w:rPr>
          <w:rFonts w:hint="default" w:ascii="Calibri" w:hAnsi="Calibri" w:cs="Calibri"/>
          <w:b/>
          <w:bCs w:val="0"/>
          <w:color w:val="0E101A"/>
          <w:sz w:val="24"/>
          <w:szCs w:val="24"/>
          <w:lang w:val="en-US" w:eastAsia="zh-CN"/>
        </w:rPr>
      </w:pPr>
      <w:r>
        <w:rPr>
          <w:rFonts w:hint="default" w:ascii="Calibri" w:hAnsi="Calibri" w:cs="Calibri"/>
          <w:b/>
          <w:bCs w:val="0"/>
          <w:color w:val="0E101A"/>
          <w:sz w:val="24"/>
          <w:szCs w:val="24"/>
          <w:lang w:val="en-US" w:eastAsia="zh-CN"/>
        </w:rPr>
        <w:t>Summary</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bCs w:val="0"/>
          <w:color w:val="0E101A"/>
          <w:sz w:val="24"/>
          <w:szCs w:val="24"/>
          <w:lang w:val="en-US" w:eastAsia="zh-CN"/>
        </w:rPr>
      </w:pPr>
      <w:r>
        <w:rPr>
          <w:rFonts w:hint="eastAsia" w:ascii="Calibri" w:hAnsi="Calibri" w:cs="Calibri"/>
          <w:b w:val="0"/>
          <w:bCs/>
          <w:color w:val="0E101A"/>
          <w:sz w:val="24"/>
          <w:szCs w:val="24"/>
          <w:lang w:val="en-US" w:eastAsia="zh-CN"/>
        </w:rPr>
        <w:t>Media architecture results from the age's technological, artistic, economic and cultural development. Venturi stood on the wave of modernism after the Second World War and called for us to learn from Las Vegas. Society has also moved from the automobile age to today's age of the internet, where media are changing, as also the connotations of architecture and architecture itself. Therefore, the media discussion on architecture must be deeper and more focused in this context. CCW provides a tool that allows users to discuss media architecture beyond simple commentary and become more involved in creating media architecture.</w:t>
      </w: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default" w:ascii="Calibri" w:hAnsi="Calibri" w:cs="Calibri"/>
          <w:b/>
          <w:bCs w:val="0"/>
          <w:color w:val="0E101A"/>
          <w:sz w:val="24"/>
          <w:szCs w:val="24"/>
          <w:lang w:val="en-US" w:eastAsia="zh-CN"/>
        </w:rPr>
      </w:pPr>
    </w:p>
    <w:p>
      <w:pPr>
        <w:numPr>
          <w:ilvl w:val="0"/>
          <w:numId w:val="0"/>
        </w:numPr>
        <w:rPr>
          <w:rFonts w:hint="default" w:asciiTheme="majorAscii" w:hAnsiTheme="majorAscii"/>
          <w:b/>
          <w:bCs/>
          <w:color w:val="000000" w:themeColor="text1"/>
          <w:sz w:val="24"/>
          <w:szCs w:val="24"/>
          <w:lang w:val="en-US" w:eastAsia="zh-CN"/>
          <w14:textFill>
            <w14:solidFill>
              <w14:schemeClr w14:val="tx1"/>
            </w14:solidFill>
          </w14:textFill>
        </w:rPr>
      </w:pPr>
      <w:r>
        <w:rPr>
          <w:rFonts w:hint="eastAsia" w:asciiTheme="majorAscii" w:hAnsiTheme="majorAscii"/>
          <w:b/>
          <w:bCs/>
          <w:color w:val="000000" w:themeColor="text1"/>
          <w:sz w:val="24"/>
          <w:szCs w:val="24"/>
          <w:lang w:val="en-US" w:eastAsia="zh-CN"/>
          <w14:textFill>
            <w14:solidFill>
              <w14:schemeClr w14:val="tx1"/>
            </w14:solidFill>
          </w14:textFill>
        </w:rPr>
        <w:t>Bibiography</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Anderson, S., Wouters, N., &amp; Jefferies, R. (2021). Decolonising the Urban Screen: An Argument and Approach for First Peoples-led Content Programs in Massive Media. In </w:t>
      </w:r>
      <w:r>
        <w:rPr>
          <w:rFonts w:hint="default" w:ascii="Calibri" w:hAnsi="Calibri" w:eastAsia="宋体" w:cs="Calibri"/>
          <w:i/>
          <w:iCs/>
          <w:caps w:val="0"/>
          <w:color w:val="222222"/>
          <w:spacing w:val="0"/>
          <w:sz w:val="24"/>
          <w:szCs w:val="24"/>
          <w:shd w:val="clear" w:fill="FFFFFF"/>
        </w:rPr>
        <w:t>Media Architecture Biennale 20</w:t>
      </w:r>
      <w:r>
        <w:rPr>
          <w:rFonts w:hint="default" w:ascii="Calibri" w:hAnsi="Calibri" w:eastAsia="宋体" w:cs="Calibri"/>
          <w:i w:val="0"/>
          <w:iCs w:val="0"/>
          <w:caps w:val="0"/>
          <w:color w:val="222222"/>
          <w:spacing w:val="0"/>
          <w:sz w:val="24"/>
          <w:szCs w:val="24"/>
          <w:shd w:val="clear" w:fill="FFFFFF"/>
        </w:rPr>
        <w:t> (pp. 66-78).</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Allen, P. (2012, November). Framing the media architectural body. In </w:t>
      </w:r>
      <w:r>
        <w:rPr>
          <w:rFonts w:hint="default" w:ascii="Calibri" w:hAnsi="Calibri" w:eastAsia="宋体" w:cs="Calibri"/>
          <w:i/>
          <w:iCs/>
          <w:caps w:val="0"/>
          <w:color w:val="222222"/>
          <w:spacing w:val="0"/>
          <w:sz w:val="24"/>
          <w:szCs w:val="24"/>
          <w:shd w:val="clear" w:fill="FFFFFF"/>
        </w:rPr>
        <w:t>Proceedings of the 4th Media Architecture Biennale Conference: Participation</w:t>
      </w:r>
      <w:r>
        <w:rPr>
          <w:rFonts w:hint="default" w:ascii="Calibri" w:hAnsi="Calibri" w:eastAsia="宋体" w:cs="Calibri"/>
          <w:i w:val="0"/>
          <w:iCs w:val="0"/>
          <w:caps w:val="0"/>
          <w:color w:val="222222"/>
          <w:spacing w:val="0"/>
          <w:sz w:val="24"/>
          <w:szCs w:val="24"/>
          <w:shd w:val="clear" w:fill="FFFFFF"/>
        </w:rPr>
        <w:t> (pp. 9-12).</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Alexander, C. (1977). </w:t>
      </w:r>
      <w:r>
        <w:rPr>
          <w:rFonts w:hint="default" w:ascii="Calibri" w:hAnsi="Calibri" w:eastAsia="宋体" w:cs="Calibri"/>
          <w:i/>
          <w:iCs/>
          <w:caps w:val="0"/>
          <w:color w:val="222222"/>
          <w:spacing w:val="0"/>
          <w:sz w:val="24"/>
          <w:szCs w:val="24"/>
          <w:shd w:val="clear" w:fill="FFFFFF"/>
        </w:rPr>
        <w:t>A pattern language: towns, buildings, construction</w:t>
      </w:r>
      <w:r>
        <w:rPr>
          <w:rFonts w:hint="default" w:ascii="Calibri" w:hAnsi="Calibri" w:eastAsia="宋体" w:cs="Calibri"/>
          <w:i w:val="0"/>
          <w:iCs w:val="0"/>
          <w:caps w:val="0"/>
          <w:color w:val="222222"/>
          <w:spacing w:val="0"/>
          <w:sz w:val="24"/>
          <w:szCs w:val="24"/>
          <w:shd w:val="clear" w:fill="FFFFFF"/>
        </w:rPr>
        <w:t>. Oxford university press.</w:t>
      </w:r>
    </w:p>
    <w:p>
      <w:pPr>
        <w:keepNext w:val="0"/>
        <w:keepLines w:val="0"/>
        <w:widowControl/>
        <w:numPr>
          <w:ilvl w:val="0"/>
          <w:numId w:val="4"/>
        </w:numPr>
        <w:suppressLineNumbers w:val="0"/>
        <w:ind w:left="425" w:leftChars="0" w:hanging="425" w:firstLineChars="0"/>
        <w:jc w:val="left"/>
        <w:rPr>
          <w:rFonts w:hint="default" w:ascii="Calibri" w:hAnsi="Calibri" w:eastAsia="Arial Unicode MS" w:cs="Calibri"/>
          <w:b w:val="0"/>
          <w:bCs w:val="0"/>
          <w:color w:val="000000"/>
          <w:kern w:val="0"/>
          <w:sz w:val="24"/>
          <w:szCs w:val="24"/>
          <w:lang w:val="en-US" w:eastAsia="zh-CN" w:bidi="ar"/>
        </w:rPr>
      </w:pPr>
      <w:r>
        <w:rPr>
          <w:rFonts w:hint="default" w:ascii="Calibri" w:hAnsi="Calibri" w:eastAsia="Arial Unicode MS" w:cs="Calibri"/>
          <w:b w:val="0"/>
          <w:bCs w:val="0"/>
          <w:color w:val="000000"/>
          <w:kern w:val="0"/>
          <w:sz w:val="24"/>
          <w:szCs w:val="24"/>
          <w:lang w:val="en-US" w:eastAsia="zh-CN" w:bidi="ar"/>
        </w:rPr>
        <w:t xml:space="preserve">Barnard, K. et al.(2021). </w:t>
      </w:r>
      <w:r>
        <w:rPr>
          <w:rFonts w:hint="default" w:ascii="Calibri" w:hAnsi="Calibri" w:eastAsia="Arial Unicode MS" w:cs="Calibri"/>
          <w:b w:val="0"/>
          <w:bCs w:val="0"/>
          <w:i/>
          <w:iCs/>
          <w:color w:val="000000"/>
          <w:kern w:val="0"/>
          <w:sz w:val="24"/>
          <w:szCs w:val="24"/>
          <w:lang w:val="en-US" w:eastAsia="zh-CN" w:bidi="ar"/>
        </w:rPr>
        <w:t xml:space="preserve">Towards media architecture: educating the next generation of urban interaction designers around the world. </w:t>
      </w:r>
      <w:r>
        <w:rPr>
          <w:rFonts w:hint="default" w:ascii="Calibri" w:hAnsi="Calibri" w:eastAsia="Arial Unicode MS" w:cs="Calibri"/>
          <w:b w:val="0"/>
          <w:bCs w:val="0"/>
          <w:color w:val="000000"/>
          <w:kern w:val="0"/>
          <w:sz w:val="24"/>
          <w:szCs w:val="24"/>
          <w:lang w:val="en-US" w:eastAsia="zh-CN" w:bidi="ar"/>
        </w:rPr>
        <w:t xml:space="preserve">Amsterdam University of Applied Sciences </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Colangelo, D. (2014, November). The empire state building and the roles of low-resolution media façades in a data society. In </w:t>
      </w:r>
      <w:r>
        <w:rPr>
          <w:rFonts w:hint="default" w:ascii="Calibri" w:hAnsi="Calibri" w:eastAsia="宋体" w:cs="Calibri"/>
          <w:i/>
          <w:iCs/>
          <w:caps w:val="0"/>
          <w:color w:val="222222"/>
          <w:spacing w:val="0"/>
          <w:sz w:val="24"/>
          <w:szCs w:val="24"/>
          <w:shd w:val="clear" w:fill="FFFFFF"/>
        </w:rPr>
        <w:t>Proceedings of the 2nd Media Architecture Biennale Conference: World Cities</w:t>
      </w:r>
      <w:r>
        <w:rPr>
          <w:rFonts w:hint="default" w:ascii="Calibri" w:hAnsi="Calibri" w:eastAsia="宋体" w:cs="Calibri"/>
          <w:i w:val="0"/>
          <w:iCs w:val="0"/>
          <w:caps w:val="0"/>
          <w:color w:val="222222"/>
          <w:spacing w:val="0"/>
          <w:sz w:val="24"/>
          <w:szCs w:val="24"/>
          <w:shd w:val="clear" w:fill="FFFFFF"/>
        </w:rPr>
        <w:t> (pp. 11-20).</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Caldwell, G. A., &amp; Foth, M. (2014, November). DIY media architecture: open and participatory approaches to community engagement. In </w:t>
      </w:r>
      <w:r>
        <w:rPr>
          <w:rFonts w:hint="default" w:ascii="Calibri" w:hAnsi="Calibri" w:eastAsia="宋体" w:cs="Calibri"/>
          <w:i/>
          <w:iCs/>
          <w:caps w:val="0"/>
          <w:color w:val="222222"/>
          <w:spacing w:val="0"/>
          <w:sz w:val="24"/>
          <w:szCs w:val="24"/>
          <w:shd w:val="clear" w:fill="FFFFFF"/>
        </w:rPr>
        <w:t>Proceedings of the 2nd media architecture biennale conference: World Cities</w:t>
      </w:r>
      <w:r>
        <w:rPr>
          <w:rFonts w:hint="default" w:ascii="Calibri" w:hAnsi="Calibri" w:eastAsia="宋体" w:cs="Calibri"/>
          <w:i w:val="0"/>
          <w:iCs w:val="0"/>
          <w:caps w:val="0"/>
          <w:color w:val="222222"/>
          <w:spacing w:val="0"/>
          <w:sz w:val="24"/>
          <w:szCs w:val="24"/>
          <w:shd w:val="clear" w:fill="FFFFFF"/>
        </w:rPr>
        <w:t> (pp. 1-10).</w:t>
      </w:r>
    </w:p>
    <w:p>
      <w:pPr>
        <w:keepNext w:val="0"/>
        <w:keepLines w:val="0"/>
        <w:widowControl/>
        <w:numPr>
          <w:ilvl w:val="0"/>
          <w:numId w:val="4"/>
        </w:numPr>
        <w:suppressLineNumbers w:val="0"/>
        <w:ind w:left="425" w:leftChars="0" w:hanging="425" w:firstLineChars="0"/>
        <w:jc w:val="left"/>
        <w:rPr>
          <w:rFonts w:hint="default" w:ascii="Calibri" w:hAnsi="Calibri" w:eastAsia="Arial Unicode MS" w:cs="Calibri"/>
          <w:b w:val="0"/>
          <w:bCs w:val="0"/>
          <w:color w:val="000000"/>
          <w:kern w:val="0"/>
          <w:sz w:val="24"/>
          <w:szCs w:val="24"/>
          <w:lang w:val="en-US" w:eastAsia="zh-CN" w:bidi="ar"/>
        </w:rPr>
      </w:pPr>
      <w:r>
        <w:rPr>
          <w:rFonts w:hint="default" w:ascii="Calibri" w:hAnsi="Calibri" w:eastAsia="宋体" w:cs="Calibri"/>
          <w:i w:val="0"/>
          <w:iCs w:val="0"/>
          <w:caps w:val="0"/>
          <w:color w:val="222222"/>
          <w:spacing w:val="0"/>
          <w:sz w:val="24"/>
          <w:szCs w:val="24"/>
          <w:shd w:val="clear" w:fill="FFFFFF"/>
        </w:rPr>
        <w:t>Foth, M. (2017). Some thoughts on digital placemaking. </w:t>
      </w:r>
      <w:r>
        <w:rPr>
          <w:rFonts w:hint="default" w:ascii="Calibri" w:hAnsi="Calibri" w:eastAsia="宋体" w:cs="Calibri"/>
          <w:i/>
          <w:iCs/>
          <w:caps w:val="0"/>
          <w:color w:val="222222"/>
          <w:spacing w:val="0"/>
          <w:sz w:val="24"/>
          <w:szCs w:val="24"/>
          <w:shd w:val="clear" w:fill="FFFFFF"/>
        </w:rPr>
        <w:t>Media architecture compendium: Digital placemaking</w:t>
      </w:r>
      <w:r>
        <w:rPr>
          <w:rFonts w:hint="default" w:ascii="Calibri" w:hAnsi="Calibri" w:eastAsia="宋体" w:cs="Calibri"/>
          <w:i w:val="0"/>
          <w:iCs w:val="0"/>
          <w:caps w:val="0"/>
          <w:color w:val="222222"/>
          <w:spacing w:val="0"/>
          <w:sz w:val="24"/>
          <w:szCs w:val="24"/>
          <w:shd w:val="clear" w:fill="FFFFFF"/>
        </w:rPr>
        <w:t>, 203-205.</w:t>
      </w:r>
    </w:p>
    <w:p>
      <w:pPr>
        <w:keepNext w:val="0"/>
        <w:keepLines w:val="0"/>
        <w:widowControl/>
        <w:numPr>
          <w:ilvl w:val="0"/>
          <w:numId w:val="4"/>
        </w:numPr>
        <w:suppressLineNumbers w:val="0"/>
        <w:spacing w:before="0" w:beforeAutospacing="0" w:after="0" w:afterAutospacing="0"/>
        <w:ind w:left="425" w:leftChars="0" w:hanging="425" w:firstLineChars="0"/>
        <w:rPr>
          <w:rFonts w:hint="default" w:ascii="Calibri" w:hAnsi="Calibri" w:eastAsia="宋体" w:cs="Calibri"/>
          <w:b w:val="0"/>
          <w:bCs w:val="0"/>
          <w:i w:val="0"/>
          <w:iCs w:val="0"/>
          <w:caps w:val="0"/>
          <w:color w:val="222222"/>
          <w:spacing w:val="0"/>
          <w:sz w:val="24"/>
          <w:szCs w:val="24"/>
          <w:shd w:val="clear" w:fill="FFFFFF"/>
        </w:rPr>
      </w:pPr>
      <w:r>
        <w:rPr>
          <w:rFonts w:hint="default" w:ascii="Calibri" w:hAnsi="Calibri" w:eastAsia="宋体" w:cs="Calibri"/>
          <w:b w:val="0"/>
          <w:bCs w:val="0"/>
          <w:i w:val="0"/>
          <w:iCs w:val="0"/>
          <w:caps w:val="0"/>
          <w:color w:val="222222"/>
          <w:spacing w:val="0"/>
          <w:sz w:val="24"/>
          <w:szCs w:val="24"/>
          <w:shd w:val="clear" w:fill="FFFFFF"/>
        </w:rPr>
        <w:t xml:space="preserve">HankHaeusler, M. (2013). Media Building Foundation </w:t>
      </w:r>
      <w:r>
        <w:rPr>
          <w:rFonts w:hint="default" w:ascii="Calibri" w:hAnsi="Calibri" w:eastAsia="宋体" w:cs="Calibri"/>
          <w:b w:val="0"/>
          <w:bCs w:val="0"/>
          <w:i w:val="0"/>
          <w:iCs w:val="0"/>
          <w:caps w:val="0"/>
          <w:color w:val="222222"/>
          <w:spacing w:val="0"/>
          <w:sz w:val="24"/>
          <w:szCs w:val="24"/>
          <w:shd w:val="clear" w:fill="FFFFFF"/>
          <w:lang w:val="en-US" w:eastAsia="zh-CN"/>
        </w:rPr>
        <w:t>Ⅰ</w:t>
      </w:r>
      <w:r>
        <w:rPr>
          <w:rFonts w:hint="default" w:ascii="Calibri" w:hAnsi="Calibri" w:eastAsia="宋体" w:cs="Calibri"/>
          <w:b w:val="0"/>
          <w:bCs w:val="0"/>
          <w:i w:val="0"/>
          <w:iCs w:val="0"/>
          <w:caps w:val="0"/>
          <w:color w:val="222222"/>
          <w:spacing w:val="0"/>
          <w:sz w:val="24"/>
          <w:szCs w:val="24"/>
          <w:shd w:val="clear" w:fill="FFFFFF"/>
        </w:rPr>
        <w:t>. </w:t>
      </w:r>
      <w:r>
        <w:rPr>
          <w:rFonts w:hint="default" w:ascii="Calibri" w:hAnsi="Calibri" w:eastAsia="宋体" w:cs="Calibri"/>
          <w:b w:val="0"/>
          <w:bCs w:val="0"/>
          <w:i/>
          <w:iCs/>
          <w:caps w:val="0"/>
          <w:color w:val="222222"/>
          <w:spacing w:val="0"/>
          <w:sz w:val="24"/>
          <w:szCs w:val="24"/>
          <w:shd w:val="clear" w:fill="FFFFFF"/>
        </w:rPr>
        <w:t>Lighting design</w:t>
      </w:r>
      <w:r>
        <w:rPr>
          <w:rFonts w:hint="default" w:ascii="Calibri" w:hAnsi="Calibri" w:eastAsia="宋体" w:cs="Calibri"/>
          <w:b w:val="0"/>
          <w:bCs w:val="0"/>
          <w:i w:val="0"/>
          <w:iCs w:val="0"/>
          <w:caps w:val="0"/>
          <w:color w:val="222222"/>
          <w:spacing w:val="0"/>
          <w:sz w:val="24"/>
          <w:szCs w:val="24"/>
          <w:shd w:val="clear" w:fill="FFFFFF"/>
        </w:rPr>
        <w:t>, (5), 9</w:t>
      </w:r>
      <w:r>
        <w:rPr>
          <w:rFonts w:hint="default" w:ascii="Calibri" w:hAnsi="Calibri" w:eastAsia="宋体" w:cs="Calibri"/>
          <w:b w:val="0"/>
          <w:bCs w:val="0"/>
          <w:i w:val="0"/>
          <w:iCs w:val="0"/>
          <w:caps w:val="0"/>
          <w:color w:val="222222"/>
          <w:spacing w:val="0"/>
          <w:sz w:val="24"/>
          <w:szCs w:val="24"/>
          <w:shd w:val="clear" w:fill="FFFFFF"/>
          <w:lang w:val="en-US" w:eastAsia="zh-CN"/>
        </w:rPr>
        <w:t>8</w:t>
      </w:r>
      <w:r>
        <w:rPr>
          <w:rFonts w:hint="default" w:ascii="Calibri" w:hAnsi="Calibri" w:eastAsia="宋体" w:cs="Calibri"/>
          <w:b w:val="0"/>
          <w:bCs w:val="0"/>
          <w:i w:val="0"/>
          <w:iCs w:val="0"/>
          <w:caps w:val="0"/>
          <w:color w:val="222222"/>
          <w:spacing w:val="0"/>
          <w:sz w:val="24"/>
          <w:szCs w:val="24"/>
          <w:shd w:val="clear" w:fill="FFFFFF"/>
        </w:rPr>
        <w:t>-</w:t>
      </w:r>
      <w:r>
        <w:rPr>
          <w:rFonts w:hint="default" w:ascii="Calibri" w:hAnsi="Calibri" w:eastAsia="宋体" w:cs="Calibri"/>
          <w:b w:val="0"/>
          <w:bCs w:val="0"/>
          <w:i w:val="0"/>
          <w:iCs w:val="0"/>
          <w:caps w:val="0"/>
          <w:color w:val="222222"/>
          <w:spacing w:val="0"/>
          <w:sz w:val="24"/>
          <w:szCs w:val="24"/>
          <w:shd w:val="clear" w:fill="FFFFFF"/>
          <w:lang w:val="en-US" w:eastAsia="zh-CN"/>
        </w:rPr>
        <w:t>101</w:t>
      </w:r>
      <w:r>
        <w:rPr>
          <w:rFonts w:hint="default" w:ascii="Calibri" w:hAnsi="Calibri" w:eastAsia="宋体" w:cs="Calibri"/>
          <w:b w:val="0"/>
          <w:bCs w:val="0"/>
          <w:i w:val="0"/>
          <w:iCs w:val="0"/>
          <w:caps w:val="0"/>
          <w:color w:val="222222"/>
          <w:spacing w:val="0"/>
          <w:sz w:val="24"/>
          <w:szCs w:val="24"/>
          <w:shd w:val="clear" w:fill="FFFFFF"/>
        </w:rPr>
        <w:t>.</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b w:val="0"/>
          <w:bCs w:val="0"/>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Hespanhol, L., &amp; Tomitsch, M. (2012, November). Designing for collective participation with media installations in public spaces. In </w:t>
      </w:r>
      <w:r>
        <w:rPr>
          <w:rFonts w:hint="default" w:ascii="Calibri" w:hAnsi="Calibri" w:eastAsia="宋体" w:cs="Calibri"/>
          <w:i/>
          <w:iCs/>
          <w:caps w:val="0"/>
          <w:color w:val="222222"/>
          <w:spacing w:val="0"/>
          <w:sz w:val="24"/>
          <w:szCs w:val="24"/>
          <w:shd w:val="clear" w:fill="FFFFFF"/>
        </w:rPr>
        <w:t>Proceedings of the 4th Media Architecture Biennale Conference: Participation</w:t>
      </w:r>
      <w:r>
        <w:rPr>
          <w:rFonts w:hint="default" w:ascii="Calibri" w:hAnsi="Calibri" w:eastAsia="宋体" w:cs="Calibri"/>
          <w:i w:val="0"/>
          <w:iCs w:val="0"/>
          <w:caps w:val="0"/>
          <w:color w:val="222222"/>
          <w:spacing w:val="0"/>
          <w:sz w:val="24"/>
          <w:szCs w:val="24"/>
          <w:shd w:val="clear" w:fill="FFFFFF"/>
        </w:rPr>
        <w:t> (pp. 33-42).</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b w:val="0"/>
          <w:bCs w:val="0"/>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Lee, S. J. (2016, June). Citywide management of media facades: Case study of Seoul city. In </w:t>
      </w:r>
      <w:r>
        <w:rPr>
          <w:rFonts w:hint="default" w:ascii="Calibri" w:hAnsi="Calibri" w:eastAsia="宋体" w:cs="Calibri"/>
          <w:i/>
          <w:iCs/>
          <w:caps w:val="0"/>
          <w:color w:val="222222"/>
          <w:spacing w:val="0"/>
          <w:sz w:val="24"/>
          <w:szCs w:val="24"/>
          <w:shd w:val="clear" w:fill="FFFFFF"/>
        </w:rPr>
        <w:t>Proceedings of the 3rd Conference on Media Architecture Biennale</w:t>
      </w:r>
      <w:r>
        <w:rPr>
          <w:rFonts w:hint="default" w:ascii="Calibri" w:hAnsi="Calibri" w:eastAsia="宋体" w:cs="Calibri"/>
          <w:i w:val="0"/>
          <w:iCs w:val="0"/>
          <w:caps w:val="0"/>
          <w:color w:val="222222"/>
          <w:spacing w:val="0"/>
          <w:sz w:val="24"/>
          <w:szCs w:val="24"/>
          <w:shd w:val="clear" w:fill="FFFFFF"/>
        </w:rPr>
        <w:t> (pp. 1-4).</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McArthur, I. (2018, November). Mapping Chongqing's Urban Media Ecology. In </w:t>
      </w:r>
      <w:r>
        <w:rPr>
          <w:rFonts w:hint="default" w:ascii="Calibri" w:hAnsi="Calibri" w:eastAsia="宋体" w:cs="Calibri"/>
          <w:i/>
          <w:iCs/>
          <w:caps w:val="0"/>
          <w:color w:val="222222"/>
          <w:spacing w:val="0"/>
          <w:sz w:val="24"/>
          <w:szCs w:val="24"/>
          <w:shd w:val="clear" w:fill="FFFFFF"/>
        </w:rPr>
        <w:t>Proceedings of the 4th Media Architecture Biennale Conference</w:t>
      </w:r>
      <w:r>
        <w:rPr>
          <w:rFonts w:hint="default" w:ascii="Calibri" w:hAnsi="Calibri" w:eastAsia="宋体" w:cs="Calibri"/>
          <w:i w:val="0"/>
          <w:iCs w:val="0"/>
          <w:caps w:val="0"/>
          <w:color w:val="222222"/>
          <w:spacing w:val="0"/>
          <w:sz w:val="24"/>
          <w:szCs w:val="24"/>
          <w:shd w:val="clear" w:fill="FFFFFF"/>
        </w:rPr>
        <w:t> (pp. 1-10).</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b w:val="0"/>
          <w:bCs w:val="0"/>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McQuire, S., Papastergiadis, N., Vetere, F., Gibbs, M. R., Downs, J., &amp; Pedell, S. (2015). Planning for Urban Media: Large Public Screens and Urban Communication. In </w:t>
      </w:r>
      <w:r>
        <w:rPr>
          <w:rFonts w:hint="default" w:ascii="Calibri" w:hAnsi="Calibri" w:eastAsia="宋体" w:cs="Calibri"/>
          <w:i/>
          <w:iCs/>
          <w:caps w:val="0"/>
          <w:color w:val="222222"/>
          <w:spacing w:val="0"/>
          <w:sz w:val="24"/>
          <w:szCs w:val="24"/>
          <w:shd w:val="clear" w:fill="FFFFFF"/>
        </w:rPr>
        <w:t>Emerging Issues, Challenges, and Opportunities in Urban E-Planning</w:t>
      </w:r>
      <w:r>
        <w:rPr>
          <w:rFonts w:hint="default" w:ascii="Calibri" w:hAnsi="Calibri" w:eastAsia="宋体" w:cs="Calibri"/>
          <w:i w:val="0"/>
          <w:iCs w:val="0"/>
          <w:caps w:val="0"/>
          <w:color w:val="222222"/>
          <w:spacing w:val="0"/>
          <w:sz w:val="24"/>
          <w:szCs w:val="24"/>
          <w:shd w:val="clear" w:fill="FFFFFF"/>
        </w:rPr>
        <w:t> (pp. 141-164). IGI Global.</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b w:val="0"/>
          <w:bCs w:val="0"/>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Offenhuber, D., &amp; Auinger, S. (2021). Distancing interfaces—improvisational media architectures for place-based discourse under lockdown. In </w:t>
      </w:r>
      <w:r>
        <w:rPr>
          <w:rFonts w:hint="default" w:ascii="Calibri" w:hAnsi="Calibri" w:eastAsia="宋体" w:cs="Calibri"/>
          <w:i/>
          <w:iCs/>
          <w:caps w:val="0"/>
          <w:color w:val="222222"/>
          <w:spacing w:val="0"/>
          <w:sz w:val="24"/>
          <w:szCs w:val="24"/>
          <w:shd w:val="clear" w:fill="FFFFFF"/>
        </w:rPr>
        <w:t>Media Architecture Biennale 20</w:t>
      </w:r>
      <w:r>
        <w:rPr>
          <w:rFonts w:hint="default" w:ascii="Calibri" w:hAnsi="Calibri" w:eastAsia="宋体" w:cs="Calibri"/>
          <w:i w:val="0"/>
          <w:iCs w:val="0"/>
          <w:caps w:val="0"/>
          <w:color w:val="222222"/>
          <w:spacing w:val="0"/>
          <w:sz w:val="24"/>
          <w:szCs w:val="24"/>
          <w:shd w:val="clear" w:fill="FFFFFF"/>
        </w:rPr>
        <w:t> (pp. 111-120).</w:t>
      </w:r>
    </w:p>
    <w:p>
      <w:pPr>
        <w:keepNext w:val="0"/>
        <w:keepLines w:val="0"/>
        <w:widowControl/>
        <w:numPr>
          <w:ilvl w:val="0"/>
          <w:numId w:val="4"/>
        </w:numPr>
        <w:suppressLineNumbers w:val="0"/>
        <w:spacing w:before="0" w:beforeAutospacing="0" w:after="0" w:afterAutospacing="0"/>
        <w:ind w:left="425" w:leftChars="0" w:hanging="425" w:firstLineChars="0"/>
        <w:rPr>
          <w:rFonts w:hint="default" w:ascii="Calibri" w:hAnsi="Calibri" w:eastAsia="宋体" w:cs="Calibri"/>
          <w:b w:val="0"/>
          <w:bCs w:val="0"/>
          <w:i w:val="0"/>
          <w:iCs w:val="0"/>
          <w:caps w:val="0"/>
          <w:color w:val="222222"/>
          <w:spacing w:val="0"/>
          <w:sz w:val="24"/>
          <w:szCs w:val="24"/>
          <w:shd w:val="clear" w:fill="FFFFFF"/>
        </w:rPr>
      </w:pPr>
      <w:r>
        <w:rPr>
          <w:rFonts w:hint="default" w:ascii="Calibri" w:hAnsi="Calibri" w:eastAsia="宋体" w:cs="Calibri"/>
          <w:b w:val="0"/>
          <w:bCs w:val="0"/>
          <w:i w:val="0"/>
          <w:iCs w:val="0"/>
          <w:caps w:val="0"/>
          <w:color w:val="222222"/>
          <w:spacing w:val="0"/>
          <w:sz w:val="24"/>
          <w:szCs w:val="24"/>
          <w:shd w:val="clear" w:fill="FFFFFF"/>
        </w:rPr>
        <w:t>Preiser, W. F., White, E., &amp; Rabinowitz, H. (2015). </w:t>
      </w:r>
      <w:r>
        <w:rPr>
          <w:rFonts w:hint="default" w:ascii="Calibri" w:hAnsi="Calibri" w:eastAsia="宋体" w:cs="Calibri"/>
          <w:b w:val="0"/>
          <w:bCs w:val="0"/>
          <w:i/>
          <w:iCs/>
          <w:caps w:val="0"/>
          <w:color w:val="222222"/>
          <w:spacing w:val="0"/>
          <w:sz w:val="24"/>
          <w:szCs w:val="24"/>
          <w:shd w:val="clear" w:fill="FFFFFF"/>
        </w:rPr>
        <w:t>Post-Occupancy Evaluation (Routledge Revivals)</w:t>
      </w:r>
      <w:r>
        <w:rPr>
          <w:rFonts w:hint="default" w:ascii="Calibri" w:hAnsi="Calibri" w:eastAsia="宋体" w:cs="Calibri"/>
          <w:b w:val="0"/>
          <w:bCs w:val="0"/>
          <w:i w:val="0"/>
          <w:iCs w:val="0"/>
          <w:caps w:val="0"/>
          <w:color w:val="222222"/>
          <w:spacing w:val="0"/>
          <w:sz w:val="24"/>
          <w:szCs w:val="24"/>
          <w:shd w:val="clear" w:fill="FFFFFF"/>
        </w:rPr>
        <w:t>. Routledge.</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Papastergiadis, N., McQuire, S., Gu, X., Barikin, A., Gibson, R., Yue, A., ... &amp; Jones, M. (2013). Mega screens for mega cities. </w:t>
      </w:r>
      <w:r>
        <w:rPr>
          <w:rFonts w:hint="default" w:ascii="Calibri" w:hAnsi="Calibri" w:eastAsia="宋体" w:cs="Calibri"/>
          <w:i/>
          <w:iCs/>
          <w:caps w:val="0"/>
          <w:color w:val="222222"/>
          <w:spacing w:val="0"/>
          <w:sz w:val="24"/>
          <w:szCs w:val="24"/>
          <w:shd w:val="clear" w:fill="FFFFFF"/>
        </w:rPr>
        <w:t>Theory, Culture &amp; Society</w:t>
      </w:r>
      <w:r>
        <w:rPr>
          <w:rFonts w:hint="default" w:ascii="Calibri" w:hAnsi="Calibri" w:eastAsia="宋体" w:cs="Calibri"/>
          <w:i w:val="0"/>
          <w:iCs w:val="0"/>
          <w:caps w:val="0"/>
          <w:color w:val="222222"/>
          <w:spacing w:val="0"/>
          <w:sz w:val="24"/>
          <w:szCs w:val="24"/>
          <w:shd w:val="clear" w:fill="FFFFFF"/>
        </w:rPr>
        <w:t>, </w:t>
      </w:r>
      <w:r>
        <w:rPr>
          <w:rFonts w:hint="default" w:ascii="Calibri" w:hAnsi="Calibri" w:eastAsia="宋体" w:cs="Calibri"/>
          <w:i/>
          <w:iCs/>
          <w:caps w:val="0"/>
          <w:color w:val="222222"/>
          <w:spacing w:val="0"/>
          <w:sz w:val="24"/>
          <w:szCs w:val="24"/>
          <w:shd w:val="clear" w:fill="FFFFFF"/>
        </w:rPr>
        <w:t>30</w:t>
      </w:r>
      <w:r>
        <w:rPr>
          <w:rFonts w:hint="default" w:ascii="Calibri" w:hAnsi="Calibri" w:eastAsia="宋体" w:cs="Calibri"/>
          <w:i w:val="0"/>
          <w:iCs w:val="0"/>
          <w:caps w:val="0"/>
          <w:color w:val="222222"/>
          <w:spacing w:val="0"/>
          <w:sz w:val="24"/>
          <w:szCs w:val="24"/>
          <w:shd w:val="clear" w:fill="FFFFFF"/>
        </w:rPr>
        <w:t>(7-8), 325-341.</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Schielke, T., &amp; Ma, L. (2021). Media scapes in China: The empire of figures transforms into connected media facades. In </w:t>
      </w:r>
      <w:r>
        <w:rPr>
          <w:rFonts w:hint="default" w:ascii="Calibri" w:hAnsi="Calibri" w:eastAsia="宋体" w:cs="Calibri"/>
          <w:i/>
          <w:iCs/>
          <w:caps w:val="0"/>
          <w:color w:val="222222"/>
          <w:spacing w:val="0"/>
          <w:sz w:val="24"/>
          <w:szCs w:val="24"/>
          <w:shd w:val="clear" w:fill="FFFFFF"/>
        </w:rPr>
        <w:t>Media Architecture Biennale 20</w:t>
      </w:r>
      <w:r>
        <w:rPr>
          <w:rFonts w:hint="default" w:ascii="Calibri" w:hAnsi="Calibri" w:eastAsia="宋体" w:cs="Calibri"/>
          <w:i w:val="0"/>
          <w:iCs w:val="0"/>
          <w:caps w:val="0"/>
          <w:color w:val="222222"/>
          <w:spacing w:val="0"/>
          <w:sz w:val="24"/>
          <w:szCs w:val="24"/>
          <w:shd w:val="clear" w:fill="FFFFFF"/>
        </w:rPr>
        <w:t> (pp. 221-226).</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Sotres Castrejon, P., Guerrero Millan, C., Rivas Herrera, C., Morales Zaragoza, N., &amp; Negrete Yankelevich, S. (2021). Ubiquitous Memory: A field study on ubiquitous technology systems and interaction design for the symbolic appropriation of spaces through collective memory. In </w:t>
      </w:r>
      <w:r>
        <w:rPr>
          <w:rFonts w:hint="default" w:ascii="Calibri" w:hAnsi="Calibri" w:eastAsia="宋体" w:cs="Calibri"/>
          <w:i/>
          <w:iCs/>
          <w:caps w:val="0"/>
          <w:color w:val="222222"/>
          <w:spacing w:val="0"/>
          <w:sz w:val="24"/>
          <w:szCs w:val="24"/>
          <w:shd w:val="clear" w:fill="FFFFFF"/>
        </w:rPr>
        <w:t>Media Architecture Biennale 20</w:t>
      </w:r>
      <w:r>
        <w:rPr>
          <w:rFonts w:hint="default" w:ascii="Calibri" w:hAnsi="Calibri" w:eastAsia="宋体" w:cs="Calibri"/>
          <w:i w:val="0"/>
          <w:iCs w:val="0"/>
          <w:caps w:val="0"/>
          <w:color w:val="222222"/>
          <w:spacing w:val="0"/>
          <w:sz w:val="24"/>
          <w:szCs w:val="24"/>
          <w:shd w:val="clear" w:fill="FFFFFF"/>
        </w:rPr>
        <w:t> (pp. 121-130).</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Søndergaard, M. (2012, November). The implied producer investigating an emergent typology in participatory culture. In </w:t>
      </w:r>
      <w:r>
        <w:rPr>
          <w:rFonts w:hint="default" w:ascii="Calibri" w:hAnsi="Calibri" w:eastAsia="宋体" w:cs="Calibri"/>
          <w:i/>
          <w:iCs/>
          <w:caps w:val="0"/>
          <w:color w:val="222222"/>
          <w:spacing w:val="0"/>
          <w:sz w:val="24"/>
          <w:szCs w:val="24"/>
          <w:shd w:val="clear" w:fill="FFFFFF"/>
        </w:rPr>
        <w:t>Proceedings of the 4th Media Architecture Biennale Conference: Participation</w:t>
      </w:r>
      <w:r>
        <w:rPr>
          <w:rFonts w:hint="default" w:ascii="Calibri" w:hAnsi="Calibri" w:eastAsia="宋体" w:cs="Calibri"/>
          <w:i w:val="0"/>
          <w:iCs w:val="0"/>
          <w:caps w:val="0"/>
          <w:color w:val="222222"/>
          <w:spacing w:val="0"/>
          <w:sz w:val="24"/>
          <w:szCs w:val="24"/>
          <w:shd w:val="clear" w:fill="FFFFFF"/>
        </w:rPr>
        <w:t> (pp. 5-8).</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Van Leeuwen, J. P., Hermans, K., Jylhä, A., Quanjer, A. J., &amp; Nijman, H. (2018, November). Effectiveness of virtual reality in participatory urban planning: A case study. In </w:t>
      </w:r>
      <w:r>
        <w:rPr>
          <w:rFonts w:hint="default" w:ascii="Calibri" w:hAnsi="Calibri" w:eastAsia="宋体" w:cs="Calibri"/>
          <w:i/>
          <w:iCs/>
          <w:caps w:val="0"/>
          <w:color w:val="222222"/>
          <w:spacing w:val="0"/>
          <w:sz w:val="24"/>
          <w:szCs w:val="24"/>
          <w:shd w:val="clear" w:fill="FFFFFF"/>
        </w:rPr>
        <w:t>Proceedings of the 4th Media Architecture Biennale Conference</w:t>
      </w:r>
      <w:r>
        <w:rPr>
          <w:rFonts w:hint="default" w:ascii="Calibri" w:hAnsi="Calibri" w:eastAsia="宋体" w:cs="Calibri"/>
          <w:i w:val="0"/>
          <w:iCs w:val="0"/>
          <w:caps w:val="0"/>
          <w:color w:val="222222"/>
          <w:spacing w:val="0"/>
          <w:sz w:val="24"/>
          <w:szCs w:val="24"/>
          <w:shd w:val="clear" w:fill="FFFFFF"/>
        </w:rPr>
        <w:t> (pp. 128-136).</w:t>
      </w:r>
    </w:p>
    <w:p>
      <w:pPr>
        <w:keepNext w:val="0"/>
        <w:keepLines w:val="0"/>
        <w:widowControl/>
        <w:numPr>
          <w:ilvl w:val="0"/>
          <w:numId w:val="4"/>
        </w:numPr>
        <w:suppressLineNumbers w:val="0"/>
        <w:ind w:left="425" w:leftChars="0" w:hanging="425" w:firstLineChars="0"/>
        <w:jc w:val="left"/>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Wouters, N., Wohlgezogen, F., &amp; Halskov, K. (2021). The Business Case for Media Architecture: Modelling Project Benefits to Justify Investment. In </w:t>
      </w:r>
      <w:r>
        <w:rPr>
          <w:rFonts w:hint="default" w:ascii="Calibri" w:hAnsi="Calibri" w:eastAsia="宋体" w:cs="Calibri"/>
          <w:i/>
          <w:iCs/>
          <w:caps w:val="0"/>
          <w:color w:val="222222"/>
          <w:spacing w:val="0"/>
          <w:sz w:val="24"/>
          <w:szCs w:val="24"/>
          <w:shd w:val="clear" w:fill="FFFFFF"/>
        </w:rPr>
        <w:t>Media Architecture Biennale 20</w:t>
      </w:r>
      <w:r>
        <w:rPr>
          <w:rFonts w:hint="default" w:ascii="Calibri" w:hAnsi="Calibri" w:eastAsia="宋体" w:cs="Calibri"/>
          <w:i w:val="0"/>
          <w:iCs w:val="0"/>
          <w:caps w:val="0"/>
          <w:color w:val="222222"/>
          <w:spacing w:val="0"/>
          <w:sz w:val="24"/>
          <w:szCs w:val="24"/>
          <w:shd w:val="clear" w:fill="FFFFFF"/>
        </w:rPr>
        <w:t> (pp. 54-65).</w:t>
      </w:r>
    </w:p>
    <w:p>
      <w:pPr>
        <w:keepNext w:val="0"/>
        <w:keepLines w:val="0"/>
        <w:widowControl/>
        <w:numPr>
          <w:ilvl w:val="0"/>
          <w:numId w:val="4"/>
        </w:numPr>
        <w:suppressLineNumbers w:val="0"/>
        <w:ind w:left="425" w:leftChars="0" w:hanging="425" w:firstLineChars="0"/>
        <w:jc w:val="left"/>
        <w:rPr>
          <w:rFonts w:hint="default" w:ascii="Calibri" w:hAnsi="Calibri" w:cs="Calibri"/>
          <w:sz w:val="24"/>
          <w:szCs w:val="24"/>
        </w:rPr>
      </w:pPr>
      <w:r>
        <w:rPr>
          <w:rFonts w:hint="default" w:ascii="Calibri" w:hAnsi="Calibri" w:eastAsia="宋体" w:cs="Calibri"/>
          <w:i w:val="0"/>
          <w:iCs w:val="0"/>
          <w:caps w:val="0"/>
          <w:color w:val="222222"/>
          <w:spacing w:val="0"/>
          <w:sz w:val="24"/>
          <w:szCs w:val="24"/>
          <w:shd w:val="clear" w:fill="FFFFFF"/>
        </w:rPr>
        <w:t>Zielinska-Dabkowska, K. M. (2014, November). Critical perspectives on media architecture: is it still possible to design projects without negatively affecting urban nighttime environments and will the future remain dynamic, bright and multi-colored?. In </w:t>
      </w:r>
      <w:r>
        <w:rPr>
          <w:rFonts w:hint="default" w:ascii="Calibri" w:hAnsi="Calibri" w:eastAsia="宋体" w:cs="Calibri"/>
          <w:i/>
          <w:iCs/>
          <w:caps w:val="0"/>
          <w:color w:val="222222"/>
          <w:spacing w:val="0"/>
          <w:sz w:val="24"/>
          <w:szCs w:val="24"/>
          <w:shd w:val="clear" w:fill="FFFFFF"/>
        </w:rPr>
        <w:t>Proceedings of the 2nd Media Architecture Biennale Conference: World Cities</w:t>
      </w:r>
      <w:r>
        <w:rPr>
          <w:rFonts w:hint="default" w:ascii="Calibri" w:hAnsi="Calibri" w:eastAsia="宋体" w:cs="Calibri"/>
          <w:i w:val="0"/>
          <w:iCs w:val="0"/>
          <w:caps w:val="0"/>
          <w:color w:val="222222"/>
          <w:spacing w:val="0"/>
          <w:sz w:val="24"/>
          <w:szCs w:val="24"/>
          <w:shd w:val="clear" w:fill="FFFFFF"/>
        </w:rPr>
        <w:t> (pp. 101-108)</w:t>
      </w:r>
    </w:p>
    <w:p>
      <w:pPr>
        <w:keepNext w:val="0"/>
        <w:keepLines w:val="0"/>
        <w:widowControl/>
        <w:numPr>
          <w:ilvl w:val="0"/>
          <w:numId w:val="0"/>
        </w:numPr>
        <w:suppressLineNumbers w:val="0"/>
        <w:jc w:val="left"/>
        <w:rPr>
          <w:rFonts w:hint="default" w:ascii="Calibri" w:hAnsi="Calibri" w:eastAsia="宋体" w:cs="Calibri"/>
          <w:i w:val="0"/>
          <w:iCs w:val="0"/>
          <w:caps w:val="0"/>
          <w:color w:val="222222"/>
          <w:spacing w:val="0"/>
          <w:sz w:val="24"/>
          <w:szCs w:val="24"/>
          <w:shd w:val="clear" w:fill="FFFFFF"/>
        </w:rPr>
      </w:pPr>
    </w:p>
    <w:p>
      <w:pPr>
        <w:keepNext w:val="0"/>
        <w:keepLines w:val="0"/>
        <w:widowControl/>
        <w:numPr>
          <w:ilvl w:val="0"/>
          <w:numId w:val="0"/>
        </w:numPr>
        <w:suppressLineNumbers w:val="0"/>
        <w:jc w:val="left"/>
        <w:rPr>
          <w:rFonts w:hint="default" w:ascii="Calibri" w:hAnsi="Calibri" w:eastAsia="宋体" w:cs="Calibri"/>
          <w:i w:val="0"/>
          <w:iCs w:val="0"/>
          <w:caps w:val="0"/>
          <w:color w:val="222222"/>
          <w:spacing w:val="0"/>
          <w:sz w:val="24"/>
          <w:szCs w:val="24"/>
          <w:shd w:val="clear" w:fill="FFFFFF"/>
        </w:rPr>
      </w:pPr>
    </w:p>
    <w:p>
      <w:pPr>
        <w:keepNext w:val="0"/>
        <w:keepLines w:val="0"/>
        <w:widowControl/>
        <w:numPr>
          <w:ilvl w:val="0"/>
          <w:numId w:val="0"/>
        </w:numPr>
        <w:suppressLineNumbers w:val="0"/>
        <w:jc w:val="left"/>
        <w:rPr>
          <w:rFonts w:hint="default" w:ascii="Calibri" w:hAnsi="Calibri" w:eastAsia="宋体" w:cs="Calibri"/>
          <w:i w:val="0"/>
          <w:iCs w:val="0"/>
          <w:caps w:val="0"/>
          <w:color w:val="222222"/>
          <w:spacing w:val="0"/>
          <w:sz w:val="24"/>
          <w:szCs w:val="24"/>
          <w:shd w:val="clear" w:fill="FFFFFF"/>
        </w:rPr>
      </w:pPr>
    </w:p>
    <w:p>
      <w:pPr>
        <w:keepNext w:val="0"/>
        <w:keepLines w:val="0"/>
        <w:widowControl/>
        <w:suppressLineNumbers w:val="0"/>
        <w:jc w:val="left"/>
        <w:rPr>
          <w:rFonts w:hint="default" w:ascii="Calibri" w:hAnsi="Calibri" w:eastAsia="宋体" w:cs="Calibri"/>
          <w:i w:val="0"/>
          <w:iCs w:val="0"/>
          <w:caps w:val="0"/>
          <w:color w:val="222222"/>
          <w:spacing w:val="0"/>
          <w:sz w:val="24"/>
          <w:szCs w:val="24"/>
          <w:shd w:val="clear" w:fill="FFFFFF"/>
        </w:rPr>
      </w:pPr>
      <w:r>
        <w:rPr>
          <w:rFonts w:hint="default" w:ascii="Calibri" w:hAnsi="Calibri" w:eastAsia="TimesNewRomanPS-BoldMT" w:cs="Calibri"/>
          <w:b/>
          <w:bCs w:val="0"/>
          <w:color w:val="000000"/>
          <w:kern w:val="0"/>
          <w:sz w:val="24"/>
          <w:szCs w:val="24"/>
          <w:lang w:val="en-US" w:eastAsia="zh-CN" w:bidi="ar"/>
        </w:rPr>
        <w:t>References</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Alexander, C. (1977). </w:t>
      </w:r>
      <w:r>
        <w:rPr>
          <w:rFonts w:hint="default" w:ascii="Calibri" w:hAnsi="Calibri" w:eastAsia="宋体" w:cs="Calibri"/>
          <w:i/>
          <w:iCs/>
          <w:caps w:val="0"/>
          <w:color w:val="222222"/>
          <w:spacing w:val="0"/>
          <w:sz w:val="24"/>
          <w:szCs w:val="24"/>
          <w:shd w:val="clear" w:fill="FFFFFF"/>
        </w:rPr>
        <w:t>A pattern language: towns, buildings, construction</w:t>
      </w:r>
      <w:r>
        <w:rPr>
          <w:rFonts w:hint="default" w:ascii="Calibri" w:hAnsi="Calibri" w:eastAsia="宋体" w:cs="Calibri"/>
          <w:i w:val="0"/>
          <w:iCs w:val="0"/>
          <w:caps w:val="0"/>
          <w:color w:val="222222"/>
          <w:spacing w:val="0"/>
          <w:sz w:val="24"/>
          <w:szCs w:val="24"/>
          <w:shd w:val="clear" w:fill="FFFFFF"/>
        </w:rPr>
        <w:t>. Oxford university press.</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Aristoteles, &amp; Apostle, H. G. (1966). </w:t>
      </w:r>
      <w:r>
        <w:rPr>
          <w:rFonts w:hint="default" w:ascii="Calibri" w:hAnsi="Calibri" w:eastAsia="宋体" w:cs="Calibri"/>
          <w:i/>
          <w:iCs/>
          <w:caps w:val="0"/>
          <w:color w:val="222222"/>
          <w:spacing w:val="0"/>
          <w:sz w:val="24"/>
          <w:szCs w:val="24"/>
          <w:shd w:val="clear" w:fill="FFFFFF"/>
        </w:rPr>
        <w:t>Aristotle's metaphysics</w:t>
      </w:r>
      <w:r>
        <w:rPr>
          <w:rFonts w:hint="default" w:ascii="Calibri" w:hAnsi="Calibri" w:eastAsia="宋体" w:cs="Calibri"/>
          <w:i w:val="0"/>
          <w:iCs w:val="0"/>
          <w:caps w:val="0"/>
          <w:color w:val="222222"/>
          <w:spacing w:val="0"/>
          <w:sz w:val="24"/>
          <w:szCs w:val="24"/>
          <w:shd w:val="clear" w:fill="FFFFFF"/>
        </w:rPr>
        <w:t> (p. 77). Bloomington: Indiana University Press.</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Dalsgaard, P., Halskov, K., &amp; Wiethoff, A. (2016). Designing media architecture: Tools and approaches for addressing the main design challenges. In </w:t>
      </w:r>
      <w:r>
        <w:rPr>
          <w:rFonts w:hint="default" w:ascii="Calibri" w:hAnsi="Calibri" w:eastAsia="宋体" w:cs="Calibri"/>
          <w:i/>
          <w:iCs/>
          <w:caps w:val="0"/>
          <w:color w:val="222222"/>
          <w:spacing w:val="0"/>
          <w:sz w:val="24"/>
          <w:szCs w:val="24"/>
          <w:shd w:val="clear" w:fill="FFFFFF"/>
        </w:rPr>
        <w:t>the 2016 CHI Conference on Human Factors in Computing Systems</w:t>
      </w:r>
      <w:r>
        <w:rPr>
          <w:rFonts w:hint="default" w:ascii="Calibri" w:hAnsi="Calibri" w:eastAsia="宋体" w:cs="Calibri"/>
          <w:i w:val="0"/>
          <w:iCs w:val="0"/>
          <w:caps w:val="0"/>
          <w:color w:val="222222"/>
          <w:spacing w:val="0"/>
          <w:sz w:val="24"/>
          <w:szCs w:val="24"/>
          <w:shd w:val="clear" w:fill="FFFFFF"/>
        </w:rPr>
        <w:t> (pp. 2562-2573).</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Hurol, Y. (2020). On ontological approaches to academic research in architecture. </w:t>
      </w:r>
      <w:r>
        <w:rPr>
          <w:rFonts w:hint="default" w:ascii="Calibri" w:hAnsi="Calibri" w:eastAsia="宋体" w:cs="Calibri"/>
          <w:i/>
          <w:iCs/>
          <w:caps w:val="0"/>
          <w:color w:val="222222"/>
          <w:spacing w:val="0"/>
          <w:sz w:val="24"/>
          <w:szCs w:val="24"/>
          <w:shd w:val="clear" w:fill="FFFFFF"/>
        </w:rPr>
        <w:t>Open House International</w:t>
      </w:r>
      <w:r>
        <w:rPr>
          <w:rFonts w:hint="default" w:ascii="Calibri" w:hAnsi="Calibri" w:eastAsia="宋体" w:cs="Calibri"/>
          <w:i w:val="0"/>
          <w:iCs w:val="0"/>
          <w:caps w:val="0"/>
          <w:color w:val="222222"/>
          <w:spacing w:val="0"/>
          <w:sz w:val="24"/>
          <w:szCs w:val="24"/>
          <w:shd w:val="clear" w:fill="FFFFFF"/>
        </w:rPr>
        <w:t>, </w:t>
      </w:r>
      <w:r>
        <w:rPr>
          <w:rFonts w:hint="default" w:ascii="Calibri" w:hAnsi="Calibri" w:eastAsia="宋体" w:cs="Calibri"/>
          <w:i/>
          <w:iCs/>
          <w:caps w:val="0"/>
          <w:color w:val="222222"/>
          <w:spacing w:val="0"/>
          <w:sz w:val="24"/>
          <w:szCs w:val="24"/>
          <w:shd w:val="clear" w:fill="FFFFFF"/>
        </w:rPr>
        <w:t>45</w:t>
      </w:r>
      <w:r>
        <w:rPr>
          <w:rFonts w:hint="default" w:ascii="Calibri" w:hAnsi="Calibri" w:eastAsia="宋体" w:cs="Calibri"/>
          <w:i w:val="0"/>
          <w:iCs w:val="0"/>
          <w:caps w:val="0"/>
          <w:color w:val="222222"/>
          <w:spacing w:val="0"/>
          <w:sz w:val="24"/>
          <w:szCs w:val="24"/>
          <w:shd w:val="clear" w:fill="FFFFFF"/>
        </w:rPr>
        <w:t>(1/2), 69-85.</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Hespanhol, L., &amp; Dalsgaard, P. (2015, September). Social interaction design patterns for urban media architecture. In </w:t>
      </w:r>
      <w:r>
        <w:rPr>
          <w:rFonts w:hint="default" w:ascii="Calibri" w:hAnsi="Calibri" w:eastAsia="宋体" w:cs="Calibri"/>
          <w:i/>
          <w:iCs/>
          <w:caps w:val="0"/>
          <w:color w:val="222222"/>
          <w:spacing w:val="0"/>
          <w:sz w:val="24"/>
          <w:szCs w:val="24"/>
          <w:shd w:val="clear" w:fill="FFFFFF"/>
        </w:rPr>
        <w:t>IFIP Conference on Human-Computer Interaction</w:t>
      </w:r>
      <w:r>
        <w:rPr>
          <w:rFonts w:hint="default" w:ascii="Calibri" w:hAnsi="Calibri" w:eastAsia="宋体" w:cs="Calibri"/>
          <w:i w:val="0"/>
          <w:iCs w:val="0"/>
          <w:caps w:val="0"/>
          <w:color w:val="222222"/>
          <w:spacing w:val="0"/>
          <w:sz w:val="24"/>
          <w:szCs w:val="24"/>
          <w:shd w:val="clear" w:fill="FFFFFF"/>
        </w:rPr>
        <w:t> (pp. 596-613). Springer, Cham.</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Holden, T., &amp; Holden, T. A. (2004). </w:t>
      </w:r>
      <w:r>
        <w:rPr>
          <w:rFonts w:hint="default" w:ascii="Calibri" w:hAnsi="Calibri" w:eastAsia="宋体" w:cs="Calibri"/>
          <w:i/>
          <w:iCs/>
          <w:caps w:val="0"/>
          <w:color w:val="222222"/>
          <w:spacing w:val="0"/>
          <w:sz w:val="24"/>
          <w:szCs w:val="24"/>
          <w:shd w:val="clear" w:fill="FFFFFF"/>
        </w:rPr>
        <w:t>The architecture of matter: Galileo to Kant</w:t>
      </w:r>
      <w:r>
        <w:rPr>
          <w:rFonts w:hint="default" w:ascii="Calibri" w:hAnsi="Calibri" w:eastAsia="宋体" w:cs="Calibri"/>
          <w:i w:val="0"/>
          <w:iCs w:val="0"/>
          <w:caps w:val="0"/>
          <w:color w:val="222222"/>
          <w:spacing w:val="0"/>
          <w:sz w:val="24"/>
          <w:szCs w:val="24"/>
          <w:shd w:val="clear" w:fill="FFFFFF"/>
        </w:rPr>
        <w:t>. Oxford University Press.</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Hacking, I. (2002). Historical ontology. In </w:t>
      </w:r>
      <w:r>
        <w:rPr>
          <w:rFonts w:hint="default" w:ascii="Calibri" w:hAnsi="Calibri" w:eastAsia="宋体" w:cs="Calibri"/>
          <w:i/>
          <w:iCs/>
          <w:caps w:val="0"/>
          <w:color w:val="222222"/>
          <w:spacing w:val="0"/>
          <w:sz w:val="24"/>
          <w:szCs w:val="24"/>
          <w:shd w:val="clear" w:fill="FFFFFF"/>
        </w:rPr>
        <w:t>In the scope of logic, methodology and philosophy of science</w:t>
      </w:r>
      <w:r>
        <w:rPr>
          <w:rFonts w:hint="default" w:ascii="Calibri" w:hAnsi="Calibri" w:eastAsia="宋体" w:cs="Calibri"/>
          <w:i w:val="0"/>
          <w:iCs w:val="0"/>
          <w:caps w:val="0"/>
          <w:color w:val="222222"/>
          <w:spacing w:val="0"/>
          <w:sz w:val="24"/>
          <w:szCs w:val="24"/>
          <w:shd w:val="clear" w:fill="FFFFFF"/>
        </w:rPr>
        <w:t> (pp. 583-600). Springer, Dordrecht.</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Ibri, I. A. (2017). </w:t>
      </w:r>
      <w:r>
        <w:rPr>
          <w:rFonts w:hint="default" w:ascii="Calibri" w:hAnsi="Calibri" w:eastAsia="宋体" w:cs="Calibri"/>
          <w:i/>
          <w:iCs/>
          <w:caps w:val="0"/>
          <w:color w:val="222222"/>
          <w:spacing w:val="0"/>
          <w:sz w:val="24"/>
          <w:szCs w:val="24"/>
          <w:shd w:val="clear" w:fill="FFFFFF"/>
        </w:rPr>
        <w:t>Kósmos Noetós: the metaphysical architecture of Charles S. Peirce</w:t>
      </w:r>
      <w:r>
        <w:rPr>
          <w:rFonts w:hint="default" w:ascii="Calibri" w:hAnsi="Calibri" w:eastAsia="宋体" w:cs="Calibri"/>
          <w:i w:val="0"/>
          <w:iCs w:val="0"/>
          <w:caps w:val="0"/>
          <w:color w:val="222222"/>
          <w:spacing w:val="0"/>
          <w:sz w:val="24"/>
          <w:szCs w:val="24"/>
          <w:shd w:val="clear" w:fill="FFFFFF"/>
        </w:rPr>
        <w:t> (Vol. 131). Springer.</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Koolhaas, R. (2015). The smart landscape: Rem Koolhaas on intelligent architecture. </w:t>
      </w:r>
      <w:r>
        <w:rPr>
          <w:rFonts w:hint="default" w:ascii="Calibri" w:hAnsi="Calibri" w:eastAsia="宋体" w:cs="Calibri"/>
          <w:i/>
          <w:iCs/>
          <w:caps w:val="0"/>
          <w:color w:val="222222"/>
          <w:spacing w:val="0"/>
          <w:sz w:val="24"/>
          <w:szCs w:val="24"/>
          <w:shd w:val="clear" w:fill="FFFFFF"/>
        </w:rPr>
        <w:t>Artforum international</w:t>
      </w:r>
      <w:r>
        <w:rPr>
          <w:rFonts w:hint="default" w:ascii="Calibri" w:hAnsi="Calibri" w:eastAsia="宋体" w:cs="Calibri"/>
          <w:i w:val="0"/>
          <w:iCs w:val="0"/>
          <w:caps w:val="0"/>
          <w:color w:val="222222"/>
          <w:spacing w:val="0"/>
          <w:sz w:val="24"/>
          <w:szCs w:val="24"/>
          <w:shd w:val="clear" w:fill="FFFFFF"/>
        </w:rPr>
        <w:t>, </w:t>
      </w:r>
      <w:r>
        <w:rPr>
          <w:rFonts w:hint="default" w:ascii="Calibri" w:hAnsi="Calibri" w:eastAsia="宋体" w:cs="Calibri"/>
          <w:i/>
          <w:iCs/>
          <w:caps w:val="0"/>
          <w:color w:val="222222"/>
          <w:spacing w:val="0"/>
          <w:sz w:val="24"/>
          <w:szCs w:val="24"/>
          <w:shd w:val="clear" w:fill="FFFFFF"/>
        </w:rPr>
        <w:t>53</w:t>
      </w:r>
      <w:r>
        <w:rPr>
          <w:rFonts w:hint="default" w:ascii="Calibri" w:hAnsi="Calibri" w:eastAsia="宋体" w:cs="Calibri"/>
          <w:i w:val="0"/>
          <w:iCs w:val="0"/>
          <w:caps w:val="0"/>
          <w:color w:val="222222"/>
          <w:spacing w:val="0"/>
          <w:sz w:val="24"/>
          <w:szCs w:val="24"/>
          <w:shd w:val="clear" w:fill="FFFFFF"/>
        </w:rPr>
        <w:t>(8), 212-218.</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Koolhaas, R. (2014). </w:t>
      </w:r>
      <w:r>
        <w:rPr>
          <w:rFonts w:hint="default" w:ascii="Calibri" w:hAnsi="Calibri" w:eastAsia="宋体" w:cs="Calibri"/>
          <w:i/>
          <w:iCs/>
          <w:caps w:val="0"/>
          <w:color w:val="222222"/>
          <w:spacing w:val="0"/>
          <w:sz w:val="24"/>
          <w:szCs w:val="24"/>
          <w:shd w:val="clear" w:fill="FFFFFF"/>
        </w:rPr>
        <w:t>Delirious New York: a retroactive manifesto for Manhattan</w:t>
      </w:r>
      <w:r>
        <w:rPr>
          <w:rFonts w:hint="default" w:ascii="Calibri" w:hAnsi="Calibri" w:eastAsia="宋体" w:cs="Calibri"/>
          <w:i w:val="0"/>
          <w:iCs w:val="0"/>
          <w:caps w:val="0"/>
          <w:color w:val="222222"/>
          <w:spacing w:val="0"/>
          <w:sz w:val="24"/>
          <w:szCs w:val="24"/>
          <w:shd w:val="clear" w:fill="FFFFFF"/>
        </w:rPr>
        <w:t>. The Monacelli Press, LLC.</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Koeck, R., &amp; Warnaby, G. (2014). Outdoor advertising in urban context: spatiality, temporality and individuality. </w:t>
      </w:r>
      <w:r>
        <w:rPr>
          <w:rFonts w:hint="default" w:ascii="Calibri" w:hAnsi="Calibri" w:eastAsia="宋体" w:cs="Calibri"/>
          <w:i/>
          <w:iCs/>
          <w:caps w:val="0"/>
          <w:color w:val="222222"/>
          <w:spacing w:val="0"/>
          <w:sz w:val="24"/>
          <w:szCs w:val="24"/>
          <w:shd w:val="clear" w:fill="FFFFFF"/>
        </w:rPr>
        <w:t>Journal of Marketing Management</w:t>
      </w:r>
      <w:r>
        <w:rPr>
          <w:rFonts w:hint="default" w:ascii="Calibri" w:hAnsi="Calibri" w:eastAsia="宋体" w:cs="Calibri"/>
          <w:i w:val="0"/>
          <w:iCs w:val="0"/>
          <w:caps w:val="0"/>
          <w:color w:val="222222"/>
          <w:spacing w:val="0"/>
          <w:sz w:val="24"/>
          <w:szCs w:val="24"/>
          <w:shd w:val="clear" w:fill="FFFFFF"/>
        </w:rPr>
        <w:t>, </w:t>
      </w:r>
      <w:r>
        <w:rPr>
          <w:rFonts w:hint="default" w:ascii="Calibri" w:hAnsi="Calibri" w:eastAsia="宋体" w:cs="Calibri"/>
          <w:i/>
          <w:iCs/>
          <w:caps w:val="0"/>
          <w:color w:val="222222"/>
          <w:spacing w:val="0"/>
          <w:sz w:val="24"/>
          <w:szCs w:val="24"/>
          <w:shd w:val="clear" w:fill="FFFFFF"/>
        </w:rPr>
        <w:t>30</w:t>
      </w:r>
      <w:r>
        <w:rPr>
          <w:rFonts w:hint="default" w:ascii="Calibri" w:hAnsi="Calibri" w:eastAsia="宋体" w:cs="Calibri"/>
          <w:i w:val="0"/>
          <w:iCs w:val="0"/>
          <w:caps w:val="0"/>
          <w:color w:val="222222"/>
          <w:spacing w:val="0"/>
          <w:sz w:val="24"/>
          <w:szCs w:val="24"/>
          <w:shd w:val="clear" w:fill="FFFFFF"/>
        </w:rPr>
        <w:t>(13-14), 1402-1422.</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Koeck, R. (2012). </w:t>
      </w:r>
      <w:r>
        <w:rPr>
          <w:rFonts w:hint="default" w:ascii="Calibri" w:hAnsi="Calibri" w:eastAsia="宋体" w:cs="Calibri"/>
          <w:i/>
          <w:iCs/>
          <w:caps w:val="0"/>
          <w:color w:val="222222"/>
          <w:spacing w:val="0"/>
          <w:sz w:val="24"/>
          <w:szCs w:val="24"/>
          <w:shd w:val="clear" w:fill="FFFFFF"/>
        </w:rPr>
        <w:t>Cine-scapes: Cinematic spaces in architecture and cities</w:t>
      </w:r>
      <w:r>
        <w:rPr>
          <w:rFonts w:hint="default" w:ascii="Calibri" w:hAnsi="Calibri" w:eastAsia="宋体" w:cs="Calibri"/>
          <w:i w:val="0"/>
          <w:iCs w:val="0"/>
          <w:caps w:val="0"/>
          <w:color w:val="222222"/>
          <w:spacing w:val="0"/>
          <w:sz w:val="24"/>
          <w:szCs w:val="24"/>
          <w:shd w:val="clear" w:fill="FFFFFF"/>
        </w:rPr>
        <w:t>. Routledge.</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Koeck, R., &amp; Roberts, L. (Eds.). (2010). </w:t>
      </w:r>
      <w:r>
        <w:rPr>
          <w:rFonts w:hint="default" w:ascii="Calibri" w:hAnsi="Calibri" w:eastAsia="宋体" w:cs="Calibri"/>
          <w:i/>
          <w:iCs/>
          <w:caps w:val="0"/>
          <w:color w:val="222222"/>
          <w:spacing w:val="0"/>
          <w:sz w:val="24"/>
          <w:szCs w:val="24"/>
          <w:shd w:val="clear" w:fill="FFFFFF"/>
        </w:rPr>
        <w:t>The city and the moving image: urban projections</w:t>
      </w:r>
      <w:r>
        <w:rPr>
          <w:rFonts w:hint="default" w:ascii="Calibri" w:hAnsi="Calibri" w:eastAsia="宋体" w:cs="Calibri"/>
          <w:i w:val="0"/>
          <w:iCs w:val="0"/>
          <w:caps w:val="0"/>
          <w:color w:val="222222"/>
          <w:spacing w:val="0"/>
          <w:sz w:val="24"/>
          <w:szCs w:val="24"/>
          <w:shd w:val="clear" w:fill="FFFFFF"/>
        </w:rPr>
        <w:t>. Springer.</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Koolhaas, R., &amp; Mau, B. (1997). </w:t>
      </w:r>
      <w:r>
        <w:rPr>
          <w:rFonts w:hint="default" w:ascii="Calibri" w:hAnsi="Calibri" w:eastAsia="宋体" w:cs="Calibri"/>
          <w:i/>
          <w:iCs/>
          <w:caps w:val="0"/>
          <w:color w:val="222222"/>
          <w:spacing w:val="0"/>
          <w:sz w:val="24"/>
          <w:szCs w:val="24"/>
          <w:shd w:val="clear" w:fill="FFFFFF"/>
        </w:rPr>
        <w:t>S, m, l, xl</w:t>
      </w:r>
      <w:r>
        <w:rPr>
          <w:rFonts w:hint="default" w:ascii="Calibri" w:hAnsi="Calibri" w:eastAsia="宋体" w:cs="Calibri"/>
          <w:i w:val="0"/>
          <w:iCs w:val="0"/>
          <w:caps w:val="0"/>
          <w:color w:val="222222"/>
          <w:spacing w:val="0"/>
          <w:sz w:val="24"/>
          <w:szCs w:val="24"/>
          <w:shd w:val="clear" w:fill="FFFFFF"/>
        </w:rPr>
        <w:t>. The Monacelli Press, LLC.</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Koolhaas, R. (1995). </w:t>
      </w:r>
      <w:r>
        <w:rPr>
          <w:rFonts w:hint="default" w:ascii="Calibri" w:hAnsi="Calibri" w:eastAsia="宋体" w:cs="Calibri"/>
          <w:i/>
          <w:iCs/>
          <w:caps w:val="0"/>
          <w:color w:val="222222"/>
          <w:spacing w:val="0"/>
          <w:sz w:val="24"/>
          <w:szCs w:val="24"/>
          <w:shd w:val="clear" w:fill="FFFFFF"/>
        </w:rPr>
        <w:t>Generic city</w:t>
      </w:r>
      <w:r>
        <w:rPr>
          <w:rFonts w:hint="default" w:ascii="Calibri" w:hAnsi="Calibri" w:eastAsia="宋体" w:cs="Calibri"/>
          <w:i w:val="0"/>
          <w:iCs w:val="0"/>
          <w:caps w:val="0"/>
          <w:color w:val="222222"/>
          <w:spacing w:val="0"/>
          <w:sz w:val="24"/>
          <w:szCs w:val="24"/>
          <w:shd w:val="clear" w:fill="FFFFFF"/>
        </w:rPr>
        <w:t> (p. 1255). Rotterdam: Sikkens Foundation.</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McQuire, S. (2017). </w:t>
      </w:r>
      <w:r>
        <w:rPr>
          <w:rFonts w:hint="default" w:ascii="Calibri" w:hAnsi="Calibri" w:eastAsia="宋体" w:cs="Calibri"/>
          <w:i/>
          <w:iCs/>
          <w:caps w:val="0"/>
          <w:color w:val="222222"/>
          <w:spacing w:val="0"/>
          <w:sz w:val="24"/>
          <w:szCs w:val="24"/>
          <w:shd w:val="clear" w:fill="FFFFFF"/>
        </w:rPr>
        <w:t>Geomedia: Networked cities and the future of public space</w:t>
      </w:r>
      <w:r>
        <w:rPr>
          <w:rFonts w:hint="default" w:ascii="Calibri" w:hAnsi="Calibri" w:eastAsia="宋体" w:cs="Calibri"/>
          <w:i w:val="0"/>
          <w:iCs w:val="0"/>
          <w:caps w:val="0"/>
          <w:color w:val="222222"/>
          <w:spacing w:val="0"/>
          <w:sz w:val="24"/>
          <w:szCs w:val="24"/>
          <w:shd w:val="clear" w:fill="FFFFFF"/>
        </w:rPr>
        <w:t>. John Wiley &amp; Sons.</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Moere, A. V., &amp; Wouters, N. (2012, June). The role of context in media architecture. In </w:t>
      </w:r>
      <w:r>
        <w:rPr>
          <w:rFonts w:hint="default" w:ascii="Calibri" w:hAnsi="Calibri" w:eastAsia="宋体" w:cs="Calibri"/>
          <w:i/>
          <w:iCs/>
          <w:caps w:val="0"/>
          <w:color w:val="222222"/>
          <w:spacing w:val="0"/>
          <w:sz w:val="24"/>
          <w:szCs w:val="24"/>
          <w:shd w:val="clear" w:fill="FFFFFF"/>
        </w:rPr>
        <w:t>Proceedings of the 2012 International Symposium on Pervasive Displays</w:t>
      </w:r>
      <w:r>
        <w:rPr>
          <w:rFonts w:hint="default" w:ascii="Calibri" w:hAnsi="Calibri" w:eastAsia="宋体" w:cs="Calibri"/>
          <w:i w:val="0"/>
          <w:iCs w:val="0"/>
          <w:caps w:val="0"/>
          <w:color w:val="222222"/>
          <w:spacing w:val="0"/>
          <w:sz w:val="24"/>
          <w:szCs w:val="24"/>
          <w:shd w:val="clear" w:fill="FFFFFF"/>
        </w:rPr>
        <w:t> (pp. 1-6).</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McQuire, S., Martin, M., &amp; Niederer, S. (Eds.). (2009). </w:t>
      </w:r>
      <w:r>
        <w:rPr>
          <w:rFonts w:hint="default" w:ascii="Calibri" w:hAnsi="Calibri" w:eastAsia="宋体" w:cs="Calibri"/>
          <w:i/>
          <w:iCs/>
          <w:caps w:val="0"/>
          <w:color w:val="222222"/>
          <w:spacing w:val="0"/>
          <w:sz w:val="24"/>
          <w:szCs w:val="24"/>
          <w:shd w:val="clear" w:fill="FFFFFF"/>
        </w:rPr>
        <w:t>Urban screens reader</w:t>
      </w:r>
      <w:r>
        <w:rPr>
          <w:rFonts w:hint="default" w:ascii="Calibri" w:hAnsi="Calibri" w:eastAsia="宋体" w:cs="Calibri"/>
          <w:i w:val="0"/>
          <w:iCs w:val="0"/>
          <w:caps w:val="0"/>
          <w:color w:val="222222"/>
          <w:spacing w:val="0"/>
          <w:sz w:val="24"/>
          <w:szCs w:val="24"/>
          <w:shd w:val="clear" w:fill="FFFFFF"/>
        </w:rPr>
        <w:t> (Vol. 5). Amsterdam: Institute of Network Cultures.</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McQuire, S. (2008). </w:t>
      </w:r>
      <w:r>
        <w:rPr>
          <w:rFonts w:hint="default" w:ascii="Calibri" w:hAnsi="Calibri" w:eastAsia="宋体" w:cs="Calibri"/>
          <w:i/>
          <w:iCs/>
          <w:caps w:val="0"/>
          <w:color w:val="222222"/>
          <w:spacing w:val="0"/>
          <w:sz w:val="24"/>
          <w:szCs w:val="24"/>
          <w:shd w:val="clear" w:fill="FFFFFF"/>
        </w:rPr>
        <w:t>The media city: Media, architecture and urban space</w:t>
      </w:r>
      <w:r>
        <w:rPr>
          <w:rFonts w:hint="default" w:ascii="Calibri" w:hAnsi="Calibri" w:eastAsia="宋体" w:cs="Calibri"/>
          <w:i w:val="0"/>
          <w:iCs w:val="0"/>
          <w:caps w:val="0"/>
          <w:color w:val="222222"/>
          <w:spacing w:val="0"/>
          <w:sz w:val="24"/>
          <w:szCs w:val="24"/>
          <w:shd w:val="clear" w:fill="FFFFFF"/>
        </w:rPr>
        <w:t>. Sage.</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McQuire, S. (2006). The politics of public space in the media city. </w:t>
      </w:r>
      <w:r>
        <w:rPr>
          <w:rFonts w:hint="default" w:ascii="Calibri" w:hAnsi="Calibri" w:eastAsia="宋体" w:cs="Calibri"/>
          <w:i/>
          <w:iCs/>
          <w:caps w:val="0"/>
          <w:color w:val="222222"/>
          <w:spacing w:val="0"/>
          <w:sz w:val="24"/>
          <w:szCs w:val="24"/>
          <w:shd w:val="clear" w:fill="FFFFFF"/>
        </w:rPr>
        <w:t>First Monday</w:t>
      </w:r>
      <w:r>
        <w:rPr>
          <w:rFonts w:hint="default" w:ascii="Calibri" w:hAnsi="Calibri" w:eastAsia="宋体" w:cs="Calibri"/>
          <w:i w:val="0"/>
          <w:iCs w:val="0"/>
          <w:caps w:val="0"/>
          <w:color w:val="222222"/>
          <w:spacing w:val="0"/>
          <w:sz w:val="24"/>
          <w:szCs w:val="24"/>
          <w:shd w:val="clear" w:fill="FFFFFF"/>
        </w:rPr>
        <w:t>.</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McQuire, S. (1997). </w:t>
      </w:r>
      <w:r>
        <w:rPr>
          <w:rFonts w:hint="default" w:ascii="Calibri" w:hAnsi="Calibri" w:eastAsia="宋体" w:cs="Calibri"/>
          <w:i/>
          <w:iCs/>
          <w:caps w:val="0"/>
          <w:color w:val="222222"/>
          <w:spacing w:val="0"/>
          <w:sz w:val="24"/>
          <w:szCs w:val="24"/>
          <w:shd w:val="clear" w:fill="FFFFFF"/>
        </w:rPr>
        <w:t>Visions of modernity: Representation, memory, time and space in the age of the camera</w:t>
      </w:r>
      <w:r>
        <w:rPr>
          <w:rFonts w:hint="default" w:ascii="Calibri" w:hAnsi="Calibri" w:eastAsia="宋体" w:cs="Calibri"/>
          <w:i w:val="0"/>
          <w:iCs w:val="0"/>
          <w:caps w:val="0"/>
          <w:color w:val="222222"/>
          <w:spacing w:val="0"/>
          <w:sz w:val="24"/>
          <w:szCs w:val="24"/>
          <w:shd w:val="clear" w:fill="FFFFFF"/>
        </w:rPr>
        <w:t>. Sage.</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Obrst, L. (2010). Ontological architectures. In </w:t>
      </w:r>
      <w:r>
        <w:rPr>
          <w:rFonts w:hint="default" w:ascii="Calibri" w:hAnsi="Calibri" w:eastAsia="宋体" w:cs="Calibri"/>
          <w:i/>
          <w:iCs/>
          <w:caps w:val="0"/>
          <w:color w:val="222222"/>
          <w:spacing w:val="0"/>
          <w:sz w:val="24"/>
          <w:szCs w:val="24"/>
          <w:shd w:val="clear" w:fill="FFFFFF"/>
        </w:rPr>
        <w:t>Theory and applications of ontology: computer applications</w:t>
      </w:r>
      <w:r>
        <w:rPr>
          <w:rFonts w:hint="default" w:ascii="Calibri" w:hAnsi="Calibri" w:eastAsia="宋体" w:cs="Calibri"/>
          <w:i w:val="0"/>
          <w:iCs w:val="0"/>
          <w:caps w:val="0"/>
          <w:color w:val="222222"/>
          <w:spacing w:val="0"/>
          <w:sz w:val="24"/>
          <w:szCs w:val="24"/>
          <w:shd w:val="clear" w:fill="FFFFFF"/>
        </w:rPr>
        <w:t> (pp. 27-66). Springer, Dordrecht.</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Semper, G. (2004). </w:t>
      </w:r>
      <w:r>
        <w:rPr>
          <w:rFonts w:hint="default" w:ascii="Calibri" w:hAnsi="Calibri" w:eastAsia="宋体" w:cs="Calibri"/>
          <w:i/>
          <w:iCs/>
          <w:caps w:val="0"/>
          <w:color w:val="222222"/>
          <w:spacing w:val="0"/>
          <w:sz w:val="24"/>
          <w:szCs w:val="24"/>
          <w:shd w:val="clear" w:fill="FFFFFF"/>
        </w:rPr>
        <w:t>Style in the technical and tectonic arts, or, Practical aesthetics</w:t>
      </w:r>
      <w:r>
        <w:rPr>
          <w:rFonts w:hint="default" w:ascii="Calibri" w:hAnsi="Calibri" w:eastAsia="宋体" w:cs="Calibri"/>
          <w:i w:val="0"/>
          <w:iCs w:val="0"/>
          <w:caps w:val="0"/>
          <w:color w:val="222222"/>
          <w:spacing w:val="0"/>
          <w:sz w:val="24"/>
          <w:szCs w:val="24"/>
          <w:shd w:val="clear" w:fill="FFFFFF"/>
        </w:rPr>
        <w:t>. Getty Publications.</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Semper, G. (1989). The four elements of architecture and other writings.</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Tchouprikova, E. K. (2013). </w:t>
      </w:r>
      <w:r>
        <w:rPr>
          <w:rFonts w:hint="default" w:ascii="Calibri" w:hAnsi="Calibri" w:eastAsia="宋体" w:cs="Calibri"/>
          <w:i/>
          <w:iCs/>
          <w:caps w:val="0"/>
          <w:color w:val="222222"/>
          <w:spacing w:val="0"/>
          <w:sz w:val="24"/>
          <w:szCs w:val="24"/>
          <w:shd w:val="clear" w:fill="FFFFFF"/>
        </w:rPr>
        <w:t>Metaphysical lens for architecture</w:t>
      </w:r>
      <w:r>
        <w:rPr>
          <w:rFonts w:hint="default" w:ascii="Calibri" w:hAnsi="Calibri" w:eastAsia="宋体" w:cs="Calibri"/>
          <w:i w:val="0"/>
          <w:iCs w:val="0"/>
          <w:caps w:val="0"/>
          <w:color w:val="222222"/>
          <w:spacing w:val="0"/>
          <w:sz w:val="24"/>
          <w:szCs w:val="24"/>
          <w:shd w:val="clear" w:fill="FFFFFF"/>
        </w:rPr>
        <w:t> (Doctoral dissertation, Carleton University).</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Venturi, R., &amp; Brown, D. S. (2004). </w:t>
      </w:r>
      <w:r>
        <w:rPr>
          <w:rFonts w:hint="default" w:ascii="Calibri" w:hAnsi="Calibri" w:eastAsia="宋体" w:cs="Calibri"/>
          <w:i/>
          <w:iCs/>
          <w:caps w:val="0"/>
          <w:color w:val="222222"/>
          <w:spacing w:val="0"/>
          <w:sz w:val="24"/>
          <w:szCs w:val="24"/>
          <w:shd w:val="clear" w:fill="FFFFFF"/>
        </w:rPr>
        <w:t>Architecture as signs and systems</w:t>
      </w:r>
      <w:r>
        <w:rPr>
          <w:rFonts w:hint="default" w:ascii="Calibri" w:hAnsi="Calibri" w:eastAsia="宋体" w:cs="Calibri"/>
          <w:i w:val="0"/>
          <w:iCs w:val="0"/>
          <w:caps w:val="0"/>
          <w:color w:val="222222"/>
          <w:spacing w:val="0"/>
          <w:sz w:val="24"/>
          <w:szCs w:val="24"/>
          <w:shd w:val="clear" w:fill="FFFFFF"/>
        </w:rPr>
        <w:t>. Belknap Press.</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Venturi, R. (1998). </w:t>
      </w:r>
      <w:r>
        <w:rPr>
          <w:rFonts w:hint="default" w:ascii="Calibri" w:hAnsi="Calibri" w:eastAsia="宋体" w:cs="Calibri"/>
          <w:i/>
          <w:iCs/>
          <w:caps w:val="0"/>
          <w:color w:val="222222"/>
          <w:spacing w:val="0"/>
          <w:sz w:val="24"/>
          <w:szCs w:val="24"/>
          <w:shd w:val="clear" w:fill="FFFFFF"/>
        </w:rPr>
        <w:t>Iconography and electronics upon a generic architecture: a view from the drafting room</w:t>
      </w:r>
      <w:r>
        <w:rPr>
          <w:rFonts w:hint="default" w:ascii="Calibri" w:hAnsi="Calibri" w:eastAsia="宋体" w:cs="Calibri"/>
          <w:i w:val="0"/>
          <w:iCs w:val="0"/>
          <w:caps w:val="0"/>
          <w:color w:val="222222"/>
          <w:spacing w:val="0"/>
          <w:sz w:val="24"/>
          <w:szCs w:val="24"/>
          <w:shd w:val="clear" w:fill="FFFFFF"/>
        </w:rPr>
        <w:t>. Mit Press.</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Venturi, R., Stierli, M., &amp; Brownlee, D. B. (1977). </w:t>
      </w:r>
      <w:r>
        <w:rPr>
          <w:rFonts w:hint="default" w:ascii="Calibri" w:hAnsi="Calibri" w:eastAsia="宋体" w:cs="Calibri"/>
          <w:i/>
          <w:iCs/>
          <w:caps w:val="0"/>
          <w:color w:val="222222"/>
          <w:spacing w:val="0"/>
          <w:sz w:val="24"/>
          <w:szCs w:val="24"/>
          <w:shd w:val="clear" w:fill="FFFFFF"/>
        </w:rPr>
        <w:t>Complexity and contradiction in architecture</w:t>
      </w:r>
      <w:r>
        <w:rPr>
          <w:rFonts w:hint="default" w:ascii="Calibri" w:hAnsi="Calibri" w:eastAsia="宋体" w:cs="Calibri"/>
          <w:i w:val="0"/>
          <w:iCs w:val="0"/>
          <w:caps w:val="0"/>
          <w:color w:val="222222"/>
          <w:spacing w:val="0"/>
          <w:sz w:val="24"/>
          <w:szCs w:val="24"/>
          <w:shd w:val="clear" w:fill="FFFFFF"/>
        </w:rPr>
        <w:t> (Vol. 1). The Museum of modern art.</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lang w:val="en-US" w:eastAsia="zh-CN"/>
        </w:rPr>
      </w:pPr>
      <w:r>
        <w:rPr>
          <w:rFonts w:hint="default" w:ascii="Calibri" w:hAnsi="Calibri" w:eastAsia="宋体" w:cs="Calibri"/>
          <w:i w:val="0"/>
          <w:iCs w:val="0"/>
          <w:caps w:val="0"/>
          <w:color w:val="222222"/>
          <w:spacing w:val="0"/>
          <w:sz w:val="24"/>
          <w:szCs w:val="24"/>
          <w:shd w:val="clear" w:fill="FFFFFF"/>
        </w:rPr>
        <w:t>Venturi, R., Brown, D. S., &amp; Izenour, S. (1968). Learning from Las Vegas. In </w:t>
      </w:r>
      <w:r>
        <w:rPr>
          <w:rFonts w:hint="default" w:ascii="Calibri" w:hAnsi="Calibri" w:eastAsia="宋体" w:cs="Calibri"/>
          <w:i/>
          <w:iCs/>
          <w:caps w:val="0"/>
          <w:color w:val="222222"/>
          <w:spacing w:val="0"/>
          <w:sz w:val="24"/>
          <w:szCs w:val="24"/>
          <w:shd w:val="clear" w:fill="FFFFFF"/>
        </w:rPr>
        <w:t>Architectural Forum, March</w:t>
      </w:r>
      <w:r>
        <w:rPr>
          <w:rFonts w:hint="default" w:ascii="Calibri" w:hAnsi="Calibri" w:eastAsia="宋体" w:cs="Calibri"/>
          <w:i w:val="0"/>
          <w:iCs w:val="0"/>
          <w:caps w:val="0"/>
          <w:color w:val="222222"/>
          <w:spacing w:val="0"/>
          <w:sz w:val="24"/>
          <w:szCs w:val="24"/>
          <w:shd w:val="clear" w:fill="FFFFFF"/>
        </w:rPr>
        <w:t> (Vol. 37).</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Wiethoff, A., &amp; Hussmann, H. (2017). </w:t>
      </w:r>
      <w:r>
        <w:rPr>
          <w:rFonts w:hint="default" w:ascii="Calibri" w:hAnsi="Calibri" w:eastAsia="宋体" w:cs="Calibri"/>
          <w:i/>
          <w:iCs/>
          <w:caps w:val="0"/>
          <w:color w:val="222222"/>
          <w:spacing w:val="0"/>
          <w:sz w:val="24"/>
          <w:szCs w:val="24"/>
          <w:shd w:val="clear" w:fill="FFFFFF"/>
        </w:rPr>
        <w:t>Media architecture</w:t>
      </w:r>
      <w:r>
        <w:rPr>
          <w:rFonts w:hint="default" w:ascii="Calibri" w:hAnsi="Calibri" w:eastAsia="宋体" w:cs="Calibri"/>
          <w:i w:val="0"/>
          <w:iCs w:val="0"/>
          <w:caps w:val="0"/>
          <w:color w:val="222222"/>
          <w:spacing w:val="0"/>
          <w:sz w:val="24"/>
          <w:szCs w:val="24"/>
          <w:shd w:val="clear" w:fill="FFFFFF"/>
        </w:rPr>
        <w:t>. Berlin: De Gruyter Mouton.</w:t>
      </w:r>
    </w:p>
    <w:p>
      <w:pPr>
        <w:keepNext w:val="0"/>
        <w:keepLines w:val="0"/>
        <w:widowControl/>
        <w:numPr>
          <w:ilvl w:val="0"/>
          <w:numId w:val="5"/>
        </w:numPr>
        <w:suppressLineNumbers w:val="0"/>
        <w:spacing w:before="0" w:beforeAutospacing="0" w:after="0" w:afterAutospacing="0"/>
        <w:ind w:left="425" w:leftChars="0" w:hanging="425" w:firstLineChars="0"/>
        <w:rPr>
          <w:rFonts w:hint="default" w:ascii="Calibri" w:hAnsi="Calibri" w:eastAsia="宋体" w:cs="Calibri"/>
          <w:i w:val="0"/>
          <w:iCs w:val="0"/>
          <w:caps w:val="0"/>
          <w:color w:val="222222"/>
          <w:spacing w:val="0"/>
          <w:sz w:val="24"/>
          <w:szCs w:val="24"/>
          <w:shd w:val="clear" w:fill="FFFFFF"/>
        </w:rPr>
      </w:pPr>
      <w:r>
        <w:rPr>
          <w:rFonts w:hint="default" w:ascii="Calibri" w:hAnsi="Calibri" w:eastAsia="宋体" w:cs="Calibri"/>
          <w:i w:val="0"/>
          <w:iCs w:val="0"/>
          <w:caps w:val="0"/>
          <w:color w:val="222222"/>
          <w:spacing w:val="0"/>
          <w:sz w:val="24"/>
          <w:szCs w:val="24"/>
          <w:shd w:val="clear" w:fill="FFFFFF"/>
        </w:rPr>
        <w:t>Wouters, N., Keignaert, K., Huyghe, J., &amp; Moere, A. V. (2016, June). Revealing the architectural quality of media architecture. In </w:t>
      </w:r>
      <w:r>
        <w:rPr>
          <w:rFonts w:hint="default" w:ascii="Calibri" w:hAnsi="Calibri" w:eastAsia="宋体" w:cs="Calibri"/>
          <w:i/>
          <w:iCs/>
          <w:caps w:val="0"/>
          <w:color w:val="222222"/>
          <w:spacing w:val="0"/>
          <w:sz w:val="24"/>
          <w:szCs w:val="24"/>
          <w:shd w:val="clear" w:fill="FFFFFF"/>
        </w:rPr>
        <w:t>Proceedings of the 3rd Conference on Media Architecture Biennale</w:t>
      </w:r>
      <w:r>
        <w:rPr>
          <w:rFonts w:hint="default" w:ascii="Calibri" w:hAnsi="Calibri" w:eastAsia="宋体" w:cs="Calibri"/>
          <w:i w:val="0"/>
          <w:iCs w:val="0"/>
          <w:caps w:val="0"/>
          <w:color w:val="222222"/>
          <w:spacing w:val="0"/>
          <w:sz w:val="24"/>
          <w:szCs w:val="24"/>
          <w:shd w:val="clear" w:fill="FFFFFF"/>
        </w:rPr>
        <w:t> (pp. 1-4).</w:t>
      </w:r>
    </w:p>
    <w:p>
      <w:pPr>
        <w:keepNext w:val="0"/>
        <w:keepLines w:val="0"/>
        <w:widowControl/>
        <w:numPr>
          <w:ilvl w:val="0"/>
          <w:numId w:val="0"/>
        </w:numPr>
        <w:suppressLineNumbers w:val="0"/>
        <w:spacing w:before="0" w:beforeAutospacing="0" w:after="0" w:afterAutospacing="0"/>
        <w:jc w:val="both"/>
        <w:rPr>
          <w:rFonts w:hint="default" w:ascii="Calibri" w:hAnsi="Calibri" w:eastAsia="宋体" w:cs="Calibri"/>
          <w:i w:val="0"/>
          <w:iCs w:val="0"/>
          <w:caps w:val="0"/>
          <w:color w:val="222222"/>
          <w:spacing w:val="0"/>
          <w:sz w:val="24"/>
          <w:szCs w:val="24"/>
          <w:shd w:val="clear" w:fill="FFFFFF"/>
          <w:lang w:val="en-US" w:eastAsia="zh-CN"/>
        </w:rPr>
      </w:pPr>
    </w:p>
    <w:p>
      <w:pPr>
        <w:keepNext w:val="0"/>
        <w:keepLines w:val="0"/>
        <w:widowControl/>
        <w:numPr>
          <w:ilvl w:val="0"/>
          <w:numId w:val="0"/>
        </w:numPr>
        <w:suppressLineNumbers w:val="0"/>
        <w:spacing w:before="0" w:beforeAutospacing="0" w:after="0" w:afterAutospacing="0"/>
        <w:jc w:val="both"/>
        <w:rPr>
          <w:rFonts w:hint="default" w:ascii="Calibri" w:hAnsi="Calibri" w:eastAsia="宋体" w:cs="Calibri"/>
          <w:i w:val="0"/>
          <w:iCs w:val="0"/>
          <w:caps w:val="0"/>
          <w:color w:val="222222"/>
          <w:spacing w:val="0"/>
          <w:sz w:val="24"/>
          <w:szCs w:val="24"/>
          <w:shd w:val="clear" w:fill="FFFFFF"/>
          <w:lang w:val="en-US" w:eastAsia="zh-CN"/>
        </w:rPr>
      </w:pPr>
    </w:p>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7"/>
        <w:tblW w:w="837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448"/>
        <w:gridCol w:w="2040"/>
        <w:gridCol w:w="569"/>
        <w:gridCol w:w="2046"/>
        <w:gridCol w:w="568"/>
        <w:gridCol w:w="2026"/>
        <w:gridCol w:w="682"/>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48" w:hRule="atLeast"/>
        </w:trPr>
        <w:tc>
          <w:tcPr>
            <w:tcW w:w="448"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2609"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5322" w:type="dxa"/>
            <w:gridSpan w:val="4"/>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Haoyi Ruan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630" w:hRule="atLeast"/>
        </w:trPr>
        <w:tc>
          <w:tcPr>
            <w:tcW w:w="448"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2609"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04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568"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0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682"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645" w:hRule="atLeast"/>
        </w:trPr>
        <w:tc>
          <w:tcPr>
            <w:tcW w:w="448" w:type="dxa"/>
            <w:shd w:val="clear" w:color="auto" w:fill="F1F1F1" w:themeFill="background1" w:themeFillShade="F2"/>
            <w:vAlign w:val="center"/>
          </w:tcPr>
          <w:p>
            <w:pPr>
              <w:rPr>
                <w:rFonts w:ascii="Arial" w:hAnsi="Arial" w:cs="Arial"/>
                <w:sz w:val="22"/>
                <w:szCs w:val="22"/>
              </w:rPr>
            </w:pPr>
          </w:p>
        </w:tc>
        <w:tc>
          <w:tcPr>
            <w:tcW w:w="204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56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04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568"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0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682"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7"/>
        <w:tblW w:w="839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449"/>
        <w:gridCol w:w="2615"/>
        <w:gridCol w:w="5335"/>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686" w:hRule="atLeast"/>
        </w:trPr>
        <w:tc>
          <w:tcPr>
            <w:tcW w:w="44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2615"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5335" w:type="dxa"/>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Wales Institute of Science and Art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686" w:hRule="atLeast"/>
        </w:trPr>
        <w:tc>
          <w:tcPr>
            <w:tcW w:w="44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2615"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5335" w:type="dxa"/>
            <w:vAlign w:val="center"/>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Swansea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686" w:hRule="atLeast"/>
        </w:trPr>
        <w:tc>
          <w:tcPr>
            <w:tcW w:w="44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2615"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5335" w:type="dxa"/>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2105637@student.uwtsd.ac.uk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686" w:hRule="atLeast"/>
        </w:trPr>
        <w:tc>
          <w:tcPr>
            <w:tcW w:w="44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2615"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5335" w:type="dxa"/>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+44 7864 665270</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351" w:hRule="atLeast"/>
        </w:trPr>
        <w:tc>
          <w:tcPr>
            <w:tcW w:w="449" w:type="dxa"/>
            <w:shd w:val="clear" w:color="auto" w:fill="BEBEBE" w:themeFill="background1" w:themeFillShade="BF"/>
            <w:vAlign w:val="center"/>
          </w:tcPr>
          <w:p>
            <w:pPr>
              <w:rPr>
                <w:rFonts w:ascii="Arial" w:hAnsi="Arial" w:cs="Arial"/>
                <w:b/>
                <w:i/>
                <w:sz w:val="22"/>
                <w:szCs w:val="22"/>
              </w:rPr>
            </w:pPr>
          </w:p>
        </w:tc>
        <w:tc>
          <w:tcPr>
            <w:tcW w:w="7950"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67" w:hRule="atLeast"/>
        </w:trPr>
        <w:tc>
          <w:tcPr>
            <w:tcW w:w="44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2615"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5335" w:type="dxa"/>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2105637</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605" w:hRule="atLeast"/>
        </w:trPr>
        <w:tc>
          <w:tcPr>
            <w:tcW w:w="44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2615"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5335" w:type="dxa"/>
            <w:vAlign w:val="center"/>
          </w:tcPr>
          <w:p>
            <w:pPr>
              <w:rPr>
                <w:rFonts w:hint="default" w:ascii="Arial" w:hAnsi="Arial" w:eastAsia="宋体" w:cs="Arial"/>
                <w:sz w:val="22"/>
                <w:szCs w:val="22"/>
                <w:lang w:val="en-US" w:eastAsia="zh-CN"/>
              </w:rPr>
            </w:pPr>
            <w:r>
              <w:rPr>
                <w:rFonts w:hint="default" w:ascii="Arial" w:hAnsi="Arial" w:eastAsia="宋体" w:cs="Arial"/>
                <w:sz w:val="22"/>
                <w:szCs w:val="22"/>
                <w:lang w:val="en-US" w:eastAsia="zh-CN"/>
              </w:rPr>
              <w:t>Doctorate</w:t>
            </w:r>
            <w:r>
              <w:rPr>
                <w:rFonts w:hint="eastAsia" w:ascii="Arial" w:hAnsi="Arial" w:eastAsia="宋体" w:cs="Arial"/>
                <w:sz w:val="22"/>
                <w:szCs w:val="22"/>
                <w:lang w:val="en-US" w:eastAsia="zh-CN"/>
              </w:rPr>
              <w:t xml:space="preserve"> of Professional (Art and Design)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630" w:hRule="atLeast"/>
        </w:trPr>
        <w:tc>
          <w:tcPr>
            <w:tcW w:w="44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2615"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5335" w:type="dxa"/>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R</w:t>
            </w:r>
            <w:r>
              <w:rPr>
                <w:rFonts w:hint="default" w:ascii="Arial" w:hAnsi="Arial" w:eastAsia="宋体" w:cs="Arial"/>
                <w:sz w:val="22"/>
                <w:szCs w:val="22"/>
                <w:lang w:val="en-US" w:eastAsia="zh-CN"/>
              </w:rPr>
              <w:t xml:space="preserve">obert </w:t>
            </w:r>
            <w:r>
              <w:rPr>
                <w:rFonts w:hint="eastAsia" w:ascii="Arial" w:hAnsi="Arial" w:eastAsia="宋体" w:cs="Arial"/>
                <w:sz w:val="22"/>
                <w:szCs w:val="22"/>
                <w:lang w:val="en-US" w:eastAsia="zh-CN"/>
              </w:rPr>
              <w:t>C</w:t>
            </w:r>
            <w:r>
              <w:rPr>
                <w:rFonts w:hint="default" w:ascii="Arial" w:hAnsi="Arial" w:eastAsia="宋体" w:cs="Arial"/>
                <w:sz w:val="22"/>
                <w:szCs w:val="22"/>
                <w:lang w:val="en-US" w:eastAsia="zh-CN"/>
              </w:rPr>
              <w:t>harters</w:t>
            </w:r>
          </w:p>
        </w:tc>
      </w:tr>
    </w:tbl>
    <w:p>
      <w:pPr>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8"/>
        <w:tblW w:w="843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52"/>
        <w:gridCol w:w="2974"/>
        <w:gridCol w:w="2044"/>
        <w:gridCol w:w="799"/>
        <w:gridCol w:w="684"/>
        <w:gridCol w:w="798"/>
        <w:gridCol w:w="6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89" w:hRule="atLeast"/>
        </w:trPr>
        <w:tc>
          <w:tcPr>
            <w:tcW w:w="45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501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799"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684"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798"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rPr>
              <w:rFonts w:ascii="Arial" w:hAnsi="Arial" w:cs="Arial"/>
              <w:bCs/>
              <w:sz w:val="22"/>
              <w:szCs w:val="22"/>
            </w:rPr>
          </w:sdtEndPr>
          <w:sdtContent>
            <w:tc>
              <w:tcPr>
                <w:tcW w:w="685"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5" w:hRule="atLeast"/>
        </w:trPr>
        <w:tc>
          <w:tcPr>
            <w:tcW w:w="452" w:type="dxa"/>
            <w:shd w:val="clear" w:color="auto" w:fill="F1F1F1" w:themeFill="background1" w:themeFillShade="F2"/>
          </w:tcPr>
          <w:p>
            <w:pPr>
              <w:autoSpaceDE w:val="0"/>
              <w:autoSpaceDN w:val="0"/>
              <w:adjustRightInd w:val="0"/>
              <w:rPr>
                <w:rFonts w:ascii="Arial" w:hAnsi="Arial" w:cs="Arial"/>
                <w:b/>
                <w:bCs/>
                <w:sz w:val="22"/>
                <w:szCs w:val="22"/>
              </w:rPr>
            </w:pPr>
          </w:p>
        </w:tc>
        <w:tc>
          <w:tcPr>
            <w:tcW w:w="6501"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48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3" w:hRule="atLeast"/>
        </w:trPr>
        <w:tc>
          <w:tcPr>
            <w:tcW w:w="45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2974"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2843"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68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48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45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2974"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2843"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68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48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69" w:hRule="atLeast"/>
        </w:trPr>
        <w:tc>
          <w:tcPr>
            <w:tcW w:w="45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2974"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2843"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68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48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8"/>
        <w:tblW w:w="845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3"/>
        <w:gridCol w:w="7090"/>
        <w:gridCol w:w="9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42" w:hRule="atLeast"/>
        </w:trPr>
        <w:tc>
          <w:tcPr>
            <w:tcW w:w="453" w:type="dxa"/>
            <w:shd w:val="clear" w:color="auto" w:fill="F1F1F1" w:themeFill="background1" w:themeFillShade="F2"/>
          </w:tcPr>
          <w:p>
            <w:pPr>
              <w:autoSpaceDE w:val="0"/>
              <w:autoSpaceDN w:val="0"/>
              <w:adjustRightInd w:val="0"/>
              <w:rPr>
                <w:rFonts w:ascii="Arial" w:hAnsi="Arial" w:cs="Arial"/>
                <w:sz w:val="22"/>
                <w:szCs w:val="22"/>
              </w:rPr>
            </w:pPr>
          </w:p>
        </w:tc>
        <w:tc>
          <w:tcPr>
            <w:tcW w:w="8006"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9" w:hRule="atLeast"/>
        </w:trPr>
        <w:tc>
          <w:tcPr>
            <w:tcW w:w="453"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7090"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3"/>
                <w:rFonts w:ascii="Arial" w:hAnsi="Arial" w:cs="Arial"/>
                <w:b/>
                <w:bCs/>
                <w:color w:val="auto"/>
                <w:sz w:val="22"/>
                <w:szCs w:val="22"/>
                <w:u w:val="none"/>
              </w:rPr>
              <w:t>UWTSD Research Ethics &amp; Integrity Code of Practice</w:t>
            </w:r>
            <w:r>
              <w:rPr>
                <w:rStyle w:val="13"/>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9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453"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7090"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916"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453"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7090" w:type="dxa"/>
            <w:vAlign w:val="center"/>
          </w:tcPr>
          <w:p>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916"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8"/>
        <w:tblW w:w="84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51"/>
        <w:gridCol w:w="3071"/>
        <w:gridCol w:w="1936"/>
        <w:gridCol w:w="797"/>
        <w:gridCol w:w="682"/>
        <w:gridCol w:w="788"/>
        <w:gridCol w:w="9"/>
        <w:gridCol w:w="68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6" w:hRule="atLeast"/>
        </w:trPr>
        <w:tc>
          <w:tcPr>
            <w:tcW w:w="451"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071"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4896"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6" w:hRule="atLeast"/>
        </w:trPr>
        <w:tc>
          <w:tcPr>
            <w:tcW w:w="451"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071"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4896"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6" w:hRule="atLeast"/>
        </w:trPr>
        <w:tc>
          <w:tcPr>
            <w:tcW w:w="451"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071"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4896" w:type="dxa"/>
            <w:gridSpan w:val="6"/>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3" w:hRule="atLeast"/>
        </w:trPr>
        <w:tc>
          <w:tcPr>
            <w:tcW w:w="451"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5007"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797"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682"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797"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684"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3" w:hRule="atLeast"/>
        </w:trPr>
        <w:tc>
          <w:tcPr>
            <w:tcW w:w="451"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5007"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797"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682"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797"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684"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5" w:hRule="atLeast"/>
        </w:trPr>
        <w:tc>
          <w:tcPr>
            <w:tcW w:w="451"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071"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1936"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79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682"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88"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693"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4" w:hRule="atLeast"/>
        </w:trPr>
        <w:tc>
          <w:tcPr>
            <w:tcW w:w="451"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071"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1936"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79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682"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88"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693"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21" w:hRule="atLeast"/>
        </w:trPr>
        <w:tc>
          <w:tcPr>
            <w:tcW w:w="451"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071"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1936"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79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682"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797"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684"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28" w:hRule="atLeast"/>
        </w:trPr>
        <w:tc>
          <w:tcPr>
            <w:tcW w:w="451"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071"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1936"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797"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682"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797"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684"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8"/>
        <w:tblW w:w="8419"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1"/>
        <w:gridCol w:w="5000"/>
        <w:gridCol w:w="797"/>
        <w:gridCol w:w="718"/>
        <w:gridCol w:w="760"/>
        <w:gridCol w:w="68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10" w:hRule="atLeast"/>
        </w:trPr>
        <w:tc>
          <w:tcPr>
            <w:tcW w:w="455"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5006"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79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18"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c>
          <w:tcPr>
            <w:tcW w:w="760"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683"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51" w:hRule="atLeast"/>
        </w:trPr>
        <w:tc>
          <w:tcPr>
            <w:tcW w:w="455" w:type="dxa"/>
          </w:tcPr>
          <w:p>
            <w:pPr>
              <w:autoSpaceDE w:val="0"/>
              <w:autoSpaceDN w:val="0"/>
              <w:adjustRightInd w:val="0"/>
              <w:rPr>
                <w:rFonts w:ascii="Arial" w:hAnsi="Arial" w:cs="Arial"/>
                <w:bCs/>
                <w:sz w:val="22"/>
                <w:szCs w:val="22"/>
              </w:rPr>
            </w:pPr>
          </w:p>
        </w:tc>
        <w:tc>
          <w:tcPr>
            <w:tcW w:w="7964"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7"/>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498"/>
        <w:gridCol w:w="2136"/>
        <w:gridCol w:w="2165"/>
        <w:gridCol w:w="2165"/>
        <w:gridCol w:w="1439"/>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Depicting the future-vision with your own hand：Proposal for Media architecture workshop in Co-Creation</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01/09/2022</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01/09/2023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15"/>
              <w:numPr>
                <w:ilvl w:val="0"/>
                <w:numId w:val="6"/>
              </w:numPr>
              <w:ind w:left="0"/>
              <w:contextualSpacing w:val="0"/>
              <w:rPr>
                <w:rFonts w:ascii="Arial" w:hAnsi="Arial" w:cs="Arial"/>
                <w:i/>
              </w:rPr>
            </w:pPr>
            <w:r>
              <w:rPr>
                <w:rFonts w:ascii="Arial" w:hAnsi="Arial" w:cs="Arial"/>
                <w:i/>
              </w:rPr>
              <w:t>Purpose of Research Activity</w:t>
            </w:r>
          </w:p>
          <w:p>
            <w:pPr>
              <w:pStyle w:val="15"/>
              <w:numPr>
                <w:ilvl w:val="0"/>
                <w:numId w:val="6"/>
              </w:numPr>
              <w:ind w:left="0"/>
              <w:contextualSpacing w:val="0"/>
              <w:rPr>
                <w:rFonts w:ascii="Arial" w:hAnsi="Arial" w:cs="Arial"/>
                <w:i/>
              </w:rPr>
            </w:pPr>
            <w:r>
              <w:rPr>
                <w:rFonts w:ascii="Arial" w:hAnsi="Arial" w:cs="Arial"/>
                <w:i/>
              </w:rPr>
              <w:t>Proposed Research Question</w:t>
            </w:r>
          </w:p>
          <w:p>
            <w:pPr>
              <w:pStyle w:val="15"/>
              <w:numPr>
                <w:ilvl w:val="0"/>
                <w:numId w:val="6"/>
              </w:numPr>
              <w:ind w:left="0"/>
              <w:contextualSpacing w:val="0"/>
              <w:rPr>
                <w:rFonts w:ascii="Arial" w:hAnsi="Arial" w:cs="Arial"/>
                <w:i/>
              </w:rPr>
            </w:pPr>
            <w:r>
              <w:rPr>
                <w:rFonts w:ascii="Arial" w:hAnsi="Arial" w:cs="Arial"/>
                <w:i/>
              </w:rPr>
              <w:t>Aims of Research Activity</w:t>
            </w:r>
          </w:p>
          <w:p>
            <w:pPr>
              <w:pStyle w:val="15"/>
              <w:numPr>
                <w:ilvl w:val="0"/>
                <w:numId w:val="6"/>
              </w:numPr>
              <w:spacing w:after="240"/>
              <w:ind w:left="0"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15"/>
              <w:numPr>
                <w:ilvl w:val="0"/>
                <w:numId w:val="6"/>
              </w:numPr>
              <w:ind w:left="0"/>
              <w:contextualSpacing w:val="0"/>
              <w:rPr>
                <w:rFonts w:ascii="Arial" w:hAnsi="Arial" w:cs="Arial"/>
                <w:i/>
              </w:rPr>
            </w:pPr>
            <w:r>
              <w:rPr>
                <w:rFonts w:ascii="Arial" w:hAnsi="Arial" w:cs="Arial"/>
                <w:i/>
              </w:rPr>
              <w:t xml:space="preserve">What the research activity will add to the body of knowledge </w:t>
            </w:r>
          </w:p>
          <w:p>
            <w:pPr>
              <w:pStyle w:val="15"/>
              <w:numPr>
                <w:ilvl w:val="0"/>
                <w:numId w:val="6"/>
              </w:numPr>
              <w:ind w:left="0"/>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autoSpaceDE w:val="0"/>
              <w:autoSpaceDN w:val="0"/>
              <w:adjustRightInd w:val="0"/>
              <w:rPr>
                <w:rFonts w:ascii="Arial" w:hAnsi="Arial" w:cs="Arial"/>
                <w:b/>
                <w:bCs/>
                <w:sz w:val="22"/>
                <w:szCs w:val="22"/>
              </w:rPr>
            </w:pPr>
          </w:p>
          <w:p>
            <w:pPr>
              <w:rPr>
                <w:rFonts w:hint="default" w:ascii="Calibri" w:hAnsi="Calibri" w:cs="Calibri"/>
                <w:b w:val="0"/>
                <w:bCs/>
                <w:color w:val="0E101A"/>
                <w:sz w:val="24"/>
                <w:szCs w:val="24"/>
                <w:lang w:val="en-US" w:eastAsia="zh-CN"/>
              </w:rPr>
            </w:pPr>
            <w:r>
              <w:rPr>
                <w:rFonts w:hint="default" w:ascii="Calibri" w:hAnsi="Calibri" w:cs="Calibri"/>
                <w:b w:val="0"/>
                <w:bCs/>
                <w:color w:val="0E101A"/>
                <w:sz w:val="24"/>
                <w:szCs w:val="24"/>
                <w:lang w:val="en-US" w:eastAsia="zh-CN"/>
              </w:rPr>
              <w:t>We live in an age of screens, and our lives and tied to them.</w:t>
            </w:r>
          </w:p>
          <w:p>
            <w:pPr>
              <w:rPr>
                <w:rFonts w:hint="default" w:ascii="Calibri" w:hAnsi="Calibri" w:cs="Calibri"/>
                <w:b w:val="0"/>
                <w:bCs/>
                <w:color w:val="0E101A"/>
                <w:sz w:val="24"/>
                <w:szCs w:val="24"/>
                <w:lang w:val="en-US" w:eastAsia="zh-CN"/>
              </w:rPr>
            </w:pPr>
          </w:p>
          <w:p>
            <w:pPr>
              <w:rPr>
                <w:rFonts w:hint="default" w:ascii="Calibri" w:hAnsi="Calibri" w:cs="Calibri"/>
                <w:b w:val="0"/>
                <w:bCs/>
                <w:color w:val="0E101A"/>
                <w:sz w:val="24"/>
                <w:szCs w:val="24"/>
                <w:lang w:val="en-US" w:eastAsia="zh-CN"/>
              </w:rPr>
            </w:pPr>
            <w:r>
              <w:rPr>
                <w:rFonts w:hint="default" w:ascii="Calibri" w:hAnsi="Calibri" w:cs="Calibri"/>
                <w:b w:val="0"/>
                <w:bCs/>
                <w:color w:val="0E101A"/>
                <w:sz w:val="24"/>
                <w:szCs w:val="24"/>
                <w:lang w:val="en-US" w:eastAsia="zh-CN"/>
              </w:rPr>
              <w:t>Take China as an example, the creation of media buildings is in full swing, but along with this process, many problems have come to light.</w:t>
            </w:r>
          </w:p>
          <w:p>
            <w:pPr>
              <w:rPr>
                <w:rFonts w:hint="default" w:ascii="Calibri" w:hAnsi="Calibri" w:cs="Calibri"/>
                <w:b w:val="0"/>
                <w:bCs/>
                <w:color w:val="0E101A"/>
                <w:sz w:val="24"/>
                <w:szCs w:val="24"/>
                <w:lang w:val="en-US" w:eastAsia="zh-CN"/>
              </w:rPr>
            </w:pPr>
          </w:p>
          <w:p>
            <w:pPr>
              <w:rPr>
                <w:rFonts w:hint="eastAsia" w:ascii="Calibri" w:hAnsi="Calibri" w:eastAsia="LinLibertineT" w:cs="Calibri"/>
                <w:color w:val="000000"/>
                <w:kern w:val="0"/>
                <w:sz w:val="24"/>
                <w:szCs w:val="24"/>
                <w:lang w:val="en-US" w:eastAsia="zh-CN" w:bidi="ar"/>
              </w:rPr>
            </w:pPr>
            <w:r>
              <w:rPr>
                <w:rFonts w:hint="eastAsia" w:ascii="Calibri" w:hAnsi="Calibri" w:eastAsia="LinLibertineT" w:cs="Calibri"/>
                <w:color w:val="000000"/>
                <w:kern w:val="0"/>
                <w:sz w:val="24"/>
                <w:szCs w:val="24"/>
                <w:lang w:val="en-US" w:eastAsia="zh-CN" w:bidi="ar"/>
              </w:rPr>
              <w:t xml:space="preserve">In the meantime, China, the world's largest LED product producer, has seen rapid development of photovoltaic companies to react to the strong market demand. </w:t>
            </w:r>
          </w:p>
          <w:p>
            <w:pPr>
              <w:rPr>
                <w:rFonts w:hint="eastAsia" w:ascii="Calibri" w:hAnsi="Calibri" w:eastAsia="LinLibertineT" w:cs="Calibri"/>
                <w:color w:val="000000"/>
                <w:kern w:val="0"/>
                <w:sz w:val="24"/>
                <w:szCs w:val="24"/>
                <w:lang w:val="en-US" w:eastAsia="zh-CN" w:bidi="ar"/>
              </w:rPr>
            </w:pPr>
          </w:p>
          <w:p>
            <w:pPr>
              <w:rPr>
                <w:rFonts w:hint="eastAsia" w:ascii="Calibri" w:hAnsi="Calibri" w:eastAsia="LinLibertineT" w:cs="Calibri"/>
                <w:color w:val="000000"/>
                <w:kern w:val="0"/>
                <w:sz w:val="24"/>
                <w:szCs w:val="24"/>
                <w:lang w:val="en-US" w:eastAsia="zh-CN" w:bidi="ar"/>
              </w:rPr>
            </w:pPr>
            <w:r>
              <w:rPr>
                <w:rFonts w:hint="eastAsia" w:ascii="Calibri" w:hAnsi="Calibri" w:eastAsia="LinLibertineT" w:cs="Calibri"/>
                <w:color w:val="000000"/>
                <w:kern w:val="0"/>
                <w:sz w:val="24"/>
                <w:szCs w:val="24"/>
                <w:lang w:val="en-US" w:eastAsia="zh-CN" w:bidi="ar"/>
              </w:rPr>
              <w:t>However, in this process, the Chinese government has so far regulated media equipment more in terms of light pollution and the energy efficiency of the equipment, and there is no professional advice on the content of architectural screens.</w:t>
            </w:r>
          </w:p>
          <w:p>
            <w:pPr>
              <w:rPr>
                <w:rFonts w:hint="eastAsia" w:ascii="Calibri" w:hAnsi="Calibri" w:eastAsia="LinLibertineT" w:cs="Calibri"/>
                <w:color w:val="000000"/>
                <w:kern w:val="0"/>
                <w:sz w:val="24"/>
                <w:szCs w:val="24"/>
                <w:lang w:val="en-US" w:eastAsia="zh-CN" w:bidi="ar"/>
              </w:rPr>
            </w:pPr>
          </w:p>
          <w:p>
            <w:pPr>
              <w:rPr>
                <w:rFonts w:ascii="Arial" w:hAnsi="Arial" w:cs="Arial"/>
              </w:rPr>
            </w:pPr>
            <w:r>
              <w:rPr>
                <w:rFonts w:hint="eastAsia" w:ascii="Calibri" w:hAnsi="Calibri" w:eastAsia="LinLibertineT" w:cs="Calibri"/>
                <w:color w:val="000000"/>
                <w:kern w:val="0"/>
                <w:sz w:val="24"/>
                <w:szCs w:val="24"/>
                <w:lang w:val="en-US" w:eastAsia="zh-CN" w:bidi="ar"/>
              </w:rPr>
              <w:t>Media architecture has become a building trend in China, but higher education and research on architecture media have not developed on a large scale.</w:t>
            </w: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autoSpaceDE w:val="0"/>
              <w:autoSpaceDN w:val="0"/>
              <w:adjustRightInd w:val="0"/>
              <w:rPr>
                <w:rFonts w:ascii="Arial" w:hAnsi="Arial" w:cs="Arial"/>
                <w:b/>
                <w:bCs/>
                <w:sz w:val="22"/>
                <w:szCs w:val="22"/>
              </w:rPr>
            </w:pP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The proposal for this workshop will be based in China, so much of what follows is based on exploring and researching the Chinese context.Based on the current situation in China, the motivation for this workshop is two fold.</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7"/>
              </w:numPr>
              <w:suppressLineNumbers w:val="0"/>
              <w:spacing w:before="0" w:beforeAutospacing="0" w:after="0" w:afterAutospacing="0"/>
              <w:ind w:left="420" w:leftChars="0" w:hanging="420" w:firstLine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The first is to create a platform that links government, business and the public.</w:t>
            </w:r>
          </w:p>
          <w:p>
            <w:pPr>
              <w:keepNext w:val="0"/>
              <w:keepLines w:val="0"/>
              <w:widowControl/>
              <w:numPr>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7"/>
              </w:numPr>
              <w:suppressLineNumbers w:val="0"/>
              <w:spacing w:before="0" w:beforeAutospacing="0" w:after="0" w:afterAutospacing="0"/>
              <w:ind w:left="420" w:leftChars="0" w:hanging="420" w:firstLineChars="0"/>
              <w:rPr>
                <w:rFonts w:ascii="Arial" w:hAnsi="Arial" w:cs="Arial"/>
              </w:rPr>
            </w:pPr>
            <w:r>
              <w:rPr>
                <w:rFonts w:hint="eastAsia" w:ascii="Calibri" w:hAnsi="Calibri" w:cs="Calibri"/>
                <w:b w:val="0"/>
                <w:bCs/>
                <w:color w:val="0E101A"/>
                <w:sz w:val="24"/>
                <w:szCs w:val="24"/>
                <w:lang w:val="en-US" w:eastAsia="zh-CN"/>
              </w:rPr>
              <w:t xml:space="preserve">Secondly, regular and ongoing workshops inform the relevant laws and regulations. </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autoSpaceDE w:val="0"/>
              <w:autoSpaceDN w:val="0"/>
              <w:adjustRightInd w:val="0"/>
              <w:rPr>
                <w:rFonts w:ascii="Arial" w:hAnsi="Arial" w:cs="Arial"/>
                <w:b/>
                <w:bCs/>
                <w:sz w:val="22"/>
                <w:szCs w:val="22"/>
              </w:rPr>
            </w:pPr>
          </w:p>
          <w:p>
            <w:pPr>
              <w:keepNext w:val="0"/>
              <w:keepLines w:val="0"/>
              <w:widowControl/>
              <w:numPr>
                <w:ilvl w:val="0"/>
                <w:numId w:val="2"/>
              </w:numPr>
              <w:suppressLineNumbers w:val="0"/>
              <w:spacing w:before="0" w:beforeAutospacing="0" w:after="0" w:afterAutospacing="0"/>
              <w:ind w:left="420" w:leftChars="0" w:hanging="420" w:firstLine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Through the workshops, a relatively mature system establish to strengthen the interaction between the stakeholders of the media architecture, create channels of expression and reception, create a long-term, efficient and diverse way of working, and provide different perspectives for the development and improvement of the media architecture.</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2"/>
              </w:numPr>
              <w:suppressLineNumbers w:val="0"/>
              <w:spacing w:before="0" w:beforeAutospacing="0" w:after="0" w:afterAutospacing="0"/>
              <w:ind w:left="420" w:leftChars="0" w:hanging="420" w:firstLine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The workshop will provide official and unofficial advice to the established and upcoming media architecture. In addition, it will provide the most direct and relatively objective feedback during the operational phase of the media architecture.</w:t>
            </w: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autoSpaceDE w:val="0"/>
              <w:autoSpaceDN w:val="0"/>
              <w:adjustRightInd w:val="0"/>
              <w:rPr>
                <w:rFonts w:ascii="Arial" w:hAnsi="Arial" w:cs="Arial"/>
                <w:b/>
                <w:bCs/>
                <w:sz w:val="22"/>
                <w:szCs w:val="22"/>
              </w:rPr>
            </w:pP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Based on Schielke's study of the Chinese media landscape, he attributes the boom in Chinese media architecture to the government's politically driven act of enhancing local and national identity while affirming the influence between elements such as the city's night-time economy, architectural history and tradition, and technological leadership (Schielke, 2021).</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The target group for the workshop should therefore consist of three components：</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3"/>
              </w:numPr>
              <w:suppressLineNumbers w:val="0"/>
              <w:spacing w:before="0" w:beforeAutospacing="0" w:after="0" w:afterAutospacing="0"/>
              <w:ind w:left="420" w:leftChars="0" w:hanging="420" w:firstLine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Stakeholders: Governments, Screen managers, Owners of media architecture.</w:t>
            </w:r>
          </w:p>
          <w:p>
            <w:pPr>
              <w:keepNext w:val="0"/>
              <w:keepLines w:val="0"/>
              <w:widowControl/>
              <w:numPr>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3"/>
              </w:numPr>
              <w:suppressLineNumbers w:val="0"/>
              <w:spacing w:before="0" w:beforeAutospacing="0" w:after="0" w:afterAutospacing="0"/>
              <w:ind w:left="420" w:leftChars="0" w:hanging="420" w:firstLine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Material and content producers: Designers, Architects, Media equipment engineers, and Media equipment manufacturers.</w:t>
            </w:r>
          </w:p>
          <w:p>
            <w:pPr>
              <w:keepNext w:val="0"/>
              <w:keepLines w:val="0"/>
              <w:widowControl/>
              <w:numPr>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3"/>
              </w:numPr>
              <w:suppressLineNumbers w:val="0"/>
              <w:spacing w:before="0" w:beforeAutospacing="0" w:after="0" w:afterAutospacing="0"/>
              <w:ind w:left="420" w:leftChars="0" w:hanging="420" w:firstLine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Audience: General public form surrounding communities, Visitors, Viewers are watching screen content via remote access.</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after="120"/>
              <w:rPr>
                <w:rFonts w:ascii="Arial" w:hAnsi="Arial" w:cs="Arial"/>
                <w:sz w:val="22"/>
                <w:szCs w:val="22"/>
              </w:rPr>
            </w:pPr>
          </w:p>
        </w:tc>
        <w:tc>
          <w:tcPr>
            <w:tcW w:w="4703"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ascii="Arial" w:hAnsi="Arial" w:cs="Arial"/>
                <w:sz w:val="22"/>
                <w:szCs w:val="22"/>
              </w:rPr>
            </w:pPr>
            <w:r>
              <w:rPr>
                <w:rFonts w:ascii="Arial" w:hAnsi="Arial" w:cs="Arial"/>
                <w:sz w:val="22"/>
                <w:szCs w:val="22"/>
              </w:rPr>
              <w:t>7</w:t>
            </w:r>
          </w:p>
        </w:tc>
        <w:tc>
          <w:tcPr>
            <w:tcW w:w="4703" w:type="pct"/>
            <w:gridSpan w:val="4"/>
            <w:vAlign w:val="center"/>
          </w:tcPr>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 xml:space="preserve">This paper research the media architecture as a trend to which the public, the market and the government respond. </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At the same time, the author believes this is a b</w:t>
            </w:r>
            <w:r>
              <w:rPr>
                <w:rFonts w:hint="default" w:ascii="Calibri" w:hAnsi="Calibri" w:cs="Calibri"/>
                <w:b w:val="0"/>
                <w:bCs/>
                <w:color w:val="0E101A"/>
                <w:sz w:val="24"/>
                <w:szCs w:val="24"/>
                <w:lang w:val="en-US" w:eastAsia="zh-CN"/>
              </w:rPr>
              <w:t>rilliant timing</w:t>
            </w:r>
            <w:r>
              <w:rPr>
                <w:rFonts w:hint="eastAsia" w:ascii="Calibri" w:hAnsi="Calibri" w:cs="Calibri"/>
                <w:b w:val="0"/>
                <w:bCs/>
                <w:color w:val="0E101A"/>
                <w:sz w:val="24"/>
                <w:szCs w:val="24"/>
                <w:lang w:val="en-US" w:eastAsia="zh-CN"/>
              </w:rPr>
              <w:t xml:space="preserve"> to create a platform to guide completed or upcoming media architecture projects through a workshop.</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Two issues need to address in this process. Firstly, the need to analyse the dialectical relationship between the parties involved in this platform, and secondly, the framework within which the workshop will operate.</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 xml:space="preserve">Examining the relationship between the public, the government and commerce around media architecture, one can see that they are in an interconnected state. At the same time, the author argues that if extending the behaviour between the three elements. </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 xml:space="preserve">The public is the audience of the content, the government is responsible for the construction, and the business is the basis of the production. </w:t>
            </w: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p>
          <w:p>
            <w:pPr>
              <w:keepNext w:val="0"/>
              <w:keepLines w:val="0"/>
              <w:widowControl/>
              <w:numPr>
                <w:ilvl w:val="0"/>
                <w:numId w:val="0"/>
              </w:numPr>
              <w:suppressLineNumbers w:val="0"/>
              <w:spacing w:before="0" w:beforeAutospacing="0" w:after="0" w:afterAutospacing="0"/>
              <w:ind w:leftChars="0"/>
              <w:rPr>
                <w:rFonts w:hint="eastAsia" w:ascii="Calibri" w:hAnsi="Calibri" w:cs="Calibri"/>
                <w:b w:val="0"/>
                <w:bCs/>
                <w:color w:val="0E101A"/>
                <w:sz w:val="24"/>
                <w:szCs w:val="24"/>
                <w:lang w:val="en-US" w:eastAsia="zh-CN"/>
              </w:rPr>
            </w:pPr>
            <w:r>
              <w:rPr>
                <w:rFonts w:hint="eastAsia" w:ascii="Calibri" w:hAnsi="Calibri" w:cs="Calibri"/>
                <w:b w:val="0"/>
                <w:bCs/>
                <w:color w:val="0E101A"/>
                <w:sz w:val="24"/>
                <w:szCs w:val="24"/>
                <w:lang w:val="en-US" w:eastAsia="zh-CN"/>
              </w:rPr>
              <w:t>These six elements are mutually constrained and form a chain of interests in media architecture.</w:t>
            </w:r>
          </w:p>
          <w:p>
            <w:pPr>
              <w:keepNext w:val="0"/>
              <w:keepLines w:val="0"/>
              <w:widowControl/>
              <w:numPr>
                <w:ilvl w:val="0"/>
                <w:numId w:val="0"/>
              </w:numPr>
              <w:suppressLineNumbers w:val="0"/>
              <w:spacing w:before="0" w:beforeAutospacing="0" w:after="0" w:afterAutospacing="0"/>
              <w:ind w:leftChars="0"/>
              <w:rPr>
                <w:rFonts w:hint="default" w:ascii="Calibri" w:hAnsi="Calibri" w:cs="Calibri"/>
                <w:b w:val="0"/>
                <w:bCs/>
                <w:color w:val="0E101A"/>
                <w:sz w:val="24"/>
                <w:szCs w:val="24"/>
                <w:lang w:val="en-US" w:eastAsia="zh-CN"/>
              </w:rPr>
            </w:pPr>
          </w:p>
          <w:p>
            <w:pPr>
              <w:rPr>
                <w:rFonts w:hint="eastAsia" w:ascii="Calibri" w:hAnsi="Calibri" w:eastAsia="ACaslonPro-Regular" w:cs="Calibri"/>
                <w:color w:val="000000"/>
                <w:kern w:val="0"/>
                <w:sz w:val="24"/>
                <w:szCs w:val="24"/>
                <w:lang w:val="en-US" w:eastAsia="zh-CN" w:bidi="ar"/>
              </w:rPr>
            </w:pPr>
            <w:r>
              <w:rPr>
                <w:rFonts w:hint="eastAsia" w:ascii="Calibri" w:hAnsi="Calibri" w:eastAsia="ACaslonPro-Regular" w:cs="Calibri"/>
                <w:color w:val="000000"/>
                <w:kern w:val="0"/>
                <w:sz w:val="24"/>
                <w:szCs w:val="24"/>
                <w:lang w:val="en-US" w:eastAsia="zh-CN" w:bidi="ar"/>
              </w:rPr>
              <w:t xml:space="preserve">The workshop is designed into seven parts, including a Call for Participants/ Collective-experience/Immediate-feedback/Co-creation/Professional-guidance/Comprehensive comments/Architectural evaluation. </w:t>
            </w:r>
          </w:p>
          <w:p>
            <w:pPr>
              <w:rPr>
                <w:rFonts w:hint="eastAsia" w:ascii="Calibri" w:hAnsi="Calibri" w:eastAsia="ACaslonPro-Regular" w:cs="Calibri"/>
                <w:color w:val="000000"/>
                <w:kern w:val="0"/>
                <w:sz w:val="24"/>
                <w:szCs w:val="24"/>
                <w:lang w:val="en-US" w:eastAsia="zh-CN" w:bidi="ar"/>
              </w:rPr>
            </w:pPr>
          </w:p>
          <w:p>
            <w:pPr>
              <w:rPr>
                <w:rFonts w:hint="eastAsia" w:ascii="Calibri" w:hAnsi="Calibri" w:eastAsia="ACaslonPro-Regular" w:cs="Calibri"/>
                <w:color w:val="000000"/>
                <w:kern w:val="0"/>
                <w:sz w:val="24"/>
                <w:szCs w:val="24"/>
                <w:lang w:val="en-US" w:eastAsia="zh-CN" w:bidi="ar"/>
              </w:rPr>
            </w:pPr>
            <w:r>
              <w:rPr>
                <w:rFonts w:hint="eastAsia" w:ascii="Calibri" w:hAnsi="Calibri" w:eastAsia="ACaslonPro-Regular" w:cs="Calibri"/>
                <w:color w:val="000000"/>
                <w:kern w:val="0"/>
                <w:sz w:val="24"/>
                <w:szCs w:val="24"/>
                <w:lang w:val="en-US" w:eastAsia="zh-CN" w:bidi="ar"/>
              </w:rPr>
              <w:t xml:space="preserve">The process of Immediate feedback/Co-creation/Professional guidance forms a closed loop because it needs to be validated circularly during the creation process. </w:t>
            </w:r>
          </w:p>
          <w:p>
            <w:pPr>
              <w:rPr>
                <w:rFonts w:hint="eastAsia" w:ascii="Calibri" w:hAnsi="Calibri" w:eastAsia="ACaslonPro-Regular" w:cs="Calibri"/>
                <w:color w:val="000000"/>
                <w:kern w:val="0"/>
                <w:sz w:val="24"/>
                <w:szCs w:val="24"/>
                <w:lang w:val="en-US" w:eastAsia="zh-CN" w:bidi="ar"/>
              </w:rPr>
            </w:pPr>
          </w:p>
          <w:p>
            <w:pPr>
              <w:rPr>
                <w:rFonts w:hint="eastAsia" w:ascii="Calibri" w:hAnsi="Calibri" w:eastAsia="ACaslonPro-Regular" w:cs="Calibri"/>
                <w:color w:val="000000"/>
                <w:kern w:val="0"/>
                <w:sz w:val="24"/>
                <w:szCs w:val="24"/>
                <w:lang w:val="en-US" w:eastAsia="zh-CN" w:bidi="ar"/>
              </w:rPr>
            </w:pPr>
            <w:r>
              <w:rPr>
                <w:rFonts w:hint="eastAsia" w:ascii="Calibri" w:hAnsi="Calibri" w:eastAsia="ACaslonPro-Regular" w:cs="Calibri"/>
                <w:color w:val="000000"/>
                <w:kern w:val="0"/>
                <w:sz w:val="24"/>
                <w:szCs w:val="24"/>
                <w:lang w:val="en-US" w:eastAsia="zh-CN" w:bidi="ar"/>
              </w:rPr>
              <w:t xml:space="preserve">After receiving input from all stakeholders, a definitive collection of opinions consolidate, and the content is judged through a set of evaluation methods to determine the final content presentation of the media building. </w:t>
            </w:r>
          </w:p>
          <w:p>
            <w:pPr>
              <w:rPr>
                <w:rFonts w:hint="eastAsia" w:ascii="Calibri" w:hAnsi="Calibri" w:eastAsia="ACaslonPro-Regular" w:cs="Calibri"/>
                <w:color w:val="000000"/>
                <w:kern w:val="0"/>
                <w:sz w:val="24"/>
                <w:szCs w:val="24"/>
                <w:lang w:val="en-US" w:eastAsia="zh-CN" w:bidi="ar"/>
              </w:rPr>
            </w:pPr>
          </w:p>
          <w:p>
            <w:pPr>
              <w:rPr>
                <w:rFonts w:hint="eastAsia" w:ascii="Calibri" w:hAnsi="Calibri" w:eastAsia="ACaslonPro-Regular" w:cs="Calibri"/>
                <w:color w:val="000000"/>
                <w:kern w:val="0"/>
                <w:sz w:val="24"/>
                <w:szCs w:val="24"/>
                <w:lang w:val="en-US" w:eastAsia="zh-CN" w:bidi="ar"/>
              </w:rPr>
            </w:pPr>
            <w:r>
              <w:rPr>
                <w:rFonts w:hint="eastAsia" w:ascii="Calibri" w:hAnsi="Calibri" w:eastAsia="ACaslonPro-Regular" w:cs="Calibri"/>
                <w:color w:val="000000"/>
                <w:kern w:val="0"/>
                <w:sz w:val="24"/>
                <w:szCs w:val="24"/>
                <w:lang w:val="en-US" w:eastAsia="zh-CN" w:bidi="ar"/>
              </w:rPr>
              <w:t xml:space="preserve">A range of professionals, including architects, new media designers, visual communication designers, stage directors, spatial environment designers, etc., are required to discuss and guide the process. </w:t>
            </w:r>
          </w:p>
          <w:p>
            <w:pPr>
              <w:rPr>
                <w:rFonts w:hint="eastAsia" w:ascii="Calibri" w:hAnsi="Calibri" w:eastAsia="ACaslonPro-Regular" w:cs="Calibri"/>
                <w:color w:val="000000"/>
                <w:kern w:val="0"/>
                <w:sz w:val="24"/>
                <w:szCs w:val="24"/>
                <w:lang w:val="en-US" w:eastAsia="zh-CN" w:bidi="ar"/>
              </w:rPr>
            </w:pPr>
          </w:p>
          <w:p>
            <w:pPr>
              <w:rPr>
                <w:rFonts w:hint="eastAsia" w:ascii="Calibri" w:hAnsi="Calibri" w:eastAsia="ACaslonPro-Regular" w:cs="Calibri"/>
                <w:color w:val="000000"/>
                <w:kern w:val="0"/>
                <w:sz w:val="24"/>
                <w:szCs w:val="24"/>
                <w:lang w:val="en-US" w:eastAsia="zh-CN" w:bidi="ar"/>
              </w:rPr>
            </w:pPr>
            <w:r>
              <w:rPr>
                <w:rFonts w:hint="eastAsia" w:ascii="Calibri" w:hAnsi="Calibri" w:eastAsia="ACaslonPro-Regular" w:cs="Calibri"/>
                <w:color w:val="000000"/>
                <w:kern w:val="0"/>
                <w:sz w:val="24"/>
                <w:szCs w:val="24"/>
                <w:lang w:val="en-US" w:eastAsia="zh-CN" w:bidi="ar"/>
              </w:rPr>
              <w:t>However, this type of guidance should always base on public participation.</w:t>
            </w:r>
          </w:p>
          <w:p>
            <w:pPr>
              <w:rPr>
                <w:rFonts w:hint="eastAsia" w:ascii="Calibri" w:hAnsi="Calibri" w:eastAsia="ACaslonPro-Regular" w:cs="Calibri"/>
                <w:color w:val="000000"/>
                <w:kern w:val="0"/>
                <w:sz w:val="24"/>
                <w:szCs w:val="24"/>
                <w:lang w:val="en-US" w:eastAsia="zh-CN" w:bidi="ar"/>
              </w:rPr>
            </w:pPr>
          </w:p>
          <w:p>
            <w:pPr>
              <w:rPr>
                <w:rFonts w:hint="eastAsia" w:ascii="Calibri" w:hAnsi="Calibri" w:eastAsia="ACaslonPro-Regular" w:cs="Calibri"/>
                <w:color w:val="000000"/>
                <w:kern w:val="0"/>
                <w:sz w:val="24"/>
                <w:szCs w:val="24"/>
                <w:lang w:val="en-US" w:eastAsia="zh-CN" w:bidi="ar"/>
              </w:rPr>
            </w:pPr>
          </w:p>
          <w:p>
            <w:pPr>
              <w:rPr>
                <w:rFonts w:hint="eastAsia" w:ascii="Calibri" w:hAnsi="Calibri" w:eastAsia="ACaslonPro-Regular" w:cs="Calibri"/>
                <w:color w:val="000000"/>
                <w:kern w:val="0"/>
                <w:sz w:val="24"/>
                <w:szCs w:val="24"/>
                <w:lang w:val="en-US" w:eastAsia="zh-CN" w:bidi="ar"/>
              </w:rPr>
            </w:pPr>
          </w:p>
          <w:p>
            <w:pPr>
              <w:rPr>
                <w:rFonts w:hint="default" w:ascii="Calibri" w:hAnsi="Calibri" w:eastAsia="ACaslonPro-Regular" w:cs="Calibri"/>
                <w:color w:val="000000"/>
                <w:kern w:val="0"/>
                <w:sz w:val="24"/>
                <w:szCs w:val="24"/>
                <w:lang w:val="en-US" w:eastAsia="zh-CN" w:bidi="ar"/>
              </w:rPr>
            </w:pPr>
          </w:p>
          <w:p>
            <w:pPr>
              <w:rPr>
                <w:rFonts w:ascii="Arial" w:hAnsi="Arial" w:cs="Arial"/>
                <w:sz w:val="22"/>
                <w:szCs w:val="22"/>
              </w:rPr>
            </w:pPr>
            <w:r>
              <w:rPr>
                <w:rFonts w:hint="default" w:ascii="Calibri" w:hAnsi="Calibri" w:cs="Calibri"/>
                <w:b w:val="0"/>
                <w:bCs/>
                <w:color w:val="0E101A"/>
                <w:sz w:val="24"/>
                <w:szCs w:val="24"/>
                <w:lang w:val="en-US" w:eastAsia="zh-CN"/>
              </w:rPr>
              <w:drawing>
                <wp:inline distT="0" distB="0" distL="114300" distR="114300">
                  <wp:extent cx="5271135" cy="7036435"/>
                  <wp:effectExtent l="0" t="0" r="12065" b="12065"/>
                  <wp:docPr id="9" name="图片 9" descr="C:\Users\82105\Desktop\lunwen1xitong_画板 1_画板 1.jpglunwen1xitong_画板 1_画板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C:\Users\82105\Desktop\lunwen1xitong_画板 1_画板 1.jpglunwen1xitong_画板 1_画板 1"/>
                          <pic:cNvPicPr>
                            <a:picLocks noChangeAspect="1"/>
                          </pic:cNvPicPr>
                        </pic:nvPicPr>
                        <pic:blipFill>
                          <a:blip r:embed="rId8"/>
                          <a:srcRect/>
                          <a:stretch>
                            <a:fillRect/>
                          </a:stretch>
                        </pic:blipFill>
                        <pic:spPr>
                          <a:xfrm>
                            <a:off x="0" y="0"/>
                            <a:ext cx="5271135" cy="7036435"/>
                          </a:xfrm>
                          <a:prstGeom prst="rect">
                            <a:avLst/>
                          </a:prstGeom>
                        </pic:spPr>
                      </pic:pic>
                    </a:graphicData>
                  </a:graphic>
                </wp:inline>
              </w:drawing>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r>
              <w:br w:type="page"/>
            </w: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ascii="Arial" w:hAnsi="Arial" w:cs="Arial"/>
                <w:bCs/>
                <w:sz w:val="22"/>
                <w:szCs w:val="22"/>
              </w:rPr>
            </w:pPr>
            <w:r>
              <w:rPr>
                <w:rFonts w:ascii="Arial" w:hAnsi="Arial" w:cs="Arial"/>
                <w:bCs/>
                <w:sz w:val="22"/>
                <w:szCs w:val="22"/>
              </w:rPr>
              <w:t>8</w:t>
            </w:r>
          </w:p>
        </w:tc>
        <w:tc>
          <w:tcPr>
            <w:tcW w:w="4703" w:type="pct"/>
            <w:gridSpan w:val="4"/>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Workshop Location: </w:t>
            </w:r>
          </w:p>
          <w:p>
            <w:pPr>
              <w:numPr>
                <w:ilvl w:val="0"/>
                <w:numId w:val="3"/>
              </w:numPr>
              <w:ind w:left="420" w:leftChars="0" w:hanging="42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Government-held events on-site </w:t>
            </w:r>
          </w:p>
          <w:p>
            <w:pPr>
              <w:numPr>
                <w:ilvl w:val="0"/>
                <w:numId w:val="3"/>
              </w:numPr>
              <w:ind w:left="420" w:leftChars="0" w:hanging="42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Light festival site </w:t>
            </w:r>
          </w:p>
          <w:p>
            <w:pPr>
              <w:numPr>
                <w:ilvl w:val="0"/>
                <w:numId w:val="3"/>
              </w:numPr>
              <w:ind w:left="420" w:leftChars="0" w:hanging="42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Seminar held by the community </w:t>
            </w:r>
          </w:p>
          <w:p>
            <w:pPr>
              <w:numPr>
                <w:ilvl w:val="0"/>
                <w:numId w:val="3"/>
              </w:numPr>
              <w:ind w:left="420" w:leftChars="0" w:hanging="42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College Community Cooperation </w:t>
            </w:r>
          </w:p>
          <w:p>
            <w:pPr>
              <w:numPr>
                <w:ilvl w:val="0"/>
                <w:numId w:val="3"/>
              </w:numPr>
              <w:ind w:left="420" w:leftChars="0" w:hanging="42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Studio Lighting equipment manufacturing plant</w:t>
            </w:r>
          </w:p>
          <w:p>
            <w:pPr>
              <w:rPr>
                <w:rFonts w:hint="eastAsia" w:ascii="Arial" w:hAnsi="Arial" w:eastAsia="宋体" w:cs="Arial"/>
                <w:sz w:val="22"/>
                <w:szCs w:val="22"/>
                <w:lang w:val="en-US" w:eastAsia="zh-CN"/>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ascii="Arial" w:hAnsi="Arial" w:cs="Arial"/>
                <w:bCs/>
                <w:sz w:val="22"/>
                <w:szCs w:val="22"/>
              </w:rPr>
            </w:pPr>
            <w:r>
              <w:rPr>
                <w:rFonts w:ascii="Arial" w:hAnsi="Arial" w:cs="Arial"/>
                <w:bCs/>
                <w:sz w:val="22"/>
                <w:szCs w:val="22"/>
              </w:rPr>
              <w:t>9</w:t>
            </w:r>
          </w:p>
        </w:tc>
        <w:tc>
          <w:tcPr>
            <w:tcW w:w="4703" w:type="pct"/>
            <w:gridSpan w:val="4"/>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The study will be conducted in both China and the UK, so it will follow the laws and regulations of both China and the UK. If necessary, ethical review is applied to two organizations: </w:t>
            </w:r>
          </w:p>
          <w:p>
            <w:pPr>
              <w:rPr>
                <w:rFonts w:hint="eastAsia" w:ascii="Arial" w:hAnsi="Arial" w:eastAsia="宋体" w:cs="Arial"/>
                <w:sz w:val="22"/>
                <w:szCs w:val="22"/>
                <w:lang w:val="en-US" w:eastAsia="zh-CN"/>
              </w:rPr>
            </w:pPr>
          </w:p>
          <w:p>
            <w:pPr>
              <w:numPr>
                <w:ilvl w:val="0"/>
                <w:numId w:val="3"/>
              </w:numPr>
              <w:ind w:left="420" w:leftChars="0" w:hanging="42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China Ethics Review Board Design </w:t>
            </w:r>
          </w:p>
          <w:p>
            <w:pPr>
              <w:numPr>
                <w:ilvl w:val="0"/>
                <w:numId w:val="3"/>
              </w:numPr>
              <w:ind w:left="420" w:leftChars="0" w:hanging="420" w:firstLineChars="0"/>
              <w:rPr>
                <w:rFonts w:ascii="Arial" w:hAnsi="Arial" w:cs="Arial"/>
                <w:sz w:val="22"/>
                <w:szCs w:val="22"/>
              </w:rPr>
            </w:pPr>
            <w:r>
              <w:rPr>
                <w:rFonts w:hint="eastAsia" w:ascii="Arial" w:hAnsi="Arial" w:eastAsia="宋体" w:cs="Arial"/>
                <w:sz w:val="22"/>
                <w:szCs w:val="22"/>
                <w:lang w:val="en-US" w:eastAsia="zh-CN"/>
              </w:rPr>
              <w:t>Ethics Committee of Guangzhou Academy of Fine Arts</w:t>
            </w: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8"/>
        <w:tblW w:w="849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59"/>
        <w:gridCol w:w="5972"/>
        <w:gridCol w:w="1033"/>
        <w:gridCol w:w="10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9" w:hRule="atLeast"/>
        </w:trPr>
        <w:tc>
          <w:tcPr>
            <w:tcW w:w="459"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5972"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03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33"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46" w:hRule="atLeast"/>
        </w:trPr>
        <w:tc>
          <w:tcPr>
            <w:tcW w:w="459"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597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03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033"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77" w:hRule="atLeast"/>
        </w:trPr>
        <w:tc>
          <w:tcPr>
            <w:tcW w:w="459"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038"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8"/>
        <w:tblW w:w="839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1"/>
        <w:gridCol w:w="6594"/>
        <w:gridCol w:w="683"/>
        <w:gridCol w:w="6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1"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6604"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683"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6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66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683"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60"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66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683"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60"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66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683"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60"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0"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66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683"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60"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66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683"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60"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66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683"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60"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6604"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683"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60"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47"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51" w:type="dxa"/>
            <w:vAlign w:val="center"/>
          </w:tcPr>
          <w:p>
            <w:pPr>
              <w:autoSpaceDE w:val="0"/>
              <w:autoSpaceDN w:val="0"/>
              <w:adjustRightInd w:val="0"/>
              <w:jc w:val="center"/>
              <w:rPr>
                <w:rFonts w:ascii="Arial" w:hAnsi="Arial" w:cs="Arial"/>
                <w:sz w:val="22"/>
                <w:szCs w:val="22"/>
              </w:rPr>
            </w:pPr>
          </w:p>
        </w:tc>
        <w:tc>
          <w:tcPr>
            <w:tcW w:w="7947" w:type="dxa"/>
            <w:gridSpan w:val="3"/>
            <w:shd w:val="clear" w:color="auto" w:fill="auto"/>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8"/>
        <w:tblW w:w="84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1"/>
        <w:gridCol w:w="6619"/>
        <w:gridCol w:w="681"/>
        <w:gridCol w:w="65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45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662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681"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5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6"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681"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57" w:type="dxa"/>
            <w:shd w:val="clear" w:color="auto" w:fill="BEBEBE"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6"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681" w:type="dxa"/>
            <w:shd w:val="clear" w:color="auto" w:fill="BEBEBE"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57"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6"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681" w:type="dxa"/>
            <w:shd w:val="clear" w:color="auto" w:fill="BEBEBE"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57" w:type="dxa"/>
            <w:shd w:val="clear" w:color="auto" w:fill="BEBEBE"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681" w:type="dxa"/>
            <w:shd w:val="clear" w:color="auto" w:fill="BEBEBE"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57" w:type="dxa"/>
            <w:shd w:val="clear" w:color="auto" w:fill="BEBEBE"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681" w:type="dxa"/>
            <w:shd w:val="clear" w:color="auto" w:fill="BEBEBE"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57"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681" w:type="dxa"/>
            <w:shd w:val="clear" w:color="auto" w:fill="BEBEBE"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57" w:type="dxa"/>
            <w:shd w:val="clear" w:color="auto" w:fill="BEBEBE"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6"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681" w:type="dxa"/>
            <w:shd w:val="clear" w:color="auto" w:fill="BEBEBE"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57" w:type="dxa"/>
            <w:shd w:val="clear" w:color="auto" w:fill="BEBEBE"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681"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57"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6"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681"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57"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6"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681"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57"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681"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57"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681"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57"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681"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57"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681"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57"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681"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57"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681"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57"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6" w:hRule="atLeast"/>
        </w:trPr>
        <w:tc>
          <w:tcPr>
            <w:tcW w:w="45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662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681"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57"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35" w:hRule="atLeast"/>
        </w:trPr>
        <w:tc>
          <w:tcPr>
            <w:tcW w:w="452" w:type="dxa"/>
            <w:vAlign w:val="center"/>
          </w:tcPr>
          <w:p>
            <w:pPr>
              <w:autoSpaceDE w:val="0"/>
              <w:autoSpaceDN w:val="0"/>
              <w:adjustRightInd w:val="0"/>
              <w:rPr>
                <w:rFonts w:ascii="Arial" w:hAnsi="Arial" w:cs="Arial"/>
                <w:sz w:val="22"/>
                <w:szCs w:val="22"/>
              </w:rPr>
            </w:pPr>
          </w:p>
        </w:tc>
        <w:tc>
          <w:tcPr>
            <w:tcW w:w="6628"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681"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657"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8"/>
        <w:tblW w:w="849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7"/>
        <w:gridCol w:w="6683"/>
        <w:gridCol w:w="691"/>
        <w:gridCol w:w="6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7" w:hRule="atLeast"/>
        </w:trPr>
        <w:tc>
          <w:tcPr>
            <w:tcW w:w="457"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6683"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691"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68"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4" w:hRule="atLeast"/>
        </w:trPr>
        <w:tc>
          <w:tcPr>
            <w:tcW w:w="457"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668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691" w:type="dxa"/>
            <w:shd w:val="clear" w:color="auto" w:fill="BEBEBE"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68"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457"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668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691" w:type="dxa"/>
            <w:shd w:val="clear" w:color="auto" w:fill="BEBEBE"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68"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4" w:hRule="atLeast"/>
        </w:trPr>
        <w:tc>
          <w:tcPr>
            <w:tcW w:w="457"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668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691" w:type="dxa"/>
            <w:shd w:val="clear" w:color="auto" w:fill="BEBEBE" w:themeFill="background1" w:themeFillShade="BF"/>
            <w:vAlign w:val="center"/>
          </w:tcPr>
          <w:sdt>
            <w:sdtPr>
              <w:rPr>
                <w:rFonts w:ascii="Arial" w:hAnsi="Arial" w:cs="Arial"/>
                <w:sz w:val="22"/>
                <w:szCs w:val="22"/>
              </w:rPr>
              <w:id w:val="55597856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68"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7" w:hRule="atLeast"/>
        </w:trPr>
        <w:tc>
          <w:tcPr>
            <w:tcW w:w="457"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668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691" w:type="dxa"/>
            <w:shd w:val="clear" w:color="auto" w:fill="BEBEBE"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68"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457"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668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691"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68"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4" w:hRule="atLeast"/>
        </w:trPr>
        <w:tc>
          <w:tcPr>
            <w:tcW w:w="457"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668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691"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68" w:type="dxa"/>
            <w:shd w:val="clear" w:color="auto" w:fill="BEBEBE"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7" w:hRule="atLeast"/>
        </w:trPr>
        <w:tc>
          <w:tcPr>
            <w:tcW w:w="457"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668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691"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68"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457"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668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691"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68"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35" w:hRule="atLeast"/>
        </w:trPr>
        <w:tc>
          <w:tcPr>
            <w:tcW w:w="457"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668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691"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68" w:type="dxa"/>
            <w:vMerge w:val="restart"/>
            <w:shd w:val="clear" w:color="auto" w:fill="BEBEBE"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45" w:hRule="atLeast"/>
        </w:trPr>
        <w:tc>
          <w:tcPr>
            <w:tcW w:w="457" w:type="dxa"/>
            <w:vAlign w:val="center"/>
          </w:tcPr>
          <w:p>
            <w:pPr>
              <w:autoSpaceDE w:val="0"/>
              <w:autoSpaceDN w:val="0"/>
              <w:adjustRightInd w:val="0"/>
              <w:jc w:val="center"/>
              <w:rPr>
                <w:rFonts w:ascii="Arial" w:hAnsi="Arial" w:cs="Arial"/>
                <w:sz w:val="22"/>
                <w:szCs w:val="22"/>
              </w:rPr>
            </w:pPr>
          </w:p>
        </w:tc>
        <w:tc>
          <w:tcPr>
            <w:tcW w:w="6683"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691"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668"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8"/>
        <w:tblW w:w="843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3"/>
        <w:gridCol w:w="2627"/>
        <w:gridCol w:w="534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4" w:hRule="atLeast"/>
        </w:trPr>
        <w:tc>
          <w:tcPr>
            <w:tcW w:w="463" w:type="dxa"/>
            <w:tcBorders>
              <w:bottom w:val="single" w:color="auto" w:sz="4" w:space="0"/>
            </w:tcBorders>
            <w:shd w:val="clear" w:color="auto" w:fill="F1F1F1" w:themeFill="background1" w:themeFillShade="F2"/>
          </w:tcPr>
          <w:p>
            <w:pPr>
              <w:rPr>
                <w:rFonts w:ascii="Arial" w:hAnsi="Arial" w:cs="Arial"/>
                <w:bCs/>
                <w:sz w:val="22"/>
                <w:szCs w:val="22"/>
              </w:rPr>
            </w:pPr>
          </w:p>
        </w:tc>
        <w:tc>
          <w:tcPr>
            <w:tcW w:w="7976"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02" w:hRule="atLeast"/>
        </w:trPr>
        <w:tc>
          <w:tcPr>
            <w:tcW w:w="4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262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5349"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There will be about 10 participants each time, and the total number depends on the relevant department involved</w:t>
            </w:r>
          </w:p>
          <w:p>
            <w:pPr>
              <w:rPr>
                <w:rFonts w:hint="eastAsia" w:ascii="Arial" w:hAnsi="Arial" w:eastAsia="宋体" w:cs="Arial"/>
                <w:sz w:val="22"/>
                <w:szCs w:val="22"/>
                <w:lang w:val="en-US" w:eastAsia="zh-CN"/>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00" w:hRule="atLeast"/>
        </w:trPr>
        <w:tc>
          <w:tcPr>
            <w:tcW w:w="4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262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5349"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Will be anyone who is interested in media building in a particular community</w:t>
            </w:r>
          </w:p>
          <w:p>
            <w:pPr>
              <w:rPr>
                <w:rFonts w:hint="eastAsia" w:ascii="Arial" w:hAnsi="Arial" w:eastAsia="宋体" w:cs="Arial"/>
                <w:sz w:val="22"/>
                <w:szCs w:val="22"/>
                <w:lang w:val="en-US" w:eastAsia="zh-CN"/>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10" w:hRule="atLeast"/>
        </w:trPr>
        <w:tc>
          <w:tcPr>
            <w:tcW w:w="463"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2627"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5349" w:type="dxa"/>
            <w:tcBorders>
              <w:top w:val="single" w:color="auto" w:sz="4" w:space="0"/>
            </w:tcBorders>
            <w:vAlign w:val="center"/>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objectivity of the research team was guaranteed through government publicity, recruitment and random sample selection</w:t>
            </w:r>
          </w:p>
          <w:p>
            <w:pPr>
              <w:rPr>
                <w:rFonts w:hint="eastAsia" w:ascii="Arial" w:hAnsi="Arial" w:eastAsia="宋体" w:cs="Arial"/>
                <w:sz w:val="22"/>
                <w:szCs w:val="22"/>
                <w:lang w:val="en-US" w:eastAsia="zh-CN"/>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tbl>
      <w:tblPr>
        <w:tblStyle w:val="8"/>
        <w:tblW w:w="843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1"/>
        <w:gridCol w:w="5696"/>
        <w:gridCol w:w="798"/>
        <w:gridCol w:w="685"/>
        <w:gridCol w:w="79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45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570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798"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5"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798"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45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57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798"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85"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98"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45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57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798"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85"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98"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6" w:hRule="atLeast"/>
        </w:trPr>
        <w:tc>
          <w:tcPr>
            <w:tcW w:w="45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57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798"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85"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98"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45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57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798"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85"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98"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45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57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798" w:type="dxa"/>
            <w:shd w:val="clear" w:color="auto" w:fill="BEBEBE"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85"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98"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45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57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798" w:type="dxa"/>
            <w:shd w:val="clear" w:color="auto" w:fill="BEBEBE"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85"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98"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45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57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798" w:type="dxa"/>
            <w:shd w:val="clear" w:color="auto" w:fill="BEBEBE"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85"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98"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45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57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798"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85"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98"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9" w:hRule="atLeast"/>
        </w:trPr>
        <w:tc>
          <w:tcPr>
            <w:tcW w:w="45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57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798"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85"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98"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45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7986"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49" w:hRule="atLeast"/>
        </w:trPr>
        <w:tc>
          <w:tcPr>
            <w:tcW w:w="452" w:type="dxa"/>
            <w:vAlign w:val="center"/>
          </w:tcPr>
          <w:p>
            <w:pPr>
              <w:jc w:val="center"/>
              <w:rPr>
                <w:rFonts w:ascii="Arial" w:hAnsi="Arial" w:cs="Arial"/>
                <w:sz w:val="22"/>
                <w:szCs w:val="22"/>
              </w:rPr>
            </w:pPr>
          </w:p>
        </w:tc>
        <w:tc>
          <w:tcPr>
            <w:tcW w:w="7986" w:type="dxa"/>
            <w:gridSpan w:val="4"/>
            <w:vAlign w:val="center"/>
          </w:tcPr>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8"/>
        <w:tblW w:w="845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1"/>
        <w:gridCol w:w="5711"/>
        <w:gridCol w:w="800"/>
        <w:gridCol w:w="686"/>
        <w:gridCol w:w="80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56" w:hRule="atLeast"/>
        </w:trPr>
        <w:tc>
          <w:tcPr>
            <w:tcW w:w="453"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5719"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800"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00"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4" w:hRule="atLeast"/>
        </w:trPr>
        <w:tc>
          <w:tcPr>
            <w:tcW w:w="45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571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800"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86" w:type="dxa"/>
            <w:shd w:val="clear" w:color="auto" w:fill="BEBEBE"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00"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45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571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800" w:type="dxa"/>
            <w:shd w:val="clear" w:color="auto" w:fill="BEBEBE"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686"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00"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56" w:hRule="atLeast"/>
        </w:trPr>
        <w:tc>
          <w:tcPr>
            <w:tcW w:w="45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571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800"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86"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00" w:type="dxa"/>
            <w:shd w:val="clear" w:color="auto" w:fill="BEBEBE"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56" w:hRule="atLeast"/>
        </w:trPr>
        <w:tc>
          <w:tcPr>
            <w:tcW w:w="45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571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800"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686" w:type="dxa"/>
            <w:shd w:val="clear" w:color="auto" w:fill="BEBEBE"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00"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45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8005"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59" w:hRule="atLeast"/>
        </w:trPr>
        <w:tc>
          <w:tcPr>
            <w:tcW w:w="453" w:type="dxa"/>
            <w:vAlign w:val="center"/>
          </w:tcPr>
          <w:p>
            <w:pPr>
              <w:jc w:val="center"/>
              <w:rPr>
                <w:rFonts w:ascii="Arial" w:hAnsi="Arial" w:cs="Arial"/>
                <w:sz w:val="22"/>
                <w:szCs w:val="22"/>
              </w:rPr>
            </w:pPr>
          </w:p>
        </w:tc>
        <w:tc>
          <w:tcPr>
            <w:tcW w:w="8005" w:type="dxa"/>
            <w:gridSpan w:val="4"/>
            <w:vAlign w:val="center"/>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Participants will use some devices mapping the media architecture without any damage to their health. In addition, the copyright of the content formed through cooperation is jointly owned by various parties, which in principle cannot be used for any commercial purposes.</w:t>
            </w:r>
          </w:p>
          <w:p>
            <w:pPr>
              <w:rPr>
                <w:rFonts w:hint="eastAsia" w:ascii="Arial" w:hAnsi="Arial" w:eastAsia="宋体" w:cs="Arial"/>
                <w:sz w:val="22"/>
                <w:szCs w:val="22"/>
                <w:lang w:val="en-US" w:eastAsia="zh-CN"/>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7"/>
        <w:tblW w:w="847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0"/>
        <w:gridCol w:w="4023"/>
        <w:gridCol w:w="2743"/>
        <w:gridCol w:w="685"/>
        <w:gridCol w:w="5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18" w:hRule="atLeast"/>
        </w:trPr>
        <w:tc>
          <w:tcPr>
            <w:tcW w:w="480"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7999"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480"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6766"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685"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548"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480"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6766"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685"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548"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5" w:hRule="atLeast"/>
        </w:trPr>
        <w:tc>
          <w:tcPr>
            <w:tcW w:w="480"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7999"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18" w:hRule="atLeast"/>
        </w:trPr>
        <w:tc>
          <w:tcPr>
            <w:tcW w:w="480"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023"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autoSpaceDE w:val="0"/>
              <w:autoSpaceDN w:val="0"/>
              <w:adjustRightInd w:val="0"/>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NO</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3976"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3" w:hRule="atLeast"/>
        </w:trPr>
        <w:tc>
          <w:tcPr>
            <w:tcW w:w="480"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7999"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22" w:hRule="atLeast"/>
        </w:trPr>
        <w:tc>
          <w:tcPr>
            <w:tcW w:w="480" w:type="dxa"/>
            <w:tcBorders>
              <w:top w:val="single" w:color="auto" w:sz="4" w:space="0"/>
              <w:bottom w:val="single" w:color="auto" w:sz="4" w:space="0"/>
            </w:tcBorders>
            <w:vAlign w:val="center"/>
          </w:tcPr>
          <w:p>
            <w:pPr>
              <w:jc w:val="center"/>
              <w:rPr>
                <w:rFonts w:ascii="Arial" w:hAnsi="Arial" w:cs="Arial"/>
                <w:sz w:val="22"/>
                <w:szCs w:val="22"/>
              </w:rPr>
            </w:pPr>
          </w:p>
        </w:tc>
        <w:tc>
          <w:tcPr>
            <w:tcW w:w="7999" w:type="dxa"/>
            <w:gridSpan w:val="4"/>
            <w:tcBorders>
              <w:top w:val="single" w:color="auto" w:sz="4" w:space="0"/>
              <w:bottom w:val="single" w:color="auto" w:sz="4" w:space="0"/>
            </w:tcBorders>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Participants may need to participate in the creation of art, and in principle there will not be any sensitive topics. At the same time, the images and colors may hurt people of different religious beliefs or different ethnic groups. For this problem, there will be government personnel and professionals, such as designers, who will participate in the creation of images to avoid such problems.</w:t>
            </w:r>
          </w:p>
          <w:p>
            <w:pPr>
              <w:rPr>
                <w:rFonts w:hint="eastAsia" w:ascii="Arial" w:hAnsi="Arial" w:eastAsia="宋体" w:cs="Arial"/>
                <w:sz w:val="22"/>
                <w:szCs w:val="22"/>
                <w:lang w:val="en-US" w:eastAsia="zh-CN"/>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5" w:hRule="atLeast"/>
        </w:trPr>
        <w:tc>
          <w:tcPr>
            <w:tcW w:w="480"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7999"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18" w:hRule="atLeast"/>
        </w:trPr>
        <w:tc>
          <w:tcPr>
            <w:tcW w:w="480"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023"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ascii="Arial" w:hAnsi="Arial" w:cs="Arial"/>
                <w:sz w:val="22"/>
                <w:szCs w:val="22"/>
              </w:rPr>
            </w:pPr>
          </w:p>
          <w:p>
            <w:pPr>
              <w:rPr>
                <w:rFonts w:ascii="Arial" w:hAnsi="Arial" w:cs="Arial"/>
                <w:sz w:val="22"/>
                <w:szCs w:val="22"/>
              </w:rPr>
            </w:pPr>
            <w:r>
              <w:rPr>
                <w:rFonts w:hint="eastAsia" w:ascii="Arial" w:hAnsi="Arial" w:eastAsia="宋体" w:cs="Arial"/>
                <w:sz w:val="22"/>
                <w:szCs w:val="22"/>
                <w:lang w:val="en-US" w:eastAsia="zh-CN"/>
              </w:rPr>
              <w:t>NO</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3976"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3" w:hRule="atLeast"/>
        </w:trPr>
        <w:tc>
          <w:tcPr>
            <w:tcW w:w="480"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7999"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18" w:hRule="atLeast"/>
        </w:trPr>
        <w:tc>
          <w:tcPr>
            <w:tcW w:w="480"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023"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University:</w:t>
            </w:r>
          </w:p>
          <w:p>
            <w:pPr>
              <w:rPr>
                <w:rFonts w:ascii="Arial" w:hAnsi="Arial" w:cs="Arial"/>
                <w:sz w:val="22"/>
                <w:szCs w:val="22"/>
              </w:rPr>
            </w:pPr>
          </w:p>
          <w:p>
            <w:pPr>
              <w:rPr>
                <w:rFonts w:ascii="Arial" w:hAnsi="Arial" w:cs="Arial"/>
                <w:sz w:val="22"/>
                <w:szCs w:val="22"/>
              </w:rPr>
            </w:pPr>
            <w:r>
              <w:rPr>
                <w:rFonts w:hint="eastAsia" w:ascii="Arial" w:hAnsi="Arial" w:eastAsia="宋体" w:cs="Arial"/>
                <w:sz w:val="22"/>
                <w:szCs w:val="22"/>
                <w:lang w:val="en-US" w:eastAsia="zh-CN"/>
              </w:rPr>
              <w:t>NO</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3976"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3" w:hRule="atLeast"/>
        </w:trPr>
        <w:tc>
          <w:tcPr>
            <w:tcW w:w="480"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7999"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27" w:hRule="atLeast"/>
        </w:trPr>
        <w:tc>
          <w:tcPr>
            <w:tcW w:w="480"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023"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environment:</w:t>
            </w:r>
          </w:p>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NO</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3976"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7"/>
        <w:tblW w:w="845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79"/>
        <w:gridCol w:w="5952"/>
        <w:gridCol w:w="660"/>
        <w:gridCol w:w="683"/>
        <w:gridCol w:w="6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4" w:hRule="atLeast"/>
        </w:trPr>
        <w:tc>
          <w:tcPr>
            <w:tcW w:w="479"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980"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01" w:hRule="atLeast"/>
        </w:trPr>
        <w:tc>
          <w:tcPr>
            <w:tcW w:w="479"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5952"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66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683"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685"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84" w:hRule="atLeast"/>
        </w:trPr>
        <w:tc>
          <w:tcPr>
            <w:tcW w:w="479"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5952"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66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683"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685"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13" w:hRule="atLeast"/>
        </w:trPr>
        <w:tc>
          <w:tcPr>
            <w:tcW w:w="479"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5952"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028"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7"/>
        <w:tblW w:w="847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0"/>
        <w:gridCol w:w="799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6" w:hRule="atLeast"/>
        </w:trPr>
        <w:tc>
          <w:tcPr>
            <w:tcW w:w="480"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7999"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75" w:hRule="atLeast"/>
        </w:trPr>
        <w:tc>
          <w:tcPr>
            <w:tcW w:w="480" w:type="dxa"/>
            <w:tcBorders>
              <w:top w:val="single" w:color="auto" w:sz="4" w:space="0"/>
              <w:bottom w:val="single" w:color="auto" w:sz="4" w:space="0"/>
            </w:tcBorders>
          </w:tcPr>
          <w:p>
            <w:pPr>
              <w:rPr>
                <w:rFonts w:ascii="Arial" w:hAnsi="Arial" w:cs="Arial"/>
                <w:bCs/>
                <w:sz w:val="22"/>
                <w:szCs w:val="22"/>
              </w:rPr>
            </w:pPr>
          </w:p>
        </w:tc>
        <w:tc>
          <w:tcPr>
            <w:tcW w:w="7999" w:type="dxa"/>
            <w:tcBorders>
              <w:top w:val="single" w:color="auto" w:sz="4" w:space="0"/>
              <w:bottom w:val="single" w:color="auto" w:sz="4" w:space="0"/>
            </w:tcBorders>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Rebriefing to participants will be real-time feedback, allowing people to respond on the scene through specific devices and interactive devices.</w:t>
            </w:r>
          </w:p>
          <w:p>
            <w:pPr>
              <w:rPr>
                <w:rFonts w:hint="eastAsia" w:ascii="Arial" w:hAnsi="Arial" w:eastAsia="宋体" w:cs="Arial"/>
                <w:sz w:val="22"/>
                <w:szCs w:val="22"/>
                <w:lang w:val="en-US" w:eastAsia="zh-CN"/>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75" w:hRule="atLeast"/>
        </w:trPr>
        <w:tc>
          <w:tcPr>
            <w:tcW w:w="480"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7999"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82" w:hRule="atLeast"/>
        </w:trPr>
        <w:tc>
          <w:tcPr>
            <w:tcW w:w="480" w:type="dxa"/>
            <w:tcBorders>
              <w:top w:val="single" w:color="auto" w:sz="4" w:space="0"/>
              <w:bottom w:val="single" w:color="auto" w:sz="4" w:space="0"/>
            </w:tcBorders>
          </w:tcPr>
          <w:p>
            <w:pPr>
              <w:rPr>
                <w:rFonts w:ascii="Arial" w:hAnsi="Arial" w:cs="Arial"/>
                <w:bCs/>
                <w:sz w:val="22"/>
                <w:szCs w:val="22"/>
              </w:rPr>
            </w:pPr>
          </w:p>
        </w:tc>
        <w:tc>
          <w:tcPr>
            <w:tcW w:w="7999" w:type="dxa"/>
            <w:tcBorders>
              <w:top w:val="single" w:color="auto" w:sz="4" w:space="0"/>
              <w:bottom w:val="single" w:color="auto" w:sz="4" w:space="0"/>
            </w:tcBorders>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Yes, an informed consent form is required, and the document can also be reviewed if necessary.</w:t>
            </w:r>
          </w:p>
          <w:p>
            <w:pPr>
              <w:rPr>
                <w:rFonts w:hint="eastAsia" w:ascii="Arial" w:hAnsi="Arial" w:eastAsia="宋体" w:cs="Arial"/>
                <w:sz w:val="22"/>
                <w:szCs w:val="22"/>
                <w:lang w:val="en-US" w:eastAsia="zh-CN"/>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89" w:hRule="atLeast"/>
        </w:trPr>
        <w:tc>
          <w:tcPr>
            <w:tcW w:w="480"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7999"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92" w:hRule="atLeast"/>
        </w:trPr>
        <w:tc>
          <w:tcPr>
            <w:tcW w:w="480" w:type="dxa"/>
            <w:tcBorders>
              <w:top w:val="single" w:color="auto" w:sz="4" w:space="0"/>
              <w:bottom w:val="single" w:color="auto" w:sz="4" w:space="0"/>
            </w:tcBorders>
          </w:tcPr>
          <w:p>
            <w:pPr>
              <w:rPr>
                <w:rFonts w:ascii="Arial" w:hAnsi="Arial" w:cs="Arial"/>
                <w:bCs/>
                <w:sz w:val="22"/>
                <w:szCs w:val="22"/>
              </w:rPr>
            </w:pPr>
          </w:p>
        </w:tc>
        <w:tc>
          <w:tcPr>
            <w:tcW w:w="7999" w:type="dxa"/>
            <w:tcBorders>
              <w:top w:val="single" w:color="auto" w:sz="4" w:space="0"/>
              <w:bottom w:val="single" w:color="auto" w:sz="4" w:space="0"/>
            </w:tcBorders>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Provide anonymous services</w:t>
            </w:r>
          </w:p>
          <w:p>
            <w:pPr>
              <w:rPr>
                <w:rFonts w:hint="eastAsia" w:ascii="Arial" w:hAnsi="Arial" w:eastAsia="宋体" w:cs="Arial"/>
                <w:sz w:val="22"/>
                <w:szCs w:val="22"/>
                <w:lang w:val="en-US" w:eastAsia="zh-CN"/>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7"/>
        <w:tblW w:w="845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457"/>
        <w:gridCol w:w="6375"/>
        <w:gridCol w:w="800"/>
        <w:gridCol w:w="827"/>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945" w:hRule="atLeast"/>
        </w:trPr>
        <w:tc>
          <w:tcPr>
            <w:tcW w:w="45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jc w:val="center"/>
              <w:rPr>
                <w:rFonts w:ascii="Arial" w:hAnsi="Arial" w:cs="Arial"/>
                <w:sz w:val="22"/>
                <w:szCs w:val="22"/>
              </w:rPr>
            </w:pPr>
          </w:p>
        </w:tc>
        <w:tc>
          <w:tcPr>
            <w:tcW w:w="637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80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82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2190" w:hRule="atLeast"/>
        </w:trPr>
        <w:tc>
          <w:tcPr>
            <w:tcW w:w="45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637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00"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6"/>
              <w:autoSpaceDE w:val="0"/>
              <w:autoSpaceDN w:val="0"/>
              <w:adjustRightInd w:val="0"/>
              <w:jc w:val="center"/>
              <w:rPr>
                <w:rFonts w:ascii="MS Gothic" w:hAnsi="MS Gothic" w:eastAsia="MS Gothic" w:cs="Arial"/>
                <w:sz w:val="22"/>
                <w:szCs w:val="22"/>
                <w:lang w:val="en-US"/>
              </w:rPr>
            </w:pPr>
            <w:r>
              <w:rPr>
                <w:rFonts w:hint="eastAsia" w:ascii="MS Gothic" w:hAnsi="MS Gothic" w:eastAsia="MS Gothic" w:cs="Arial"/>
                <w:sz w:val="22"/>
                <w:szCs w:val="22"/>
                <w:lang w:val="en-US"/>
              </w:rPr>
              <w:t>☐</w:t>
            </w:r>
          </w:p>
        </w:tc>
        <w:tc>
          <w:tcPr>
            <w:tcW w:w="82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6"/>
              <w:autoSpaceDE w:val="0"/>
              <w:autoSpaceDN w:val="0"/>
              <w:adjustRightInd w:val="0"/>
              <w:jc w:val="center"/>
              <w:rPr>
                <w:rFonts w:ascii="MS Gothic" w:hAnsi="MS Gothic" w:eastAsia="MS Gothic" w:cs="Arial"/>
                <w:sz w:val="22"/>
                <w:szCs w:val="22"/>
                <w:lang w:val="en-US"/>
              </w:rPr>
            </w:pPr>
            <w:sdt>
              <w:sdtPr>
                <w:rPr>
                  <w:rFonts w:ascii="Arial" w:hAnsi="Arial" w:cs="Arial"/>
                  <w:b w:val="0"/>
                  <w:bCs w:val="0"/>
                </w:rPr>
                <w:id w:val="-2006964611"/>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13" w:hRule="atLeast"/>
        </w:trPr>
        <w:tc>
          <w:tcPr>
            <w:tcW w:w="45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jc w:val="center"/>
              <w:rPr>
                <w:rFonts w:ascii="Arial" w:hAnsi="Arial" w:cs="Arial"/>
                <w:sz w:val="22"/>
                <w:szCs w:val="22"/>
              </w:rPr>
            </w:pPr>
          </w:p>
        </w:tc>
        <w:tc>
          <w:tcPr>
            <w:tcW w:w="8002"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1256" w:hRule="atLeast"/>
        </w:trPr>
        <w:tc>
          <w:tcPr>
            <w:tcW w:w="45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8002"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13" w:hRule="atLeast"/>
        </w:trPr>
        <w:tc>
          <w:tcPr>
            <w:tcW w:w="45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spacing w:before="0" w:beforeAutospacing="0" w:after="0" w:afterAutospacing="0"/>
              <w:jc w:val="center"/>
              <w:rPr>
                <w:rFonts w:ascii="Arial" w:hAnsi="Arial" w:cs="Arial"/>
                <w:sz w:val="22"/>
                <w:szCs w:val="22"/>
              </w:rPr>
            </w:pPr>
          </w:p>
        </w:tc>
        <w:tc>
          <w:tcPr>
            <w:tcW w:w="637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80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82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3436" w:hRule="atLeast"/>
        </w:trPr>
        <w:tc>
          <w:tcPr>
            <w:tcW w:w="45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6"/>
              <w:spacing w:before="0" w:beforeAutospacing="0" w:after="0" w:afterAutospacing="0"/>
              <w:jc w:val="center"/>
              <w:rPr>
                <w:rStyle w:val="10"/>
                <w:rFonts w:ascii="Arial" w:hAnsi="Arial" w:cs="Arial"/>
                <w:b w:val="0"/>
                <w:iCs/>
                <w:color w:val="000000"/>
                <w:sz w:val="20"/>
                <w:szCs w:val="23"/>
              </w:rPr>
            </w:pPr>
            <w:r>
              <w:rPr>
                <w:rStyle w:val="10"/>
                <w:rFonts w:ascii="Arial" w:hAnsi="Arial" w:cs="Arial"/>
                <w:b w:val="0"/>
                <w:iCs/>
                <w:color w:val="000000"/>
                <w:sz w:val="20"/>
                <w:szCs w:val="23"/>
              </w:rPr>
              <w:t>3</w:t>
            </w:r>
          </w:p>
        </w:tc>
        <w:tc>
          <w:tcPr>
            <w:tcW w:w="637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6"/>
              <w:spacing w:before="0" w:beforeAutospacing="0" w:after="0" w:afterAutospacing="0"/>
            </w:pPr>
            <w:r>
              <w:rPr>
                <w:rStyle w:val="10"/>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6"/>
              <w:spacing w:before="0" w:beforeAutospacing="0" w:after="0" w:afterAutospacing="0"/>
            </w:pPr>
            <w:r>
              <w:rPr>
                <w:rFonts w:ascii="Arial" w:hAnsi="Arial" w:cs="Arial"/>
                <w:i/>
                <w:iCs/>
                <w:color w:val="000000"/>
                <w:sz w:val="20"/>
                <w:szCs w:val="23"/>
              </w:rPr>
              <w:t>(a) racial or ethnic origin,</w:t>
            </w:r>
          </w:p>
          <w:p>
            <w:pPr>
              <w:pStyle w:val="6"/>
              <w:spacing w:before="0" w:beforeAutospacing="0" w:after="0" w:afterAutospacing="0"/>
            </w:pPr>
            <w:r>
              <w:rPr>
                <w:rFonts w:ascii="Arial" w:hAnsi="Arial" w:cs="Arial"/>
                <w:i/>
                <w:iCs/>
                <w:color w:val="000000"/>
                <w:sz w:val="20"/>
                <w:szCs w:val="23"/>
              </w:rPr>
              <w:t>(b) political opinions,</w:t>
            </w:r>
          </w:p>
          <w:p>
            <w:pPr>
              <w:pStyle w:val="6"/>
              <w:spacing w:before="0" w:beforeAutospacing="0" w:after="0" w:afterAutospacing="0"/>
            </w:pPr>
            <w:r>
              <w:rPr>
                <w:rFonts w:ascii="Arial" w:hAnsi="Arial" w:cs="Arial"/>
                <w:i/>
                <w:iCs/>
                <w:color w:val="000000"/>
                <w:sz w:val="20"/>
                <w:szCs w:val="23"/>
              </w:rPr>
              <w:t>(c ) religious beliefs or other beliefs of a similar nature,</w:t>
            </w:r>
          </w:p>
          <w:p>
            <w:pPr>
              <w:pStyle w:val="6"/>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pPr>
              <w:pStyle w:val="6"/>
              <w:spacing w:before="0" w:beforeAutospacing="0" w:after="0" w:afterAutospacing="0"/>
            </w:pPr>
            <w:r>
              <w:rPr>
                <w:rFonts w:ascii="Arial" w:hAnsi="Arial" w:cs="Arial"/>
                <w:i/>
                <w:iCs/>
                <w:color w:val="000000"/>
                <w:sz w:val="20"/>
                <w:szCs w:val="23"/>
              </w:rPr>
              <w:t>(e) physical or mental health or condition,</w:t>
            </w:r>
          </w:p>
          <w:p>
            <w:pPr>
              <w:pStyle w:val="6"/>
              <w:spacing w:before="0" w:beforeAutospacing="0" w:after="0" w:afterAutospacing="0"/>
            </w:pPr>
            <w:r>
              <w:rPr>
                <w:rFonts w:ascii="Arial" w:hAnsi="Arial" w:cs="Arial"/>
                <w:i/>
                <w:iCs/>
                <w:color w:val="000000"/>
                <w:sz w:val="20"/>
                <w:szCs w:val="23"/>
              </w:rPr>
              <w:t>(f) sexual life,</w:t>
            </w:r>
          </w:p>
          <w:p>
            <w:pPr>
              <w:pStyle w:val="6"/>
              <w:spacing w:before="0" w:beforeAutospacing="0" w:after="0" w:afterAutospacing="0"/>
            </w:pPr>
            <w:r>
              <w:rPr>
                <w:rFonts w:ascii="Arial" w:hAnsi="Arial" w:cs="Arial"/>
                <w:i/>
                <w:iCs/>
                <w:color w:val="000000"/>
                <w:sz w:val="20"/>
                <w:szCs w:val="23"/>
              </w:rPr>
              <w:t>(g) genetics,</w:t>
            </w:r>
          </w:p>
          <w:p>
            <w:pPr>
              <w:pStyle w:val="6"/>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800"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6"/>
              <w:autoSpaceDE w:val="0"/>
              <w:autoSpaceDN w:val="0"/>
              <w:adjustRightInd w:val="0"/>
              <w:jc w:val="center"/>
            </w:pPr>
            <w:r>
              <w:rPr>
                <w:rFonts w:hint="eastAsia" w:ascii="MS Gothic" w:hAnsi="MS Gothic" w:eastAsia="MS Gothic" w:cs="Arial"/>
                <w:sz w:val="22"/>
                <w:szCs w:val="22"/>
                <w:lang w:val="en-US"/>
              </w:rPr>
              <w:t>☐</w:t>
            </w:r>
          </w:p>
        </w:tc>
        <w:tc>
          <w:tcPr>
            <w:tcW w:w="82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6"/>
              <w:autoSpaceDE w:val="0"/>
              <w:autoSpaceDN w:val="0"/>
              <w:adjustRightInd w:val="0"/>
              <w:jc w:val="center"/>
            </w:pPr>
            <w:sdt>
              <w:sdtPr>
                <w:rPr>
                  <w:rFonts w:ascii="Arial" w:hAnsi="Arial" w:cs="Arial"/>
                  <w:b w:val="0"/>
                  <w:bCs w:val="0"/>
                </w:rPr>
                <w:id w:val="-2006964611"/>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633" w:hRule="atLeast"/>
        </w:trPr>
        <w:tc>
          <w:tcPr>
            <w:tcW w:w="45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jc w:val="center"/>
              <w:rPr>
                <w:rFonts w:ascii="Arial" w:hAnsi="Arial" w:cs="Arial"/>
                <w:sz w:val="22"/>
                <w:szCs w:val="22"/>
              </w:rPr>
            </w:pPr>
          </w:p>
        </w:tc>
        <w:tc>
          <w:tcPr>
            <w:tcW w:w="8002"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6"/>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1266" w:hRule="atLeast"/>
        </w:trPr>
        <w:tc>
          <w:tcPr>
            <w:tcW w:w="45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8002"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8"/>
        <w:tblW w:w="847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1"/>
        <w:gridCol w:w="6386"/>
        <w:gridCol w:w="802"/>
        <w:gridCol w:w="82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50" w:hRule="atLeast"/>
        </w:trPr>
        <w:tc>
          <w:tcPr>
            <w:tcW w:w="454"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6393" w:type="dxa"/>
            <w:shd w:val="clear" w:color="auto" w:fill="F1F1F1" w:themeFill="background1" w:themeFillShade="F2"/>
          </w:tcPr>
          <w:p>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80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9"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454"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639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802" w:type="dxa"/>
            <w:shd w:val="clear" w:color="auto" w:fill="BEBEBE"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29"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3" w:hRule="atLeast"/>
        </w:trPr>
        <w:tc>
          <w:tcPr>
            <w:tcW w:w="454"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639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80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9"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454"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639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802" w:type="dxa"/>
            <w:shd w:val="clear" w:color="auto" w:fill="BEBEBE"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29" w:type="dxa"/>
            <w:shd w:val="clear" w:color="auto" w:fill="BEBEBE"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3" w:hRule="atLeast"/>
        </w:trPr>
        <w:tc>
          <w:tcPr>
            <w:tcW w:w="454"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639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80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29"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3" w:hRule="atLeast"/>
        </w:trPr>
        <w:tc>
          <w:tcPr>
            <w:tcW w:w="454"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639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80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29"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3" w:hRule="atLeast"/>
        </w:trPr>
        <w:tc>
          <w:tcPr>
            <w:tcW w:w="454"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639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80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9" w:type="dxa"/>
            <w:shd w:val="clear" w:color="auto" w:fill="BEBEBE"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50" w:hRule="atLeast"/>
        </w:trPr>
        <w:tc>
          <w:tcPr>
            <w:tcW w:w="454"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639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80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9"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71" w:hRule="atLeast"/>
        </w:trPr>
        <w:tc>
          <w:tcPr>
            <w:tcW w:w="454"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8024"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01" w:hRule="atLeast"/>
        </w:trPr>
        <w:tc>
          <w:tcPr>
            <w:tcW w:w="454" w:type="dxa"/>
            <w:vAlign w:val="center"/>
          </w:tcPr>
          <w:p>
            <w:pPr>
              <w:jc w:val="center"/>
              <w:rPr>
                <w:rFonts w:ascii="Arial" w:hAnsi="Arial" w:cs="Arial"/>
                <w:sz w:val="22"/>
                <w:szCs w:val="22"/>
              </w:rPr>
            </w:pPr>
          </w:p>
        </w:tc>
        <w:tc>
          <w:tcPr>
            <w:tcW w:w="8024" w:type="dxa"/>
            <w:gridSpan w:val="3"/>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YES，</w:t>
            </w:r>
            <w:r>
              <w:rPr>
                <w:rFonts w:hint="eastAsia" w:ascii="Arial" w:hAnsi="Arial" w:eastAsia="宋体" w:cs="Arial"/>
                <w:i/>
                <w:iCs/>
                <w:sz w:val="22"/>
                <w:szCs w:val="22"/>
                <w:lang w:val="en-US" w:eastAsia="zh-CN"/>
              </w:rPr>
              <w:t>the MA workshop</w:t>
            </w:r>
          </w:p>
          <w:p>
            <w:pPr>
              <w:rPr>
                <w:rFonts w:hint="eastAsia" w:ascii="Arial" w:hAnsi="Arial" w:eastAsia="宋体" w:cs="Arial"/>
                <w:sz w:val="22"/>
                <w:szCs w:val="22"/>
                <w:lang w:val="en-US" w:eastAsia="zh-CN"/>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tbl>
      <w:tblPr>
        <w:tblStyle w:val="8"/>
        <w:tblW w:w="841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1"/>
        <w:gridCol w:w="6344"/>
        <w:gridCol w:w="794"/>
        <w:gridCol w:w="8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8" w:hRule="atLeast"/>
        </w:trPr>
        <w:tc>
          <w:tcPr>
            <w:tcW w:w="451" w:type="dxa"/>
            <w:shd w:val="clear" w:color="auto" w:fill="F1F1F1" w:themeFill="background1" w:themeFillShade="F2"/>
          </w:tcPr>
          <w:p>
            <w:pPr>
              <w:autoSpaceDE w:val="0"/>
              <w:autoSpaceDN w:val="0"/>
              <w:adjustRightInd w:val="0"/>
              <w:rPr>
                <w:rFonts w:ascii="Arial" w:hAnsi="Arial" w:cs="Arial"/>
                <w:sz w:val="22"/>
                <w:szCs w:val="22"/>
              </w:rPr>
            </w:pPr>
          </w:p>
        </w:tc>
        <w:tc>
          <w:tcPr>
            <w:tcW w:w="7968"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8"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6348"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79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4"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8"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634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796" w:type="dxa"/>
            <w:shd w:val="clear" w:color="auto" w:fill="BEBEBE"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24"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3"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634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796" w:type="dxa"/>
            <w:shd w:val="clear" w:color="auto" w:fill="BEBEBE"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24" w:type="dxa"/>
            <w:shd w:val="clear" w:color="auto" w:fill="BEBEBE"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8"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634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796" w:type="dxa"/>
            <w:shd w:val="clear" w:color="auto" w:fill="BEBEBE"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24" w:type="dxa"/>
            <w:shd w:val="clear" w:color="auto" w:fill="BEBEBE"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634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796" w:type="dxa"/>
            <w:shd w:val="clear" w:color="auto" w:fill="BEBEBE"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24" w:type="dxa"/>
            <w:shd w:val="clear" w:color="auto" w:fill="BEBEBE"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634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796" w:type="dxa"/>
            <w:shd w:val="clear" w:color="auto" w:fill="BEBEBE"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24" w:type="dxa"/>
            <w:shd w:val="clear" w:color="auto" w:fill="BEBEBE"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634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796"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4"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634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796" w:type="dxa"/>
            <w:shd w:val="clear" w:color="auto" w:fill="BEBEBE"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24"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6348"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796" w:type="dxa"/>
            <w:shd w:val="clear" w:color="auto" w:fill="BEBEBE"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824" w:type="dxa"/>
            <w:shd w:val="clear" w:color="auto" w:fill="BEBEBE"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84" w:hRule="atLeast"/>
        </w:trPr>
        <w:tc>
          <w:tcPr>
            <w:tcW w:w="451"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7968"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78" w:hRule="atLeast"/>
        </w:trPr>
        <w:tc>
          <w:tcPr>
            <w:tcW w:w="451" w:type="dxa"/>
            <w:vAlign w:val="center"/>
          </w:tcPr>
          <w:p>
            <w:pPr>
              <w:autoSpaceDE w:val="0"/>
              <w:autoSpaceDN w:val="0"/>
              <w:adjustRightInd w:val="0"/>
              <w:jc w:val="center"/>
              <w:rPr>
                <w:rFonts w:ascii="Arial" w:hAnsi="Arial" w:cs="Arial"/>
                <w:sz w:val="22"/>
                <w:szCs w:val="22"/>
              </w:rPr>
            </w:pPr>
          </w:p>
        </w:tc>
        <w:tc>
          <w:tcPr>
            <w:tcW w:w="7968" w:type="dxa"/>
            <w:gridSpan w:val="3"/>
            <w:vAlign w:val="center"/>
          </w:tcPr>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data will be saved on my PC and processed by myself. All the personal information is anonymized and then sent to the relevant personnel, and the data will be kept as safe during the study as possible.</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7968"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451" w:type="dxa"/>
            <w:vAlign w:val="center"/>
          </w:tcPr>
          <w:p>
            <w:pPr>
              <w:autoSpaceDE w:val="0"/>
              <w:autoSpaceDN w:val="0"/>
              <w:adjustRightInd w:val="0"/>
              <w:jc w:val="center"/>
              <w:rPr>
                <w:rFonts w:ascii="Arial" w:hAnsi="Arial" w:cs="Arial"/>
                <w:sz w:val="22"/>
                <w:szCs w:val="22"/>
              </w:rPr>
            </w:pPr>
          </w:p>
        </w:tc>
        <w:tc>
          <w:tcPr>
            <w:tcW w:w="7968" w:type="dxa"/>
            <w:gridSpan w:val="3"/>
            <w:vAlign w:val="center"/>
          </w:tcPr>
          <w:p>
            <w:pPr>
              <w:autoSpaceDE w:val="0"/>
              <w:autoSpaceDN w:val="0"/>
              <w:adjustRightInd w:val="0"/>
              <w:rPr>
                <w:rFonts w:ascii="Arial" w:hAnsi="Arial" w:cs="Arial"/>
                <w:sz w:val="22"/>
                <w:szCs w:val="22"/>
              </w:rPr>
            </w:pPr>
          </w:p>
          <w:p>
            <w:pPr>
              <w:numPr>
                <w:ilvl w:val="0"/>
                <w:numId w:val="3"/>
              </w:numPr>
              <w:autoSpaceDE w:val="0"/>
              <w:autoSpaceDN w:val="0"/>
              <w:adjustRightInd w:val="0"/>
              <w:ind w:left="420" w:leftChars="0" w:hanging="42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Co-participants in the study </w:t>
            </w:r>
          </w:p>
          <w:p>
            <w:pPr>
              <w:numPr>
                <w:ilvl w:val="0"/>
                <w:numId w:val="3"/>
              </w:numPr>
              <w:autoSpaceDE w:val="0"/>
              <w:autoSpaceDN w:val="0"/>
              <w:adjustRightInd w:val="0"/>
              <w:ind w:left="420" w:leftChars="0" w:hanging="42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Relevant government personnel </w:t>
            </w:r>
          </w:p>
          <w:p>
            <w:pPr>
              <w:numPr>
                <w:ilvl w:val="0"/>
                <w:numId w:val="3"/>
              </w:numPr>
              <w:autoSpaceDE w:val="0"/>
              <w:autoSpaceDN w:val="0"/>
              <w:adjustRightInd w:val="0"/>
              <w:ind w:left="420" w:leftChars="0" w:hanging="42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Relevant enterprise personnel</w:t>
            </w:r>
          </w:p>
          <w:p>
            <w:pPr>
              <w:autoSpaceDE w:val="0"/>
              <w:autoSpaceDN w:val="0"/>
              <w:adjustRightInd w:val="0"/>
              <w:rPr>
                <w:rFonts w:hint="eastAsia" w:ascii="Arial" w:hAnsi="Arial" w:eastAsia="宋体" w:cs="Arial"/>
                <w:sz w:val="22"/>
                <w:szCs w:val="22"/>
                <w:lang w:val="en-US" w:eastAsia="zh-CN"/>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9"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7968"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6" w:hRule="atLeast"/>
        </w:trPr>
        <w:tc>
          <w:tcPr>
            <w:tcW w:w="451" w:type="dxa"/>
            <w:vAlign w:val="center"/>
          </w:tcPr>
          <w:p>
            <w:pPr>
              <w:autoSpaceDE w:val="0"/>
              <w:autoSpaceDN w:val="0"/>
              <w:adjustRightInd w:val="0"/>
              <w:jc w:val="center"/>
              <w:rPr>
                <w:rFonts w:ascii="Arial" w:hAnsi="Arial" w:cs="Arial"/>
                <w:sz w:val="22"/>
                <w:szCs w:val="22"/>
              </w:rPr>
            </w:pPr>
          </w:p>
        </w:tc>
        <w:tc>
          <w:tcPr>
            <w:tcW w:w="7968"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Haoyi Ruan, Lixian Liu, Timi O</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nell, R</w:t>
            </w:r>
            <w:r>
              <w:rPr>
                <w:rFonts w:hint="default" w:ascii="Arial" w:hAnsi="Arial" w:eastAsia="宋体" w:cs="Arial"/>
                <w:sz w:val="22"/>
                <w:szCs w:val="22"/>
                <w:lang w:val="en-US" w:eastAsia="zh-CN"/>
              </w:rPr>
              <w:t xml:space="preserve">obert </w:t>
            </w:r>
            <w:r>
              <w:rPr>
                <w:rFonts w:hint="eastAsia" w:ascii="Arial" w:hAnsi="Arial" w:eastAsia="宋体" w:cs="Arial"/>
                <w:sz w:val="22"/>
                <w:szCs w:val="22"/>
                <w:lang w:val="en-US" w:eastAsia="zh-CN"/>
              </w:rPr>
              <w:t>C</w:t>
            </w:r>
            <w:r>
              <w:rPr>
                <w:rFonts w:hint="default" w:ascii="Arial" w:hAnsi="Arial" w:eastAsia="宋体" w:cs="Arial"/>
                <w:sz w:val="22"/>
                <w:szCs w:val="22"/>
                <w:lang w:val="en-US" w:eastAsia="zh-CN"/>
              </w:rPr>
              <w:t>harters</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44"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7968"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6" w:hRule="atLeast"/>
        </w:trPr>
        <w:tc>
          <w:tcPr>
            <w:tcW w:w="451" w:type="dxa"/>
            <w:vAlign w:val="center"/>
          </w:tcPr>
          <w:p>
            <w:pPr>
              <w:autoSpaceDE w:val="0"/>
              <w:autoSpaceDN w:val="0"/>
              <w:adjustRightInd w:val="0"/>
              <w:jc w:val="center"/>
              <w:rPr>
                <w:rFonts w:ascii="Arial" w:hAnsi="Arial" w:cs="Arial"/>
                <w:sz w:val="22"/>
                <w:szCs w:val="22"/>
              </w:rPr>
            </w:pPr>
          </w:p>
        </w:tc>
        <w:tc>
          <w:tcPr>
            <w:tcW w:w="7968" w:type="dxa"/>
            <w:gridSpan w:val="3"/>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Personal computer and email</w:t>
            </w:r>
          </w:p>
          <w:p>
            <w:pPr>
              <w:autoSpaceDE w:val="0"/>
              <w:autoSpaceDN w:val="0"/>
              <w:adjustRightInd w:val="0"/>
              <w:rPr>
                <w:rFonts w:hint="eastAsia" w:ascii="Arial" w:hAnsi="Arial" w:eastAsia="宋体" w:cs="Arial"/>
                <w:sz w:val="22"/>
                <w:szCs w:val="22"/>
                <w:lang w:val="en-US" w:eastAsia="zh-CN"/>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3"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968"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3"/>
                <w:rFonts w:ascii="Arial" w:hAnsi="Arial" w:cs="Arial"/>
                <w:color w:val="000000"/>
                <w:sz w:val="22"/>
                <w:szCs w:val="22"/>
              </w:rPr>
              <w:t>https://researchdata.uwtsd.ac.uk/</w:t>
            </w:r>
            <w:r>
              <w:rPr>
                <w:rStyle w:val="13"/>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6" w:hRule="atLeast"/>
        </w:trPr>
        <w:tc>
          <w:tcPr>
            <w:tcW w:w="451" w:type="dxa"/>
            <w:vAlign w:val="center"/>
          </w:tcPr>
          <w:p>
            <w:pPr>
              <w:autoSpaceDE w:val="0"/>
              <w:autoSpaceDN w:val="0"/>
              <w:adjustRightInd w:val="0"/>
              <w:jc w:val="center"/>
              <w:rPr>
                <w:rFonts w:ascii="Arial" w:hAnsi="Arial" w:cs="Arial"/>
                <w:sz w:val="22"/>
                <w:szCs w:val="22"/>
              </w:rPr>
            </w:pPr>
          </w:p>
        </w:tc>
        <w:tc>
          <w:tcPr>
            <w:tcW w:w="7968" w:type="dxa"/>
            <w:gridSpan w:val="3"/>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NO</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3"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6348"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3"/>
                <w:rFonts w:ascii="Arial" w:hAnsi="Arial" w:cs="Arial"/>
                <w:color w:val="000000"/>
                <w:sz w:val="22"/>
                <w:szCs w:val="22"/>
              </w:rPr>
              <w:t>https://www.uwtsd.ac.uk/library/research-data-management/</w:t>
            </w:r>
            <w:r>
              <w:rPr>
                <w:rStyle w:val="13"/>
                <w:rFonts w:ascii="Arial" w:hAnsi="Arial" w:cs="Arial"/>
                <w:color w:val="000000"/>
                <w:sz w:val="22"/>
                <w:szCs w:val="22"/>
              </w:rPr>
              <w:fldChar w:fldCharType="end"/>
            </w:r>
            <w:r>
              <w:rPr>
                <w:rFonts w:ascii="Arial" w:hAnsi="Arial" w:cs="Arial"/>
                <w:color w:val="000000"/>
                <w:sz w:val="22"/>
                <w:szCs w:val="22"/>
              </w:rPr>
              <w:t>)</w:t>
            </w:r>
          </w:p>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824"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51" w:hRule="atLeast"/>
        </w:trPr>
        <w:tc>
          <w:tcPr>
            <w:tcW w:w="451"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6348"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824"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lang w:val="en-GB" w:eastAsia="en-US" w:bidi="ar-SA"/>
                  </w:rPr>
                  <w:t>☒</w:t>
                </w:r>
              </w:sdtContent>
            </w:sdt>
          </w:p>
        </w:tc>
      </w:tr>
    </w:tbl>
    <w:p>
      <w:pPr>
        <w:rPr>
          <w:rFonts w:hint="eastAsia" w:ascii="Arial" w:hAnsi="Arial" w:eastAsia="宋体" w:cs="Arial"/>
          <w:b/>
          <w:bCs/>
          <w:sz w:val="22"/>
          <w:szCs w:val="22"/>
          <w:lang w:val="en-US" w:eastAsia="zh-CN"/>
        </w:rPr>
      </w:pPr>
    </w:p>
    <w:p>
      <w:pPr>
        <w:rPr>
          <w:rFonts w:hint="eastAsia" w:ascii="Arial" w:hAnsi="Arial" w:eastAsia="宋体" w:cs="Arial"/>
          <w:b/>
          <w:bCs/>
          <w:sz w:val="22"/>
          <w:szCs w:val="22"/>
          <w:lang w:val="en-US" w:eastAsia="zh-CN"/>
        </w:rPr>
      </w:pPr>
    </w:p>
    <w:p>
      <w:pPr>
        <w:rPr>
          <w:rFonts w:hint="eastAsia" w:ascii="Arial" w:hAnsi="Arial" w:eastAsia="宋体" w:cs="Arial"/>
          <w:b/>
          <w:bCs/>
          <w:sz w:val="22"/>
          <w:szCs w:val="22"/>
          <w:lang w:val="en-US" w:eastAsia="zh-CN"/>
        </w:rPr>
      </w:pPr>
    </w:p>
    <w:p>
      <w:pPr>
        <w:rPr>
          <w:rFonts w:hint="eastAsia" w:ascii="Arial" w:hAnsi="Arial" w:eastAsia="宋体" w:cs="Arial"/>
          <w:b/>
          <w:bCs/>
          <w:sz w:val="22"/>
          <w:szCs w:val="22"/>
          <w:lang w:val="en-US" w:eastAsia="zh-CN"/>
        </w:rPr>
      </w:pPr>
    </w:p>
    <w:p>
      <w:pPr>
        <w:rPr>
          <w:rFonts w:hint="eastAsia" w:ascii="Arial" w:hAnsi="Arial" w:eastAsia="宋体" w:cs="Arial"/>
          <w:b/>
          <w:bCs/>
          <w:sz w:val="22"/>
          <w:szCs w:val="22"/>
          <w:lang w:val="en-US" w:eastAsia="zh-CN"/>
        </w:rPr>
      </w:pPr>
      <w:bookmarkStart w:id="0" w:name="_GoBack"/>
      <w:bookmarkEnd w:id="0"/>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7"/>
        <w:tblW w:w="8439"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446"/>
        <w:gridCol w:w="2387"/>
        <w:gridCol w:w="3882"/>
        <w:gridCol w:w="1724"/>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2836" w:hRule="atLeast"/>
        </w:trPr>
        <w:tc>
          <w:tcPr>
            <w:tcW w:w="446" w:type="dxa"/>
            <w:shd w:val="clear" w:color="auto" w:fill="F1F1F1" w:themeFill="background1" w:themeFillShade="F2"/>
            <w:vAlign w:val="center"/>
          </w:tcPr>
          <w:p>
            <w:pPr>
              <w:jc w:val="center"/>
              <w:rPr>
                <w:rFonts w:ascii="Arial" w:hAnsi="Arial" w:cs="Arial"/>
                <w:sz w:val="22"/>
                <w:szCs w:val="22"/>
              </w:rPr>
            </w:pPr>
          </w:p>
        </w:tc>
        <w:tc>
          <w:tcPr>
            <w:tcW w:w="799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3"/>
                <w:rFonts w:ascii="Arial" w:hAnsi="Arial" w:cs="Arial"/>
                <w:sz w:val="22"/>
                <w:szCs w:val="22"/>
              </w:rPr>
              <w:t>https://www.uwtsd.ac.uk/research/research-ethics/</w:t>
            </w:r>
            <w:r>
              <w:rPr>
                <w:rStyle w:val="13"/>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236" w:hRule="atLeast"/>
        </w:trPr>
        <w:tc>
          <w:tcPr>
            <w:tcW w:w="4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38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3882" w:type="dxa"/>
            <w:tcBorders>
              <w:left w:val="single" w:color="auto" w:sz="4" w:space="0"/>
            </w:tcBorders>
            <w:vAlign w:val="center"/>
          </w:tcPr>
          <w:p>
            <w:pPr>
              <w:spacing w:before="100" w:beforeAutospacing="1" w:after="100" w:afterAutospacing="1"/>
              <w:rPr>
                <w:rFonts w:hint="eastAsia" w:ascii="Arial" w:hAnsi="Arial" w:eastAsia="宋体" w:cs="Arial"/>
                <w:sz w:val="22"/>
                <w:szCs w:val="22"/>
                <w:lang w:eastAsia="zh-CN"/>
              </w:rPr>
            </w:pPr>
            <w:r>
              <w:rPr>
                <w:rFonts w:hint="eastAsia" w:ascii="Arial" w:hAnsi="Arial" w:eastAsia="宋体" w:cs="Arial"/>
                <w:sz w:val="22"/>
                <w:szCs w:val="22"/>
                <w:lang w:eastAsia="zh-CN"/>
              </w:rPr>
              <w:drawing>
                <wp:inline distT="0" distB="0" distL="114300" distR="114300">
                  <wp:extent cx="1355725" cy="493395"/>
                  <wp:effectExtent l="0" t="0" r="0" b="0"/>
                  <wp:docPr id="10" name="图片 10" descr="c804c4034e48e4bd8c90e3d4d1efc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c804c4034e48e4bd8c90e3d4d1efcea"/>
                          <pic:cNvPicPr>
                            <a:picLocks noChangeAspect="1"/>
                          </pic:cNvPicPr>
                        </pic:nvPicPr>
                        <pic:blipFill>
                          <a:blip r:embed="rId14"/>
                          <a:stretch>
                            <a:fillRect/>
                          </a:stretch>
                        </pic:blipFill>
                        <pic:spPr>
                          <a:xfrm>
                            <a:off x="0" y="0"/>
                            <a:ext cx="1355725" cy="493395"/>
                          </a:xfrm>
                          <a:prstGeom prst="rect">
                            <a:avLst/>
                          </a:prstGeom>
                        </pic:spPr>
                      </pic:pic>
                    </a:graphicData>
                  </a:graphic>
                </wp:inline>
              </w:drawing>
            </w:r>
          </w:p>
        </w:tc>
        <w:tc>
          <w:tcPr>
            <w:tcW w:w="1724"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21/08/2022</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1"/>
        <w:gridCol w:w="2462"/>
        <w:gridCol w:w="3710"/>
        <w:gridCol w:w="172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65" w:type="pct"/>
            <w:shd w:val="clear" w:color="auto" w:fill="F1F1F1" w:themeFill="background1" w:themeFillShade="F2"/>
            <w:vAlign w:val="center"/>
          </w:tcPr>
          <w:p>
            <w:pPr>
              <w:pStyle w:val="15"/>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pPr>
              <w:pStyle w:val="15"/>
              <w:ind w:left="0"/>
              <w:rPr>
                <w:rFonts w:ascii="Arial" w:hAnsi="Arial" w:cs="Arial"/>
              </w:rPr>
            </w:pPr>
            <w:r>
              <w:rPr>
                <w:rFonts w:ascii="Arial" w:hAnsi="Arial" w:cs="Arial"/>
              </w:rPr>
              <w:t>Director of Studies/Supervisor:</w:t>
            </w:r>
          </w:p>
        </w:tc>
        <w:tc>
          <w:tcPr>
            <w:tcW w:w="2176" w:type="pct"/>
            <w:shd w:val="clear" w:color="auto" w:fill="auto"/>
            <w:vAlign w:val="center"/>
          </w:tcPr>
          <w:p>
            <w:pPr>
              <w:pStyle w:val="15"/>
              <w:ind w:left="0"/>
              <w:rPr>
                <w:rFonts w:ascii="Arial" w:hAnsi="Arial" w:cs="Arial"/>
              </w:rPr>
            </w:pPr>
            <w:r>
              <w:rPr>
                <w:rFonts w:hint="eastAsia" w:ascii="Arial" w:hAnsi="Arial" w:eastAsia="宋体" w:cs="Arial"/>
                <w:sz w:val="22"/>
                <w:szCs w:val="22"/>
                <w:lang w:val="en-US" w:eastAsia="zh-CN"/>
              </w:rPr>
              <w:t>Timi O</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nell, R</w:t>
            </w:r>
            <w:r>
              <w:rPr>
                <w:rFonts w:hint="default" w:ascii="Arial" w:hAnsi="Arial" w:eastAsia="宋体" w:cs="Arial"/>
                <w:sz w:val="22"/>
                <w:szCs w:val="22"/>
                <w:lang w:val="en-US" w:eastAsia="zh-CN"/>
              </w:rPr>
              <w:t xml:space="preserve">obert </w:t>
            </w:r>
            <w:r>
              <w:rPr>
                <w:rFonts w:hint="eastAsia" w:ascii="Arial" w:hAnsi="Arial" w:eastAsia="宋体" w:cs="Arial"/>
                <w:sz w:val="22"/>
                <w:szCs w:val="22"/>
                <w:lang w:val="en-US" w:eastAsia="zh-CN"/>
              </w:rPr>
              <w:t>C</w:t>
            </w:r>
            <w:r>
              <w:rPr>
                <w:rFonts w:hint="default" w:ascii="Arial" w:hAnsi="Arial" w:eastAsia="宋体" w:cs="Arial"/>
                <w:sz w:val="22"/>
                <w:szCs w:val="22"/>
                <w:lang w:val="en-US" w:eastAsia="zh-CN"/>
              </w:rPr>
              <w:t>harters</w:t>
            </w:r>
          </w:p>
        </w:tc>
        <w:tc>
          <w:tcPr>
            <w:tcW w:w="1014" w:type="pct"/>
            <w:vMerge w:val="restart"/>
          </w:tcPr>
          <w:p>
            <w:pPr>
              <w:pStyle w:val="15"/>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65" w:type="pct"/>
            <w:shd w:val="clear" w:color="auto" w:fill="F1F1F1" w:themeFill="background1" w:themeFillShade="F2"/>
            <w:vAlign w:val="center"/>
          </w:tcPr>
          <w:p>
            <w:pPr>
              <w:pStyle w:val="15"/>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pPr>
              <w:pStyle w:val="15"/>
              <w:ind w:left="0"/>
              <w:rPr>
                <w:rFonts w:ascii="Arial" w:hAnsi="Arial" w:cs="Arial"/>
              </w:rPr>
            </w:pPr>
            <w:r>
              <w:rPr>
                <w:rFonts w:ascii="Arial" w:hAnsi="Arial" w:cs="Arial"/>
              </w:rPr>
              <w:t>Signature:</w:t>
            </w:r>
          </w:p>
        </w:tc>
        <w:tc>
          <w:tcPr>
            <w:tcW w:w="2176" w:type="pct"/>
            <w:shd w:val="clear" w:color="auto" w:fill="auto"/>
            <w:vAlign w:val="center"/>
          </w:tcPr>
          <w:p>
            <w:pPr>
              <w:pStyle w:val="15"/>
              <w:ind w:left="0"/>
              <w:rPr>
                <w:rFonts w:ascii="Arial" w:hAnsi="Arial" w:cs="Arial"/>
              </w:rPr>
            </w:pPr>
          </w:p>
          <w:p>
            <w:pPr>
              <w:pStyle w:val="15"/>
              <w:ind w:left="0"/>
              <w:rPr>
                <w:rFonts w:ascii="Arial" w:hAnsi="Arial" w:cs="Arial"/>
              </w:rPr>
            </w:pPr>
          </w:p>
        </w:tc>
        <w:tc>
          <w:tcPr>
            <w:tcW w:w="1014" w:type="pct"/>
            <w:vMerge w:val="continue"/>
            <w:vAlign w:val="center"/>
          </w:tcPr>
          <w:p>
            <w:pPr>
              <w:pStyle w:val="15"/>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7"/>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
        <w:gridCol w:w="2463"/>
        <w:gridCol w:w="3711"/>
        <w:gridCol w:w="172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66" w:type="pct"/>
            <w:shd w:val="clear" w:color="auto" w:fill="F1F1F1" w:themeFill="background1" w:themeFillShade="F2"/>
            <w:vAlign w:val="center"/>
          </w:tcPr>
          <w:p>
            <w:pPr>
              <w:pStyle w:val="15"/>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pPr>
              <w:pStyle w:val="15"/>
              <w:ind w:left="0"/>
              <w:rPr>
                <w:rFonts w:ascii="Arial" w:hAnsi="Arial" w:cs="Arial"/>
              </w:rPr>
            </w:pPr>
            <w:r>
              <w:rPr>
                <w:rFonts w:ascii="Arial" w:hAnsi="Arial" w:cs="Arial"/>
              </w:rPr>
              <w:t>Academic Director/ Assistant Dean:</w:t>
            </w:r>
          </w:p>
        </w:tc>
        <w:tc>
          <w:tcPr>
            <w:tcW w:w="2176" w:type="pct"/>
            <w:shd w:val="clear" w:color="auto" w:fill="auto"/>
            <w:vAlign w:val="center"/>
          </w:tcPr>
          <w:p>
            <w:pPr>
              <w:pStyle w:val="15"/>
              <w:ind w:left="0"/>
              <w:rPr>
                <w:rFonts w:ascii="Arial" w:hAnsi="Arial" w:cs="Arial"/>
              </w:rPr>
            </w:pPr>
          </w:p>
        </w:tc>
        <w:tc>
          <w:tcPr>
            <w:tcW w:w="1013" w:type="pct"/>
            <w:vMerge w:val="restart"/>
          </w:tcPr>
          <w:p>
            <w:pPr>
              <w:pStyle w:val="15"/>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66" w:type="pct"/>
            <w:shd w:val="clear" w:color="auto" w:fill="F1F1F1" w:themeFill="background1" w:themeFillShade="F2"/>
            <w:vAlign w:val="center"/>
          </w:tcPr>
          <w:p>
            <w:pPr>
              <w:pStyle w:val="15"/>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pPr>
              <w:pStyle w:val="15"/>
              <w:ind w:left="0"/>
              <w:rPr>
                <w:rFonts w:ascii="Arial" w:hAnsi="Arial" w:cs="Arial"/>
              </w:rPr>
            </w:pPr>
            <w:r>
              <w:rPr>
                <w:rFonts w:ascii="Arial" w:hAnsi="Arial" w:cs="Arial"/>
              </w:rPr>
              <w:t>Signature:</w:t>
            </w:r>
          </w:p>
        </w:tc>
        <w:tc>
          <w:tcPr>
            <w:tcW w:w="2176" w:type="pct"/>
            <w:shd w:val="clear" w:color="auto" w:fill="auto"/>
            <w:vAlign w:val="center"/>
          </w:tcPr>
          <w:p>
            <w:pPr>
              <w:pStyle w:val="15"/>
              <w:ind w:left="0"/>
              <w:rPr>
                <w:rFonts w:ascii="Arial" w:hAnsi="Arial" w:cs="Arial"/>
              </w:rPr>
            </w:pPr>
          </w:p>
          <w:p>
            <w:pPr>
              <w:pStyle w:val="15"/>
              <w:ind w:left="0"/>
              <w:rPr>
                <w:rFonts w:ascii="Arial" w:hAnsi="Arial" w:cs="Arial"/>
              </w:rPr>
            </w:pPr>
          </w:p>
        </w:tc>
        <w:tc>
          <w:tcPr>
            <w:tcW w:w="1013" w:type="pct"/>
            <w:vMerge w:val="continue"/>
            <w:vAlign w:val="center"/>
          </w:tcPr>
          <w:p>
            <w:pPr>
              <w:pStyle w:val="15"/>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8"/>
        <w:tblW w:w="849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7"/>
        <w:gridCol w:w="79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1" w:hRule="atLeast"/>
        </w:trPr>
        <w:tc>
          <w:tcPr>
            <w:tcW w:w="547"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hint="eastAsia" w:ascii="MS Gothic" w:hAnsi="MS Gothic" w:eastAsia="MS Gothic" w:cs="Arial"/>
                    <w:lang w:val="en-GB" w:eastAsia="en-US" w:bidi="ar-SA"/>
                  </w:rPr>
                  <w:t>☒</w:t>
                </w:r>
              </w:p>
            </w:sdtContent>
          </w:sdt>
        </w:tc>
        <w:tc>
          <w:tcPr>
            <w:tcW w:w="7952"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547"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hint="eastAsia" w:ascii="MS Gothic" w:hAnsi="MS Gothic" w:eastAsia="MS Gothic" w:cs="Arial"/>
                    <w:lang w:val="en-GB" w:eastAsia="en-US" w:bidi="ar-SA"/>
                  </w:rPr>
                  <w:t>☒</w:t>
                </w:r>
              </w:p>
            </w:sdtContent>
          </w:sdt>
        </w:tc>
        <w:tc>
          <w:tcPr>
            <w:tcW w:w="7952"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6" w:hRule="atLeast"/>
        </w:trPr>
        <w:tc>
          <w:tcPr>
            <w:tcW w:w="547"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lang w:val="en-GB" w:eastAsia="en-US" w:bidi="ar-SA"/>
                  </w:rPr>
                  <w:t>☒</w:t>
                </w:r>
              </w:p>
            </w:sdtContent>
          </w:sdt>
        </w:tc>
        <w:tc>
          <w:tcPr>
            <w:tcW w:w="7952"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2" w:hRule="atLeast"/>
        </w:trPr>
        <w:tc>
          <w:tcPr>
            <w:tcW w:w="547" w:type="dxa"/>
            <w:shd w:val="clear" w:color="auto" w:fill="BEBEBE"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lang w:val="en-GB" w:eastAsia="en-US" w:bidi="ar-SA"/>
                  </w:rPr>
                  <w:t>☒</w:t>
                </w:r>
              </w:p>
            </w:sdtContent>
          </w:sdt>
        </w:tc>
        <w:tc>
          <w:tcPr>
            <w:tcW w:w="7952"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59" w:hRule="atLeast"/>
        </w:trPr>
        <w:tc>
          <w:tcPr>
            <w:tcW w:w="547" w:type="dxa"/>
            <w:shd w:val="clear" w:color="auto" w:fill="BEBEBE"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hint="eastAsia" w:ascii="MS Gothic" w:hAnsi="MS Gothic" w:eastAsia="MS Gothic" w:cs="Arial"/>
                    <w:lang w:val="en-GB" w:eastAsia="en-US" w:bidi="ar-SA"/>
                  </w:rPr>
                  <w:t>☒</w:t>
                </w:r>
              </w:p>
            </w:sdtContent>
          </w:sdt>
        </w:tc>
        <w:tc>
          <w:tcPr>
            <w:tcW w:w="7952"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3" w:hRule="atLeast"/>
        </w:trPr>
        <w:tc>
          <w:tcPr>
            <w:tcW w:w="547"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lang w:val="en-GB" w:eastAsia="en-US" w:bidi="ar-SA"/>
                  </w:rPr>
                  <w:t>☒</w:t>
                </w:r>
              </w:p>
            </w:sdtContent>
          </w:sdt>
        </w:tc>
        <w:tc>
          <w:tcPr>
            <w:tcW w:w="7952"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29" w:hRule="atLeast"/>
        </w:trPr>
        <w:tc>
          <w:tcPr>
            <w:tcW w:w="547"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lang w:val="en-GB" w:eastAsia="en-US" w:bidi="ar-SA"/>
                  </w:rPr>
                  <w:t>☒</w:t>
                </w:r>
              </w:p>
            </w:sdtContent>
          </w:sdt>
        </w:tc>
        <w:tc>
          <w:tcPr>
            <w:tcW w:w="7952"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7"/>
        <w:tblW w:w="84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44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08" w:hRule="atLeast"/>
        </w:trPr>
        <w:tc>
          <w:tcPr>
            <w:tcW w:w="8440"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3"/>
                <w:rFonts w:ascii="Arial" w:hAnsi="Arial" w:cs="Arial"/>
                <w:sz w:val="22"/>
                <w:szCs w:val="22"/>
              </w:rPr>
              <w:t>pgresearch@uwtsd.ac.uk</w:t>
            </w:r>
            <w:r>
              <w:rPr>
                <w:rStyle w:val="13"/>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0"/>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5" w:hRule="atLeast"/>
        </w:trPr>
        <w:tc>
          <w:tcPr>
            <w:tcW w:w="8440"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jc w:val="center"/>
        <w:rPr>
          <w:rFonts w:ascii="Arial" w:hAnsi="Arial" w:cs="Arial"/>
          <w:sz w:val="22"/>
          <w:szCs w:val="22"/>
        </w:rPr>
      </w:pPr>
      <w:r>
        <w:rPr>
          <w:rFonts w:ascii="Arial" w:hAnsi="Arial" w:cs="Arial"/>
          <w:b/>
          <w:bCs/>
          <w:sz w:val="22"/>
          <w:szCs w:val="22"/>
        </w:rPr>
        <w:t>This form is available electronically from the Academic Office web pages:</w:t>
      </w:r>
      <w:r>
        <w:rPr>
          <w:rFonts w:ascii="Arial" w:hAnsi="Arial" w:cs="Arial"/>
          <w:sz w:val="22"/>
          <w:szCs w:val="22"/>
        </w:rPr>
        <w:t xml:space="preserve"> </w:t>
      </w:r>
      <w:r>
        <w:fldChar w:fldCharType="begin"/>
      </w:r>
      <w:r>
        <w:instrText xml:space="preserve"> HYPERLINK "https://www.uwtsd.ac.uk/academic-office/appendices-and-forms/" </w:instrText>
      </w:r>
      <w:r>
        <w:fldChar w:fldCharType="separate"/>
      </w:r>
      <w:r>
        <w:rPr>
          <w:rStyle w:val="13"/>
          <w:rFonts w:ascii="Arial" w:hAnsi="Arial" w:cs="Arial"/>
          <w:sz w:val="22"/>
          <w:szCs w:val="22"/>
        </w:rPr>
        <w:t>https://www.uwtsd.ac.uk/academic-office/appendices-and-forms/</w:t>
      </w:r>
      <w:r>
        <w:rPr>
          <w:rStyle w:val="13"/>
          <w:rFonts w:ascii="Arial" w:hAnsi="Arial" w:cs="Arial"/>
          <w:sz w:val="22"/>
          <w:szCs w:val="22"/>
        </w:rPr>
        <w:fldChar w:fldCharType="end"/>
      </w:r>
    </w:p>
    <w:p>
      <w:pPr>
        <w:keepNext w:val="0"/>
        <w:keepLines w:val="0"/>
        <w:widowControl/>
        <w:numPr>
          <w:ilvl w:val="0"/>
          <w:numId w:val="0"/>
        </w:numPr>
        <w:suppressLineNumbers w:val="0"/>
        <w:spacing w:before="0" w:beforeAutospacing="0" w:after="0" w:afterAutospacing="0"/>
        <w:jc w:val="both"/>
        <w:rPr>
          <w:rFonts w:hint="default" w:ascii="Calibri" w:hAnsi="Calibri" w:eastAsia="宋体" w:cs="Calibri"/>
          <w:i w:val="0"/>
          <w:iCs w:val="0"/>
          <w:caps w:val="0"/>
          <w:color w:val="222222"/>
          <w:spacing w:val="0"/>
          <w:sz w:val="24"/>
          <w:szCs w:val="24"/>
          <w:shd w:val="clear" w:fill="FFFFFF"/>
          <w:lang w:val="en-US" w:eastAsia="zh-CN"/>
        </w:rPr>
      </w:pPr>
    </w:p>
    <w:sectPr>
      <w:headerReference r:id="rId3" w:type="default"/>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auto"/>
    <w:pitch w:val="default"/>
    <w:sig w:usb0="E4002EFF" w:usb1="C000247B" w:usb2="00000009" w:usb3="00000000" w:csb0="200001FF" w:csb1="00000000"/>
  </w:font>
  <w:font w:name="LinLibertineT">
    <w:altName w:val="AMGDT"/>
    <w:panose1 w:val="00000000000000000000"/>
    <w:charset w:val="00"/>
    <w:family w:val="auto"/>
    <w:pitch w:val="default"/>
    <w:sig w:usb0="00000000" w:usb1="00000000" w:usb2="00000000" w:usb3="00000000" w:csb0="00000000" w:csb1="00000000"/>
  </w:font>
  <w:font w:name="AMGDT">
    <w:panose1 w:val="02000400000000000000"/>
    <w:charset w:val="00"/>
    <w:family w:val="auto"/>
    <w:pitch w:val="default"/>
    <w:sig w:usb0="80000003" w:usb1="10000000" w:usb2="00000000" w:usb3="00000000" w:csb0="00000001" w:csb1="00000000"/>
  </w:font>
  <w:font w:name="ACaslonPro-Regular">
    <w:altName w:val="AMGD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LinLibertineTB">
    <w:altName w:val="AMGDT"/>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TimesNewRomanPS-BoldMT">
    <w:altName w:val="AMGDT"/>
    <w:panose1 w:val="00000000000000000000"/>
    <w:charset w:val="00"/>
    <w:family w:val="auto"/>
    <w:pitch w:val="default"/>
    <w:sig w:usb0="00000000" w:usb1="00000000" w:usb2="00000000" w:usb3="00000000" w:csb0="00000000"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center"/>
      <w:rPr>
        <w:rFonts w:hint="default"/>
        <w:lang w:val="en-US" w:eastAsia="zh-CN"/>
      </w:rPr>
    </w:pPr>
    <w:r>
      <w:rPr>
        <w:rFonts w:hint="eastAsia"/>
        <w:lang w:val="en-US" w:eastAsia="zh-CN"/>
      </w:rPr>
      <w:drawing>
        <wp:anchor distT="0" distB="0" distL="114300" distR="114300" simplePos="0" relativeHeight="251659264" behindDoc="0" locked="0" layoutInCell="1" allowOverlap="1">
          <wp:simplePos x="0" y="0"/>
          <wp:positionH relativeFrom="column">
            <wp:posOffset>36830</wp:posOffset>
          </wp:positionH>
          <wp:positionV relativeFrom="paragraph">
            <wp:posOffset>12065</wp:posOffset>
          </wp:positionV>
          <wp:extent cx="735330" cy="294640"/>
          <wp:effectExtent l="0" t="0" r="0" b="10795"/>
          <wp:wrapSquare wrapText="bothSides"/>
          <wp:docPr id="1" name="图片 1" descr="1qdd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qddas"/>
                  <pic:cNvPicPr>
                    <a:picLocks noChangeAspect="1"/>
                  </pic:cNvPicPr>
                </pic:nvPicPr>
                <pic:blipFill>
                  <a:blip r:embed="rId1"/>
                  <a:srcRect r="-4796" b="43552"/>
                  <a:stretch>
                    <a:fillRect/>
                  </a:stretch>
                </pic:blipFill>
                <pic:spPr>
                  <a:xfrm>
                    <a:off x="0" y="0"/>
                    <a:ext cx="735330" cy="294640"/>
                  </a:xfrm>
                  <a:prstGeom prst="rect">
                    <a:avLst/>
                  </a:prstGeom>
                </pic:spPr>
              </pic:pic>
            </a:graphicData>
          </a:graphic>
        </wp:anchor>
      </w:drawing>
    </w:r>
    <w:r>
      <w:rPr>
        <w:rFonts w:hint="eastAsia"/>
        <w:lang w:val="en-US" w:eastAsia="zh-CN"/>
      </w:rPr>
      <w:t xml:space="preserve">                                                                               ADAD7019</w:t>
    </w:r>
  </w:p>
  <w:p>
    <w:pPr>
      <w:pStyle w:val="5"/>
      <w:jc w:val="both"/>
    </w:pPr>
    <w:r>
      <w:rPr>
        <w:rFonts w:hint="eastAsia"/>
        <w:lang w:val="en-US" w:eastAsia="zh-CN"/>
      </w:rPr>
      <w:t xml:space="preserve">                                                          Art &amp; Design Work-based Learning Project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242C4CE"/>
    <w:multiLevelType w:val="multilevel"/>
    <w:tmpl w:val="9242C4CE"/>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A439150E"/>
    <w:multiLevelType w:val="singleLevel"/>
    <w:tmpl w:val="A439150E"/>
    <w:lvl w:ilvl="0" w:tentative="0">
      <w:start w:val="1"/>
      <w:numFmt w:val="decimal"/>
      <w:lvlText w:val="%1."/>
      <w:lvlJc w:val="left"/>
      <w:pPr>
        <w:ind w:left="425" w:hanging="425"/>
      </w:pPr>
      <w:rPr>
        <w:rFonts w:hint="default"/>
      </w:rPr>
    </w:lvl>
  </w:abstractNum>
  <w:abstractNum w:abstractNumId="2">
    <w:nsid w:val="D94E9850"/>
    <w:multiLevelType w:val="singleLevel"/>
    <w:tmpl w:val="D94E9850"/>
    <w:lvl w:ilvl="0" w:tentative="0">
      <w:start w:val="1"/>
      <w:numFmt w:val="decimal"/>
      <w:lvlText w:val="%1)"/>
      <w:lvlJc w:val="left"/>
      <w:pPr>
        <w:ind w:left="425" w:hanging="425"/>
      </w:pPr>
      <w:rPr>
        <w:rFonts w:hint="default"/>
      </w:rPr>
    </w:lvl>
  </w:abstractNum>
  <w:abstractNum w:abstractNumId="3">
    <w:nsid w:val="E46D5176"/>
    <w:multiLevelType w:val="singleLevel"/>
    <w:tmpl w:val="E46D5176"/>
    <w:lvl w:ilvl="0" w:tentative="0">
      <w:start w:val="1"/>
      <w:numFmt w:val="bullet"/>
      <w:lvlText w:val=""/>
      <w:lvlJc w:val="left"/>
      <w:pPr>
        <w:ind w:left="420" w:hanging="420"/>
      </w:pPr>
      <w:rPr>
        <w:rFonts w:hint="default" w:ascii="Wingdings" w:hAnsi="Wingdings"/>
      </w:rPr>
    </w:lvl>
  </w:abstractNum>
  <w:abstractNum w:abstractNumId="4">
    <w:nsid w:val="0AB95E26"/>
    <w:multiLevelType w:val="singleLevel"/>
    <w:tmpl w:val="0AB95E26"/>
    <w:lvl w:ilvl="0" w:tentative="0">
      <w:start w:val="1"/>
      <w:numFmt w:val="bullet"/>
      <w:lvlText w:val=""/>
      <w:lvlJc w:val="left"/>
      <w:pPr>
        <w:ind w:left="420" w:hanging="420"/>
      </w:pPr>
      <w:rPr>
        <w:rFonts w:hint="default" w:ascii="Wingdings" w:hAnsi="Wingdings"/>
      </w:rPr>
    </w:lvl>
  </w:abstractNum>
  <w:abstractNum w:abstractNumId="5">
    <w:nsid w:val="23B5C736"/>
    <w:multiLevelType w:val="singleLevel"/>
    <w:tmpl w:val="23B5C736"/>
    <w:lvl w:ilvl="0" w:tentative="0">
      <w:start w:val="1"/>
      <w:numFmt w:val="bullet"/>
      <w:lvlText w:val=""/>
      <w:lvlJc w:val="left"/>
      <w:pPr>
        <w:ind w:left="420" w:hanging="420"/>
      </w:pPr>
      <w:rPr>
        <w:rFonts w:hint="default" w:ascii="Wingdings" w:hAnsi="Wingdings"/>
      </w:rPr>
    </w:lvl>
  </w:abstractNum>
  <w:abstractNum w:abstractNumId="6">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4"/>
  </w:num>
  <w:num w:numId="3">
    <w:abstractNumId w:val="3"/>
  </w:num>
  <w:num w:numId="4">
    <w:abstractNumId w:val="1"/>
  </w:num>
  <w:num w:numId="5">
    <w:abstractNumId w:val="2"/>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5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GQyMGEwZGMyMjZiMDMzYzExYTQwN2I3MjgwNDYwZWYifQ=="/>
  </w:docVars>
  <w:rsids>
    <w:rsidRoot w:val="00172A27"/>
    <w:rsid w:val="01BF0199"/>
    <w:rsid w:val="074F4144"/>
    <w:rsid w:val="0B7E0B79"/>
    <w:rsid w:val="10B978A0"/>
    <w:rsid w:val="110B38C0"/>
    <w:rsid w:val="18FF048A"/>
    <w:rsid w:val="1CA747F6"/>
    <w:rsid w:val="1F0F01F5"/>
    <w:rsid w:val="21557712"/>
    <w:rsid w:val="23AA44D9"/>
    <w:rsid w:val="23EF3C5F"/>
    <w:rsid w:val="2423290D"/>
    <w:rsid w:val="26326FAE"/>
    <w:rsid w:val="2AFB3199"/>
    <w:rsid w:val="2BD95410"/>
    <w:rsid w:val="2BFB5F4A"/>
    <w:rsid w:val="2CFF0767"/>
    <w:rsid w:val="2D9D5CEE"/>
    <w:rsid w:val="2DB32D90"/>
    <w:rsid w:val="2FC9558D"/>
    <w:rsid w:val="31F20151"/>
    <w:rsid w:val="33C20C1D"/>
    <w:rsid w:val="36831B89"/>
    <w:rsid w:val="37F45AB2"/>
    <w:rsid w:val="382F1020"/>
    <w:rsid w:val="38F60C7F"/>
    <w:rsid w:val="3AAF5E8F"/>
    <w:rsid w:val="3BB631D0"/>
    <w:rsid w:val="3D056429"/>
    <w:rsid w:val="3E1C5797"/>
    <w:rsid w:val="45F46DEB"/>
    <w:rsid w:val="4E0328C0"/>
    <w:rsid w:val="4F1E000A"/>
    <w:rsid w:val="4FA529D5"/>
    <w:rsid w:val="510C7CF8"/>
    <w:rsid w:val="56456A0D"/>
    <w:rsid w:val="58C55913"/>
    <w:rsid w:val="593037D7"/>
    <w:rsid w:val="59A079DB"/>
    <w:rsid w:val="5AF24A08"/>
    <w:rsid w:val="5C4B1054"/>
    <w:rsid w:val="5C6047A0"/>
    <w:rsid w:val="5C7C5BB7"/>
    <w:rsid w:val="5C91681F"/>
    <w:rsid w:val="60C15C95"/>
    <w:rsid w:val="60C64098"/>
    <w:rsid w:val="60EA44B3"/>
    <w:rsid w:val="68981589"/>
    <w:rsid w:val="690D560E"/>
    <w:rsid w:val="696263DB"/>
    <w:rsid w:val="6C1856AB"/>
    <w:rsid w:val="6C5A067D"/>
    <w:rsid w:val="6CC8456E"/>
    <w:rsid w:val="6D4A5D99"/>
    <w:rsid w:val="6E585FFE"/>
    <w:rsid w:val="72A53FC2"/>
    <w:rsid w:val="72E7631F"/>
    <w:rsid w:val="74105A4F"/>
    <w:rsid w:val="77F27ED6"/>
    <w:rsid w:val="79F55AC9"/>
    <w:rsid w:val="7A2E21F1"/>
    <w:rsid w:val="7A995545"/>
    <w:rsid w:val="7D8F1150"/>
    <w:rsid w:val="7E9D7113"/>
    <w:rsid w:val="7FAF0F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qFormat="1" w:unhideWhenUsed="0" w:uiPriority="99"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22"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9"/>
    <w:pPr>
      <w:keepNext/>
      <w:tabs>
        <w:tab w:val="left" w:pos="5103"/>
      </w:tabs>
      <w:jc w:val="center"/>
      <w:outlineLvl w:val="0"/>
    </w:pPr>
    <w:rPr>
      <w:b/>
      <w:bCs/>
      <w:sz w:val="22"/>
      <w:szCs w:val="22"/>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Strong"/>
    <w:qFormat/>
    <w:uiPriority w:val="22"/>
    <w:rPr>
      <w:b/>
      <w:bCs/>
    </w:rPr>
  </w:style>
  <w:style w:type="character" w:styleId="11">
    <w:name w:val="page number"/>
    <w:basedOn w:val="9"/>
    <w:qFormat/>
    <w:uiPriority w:val="99"/>
  </w:style>
  <w:style w:type="character" w:styleId="12">
    <w:name w:val="Emphasis"/>
    <w:basedOn w:val="9"/>
    <w:qFormat/>
    <w:uiPriority w:val="0"/>
    <w:rPr>
      <w:i/>
    </w:rPr>
  </w:style>
  <w:style w:type="character" w:styleId="13">
    <w:name w:val="Hyperlink"/>
    <w:basedOn w:val="9"/>
    <w:qFormat/>
    <w:uiPriority w:val="0"/>
    <w:rPr>
      <w:color w:val="0000FF"/>
      <w:u w:val="single"/>
    </w:rPr>
  </w:style>
  <w:style w:type="character" w:customStyle="1" w:styleId="14">
    <w:name w:val="font01"/>
    <w:basedOn w:val="9"/>
    <w:qFormat/>
    <w:uiPriority w:val="0"/>
    <w:rPr>
      <w:rFonts w:hint="default" w:ascii="Arial" w:hAnsi="Arial" w:cs="Arial"/>
      <w:b/>
      <w:color w:val="000000"/>
      <w:sz w:val="22"/>
      <w:szCs w:val="22"/>
      <w:u w:val="none"/>
    </w:rPr>
  </w:style>
  <w:style w:type="paragraph" w:styleId="15">
    <w:name w:val="List Paragraph"/>
    <w:basedOn w:val="1"/>
    <w:qFormat/>
    <w:uiPriority w:val="1"/>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numbering" Target="numbering.xml"/><Relationship Id="rId15" Type="http://schemas.openxmlformats.org/officeDocument/2006/relationships/customXml" Target="../customXml/item1.xml"/><Relationship Id="rId14" Type="http://schemas.openxmlformats.org/officeDocument/2006/relationships/image" Target="media/image11.png"/><Relationship Id="rId13" Type="http://schemas.openxmlformats.org/officeDocument/2006/relationships/image" Target="media/image10.jpe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jpeg"/><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4582</Words>
  <Characters>26557</Characters>
  <Lines>0</Lines>
  <Paragraphs>0</Paragraphs>
  <TotalTime>9</TotalTime>
  <ScaleCrop>false</ScaleCrop>
  <LinksUpToDate>false</LinksUpToDate>
  <CharactersWithSpaces>31001</CharactersWithSpaces>
  <Application>WPS Office_11.1.0.12302_F1E327BC-269C-435d-A152-05C5408002CA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2022-05-10T14:46:00Z</dcterms:created>
  <dc:creator>Eighix</dc:creator>
  <cp:lastModifiedBy>Eighix</cp:lastModifiedBy>
  <dcterms:modified xsi:type="dcterms:W3CDTF">2022-08-21T13:35:04Z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2052-11.1.0.12302</vt:lpwstr>
  </property>
  <property fmtid="{D5CDD505-2E9C-101B-9397-08002B2CF9AE}" pid="3" name="ICV">
    <vt:lpwstr>5B7903952F6C49B1A9533238C5BE375D</vt:lpwstr>
  </property>
</Properties>
</file>