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653FF2" w:rsidP="49F615CE" w:rsidRDefault="533C7BE3" w14:paraId="277F8B8F" w14:textId="79E75E6B">
      <w:pPr>
        <w:rPr>
          <w:rFonts w:ascii="Calibri" w:hAnsi="Calibri" w:eastAsia="Calibri" w:cs="Calibri"/>
          <w:color w:val="000000" w:themeColor="text1"/>
          <w:sz w:val="48"/>
          <w:szCs w:val="48"/>
        </w:rPr>
      </w:pPr>
      <w:bookmarkStart w:name="_GoBack" w:id="0"/>
      <w:bookmarkEnd w:id="0"/>
      <w:r w:rsidRPr="49F615CE">
        <w:rPr>
          <w:rFonts w:ascii="Calibri" w:hAnsi="Calibri" w:eastAsia="Calibri" w:cs="Calibri"/>
          <w:b/>
          <w:bCs/>
          <w:color w:val="000000" w:themeColor="text1"/>
          <w:sz w:val="48"/>
          <w:szCs w:val="48"/>
        </w:rPr>
        <w:t xml:space="preserve">               </w:t>
      </w:r>
      <w:r w:rsidRPr="49F615CE" w:rsidR="28ADD41D">
        <w:rPr>
          <w:rFonts w:ascii="Calibri" w:hAnsi="Calibri" w:eastAsia="Calibri" w:cs="Calibri"/>
          <w:b/>
          <w:bCs/>
          <w:color w:val="000000" w:themeColor="text1"/>
          <w:sz w:val="48"/>
          <w:szCs w:val="48"/>
        </w:rPr>
        <w:t>Reneta Sevdalinova Chomezova</w:t>
      </w:r>
    </w:p>
    <w:p w:rsidR="00653FF2" w:rsidP="49F615CE" w:rsidRDefault="28ADD41D" w14:paraId="612FDCAD" w14:textId="7444F04B">
      <w:pPr>
        <w:rPr>
          <w:rFonts w:ascii="Calibri" w:hAnsi="Calibri" w:eastAsia="Calibri" w:cs="Calibri"/>
          <w:color w:val="000000" w:themeColor="text1"/>
          <w:sz w:val="48"/>
          <w:szCs w:val="48"/>
        </w:rPr>
      </w:pPr>
      <w:r w:rsidRPr="49F615CE">
        <w:rPr>
          <w:rFonts w:ascii="Calibri" w:hAnsi="Calibri" w:eastAsia="Calibri" w:cs="Calibri"/>
          <w:b/>
          <w:bCs/>
          <w:color w:val="000000" w:themeColor="text1"/>
          <w:sz w:val="48"/>
          <w:szCs w:val="48"/>
        </w:rPr>
        <w:t xml:space="preserve">                    Student number:1914973</w:t>
      </w:r>
    </w:p>
    <w:p w:rsidR="00653FF2" w:rsidP="49F615CE" w:rsidRDefault="28ADD41D" w14:paraId="09EE71DE" w14:textId="7A7587BA">
      <w:pPr>
        <w:rPr>
          <w:rFonts w:ascii="Calibri" w:hAnsi="Calibri" w:eastAsia="Calibri" w:cs="Calibri"/>
          <w:color w:val="000000" w:themeColor="text1"/>
          <w:sz w:val="48"/>
          <w:szCs w:val="48"/>
        </w:rPr>
      </w:pPr>
      <w:r w:rsidRPr="49F615CE">
        <w:rPr>
          <w:rFonts w:ascii="Calibri" w:hAnsi="Calibri" w:eastAsia="Calibri" w:cs="Calibri"/>
          <w:color w:val="000000" w:themeColor="text1"/>
          <w:sz w:val="48"/>
          <w:szCs w:val="48"/>
        </w:rPr>
        <w:t xml:space="preserve">           </w:t>
      </w:r>
      <w:r w:rsidRPr="49F615CE">
        <w:rPr>
          <w:rFonts w:ascii="Calibri" w:hAnsi="Calibri" w:eastAsia="Calibri" w:cs="Calibri"/>
          <w:b/>
          <w:bCs/>
          <w:color w:val="000000" w:themeColor="text1"/>
          <w:sz w:val="48"/>
          <w:szCs w:val="48"/>
        </w:rPr>
        <w:t xml:space="preserve"> Community engagement-LCBB4002</w:t>
      </w:r>
    </w:p>
    <w:p w:rsidR="00653FF2" w:rsidP="49F615CE" w:rsidRDefault="28ADD41D" w14:paraId="0BD968C0" w14:textId="02844F77">
      <w:pPr>
        <w:rPr>
          <w:rFonts w:ascii="Calibri" w:hAnsi="Calibri" w:eastAsia="Calibri" w:cs="Calibri"/>
          <w:color w:val="000000" w:themeColor="text1"/>
          <w:sz w:val="48"/>
          <w:szCs w:val="48"/>
        </w:rPr>
      </w:pPr>
      <w:r w:rsidRPr="49F615CE">
        <w:rPr>
          <w:rFonts w:ascii="Calibri" w:hAnsi="Calibri" w:eastAsia="Calibri" w:cs="Calibri"/>
          <w:b/>
          <w:bCs/>
          <w:color w:val="000000" w:themeColor="text1"/>
          <w:sz w:val="48"/>
          <w:szCs w:val="48"/>
        </w:rPr>
        <w:t xml:space="preserve">                                   Riaz Bhatti</w:t>
      </w:r>
    </w:p>
    <w:p w:rsidR="00653FF2" w:rsidP="49F615CE" w:rsidRDefault="28ADD41D" w14:paraId="0F746071" w14:textId="29155F56">
      <w:pPr>
        <w:rPr>
          <w:rFonts w:ascii="Calibri" w:hAnsi="Calibri" w:eastAsia="Calibri" w:cs="Calibri"/>
          <w:color w:val="000000" w:themeColor="text1"/>
          <w:sz w:val="48"/>
          <w:szCs w:val="48"/>
        </w:rPr>
      </w:pPr>
      <w:r w:rsidRPr="49F615CE">
        <w:rPr>
          <w:rFonts w:ascii="Calibri" w:hAnsi="Calibri" w:eastAsia="Calibri" w:cs="Calibri"/>
          <w:b/>
          <w:bCs/>
          <w:color w:val="000000" w:themeColor="text1"/>
          <w:sz w:val="48"/>
          <w:szCs w:val="48"/>
        </w:rPr>
        <w:t xml:space="preserve">               DoTerra Healing Hand Foundation</w:t>
      </w:r>
    </w:p>
    <w:p w:rsidR="00653FF2" w:rsidP="49F615CE" w:rsidRDefault="28ADD41D" w14:paraId="4C3249DA" w14:textId="747974A0">
      <w:pPr>
        <w:rPr>
          <w:rFonts w:ascii="Calibri" w:hAnsi="Calibri" w:eastAsia="Calibri" w:cs="Calibri"/>
          <w:color w:val="000000" w:themeColor="text1"/>
          <w:sz w:val="48"/>
          <w:szCs w:val="48"/>
        </w:rPr>
      </w:pPr>
      <w:r w:rsidRPr="49F615CE">
        <w:rPr>
          <w:rFonts w:ascii="Calibri" w:hAnsi="Calibri" w:eastAsia="Calibri" w:cs="Calibri"/>
          <w:b/>
          <w:bCs/>
          <w:color w:val="000000" w:themeColor="text1"/>
          <w:sz w:val="48"/>
          <w:szCs w:val="48"/>
        </w:rPr>
        <w:t xml:space="preserve">                                (Assignment 2)</w:t>
      </w:r>
    </w:p>
    <w:p w:rsidR="00653FF2" w:rsidP="49F615CE" w:rsidRDefault="00653FF2" w14:paraId="464E2E38" w14:textId="71A97255">
      <w:pPr>
        <w:rPr>
          <w:rFonts w:ascii="Calibri" w:hAnsi="Calibri" w:eastAsia="Calibri" w:cs="Calibri"/>
          <w:b/>
          <w:bCs/>
          <w:color w:val="000000" w:themeColor="text1"/>
          <w:sz w:val="48"/>
          <w:szCs w:val="48"/>
        </w:rPr>
      </w:pPr>
    </w:p>
    <w:p w:rsidR="00653FF2" w:rsidP="49F615CE" w:rsidRDefault="7FBCE126" w14:paraId="56C85B6C" w14:textId="30293F17">
      <w:r w:rsidRPr="0BD58861">
        <w:rPr>
          <w:rFonts w:ascii="Calibri" w:hAnsi="Calibri" w:eastAsia="Calibri" w:cs="Calibri"/>
          <w:b/>
          <w:bCs/>
          <w:color w:val="000000" w:themeColor="text1"/>
          <w:sz w:val="48"/>
          <w:szCs w:val="48"/>
        </w:rPr>
        <w:t xml:space="preserve"> </w:t>
      </w:r>
    </w:p>
    <w:p w:rsidR="0BD58861" w:rsidRDefault="0BD58861" w14:paraId="5A102839" w14:textId="0DF477F1">
      <w:r>
        <w:br w:type="page"/>
      </w:r>
    </w:p>
    <w:p w:rsidR="294059EF" w:rsidP="0BD58861" w:rsidRDefault="294059EF" w14:paraId="1D14A521" w14:textId="7EB2BFEB">
      <w:pPr>
        <w:rPr>
          <w:rFonts w:ascii="Calibri" w:hAnsi="Calibri" w:eastAsia="Calibri" w:cs="Calibri"/>
          <w:b/>
          <w:bCs/>
          <w:color w:val="000000" w:themeColor="text1"/>
          <w:sz w:val="48"/>
          <w:szCs w:val="48"/>
        </w:rPr>
      </w:pPr>
      <w:r w:rsidRPr="0BD58861">
        <w:rPr>
          <w:rFonts w:ascii="Calibri" w:hAnsi="Calibri" w:eastAsia="Calibri" w:cs="Calibri"/>
          <w:b/>
          <w:bCs/>
          <w:color w:val="000000" w:themeColor="text1"/>
          <w:sz w:val="48"/>
          <w:szCs w:val="48"/>
        </w:rPr>
        <w:t>Contents</w:t>
      </w:r>
    </w:p>
    <w:p w:rsidR="294059EF" w:rsidP="0BD58861" w:rsidRDefault="294059EF" w14:paraId="22D11BA9" w14:textId="23C17076">
      <w:pPr>
        <w:pStyle w:val="ListParagraph"/>
        <w:numPr>
          <w:ilvl w:val="0"/>
          <w:numId w:val="1"/>
        </w:numPr>
        <w:rPr>
          <w:rFonts w:eastAsiaTheme="minorEastAsia"/>
          <w:b/>
          <w:bCs/>
          <w:color w:val="000000" w:themeColor="text1"/>
          <w:sz w:val="36"/>
          <w:szCs w:val="36"/>
        </w:rPr>
      </w:pPr>
      <w:r w:rsidRPr="0BD58861">
        <w:rPr>
          <w:rFonts w:ascii="Calibri" w:hAnsi="Calibri" w:eastAsia="Calibri" w:cs="Calibri"/>
          <w:b/>
          <w:bCs/>
          <w:color w:val="000000" w:themeColor="text1"/>
          <w:sz w:val="36"/>
          <w:szCs w:val="36"/>
        </w:rPr>
        <w:t>Introduction</w:t>
      </w:r>
    </w:p>
    <w:p w:rsidR="3B5D7FBD" w:rsidP="6AD4CDEE" w:rsidRDefault="294059EF" w14:paraId="2FA1A307" w14:textId="207F5E6B">
      <w:pPr>
        <w:pStyle w:val="ListParagraph"/>
        <w:numPr>
          <w:ilvl w:val="0"/>
          <w:numId w:val="1"/>
        </w:numPr>
        <w:rPr>
          <w:b/>
          <w:bCs/>
          <w:color w:val="000000" w:themeColor="text1"/>
          <w:sz w:val="36"/>
          <w:szCs w:val="36"/>
        </w:rPr>
      </w:pPr>
      <w:r w:rsidRPr="6AD4CDEE">
        <w:rPr>
          <w:rFonts w:ascii="Calibri" w:hAnsi="Calibri" w:eastAsia="Calibri" w:cs="Calibri"/>
          <w:b/>
          <w:bCs/>
          <w:color w:val="000000" w:themeColor="text1"/>
          <w:sz w:val="36"/>
          <w:szCs w:val="36"/>
        </w:rPr>
        <w:t>Reflecting upon Gibb’s cycle and its application on social project</w:t>
      </w:r>
    </w:p>
    <w:p w:rsidR="3B5D7FBD" w:rsidP="6AD4CDEE" w:rsidRDefault="3B5D7FBD" w14:paraId="09EAC687" w14:textId="6EDFBE4E">
      <w:pPr>
        <w:pStyle w:val="ListParagraph"/>
        <w:numPr>
          <w:ilvl w:val="0"/>
          <w:numId w:val="1"/>
        </w:numPr>
        <w:rPr>
          <w:b/>
          <w:bCs/>
          <w:color w:val="000000" w:themeColor="text1"/>
          <w:sz w:val="36"/>
          <w:szCs w:val="36"/>
        </w:rPr>
      </w:pPr>
      <w:r w:rsidRPr="6AD4CDEE">
        <w:rPr>
          <w:rFonts w:ascii="Calibri" w:hAnsi="Calibri" w:eastAsia="Calibri" w:cs="Calibri"/>
          <w:b/>
          <w:bCs/>
          <w:color w:val="000000" w:themeColor="text1"/>
          <w:sz w:val="36"/>
          <w:szCs w:val="36"/>
        </w:rPr>
        <w:t>Stakeholder’s participation</w:t>
      </w:r>
    </w:p>
    <w:p w:rsidR="3B5D7FBD" w:rsidP="6AD4CDEE" w:rsidRDefault="3B5D7FBD" w14:paraId="7DAC629B" w14:textId="4C98E189">
      <w:pPr>
        <w:pStyle w:val="ListParagraph"/>
        <w:numPr>
          <w:ilvl w:val="0"/>
          <w:numId w:val="1"/>
        </w:numPr>
        <w:rPr>
          <w:b/>
          <w:bCs/>
          <w:color w:val="000000" w:themeColor="text1"/>
          <w:sz w:val="36"/>
          <w:szCs w:val="36"/>
        </w:rPr>
      </w:pPr>
      <w:r w:rsidRPr="6AD4CDEE">
        <w:rPr>
          <w:rFonts w:ascii="Calibri" w:hAnsi="Calibri" w:eastAsia="Calibri" w:cs="Calibri"/>
          <w:b/>
          <w:bCs/>
          <w:color w:val="000000" w:themeColor="text1"/>
          <w:sz w:val="36"/>
          <w:szCs w:val="36"/>
        </w:rPr>
        <w:t>Conclusion</w:t>
      </w:r>
    </w:p>
    <w:p w:rsidR="3B5D7FBD" w:rsidP="6AD4CDEE" w:rsidRDefault="3B5D7FBD" w14:paraId="148AB093" w14:textId="3D68A962">
      <w:pPr>
        <w:pStyle w:val="ListParagraph"/>
        <w:numPr>
          <w:ilvl w:val="0"/>
          <w:numId w:val="1"/>
        </w:numPr>
        <w:rPr>
          <w:b/>
          <w:bCs/>
          <w:color w:val="000000" w:themeColor="text1"/>
          <w:sz w:val="36"/>
          <w:szCs w:val="36"/>
        </w:rPr>
      </w:pPr>
      <w:r w:rsidRPr="6AD4CDEE">
        <w:rPr>
          <w:rFonts w:ascii="Calibri" w:hAnsi="Calibri" w:eastAsia="Calibri" w:cs="Calibri"/>
          <w:b/>
          <w:bCs/>
          <w:color w:val="000000" w:themeColor="text1"/>
          <w:sz w:val="36"/>
          <w:szCs w:val="36"/>
        </w:rPr>
        <w:t>References</w:t>
      </w:r>
    </w:p>
    <w:p w:rsidR="0BD58861" w:rsidP="0BD58861" w:rsidRDefault="0BD58861" w14:paraId="2FE16CE6" w14:textId="65146E51">
      <w:pPr>
        <w:rPr>
          <w:rFonts w:ascii="Calibri" w:hAnsi="Calibri" w:eastAsia="Calibri" w:cs="Calibri"/>
          <w:b/>
          <w:bCs/>
          <w:color w:val="000000" w:themeColor="text1"/>
          <w:sz w:val="36"/>
          <w:szCs w:val="36"/>
        </w:rPr>
      </w:pPr>
    </w:p>
    <w:p w:rsidR="0BD58861" w:rsidP="0BD58861" w:rsidRDefault="0BD58861" w14:paraId="193B4974" w14:textId="65EBAD5F">
      <w:pPr>
        <w:rPr>
          <w:rFonts w:ascii="Calibri" w:hAnsi="Calibri" w:eastAsia="Calibri" w:cs="Calibri"/>
          <w:b/>
          <w:bCs/>
          <w:color w:val="000000" w:themeColor="text1"/>
          <w:sz w:val="36"/>
          <w:szCs w:val="36"/>
        </w:rPr>
      </w:pPr>
    </w:p>
    <w:p w:rsidR="0BD58861" w:rsidRDefault="0BD58861" w14:paraId="0ABDE59F" w14:textId="0F9A886C">
      <w:r>
        <w:br w:type="page"/>
      </w:r>
    </w:p>
    <w:p w:rsidR="0BD58861" w:rsidP="0BD58861" w:rsidRDefault="0BD58861" w14:paraId="40ED4284" w14:textId="1342BA2E">
      <w:pPr>
        <w:rPr>
          <w:rFonts w:ascii="Calibri" w:hAnsi="Calibri" w:eastAsia="Calibri" w:cs="Calibri"/>
          <w:b/>
          <w:bCs/>
          <w:color w:val="000000" w:themeColor="text1"/>
          <w:sz w:val="36"/>
          <w:szCs w:val="36"/>
        </w:rPr>
      </w:pPr>
    </w:p>
    <w:p w:rsidR="00653FF2" w:rsidP="0BD58861" w:rsidRDefault="7FBCE126" w14:paraId="3EC7209A" w14:textId="534F1A08">
      <w:pPr>
        <w:rPr>
          <w:rFonts w:ascii="Calibri" w:hAnsi="Calibri" w:eastAsia="Calibri" w:cs="Calibri"/>
          <w:b/>
          <w:bCs/>
          <w:color w:val="000000" w:themeColor="text1"/>
          <w:sz w:val="36"/>
          <w:szCs w:val="36"/>
        </w:rPr>
      </w:pPr>
      <w:r w:rsidRPr="0BD58861">
        <w:rPr>
          <w:rFonts w:ascii="Calibri" w:hAnsi="Calibri" w:eastAsia="Calibri" w:cs="Calibri"/>
          <w:b/>
          <w:bCs/>
          <w:color w:val="000000" w:themeColor="text1"/>
          <w:sz w:val="36"/>
          <w:szCs w:val="36"/>
        </w:rPr>
        <w:t xml:space="preserve"> </w:t>
      </w:r>
    </w:p>
    <w:p w:rsidR="00653FF2" w:rsidP="49F615CE" w:rsidRDefault="7FBCE126" w14:paraId="789CACDB" w14:textId="616FB4F8">
      <w:r w:rsidRPr="49F615CE">
        <w:rPr>
          <w:rFonts w:ascii="Calibri" w:hAnsi="Calibri" w:eastAsia="Calibri" w:cs="Calibri"/>
          <w:b/>
          <w:bCs/>
          <w:color w:val="000000" w:themeColor="text1"/>
          <w:sz w:val="48"/>
          <w:szCs w:val="48"/>
        </w:rPr>
        <w:t xml:space="preserve"> </w:t>
      </w:r>
    </w:p>
    <w:p w:rsidR="00653FF2" w:rsidP="49F615CE" w:rsidRDefault="7FBCE126" w14:paraId="486EF77B" w14:textId="18519076">
      <w:r w:rsidRPr="49F615CE">
        <w:rPr>
          <w:rFonts w:ascii="Calibri" w:hAnsi="Calibri" w:eastAsia="Calibri" w:cs="Calibri"/>
          <w:b/>
          <w:bCs/>
          <w:color w:val="000000" w:themeColor="text1"/>
          <w:sz w:val="48"/>
          <w:szCs w:val="48"/>
        </w:rPr>
        <w:t xml:space="preserve"> </w:t>
      </w:r>
    </w:p>
    <w:p w:rsidR="00653FF2" w:rsidP="49F615CE" w:rsidRDefault="7FBCE126" w14:paraId="20D6F997" w14:textId="498F8F04">
      <w:r w:rsidRPr="49F615CE">
        <w:rPr>
          <w:rFonts w:ascii="Calibri" w:hAnsi="Calibri" w:eastAsia="Calibri" w:cs="Calibri"/>
          <w:b/>
          <w:bCs/>
          <w:color w:val="000000" w:themeColor="text1"/>
          <w:sz w:val="48"/>
          <w:szCs w:val="48"/>
        </w:rPr>
        <w:t xml:space="preserve"> </w:t>
      </w:r>
    </w:p>
    <w:p w:rsidR="00653FF2" w:rsidP="49F615CE" w:rsidRDefault="1C0BCF33" w14:paraId="2920D8FF" w14:textId="27DBC1CC">
      <w:pPr>
        <w:rPr>
          <w:rFonts w:ascii="Calibri" w:hAnsi="Calibri" w:eastAsia="Calibri" w:cs="Calibri"/>
          <w:b/>
          <w:bCs/>
          <w:color w:val="000000" w:themeColor="text1"/>
          <w:sz w:val="36"/>
          <w:szCs w:val="36"/>
        </w:rPr>
      </w:pPr>
      <w:r w:rsidRPr="49F615CE">
        <w:rPr>
          <w:rFonts w:ascii="Calibri" w:hAnsi="Calibri" w:eastAsia="Calibri" w:cs="Calibri"/>
          <w:b/>
          <w:bCs/>
          <w:color w:val="000000" w:themeColor="text1"/>
          <w:sz w:val="36"/>
          <w:szCs w:val="36"/>
        </w:rPr>
        <w:t>1.</w:t>
      </w:r>
      <w:r w:rsidRPr="49F615CE" w:rsidR="7FBCE126">
        <w:rPr>
          <w:rFonts w:ascii="Calibri" w:hAnsi="Calibri" w:eastAsia="Calibri" w:cs="Calibri"/>
          <w:b/>
          <w:bCs/>
          <w:color w:val="000000" w:themeColor="text1"/>
          <w:sz w:val="36"/>
          <w:szCs w:val="36"/>
        </w:rPr>
        <w:t>Introduction</w:t>
      </w:r>
    </w:p>
    <w:p w:rsidR="00653FF2" w:rsidP="1CB09592" w:rsidRDefault="7FBCE126" w14:paraId="156A9043" w14:textId="36907F53">
      <w:pPr>
        <w:rPr>
          <w:rFonts w:ascii="Calibri" w:hAnsi="Calibri" w:eastAsia="Calibri" w:cs="Calibri"/>
          <w:color w:val="000000" w:themeColor="text1"/>
          <w:sz w:val="32"/>
          <w:szCs w:val="32"/>
        </w:rPr>
      </w:pPr>
      <w:r w:rsidRPr="1CB09592">
        <w:rPr>
          <w:rFonts w:ascii="Calibri" w:hAnsi="Calibri" w:eastAsia="Calibri" w:cs="Calibri"/>
          <w:color w:val="000000" w:themeColor="text1"/>
          <w:sz w:val="32"/>
          <w:szCs w:val="32"/>
        </w:rPr>
        <w:t xml:space="preserve">Community engagement refers to the process of working collaboratively in groups to address a social issue in determining the well-being of people living in a locality. Bringing about environmental changes, community engagement also actively participates in generating a positive impact on society. Since community engagement ensures the access of total value setting to contribute to meaningful activities, it is essential to develop functional capabilities that will help in determining business processes by facilitating a maximum number of consumers. Aligning with the benefits of community engagement, this </w:t>
      </w:r>
      <w:r w:rsidRPr="1CB09592" w:rsidR="5EE8E73C">
        <w:rPr>
          <w:rFonts w:ascii="Calibri" w:hAnsi="Calibri" w:eastAsia="Calibri" w:cs="Calibri"/>
          <w:color w:val="000000" w:themeColor="text1"/>
          <w:sz w:val="32"/>
          <w:szCs w:val="32"/>
        </w:rPr>
        <w:t>study</w:t>
      </w:r>
      <w:r w:rsidRPr="1CB09592">
        <w:rPr>
          <w:rFonts w:ascii="Calibri" w:hAnsi="Calibri" w:eastAsia="Calibri" w:cs="Calibri"/>
          <w:color w:val="000000" w:themeColor="text1"/>
          <w:sz w:val="32"/>
          <w:szCs w:val="32"/>
        </w:rPr>
        <w:t xml:space="preserve"> will reflect upon the activities of DoTERRA. Being an integrative and well-being organization, DoTERRA is an eminent global leader in the market that deals with essential oils and aromatherapy products. The brand has focussed in providing values to the effort of the local farmers and distillers by building strong economies to secure the production line. </w:t>
      </w:r>
      <w:r w:rsidRPr="1CB09592" w:rsidR="36A84826">
        <w:rPr>
          <w:rFonts w:ascii="Calibri" w:hAnsi="Calibri" w:eastAsia="Calibri" w:cs="Calibri"/>
          <w:color w:val="000000" w:themeColor="text1"/>
          <w:sz w:val="32"/>
          <w:szCs w:val="32"/>
        </w:rPr>
        <w:t>I think that DoTERRA Healing Hands Foundation has undertaken excellent initiatives in addressing the social issues of the world extensively.</w:t>
      </w:r>
    </w:p>
    <w:p w:rsidR="00653FF2" w:rsidP="7325D919" w:rsidRDefault="4E48EF3D" w14:paraId="58BA11BD" w14:textId="53C57A2D">
      <w:pPr>
        <w:rPr>
          <w:rFonts w:ascii="Calibri" w:hAnsi="Calibri" w:eastAsia="Calibri" w:cs="Calibri"/>
          <w:color w:val="000000" w:themeColor="text1"/>
          <w:sz w:val="32"/>
          <w:szCs w:val="32"/>
        </w:rPr>
      </w:pPr>
      <w:r w:rsidRPr="1CB09592">
        <w:rPr>
          <w:rFonts w:ascii="Calibri" w:hAnsi="Calibri" w:eastAsia="Calibri" w:cs="Calibri"/>
          <w:sz w:val="32"/>
          <w:szCs w:val="32"/>
        </w:rPr>
        <w:t xml:space="preserve">The </w:t>
      </w:r>
      <w:r w:rsidRPr="1CB09592" w:rsidR="7C7BB498">
        <w:rPr>
          <w:rFonts w:ascii="Calibri" w:hAnsi="Calibri" w:eastAsia="Calibri" w:cs="Calibri"/>
          <w:sz w:val="32"/>
          <w:szCs w:val="32"/>
        </w:rPr>
        <w:t>D</w:t>
      </w:r>
      <w:r w:rsidRPr="1CB09592">
        <w:rPr>
          <w:rFonts w:ascii="Calibri" w:hAnsi="Calibri" w:eastAsia="Calibri" w:cs="Calibri"/>
          <w:sz w:val="32"/>
          <w:szCs w:val="32"/>
        </w:rPr>
        <w:t xml:space="preserve">oTERRA Healing Hands Foundation </w:t>
      </w:r>
      <w:r w:rsidRPr="1CB09592" w:rsidR="7A48C160">
        <w:rPr>
          <w:rFonts w:ascii="Calibri" w:hAnsi="Calibri" w:eastAsia="Calibri" w:cs="Calibri"/>
          <w:sz w:val="32"/>
          <w:szCs w:val="32"/>
        </w:rPr>
        <w:t>focus is</w:t>
      </w:r>
      <w:r w:rsidRPr="1CB09592">
        <w:rPr>
          <w:rFonts w:ascii="Calibri" w:hAnsi="Calibri" w:eastAsia="Calibri" w:cs="Calibri"/>
          <w:sz w:val="32"/>
          <w:szCs w:val="32"/>
        </w:rPr>
        <w:t xml:space="preserve"> to empower people and communities </w:t>
      </w:r>
      <w:r w:rsidRPr="1CB09592" w:rsidR="293D15D0">
        <w:rPr>
          <w:rFonts w:ascii="Calibri" w:hAnsi="Calibri" w:eastAsia="Calibri" w:cs="Calibri"/>
          <w:sz w:val="32"/>
          <w:szCs w:val="32"/>
        </w:rPr>
        <w:t>around the globe</w:t>
      </w:r>
      <w:r w:rsidRPr="1CB09592" w:rsidR="221AD94C">
        <w:rPr>
          <w:rFonts w:ascii="Calibri" w:hAnsi="Calibri" w:eastAsia="Calibri" w:cs="Calibri"/>
          <w:sz w:val="32"/>
          <w:szCs w:val="32"/>
        </w:rPr>
        <w:t xml:space="preserve"> and</w:t>
      </w:r>
      <w:r w:rsidRPr="1CB09592">
        <w:rPr>
          <w:rFonts w:ascii="Calibri" w:hAnsi="Calibri" w:eastAsia="Calibri" w:cs="Calibri"/>
          <w:sz w:val="32"/>
          <w:szCs w:val="32"/>
        </w:rPr>
        <w:t xml:space="preserve"> to make a positive change.</w:t>
      </w:r>
      <w:r w:rsidRPr="1CB09592">
        <w:rPr>
          <w:rFonts w:ascii="Calibri" w:hAnsi="Calibri" w:eastAsia="Calibri" w:cs="Calibri"/>
          <w:color w:val="888888"/>
          <w:sz w:val="24"/>
          <w:szCs w:val="24"/>
        </w:rPr>
        <w:t xml:space="preserve"> </w:t>
      </w:r>
      <w:r w:rsidRPr="1CB09592" w:rsidR="7FBCE126">
        <w:rPr>
          <w:rFonts w:ascii="Calibri" w:hAnsi="Calibri" w:eastAsia="Calibri" w:cs="Calibri"/>
          <w:color w:val="000000" w:themeColor="text1"/>
          <w:sz w:val="32"/>
          <w:szCs w:val="32"/>
        </w:rPr>
        <w:t xml:space="preserve">DoTERRA Healing Hand Foundation is a global community that addresses the needs of microcredit lending, sanitization, education, access to healthcare, clean water and fighting child sex trafficking by empowering women. This report has discussed the functional activity of DoTERRA that involves in bearing all the administrative cost of the foundation by ensuring that the donations reach the people efficiently. Reflecting upon the importance of community engagement in enhancing functional measures, this </w:t>
      </w:r>
      <w:r w:rsidRPr="1CB09592" w:rsidR="0F3E8CFE">
        <w:rPr>
          <w:rFonts w:ascii="Calibri" w:hAnsi="Calibri" w:eastAsia="Calibri" w:cs="Calibri"/>
          <w:color w:val="000000" w:themeColor="text1"/>
          <w:sz w:val="32"/>
          <w:szCs w:val="32"/>
        </w:rPr>
        <w:t>study</w:t>
      </w:r>
      <w:r w:rsidRPr="1CB09592" w:rsidR="7FBCE126">
        <w:rPr>
          <w:rFonts w:ascii="Calibri" w:hAnsi="Calibri" w:eastAsia="Calibri" w:cs="Calibri"/>
          <w:color w:val="000000" w:themeColor="text1"/>
          <w:sz w:val="32"/>
          <w:szCs w:val="32"/>
        </w:rPr>
        <w:t xml:space="preserve"> will shed light on the application of Gibbs cycle by addressing the issues and extending hands to overcome the concerns. Further, a brief idea on the stakeholder’s participation in helping DoTERRA to assist the DoTERRA Healing Hands Foundation will also be demonstrated in this study.</w:t>
      </w:r>
    </w:p>
    <w:p w:rsidR="00653FF2" w:rsidP="49F615CE" w:rsidRDefault="1C1F2AEB" w14:paraId="7134B8EA" w14:textId="1BAB7CC4">
      <w:pPr>
        <w:rPr>
          <w:rFonts w:ascii="Calibri" w:hAnsi="Calibri" w:eastAsia="Calibri" w:cs="Calibri"/>
          <w:b/>
          <w:bCs/>
          <w:color w:val="000000" w:themeColor="text1"/>
          <w:sz w:val="36"/>
          <w:szCs w:val="36"/>
        </w:rPr>
      </w:pPr>
      <w:r w:rsidRPr="49F615CE">
        <w:rPr>
          <w:rFonts w:ascii="Calibri" w:hAnsi="Calibri" w:eastAsia="Calibri" w:cs="Calibri"/>
          <w:b/>
          <w:bCs/>
          <w:color w:val="000000" w:themeColor="text1"/>
          <w:sz w:val="36"/>
          <w:szCs w:val="36"/>
        </w:rPr>
        <w:t>2.</w:t>
      </w:r>
      <w:r w:rsidRPr="49F615CE" w:rsidR="7FBCE126">
        <w:rPr>
          <w:rFonts w:ascii="Calibri" w:hAnsi="Calibri" w:eastAsia="Calibri" w:cs="Calibri"/>
          <w:b/>
          <w:bCs/>
          <w:color w:val="000000" w:themeColor="text1"/>
          <w:sz w:val="36"/>
          <w:szCs w:val="36"/>
        </w:rPr>
        <w:t>Reflecting upon Gibb's cycle and its application on the social project</w:t>
      </w:r>
    </w:p>
    <w:p w:rsidR="00653FF2" w:rsidP="49F615CE" w:rsidRDefault="7FBCE126" w14:paraId="3A2B36E6" w14:textId="1A4AB60A">
      <w:pPr>
        <w:rPr>
          <w:rFonts w:ascii="Calibri" w:hAnsi="Calibri" w:eastAsia="Calibri" w:cs="Calibri"/>
          <w:color w:val="000000" w:themeColor="text1"/>
          <w:sz w:val="32"/>
          <w:szCs w:val="32"/>
        </w:rPr>
      </w:pPr>
      <w:r w:rsidRPr="1CB09592">
        <w:rPr>
          <w:rFonts w:ascii="Calibri" w:hAnsi="Calibri" w:eastAsia="Calibri" w:cs="Calibri"/>
          <w:color w:val="000000" w:themeColor="text1"/>
          <w:sz w:val="32"/>
          <w:szCs w:val="32"/>
        </w:rPr>
        <w:t xml:space="preserve">Reflective practice is considered as an important tool that helps in enhancing both professional and personal learning experiences. Reflective learning refers to the ability to reflect an individual's journey, emotion as well as experience that involves the utilisation of practical values and theories to align with everyday actions (World Health Organization, 2020). Gibbs learning cycle, therefore, emphasizes on the utilisation of six stages that helps in reflecting and individual experience. Aligning with this </w:t>
      </w:r>
      <w:r w:rsidRPr="1CB09592" w:rsidR="4D51E2E7">
        <w:rPr>
          <w:rFonts w:ascii="Calibri" w:hAnsi="Calibri" w:eastAsia="Calibri" w:cs="Calibri"/>
          <w:color w:val="000000" w:themeColor="text1"/>
          <w:sz w:val="32"/>
          <w:szCs w:val="32"/>
        </w:rPr>
        <w:t>study</w:t>
      </w:r>
      <w:r w:rsidRPr="1CB09592">
        <w:rPr>
          <w:rFonts w:ascii="Calibri" w:hAnsi="Calibri" w:eastAsia="Calibri" w:cs="Calibri"/>
          <w:color w:val="000000" w:themeColor="text1"/>
          <w:sz w:val="32"/>
          <w:szCs w:val="32"/>
        </w:rPr>
        <w:t>, in addressing the social issues of sanitization, access of clean water, education, and child sex trafficking and many more, the application of Gibbs reflective cycle will help in sharing my experience while reflecting on the actions that need to be taken in future. Gibbs cycle is considered as an extensive Framework that is utilised to examine experiences in a cyclic manner that helps in allowing us to learn and plan things in future. Therefore, focusing on the significant contribution of Gibbs reflective cycle, DoTERRA Healing Hands Foundation with the help of DoTERRA brand will actively participate in overcoming the social concerns that will help in enhancing community engagement.</w:t>
      </w:r>
    </w:p>
    <w:p w:rsidR="00653FF2" w:rsidP="7325D919" w:rsidRDefault="7FBCE126" w14:paraId="66B7E6E4" w14:textId="4C4C563B">
      <w:pPr>
        <w:rPr>
          <w:rFonts w:ascii="Calibri" w:hAnsi="Calibri" w:eastAsia="Calibri" w:cs="Calibri"/>
          <w:color w:val="000000" w:themeColor="text1"/>
          <w:sz w:val="32"/>
          <w:szCs w:val="32"/>
        </w:rPr>
      </w:pPr>
      <w:r w:rsidRPr="7325D919">
        <w:rPr>
          <w:rFonts w:ascii="Calibri" w:hAnsi="Calibri" w:eastAsia="Calibri" w:cs="Calibri"/>
          <w:color w:val="000000" w:themeColor="text1"/>
          <w:sz w:val="32"/>
          <w:szCs w:val="32"/>
        </w:rPr>
        <w:t xml:space="preserve">With the utilization of Gibbs reflective cycle, I will reflect upon my journey, share my experience and the aim of Healing Hands Foundation in addressing the social issues. Considering the six stages of Gibbs reflective cycle, each stage will reflect upon the functional measures that will help in sharing my experience and views to address the social impact of lack of clean water, poor sanitization, Unequal education and many more. </w:t>
      </w:r>
      <w:r w:rsidRPr="7325D919" w:rsidR="6BCC8AE6">
        <w:rPr>
          <w:rFonts w:ascii="Calibri" w:hAnsi="Calibri" w:eastAsia="Calibri" w:cs="Calibri"/>
          <w:color w:val="000000" w:themeColor="text1"/>
          <w:sz w:val="32"/>
          <w:szCs w:val="32"/>
        </w:rPr>
        <w:t>Therefore,</w:t>
      </w:r>
      <w:r w:rsidRPr="7325D919">
        <w:rPr>
          <w:rFonts w:ascii="Calibri" w:hAnsi="Calibri" w:eastAsia="Calibri" w:cs="Calibri"/>
          <w:color w:val="000000" w:themeColor="text1"/>
          <w:sz w:val="32"/>
          <w:szCs w:val="32"/>
        </w:rPr>
        <w:t xml:space="preserve"> based on the six stages of Gibbs cycle my experience are-</w:t>
      </w:r>
    </w:p>
    <w:p w:rsidR="00653FF2" w:rsidP="49F615CE" w:rsidRDefault="7FBCE126" w14:paraId="08E162FF" w14:textId="252C7334">
      <w:pPr>
        <w:pStyle w:val="ListParagraph"/>
        <w:numPr>
          <w:ilvl w:val="0"/>
          <w:numId w:val="6"/>
        </w:numPr>
        <w:rPr>
          <w:rFonts w:eastAsiaTheme="minorEastAsia"/>
          <w:b/>
          <w:bCs/>
          <w:color w:val="000000" w:themeColor="text1"/>
          <w:sz w:val="36"/>
          <w:szCs w:val="36"/>
        </w:rPr>
      </w:pPr>
      <w:r w:rsidRPr="49F615CE">
        <w:rPr>
          <w:rFonts w:ascii="Calibri" w:hAnsi="Calibri" w:eastAsia="Calibri" w:cs="Calibri"/>
          <w:b/>
          <w:bCs/>
          <w:color w:val="000000" w:themeColor="text1"/>
          <w:sz w:val="36"/>
          <w:szCs w:val="36"/>
        </w:rPr>
        <w:t>Description</w:t>
      </w:r>
    </w:p>
    <w:p w:rsidR="00653FF2" w:rsidP="7325D919" w:rsidRDefault="7FBCE126" w14:paraId="209DDA35" w14:textId="441F909E">
      <w:pPr>
        <w:rPr>
          <w:rFonts w:ascii="Calibri" w:hAnsi="Calibri" w:eastAsia="Calibri" w:cs="Calibri"/>
          <w:color w:val="000000" w:themeColor="text1"/>
          <w:sz w:val="32"/>
          <w:szCs w:val="32"/>
        </w:rPr>
      </w:pPr>
      <w:r w:rsidRPr="7325D919">
        <w:rPr>
          <w:rFonts w:ascii="Calibri" w:hAnsi="Calibri" w:eastAsia="Calibri" w:cs="Calibri"/>
          <w:color w:val="000000" w:themeColor="text1"/>
          <w:sz w:val="32"/>
          <w:szCs w:val="32"/>
        </w:rPr>
        <w:t xml:space="preserve">This </w:t>
      </w:r>
      <w:r w:rsidRPr="7325D919" w:rsidR="64988658">
        <w:rPr>
          <w:rFonts w:ascii="Calibri" w:hAnsi="Calibri" w:eastAsia="Calibri" w:cs="Calibri"/>
          <w:color w:val="000000" w:themeColor="text1"/>
          <w:sz w:val="32"/>
          <w:szCs w:val="32"/>
        </w:rPr>
        <w:t>stage</w:t>
      </w:r>
      <w:r w:rsidRPr="7325D919">
        <w:rPr>
          <w:rFonts w:ascii="Calibri" w:hAnsi="Calibri" w:eastAsia="Calibri" w:cs="Calibri"/>
          <w:color w:val="000000" w:themeColor="text1"/>
          <w:sz w:val="32"/>
          <w:szCs w:val="32"/>
        </w:rPr>
        <w:t xml:space="preserve"> emphasizes the functional activities of DoTERRA Healing Hands Foundation that has helped several business brands in determining additional funds to credit small business owners who do not have the access to funding opportunities (De Weger et al., 2018). As per my view, DoTERRA Healing Hands Foundation is actively participating in addressing the social issue of microcredit loan funds through the access of international non-profit organisations that are assisting DoTERRA Healing Hands Foundation to provide model support to the business brands. Further, as per my knowledge, DoTERRA Healing Hands Foundation is actively participating to collaborate with Operation Underground Railroad to rescue children from sex slavery. Our Rescue team undertakes special operation to extract the efforts in rescuing sex trafficking children by developing feasible operations in addressing the social issue extensively (Adhikari et al., 2017). Being a non-profit organization DoTERRA Healing Hands Foundation is actively participating in determining a community that will address all the social issues and minimise its occurrence in future.</w:t>
      </w:r>
    </w:p>
    <w:p w:rsidR="00653FF2" w:rsidP="49F615CE" w:rsidRDefault="7FBCE126" w14:paraId="10950867" w14:textId="246E897E">
      <w:pPr>
        <w:pStyle w:val="ListParagraph"/>
        <w:numPr>
          <w:ilvl w:val="0"/>
          <w:numId w:val="5"/>
        </w:numPr>
        <w:rPr>
          <w:rFonts w:eastAsiaTheme="minorEastAsia"/>
          <w:b/>
          <w:bCs/>
          <w:color w:val="000000" w:themeColor="text1"/>
          <w:sz w:val="36"/>
          <w:szCs w:val="36"/>
        </w:rPr>
      </w:pPr>
      <w:r w:rsidRPr="49F615CE">
        <w:rPr>
          <w:rFonts w:ascii="Calibri" w:hAnsi="Calibri" w:eastAsia="Calibri" w:cs="Calibri"/>
          <w:b/>
          <w:bCs/>
          <w:color w:val="000000" w:themeColor="text1"/>
          <w:sz w:val="36"/>
          <w:szCs w:val="36"/>
        </w:rPr>
        <w:t>Feeling</w:t>
      </w:r>
    </w:p>
    <w:p w:rsidR="00653FF2" w:rsidP="49F615CE" w:rsidRDefault="7FBCE126" w14:paraId="5CED3229" w14:textId="5CC2D9F3">
      <w:pPr>
        <w:rPr>
          <w:rFonts w:ascii="Calibri" w:hAnsi="Calibri" w:eastAsia="Calibri" w:cs="Calibri"/>
          <w:color w:val="000000" w:themeColor="text1"/>
          <w:sz w:val="32"/>
          <w:szCs w:val="32"/>
        </w:rPr>
      </w:pPr>
      <w:r w:rsidRPr="49F615CE">
        <w:rPr>
          <w:rFonts w:ascii="Calibri" w:hAnsi="Calibri" w:eastAsia="Calibri" w:cs="Calibri"/>
          <w:color w:val="000000" w:themeColor="text1"/>
          <w:sz w:val="32"/>
          <w:szCs w:val="32"/>
        </w:rPr>
        <w:t xml:space="preserve">I feel DoTERRA Healing Hands Foundation has undertaken excellent initiatives in addressing the social issues of the world extensively.  Considering the significant contribution of collaborating, DoTERRA Healing Hands Foundation has also developed special programs that will facilitate education in sharing knowledge and learning opportunities to all children irrespective of their background, community and creed. I felt a joy in learning about the administrative activities of DoTERRA Healing Hands Foundation that has given me immense pleasure to strengthen my learning scopes regarding the social problems of poor sanitation that can lead to several kinds of health diseases. Therefore, I feel the initiative that has been taken by DoTERRA Healing Hands Foundation to focus on the development of awareness programs in educating the population about the importance of sanitization in reducing health hazards will help in enhancing the quality lifestyles of people. </w:t>
      </w:r>
    </w:p>
    <w:p w:rsidR="00653FF2" w:rsidP="49F615CE" w:rsidRDefault="7FBCE126" w14:paraId="7E202F39" w14:textId="09EDB437">
      <w:pPr>
        <w:pStyle w:val="ListParagraph"/>
        <w:numPr>
          <w:ilvl w:val="0"/>
          <w:numId w:val="4"/>
        </w:numPr>
        <w:rPr>
          <w:rFonts w:eastAsiaTheme="minorEastAsia"/>
          <w:b/>
          <w:bCs/>
          <w:color w:val="000000" w:themeColor="text1"/>
          <w:sz w:val="36"/>
          <w:szCs w:val="36"/>
        </w:rPr>
      </w:pPr>
      <w:r w:rsidRPr="49F615CE">
        <w:rPr>
          <w:rFonts w:ascii="Calibri" w:hAnsi="Calibri" w:eastAsia="Calibri" w:cs="Calibri"/>
          <w:b/>
          <w:bCs/>
          <w:color w:val="000000" w:themeColor="text1"/>
          <w:sz w:val="36"/>
          <w:szCs w:val="36"/>
        </w:rPr>
        <w:t>Evaluation</w:t>
      </w:r>
    </w:p>
    <w:p w:rsidR="00653FF2" w:rsidP="49F615CE" w:rsidRDefault="7FBCE126" w14:paraId="0287E01D" w14:textId="3BEE3109">
      <w:r w:rsidRPr="49F615CE">
        <w:rPr>
          <w:rFonts w:ascii="Calibri" w:hAnsi="Calibri" w:eastAsia="Calibri" w:cs="Calibri"/>
          <w:color w:val="000000" w:themeColor="text1"/>
          <w:sz w:val="32"/>
          <w:szCs w:val="32"/>
        </w:rPr>
        <w:t>I had a good experience during the entire evolution of the administrative activities that have been undertaken by DoTERRA Healing Hands Foundation. Since the brand is focusing on the utilisation of different strategies to minimise the impact of social problems, it is essential to consider the advantages methods that will help in considering the strategies to progress with mechanisms (McMullen et al., 2020). Considering this third stage of evaluation, I have observed that DoTERRA Healing Hands Foundation has undertaken an excellent initiative in raising funds to reduce the social problems of the global arena. The brand has not only undertaken the methods to generate education programs in strengthening knowledge of the children but has also collaborated with rescue teams to generate special operations in reducing child trafficking measures. Apart from that, I have gained ideas about the active participation of the administrative action of DoTERRA Healing Hands Foundation, in determining methods that will improve the health qualities of the population by enhancing hygiene practices. Therefore, considering the evaluation of the entire administrative activities of DoTERRA Healing Hands Foundation, my overall experience is good.</w:t>
      </w:r>
      <w:r w:rsidRPr="49F615CE">
        <w:rPr>
          <w:rFonts w:ascii="Calibri" w:hAnsi="Calibri" w:eastAsia="Calibri" w:cs="Calibri"/>
          <w:b/>
          <w:bCs/>
          <w:color w:val="000000" w:themeColor="text1"/>
          <w:sz w:val="48"/>
          <w:szCs w:val="48"/>
        </w:rPr>
        <w:t xml:space="preserve"> </w:t>
      </w:r>
    </w:p>
    <w:p w:rsidR="7FBCE126" w:rsidP="55554C4D" w:rsidRDefault="7FBCE126" w14:paraId="460E83CC" w14:textId="6D6A4379">
      <w:pPr>
        <w:rPr>
          <w:rFonts w:eastAsiaTheme="minorEastAsia"/>
          <w:b/>
          <w:bCs/>
          <w:color w:val="000000" w:themeColor="text1"/>
          <w:sz w:val="36"/>
          <w:szCs w:val="36"/>
        </w:rPr>
      </w:pPr>
      <w:r w:rsidRPr="55554C4D">
        <w:rPr>
          <w:rFonts w:ascii="Calibri" w:hAnsi="Calibri" w:eastAsia="Calibri" w:cs="Calibri"/>
          <w:b/>
          <w:bCs/>
          <w:color w:val="000000" w:themeColor="text1"/>
          <w:sz w:val="36"/>
          <w:szCs w:val="36"/>
        </w:rPr>
        <w:t>Analysis</w:t>
      </w:r>
    </w:p>
    <w:p w:rsidR="55554C4D" w:rsidP="55554C4D" w:rsidRDefault="1AC7E1B7" w14:paraId="6D115C5E" w14:textId="6C6B5635">
      <w:r w:rsidR="26ACE050">
        <w:drawing>
          <wp:inline wp14:editId="26ACE050" wp14:anchorId="09E94163">
            <wp:extent cx="5591176" cy="3124200"/>
            <wp:effectExtent l="0" t="0" r="0" b="0"/>
            <wp:docPr id="1035680408" name="Picture 1035680408" title=""/>
            <wp:cNvGraphicFramePr>
              <a:graphicFrameLocks noChangeAspect="1"/>
            </wp:cNvGraphicFramePr>
            <a:graphic>
              <a:graphicData uri="http://schemas.openxmlformats.org/drawingml/2006/picture">
                <pic:pic>
                  <pic:nvPicPr>
                    <pic:cNvPr id="0" name="Picture 1035680408"/>
                    <pic:cNvPicPr/>
                  </pic:nvPicPr>
                  <pic:blipFill>
                    <a:blip r:embed="Rdb81816da1a843b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91176" cy="3124200"/>
                    </a:xfrm>
                    <a:prstGeom prst="rect">
                      <a:avLst/>
                    </a:prstGeom>
                  </pic:spPr>
                </pic:pic>
              </a:graphicData>
            </a:graphic>
          </wp:inline>
        </w:drawing>
      </w:r>
    </w:p>
    <w:p w:rsidR="1AC7E1B7" w:rsidP="1CB09592" w:rsidRDefault="1AC7E1B7" w14:paraId="4DC37645" w14:textId="510670D5">
      <w:pPr>
        <w:rPr>
          <w:rFonts w:ascii="Calibri" w:hAnsi="Calibri" w:eastAsia="Calibri" w:cs="Calibri"/>
          <w:i/>
          <w:iCs/>
          <w:color w:val="000000" w:themeColor="text1"/>
          <w:sz w:val="24"/>
          <w:szCs w:val="24"/>
        </w:rPr>
      </w:pPr>
      <w:r w:rsidRPr="63BC4DD7" w:rsidR="26ACE050">
        <w:rPr>
          <w:rFonts w:ascii="Calibri" w:hAnsi="Calibri" w:eastAsia="Calibri" w:cs="Calibri"/>
          <w:i w:val="1"/>
          <w:iCs w:val="1"/>
          <w:color w:val="000000" w:themeColor="text1" w:themeTint="FF" w:themeShade="FF"/>
          <w:sz w:val="24"/>
          <w:szCs w:val="24"/>
        </w:rPr>
        <w:t>Fig.1, Source:Reneta Chomezova</w:t>
      </w:r>
    </w:p>
    <w:p w:rsidR="00653FF2" w:rsidP="7325D919" w:rsidRDefault="7FBCE126" w14:paraId="5D8D048E" w14:textId="083BFC75">
      <w:pPr>
        <w:rPr>
          <w:rFonts w:ascii="Calibri" w:hAnsi="Calibri" w:eastAsia="Calibri" w:cs="Calibri"/>
          <w:color w:val="000000" w:themeColor="text1"/>
          <w:sz w:val="32"/>
          <w:szCs w:val="32"/>
        </w:rPr>
      </w:pPr>
      <w:r w:rsidRPr="7325D919">
        <w:rPr>
          <w:rFonts w:ascii="Calibri" w:hAnsi="Calibri" w:eastAsia="Calibri" w:cs="Calibri"/>
          <w:color w:val="000000" w:themeColor="text1"/>
          <w:sz w:val="32"/>
          <w:szCs w:val="32"/>
        </w:rPr>
        <w:t>With 100% contribution, DoTERRA Healing Hands Foundation is considered as a backbone to the community wellbeing that advocates the valence of people by minimising the causes of social issues and addressing the problems by undertaking mitigative actions (Welch, 2016). Contributing to the world in a meaningful way, I think that DoTERRA Healing Hands Foundation has actively participated in extending their hands to explore optimism as well as self-reliance across the</w:t>
      </w:r>
      <w:r w:rsidRPr="7325D919" w:rsidR="58878775">
        <w:rPr>
          <w:rFonts w:ascii="Calibri" w:hAnsi="Calibri" w:eastAsia="Calibri" w:cs="Calibri"/>
          <w:color w:val="000000" w:themeColor="text1"/>
          <w:sz w:val="32"/>
          <w:szCs w:val="32"/>
        </w:rPr>
        <w:t xml:space="preserve"> globe</w:t>
      </w:r>
      <w:r w:rsidRPr="7325D919">
        <w:rPr>
          <w:rFonts w:ascii="Calibri" w:hAnsi="Calibri" w:eastAsia="Calibri" w:cs="Calibri"/>
          <w:color w:val="000000" w:themeColor="text1"/>
          <w:sz w:val="32"/>
          <w:szCs w:val="32"/>
        </w:rPr>
        <w:t xml:space="preserve">. This </w:t>
      </w:r>
      <w:r w:rsidRPr="7325D919" w:rsidR="1DFF596C">
        <w:rPr>
          <w:rFonts w:ascii="Calibri" w:hAnsi="Calibri" w:eastAsia="Calibri" w:cs="Calibri"/>
          <w:color w:val="000000" w:themeColor="text1"/>
          <w:sz w:val="32"/>
          <w:szCs w:val="32"/>
        </w:rPr>
        <w:t>leading</w:t>
      </w:r>
      <w:r w:rsidRPr="7325D919">
        <w:rPr>
          <w:rFonts w:ascii="Calibri" w:hAnsi="Calibri" w:eastAsia="Calibri" w:cs="Calibri"/>
          <w:color w:val="000000" w:themeColor="text1"/>
          <w:sz w:val="32"/>
          <w:szCs w:val="32"/>
        </w:rPr>
        <w:t xml:space="preserve"> community brand has also supported in contributing to the strength of financial conditions of small and </w:t>
      </w:r>
      <w:r w:rsidRPr="7325D919" w:rsidR="6FA98031">
        <w:rPr>
          <w:rFonts w:ascii="Calibri" w:hAnsi="Calibri" w:eastAsia="Calibri" w:cs="Calibri"/>
          <w:color w:val="000000" w:themeColor="text1"/>
          <w:sz w:val="32"/>
          <w:szCs w:val="32"/>
        </w:rPr>
        <w:t>start-up</w:t>
      </w:r>
      <w:r w:rsidRPr="7325D919">
        <w:rPr>
          <w:rFonts w:ascii="Calibri" w:hAnsi="Calibri" w:eastAsia="Calibri" w:cs="Calibri"/>
          <w:color w:val="000000" w:themeColor="text1"/>
          <w:sz w:val="32"/>
          <w:szCs w:val="32"/>
        </w:rPr>
        <w:t xml:space="preserve"> companies by facilitating them with the access of loans and investors. Building community projects and facilitating community through extensive administrative actions DoTERRA Healing Hands Foundation has participated in establishing children milk canteens that will distribute milk to </w:t>
      </w:r>
      <w:r w:rsidRPr="7325D919" w:rsidR="3669FD7E">
        <w:rPr>
          <w:rFonts w:ascii="Calibri" w:hAnsi="Calibri" w:eastAsia="Calibri" w:cs="Calibri"/>
          <w:color w:val="000000" w:themeColor="text1"/>
          <w:sz w:val="32"/>
          <w:szCs w:val="32"/>
        </w:rPr>
        <w:t>new-born</w:t>
      </w:r>
      <w:r w:rsidRPr="7325D919">
        <w:rPr>
          <w:rFonts w:ascii="Calibri" w:hAnsi="Calibri" w:eastAsia="Calibri" w:cs="Calibri"/>
          <w:color w:val="000000" w:themeColor="text1"/>
          <w:sz w:val="32"/>
          <w:szCs w:val="32"/>
        </w:rPr>
        <w:t xml:space="preserve"> children as a source of Nutrition. Further DoTERRA Healing Hands Foundation has also established a Mothercare club, through which education is provided to option and other children who are living in poor families (Corbett and Le Dantec, 2018). Therefore, considering the functions of DoTERRA Healing Hands Foundation, my experience depicts that, this </w:t>
      </w:r>
      <w:r w:rsidRPr="7325D919" w:rsidR="669FBE79">
        <w:rPr>
          <w:rFonts w:ascii="Calibri" w:hAnsi="Calibri" w:eastAsia="Calibri" w:cs="Calibri"/>
          <w:color w:val="000000" w:themeColor="text1"/>
          <w:sz w:val="32"/>
          <w:szCs w:val="32"/>
        </w:rPr>
        <w:t>helping</w:t>
      </w:r>
      <w:r w:rsidRPr="7325D919">
        <w:rPr>
          <w:rFonts w:ascii="Calibri" w:hAnsi="Calibri" w:eastAsia="Calibri" w:cs="Calibri"/>
          <w:color w:val="000000" w:themeColor="text1"/>
          <w:sz w:val="32"/>
          <w:szCs w:val="32"/>
        </w:rPr>
        <w:t xml:space="preserve"> hand will be able to strengthen their functional measures and will be able to help the needy by minimising the social impact of social issues. </w:t>
      </w:r>
    </w:p>
    <w:p w:rsidR="00653FF2" w:rsidP="7325D919" w:rsidRDefault="7FBCE126" w14:paraId="0C909223" w14:textId="44A02F4A">
      <w:pPr>
        <w:rPr>
          <w:rFonts w:ascii="Calibri" w:hAnsi="Calibri" w:eastAsia="Calibri" w:cs="Calibri"/>
          <w:color w:val="000000" w:themeColor="text1"/>
          <w:sz w:val="32"/>
          <w:szCs w:val="32"/>
        </w:rPr>
      </w:pPr>
      <w:r w:rsidRPr="7325D919">
        <w:rPr>
          <w:rFonts w:ascii="Calibri" w:hAnsi="Calibri" w:eastAsia="Calibri" w:cs="Calibri"/>
          <w:color w:val="000000" w:themeColor="text1"/>
          <w:sz w:val="32"/>
          <w:szCs w:val="32"/>
        </w:rPr>
        <w:t xml:space="preserve">From my entire journey in reviewing and analysing the administrative activities of DoTERRA Healing Hands Foundation, I have learnt about their functional actions that have helped this </w:t>
      </w:r>
      <w:r w:rsidRPr="7325D919" w:rsidR="04E1BFCA">
        <w:rPr>
          <w:rFonts w:ascii="Calibri" w:hAnsi="Calibri" w:eastAsia="Calibri" w:cs="Calibri"/>
          <w:color w:val="000000" w:themeColor="text1"/>
          <w:sz w:val="32"/>
          <w:szCs w:val="32"/>
        </w:rPr>
        <w:t>community</w:t>
      </w:r>
      <w:r w:rsidRPr="7325D919">
        <w:rPr>
          <w:rFonts w:ascii="Calibri" w:hAnsi="Calibri" w:eastAsia="Calibri" w:cs="Calibri"/>
          <w:color w:val="000000" w:themeColor="text1"/>
          <w:sz w:val="32"/>
          <w:szCs w:val="32"/>
        </w:rPr>
        <w:t xml:space="preserve"> in assisting the other companies across the global arena. Since DoTERRA Healing Hands Foundation has considered few actions in minimising, the social problem of lack of education proper sanitization child sex trafficking and many more, the foundation has considered excellent initiatives in reducing poverty and focusing on the access of proper employment scopes in facilitating poor and needy families. Considering my experience in reviewing the functional activities of DoTERRA Healing Hands Foundation, I have been extensively grateful in coming across such a Foundation whose aim is to sustain achievable goals in developing actions to reduce poverty from the world. Apart from that, the purpose of DoTERRA Healing Hands Foundation is to generate a sense of integrity and mutual respect among the community so that every person can get a chance to help each other (Wong et al., 2018). Facilitating financial assistance to small businesses and raising awareness regarding the importance of education, DoTERRA Healing Hands Foundation has come a long way in facilitating global population extensively. As per my view in future, the community foundation should focus on the development of sustainable goals that will help them in generating a positive impact in the environment by reducing pollution. In future, DoTERRA Healing Hands Foundation can also generate strategies to focus on the concept of recycling, reuse and reduce in generating campaigns to educate the population regarding the excessive utility of plastics and other non-biodegradable products that is affecting the increased rate of pollution in the environment. </w:t>
      </w:r>
    </w:p>
    <w:p w:rsidR="00653FF2" w:rsidP="6AD4CDEE" w:rsidRDefault="7FBCE126" w14:paraId="44CF83B7" w14:textId="6923A143">
      <w:pPr>
        <w:rPr>
          <w:rFonts w:ascii="Calibri" w:hAnsi="Calibri" w:eastAsia="Calibri" w:cs="Calibri"/>
          <w:b/>
          <w:bCs/>
          <w:color w:val="000000" w:themeColor="text1"/>
          <w:sz w:val="36"/>
          <w:szCs w:val="36"/>
        </w:rPr>
      </w:pPr>
      <w:r w:rsidRPr="6AD4CDEE">
        <w:rPr>
          <w:rFonts w:ascii="Calibri" w:hAnsi="Calibri" w:eastAsia="Calibri" w:cs="Calibri"/>
          <w:b/>
          <w:bCs/>
          <w:color w:val="000000" w:themeColor="text1"/>
          <w:sz w:val="36"/>
          <w:szCs w:val="36"/>
        </w:rPr>
        <w:t>Action Plan</w:t>
      </w:r>
    </w:p>
    <w:p w:rsidR="00653FF2" w:rsidP="49F615CE" w:rsidRDefault="7FBCE126" w14:paraId="2F5D0E44" w14:textId="05F16DD9">
      <w:pPr>
        <w:rPr>
          <w:rFonts w:ascii="Calibri" w:hAnsi="Calibri" w:eastAsia="Calibri" w:cs="Calibri"/>
          <w:color w:val="000000" w:themeColor="text1"/>
          <w:sz w:val="32"/>
          <w:szCs w:val="32"/>
        </w:rPr>
      </w:pPr>
      <w:r w:rsidRPr="49F615CE">
        <w:rPr>
          <w:rFonts w:ascii="Calibri" w:hAnsi="Calibri" w:eastAsia="Calibri" w:cs="Calibri"/>
          <w:color w:val="000000" w:themeColor="text1"/>
          <w:sz w:val="32"/>
          <w:szCs w:val="32"/>
        </w:rPr>
        <w:t>In future, I think the utility of renewable energy will help in reducing pollution in the environment by educating the population with their significant contribution. Using efficient energy sources to reduce pollution will also focus on the retention of sustainable approaches in benefiting the world in future. Since environmental pollution is an important social issue that is increasing the potential threats by increasing the rates of disease, with the utilisation of renewable energy the threats of the diseases will be minimised (Kline et al., 2018). DoTERRA Healing Hands Foundation in future can consider action plans that will help them in introducing strategies to minimise the impact of environmental hazards. Further with the generation of awareness campaigns to educate the population regarding the utilisation of renewable energy, which can bring a change in society. In addition to that DoTERRA, Healing Hands Foundation can also fund for the education programs that will include topics of renewable energy among the children. Considering the significant contribution of the DoTERRA Healing Hands Foundation in addressing social issues, it is essential to consider future strategies that will help in minimizing the occurrence of the issues in future.</w:t>
      </w:r>
    </w:p>
    <w:p w:rsidR="00653FF2" w:rsidP="49F615CE" w:rsidRDefault="0AD36B17" w14:paraId="2F676737" w14:textId="59EFB836">
      <w:r w:rsidRPr="63BC4DD7" w:rsidR="43F950BE">
        <w:rPr>
          <w:rFonts w:ascii="Calibri" w:hAnsi="Calibri" w:eastAsia="Calibri" w:cs="Calibri"/>
          <w:b w:val="1"/>
          <w:bCs w:val="1"/>
          <w:color w:val="000000" w:themeColor="text1" w:themeTint="FF" w:themeShade="FF"/>
          <w:sz w:val="36"/>
          <w:szCs w:val="36"/>
        </w:rPr>
        <w:t>4.</w:t>
      </w:r>
      <w:r w:rsidRPr="63BC4DD7" w:rsidR="29133826">
        <w:rPr>
          <w:rFonts w:ascii="Calibri" w:hAnsi="Calibri" w:eastAsia="Calibri" w:cs="Calibri"/>
          <w:b w:val="1"/>
          <w:bCs w:val="1"/>
          <w:color w:val="000000" w:themeColor="text1" w:themeTint="FF" w:themeShade="FF"/>
          <w:sz w:val="36"/>
          <w:szCs w:val="36"/>
        </w:rPr>
        <w:t xml:space="preserve"> </w:t>
      </w:r>
      <w:r w:rsidRPr="63BC4DD7" w:rsidR="327E0F17">
        <w:rPr>
          <w:rFonts w:ascii="Calibri" w:hAnsi="Calibri" w:eastAsia="Calibri" w:cs="Calibri"/>
          <w:b w:val="1"/>
          <w:bCs w:val="1"/>
          <w:color w:val="000000" w:themeColor="text1" w:themeTint="FF" w:themeShade="FF"/>
          <w:sz w:val="36"/>
          <w:szCs w:val="36"/>
        </w:rPr>
        <w:t>S</w:t>
      </w:r>
      <w:r w:rsidRPr="63BC4DD7" w:rsidR="29133826">
        <w:rPr>
          <w:rFonts w:ascii="Calibri" w:hAnsi="Calibri" w:eastAsia="Calibri" w:cs="Calibri"/>
          <w:b w:val="1"/>
          <w:bCs w:val="1"/>
          <w:color w:val="000000" w:themeColor="text1" w:themeTint="FF" w:themeShade="FF"/>
          <w:sz w:val="36"/>
          <w:szCs w:val="36"/>
        </w:rPr>
        <w:t>takeholder’s participation</w:t>
      </w:r>
    </w:p>
    <w:p w:rsidR="00653FF2" w:rsidP="63BC4DD7" w:rsidRDefault="49302583" w14:paraId="514C142C" w14:textId="586B593F">
      <w:pPr>
        <w:pStyle w:val="Normal"/>
      </w:pPr>
      <w:proofErr w:type="spellStart"/>
      <w:r w:rsidRPr="63BC4DD7" w:rsidR="3DC62A2A">
        <w:rPr>
          <w:rFonts w:ascii="Calibri" w:hAnsi="Calibri" w:eastAsia="Calibri" w:cs="Calibri"/>
          <w:b w:val="0"/>
          <w:bCs w:val="0"/>
          <w:i w:val="0"/>
          <w:iCs w:val="0"/>
          <w:noProof w:val="0"/>
          <w:color w:val="000000" w:themeColor="text1" w:themeTint="FF" w:themeShade="FF"/>
          <w:sz w:val="32"/>
          <w:szCs w:val="32"/>
          <w:lang w:val="en-GB"/>
        </w:rPr>
        <w:t>DoTERRA</w:t>
      </w:r>
      <w:proofErr w:type="spellEnd"/>
      <w:r w:rsidRPr="63BC4DD7" w:rsidR="3DC62A2A">
        <w:rPr>
          <w:rFonts w:ascii="Calibri" w:hAnsi="Calibri" w:eastAsia="Calibri" w:cs="Calibri"/>
          <w:b w:val="0"/>
          <w:bCs w:val="0"/>
          <w:i w:val="0"/>
          <w:iCs w:val="0"/>
          <w:noProof w:val="0"/>
          <w:color w:val="000000" w:themeColor="text1" w:themeTint="FF" w:themeShade="FF"/>
          <w:sz w:val="32"/>
          <w:szCs w:val="32"/>
          <w:lang w:val="en-GB"/>
        </w:rPr>
        <w:t xml:space="preserve"> acknowledges that the well-being of societies surrounding sourcing partners is vital to the long-term sustainability of critical oil supplies.</w:t>
      </w:r>
      <w:r w:rsidRPr="63BC4DD7" w:rsidR="6A4892DF">
        <w:rPr>
          <w:rFonts w:ascii="Calibri" w:hAnsi="Calibri" w:eastAsia="Calibri" w:cs="Calibri"/>
          <w:sz w:val="32"/>
          <w:szCs w:val="32"/>
        </w:rPr>
        <w:t xml:space="preserve"> </w:t>
      </w:r>
      <w:r w:rsidRPr="63BC4DD7" w:rsidR="29133826">
        <w:rPr>
          <w:rFonts w:ascii="Calibri" w:hAnsi="Calibri" w:eastAsia="Calibri" w:cs="Calibri"/>
          <w:color w:val="000000" w:themeColor="text1" w:themeTint="FF" w:themeShade="FF"/>
          <w:sz w:val="32"/>
          <w:szCs w:val="32"/>
        </w:rPr>
        <w:t xml:space="preserve">The main stakeholders of </w:t>
      </w:r>
      <w:proofErr w:type="spellStart"/>
      <w:r w:rsidRPr="63BC4DD7" w:rsidR="29133826">
        <w:rPr>
          <w:rFonts w:ascii="Calibri" w:hAnsi="Calibri" w:eastAsia="Calibri" w:cs="Calibri"/>
          <w:color w:val="000000" w:themeColor="text1" w:themeTint="FF" w:themeShade="FF"/>
          <w:sz w:val="32"/>
          <w:szCs w:val="32"/>
        </w:rPr>
        <w:t>DoTERRA</w:t>
      </w:r>
      <w:proofErr w:type="spellEnd"/>
      <w:r w:rsidRPr="63BC4DD7" w:rsidR="29133826">
        <w:rPr>
          <w:rFonts w:ascii="Calibri" w:hAnsi="Calibri" w:eastAsia="Calibri" w:cs="Calibri"/>
          <w:color w:val="000000" w:themeColor="text1" w:themeTint="FF" w:themeShade="FF"/>
          <w:sz w:val="32"/>
          <w:szCs w:val="32"/>
        </w:rPr>
        <w:t xml:space="preserve"> Healing Hands Foundation are the investors who help in strengthening the funding measures by raising funds to extend their hands in minimising the social problems. Currently, Mentors International is one of the eminent stakeholders of </w:t>
      </w:r>
      <w:proofErr w:type="spellStart"/>
      <w:r w:rsidRPr="63BC4DD7" w:rsidR="29133826">
        <w:rPr>
          <w:rFonts w:ascii="Calibri" w:hAnsi="Calibri" w:eastAsia="Calibri" w:cs="Calibri"/>
          <w:color w:val="000000" w:themeColor="text1" w:themeTint="FF" w:themeShade="FF"/>
          <w:sz w:val="32"/>
          <w:szCs w:val="32"/>
        </w:rPr>
        <w:t>DoTERRA</w:t>
      </w:r>
      <w:proofErr w:type="spellEnd"/>
      <w:r w:rsidRPr="63BC4DD7" w:rsidR="29133826">
        <w:rPr>
          <w:rFonts w:ascii="Calibri" w:hAnsi="Calibri" w:eastAsia="Calibri" w:cs="Calibri"/>
          <w:color w:val="000000" w:themeColor="text1" w:themeTint="FF" w:themeShade="FF"/>
          <w:sz w:val="32"/>
          <w:szCs w:val="32"/>
        </w:rPr>
        <w:t xml:space="preserve"> Healing Hands Foundation who is actively participating in providing financial assistance to small businesses by accessing the funding opportunities in helping business owners and entrepreneurs (Pratt et al., 2020). </w:t>
      </w:r>
      <w:proofErr w:type="spellStart"/>
      <w:r w:rsidRPr="63BC4DD7" w:rsidR="29133826">
        <w:rPr>
          <w:rFonts w:ascii="Calibri" w:hAnsi="Calibri" w:eastAsia="Calibri" w:cs="Calibri"/>
          <w:color w:val="000000" w:themeColor="text1" w:themeTint="FF" w:themeShade="FF"/>
          <w:sz w:val="32"/>
          <w:szCs w:val="32"/>
        </w:rPr>
        <w:t>DoTERRA</w:t>
      </w:r>
      <w:proofErr w:type="spellEnd"/>
      <w:r w:rsidRPr="63BC4DD7" w:rsidR="29133826">
        <w:rPr>
          <w:rFonts w:ascii="Calibri" w:hAnsi="Calibri" w:eastAsia="Calibri" w:cs="Calibri"/>
          <w:color w:val="000000" w:themeColor="text1" w:themeTint="FF" w:themeShade="FF"/>
          <w:sz w:val="32"/>
          <w:szCs w:val="32"/>
        </w:rPr>
        <w:t xml:space="preserve"> Healing Hands Foundation with Mentors International is also participating in building up a community through economic stability.  The Other stakeholders of </w:t>
      </w:r>
      <w:proofErr w:type="spellStart"/>
      <w:r w:rsidRPr="63BC4DD7" w:rsidR="29133826">
        <w:rPr>
          <w:rFonts w:ascii="Calibri" w:hAnsi="Calibri" w:eastAsia="Calibri" w:cs="Calibri"/>
          <w:color w:val="000000" w:themeColor="text1" w:themeTint="FF" w:themeShade="FF"/>
          <w:sz w:val="32"/>
          <w:szCs w:val="32"/>
        </w:rPr>
        <w:t>DoTERRA</w:t>
      </w:r>
      <w:proofErr w:type="spellEnd"/>
      <w:r w:rsidRPr="63BC4DD7" w:rsidR="29133826">
        <w:rPr>
          <w:rFonts w:ascii="Calibri" w:hAnsi="Calibri" w:eastAsia="Calibri" w:cs="Calibri"/>
          <w:color w:val="000000" w:themeColor="text1" w:themeTint="FF" w:themeShade="FF"/>
          <w:sz w:val="32"/>
          <w:szCs w:val="32"/>
        </w:rPr>
        <w:t xml:space="preserve"> Healing Hands Foundation are Days for Girls International, 3Strands Global, and Rapha International. Collaborating with Days for Girls International, </w:t>
      </w:r>
      <w:proofErr w:type="spellStart"/>
      <w:r w:rsidRPr="63BC4DD7" w:rsidR="29133826">
        <w:rPr>
          <w:rFonts w:ascii="Calibri" w:hAnsi="Calibri" w:eastAsia="Calibri" w:cs="Calibri"/>
          <w:color w:val="000000" w:themeColor="text1" w:themeTint="FF" w:themeShade="FF"/>
          <w:sz w:val="32"/>
          <w:szCs w:val="32"/>
        </w:rPr>
        <w:t>DoTERRA</w:t>
      </w:r>
      <w:proofErr w:type="spellEnd"/>
      <w:r w:rsidRPr="63BC4DD7" w:rsidR="29133826">
        <w:rPr>
          <w:rFonts w:ascii="Calibri" w:hAnsi="Calibri" w:eastAsia="Calibri" w:cs="Calibri"/>
          <w:color w:val="000000" w:themeColor="text1" w:themeTint="FF" w:themeShade="FF"/>
          <w:sz w:val="32"/>
          <w:szCs w:val="32"/>
        </w:rPr>
        <w:t xml:space="preserve"> Healing Hands Foundation is actively participating in empowering women and girls through menstrual education and sustainable health approaches in improving the health qualities. Generating education </w:t>
      </w:r>
      <w:r w:rsidRPr="63BC4DD7" w:rsidR="10C70311">
        <w:rPr>
          <w:rFonts w:ascii="Calibri" w:hAnsi="Calibri" w:eastAsia="Calibri" w:cs="Calibri"/>
          <w:color w:val="000000" w:themeColor="text1" w:themeTint="FF" w:themeShade="FF"/>
          <w:sz w:val="32"/>
          <w:szCs w:val="32"/>
        </w:rPr>
        <w:t>programs,</w:t>
      </w:r>
      <w:r w:rsidRPr="63BC4DD7" w:rsidR="29133826">
        <w:rPr>
          <w:rFonts w:ascii="Calibri" w:hAnsi="Calibri" w:eastAsia="Calibri" w:cs="Calibri"/>
          <w:color w:val="000000" w:themeColor="text1" w:themeTint="FF" w:themeShade="FF"/>
          <w:sz w:val="32"/>
          <w:szCs w:val="32"/>
        </w:rPr>
        <w:t xml:space="preserve"> </w:t>
      </w:r>
      <w:r w:rsidRPr="63BC4DD7" w:rsidR="73DCBBF4">
        <w:rPr>
          <w:rFonts w:ascii="Calibri" w:hAnsi="Calibri" w:eastAsia="Calibri" w:cs="Calibri"/>
          <w:color w:val="000000" w:themeColor="text1" w:themeTint="FF" w:themeShade="FF"/>
          <w:sz w:val="32"/>
          <w:szCs w:val="32"/>
        </w:rPr>
        <w:t>the</w:t>
      </w:r>
      <w:r w:rsidRPr="63BC4DD7" w:rsidR="29133826">
        <w:rPr>
          <w:rFonts w:ascii="Calibri" w:hAnsi="Calibri" w:eastAsia="Calibri" w:cs="Calibri"/>
          <w:color w:val="000000" w:themeColor="text1" w:themeTint="FF" w:themeShade="FF"/>
          <w:sz w:val="32"/>
          <w:szCs w:val="32"/>
        </w:rPr>
        <w:t xml:space="preserve"> community are actively participating in generating awareness of proper sanitization during the menstrual cycle. While 3Strands Global is an anti-trafficking organisation that has collaborated with </w:t>
      </w:r>
      <w:proofErr w:type="spellStart"/>
      <w:r w:rsidRPr="63BC4DD7" w:rsidR="29133826">
        <w:rPr>
          <w:rFonts w:ascii="Calibri" w:hAnsi="Calibri" w:eastAsia="Calibri" w:cs="Calibri"/>
          <w:color w:val="000000" w:themeColor="text1" w:themeTint="FF" w:themeShade="FF"/>
          <w:sz w:val="32"/>
          <w:szCs w:val="32"/>
        </w:rPr>
        <w:t>DoTERRA</w:t>
      </w:r>
      <w:proofErr w:type="spellEnd"/>
      <w:r w:rsidRPr="63BC4DD7" w:rsidR="29133826">
        <w:rPr>
          <w:rFonts w:ascii="Calibri" w:hAnsi="Calibri" w:eastAsia="Calibri" w:cs="Calibri"/>
          <w:color w:val="000000" w:themeColor="text1" w:themeTint="FF" w:themeShade="FF"/>
          <w:sz w:val="32"/>
          <w:szCs w:val="32"/>
        </w:rPr>
        <w:t xml:space="preserve"> Healing Hands Foundation in reducing sex trafficking, Rapha International has collaborated with </w:t>
      </w:r>
      <w:proofErr w:type="spellStart"/>
      <w:r w:rsidRPr="63BC4DD7" w:rsidR="29133826">
        <w:rPr>
          <w:rFonts w:ascii="Calibri" w:hAnsi="Calibri" w:eastAsia="Calibri" w:cs="Calibri"/>
          <w:color w:val="000000" w:themeColor="text1" w:themeTint="FF" w:themeShade="FF"/>
          <w:sz w:val="32"/>
          <w:szCs w:val="32"/>
        </w:rPr>
        <w:t>DoTERRA</w:t>
      </w:r>
      <w:proofErr w:type="spellEnd"/>
      <w:r w:rsidRPr="63BC4DD7" w:rsidR="29133826">
        <w:rPr>
          <w:rFonts w:ascii="Calibri" w:hAnsi="Calibri" w:eastAsia="Calibri" w:cs="Calibri"/>
          <w:color w:val="000000" w:themeColor="text1" w:themeTint="FF" w:themeShade="FF"/>
          <w:sz w:val="32"/>
          <w:szCs w:val="32"/>
        </w:rPr>
        <w:t xml:space="preserve"> Healing Hands Foundation for building mental hope and peace for sex trafficking survivors.</w:t>
      </w:r>
      <w:r w:rsidRPr="63BC4DD7" w:rsidR="29133826">
        <w:rPr>
          <w:rFonts w:ascii="Calibri" w:hAnsi="Calibri" w:eastAsia="Calibri" w:cs="Calibri"/>
          <w:b w:val="1"/>
          <w:bCs w:val="1"/>
          <w:color w:val="000000" w:themeColor="text1" w:themeTint="FF" w:themeShade="FF"/>
          <w:sz w:val="48"/>
          <w:szCs w:val="48"/>
        </w:rPr>
        <w:t xml:space="preserve"> </w:t>
      </w:r>
    </w:p>
    <w:p w:rsidR="00653FF2" w:rsidP="49F615CE" w:rsidRDefault="68DCE231" w14:paraId="369844C6" w14:textId="2E12EDC3">
      <w:pPr>
        <w:rPr>
          <w:rFonts w:ascii="Calibri" w:hAnsi="Calibri" w:eastAsia="Calibri" w:cs="Calibri"/>
          <w:b/>
          <w:bCs/>
          <w:color w:val="000000" w:themeColor="text1"/>
          <w:sz w:val="36"/>
          <w:szCs w:val="36"/>
        </w:rPr>
      </w:pPr>
      <w:r w:rsidRPr="49F615CE">
        <w:rPr>
          <w:rFonts w:ascii="Calibri" w:hAnsi="Calibri" w:eastAsia="Calibri" w:cs="Calibri"/>
          <w:b/>
          <w:bCs/>
          <w:color w:val="000000" w:themeColor="text1"/>
          <w:sz w:val="36"/>
          <w:szCs w:val="36"/>
        </w:rPr>
        <w:t>5.</w:t>
      </w:r>
      <w:r w:rsidRPr="49F615CE" w:rsidR="7FBCE126">
        <w:rPr>
          <w:rFonts w:ascii="Calibri" w:hAnsi="Calibri" w:eastAsia="Calibri" w:cs="Calibri"/>
          <w:b/>
          <w:bCs/>
          <w:color w:val="000000" w:themeColor="text1"/>
          <w:sz w:val="36"/>
          <w:szCs w:val="36"/>
        </w:rPr>
        <w:t>Conclusion</w:t>
      </w:r>
    </w:p>
    <w:p w:rsidR="00653FF2" w:rsidP="49F615CE" w:rsidRDefault="7FBCE126" w14:paraId="6D2033DE" w14:textId="755C313A">
      <w:r w:rsidRPr="49F615CE">
        <w:rPr>
          <w:rFonts w:ascii="Calibri" w:hAnsi="Calibri" w:eastAsia="Calibri" w:cs="Calibri"/>
          <w:color w:val="000000" w:themeColor="text1"/>
          <w:sz w:val="32"/>
          <w:szCs w:val="32"/>
        </w:rPr>
        <w:t>Considering the active participation of DoTERRA Healing Hands Foundation in developing partnerships and collaborative approaches with their important stakeholders, the community has developed several agendas and awareness programs in reducing the impact of social problems. Focusing on the significant contribution of community engagement, this report has shed light on Gibbs reflective cycle that has explained my journey and experience while reviewing the administrative activities of DoTERRA Healing Hands Foundation. In the future can focus on the implementation of strategies that will help them in reducing the impact of potential threats that have been caused by environmental pollution. Raising awareness to educate the population regarding the utility of renewable energy sources, DoTERRA Healing Hands Foundation will be able to sustain their functional measures in contributing a positive impact by minimising the risks of social problems.</w:t>
      </w:r>
      <w:r w:rsidRPr="49F615CE">
        <w:rPr>
          <w:rFonts w:ascii="Calibri" w:hAnsi="Calibri" w:eastAsia="Calibri" w:cs="Calibri"/>
          <w:b/>
          <w:bCs/>
          <w:color w:val="000000" w:themeColor="text1"/>
          <w:sz w:val="48"/>
          <w:szCs w:val="48"/>
        </w:rPr>
        <w:t xml:space="preserve"> </w:t>
      </w:r>
    </w:p>
    <w:p w:rsidR="00653FF2" w:rsidP="49F615CE" w:rsidRDefault="5DDCE309" w14:paraId="3167A287" w14:textId="0905DA21">
      <w:pPr>
        <w:rPr>
          <w:rFonts w:ascii="Calibri" w:hAnsi="Calibri" w:eastAsia="Calibri" w:cs="Calibri"/>
          <w:b/>
          <w:bCs/>
          <w:color w:val="000000" w:themeColor="text1"/>
          <w:sz w:val="36"/>
          <w:szCs w:val="36"/>
        </w:rPr>
      </w:pPr>
      <w:r w:rsidRPr="49F615CE">
        <w:rPr>
          <w:rFonts w:ascii="Calibri" w:hAnsi="Calibri" w:eastAsia="Calibri" w:cs="Calibri"/>
          <w:b/>
          <w:bCs/>
          <w:color w:val="000000" w:themeColor="text1"/>
          <w:sz w:val="36"/>
          <w:szCs w:val="36"/>
        </w:rPr>
        <w:t>6.</w:t>
      </w:r>
      <w:r w:rsidRPr="49F615CE" w:rsidR="7FBCE126">
        <w:rPr>
          <w:rFonts w:ascii="Calibri" w:hAnsi="Calibri" w:eastAsia="Calibri" w:cs="Calibri"/>
          <w:b/>
          <w:bCs/>
          <w:color w:val="000000" w:themeColor="text1"/>
          <w:sz w:val="36"/>
          <w:szCs w:val="36"/>
        </w:rPr>
        <w:t>References</w:t>
      </w:r>
    </w:p>
    <w:p w:rsidR="00653FF2" w:rsidP="0BD58861" w:rsidRDefault="67BB3169" w14:paraId="01F4AF51" w14:textId="367F8399">
      <w:pPr>
        <w:rPr>
          <w:i/>
          <w:iCs/>
          <w:sz w:val="24"/>
          <w:szCs w:val="24"/>
        </w:rPr>
      </w:pPr>
      <w:r w:rsidRPr="0BD58861">
        <w:rPr>
          <w:rFonts w:ascii="Calibri" w:hAnsi="Calibri" w:eastAsia="Calibri" w:cs="Calibri"/>
          <w:i/>
          <w:iCs/>
          <w:color w:val="000000" w:themeColor="text1"/>
          <w:sz w:val="24"/>
          <w:szCs w:val="24"/>
        </w:rPr>
        <w:t>1.</w:t>
      </w:r>
      <w:r w:rsidRPr="0BD58861" w:rsidR="7FBCE126">
        <w:rPr>
          <w:rFonts w:ascii="Calibri" w:hAnsi="Calibri" w:eastAsia="Calibri" w:cs="Calibri"/>
          <w:i/>
          <w:iCs/>
          <w:color w:val="000000" w:themeColor="text1"/>
          <w:sz w:val="24"/>
          <w:szCs w:val="24"/>
        </w:rPr>
        <w:t xml:space="preserve">Adhikari, B., Pell, C., Phommasone, K., Soundala, X., Kommarasy, P., Pongvongsa, T., Henriques, G., Day, N.P., Mayxay, M. and Cheah, P.Y., 2017. Elements of effective community engagement: lessons from a targeted malaria elimination study in Lao PDR (Laos). Global health action, </w:t>
      </w:r>
      <w:r w:rsidRPr="0BD58861" w:rsidR="366E1647">
        <w:rPr>
          <w:rFonts w:ascii="Calibri" w:hAnsi="Calibri" w:eastAsia="Calibri" w:cs="Calibri"/>
          <w:i/>
          <w:iCs/>
          <w:color w:val="000000" w:themeColor="text1"/>
          <w:sz w:val="24"/>
          <w:szCs w:val="24"/>
        </w:rPr>
        <w:t>Available at:</w:t>
      </w:r>
      <w:r w:rsidRPr="0BD58861" w:rsidR="7FBCE126">
        <w:rPr>
          <w:rFonts w:ascii="Calibri" w:hAnsi="Calibri" w:eastAsia="Calibri" w:cs="Calibri"/>
          <w:i/>
          <w:iCs/>
          <w:color w:val="000000" w:themeColor="text1"/>
          <w:sz w:val="24"/>
          <w:szCs w:val="24"/>
        </w:rPr>
        <w:t xml:space="preserve"> https://www.tandfonline.com/doi/pdf/10.1080/16549716.2017.1366136?needAccess=true</w:t>
      </w:r>
    </w:p>
    <w:p w:rsidR="00653FF2" w:rsidP="0BD58861" w:rsidRDefault="50143D9B" w14:paraId="2076A13F" w14:textId="7F4D7DED">
      <w:pPr>
        <w:rPr>
          <w:i/>
          <w:iCs/>
          <w:sz w:val="24"/>
          <w:szCs w:val="24"/>
        </w:rPr>
      </w:pPr>
      <w:r w:rsidRPr="0BD58861">
        <w:rPr>
          <w:rFonts w:ascii="Calibri" w:hAnsi="Calibri" w:eastAsia="Calibri" w:cs="Calibri"/>
          <w:i/>
          <w:iCs/>
          <w:color w:val="000000" w:themeColor="text1"/>
          <w:sz w:val="24"/>
          <w:szCs w:val="24"/>
        </w:rPr>
        <w:t>2.</w:t>
      </w:r>
      <w:r w:rsidRPr="0BD58861" w:rsidR="7FBCE126">
        <w:rPr>
          <w:rFonts w:ascii="Calibri" w:hAnsi="Calibri" w:eastAsia="Calibri" w:cs="Calibri"/>
          <w:i/>
          <w:iCs/>
          <w:color w:val="000000" w:themeColor="text1"/>
          <w:sz w:val="24"/>
          <w:szCs w:val="24"/>
        </w:rPr>
        <w:t>Corbett, E. and Le Dantec, C.A., 2018, April. The problem of community engagement: Disentangling the practices of municipal government. In Proceedings of the 2018 CHI conference on human factors in computing systems (pp. 1-13).</w:t>
      </w:r>
      <w:r w:rsidRPr="0BD58861" w:rsidR="52B939E5">
        <w:rPr>
          <w:rFonts w:ascii="Calibri" w:hAnsi="Calibri" w:eastAsia="Calibri" w:cs="Calibri"/>
          <w:i/>
          <w:iCs/>
          <w:color w:val="000000" w:themeColor="text1"/>
          <w:sz w:val="24"/>
          <w:szCs w:val="24"/>
        </w:rPr>
        <w:t xml:space="preserve"> Available at:</w:t>
      </w:r>
      <w:r w:rsidRPr="0BD58861" w:rsidR="7FBCE126">
        <w:rPr>
          <w:rFonts w:ascii="Calibri" w:hAnsi="Calibri" w:eastAsia="Calibri" w:cs="Calibri"/>
          <w:i/>
          <w:iCs/>
          <w:color w:val="000000" w:themeColor="text1"/>
          <w:sz w:val="24"/>
          <w:szCs w:val="24"/>
        </w:rPr>
        <w:t xml:space="preserve"> https://dl.acm.org/doi/pdf/10.1145/3173574.3174148</w:t>
      </w:r>
    </w:p>
    <w:p w:rsidR="00653FF2" w:rsidP="0BD58861" w:rsidRDefault="388B7583" w14:paraId="3DE4A76E" w14:textId="71B61839">
      <w:pPr>
        <w:rPr>
          <w:rFonts w:ascii="Calibri" w:hAnsi="Calibri" w:eastAsia="Calibri" w:cs="Calibri"/>
          <w:i/>
          <w:iCs/>
          <w:color w:val="000000" w:themeColor="text1"/>
          <w:sz w:val="24"/>
          <w:szCs w:val="24"/>
        </w:rPr>
      </w:pPr>
      <w:r w:rsidRPr="0BD58861">
        <w:rPr>
          <w:rFonts w:ascii="Calibri" w:hAnsi="Calibri" w:eastAsia="Calibri" w:cs="Calibri"/>
          <w:i/>
          <w:iCs/>
          <w:color w:val="000000" w:themeColor="text1"/>
          <w:sz w:val="24"/>
          <w:szCs w:val="24"/>
        </w:rPr>
        <w:t>3.</w:t>
      </w:r>
      <w:r w:rsidRPr="0BD58861" w:rsidR="7FBCE126">
        <w:rPr>
          <w:rFonts w:ascii="Calibri" w:hAnsi="Calibri" w:eastAsia="Calibri" w:cs="Calibri"/>
          <w:i/>
          <w:iCs/>
          <w:color w:val="000000" w:themeColor="text1"/>
          <w:sz w:val="24"/>
          <w:szCs w:val="24"/>
        </w:rPr>
        <w:t xml:space="preserve">De Weger, E., Van Vooren, N., Luijkx, K.G., Baan, C.A. and Drewes, H.W., 2018. Achieving successful community engagement: a rapid realist review. BMC health services </w:t>
      </w:r>
      <w:r w:rsidRPr="0BD58861" w:rsidR="554951FB">
        <w:rPr>
          <w:rFonts w:ascii="Calibri" w:hAnsi="Calibri" w:eastAsia="Calibri" w:cs="Calibri"/>
          <w:i/>
          <w:iCs/>
          <w:color w:val="000000" w:themeColor="text1"/>
          <w:sz w:val="24"/>
          <w:szCs w:val="24"/>
        </w:rPr>
        <w:t>research,</w:t>
      </w:r>
      <w:r w:rsidRPr="0BD58861" w:rsidR="3CD4ACAB">
        <w:rPr>
          <w:rFonts w:ascii="Calibri" w:hAnsi="Calibri" w:eastAsia="Calibri" w:cs="Calibri"/>
          <w:i/>
          <w:iCs/>
          <w:color w:val="000000" w:themeColor="text1"/>
          <w:sz w:val="24"/>
          <w:szCs w:val="24"/>
        </w:rPr>
        <w:t xml:space="preserve"> Available at:</w:t>
      </w:r>
      <w:r w:rsidRPr="0BD58861" w:rsidR="554951FB">
        <w:rPr>
          <w:rFonts w:ascii="Calibri" w:hAnsi="Calibri" w:eastAsia="Calibri" w:cs="Calibri"/>
          <w:i/>
          <w:iCs/>
          <w:color w:val="000000" w:themeColor="text1"/>
          <w:sz w:val="24"/>
          <w:szCs w:val="24"/>
        </w:rPr>
        <w:t xml:space="preserve"> https://bmchealthservres.biomedcentral.com/articles/10.1186/s12913-018-3090-1</w:t>
      </w:r>
    </w:p>
    <w:p w:rsidR="00653FF2" w:rsidP="0BD58861" w:rsidRDefault="554951FB" w14:paraId="3F89FF77" w14:textId="55EE8E64">
      <w:pPr>
        <w:rPr>
          <w:i/>
          <w:iCs/>
          <w:sz w:val="24"/>
          <w:szCs w:val="24"/>
        </w:rPr>
      </w:pPr>
      <w:r w:rsidRPr="0BD58861">
        <w:rPr>
          <w:rFonts w:ascii="Calibri" w:hAnsi="Calibri" w:eastAsia="Calibri" w:cs="Calibri"/>
          <w:i/>
          <w:iCs/>
          <w:color w:val="000000" w:themeColor="text1"/>
          <w:sz w:val="24"/>
          <w:szCs w:val="24"/>
        </w:rPr>
        <w:t>4.</w:t>
      </w:r>
      <w:r w:rsidRPr="0BD58861" w:rsidR="7FBCE126">
        <w:rPr>
          <w:rFonts w:ascii="Calibri" w:hAnsi="Calibri" w:eastAsia="Calibri" w:cs="Calibri"/>
          <w:i/>
          <w:iCs/>
          <w:color w:val="000000" w:themeColor="text1"/>
          <w:sz w:val="24"/>
          <w:szCs w:val="24"/>
        </w:rPr>
        <w:t xml:space="preserve">Kline, C., Asadian, W., Godolphin, W., Graham, S., Hewitt, C. and Towle, A., 2018. From “academic projectitis” to partnership: community perspectives for authentic community engagement in health professional education. Engaged Scholar Journal: Community-Engaged Research, Teaching, and Learning, </w:t>
      </w:r>
      <w:r w:rsidRPr="0BD58861" w:rsidR="7DB516E7">
        <w:rPr>
          <w:rFonts w:ascii="Calibri" w:hAnsi="Calibri" w:eastAsia="Calibri" w:cs="Calibri"/>
          <w:i/>
          <w:iCs/>
          <w:color w:val="000000" w:themeColor="text1"/>
          <w:sz w:val="24"/>
          <w:szCs w:val="24"/>
        </w:rPr>
        <w:t>Available at:</w:t>
      </w:r>
      <w:r w:rsidRPr="0BD58861" w:rsidR="7FBCE126">
        <w:rPr>
          <w:rFonts w:ascii="Calibri" w:hAnsi="Calibri" w:eastAsia="Calibri" w:cs="Calibri"/>
          <w:i/>
          <w:iCs/>
          <w:color w:val="000000" w:themeColor="text1"/>
          <w:sz w:val="24"/>
          <w:szCs w:val="24"/>
        </w:rPr>
        <w:t xml:space="preserve"> </w:t>
      </w:r>
      <w:r w:rsidRPr="0BD58861" w:rsidR="588B48E2">
        <w:rPr>
          <w:rFonts w:ascii="Calibri" w:hAnsi="Calibri" w:eastAsia="Calibri" w:cs="Calibri"/>
          <w:i/>
          <w:iCs/>
          <w:color w:val="000000" w:themeColor="text1"/>
          <w:sz w:val="24"/>
          <w:szCs w:val="24"/>
        </w:rPr>
        <w:t>https://www.researchgate.net/publication/330889693_From_Academic_Projectitis_to_Partnership_Community_Perspectives_for_Authentic_Community_Engagement_in_Health_Professional_Education</w:t>
      </w:r>
    </w:p>
    <w:p w:rsidR="00653FF2" w:rsidP="0BD58861" w:rsidRDefault="17DDE81C" w14:paraId="72DCB428" w14:textId="6FA64DFE">
      <w:pPr>
        <w:rPr>
          <w:i/>
          <w:iCs/>
          <w:sz w:val="24"/>
          <w:szCs w:val="24"/>
        </w:rPr>
      </w:pPr>
      <w:r w:rsidRPr="0BD58861">
        <w:rPr>
          <w:rFonts w:ascii="Calibri" w:hAnsi="Calibri" w:eastAsia="Calibri" w:cs="Calibri"/>
          <w:i/>
          <w:iCs/>
          <w:color w:val="000000" w:themeColor="text1"/>
          <w:sz w:val="24"/>
          <w:szCs w:val="24"/>
        </w:rPr>
        <w:t>5.</w:t>
      </w:r>
      <w:r w:rsidRPr="0BD58861" w:rsidR="7FBCE126">
        <w:rPr>
          <w:rFonts w:ascii="Calibri" w:hAnsi="Calibri" w:eastAsia="Calibri" w:cs="Calibri"/>
          <w:i/>
          <w:iCs/>
          <w:color w:val="000000" w:themeColor="text1"/>
          <w:sz w:val="24"/>
          <w:szCs w:val="24"/>
        </w:rPr>
        <w:t xml:space="preserve">McMullen, J.M., George, M., Ingman, B.C., Pulling Kuhn, A., Graham, D.J. and Carson, R.L., 2020. A systematic review of community engagement outcomes research in school‐based health interventions. Journal of School Health, </w:t>
      </w:r>
      <w:r w:rsidRPr="0BD58861" w:rsidR="4BC5A3D4">
        <w:rPr>
          <w:rFonts w:ascii="Calibri" w:hAnsi="Calibri" w:eastAsia="Calibri" w:cs="Calibri"/>
          <w:i/>
          <w:iCs/>
          <w:color w:val="000000" w:themeColor="text1"/>
          <w:sz w:val="24"/>
          <w:szCs w:val="24"/>
        </w:rPr>
        <w:t>Available at:</w:t>
      </w:r>
      <w:r w:rsidRPr="0BD58861" w:rsidR="7FBCE126">
        <w:rPr>
          <w:rFonts w:ascii="Calibri" w:hAnsi="Calibri" w:eastAsia="Calibri" w:cs="Calibri"/>
          <w:i/>
          <w:iCs/>
          <w:color w:val="000000" w:themeColor="text1"/>
          <w:sz w:val="24"/>
          <w:szCs w:val="24"/>
        </w:rPr>
        <w:t xml:space="preserve"> </w:t>
      </w:r>
      <w:r w:rsidRPr="0BD58861" w:rsidR="06060312">
        <w:rPr>
          <w:rFonts w:ascii="Calibri" w:hAnsi="Calibri" w:eastAsia="Calibri" w:cs="Calibri"/>
          <w:i/>
          <w:iCs/>
          <w:color w:val="000000" w:themeColor="text1"/>
          <w:sz w:val="24"/>
          <w:szCs w:val="24"/>
        </w:rPr>
        <w:t>https://onlinelibrary.wiley.com/doi/pdf/10.1111/josh.12962</w:t>
      </w:r>
    </w:p>
    <w:p w:rsidR="00653FF2" w:rsidP="0BD58861" w:rsidRDefault="17CC32F3" w14:paraId="2301F9D7" w14:textId="537991A7">
      <w:pPr>
        <w:rPr>
          <w:rFonts w:ascii="Calibri" w:hAnsi="Calibri" w:eastAsia="Calibri" w:cs="Calibri"/>
          <w:i/>
          <w:iCs/>
          <w:color w:val="000000" w:themeColor="text1"/>
          <w:sz w:val="24"/>
          <w:szCs w:val="24"/>
        </w:rPr>
      </w:pPr>
      <w:r w:rsidRPr="0BD58861">
        <w:rPr>
          <w:rFonts w:ascii="Calibri" w:hAnsi="Calibri" w:eastAsia="Calibri" w:cs="Calibri"/>
          <w:i/>
          <w:iCs/>
          <w:color w:val="000000" w:themeColor="text1"/>
          <w:sz w:val="24"/>
          <w:szCs w:val="24"/>
        </w:rPr>
        <w:t>6.</w:t>
      </w:r>
      <w:r w:rsidRPr="0BD58861" w:rsidR="7FBCE126">
        <w:rPr>
          <w:rFonts w:ascii="Calibri" w:hAnsi="Calibri" w:eastAsia="Calibri" w:cs="Calibri"/>
          <w:i/>
          <w:iCs/>
          <w:color w:val="000000" w:themeColor="text1"/>
          <w:sz w:val="24"/>
          <w:szCs w:val="24"/>
        </w:rPr>
        <w:t xml:space="preserve">Pratt, B., Cheah, P.Y. and Marsh, V., 2020. Solidarity and community engagement in global health research. The American Journal of </w:t>
      </w:r>
      <w:r w:rsidRPr="0BD58861" w:rsidR="01274CB4">
        <w:rPr>
          <w:rFonts w:ascii="Calibri" w:hAnsi="Calibri" w:eastAsia="Calibri" w:cs="Calibri"/>
          <w:i/>
          <w:iCs/>
          <w:color w:val="000000" w:themeColor="text1"/>
          <w:sz w:val="24"/>
          <w:szCs w:val="24"/>
        </w:rPr>
        <w:t>Bioethics,</w:t>
      </w:r>
      <w:r w:rsidRPr="0BD58861" w:rsidR="078DCAEF">
        <w:rPr>
          <w:rFonts w:ascii="Calibri" w:hAnsi="Calibri" w:eastAsia="Calibri" w:cs="Calibri"/>
          <w:i/>
          <w:iCs/>
          <w:color w:val="000000" w:themeColor="text1"/>
          <w:sz w:val="24"/>
          <w:szCs w:val="24"/>
        </w:rPr>
        <w:t xml:space="preserve"> Available at:</w:t>
      </w:r>
      <w:r w:rsidRPr="0BD58861" w:rsidR="01274CB4">
        <w:rPr>
          <w:rFonts w:ascii="Calibri" w:hAnsi="Calibri" w:eastAsia="Calibri" w:cs="Calibri"/>
          <w:i/>
          <w:iCs/>
          <w:color w:val="000000" w:themeColor="text1"/>
          <w:sz w:val="24"/>
          <w:szCs w:val="24"/>
        </w:rPr>
        <w:t xml:space="preserve"> https://www.tandfonline.com/doi/full/10.1080/15265161.2020.1745930</w:t>
      </w:r>
    </w:p>
    <w:p w:rsidR="00653FF2" w:rsidP="0BD58861" w:rsidRDefault="094C02EC" w14:paraId="603BD04D" w14:textId="1EFAD168">
      <w:pPr>
        <w:rPr>
          <w:i/>
          <w:iCs/>
          <w:sz w:val="24"/>
          <w:szCs w:val="24"/>
        </w:rPr>
      </w:pPr>
      <w:r w:rsidRPr="0BD58861">
        <w:rPr>
          <w:rFonts w:ascii="Calibri" w:hAnsi="Calibri" w:eastAsia="Calibri" w:cs="Calibri"/>
          <w:i/>
          <w:iCs/>
          <w:color w:val="000000" w:themeColor="text1"/>
          <w:sz w:val="24"/>
          <w:szCs w:val="24"/>
        </w:rPr>
        <w:t>7.</w:t>
      </w:r>
      <w:r w:rsidRPr="0BD58861" w:rsidR="7FBCE126">
        <w:rPr>
          <w:rFonts w:ascii="Calibri" w:hAnsi="Calibri" w:eastAsia="Calibri" w:cs="Calibri"/>
          <w:i/>
          <w:iCs/>
          <w:color w:val="000000" w:themeColor="text1"/>
          <w:sz w:val="24"/>
          <w:szCs w:val="24"/>
        </w:rPr>
        <w:t xml:space="preserve">Welch, M., 2016. Engaging higher education: Purpose, platforms, and programs for community engagement. Stylus Publishing, </w:t>
      </w:r>
      <w:r w:rsidRPr="0BD58861" w:rsidR="7B7991DC">
        <w:rPr>
          <w:rFonts w:ascii="Calibri" w:hAnsi="Calibri" w:eastAsia="Calibri" w:cs="Calibri"/>
          <w:i/>
          <w:iCs/>
          <w:color w:val="000000" w:themeColor="text1"/>
          <w:sz w:val="24"/>
          <w:szCs w:val="24"/>
        </w:rPr>
        <w:t xml:space="preserve">LLC., Available at: </w:t>
      </w:r>
      <w:r w:rsidRPr="0BD58861" w:rsidR="7FBCE126">
        <w:rPr>
          <w:rFonts w:ascii="Calibri" w:hAnsi="Calibri" w:eastAsia="Calibri" w:cs="Calibri"/>
          <w:i/>
          <w:iCs/>
          <w:color w:val="000000" w:themeColor="text1"/>
          <w:sz w:val="24"/>
          <w:szCs w:val="24"/>
        </w:rPr>
        <w:t>https://books.google.co.in/books?hl=en&amp;lr=&amp;id=kwfLDAAAQBAJ&amp;oi=fnd&amp;pg=PT9&amp;dq=Community+engagement&amp;ots=OQM1btdEHW&amp;sig=wUq8bn7z5z6mZRVhSQNAmOFBBqE&amp;redir_esc=y#v=onepage&amp;q=Community%20engagement&amp;f=false</w:t>
      </w:r>
    </w:p>
    <w:p w:rsidR="00653FF2" w:rsidP="1CB09592" w:rsidRDefault="18621A3E" w14:paraId="2313EB15" w14:textId="3A7D1FA3">
      <w:pPr>
        <w:rPr>
          <w:rFonts w:ascii="Calibri" w:hAnsi="Calibri" w:eastAsia="Calibri" w:cs="Calibri"/>
          <w:i/>
          <w:iCs/>
          <w:color w:val="000000" w:themeColor="text1"/>
          <w:sz w:val="24"/>
          <w:szCs w:val="24"/>
        </w:rPr>
      </w:pPr>
      <w:r w:rsidRPr="1CB09592">
        <w:rPr>
          <w:rFonts w:ascii="Calibri" w:hAnsi="Calibri" w:eastAsia="Calibri" w:cs="Calibri"/>
          <w:i/>
          <w:iCs/>
          <w:color w:val="000000" w:themeColor="text1"/>
          <w:sz w:val="24"/>
          <w:szCs w:val="24"/>
        </w:rPr>
        <w:t>8.</w:t>
      </w:r>
      <w:r w:rsidRPr="1CB09592" w:rsidR="7FBCE126">
        <w:rPr>
          <w:rFonts w:ascii="Calibri" w:hAnsi="Calibri" w:eastAsia="Calibri" w:cs="Calibri"/>
          <w:i/>
          <w:iCs/>
          <w:color w:val="000000" w:themeColor="text1"/>
          <w:sz w:val="24"/>
          <w:szCs w:val="24"/>
        </w:rPr>
        <w:t xml:space="preserve">Wong, M., Bejarano, E., Carvlin, G., Fellows, K., King, G., Lugo, H., Jerrett, M., Meltzer, D., Northcross, A., Olmedo, L. and Seto, E., 2018. Combining community engagement and scientific approaches in </w:t>
      </w:r>
      <w:r w:rsidRPr="1CB09592" w:rsidR="1D5CBD7B">
        <w:rPr>
          <w:rFonts w:ascii="Calibri" w:hAnsi="Calibri" w:eastAsia="Calibri" w:cs="Calibri"/>
          <w:i/>
          <w:iCs/>
          <w:color w:val="000000" w:themeColor="text1"/>
          <w:sz w:val="24"/>
          <w:szCs w:val="24"/>
        </w:rPr>
        <w:t>next generation</w:t>
      </w:r>
      <w:r w:rsidRPr="1CB09592" w:rsidR="7FBCE126">
        <w:rPr>
          <w:rFonts w:ascii="Calibri" w:hAnsi="Calibri" w:eastAsia="Calibri" w:cs="Calibri"/>
          <w:i/>
          <w:iCs/>
          <w:color w:val="000000" w:themeColor="text1"/>
          <w:sz w:val="24"/>
          <w:szCs w:val="24"/>
        </w:rPr>
        <w:t xml:space="preserve"> monitor siting: the case of the imperial county community air network. International journal of environmental research and public </w:t>
      </w:r>
      <w:r w:rsidRPr="1CB09592" w:rsidR="14B1B977">
        <w:rPr>
          <w:rFonts w:ascii="Calibri" w:hAnsi="Calibri" w:eastAsia="Calibri" w:cs="Calibri"/>
          <w:i/>
          <w:iCs/>
          <w:color w:val="000000" w:themeColor="text1"/>
          <w:sz w:val="24"/>
          <w:szCs w:val="24"/>
        </w:rPr>
        <w:t>health,</w:t>
      </w:r>
      <w:r w:rsidRPr="1CB09592" w:rsidR="0CF477A1">
        <w:rPr>
          <w:rFonts w:ascii="Calibri" w:hAnsi="Calibri" w:eastAsia="Calibri" w:cs="Calibri"/>
          <w:i/>
          <w:iCs/>
          <w:color w:val="000000" w:themeColor="text1"/>
          <w:sz w:val="24"/>
          <w:szCs w:val="24"/>
        </w:rPr>
        <w:t xml:space="preserve"> Available at:</w:t>
      </w:r>
      <w:r w:rsidRPr="1CB09592" w:rsidR="14B1B977">
        <w:rPr>
          <w:rFonts w:ascii="Calibri" w:hAnsi="Calibri" w:eastAsia="Calibri" w:cs="Calibri"/>
          <w:i/>
          <w:iCs/>
          <w:color w:val="000000" w:themeColor="text1"/>
          <w:sz w:val="24"/>
          <w:szCs w:val="24"/>
        </w:rPr>
        <w:t xml:space="preserve"> https://www.ncbi.nlm.nih.gov/pmc/articles/PMC5877068/</w:t>
      </w:r>
    </w:p>
    <w:p w:rsidR="00653FF2" w:rsidP="1CB09592" w:rsidRDefault="6B6B9230" w14:paraId="6C5B2603" w14:textId="5B816329">
      <w:pPr>
        <w:rPr>
          <w:rFonts w:ascii="Calibri" w:hAnsi="Calibri" w:eastAsia="Calibri" w:cs="Calibri"/>
          <w:i/>
          <w:iCs/>
          <w:color w:val="000000" w:themeColor="text1"/>
          <w:sz w:val="24"/>
          <w:szCs w:val="24"/>
        </w:rPr>
      </w:pPr>
      <w:r w:rsidRPr="1CB09592">
        <w:rPr>
          <w:rFonts w:ascii="Calibri" w:hAnsi="Calibri" w:eastAsia="Calibri" w:cs="Calibri"/>
          <w:i/>
          <w:iCs/>
          <w:color w:val="000000" w:themeColor="text1"/>
          <w:sz w:val="24"/>
          <w:szCs w:val="24"/>
        </w:rPr>
        <w:t>9.</w:t>
      </w:r>
      <w:r w:rsidRPr="1CB09592" w:rsidR="7FBCE126">
        <w:rPr>
          <w:rFonts w:ascii="Calibri" w:hAnsi="Calibri" w:eastAsia="Calibri" w:cs="Calibri"/>
          <w:i/>
          <w:iCs/>
          <w:color w:val="000000" w:themeColor="text1"/>
          <w:sz w:val="24"/>
          <w:szCs w:val="24"/>
        </w:rPr>
        <w:t>World Health Organization, 2020. Risk communication and community engagement readiness and response to coronavirus disease (COVID-19): interim guidance, 19 March 2020 (No. WHO/2019-nCoV/RCCE/2020.2). World Health Organization.</w:t>
      </w:r>
      <w:r w:rsidRPr="1CB09592" w:rsidR="56A0CCB0">
        <w:rPr>
          <w:rFonts w:ascii="Calibri" w:hAnsi="Calibri" w:eastAsia="Calibri" w:cs="Calibri"/>
          <w:i/>
          <w:iCs/>
          <w:color w:val="000000" w:themeColor="text1"/>
          <w:sz w:val="24"/>
          <w:szCs w:val="24"/>
        </w:rPr>
        <w:t xml:space="preserve"> Available at:</w:t>
      </w:r>
      <w:r w:rsidRPr="1CB09592" w:rsidR="7FBCE126">
        <w:rPr>
          <w:rFonts w:ascii="Calibri" w:hAnsi="Calibri" w:eastAsia="Calibri" w:cs="Calibri"/>
          <w:i/>
          <w:iCs/>
          <w:color w:val="000000" w:themeColor="text1"/>
          <w:sz w:val="24"/>
          <w:szCs w:val="24"/>
        </w:rPr>
        <w:t xml:space="preserve"> https://apps.who.int/iris/bitstream/handle/10665/331513/WHO-2019-nCoV-RCCE-2020.2-eng.pdf</w:t>
      </w:r>
    </w:p>
    <w:p w:rsidR="00653FF2" w:rsidP="49F615CE" w:rsidRDefault="00653FF2" w14:paraId="6C396F98" w14:textId="4A062DD0">
      <w:pPr>
        <w:rPr>
          <w:rFonts w:ascii="Calibri" w:hAnsi="Calibri" w:eastAsia="Calibri" w:cs="Calibri"/>
          <w:i/>
          <w:iCs/>
          <w:color w:val="000000" w:themeColor="text1"/>
          <w:sz w:val="24"/>
          <w:szCs w:val="24"/>
        </w:rPr>
      </w:pPr>
    </w:p>
    <w:p w:rsidR="00653FF2" w:rsidP="49F615CE" w:rsidRDefault="00653FF2" w14:paraId="5E5787A5" w14:textId="4723351E">
      <w:pPr>
        <w:rPr>
          <w:i/>
          <w:iCs/>
          <w:sz w:val="24"/>
          <w:szCs w:val="24"/>
        </w:rPr>
      </w:pPr>
    </w:p>
    <w:sectPr w:rsidR="00653FF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9A719C"/>
    <w:multiLevelType w:val="hybridMultilevel"/>
    <w:tmpl w:val="FFFFFFFF"/>
    <w:lvl w:ilvl="0" w:tplc="8FECBDEE">
      <w:start w:val="1"/>
      <w:numFmt w:val="bullet"/>
      <w:lvlText w:val=""/>
      <w:lvlJc w:val="left"/>
      <w:pPr>
        <w:ind w:left="720" w:hanging="360"/>
      </w:pPr>
    </w:lvl>
    <w:lvl w:ilvl="1" w:tplc="D52A5112">
      <w:start w:val="1"/>
      <w:numFmt w:val="lowerLetter"/>
      <w:lvlText w:val="%2."/>
      <w:lvlJc w:val="left"/>
      <w:pPr>
        <w:ind w:left="1440" w:hanging="360"/>
      </w:pPr>
    </w:lvl>
    <w:lvl w:ilvl="2" w:tplc="7F1E060A">
      <w:start w:val="1"/>
      <w:numFmt w:val="lowerRoman"/>
      <w:lvlText w:val="%3."/>
      <w:lvlJc w:val="right"/>
      <w:pPr>
        <w:ind w:left="2160" w:hanging="180"/>
      </w:pPr>
    </w:lvl>
    <w:lvl w:ilvl="3" w:tplc="283E3162">
      <w:start w:val="1"/>
      <w:numFmt w:val="decimal"/>
      <w:lvlText w:val="%4."/>
      <w:lvlJc w:val="left"/>
      <w:pPr>
        <w:ind w:left="2880" w:hanging="360"/>
      </w:pPr>
    </w:lvl>
    <w:lvl w:ilvl="4" w:tplc="F17486F0">
      <w:start w:val="1"/>
      <w:numFmt w:val="lowerLetter"/>
      <w:lvlText w:val="%5."/>
      <w:lvlJc w:val="left"/>
      <w:pPr>
        <w:ind w:left="3600" w:hanging="360"/>
      </w:pPr>
    </w:lvl>
    <w:lvl w:ilvl="5" w:tplc="25C2F26E">
      <w:start w:val="1"/>
      <w:numFmt w:val="lowerRoman"/>
      <w:lvlText w:val="%6."/>
      <w:lvlJc w:val="right"/>
      <w:pPr>
        <w:ind w:left="4320" w:hanging="180"/>
      </w:pPr>
    </w:lvl>
    <w:lvl w:ilvl="6" w:tplc="1A604A88">
      <w:start w:val="1"/>
      <w:numFmt w:val="decimal"/>
      <w:lvlText w:val="%7."/>
      <w:lvlJc w:val="left"/>
      <w:pPr>
        <w:ind w:left="5040" w:hanging="360"/>
      </w:pPr>
    </w:lvl>
    <w:lvl w:ilvl="7" w:tplc="A3047656">
      <w:start w:val="1"/>
      <w:numFmt w:val="lowerLetter"/>
      <w:lvlText w:val="%8."/>
      <w:lvlJc w:val="left"/>
      <w:pPr>
        <w:ind w:left="5760" w:hanging="360"/>
      </w:pPr>
    </w:lvl>
    <w:lvl w:ilvl="8" w:tplc="5804E604">
      <w:start w:val="1"/>
      <w:numFmt w:val="lowerRoman"/>
      <w:lvlText w:val="%9."/>
      <w:lvlJc w:val="right"/>
      <w:pPr>
        <w:ind w:left="6480" w:hanging="180"/>
      </w:pPr>
    </w:lvl>
  </w:abstractNum>
  <w:abstractNum w:abstractNumId="1" w15:restartNumberingAfterBreak="0">
    <w:nsid w:val="1116365A"/>
    <w:multiLevelType w:val="hybridMultilevel"/>
    <w:tmpl w:val="FFFFFFFF"/>
    <w:lvl w:ilvl="0" w:tplc="8F24E5F0">
      <w:start w:val="1"/>
      <w:numFmt w:val="decimal"/>
      <w:lvlText w:val="%1."/>
      <w:lvlJc w:val="left"/>
      <w:pPr>
        <w:ind w:left="720" w:hanging="360"/>
      </w:pPr>
    </w:lvl>
    <w:lvl w:ilvl="1" w:tplc="C1CAD37C">
      <w:start w:val="1"/>
      <w:numFmt w:val="lowerLetter"/>
      <w:lvlText w:val="%2."/>
      <w:lvlJc w:val="left"/>
      <w:pPr>
        <w:ind w:left="1440" w:hanging="360"/>
      </w:pPr>
    </w:lvl>
    <w:lvl w:ilvl="2" w:tplc="C9344DF0">
      <w:start w:val="1"/>
      <w:numFmt w:val="lowerRoman"/>
      <w:lvlText w:val="%3."/>
      <w:lvlJc w:val="right"/>
      <w:pPr>
        <w:ind w:left="2160" w:hanging="180"/>
      </w:pPr>
    </w:lvl>
    <w:lvl w:ilvl="3" w:tplc="67C45C48">
      <w:start w:val="1"/>
      <w:numFmt w:val="decimal"/>
      <w:lvlText w:val="%4."/>
      <w:lvlJc w:val="left"/>
      <w:pPr>
        <w:ind w:left="2880" w:hanging="360"/>
      </w:pPr>
    </w:lvl>
    <w:lvl w:ilvl="4" w:tplc="D3F884C4">
      <w:start w:val="1"/>
      <w:numFmt w:val="lowerLetter"/>
      <w:lvlText w:val="%5."/>
      <w:lvlJc w:val="left"/>
      <w:pPr>
        <w:ind w:left="3600" w:hanging="360"/>
      </w:pPr>
    </w:lvl>
    <w:lvl w:ilvl="5" w:tplc="EEF6084C">
      <w:start w:val="1"/>
      <w:numFmt w:val="lowerRoman"/>
      <w:lvlText w:val="%6."/>
      <w:lvlJc w:val="right"/>
      <w:pPr>
        <w:ind w:left="4320" w:hanging="180"/>
      </w:pPr>
    </w:lvl>
    <w:lvl w:ilvl="6" w:tplc="CD2C9C0E">
      <w:start w:val="1"/>
      <w:numFmt w:val="decimal"/>
      <w:lvlText w:val="%7."/>
      <w:lvlJc w:val="left"/>
      <w:pPr>
        <w:ind w:left="5040" w:hanging="360"/>
      </w:pPr>
    </w:lvl>
    <w:lvl w:ilvl="7" w:tplc="39886BFC">
      <w:start w:val="1"/>
      <w:numFmt w:val="lowerLetter"/>
      <w:lvlText w:val="%8."/>
      <w:lvlJc w:val="left"/>
      <w:pPr>
        <w:ind w:left="5760" w:hanging="360"/>
      </w:pPr>
    </w:lvl>
    <w:lvl w:ilvl="8" w:tplc="0F48846A">
      <w:start w:val="1"/>
      <w:numFmt w:val="lowerRoman"/>
      <w:lvlText w:val="%9."/>
      <w:lvlJc w:val="right"/>
      <w:pPr>
        <w:ind w:left="6480" w:hanging="180"/>
      </w:pPr>
    </w:lvl>
  </w:abstractNum>
  <w:abstractNum w:abstractNumId="2" w15:restartNumberingAfterBreak="0">
    <w:nsid w:val="183F4E2F"/>
    <w:multiLevelType w:val="hybridMultilevel"/>
    <w:tmpl w:val="FFFFFFFF"/>
    <w:lvl w:ilvl="0" w:tplc="6DC232CC">
      <w:start w:val="1"/>
      <w:numFmt w:val="bullet"/>
      <w:lvlText w:val=""/>
      <w:lvlJc w:val="left"/>
      <w:pPr>
        <w:ind w:left="720" w:hanging="360"/>
      </w:pPr>
      <w:rPr>
        <w:rFonts w:hint="default" w:ascii="Wingdings" w:hAnsi="Wingdings"/>
      </w:rPr>
    </w:lvl>
    <w:lvl w:ilvl="1" w:tplc="1F7E6FBC">
      <w:start w:val="1"/>
      <w:numFmt w:val="bullet"/>
      <w:lvlText w:val="o"/>
      <w:lvlJc w:val="left"/>
      <w:pPr>
        <w:ind w:left="1440" w:hanging="360"/>
      </w:pPr>
      <w:rPr>
        <w:rFonts w:hint="default" w:ascii="Courier New" w:hAnsi="Courier New"/>
      </w:rPr>
    </w:lvl>
    <w:lvl w:ilvl="2" w:tplc="DDA6B988">
      <w:start w:val="1"/>
      <w:numFmt w:val="bullet"/>
      <w:lvlText w:val=""/>
      <w:lvlJc w:val="left"/>
      <w:pPr>
        <w:ind w:left="2160" w:hanging="360"/>
      </w:pPr>
      <w:rPr>
        <w:rFonts w:hint="default" w:ascii="Wingdings" w:hAnsi="Wingdings"/>
      </w:rPr>
    </w:lvl>
    <w:lvl w:ilvl="3" w:tplc="2CFAF494">
      <w:start w:val="1"/>
      <w:numFmt w:val="bullet"/>
      <w:lvlText w:val=""/>
      <w:lvlJc w:val="left"/>
      <w:pPr>
        <w:ind w:left="2880" w:hanging="360"/>
      </w:pPr>
      <w:rPr>
        <w:rFonts w:hint="default" w:ascii="Symbol" w:hAnsi="Symbol"/>
      </w:rPr>
    </w:lvl>
    <w:lvl w:ilvl="4" w:tplc="938A9C56">
      <w:start w:val="1"/>
      <w:numFmt w:val="bullet"/>
      <w:lvlText w:val="o"/>
      <w:lvlJc w:val="left"/>
      <w:pPr>
        <w:ind w:left="3600" w:hanging="360"/>
      </w:pPr>
      <w:rPr>
        <w:rFonts w:hint="default" w:ascii="Courier New" w:hAnsi="Courier New"/>
      </w:rPr>
    </w:lvl>
    <w:lvl w:ilvl="5" w:tplc="FA9CE410">
      <w:start w:val="1"/>
      <w:numFmt w:val="bullet"/>
      <w:lvlText w:val=""/>
      <w:lvlJc w:val="left"/>
      <w:pPr>
        <w:ind w:left="4320" w:hanging="360"/>
      </w:pPr>
      <w:rPr>
        <w:rFonts w:hint="default" w:ascii="Wingdings" w:hAnsi="Wingdings"/>
      </w:rPr>
    </w:lvl>
    <w:lvl w:ilvl="6" w:tplc="D9A428F8">
      <w:start w:val="1"/>
      <w:numFmt w:val="bullet"/>
      <w:lvlText w:val=""/>
      <w:lvlJc w:val="left"/>
      <w:pPr>
        <w:ind w:left="5040" w:hanging="360"/>
      </w:pPr>
      <w:rPr>
        <w:rFonts w:hint="default" w:ascii="Symbol" w:hAnsi="Symbol"/>
      </w:rPr>
    </w:lvl>
    <w:lvl w:ilvl="7" w:tplc="16D070A4">
      <w:start w:val="1"/>
      <w:numFmt w:val="bullet"/>
      <w:lvlText w:val="o"/>
      <w:lvlJc w:val="left"/>
      <w:pPr>
        <w:ind w:left="5760" w:hanging="360"/>
      </w:pPr>
      <w:rPr>
        <w:rFonts w:hint="default" w:ascii="Courier New" w:hAnsi="Courier New"/>
      </w:rPr>
    </w:lvl>
    <w:lvl w:ilvl="8" w:tplc="D706AE32">
      <w:start w:val="1"/>
      <w:numFmt w:val="bullet"/>
      <w:lvlText w:val=""/>
      <w:lvlJc w:val="left"/>
      <w:pPr>
        <w:ind w:left="6480" w:hanging="360"/>
      </w:pPr>
      <w:rPr>
        <w:rFonts w:hint="default" w:ascii="Wingdings" w:hAnsi="Wingdings"/>
      </w:rPr>
    </w:lvl>
  </w:abstractNum>
  <w:abstractNum w:abstractNumId="3" w15:restartNumberingAfterBreak="0">
    <w:nsid w:val="2E814D7F"/>
    <w:multiLevelType w:val="hybridMultilevel"/>
    <w:tmpl w:val="FFFFFFFF"/>
    <w:lvl w:ilvl="0" w:tplc="69601448">
      <w:start w:val="1"/>
      <w:numFmt w:val="bullet"/>
      <w:lvlText w:val=""/>
      <w:lvlJc w:val="left"/>
      <w:pPr>
        <w:ind w:left="720" w:hanging="360"/>
      </w:pPr>
      <w:rPr>
        <w:rFonts w:hint="default" w:ascii="Wingdings" w:hAnsi="Wingdings"/>
      </w:rPr>
    </w:lvl>
    <w:lvl w:ilvl="1" w:tplc="68FCEF02">
      <w:start w:val="1"/>
      <w:numFmt w:val="bullet"/>
      <w:lvlText w:val="o"/>
      <w:lvlJc w:val="left"/>
      <w:pPr>
        <w:ind w:left="1440" w:hanging="360"/>
      </w:pPr>
      <w:rPr>
        <w:rFonts w:hint="default" w:ascii="Courier New" w:hAnsi="Courier New"/>
      </w:rPr>
    </w:lvl>
    <w:lvl w:ilvl="2" w:tplc="D75A297E">
      <w:start w:val="1"/>
      <w:numFmt w:val="bullet"/>
      <w:lvlText w:val=""/>
      <w:lvlJc w:val="left"/>
      <w:pPr>
        <w:ind w:left="2160" w:hanging="360"/>
      </w:pPr>
      <w:rPr>
        <w:rFonts w:hint="default" w:ascii="Wingdings" w:hAnsi="Wingdings"/>
      </w:rPr>
    </w:lvl>
    <w:lvl w:ilvl="3" w:tplc="4B6E449A">
      <w:start w:val="1"/>
      <w:numFmt w:val="bullet"/>
      <w:lvlText w:val=""/>
      <w:lvlJc w:val="left"/>
      <w:pPr>
        <w:ind w:left="2880" w:hanging="360"/>
      </w:pPr>
      <w:rPr>
        <w:rFonts w:hint="default" w:ascii="Symbol" w:hAnsi="Symbol"/>
      </w:rPr>
    </w:lvl>
    <w:lvl w:ilvl="4" w:tplc="2C20417E">
      <w:start w:val="1"/>
      <w:numFmt w:val="bullet"/>
      <w:lvlText w:val="o"/>
      <w:lvlJc w:val="left"/>
      <w:pPr>
        <w:ind w:left="3600" w:hanging="360"/>
      </w:pPr>
      <w:rPr>
        <w:rFonts w:hint="default" w:ascii="Courier New" w:hAnsi="Courier New"/>
      </w:rPr>
    </w:lvl>
    <w:lvl w:ilvl="5" w:tplc="E81E60DC">
      <w:start w:val="1"/>
      <w:numFmt w:val="bullet"/>
      <w:lvlText w:val=""/>
      <w:lvlJc w:val="left"/>
      <w:pPr>
        <w:ind w:left="4320" w:hanging="360"/>
      </w:pPr>
      <w:rPr>
        <w:rFonts w:hint="default" w:ascii="Wingdings" w:hAnsi="Wingdings"/>
      </w:rPr>
    </w:lvl>
    <w:lvl w:ilvl="6" w:tplc="4C688784">
      <w:start w:val="1"/>
      <w:numFmt w:val="bullet"/>
      <w:lvlText w:val=""/>
      <w:lvlJc w:val="left"/>
      <w:pPr>
        <w:ind w:left="5040" w:hanging="360"/>
      </w:pPr>
      <w:rPr>
        <w:rFonts w:hint="default" w:ascii="Symbol" w:hAnsi="Symbol"/>
      </w:rPr>
    </w:lvl>
    <w:lvl w:ilvl="7" w:tplc="489E6B9E">
      <w:start w:val="1"/>
      <w:numFmt w:val="bullet"/>
      <w:lvlText w:val="o"/>
      <w:lvlJc w:val="left"/>
      <w:pPr>
        <w:ind w:left="5760" w:hanging="360"/>
      </w:pPr>
      <w:rPr>
        <w:rFonts w:hint="default" w:ascii="Courier New" w:hAnsi="Courier New"/>
      </w:rPr>
    </w:lvl>
    <w:lvl w:ilvl="8" w:tplc="E9109CF6">
      <w:start w:val="1"/>
      <w:numFmt w:val="bullet"/>
      <w:lvlText w:val=""/>
      <w:lvlJc w:val="left"/>
      <w:pPr>
        <w:ind w:left="6480" w:hanging="360"/>
      </w:pPr>
      <w:rPr>
        <w:rFonts w:hint="default" w:ascii="Wingdings" w:hAnsi="Wingdings"/>
      </w:rPr>
    </w:lvl>
  </w:abstractNum>
  <w:abstractNum w:abstractNumId="4" w15:restartNumberingAfterBreak="0">
    <w:nsid w:val="39C447AE"/>
    <w:multiLevelType w:val="hybridMultilevel"/>
    <w:tmpl w:val="FFFFFFFF"/>
    <w:lvl w:ilvl="0" w:tplc="3F5C115E">
      <w:start w:val="1"/>
      <w:numFmt w:val="bullet"/>
      <w:lvlText w:val=""/>
      <w:lvlJc w:val="left"/>
      <w:pPr>
        <w:ind w:left="720" w:hanging="360"/>
      </w:pPr>
      <w:rPr>
        <w:rFonts w:hint="default" w:ascii="Wingdings" w:hAnsi="Wingdings"/>
      </w:rPr>
    </w:lvl>
    <w:lvl w:ilvl="1" w:tplc="BDEA466E">
      <w:start w:val="1"/>
      <w:numFmt w:val="bullet"/>
      <w:lvlText w:val="o"/>
      <w:lvlJc w:val="left"/>
      <w:pPr>
        <w:ind w:left="1440" w:hanging="360"/>
      </w:pPr>
      <w:rPr>
        <w:rFonts w:hint="default" w:ascii="Courier New" w:hAnsi="Courier New"/>
      </w:rPr>
    </w:lvl>
    <w:lvl w:ilvl="2" w:tplc="78247EAE">
      <w:start w:val="1"/>
      <w:numFmt w:val="bullet"/>
      <w:lvlText w:val=""/>
      <w:lvlJc w:val="left"/>
      <w:pPr>
        <w:ind w:left="2160" w:hanging="360"/>
      </w:pPr>
      <w:rPr>
        <w:rFonts w:hint="default" w:ascii="Wingdings" w:hAnsi="Wingdings"/>
      </w:rPr>
    </w:lvl>
    <w:lvl w:ilvl="3" w:tplc="5F580932">
      <w:start w:val="1"/>
      <w:numFmt w:val="bullet"/>
      <w:lvlText w:val=""/>
      <w:lvlJc w:val="left"/>
      <w:pPr>
        <w:ind w:left="2880" w:hanging="360"/>
      </w:pPr>
      <w:rPr>
        <w:rFonts w:hint="default" w:ascii="Symbol" w:hAnsi="Symbol"/>
      </w:rPr>
    </w:lvl>
    <w:lvl w:ilvl="4" w:tplc="230273D4">
      <w:start w:val="1"/>
      <w:numFmt w:val="bullet"/>
      <w:lvlText w:val="o"/>
      <w:lvlJc w:val="left"/>
      <w:pPr>
        <w:ind w:left="3600" w:hanging="360"/>
      </w:pPr>
      <w:rPr>
        <w:rFonts w:hint="default" w:ascii="Courier New" w:hAnsi="Courier New"/>
      </w:rPr>
    </w:lvl>
    <w:lvl w:ilvl="5" w:tplc="00A63FFA">
      <w:start w:val="1"/>
      <w:numFmt w:val="bullet"/>
      <w:lvlText w:val=""/>
      <w:lvlJc w:val="left"/>
      <w:pPr>
        <w:ind w:left="4320" w:hanging="360"/>
      </w:pPr>
      <w:rPr>
        <w:rFonts w:hint="default" w:ascii="Wingdings" w:hAnsi="Wingdings"/>
      </w:rPr>
    </w:lvl>
    <w:lvl w:ilvl="6" w:tplc="E152BA5C">
      <w:start w:val="1"/>
      <w:numFmt w:val="bullet"/>
      <w:lvlText w:val=""/>
      <w:lvlJc w:val="left"/>
      <w:pPr>
        <w:ind w:left="5040" w:hanging="360"/>
      </w:pPr>
      <w:rPr>
        <w:rFonts w:hint="default" w:ascii="Symbol" w:hAnsi="Symbol"/>
      </w:rPr>
    </w:lvl>
    <w:lvl w:ilvl="7" w:tplc="140A3876">
      <w:start w:val="1"/>
      <w:numFmt w:val="bullet"/>
      <w:lvlText w:val="o"/>
      <w:lvlJc w:val="left"/>
      <w:pPr>
        <w:ind w:left="5760" w:hanging="360"/>
      </w:pPr>
      <w:rPr>
        <w:rFonts w:hint="default" w:ascii="Courier New" w:hAnsi="Courier New"/>
      </w:rPr>
    </w:lvl>
    <w:lvl w:ilvl="8" w:tplc="4E28A450">
      <w:start w:val="1"/>
      <w:numFmt w:val="bullet"/>
      <w:lvlText w:val=""/>
      <w:lvlJc w:val="left"/>
      <w:pPr>
        <w:ind w:left="6480" w:hanging="360"/>
      </w:pPr>
      <w:rPr>
        <w:rFonts w:hint="default" w:ascii="Wingdings" w:hAnsi="Wingdings"/>
      </w:rPr>
    </w:lvl>
  </w:abstractNum>
  <w:abstractNum w:abstractNumId="5" w15:restartNumberingAfterBreak="0">
    <w:nsid w:val="6BA152E5"/>
    <w:multiLevelType w:val="hybridMultilevel"/>
    <w:tmpl w:val="FFFFFFFF"/>
    <w:lvl w:ilvl="0" w:tplc="D7AC78D0">
      <w:start w:val="1"/>
      <w:numFmt w:val="bullet"/>
      <w:lvlText w:val=""/>
      <w:lvlJc w:val="left"/>
      <w:pPr>
        <w:ind w:left="720" w:hanging="360"/>
      </w:pPr>
      <w:rPr>
        <w:rFonts w:hint="default" w:ascii="Wingdings" w:hAnsi="Wingdings"/>
      </w:rPr>
    </w:lvl>
    <w:lvl w:ilvl="1" w:tplc="5B16BA24">
      <w:start w:val="1"/>
      <w:numFmt w:val="bullet"/>
      <w:lvlText w:val="o"/>
      <w:lvlJc w:val="left"/>
      <w:pPr>
        <w:ind w:left="1440" w:hanging="360"/>
      </w:pPr>
      <w:rPr>
        <w:rFonts w:hint="default" w:ascii="Courier New" w:hAnsi="Courier New"/>
      </w:rPr>
    </w:lvl>
    <w:lvl w:ilvl="2" w:tplc="A2621D70">
      <w:start w:val="1"/>
      <w:numFmt w:val="bullet"/>
      <w:lvlText w:val=""/>
      <w:lvlJc w:val="left"/>
      <w:pPr>
        <w:ind w:left="2160" w:hanging="360"/>
      </w:pPr>
      <w:rPr>
        <w:rFonts w:hint="default" w:ascii="Wingdings" w:hAnsi="Wingdings"/>
      </w:rPr>
    </w:lvl>
    <w:lvl w:ilvl="3" w:tplc="CAB876EC">
      <w:start w:val="1"/>
      <w:numFmt w:val="bullet"/>
      <w:lvlText w:val=""/>
      <w:lvlJc w:val="left"/>
      <w:pPr>
        <w:ind w:left="2880" w:hanging="360"/>
      </w:pPr>
      <w:rPr>
        <w:rFonts w:hint="default" w:ascii="Symbol" w:hAnsi="Symbol"/>
      </w:rPr>
    </w:lvl>
    <w:lvl w:ilvl="4" w:tplc="AF58499A">
      <w:start w:val="1"/>
      <w:numFmt w:val="bullet"/>
      <w:lvlText w:val="o"/>
      <w:lvlJc w:val="left"/>
      <w:pPr>
        <w:ind w:left="3600" w:hanging="360"/>
      </w:pPr>
      <w:rPr>
        <w:rFonts w:hint="default" w:ascii="Courier New" w:hAnsi="Courier New"/>
      </w:rPr>
    </w:lvl>
    <w:lvl w:ilvl="5" w:tplc="E54C383A">
      <w:start w:val="1"/>
      <w:numFmt w:val="bullet"/>
      <w:lvlText w:val=""/>
      <w:lvlJc w:val="left"/>
      <w:pPr>
        <w:ind w:left="4320" w:hanging="360"/>
      </w:pPr>
      <w:rPr>
        <w:rFonts w:hint="default" w:ascii="Wingdings" w:hAnsi="Wingdings"/>
      </w:rPr>
    </w:lvl>
    <w:lvl w:ilvl="6" w:tplc="66A43F1A">
      <w:start w:val="1"/>
      <w:numFmt w:val="bullet"/>
      <w:lvlText w:val=""/>
      <w:lvlJc w:val="left"/>
      <w:pPr>
        <w:ind w:left="5040" w:hanging="360"/>
      </w:pPr>
      <w:rPr>
        <w:rFonts w:hint="default" w:ascii="Symbol" w:hAnsi="Symbol"/>
      </w:rPr>
    </w:lvl>
    <w:lvl w:ilvl="7" w:tplc="4FB43D7C">
      <w:start w:val="1"/>
      <w:numFmt w:val="bullet"/>
      <w:lvlText w:val="o"/>
      <w:lvlJc w:val="left"/>
      <w:pPr>
        <w:ind w:left="5760" w:hanging="360"/>
      </w:pPr>
      <w:rPr>
        <w:rFonts w:hint="default" w:ascii="Courier New" w:hAnsi="Courier New"/>
      </w:rPr>
    </w:lvl>
    <w:lvl w:ilvl="8" w:tplc="4E685E7C">
      <w:start w:val="1"/>
      <w:numFmt w:val="bullet"/>
      <w:lvlText w:val=""/>
      <w:lvlJc w:val="left"/>
      <w:pPr>
        <w:ind w:left="6480" w:hanging="360"/>
      </w:pPr>
      <w:rPr>
        <w:rFonts w:hint="default" w:ascii="Wingdings" w:hAnsi="Wingdings"/>
      </w:rPr>
    </w:lvl>
  </w:abstractNum>
  <w:num w:numId="1">
    <w:abstractNumId w:val="1"/>
  </w:num>
  <w:num w:numId="2">
    <w:abstractNumId w:val="4"/>
  </w:num>
  <w:num w:numId="3">
    <w:abstractNumId w:val="0"/>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FD7606"/>
    <w:rsid w:val="00653FF2"/>
    <w:rsid w:val="01274CB4"/>
    <w:rsid w:val="0217F8CD"/>
    <w:rsid w:val="043BC6EF"/>
    <w:rsid w:val="04E1BFCA"/>
    <w:rsid w:val="04FC8EF7"/>
    <w:rsid w:val="06060312"/>
    <w:rsid w:val="060A9D72"/>
    <w:rsid w:val="07385686"/>
    <w:rsid w:val="078DCAEF"/>
    <w:rsid w:val="089DE79F"/>
    <w:rsid w:val="094C02EC"/>
    <w:rsid w:val="0AD36B17"/>
    <w:rsid w:val="0BD58861"/>
    <w:rsid w:val="0C3FFED6"/>
    <w:rsid w:val="0CF477A1"/>
    <w:rsid w:val="0F3E8CFE"/>
    <w:rsid w:val="107EBC9B"/>
    <w:rsid w:val="108A2CDA"/>
    <w:rsid w:val="10C70311"/>
    <w:rsid w:val="1116516A"/>
    <w:rsid w:val="14776CDD"/>
    <w:rsid w:val="14B1B977"/>
    <w:rsid w:val="154475A0"/>
    <w:rsid w:val="17CC32F3"/>
    <w:rsid w:val="17DDE81C"/>
    <w:rsid w:val="18621A3E"/>
    <w:rsid w:val="1AC7E1B7"/>
    <w:rsid w:val="1C0BCF33"/>
    <w:rsid w:val="1C1F2AEB"/>
    <w:rsid w:val="1CB09592"/>
    <w:rsid w:val="1D5CBD7B"/>
    <w:rsid w:val="1DFF596C"/>
    <w:rsid w:val="20ADE277"/>
    <w:rsid w:val="216499B8"/>
    <w:rsid w:val="216C409F"/>
    <w:rsid w:val="221AD94C"/>
    <w:rsid w:val="26A3684F"/>
    <w:rsid w:val="26ACE050"/>
    <w:rsid w:val="2761B9A0"/>
    <w:rsid w:val="28ADD41D"/>
    <w:rsid w:val="29133826"/>
    <w:rsid w:val="293D15D0"/>
    <w:rsid w:val="294059EF"/>
    <w:rsid w:val="2A36F432"/>
    <w:rsid w:val="2B80F87E"/>
    <w:rsid w:val="2CA5E061"/>
    <w:rsid w:val="2DF55AA9"/>
    <w:rsid w:val="2E14DC80"/>
    <w:rsid w:val="2EFF702B"/>
    <w:rsid w:val="30145F65"/>
    <w:rsid w:val="3246AE45"/>
    <w:rsid w:val="327E0F17"/>
    <w:rsid w:val="3416A94D"/>
    <w:rsid w:val="357E4F07"/>
    <w:rsid w:val="362079F9"/>
    <w:rsid w:val="3669FD7E"/>
    <w:rsid w:val="366E1647"/>
    <w:rsid w:val="36A84826"/>
    <w:rsid w:val="388B7583"/>
    <w:rsid w:val="3B5D7FBD"/>
    <w:rsid w:val="3B7ABD2A"/>
    <w:rsid w:val="3BAE3A7F"/>
    <w:rsid w:val="3C2D758E"/>
    <w:rsid w:val="3CD4ACAB"/>
    <w:rsid w:val="3D1792C6"/>
    <w:rsid w:val="3D345E16"/>
    <w:rsid w:val="3DC62A2A"/>
    <w:rsid w:val="3F326F22"/>
    <w:rsid w:val="426A0FE4"/>
    <w:rsid w:val="43F950BE"/>
    <w:rsid w:val="44008FF6"/>
    <w:rsid w:val="4405E045"/>
    <w:rsid w:val="45CD644D"/>
    <w:rsid w:val="49302583"/>
    <w:rsid w:val="49F615CE"/>
    <w:rsid w:val="4AD2A908"/>
    <w:rsid w:val="4B3169FE"/>
    <w:rsid w:val="4BBF249D"/>
    <w:rsid w:val="4BC5A3D4"/>
    <w:rsid w:val="4C7110CF"/>
    <w:rsid w:val="4CBD0F6B"/>
    <w:rsid w:val="4CCD3A5F"/>
    <w:rsid w:val="4D51E2E7"/>
    <w:rsid w:val="4E48EF3D"/>
    <w:rsid w:val="4FBC44A9"/>
    <w:rsid w:val="50143D9B"/>
    <w:rsid w:val="507ACD8F"/>
    <w:rsid w:val="51591A45"/>
    <w:rsid w:val="52B939E5"/>
    <w:rsid w:val="52F4EAA6"/>
    <w:rsid w:val="530AB904"/>
    <w:rsid w:val="533C7BE3"/>
    <w:rsid w:val="54786826"/>
    <w:rsid w:val="554951FB"/>
    <w:rsid w:val="55554C4D"/>
    <w:rsid w:val="56A0CCB0"/>
    <w:rsid w:val="57AF336C"/>
    <w:rsid w:val="57FD7606"/>
    <w:rsid w:val="58878775"/>
    <w:rsid w:val="588B48E2"/>
    <w:rsid w:val="5A74BA6D"/>
    <w:rsid w:val="5DB1AB7E"/>
    <w:rsid w:val="5DDCE309"/>
    <w:rsid w:val="5E98309C"/>
    <w:rsid w:val="5EE8E73C"/>
    <w:rsid w:val="5F0E7925"/>
    <w:rsid w:val="5F482B90"/>
    <w:rsid w:val="60F59981"/>
    <w:rsid w:val="615615B2"/>
    <w:rsid w:val="632D734E"/>
    <w:rsid w:val="63BC4DD7"/>
    <w:rsid w:val="64988658"/>
    <w:rsid w:val="64DEAC6B"/>
    <w:rsid w:val="669FBE79"/>
    <w:rsid w:val="67BB3169"/>
    <w:rsid w:val="685407CA"/>
    <w:rsid w:val="68DCE231"/>
    <w:rsid w:val="6A4892DF"/>
    <w:rsid w:val="6A9C7BC7"/>
    <w:rsid w:val="6AD4CDEE"/>
    <w:rsid w:val="6B6B9230"/>
    <w:rsid w:val="6BCC8AE6"/>
    <w:rsid w:val="6D1387F1"/>
    <w:rsid w:val="6F19B888"/>
    <w:rsid w:val="6FA98031"/>
    <w:rsid w:val="6FD856A1"/>
    <w:rsid w:val="70D7FD6A"/>
    <w:rsid w:val="7325D919"/>
    <w:rsid w:val="73978761"/>
    <w:rsid w:val="73DCBBF4"/>
    <w:rsid w:val="744B4B93"/>
    <w:rsid w:val="76A82B74"/>
    <w:rsid w:val="78CBE3F4"/>
    <w:rsid w:val="79E51C85"/>
    <w:rsid w:val="7A0DE306"/>
    <w:rsid w:val="7A48C160"/>
    <w:rsid w:val="7B7991DC"/>
    <w:rsid w:val="7C565D78"/>
    <w:rsid w:val="7C7BB498"/>
    <w:rsid w:val="7DB516E7"/>
    <w:rsid w:val="7DF22DD9"/>
    <w:rsid w:val="7EA3A001"/>
    <w:rsid w:val="7FBCE12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AC8BF"/>
  <w15:chartTrackingRefBased/>
  <w15:docId w15:val="{91C85780-9E0E-4F7B-9B27-A37F2BB51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2.jpg" Id="Rdb81816da1a843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Reneta Chomezova (1914973)</dc:creator>
  <keywords/>
  <dc:description/>
  <lastModifiedBy>Reneta Chomezova (1914973)</lastModifiedBy>
  <revision>11</revision>
  <dcterms:created xsi:type="dcterms:W3CDTF">2020-12-13T10:36:00.0000000Z</dcterms:created>
  <dcterms:modified xsi:type="dcterms:W3CDTF">2020-12-18T12:39:19.5355497Z</dcterms:modified>
</coreProperties>
</file>