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496F4" w14:textId="77777777" w:rsidR="007B6F2B" w:rsidRDefault="007B6F2B" w:rsidP="0084426F">
      <w:pPr>
        <w:sectPr w:rsidR="007B6F2B" w:rsidSect="009622B6">
          <w:footerReference w:type="default" r:id="rId7"/>
          <w:pgSz w:w="12240" w:h="15840"/>
          <w:pgMar w:top="1440" w:right="1440" w:bottom="1440" w:left="1440" w:header="720" w:footer="720" w:gutter="0"/>
          <w:pgNumType w:start="1" w:chapStyle="1"/>
          <w:cols w:space="720"/>
        </w:sectPr>
      </w:pPr>
    </w:p>
    <w:p w14:paraId="638744A2" w14:textId="3392C1F0" w:rsidR="0084426F" w:rsidRDefault="0084426F" w:rsidP="0084426F"/>
    <w:p w14:paraId="768716CD" w14:textId="06B54EA1" w:rsidR="00676301" w:rsidRPr="00676301" w:rsidRDefault="00AA5ECB" w:rsidP="00676301">
      <w:pPr>
        <w:rPr>
          <w:b/>
        </w:rPr>
      </w:pPr>
      <w:r w:rsidRPr="00173923">
        <w:rPr>
          <w:b/>
        </w:rPr>
        <w:t>Module:</w:t>
      </w:r>
      <w:r w:rsidR="00676301" w:rsidRPr="00676301">
        <w:rPr>
          <w:b/>
        </w:rPr>
        <w:t xml:space="preserve">  Living well: A Life course approach to Health &amp; Wellbeing</w:t>
      </w:r>
    </w:p>
    <w:p w14:paraId="3782A4C5" w14:textId="77777777" w:rsidR="00676301" w:rsidRPr="00676301" w:rsidRDefault="00676301" w:rsidP="00676301">
      <w:pPr>
        <w:rPr>
          <w:b/>
        </w:rPr>
      </w:pPr>
      <w:r w:rsidRPr="00676301">
        <w:rPr>
          <w:b/>
        </w:rPr>
        <w:t>Module code:</w:t>
      </w:r>
      <w:r w:rsidRPr="00676301">
        <w:rPr>
          <w:b/>
        </w:rPr>
        <w:tab/>
      </w:r>
      <w:r w:rsidRPr="00676301">
        <w:rPr>
          <w:b/>
          <w:bCs/>
        </w:rPr>
        <w:t>BMNS4014</w:t>
      </w:r>
    </w:p>
    <w:p w14:paraId="52971269" w14:textId="47A2F968" w:rsidR="00173923" w:rsidRPr="00173923" w:rsidRDefault="00173923" w:rsidP="00173923">
      <w:pPr>
        <w:rPr>
          <w:b/>
        </w:rPr>
      </w:pPr>
      <w:r w:rsidRPr="00173923">
        <w:rPr>
          <w:b/>
        </w:rPr>
        <w:t xml:space="preserve">Student name: </w:t>
      </w:r>
      <w:r w:rsidR="008A2C38">
        <w:rPr>
          <w:b/>
        </w:rPr>
        <w:t xml:space="preserve">     </w:t>
      </w:r>
      <w:r w:rsidR="00B40BEA">
        <w:rPr>
          <w:b/>
        </w:rPr>
        <w:t xml:space="preserve">    </w:t>
      </w:r>
      <w:r w:rsidR="008A2C38">
        <w:rPr>
          <w:b/>
        </w:rPr>
        <w:t xml:space="preserve"> Ela</w:t>
      </w:r>
      <w:r w:rsidR="00E763DD">
        <w:rPr>
          <w:b/>
        </w:rPr>
        <w:t>ph Chahouta</w:t>
      </w:r>
    </w:p>
    <w:p w14:paraId="08AA1AE4" w14:textId="272EC912" w:rsidR="00173923" w:rsidRPr="00DF6721" w:rsidRDefault="00173923" w:rsidP="00173923">
      <w:pPr>
        <w:rPr>
          <w:b/>
        </w:rPr>
      </w:pPr>
      <w:r w:rsidRPr="00DF6721">
        <w:rPr>
          <w:b/>
        </w:rPr>
        <w:t>Student number:</w:t>
      </w:r>
      <w:r w:rsidR="00E763DD" w:rsidRPr="00DF6721">
        <w:rPr>
          <w:b/>
        </w:rPr>
        <w:t xml:space="preserve">  </w:t>
      </w:r>
      <w:r w:rsidR="00B40BEA" w:rsidRPr="00DF6721">
        <w:rPr>
          <w:b/>
        </w:rPr>
        <w:t xml:space="preserve">    </w:t>
      </w:r>
      <w:r w:rsidR="007254B6" w:rsidRPr="00DF6721">
        <w:rPr>
          <w:b/>
        </w:rPr>
        <w:t>2515</w:t>
      </w:r>
      <w:r w:rsidR="00504903" w:rsidRPr="00DF6721">
        <w:rPr>
          <w:b/>
        </w:rPr>
        <w:t>294</w:t>
      </w:r>
    </w:p>
    <w:p w14:paraId="00D66104" w14:textId="1D617733" w:rsidR="00173923" w:rsidRPr="00DF6721" w:rsidRDefault="00173923" w:rsidP="00173923">
      <w:pPr>
        <w:rPr>
          <w:b/>
        </w:rPr>
      </w:pPr>
      <w:r w:rsidRPr="00DF6721">
        <w:rPr>
          <w:b/>
        </w:rPr>
        <w:t xml:space="preserve">Lecturer </w:t>
      </w:r>
      <w:r w:rsidR="00EF0D4C" w:rsidRPr="00DF6721">
        <w:rPr>
          <w:b/>
        </w:rPr>
        <w:t xml:space="preserve">name:  </w:t>
      </w:r>
      <w:r w:rsidR="00B40BEA" w:rsidRPr="00DF6721">
        <w:rPr>
          <w:b/>
        </w:rPr>
        <w:t xml:space="preserve">        </w:t>
      </w:r>
      <w:r w:rsidR="007B35CD" w:rsidRPr="00DF6721">
        <w:rPr>
          <w:b/>
        </w:rPr>
        <w:t>Dr</w:t>
      </w:r>
      <w:r w:rsidR="00EF0D4C" w:rsidRPr="00DF6721">
        <w:rPr>
          <w:b/>
        </w:rPr>
        <w:t>. Ben Duxbury</w:t>
      </w:r>
    </w:p>
    <w:p w14:paraId="605C2A93" w14:textId="5784776D" w:rsidR="009D1AFF" w:rsidRPr="00DF6721" w:rsidRDefault="009D1AFF" w:rsidP="00036559"/>
    <w:p w14:paraId="4ADA44A9" w14:textId="77777777" w:rsidR="009D1AFF" w:rsidRPr="00DF6721" w:rsidRDefault="009D1AFF" w:rsidP="00036559"/>
    <w:p w14:paraId="658CD99B" w14:textId="77777777" w:rsidR="003A4C74" w:rsidRPr="00DF6721" w:rsidRDefault="003A4C74" w:rsidP="00036559"/>
    <w:p w14:paraId="75ED6F0E" w14:textId="77777777" w:rsidR="003A4C74" w:rsidRPr="00DF6721" w:rsidRDefault="003A4C74" w:rsidP="00036559"/>
    <w:p w14:paraId="5C989372" w14:textId="77777777" w:rsidR="003A4C74" w:rsidRPr="00DF6721" w:rsidRDefault="003A4C74" w:rsidP="00036559"/>
    <w:p w14:paraId="6C162988" w14:textId="77777777" w:rsidR="003A4C74" w:rsidRPr="00DF6721" w:rsidRDefault="003A4C74" w:rsidP="00036559"/>
    <w:p w14:paraId="6430C025" w14:textId="77777777" w:rsidR="005B3BDB" w:rsidRDefault="005B3BDB" w:rsidP="005B3BDB">
      <w:pPr>
        <w:tabs>
          <w:tab w:val="left" w:pos="2832"/>
        </w:tabs>
        <w:sectPr w:rsidR="005B3BDB" w:rsidSect="007B6F2B">
          <w:type w:val="continuous"/>
          <w:pgSz w:w="12240" w:h="15840"/>
          <w:pgMar w:top="1440" w:right="1440" w:bottom="1440" w:left="1440" w:header="720" w:footer="720" w:gutter="0"/>
          <w:cols w:space="720"/>
        </w:sectPr>
      </w:pPr>
      <w:r>
        <w:tab/>
      </w:r>
    </w:p>
    <w:p w14:paraId="3A9AC8E7" w14:textId="6E0826BE" w:rsidR="003A4C74" w:rsidRPr="00DF6721" w:rsidRDefault="003A4C74" w:rsidP="005B3BDB">
      <w:pPr>
        <w:tabs>
          <w:tab w:val="left" w:pos="2832"/>
        </w:tabs>
      </w:pPr>
    </w:p>
    <w:p w14:paraId="046CF341" w14:textId="77777777" w:rsidR="003A4C74" w:rsidRPr="00DF6721" w:rsidRDefault="003A4C74" w:rsidP="00036559"/>
    <w:p w14:paraId="7ABE953E" w14:textId="77777777" w:rsidR="003A4C74" w:rsidRPr="00DF6721" w:rsidRDefault="003A4C74" w:rsidP="00036559"/>
    <w:p w14:paraId="7F82B4A8" w14:textId="77777777" w:rsidR="003A4C74" w:rsidRPr="00DF6721" w:rsidRDefault="003A4C74" w:rsidP="00036559"/>
    <w:p w14:paraId="0A900346" w14:textId="77777777" w:rsidR="003A4C74" w:rsidRPr="00DF6721" w:rsidRDefault="003A4C74" w:rsidP="00036559"/>
    <w:p w14:paraId="3C9E111F" w14:textId="77777777" w:rsidR="003A4C74" w:rsidRPr="00DF6721" w:rsidRDefault="003A4C74" w:rsidP="00036559"/>
    <w:p w14:paraId="7F92B9C8" w14:textId="77777777" w:rsidR="003A4C74" w:rsidRPr="00DF6721" w:rsidRDefault="003A4C74" w:rsidP="00036559"/>
    <w:p w14:paraId="5F003BA1" w14:textId="77777777" w:rsidR="003A4C74" w:rsidRPr="00DF6721" w:rsidRDefault="003A4C74" w:rsidP="00036559"/>
    <w:p w14:paraId="3EEE0FD5" w14:textId="77777777" w:rsidR="003A4C74" w:rsidRPr="00DF6721" w:rsidRDefault="003A4C74" w:rsidP="00036559"/>
    <w:p w14:paraId="784C0844" w14:textId="77777777" w:rsidR="003A4C74" w:rsidRPr="00DF6721" w:rsidRDefault="003A4C74" w:rsidP="00036559"/>
    <w:p w14:paraId="70287BAE" w14:textId="77777777" w:rsidR="003A4C74" w:rsidRPr="00DF6721" w:rsidRDefault="003A4C74" w:rsidP="00036559"/>
    <w:p w14:paraId="7A98E6C5" w14:textId="77777777" w:rsidR="003A4C74" w:rsidRPr="00DF6721" w:rsidRDefault="003A4C74" w:rsidP="00036559"/>
    <w:p w14:paraId="05387548" w14:textId="223CBE30" w:rsidR="003A4C74" w:rsidRDefault="00BC2AB4" w:rsidP="00036559">
      <w:r>
        <w:t xml:space="preserve">                                                                    </w:t>
      </w:r>
    </w:p>
    <w:p w14:paraId="147BDDB5" w14:textId="4658F43C" w:rsidR="0070089C" w:rsidRDefault="001059EC" w:rsidP="00036559">
      <w:pPr>
        <w:rPr>
          <w:b/>
          <w:bCs/>
        </w:rPr>
      </w:pPr>
      <w:r>
        <w:t xml:space="preserve">                                                                                                                                                                                                                                                                                                               </w:t>
      </w:r>
      <w:r w:rsidR="005C6949" w:rsidRPr="005C6949">
        <w:rPr>
          <w:b/>
          <w:bCs/>
        </w:rPr>
        <w:t>Abstra</w:t>
      </w:r>
      <w:r w:rsidR="00F10B8B">
        <w:rPr>
          <w:b/>
          <w:bCs/>
        </w:rPr>
        <w:t>ct</w:t>
      </w:r>
    </w:p>
    <w:p w14:paraId="76E995E2" w14:textId="2776D2A5" w:rsidR="007C05A2" w:rsidRDefault="00194B0B" w:rsidP="00036559">
      <w:r w:rsidRPr="00194B0B">
        <w:t xml:space="preserve">This report explores how health and wellbeing are influenced across the life course, focusing on how different factors affect individuals at various stages of life. The aim of the report is to understand how social, economic and environmental factors impact health outcomes over time using the life course approach. The report is based on a review of relevant theories, policies and research, including the role of social determinants of health. It examines how early life experiences, living conditions and access to healthcare services can shape long-term wellbeing. The findings show that health is not only influenced by individual choices, but also by wider factors such as income, education and environment. The report also identifies that early </w:t>
      </w:r>
      <w:r w:rsidR="00CD4D7E" w:rsidRPr="00194B0B">
        <w:t>intervention,</w:t>
      </w:r>
      <w:r w:rsidRPr="00194B0B">
        <w:t xml:space="preserve"> and preventative strategies can improve health outcomes and reduce inequalities. In conclusion, the life course approach is useful in understanding how health develops over time. The report recommends improving early support, increasing access to services and encouraging better coordination between health and social care services to support individuals throughout their lives.</w:t>
      </w:r>
    </w:p>
    <w:p w14:paraId="6CA237D6" w14:textId="77777777" w:rsidR="007C05A2" w:rsidRDefault="007C05A2" w:rsidP="00036559"/>
    <w:p w14:paraId="3FC7B1C5" w14:textId="77777777" w:rsidR="009E6054" w:rsidRDefault="009E6054" w:rsidP="00C823C2"/>
    <w:p w14:paraId="5DC24BFF" w14:textId="233B94C9" w:rsidR="00C823C2" w:rsidRPr="009E6054" w:rsidRDefault="00C823C2" w:rsidP="00C823C2">
      <w:r w:rsidRPr="0088127B">
        <w:rPr>
          <w:b/>
          <w:lang w:val="fr-FR"/>
        </w:rPr>
        <w:lastRenderedPageBreak/>
        <w:t>Contents</w:t>
      </w:r>
      <w:r w:rsidRPr="0088127B">
        <w:rPr>
          <w:lang w:val="fr-FR"/>
        </w:rPr>
        <w:t xml:space="preserve"> </w:t>
      </w:r>
    </w:p>
    <w:p w14:paraId="01EA5639" w14:textId="0A721A3E" w:rsidR="00C823C2" w:rsidRPr="0088127B" w:rsidRDefault="00C823C2" w:rsidP="00C823C2">
      <w:pPr>
        <w:rPr>
          <w:lang w:val="fr-FR"/>
        </w:rPr>
      </w:pPr>
      <w:r w:rsidRPr="0088127B">
        <w:rPr>
          <w:lang w:val="fr-FR"/>
        </w:rPr>
        <w:t>Section</w:t>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00615149" w:rsidRPr="0088127B">
        <w:rPr>
          <w:lang w:val="fr-FR"/>
        </w:rPr>
        <w:t xml:space="preserve">              </w:t>
      </w:r>
      <w:r w:rsidRPr="0088127B">
        <w:rPr>
          <w:lang w:val="fr-FR"/>
        </w:rPr>
        <w:tab/>
        <w:t xml:space="preserve">Page  </w:t>
      </w:r>
    </w:p>
    <w:p w14:paraId="15FA815B" w14:textId="4135E059" w:rsidR="00C823C2" w:rsidRPr="0088127B" w:rsidRDefault="00A12570" w:rsidP="00A12570">
      <w:pPr>
        <w:tabs>
          <w:tab w:val="left" w:pos="7416"/>
        </w:tabs>
        <w:rPr>
          <w:lang w:val="fr-FR"/>
        </w:rPr>
      </w:pPr>
      <w:r w:rsidRPr="0088127B">
        <w:rPr>
          <w:lang w:val="fr-FR"/>
        </w:rPr>
        <w:tab/>
        <w:t xml:space="preserve">     </w:t>
      </w:r>
    </w:p>
    <w:p w14:paraId="46413FD3" w14:textId="76484988" w:rsidR="00C823C2" w:rsidRPr="0088127B" w:rsidRDefault="00C823C2" w:rsidP="00C823C2">
      <w:pPr>
        <w:rPr>
          <w:lang w:val="fr-FR"/>
        </w:rPr>
      </w:pPr>
      <w:r w:rsidRPr="0088127B">
        <w:rPr>
          <w:lang w:val="fr-FR"/>
        </w:rPr>
        <w:t xml:space="preserve">Title </w:t>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00754574" w:rsidRPr="0088127B">
        <w:rPr>
          <w:lang w:val="fr-FR"/>
        </w:rPr>
        <w:t xml:space="preserve">                       1</w:t>
      </w:r>
    </w:p>
    <w:p w14:paraId="503A623C" w14:textId="2465DBE0" w:rsidR="00C823C2" w:rsidRPr="0088127B" w:rsidRDefault="00C823C2" w:rsidP="00C823C2">
      <w:pPr>
        <w:rPr>
          <w:lang w:val="fr-FR"/>
        </w:rPr>
      </w:pPr>
      <w:r w:rsidRPr="0088127B">
        <w:rPr>
          <w:lang w:val="fr-FR"/>
        </w:rPr>
        <w:t xml:space="preserve">Abstract </w:t>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Pr="0088127B">
        <w:rPr>
          <w:lang w:val="fr-FR"/>
        </w:rPr>
        <w:tab/>
      </w:r>
      <w:r w:rsidR="00754574" w:rsidRPr="0088127B">
        <w:rPr>
          <w:lang w:val="fr-FR"/>
        </w:rPr>
        <w:t xml:space="preserve">                       </w:t>
      </w:r>
      <w:r w:rsidR="002C676E" w:rsidRPr="0088127B">
        <w:rPr>
          <w:lang w:val="fr-FR"/>
        </w:rPr>
        <w:t>2</w:t>
      </w:r>
    </w:p>
    <w:p w14:paraId="56FCFDC9" w14:textId="1CBB3E9A" w:rsidR="008F66CE" w:rsidRDefault="00C823C2" w:rsidP="00C823C2">
      <w:r w:rsidRPr="00C823C2">
        <w:t>Contents</w:t>
      </w:r>
      <w:r w:rsidRPr="00C823C2">
        <w:tab/>
      </w:r>
      <w:r w:rsidRPr="00C823C2">
        <w:tab/>
      </w:r>
      <w:r w:rsidRPr="00C823C2">
        <w:tab/>
      </w:r>
      <w:r w:rsidRPr="00C823C2">
        <w:tab/>
      </w:r>
      <w:r w:rsidRPr="00C823C2">
        <w:tab/>
      </w:r>
      <w:r w:rsidRPr="00C823C2">
        <w:tab/>
      </w:r>
      <w:r w:rsidRPr="00C823C2">
        <w:tab/>
      </w:r>
      <w:r w:rsidRPr="00C823C2">
        <w:tab/>
      </w:r>
      <w:r w:rsidR="00754574">
        <w:t xml:space="preserve">                  </w:t>
      </w:r>
      <w:r w:rsidR="008F66CE">
        <w:t xml:space="preserve">     </w:t>
      </w:r>
      <w:r w:rsidR="002C676E">
        <w:t>3</w:t>
      </w:r>
    </w:p>
    <w:p w14:paraId="7879A762" w14:textId="442D72FF" w:rsidR="00C823C2" w:rsidRPr="00C823C2" w:rsidRDefault="00C823C2" w:rsidP="00C823C2">
      <w:r w:rsidRPr="00C823C2">
        <w:t xml:space="preserve">Introduction to the life course approach to health and wellbeing      </w:t>
      </w:r>
      <w:r w:rsidR="008F66CE">
        <w:t xml:space="preserve">                </w:t>
      </w:r>
      <w:r w:rsidR="002C676E">
        <w:t>4</w:t>
      </w:r>
    </w:p>
    <w:p w14:paraId="716D83AC" w14:textId="77777777" w:rsidR="00F26FFE" w:rsidRDefault="00C823C2" w:rsidP="00C823C2">
      <w:r w:rsidRPr="00C823C2">
        <w:t xml:space="preserve">The life course approach and social factors </w:t>
      </w:r>
      <w:r w:rsidRPr="00C823C2">
        <w:tab/>
      </w:r>
      <w:r w:rsidRPr="00C823C2">
        <w:tab/>
      </w:r>
      <w:r w:rsidR="008F66CE">
        <w:t xml:space="preserve">                                    </w:t>
      </w:r>
      <w:r w:rsidR="002C676E">
        <w:t xml:space="preserve">  </w:t>
      </w:r>
      <w:r w:rsidR="00F26FFE">
        <w:t>5</w:t>
      </w:r>
      <w:r w:rsidRPr="00C823C2">
        <w:tab/>
      </w:r>
      <w:r w:rsidRPr="00C823C2">
        <w:tab/>
      </w:r>
      <w:r w:rsidR="00337C8D">
        <w:t xml:space="preserve">                     </w:t>
      </w:r>
    </w:p>
    <w:p w14:paraId="0E712047" w14:textId="03C1C204" w:rsidR="00C823C2" w:rsidRPr="00C823C2" w:rsidRDefault="00CF16E4" w:rsidP="00C823C2">
      <w:r w:rsidRPr="00C823C2">
        <w:t>The life course approach and economic factors</w:t>
      </w:r>
      <w:r w:rsidRPr="00C823C2">
        <w:tab/>
      </w:r>
      <w:r>
        <w:t xml:space="preserve">                                                     </w:t>
      </w:r>
      <w:r w:rsidR="002C676E">
        <w:t>6</w:t>
      </w:r>
      <w:r w:rsidR="00B829DF">
        <w:t>-7</w:t>
      </w:r>
    </w:p>
    <w:p w14:paraId="55CF367A" w14:textId="242566A2" w:rsidR="00895673" w:rsidRDefault="00C823C2" w:rsidP="00C823C2">
      <w:r w:rsidRPr="00C823C2">
        <w:t>The life course approach and environmental factors</w:t>
      </w:r>
      <w:r w:rsidRPr="00C823C2">
        <w:tab/>
      </w:r>
      <w:r w:rsidR="00211B7C">
        <w:t xml:space="preserve">                                      </w:t>
      </w:r>
      <w:r w:rsidR="002C6DFC">
        <w:t>8-9</w:t>
      </w:r>
    </w:p>
    <w:p w14:paraId="24EFF579" w14:textId="1C34DBD2" w:rsidR="00C823C2" w:rsidRPr="00895673" w:rsidRDefault="00895673" w:rsidP="00C823C2">
      <w:r w:rsidRPr="00895673">
        <w:t>The Main Determinants of Health</w:t>
      </w:r>
      <w:r w:rsidR="00C823C2" w:rsidRPr="00895673">
        <w:tab/>
      </w:r>
      <w:r w:rsidR="00C823C2" w:rsidRPr="00895673">
        <w:tab/>
      </w:r>
      <w:r w:rsidR="002C676E" w:rsidRPr="00895673">
        <w:t xml:space="preserve">  </w:t>
      </w:r>
      <w:r w:rsidR="002C6DFC">
        <w:t xml:space="preserve">                                                                 10</w:t>
      </w:r>
      <w:r w:rsidR="002C676E" w:rsidRPr="00895673">
        <w:t xml:space="preserve">     </w:t>
      </w:r>
      <w:r w:rsidR="0077158F" w:rsidRPr="00895673">
        <w:t xml:space="preserve">  </w:t>
      </w:r>
    </w:p>
    <w:p w14:paraId="0FC2ED92" w14:textId="77777777" w:rsidR="002B1796" w:rsidRDefault="00C823C2" w:rsidP="00C823C2">
      <w:r w:rsidRPr="00C823C2">
        <w:t>Conclusions and recommendations</w:t>
      </w:r>
      <w:r w:rsidRPr="00C823C2">
        <w:tab/>
      </w:r>
      <w:r w:rsidRPr="00C823C2">
        <w:tab/>
      </w:r>
      <w:r w:rsidRPr="00C823C2">
        <w:tab/>
      </w:r>
      <w:r w:rsidRPr="00C823C2">
        <w:tab/>
      </w:r>
      <w:r w:rsidR="002B1796">
        <w:t xml:space="preserve">                       11</w:t>
      </w:r>
      <w:r w:rsidR="0077158F">
        <w:t xml:space="preserve">   </w:t>
      </w:r>
      <w:r w:rsidR="00B543AC">
        <w:t xml:space="preserve">                                                                                                                                </w:t>
      </w:r>
    </w:p>
    <w:p w14:paraId="42C27315" w14:textId="3E24DCC6" w:rsidR="00C823C2" w:rsidRDefault="00563992" w:rsidP="00C823C2">
      <w:r>
        <w:t>Reference Lis</w:t>
      </w:r>
      <w:r w:rsidR="002B1796">
        <w:t xml:space="preserve">                                                                                                                               12</w:t>
      </w:r>
      <w:r w:rsidR="00615149">
        <w:t>-13</w:t>
      </w:r>
      <w:r w:rsidR="002B1796">
        <w:t xml:space="preserve">                                             </w:t>
      </w:r>
    </w:p>
    <w:p w14:paraId="238046E3" w14:textId="77777777" w:rsidR="008B09E9" w:rsidRPr="00C823C2" w:rsidRDefault="008B09E9" w:rsidP="00C823C2"/>
    <w:p w14:paraId="38C5C02D" w14:textId="77777777" w:rsidR="00C823C2" w:rsidRPr="00C823C2" w:rsidRDefault="00C823C2" w:rsidP="00C823C2"/>
    <w:p w14:paraId="156A4622" w14:textId="77777777" w:rsidR="00C823C2" w:rsidRPr="00C823C2" w:rsidRDefault="00C823C2" w:rsidP="00C823C2">
      <w:pPr>
        <w:rPr>
          <w:b/>
        </w:rPr>
      </w:pPr>
    </w:p>
    <w:p w14:paraId="29113A47" w14:textId="77777777" w:rsidR="00C823C2" w:rsidRPr="00C823C2" w:rsidRDefault="00C823C2" w:rsidP="00C823C2">
      <w:pPr>
        <w:rPr>
          <w:b/>
        </w:rPr>
      </w:pPr>
    </w:p>
    <w:p w14:paraId="14F58AEA" w14:textId="77777777" w:rsidR="00C823C2" w:rsidRPr="00C823C2" w:rsidRDefault="00C823C2" w:rsidP="00C823C2">
      <w:pPr>
        <w:rPr>
          <w:b/>
        </w:rPr>
      </w:pPr>
    </w:p>
    <w:p w14:paraId="2ADEF3AC" w14:textId="77777777" w:rsidR="00C823C2" w:rsidRPr="00C823C2" w:rsidRDefault="00C823C2" w:rsidP="00C823C2">
      <w:pPr>
        <w:rPr>
          <w:b/>
        </w:rPr>
      </w:pPr>
    </w:p>
    <w:p w14:paraId="22871E92" w14:textId="77777777" w:rsidR="00F10B8B" w:rsidRDefault="00F10B8B" w:rsidP="00C823C2">
      <w:pPr>
        <w:rPr>
          <w:b/>
          <w:bCs/>
        </w:rPr>
      </w:pPr>
    </w:p>
    <w:p w14:paraId="5CC193A0" w14:textId="77777777" w:rsidR="00F10B8B" w:rsidRDefault="00F10B8B" w:rsidP="00C823C2">
      <w:pPr>
        <w:rPr>
          <w:b/>
          <w:bCs/>
        </w:rPr>
      </w:pPr>
    </w:p>
    <w:p w14:paraId="5C2267FA" w14:textId="77777777" w:rsidR="00F10B8B" w:rsidRDefault="00F10B8B" w:rsidP="00C823C2">
      <w:pPr>
        <w:rPr>
          <w:b/>
          <w:bCs/>
        </w:rPr>
      </w:pPr>
    </w:p>
    <w:p w14:paraId="09B17BB3" w14:textId="77777777" w:rsidR="00F10B8B" w:rsidRDefault="00F10B8B" w:rsidP="00C823C2">
      <w:pPr>
        <w:rPr>
          <w:b/>
          <w:bCs/>
        </w:rPr>
      </w:pPr>
    </w:p>
    <w:p w14:paraId="416871F0" w14:textId="77777777" w:rsidR="00F10B8B" w:rsidRDefault="00F10B8B" w:rsidP="00C823C2">
      <w:pPr>
        <w:rPr>
          <w:b/>
          <w:bCs/>
        </w:rPr>
      </w:pPr>
    </w:p>
    <w:p w14:paraId="008840DB" w14:textId="77777777" w:rsidR="00F10B8B" w:rsidRDefault="00F10B8B" w:rsidP="00C823C2">
      <w:pPr>
        <w:rPr>
          <w:b/>
          <w:bCs/>
        </w:rPr>
      </w:pPr>
    </w:p>
    <w:p w14:paraId="171D759D" w14:textId="77777777" w:rsidR="00F10B8B" w:rsidRDefault="00F10B8B" w:rsidP="00C823C2">
      <w:pPr>
        <w:rPr>
          <w:b/>
          <w:bCs/>
        </w:rPr>
      </w:pPr>
    </w:p>
    <w:p w14:paraId="067220D6" w14:textId="4CC405C0" w:rsidR="00C823C2" w:rsidRPr="00F82FBB" w:rsidRDefault="00F82FBB" w:rsidP="00C823C2">
      <w:pPr>
        <w:rPr>
          <w:b/>
          <w:bCs/>
        </w:rPr>
      </w:pPr>
      <w:r w:rsidRPr="00F82FBB">
        <w:rPr>
          <w:b/>
          <w:bCs/>
        </w:rPr>
        <w:lastRenderedPageBreak/>
        <w:t xml:space="preserve">Introduction to the life course approach to health and wellbeing        </w:t>
      </w:r>
    </w:p>
    <w:p w14:paraId="6AE4DC58" w14:textId="5D43BFB5" w:rsidR="00CD4D7E" w:rsidRDefault="00CD4D7E" w:rsidP="00036559"/>
    <w:p w14:paraId="6E5C7844" w14:textId="087EB33F" w:rsidR="003B447D" w:rsidRDefault="007F0A19" w:rsidP="00036559">
      <w:r w:rsidRPr="007F0A19">
        <w:t>The World Health Organization (WHO, 2015) explains that the life course approach refers to how health outcomes for individuals and communities are shaped by the interaction of risk and protective factors throughout a person’s life. Risk factors are elements that increase the likelihood of poor health, such as poverty or limited access to healthcare, while protective factors, such as education and social support, help to improve health and wellbeing. This approach provides a broader understanding of health and its determinants, highlighting the importance of designing health services that meet people’s needs at each stage of life. Building on this, the life course approach suggests that health is influenced by experiences during key stages, including childhood, adolescence, adulthood and older age, with early life being particularly important as it plays a significant role in physical, emotional and social development and can affect future health outcomes. Kuh and Hardy (2002) argue that disadvantages experienced in early life can accumulate over time, leading to poorer health in later years, which emphasises the importance of early intervention and support to improve long-term wellbeing. For example, children growing up in low-income households may experience poor nutrition, limited educational opportunities and restricted access to healthcare, all of which can negatively affect both physical and mental development and contribute to poorer health outcomes later in life. Marmot (2010) highlights that social and economic inequalities play a significant role in shaping health, particularly during early development; however, positive influences, such as supportive relationships, access to education and stable living environments, can strengthen resilience and reduce the long-term impact of adversity (Rutter, 2012). Despite these strengths, the life course approach can be challenging to implement in practice, as it requires long-term planning, early intervention and effective coordination across multiple services, including health, education and social care, which can be difficult due to limited resources and fragmented systems (Ben-Shlomo and Kuh, 2002). Therefore, this report will first examine the key concepts and theories related to the life course approach, followed by an analysis of the social determinants of health, before evaluating relevant policies and interventions aimed at improving health and wellbeing across different life stages and concluding with recommendations for future practice.</w:t>
      </w:r>
    </w:p>
    <w:p w14:paraId="526D91F6" w14:textId="77777777" w:rsidR="003B447D" w:rsidRDefault="003B447D" w:rsidP="00036559"/>
    <w:p w14:paraId="2ADA7A7A" w14:textId="77777777" w:rsidR="003B447D" w:rsidRDefault="003B447D" w:rsidP="00036559"/>
    <w:p w14:paraId="0855853F" w14:textId="77777777" w:rsidR="003B447D" w:rsidRDefault="003B447D" w:rsidP="00036559"/>
    <w:p w14:paraId="1B437D52" w14:textId="48337254" w:rsidR="009D1AFF" w:rsidRDefault="009D1AFF" w:rsidP="00036559"/>
    <w:p w14:paraId="2D00F7EE" w14:textId="193438C9" w:rsidR="00537A80" w:rsidRPr="00537A80" w:rsidRDefault="00537A80" w:rsidP="00036559">
      <w:pPr>
        <w:rPr>
          <w:b/>
          <w:bCs/>
        </w:rPr>
      </w:pPr>
      <w:r w:rsidRPr="00537A80">
        <w:rPr>
          <w:b/>
          <w:bCs/>
        </w:rPr>
        <w:lastRenderedPageBreak/>
        <w:t xml:space="preserve">The life course approach and social factors </w:t>
      </w:r>
      <w:r w:rsidRPr="00537A80">
        <w:rPr>
          <w:b/>
          <w:bCs/>
        </w:rPr>
        <w:tab/>
      </w:r>
    </w:p>
    <w:p w14:paraId="1E4FABB4" w14:textId="663E8BCC" w:rsidR="00D11DFA" w:rsidRDefault="003C5BA7" w:rsidP="00036559">
      <w:r w:rsidRPr="003C5BA7">
        <w:t>Supportive family environments play a crucial role in children’s emotional and cognitive development. When children feel supported at home, they are more likely to develop strong thinking skills, regulate their emotions and build secure relationships with caregivers. This can lead to better mental health and improved performance at school, even when facing challenges such as poverty or social disadvantage. For example, children who receive consistent emotional support from parents are more likely to cope effectively with stress and perform better academically (Gartland et al., 2019). In contrast, negative family environments, where there is limited emotional support or excessive control, can increase the risk of mental health problems, including depression in young adults. Reed et al. (2015) found that individuals exposed to controlling or neglectful parenting were more likely to experience low self-esteem and depressive symptoms in early adulthood. For instance, young people raised in highly critical or emotionally distant households may struggle with self-confidence, making them more vulnerable to anxiety and depression. However, support from others outside the family can reduce these negative effects. For example, a supportive teacher who encourages a student’s abilities, or friendships that provide emotional reassurance, can help build resilience and protect mental wellbeing during difficult life stages (Reed et al., 2015). This demonstrates the importance of strong support systems both within and beyond the family.</w:t>
      </w:r>
    </w:p>
    <w:p w14:paraId="1A385250" w14:textId="257811FB" w:rsidR="006208A8" w:rsidRDefault="006208A8" w:rsidP="00036559">
      <w:r w:rsidRPr="006208A8">
        <w:t>Social factors such as education, income and living conditions are also strongly linked to health and wellbeing across the life course. For example, education influences health because it affects employment opportunities and income levels. Individuals with higher education are more likely to secure stable, well-paid jobs, which allows them to afford better housing, nutritious food and access to healthcare. This reduces the risk of illness and supports overall wellbeing. In contrast, those with limited education may experience unemployment or low income, leading to financial stress and poorer living conditions, which negatively affect both physical and mental health. Similarly, children who grow up in unstable or deprived environments are more likely to experience stress and limited opportunities, which can impact their development and increase the risk of health problems later in life (Public Health England, 2019a). The Marmot Review further explains that people from lower socioeconomic backgrounds experience poorer health outcomes because they are more exposed to these disadvantages, including poor housing and limited access to resources (Marmot, 2010). Although social programmes aim to improve wellbeing, they often focus on short-term support rather than addressing root causes such as poverty, meaning inequalities in health continue over time.</w:t>
      </w:r>
    </w:p>
    <w:p w14:paraId="62DC2728" w14:textId="77777777" w:rsidR="00D11DFA" w:rsidRDefault="00D11DFA" w:rsidP="00036559"/>
    <w:p w14:paraId="0EFCA616" w14:textId="76490CBB" w:rsidR="00CF16E4" w:rsidRPr="00922DC0" w:rsidRDefault="00CF16E4" w:rsidP="00CF16E4">
      <w:pPr>
        <w:jc w:val="both"/>
        <w:rPr>
          <w:b/>
          <w:bCs/>
        </w:rPr>
      </w:pPr>
      <w:r w:rsidRPr="00922DC0">
        <w:rPr>
          <w:b/>
          <w:bCs/>
        </w:rPr>
        <w:lastRenderedPageBreak/>
        <w:t xml:space="preserve">Life </w:t>
      </w:r>
      <w:r w:rsidR="00A947D5" w:rsidRPr="00922DC0">
        <w:rPr>
          <w:b/>
          <w:bCs/>
        </w:rPr>
        <w:t xml:space="preserve">course </w:t>
      </w:r>
      <w:r w:rsidR="00650877" w:rsidRPr="00922DC0">
        <w:rPr>
          <w:b/>
          <w:bCs/>
        </w:rPr>
        <w:t>approach and economic factors</w:t>
      </w:r>
    </w:p>
    <w:p w14:paraId="7221AFAC" w14:textId="77777777" w:rsidR="001404BA" w:rsidRDefault="001404BA" w:rsidP="001404BA">
      <w:r>
        <w:t>Economic factors are among the most significant influences on health and wellbeing because they determine an individual’s ability to access essential resources such as safe housing, nutritious food and healthcare services (World Health Organization, 2008). A key concept used to explain this relationship is the social gradient in health, which refers to the pattern whereby people with lower socioeconomic status experience progressively worse health outcomes compared to those in higher positions. This occurs because individuals on lower incomes are more likely to live in poorer conditions, experience financial stress and have limited access to healthcare, all of which increase the risk of illness (World Health Organization, 2008). For example, people in low-income households may be unable to afford healthy food or live in overcrowded housing, increasing their risk of conditions such as obesity or respiratory illness.</w:t>
      </w:r>
    </w:p>
    <w:p w14:paraId="115D5C16" w14:textId="77777777" w:rsidR="001404BA" w:rsidRDefault="001404BA" w:rsidP="001404BA">
      <w:r>
        <w:t>Poverty transitions, which refer to changes into or out of poverty over time, are influenced by both social background and life events such as illness, job loss or family breakdown. Fuchs (2017) explains that while social class plays a role in shaping opportunities, unexpected life events often have a stronger impact on whether an individual requires financial support. For instance, a person who develops a long-term illness may be unable to continue working, leading to loss of income and reliance on social assistance. This demonstrates the life course approach, as health and economic circumstances interact over time, with disadvantages accumulating and increasing the risk of long-term hardship.</w:t>
      </w:r>
    </w:p>
    <w:p w14:paraId="45A2828C" w14:textId="77777777" w:rsidR="001404BA" w:rsidRDefault="001404BA" w:rsidP="001404BA">
      <w:r>
        <w:t>Economic disadvantage can affect individuals at different stages of life. In childhood, poverty can limit access to education and adequate nutrition, which can negatively affect physical growth and cognitive development. This may lead to lower educational attainment and reduced employment opportunities in adulthood. In later life stages, insecure or low-paid employment can contribute to chronic stress, which is linked to mental health problems such as anxiety and depression, as well as physical conditions like cardiovascular disease. Evidence from the Office for National Statistics (2021) shows that individuals living in more deprived areas have lower life expectancy and spend more years in poor health, highlighting how economic inequalities persist across the life course.</w:t>
      </w:r>
    </w:p>
    <w:p w14:paraId="7CD82F26" w14:textId="77777777" w:rsidR="00EA1F7B" w:rsidRDefault="001404BA" w:rsidP="001404BA">
      <w:r>
        <w:t>Policies introduced by the Department of Health and Social Care (2021) aim to reduce these inequalities, for example through public health programmes and financial support schemes. However, these policies are often criticised for focusing on short-term outcomes rather than long-term structural change. For example, short-term interventions such as temporary financial support or employment schemes may provide immediate relief but do not address underlying issues such as low wages, limited access to education or regional</w:t>
      </w:r>
    </w:p>
    <w:p w14:paraId="06770470" w14:textId="35AE5AA5" w:rsidR="001404BA" w:rsidRDefault="001404BA" w:rsidP="001404BA">
      <w:r>
        <w:lastRenderedPageBreak/>
        <w:t>inequalities in job opportunities. As a result, the root causes of poverty and poor health remain.</w:t>
      </w:r>
    </w:p>
    <w:p w14:paraId="6E0E250E" w14:textId="1EF1EC6B" w:rsidR="005923BE" w:rsidRDefault="001404BA" w:rsidP="001404BA">
      <w:r>
        <w:t xml:space="preserve">In addition, balancing work and family life during adulthood can have a significant impact on wellbeing. Lacey et al. (2016) found that individuals who </w:t>
      </w:r>
      <w:proofErr w:type="gramStart"/>
      <w:r>
        <w:t>are able to</w:t>
      </w:r>
      <w:proofErr w:type="gramEnd"/>
      <w:r>
        <w:t xml:space="preserve"> maintain stable employment while also sustaining positive family relationships tend to report higher life satisfaction and better mental health. This is because stable income provides financial security, while supportive relationships reduce stress and promote emotional wellbeing. Therefore, economic stability, combined with strong social support, plays a key role in shaping health outcomes over time.</w:t>
      </w:r>
    </w:p>
    <w:p w14:paraId="64CF92FE" w14:textId="77777777" w:rsidR="00E42DE2" w:rsidRDefault="00E42DE2" w:rsidP="00036559"/>
    <w:p w14:paraId="5F99C7FF" w14:textId="77777777" w:rsidR="00E42DE2" w:rsidRDefault="00E42DE2" w:rsidP="00036559"/>
    <w:p w14:paraId="267CB1E7" w14:textId="77777777" w:rsidR="00E42DE2" w:rsidRDefault="00E42DE2" w:rsidP="00036559"/>
    <w:p w14:paraId="5833CB5C" w14:textId="77777777" w:rsidR="00E42DE2" w:rsidRDefault="00E42DE2" w:rsidP="00036559"/>
    <w:p w14:paraId="5D879318" w14:textId="77777777" w:rsidR="00E42DE2" w:rsidRDefault="00E42DE2" w:rsidP="00036559"/>
    <w:p w14:paraId="14EA15A9" w14:textId="77777777" w:rsidR="00E42DE2" w:rsidRDefault="00E42DE2" w:rsidP="00036559"/>
    <w:p w14:paraId="044DB1C6" w14:textId="77777777" w:rsidR="00E42DE2" w:rsidRDefault="00E42DE2" w:rsidP="00036559"/>
    <w:p w14:paraId="11644B25" w14:textId="77777777" w:rsidR="00E42DE2" w:rsidRDefault="00E42DE2" w:rsidP="00036559"/>
    <w:p w14:paraId="4CF1BFC0" w14:textId="77777777" w:rsidR="00E42DE2" w:rsidRDefault="00E42DE2" w:rsidP="00036559"/>
    <w:p w14:paraId="0DD613B3" w14:textId="77777777" w:rsidR="00E42DE2" w:rsidRDefault="00E42DE2" w:rsidP="00036559"/>
    <w:p w14:paraId="6E982738" w14:textId="77777777" w:rsidR="00E42DE2" w:rsidRDefault="00E42DE2" w:rsidP="00036559"/>
    <w:p w14:paraId="60D00D50" w14:textId="77777777" w:rsidR="00E42DE2" w:rsidRDefault="00E42DE2" w:rsidP="00036559"/>
    <w:p w14:paraId="761F9DBB" w14:textId="77777777" w:rsidR="00E42DE2" w:rsidRDefault="00E42DE2" w:rsidP="00036559"/>
    <w:p w14:paraId="44FDCD0D" w14:textId="77777777" w:rsidR="00E42DE2" w:rsidRDefault="00E42DE2" w:rsidP="00036559"/>
    <w:p w14:paraId="1F7521FB" w14:textId="77777777" w:rsidR="00E42DE2" w:rsidRDefault="00E42DE2" w:rsidP="00036559"/>
    <w:p w14:paraId="4050762E" w14:textId="77777777" w:rsidR="00E42DE2" w:rsidRDefault="00E42DE2" w:rsidP="00036559"/>
    <w:p w14:paraId="4C90C424" w14:textId="77777777" w:rsidR="00E42DE2" w:rsidRDefault="00E42DE2" w:rsidP="00036559"/>
    <w:p w14:paraId="5FF537F5" w14:textId="77777777" w:rsidR="00E42DE2" w:rsidRDefault="00E42DE2" w:rsidP="00036559"/>
    <w:p w14:paraId="42192A7C" w14:textId="77777777" w:rsidR="00E42DE2" w:rsidRDefault="00E42DE2" w:rsidP="00036559"/>
    <w:p w14:paraId="27147555" w14:textId="224C71C2" w:rsidR="009D1AFF" w:rsidRPr="008D78A2" w:rsidRDefault="003118DD" w:rsidP="00036559">
      <w:pPr>
        <w:rPr>
          <w:b/>
          <w:bCs/>
        </w:rPr>
      </w:pPr>
      <w:r w:rsidRPr="008D78A2">
        <w:rPr>
          <w:b/>
          <w:bCs/>
        </w:rPr>
        <w:lastRenderedPageBreak/>
        <w:t xml:space="preserve"> Life course approach </w:t>
      </w:r>
      <w:r w:rsidR="008D78A2" w:rsidRPr="008D78A2">
        <w:rPr>
          <w:b/>
          <w:bCs/>
        </w:rPr>
        <w:t>and environment factors</w:t>
      </w:r>
    </w:p>
    <w:p w14:paraId="00C014FC" w14:textId="1145C95C" w:rsidR="00415AEA" w:rsidRDefault="00415AEA" w:rsidP="00415AEA">
      <w:r>
        <w:t xml:space="preserve">Environmental factors play a major role in shaping health and wellbeing because they influence people’s daily living conditions and long-term exposure to risk. Access to healthcare is not only determined by the availability of hospitals or </w:t>
      </w:r>
      <w:r w:rsidR="007D62EE">
        <w:t>doctors but</w:t>
      </w:r>
      <w:r>
        <w:t xml:space="preserve"> is also influenced by wider social and environmental conditions such as housing quality, income levels and transport. For example, people living in deprived communities may face barriers such as poor transport links, making it harder to attend GP appointments or access specialist services. In addition, areas with poor housing conditions and high pollution levels are often linked with reduced access to healthy food options and limited healthcare resources, which contributes to ongoing health inequalities. Although healthcare systems aim to reduce these gaps, they do not always fully consider how living conditions such as overcrowding, unemployment or unsafe environments affect people’s ability to use services effectively. As a result, individuals in disadvantaged areas may experience delayed treatment or reduced access to preventative care, which can worsen long-term health outcomes. Furthermore, early life exposure to poor housing or unsafe environments can have lasting effects into adulthood, influencing both where people live later in life and their overall health status. This highlights the importance of early intervention and a life course approach that addresses environmental inequalities from childhood onwards (Pereira, 2024).</w:t>
      </w:r>
    </w:p>
    <w:p w14:paraId="3371BF37" w14:textId="0D02CE3E" w:rsidR="008D78A2" w:rsidRDefault="00415AEA" w:rsidP="00415AEA">
      <w:r>
        <w:t xml:space="preserve">Environmental conditions such as housing quality, air pollution and access to green spaces also have a significant impact on physical and mental health throughout life. Poor housing conditions, including damp, mould and overcrowding, are strongly associated with respiratory illnesses such as asthma and can increase stress levels due to discomfort, lack of privacy and financial pressure. For example, living in overcrowded housing may lead to poor sleep and increased anxiety, which can negatively affect both mental and physical wellbeing over time. Research by </w:t>
      </w:r>
      <w:r w:rsidR="00D6401E">
        <w:t>V</w:t>
      </w:r>
      <w:r>
        <w:t xml:space="preserve">an den Hazel (2025) highlights that access to green spaces supports health across all life stages by encouraging physical activity, reducing stress and promoting social interaction. This research is based on observational studies comparing individuals with regular access to parks and natural environments to those without, showing lower reported levels of anxiety and improved mental wellbeing among those with better access to green space. Air pollution also remains a major environmental risk, particularly in urban areas, where long-term exposure has been linked to conditions such as asthma, cardiovascular disease and reduced lung function (Pun et al., 2021). The NHS England (2019) emphasises the importance of improving environmental conditions, stating that cleaner air, better housing and increased access to green spaces can significantly reduce preventable illness and improve overall population health. However, </w:t>
      </w:r>
      <w:r>
        <w:lastRenderedPageBreak/>
        <w:t>despite these efforts, unequal access to healthy environments continues to widen health inequalities, particularly for individuals living in deprived urban areas.</w:t>
      </w:r>
    </w:p>
    <w:p w14:paraId="2B33DC7B" w14:textId="77777777" w:rsidR="00895673" w:rsidRDefault="00895673" w:rsidP="00415AEA"/>
    <w:p w14:paraId="71B3DCF9" w14:textId="77777777" w:rsidR="00895673" w:rsidRDefault="00895673" w:rsidP="00415AEA"/>
    <w:p w14:paraId="24D794D6" w14:textId="77777777" w:rsidR="00895673" w:rsidRDefault="00895673" w:rsidP="00415AEA"/>
    <w:p w14:paraId="25D264D4" w14:textId="77777777" w:rsidR="00895673" w:rsidRDefault="00895673" w:rsidP="00415AEA"/>
    <w:p w14:paraId="3BBECE86" w14:textId="77777777" w:rsidR="00895673" w:rsidRDefault="00895673" w:rsidP="00415AEA"/>
    <w:p w14:paraId="52ACEFD9" w14:textId="77777777" w:rsidR="00895673" w:rsidRDefault="00895673" w:rsidP="00415AEA"/>
    <w:p w14:paraId="20FB00B0" w14:textId="77777777" w:rsidR="00895673" w:rsidRDefault="00895673" w:rsidP="00415AEA"/>
    <w:p w14:paraId="7D32ED23" w14:textId="77777777" w:rsidR="00895673" w:rsidRDefault="00895673" w:rsidP="00415AEA"/>
    <w:p w14:paraId="5D83F4EE" w14:textId="77777777" w:rsidR="00895673" w:rsidRDefault="00895673" w:rsidP="00415AEA"/>
    <w:p w14:paraId="13D53AB9" w14:textId="77777777" w:rsidR="00895673" w:rsidRDefault="00895673" w:rsidP="00415AEA"/>
    <w:p w14:paraId="406ACB18" w14:textId="77777777" w:rsidR="00895673" w:rsidRDefault="00895673" w:rsidP="00415AEA"/>
    <w:p w14:paraId="437AB8B4" w14:textId="77777777" w:rsidR="00895673" w:rsidRDefault="00895673" w:rsidP="00415AEA"/>
    <w:p w14:paraId="41A12A9F" w14:textId="77777777" w:rsidR="00895673" w:rsidRDefault="00895673" w:rsidP="00415AEA"/>
    <w:p w14:paraId="3FCB19FC" w14:textId="77777777" w:rsidR="00895673" w:rsidRDefault="00895673" w:rsidP="00415AEA"/>
    <w:p w14:paraId="2D03654C" w14:textId="77777777" w:rsidR="00895673" w:rsidRDefault="00895673" w:rsidP="00415AEA"/>
    <w:p w14:paraId="3C4D3075" w14:textId="77777777" w:rsidR="00895673" w:rsidRDefault="00895673" w:rsidP="00415AEA"/>
    <w:p w14:paraId="19227507" w14:textId="77777777" w:rsidR="00895673" w:rsidRDefault="00895673" w:rsidP="00415AEA"/>
    <w:p w14:paraId="7317962C" w14:textId="77777777" w:rsidR="00895673" w:rsidRDefault="00895673" w:rsidP="00415AEA"/>
    <w:p w14:paraId="09D44EE5" w14:textId="77777777" w:rsidR="00895673" w:rsidRDefault="00895673" w:rsidP="00415AEA"/>
    <w:p w14:paraId="20503ECF" w14:textId="77777777" w:rsidR="00895673" w:rsidRDefault="00895673" w:rsidP="00415AEA"/>
    <w:p w14:paraId="57A632EE" w14:textId="77777777" w:rsidR="00895673" w:rsidRDefault="00895673" w:rsidP="00415AEA"/>
    <w:p w14:paraId="03E5388F" w14:textId="77777777" w:rsidR="00895673" w:rsidRDefault="00895673" w:rsidP="00415AEA"/>
    <w:p w14:paraId="19949272" w14:textId="77777777" w:rsidR="00895673" w:rsidRDefault="00895673" w:rsidP="00415AEA"/>
    <w:p w14:paraId="26D547CE" w14:textId="77777777" w:rsidR="00895673" w:rsidRDefault="00895673" w:rsidP="00415AEA"/>
    <w:p w14:paraId="783FB0FF" w14:textId="77777777" w:rsidR="0032718A" w:rsidRPr="0032718A" w:rsidRDefault="0032718A" w:rsidP="0032718A">
      <w:r w:rsidRPr="0032718A">
        <w:rPr>
          <w:b/>
          <w:bCs/>
        </w:rPr>
        <w:lastRenderedPageBreak/>
        <w:t>The Main Determinants of Health (Dahlgren and Whitehead, 2006, p. 20)</w:t>
      </w:r>
    </w:p>
    <w:p w14:paraId="3C7A5EE3" w14:textId="2A446C09" w:rsidR="009D1AFF" w:rsidRDefault="00EC566C" w:rsidP="0032718A">
      <w:r w:rsidRPr="00EC566C">
        <w:t>The Dahlgren and Whitehead (2006) model explains that health is influenced by multiple layers of factors surrounding the individual. At the centre are fixed factors such as age and genetics. The next layer includes lifestyle behaviours like diet, smoking and exercise, which can be influenced by personal choices and access to resources. Social and community networks also affect health, as strong relationships can improve mental wellbeing, while isolation can increase the risk of poor health. Wider factors such as housing, education, employment and access to healthcare play a major role, as poor living conditions and insecure work are linked to higher levels of illness. Finally, broader social and economic conditions, such as income inequality and environmental quality, strongly shape overall population health. Evidence from Public Health England (2019) and the Marmot Review (2010) shows that people in deprived areas experience significantly worse health outcomes. Overall, the model highlights that health is not only based on individual choices but is strongly influenced by wider social and economic conditions.</w:t>
      </w:r>
    </w:p>
    <w:p w14:paraId="4253252C" w14:textId="0DB7610F" w:rsidR="006C2300" w:rsidRDefault="00EC566C" w:rsidP="00036559">
      <w:r w:rsidRPr="0032718A">
        <w:rPr>
          <w:noProof/>
        </w:rPr>
        <w:drawing>
          <wp:inline distT="0" distB="0" distL="0" distR="0" wp14:anchorId="4F13473A" wp14:editId="31A0608D">
            <wp:extent cx="2819400" cy="2011680"/>
            <wp:effectExtent l="0" t="0" r="0" b="7620"/>
            <wp:docPr id="969511342" name="Picture 2">
              <a:extLst xmlns:a="http://schemas.openxmlformats.org/drawingml/2006/main">
                <a:ext uri="{FF2B5EF4-FFF2-40B4-BE49-F238E27FC236}">
                  <a16:creationId xmlns:a16="http://schemas.microsoft.com/office/drawing/2014/main" id="{7A8FFC0A-92A5-415D-8AF5-11D55CA0C79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2"/>
                    <pic:cNvPicPr>
                      <a:picLocks noGrp="1"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2011680"/>
                    </a:xfrm>
                    <a:prstGeom prst="rect">
                      <a:avLst/>
                    </a:prstGeom>
                    <a:noFill/>
                    <a:ln>
                      <a:noFill/>
                    </a:ln>
                  </pic:spPr>
                </pic:pic>
              </a:graphicData>
            </a:graphic>
          </wp:inline>
        </w:drawing>
      </w:r>
    </w:p>
    <w:p w14:paraId="66A6C9CA" w14:textId="77777777" w:rsidR="006C2300" w:rsidRDefault="006C2300" w:rsidP="00036559"/>
    <w:p w14:paraId="085B0325" w14:textId="7894CC43" w:rsidR="00BC2AB4" w:rsidRDefault="00BC2AB4" w:rsidP="00036559"/>
    <w:p w14:paraId="56504823" w14:textId="77777777" w:rsidR="00354FCC" w:rsidRDefault="00354FCC" w:rsidP="00036559"/>
    <w:p w14:paraId="649A608E" w14:textId="77777777" w:rsidR="00354FCC" w:rsidRDefault="00354FCC" w:rsidP="00036559"/>
    <w:p w14:paraId="2033451B" w14:textId="77777777" w:rsidR="00354FCC" w:rsidRDefault="00354FCC" w:rsidP="00036559"/>
    <w:p w14:paraId="0A4BEB99" w14:textId="77777777" w:rsidR="00354FCC" w:rsidRDefault="00354FCC" w:rsidP="00036559"/>
    <w:p w14:paraId="5169E892" w14:textId="77777777" w:rsidR="00EC566C" w:rsidRDefault="00EC566C" w:rsidP="00036559"/>
    <w:p w14:paraId="0A7D0B09" w14:textId="77777777" w:rsidR="00895673" w:rsidRDefault="00895673" w:rsidP="00036559"/>
    <w:p w14:paraId="44FCCB38" w14:textId="77777777" w:rsidR="00895673" w:rsidRDefault="00895673" w:rsidP="00036559"/>
    <w:p w14:paraId="4BAF7364" w14:textId="064648F7" w:rsidR="00354FCC" w:rsidRPr="00AD6428" w:rsidRDefault="00AD6428" w:rsidP="00036559">
      <w:pPr>
        <w:rPr>
          <w:b/>
          <w:bCs/>
        </w:rPr>
      </w:pPr>
      <w:r w:rsidRPr="00AD6428">
        <w:rPr>
          <w:b/>
          <w:bCs/>
        </w:rPr>
        <w:lastRenderedPageBreak/>
        <w:t xml:space="preserve">Conclusion and recommendation </w:t>
      </w:r>
    </w:p>
    <w:p w14:paraId="38E1FF67" w14:textId="77777777" w:rsidR="00594BCE" w:rsidRDefault="00DB6501" w:rsidP="00036559">
      <w:r w:rsidRPr="00DB6501">
        <w:t>In conclusion, the life course approach provides a valuable framework for understanding how health and wellbeing develop over time, as it shows that social, economic and environmental factors interact across different stages of life to influence long-term outcomes. Evidence suggests that although interventions can improve health, their effectiveness is often limited by wider inequalities such as poverty, poor housing and unequal access to services, which continue to shape opportunities throughout the lifespan. This is supported by organisations such as the World Health Organization, which recognises that health is determined by broader social conditions rather than healthcare alone, and by the Marmot Review, which highlights that reducing inequality is essential for improving population health.</w:t>
      </w:r>
    </w:p>
    <w:p w14:paraId="23F5E6F1" w14:textId="702AE6B7" w:rsidR="00BC2AB4" w:rsidRDefault="00DB6501" w:rsidP="00036559">
      <w:r w:rsidRPr="00DB6501">
        <w:t xml:space="preserve"> Therefore, future improvements should focus on a combination of early intervention and structural change. Firstly, greater investment in early childhood programmes is recommended, as early experiences have long-term effects on health and development; for example, high-quality early education and parenting support can improve cognitive and emotional outcomes. Secondly, stronger integration between healthcare, education and social care services is needed to ensure individuals receive consistent support throughout their lives, such as coordinated care plans for families experiencing multiple disadvantages. Thirdly, reducing inequalities in income, housing and employment should be prioritised, as these are key determinants of health; for instance, improving access to affordable housing and stable employment can reduce stress and improve wellbeing. Finally, involving local communities in planning and delivering services can increase effectiveness by ensuring support is tailored to real needs, as recognised by Public Health England, which emphasises community-based approaches to health improvement. Overall, a combined strategy focusing on early intervention, service integration and inequality reduction is essential to achieve long-term improvements in health and wellbeing.</w:t>
      </w:r>
    </w:p>
    <w:p w14:paraId="1E0B060F" w14:textId="77777777" w:rsidR="00BC2AB4" w:rsidRDefault="00BC2AB4" w:rsidP="00036559"/>
    <w:p w14:paraId="5E185951" w14:textId="77777777" w:rsidR="00BC2AB4" w:rsidRDefault="00BC2AB4" w:rsidP="00036559"/>
    <w:p w14:paraId="6C96F4D6" w14:textId="77777777" w:rsidR="00BC2AB4" w:rsidRDefault="00BC2AB4" w:rsidP="00036559"/>
    <w:p w14:paraId="296AA51A" w14:textId="77777777" w:rsidR="00C57CCD" w:rsidRDefault="00C57CCD" w:rsidP="00C57CCD"/>
    <w:p w14:paraId="32DF1182" w14:textId="77777777" w:rsidR="00EE4A09" w:rsidRDefault="00EE4A09" w:rsidP="00C57CCD"/>
    <w:p w14:paraId="55ABA2D2" w14:textId="77777777" w:rsidR="00EC566C" w:rsidRDefault="00C57CCD" w:rsidP="00C57CCD">
      <w:pPr>
        <w:rPr>
          <w:b/>
          <w:bCs/>
        </w:rPr>
      </w:pPr>
      <w:r w:rsidRPr="00AD6428">
        <w:rPr>
          <w:b/>
          <w:bCs/>
        </w:rPr>
        <w:t xml:space="preserve"> </w:t>
      </w:r>
    </w:p>
    <w:p w14:paraId="663B0517" w14:textId="77777777" w:rsidR="00EC566C" w:rsidRDefault="00EC566C" w:rsidP="00C57CCD">
      <w:pPr>
        <w:rPr>
          <w:b/>
          <w:bCs/>
        </w:rPr>
      </w:pPr>
    </w:p>
    <w:p w14:paraId="0B369BD0" w14:textId="05D21F84" w:rsidR="00C57CCD" w:rsidRDefault="00C57CCD" w:rsidP="00C57CCD">
      <w:pPr>
        <w:rPr>
          <w:b/>
          <w:bCs/>
        </w:rPr>
      </w:pPr>
      <w:r w:rsidRPr="00AD6428">
        <w:rPr>
          <w:b/>
          <w:bCs/>
        </w:rPr>
        <w:lastRenderedPageBreak/>
        <w:t xml:space="preserve">Reference List </w:t>
      </w:r>
    </w:p>
    <w:p w14:paraId="2B044D1E" w14:textId="77777777" w:rsidR="007F2AD4" w:rsidRPr="004929D1" w:rsidRDefault="007F2AD4" w:rsidP="007F2AD4">
      <w:r w:rsidRPr="004929D1">
        <w:t>Ben-Shlomo, Y. and Kuh, D. (2002) ‘</w:t>
      </w:r>
      <w:r w:rsidRPr="004929D1">
        <w:rPr>
          <w:i/>
          <w:iCs/>
        </w:rPr>
        <w:t>A life course approach to chronic disease epidemiology’, International Journal of Epidemiology</w:t>
      </w:r>
      <w:r w:rsidRPr="004929D1">
        <w:t>, 31(2), pp. 285–293.</w:t>
      </w:r>
    </w:p>
    <w:p w14:paraId="5F0F4E4A" w14:textId="77777777" w:rsidR="007F2AD4" w:rsidRPr="004929D1" w:rsidRDefault="007F2AD4" w:rsidP="007F2AD4">
      <w:r w:rsidRPr="004929D1">
        <w:t xml:space="preserve">Dahlgren, G. and Whitehead, M. (2006) </w:t>
      </w:r>
      <w:r w:rsidRPr="00652D9E">
        <w:rPr>
          <w:i/>
          <w:iCs/>
        </w:rPr>
        <w:t>European strategies for tackling social inequities in health: Levelling up Part 2.</w:t>
      </w:r>
      <w:r w:rsidRPr="004929D1">
        <w:t xml:space="preserve"> Copenhagen: WHO Regional Office for Europe.</w:t>
      </w:r>
    </w:p>
    <w:p w14:paraId="693B5747" w14:textId="77777777" w:rsidR="007F2AD4" w:rsidRPr="004929D1" w:rsidRDefault="007F2AD4" w:rsidP="007F2AD4">
      <w:r w:rsidRPr="004929D1">
        <w:t xml:space="preserve">Department of Health and Social Care (2021) </w:t>
      </w:r>
      <w:r w:rsidRPr="00652D9E">
        <w:rPr>
          <w:i/>
          <w:iCs/>
        </w:rPr>
        <w:t>Levelling up health disparities.</w:t>
      </w:r>
      <w:r w:rsidRPr="004929D1">
        <w:t xml:space="preserve"> London: DHSC.</w:t>
      </w:r>
    </w:p>
    <w:p w14:paraId="24903C4D" w14:textId="77777777" w:rsidR="007F2AD4" w:rsidRPr="004929D1" w:rsidRDefault="007F2AD4" w:rsidP="007F2AD4">
      <w:r w:rsidRPr="004929D1">
        <w:t xml:space="preserve">Fuchs, B. (2017) </w:t>
      </w:r>
      <w:r w:rsidRPr="00660B0B">
        <w:rPr>
          <w:i/>
          <w:iCs/>
        </w:rPr>
        <w:t>‘</w:t>
      </w:r>
      <w:r w:rsidRPr="000F3FD8">
        <w:t>Risk factors of social assistance transitions: a case-control study in Germany</w:t>
      </w:r>
      <w:r w:rsidRPr="00660B0B">
        <w:rPr>
          <w:i/>
          <w:iCs/>
        </w:rPr>
        <w:t>’, International Journal of Sociology and Social Policy,</w:t>
      </w:r>
      <w:r w:rsidRPr="004929D1">
        <w:t xml:space="preserve"> 37(13/14), pp. 714–728. https://doi.org/10.1108/IJSSP-11-2016-0123</w:t>
      </w:r>
      <w:r w:rsidRPr="004929D1">
        <w:rPr>
          <w:rFonts w:ascii="Segoe UI Symbol" w:hAnsi="Segoe UI Symbol" w:cs="Segoe UI Symbol"/>
        </w:rPr>
        <w:t>⁠</w:t>
      </w:r>
      <w:r w:rsidRPr="004929D1">
        <w:rPr>
          <w:rFonts w:ascii="Aptos" w:hAnsi="Aptos" w:cs="Aptos"/>
        </w:rPr>
        <w:t>�</w:t>
      </w:r>
    </w:p>
    <w:p w14:paraId="4C6612F7" w14:textId="77777777" w:rsidR="007F2AD4" w:rsidRPr="004929D1" w:rsidRDefault="007F2AD4" w:rsidP="007F2AD4">
      <w:r w:rsidRPr="004929D1">
        <w:t>Gartland, D. et al. (2019) ‘Factors linked to resilience in children facing social adversity: a systematic review’</w:t>
      </w:r>
      <w:r w:rsidRPr="00D63E53">
        <w:rPr>
          <w:i/>
          <w:iCs/>
        </w:rPr>
        <w:t xml:space="preserve">, </w:t>
      </w:r>
      <w:r w:rsidRPr="006F52D5">
        <w:rPr>
          <w:i/>
          <w:iCs/>
        </w:rPr>
        <w:t xml:space="preserve">BMJ Open, </w:t>
      </w:r>
      <w:r w:rsidRPr="004929D1">
        <w:t>9(4), e024870. https://doi.org/10.1136/bmjopen-2018-024870</w:t>
      </w:r>
      <w:r w:rsidRPr="004929D1">
        <w:rPr>
          <w:rFonts w:ascii="Segoe UI Symbol" w:hAnsi="Segoe UI Symbol" w:cs="Segoe UI Symbol"/>
        </w:rPr>
        <w:t>⁠</w:t>
      </w:r>
      <w:r w:rsidRPr="004929D1">
        <w:rPr>
          <w:rFonts w:ascii="Aptos" w:hAnsi="Aptos" w:cs="Aptos"/>
        </w:rPr>
        <w:t>�</w:t>
      </w:r>
    </w:p>
    <w:p w14:paraId="02F26207" w14:textId="77777777" w:rsidR="007F2AD4" w:rsidRPr="004929D1" w:rsidRDefault="007F2AD4" w:rsidP="007F2AD4">
      <w:r w:rsidRPr="004929D1">
        <w:t>Kuh, D. and Hardy, R. (2002) ‘A life course perspective on women’s health’</w:t>
      </w:r>
      <w:r w:rsidRPr="005A0ACF">
        <w:rPr>
          <w:i/>
          <w:iCs/>
        </w:rPr>
        <w:t>, Journal of Epidemiology and Community Health,</w:t>
      </w:r>
      <w:r w:rsidRPr="004929D1">
        <w:t xml:space="preserve"> 56(1), pp. 1–2.</w:t>
      </w:r>
    </w:p>
    <w:p w14:paraId="27A76748" w14:textId="77777777" w:rsidR="007F2AD4" w:rsidRPr="004929D1" w:rsidRDefault="007F2AD4" w:rsidP="007F2AD4">
      <w:r w:rsidRPr="004929D1">
        <w:t>Lacey, R. et al. (2016) ‘Work–family life patterns and subjective wellbeing: evidence from the 1946 British birth cohort study’</w:t>
      </w:r>
      <w:r w:rsidRPr="009A3649">
        <w:rPr>
          <w:i/>
          <w:iCs/>
        </w:rPr>
        <w:t>, Journal of Population Ageing</w:t>
      </w:r>
      <w:r w:rsidRPr="004929D1">
        <w:t>, 9(1–2), pp. 69–89. https://doi.org/10.1007/s12062-015-9126-y</w:t>
      </w:r>
      <w:r w:rsidRPr="004929D1">
        <w:rPr>
          <w:rFonts w:ascii="Segoe UI Symbol" w:hAnsi="Segoe UI Symbol" w:cs="Segoe UI Symbol"/>
        </w:rPr>
        <w:t>⁠</w:t>
      </w:r>
      <w:r w:rsidRPr="004929D1">
        <w:rPr>
          <w:rFonts w:ascii="Aptos" w:hAnsi="Aptos" w:cs="Aptos"/>
        </w:rPr>
        <w:t>�</w:t>
      </w:r>
    </w:p>
    <w:p w14:paraId="5C320C99" w14:textId="77777777" w:rsidR="007F2AD4" w:rsidRPr="004929D1" w:rsidRDefault="007F2AD4" w:rsidP="007F2AD4">
      <w:r w:rsidRPr="004929D1">
        <w:t>Marmot, M. (2010</w:t>
      </w:r>
      <w:r w:rsidRPr="009A3649">
        <w:rPr>
          <w:i/>
          <w:iCs/>
        </w:rPr>
        <w:t>) Fair society, healthy lives: The Marmot Review</w:t>
      </w:r>
      <w:r w:rsidRPr="004929D1">
        <w:t>. London: The Marmot Review.</w:t>
      </w:r>
    </w:p>
    <w:p w14:paraId="071A3974" w14:textId="77777777" w:rsidR="007F2AD4" w:rsidRPr="004929D1" w:rsidRDefault="007F2AD4" w:rsidP="007F2AD4">
      <w:r w:rsidRPr="004929D1">
        <w:t xml:space="preserve">Moore, G.F. et al. (2015) ‘Socioeconomic differences in the impact of school-based health behaviour interventions: a systematic review’, </w:t>
      </w:r>
      <w:r w:rsidRPr="00522977">
        <w:rPr>
          <w:i/>
          <w:iCs/>
        </w:rPr>
        <w:t>BMC Public Health</w:t>
      </w:r>
      <w:r w:rsidRPr="004929D1">
        <w:t>, 15, 907. https://doi.org/10.1186/s12889-015-2244-x</w:t>
      </w:r>
      <w:r w:rsidRPr="004929D1">
        <w:rPr>
          <w:rFonts w:ascii="Segoe UI Symbol" w:hAnsi="Segoe UI Symbol" w:cs="Segoe UI Symbol"/>
        </w:rPr>
        <w:t>⁠</w:t>
      </w:r>
      <w:r w:rsidRPr="004929D1">
        <w:rPr>
          <w:rFonts w:ascii="Aptos" w:hAnsi="Aptos" w:cs="Aptos"/>
        </w:rPr>
        <w:t>�</w:t>
      </w:r>
    </w:p>
    <w:p w14:paraId="141AD1E3" w14:textId="77777777" w:rsidR="007F2AD4" w:rsidRPr="004929D1" w:rsidRDefault="007F2AD4" w:rsidP="007F2AD4">
      <w:r w:rsidRPr="004929D1">
        <w:t xml:space="preserve">Nally, S. et al. (2021) ‘Effectiveness of school-based interventions targeting obesity-related behaviours in primary school children: a systematic review and meta-analysis’, </w:t>
      </w:r>
      <w:r w:rsidRPr="00522977">
        <w:rPr>
          <w:i/>
          <w:iCs/>
        </w:rPr>
        <w:t>Children</w:t>
      </w:r>
      <w:r w:rsidRPr="004929D1">
        <w:t>, 8(6), 489. https://doi.org/10.3390/children8060489</w:t>
      </w:r>
      <w:r w:rsidRPr="004929D1">
        <w:rPr>
          <w:rFonts w:ascii="Segoe UI Symbol" w:hAnsi="Segoe UI Symbol" w:cs="Segoe UI Symbol"/>
        </w:rPr>
        <w:t>⁠</w:t>
      </w:r>
      <w:r w:rsidRPr="004929D1">
        <w:rPr>
          <w:rFonts w:ascii="Aptos" w:hAnsi="Aptos" w:cs="Aptos"/>
        </w:rPr>
        <w:t>�</w:t>
      </w:r>
    </w:p>
    <w:p w14:paraId="63F2B486" w14:textId="77777777" w:rsidR="007F2AD4" w:rsidRPr="004929D1" w:rsidRDefault="007F2AD4" w:rsidP="007F2AD4">
      <w:r w:rsidRPr="004929D1">
        <w:t xml:space="preserve">NHS England (2019) </w:t>
      </w:r>
      <w:r w:rsidRPr="006F591F">
        <w:rPr>
          <w:i/>
          <w:iCs/>
        </w:rPr>
        <w:t>The NHS long term plan.</w:t>
      </w:r>
      <w:r w:rsidRPr="004929D1">
        <w:t xml:space="preserve"> London: NHS England.</w:t>
      </w:r>
    </w:p>
    <w:p w14:paraId="71046852" w14:textId="77777777" w:rsidR="007F2AD4" w:rsidRPr="004929D1" w:rsidRDefault="007F2AD4" w:rsidP="007F2AD4">
      <w:pPr>
        <w:rPr>
          <w:lang w:val="fr-FR"/>
        </w:rPr>
      </w:pPr>
      <w:r w:rsidRPr="004929D1">
        <w:t>Office for National Statistics (2021</w:t>
      </w:r>
      <w:r w:rsidRPr="00E56F8A">
        <w:rPr>
          <w:i/>
          <w:iCs/>
        </w:rPr>
        <w:t>) Health state life expectancies by national deprivation deciles, England</w:t>
      </w:r>
      <w:r w:rsidRPr="004929D1">
        <w:t xml:space="preserve">. </w:t>
      </w:r>
      <w:r w:rsidRPr="004929D1">
        <w:rPr>
          <w:lang w:val="fr-FR"/>
        </w:rPr>
        <w:t xml:space="preserve">Available </w:t>
      </w:r>
      <w:proofErr w:type="gramStart"/>
      <w:r w:rsidRPr="004929D1">
        <w:rPr>
          <w:lang w:val="fr-FR"/>
        </w:rPr>
        <w:t>at:</w:t>
      </w:r>
      <w:proofErr w:type="gramEnd"/>
      <w:r w:rsidRPr="004929D1">
        <w:rPr>
          <w:lang w:val="fr-FR"/>
        </w:rPr>
        <w:t xml:space="preserve"> https://www.ons.gov.uk</w:t>
      </w:r>
      <w:r w:rsidRPr="004929D1">
        <w:rPr>
          <w:rFonts w:ascii="Segoe UI Symbol" w:hAnsi="Segoe UI Symbol" w:cs="Segoe UI Symbol"/>
          <w:lang w:val="fr-FR"/>
        </w:rPr>
        <w:t>⁠</w:t>
      </w:r>
      <w:r w:rsidRPr="004929D1">
        <w:rPr>
          <w:rFonts w:ascii="Aptos" w:hAnsi="Aptos" w:cs="Aptos"/>
        </w:rPr>
        <w:t>�</w:t>
      </w:r>
    </w:p>
    <w:p w14:paraId="5123045B" w14:textId="77777777" w:rsidR="007F2AD4" w:rsidRPr="004929D1" w:rsidRDefault="007F2AD4" w:rsidP="007F2AD4">
      <w:r w:rsidRPr="004929D1">
        <w:rPr>
          <w:lang w:val="fr-FR"/>
        </w:rPr>
        <w:t xml:space="preserve">Palisano, R.J. et al. </w:t>
      </w:r>
      <w:r w:rsidRPr="004929D1">
        <w:t xml:space="preserve">(2020) ‘Determinants of health and wellbeing across the life course’, </w:t>
      </w:r>
      <w:r w:rsidRPr="008A2577">
        <w:rPr>
          <w:i/>
          <w:iCs/>
        </w:rPr>
        <w:t>Health and Quality of Life Outcomes</w:t>
      </w:r>
      <w:r w:rsidRPr="004929D1">
        <w:t>, 18(1), pp. 1–10.</w:t>
      </w:r>
    </w:p>
    <w:p w14:paraId="476AE68F" w14:textId="77777777" w:rsidR="007F2AD4" w:rsidRPr="004929D1" w:rsidRDefault="007F2AD4" w:rsidP="007F2AD4">
      <w:r w:rsidRPr="004929D1">
        <w:lastRenderedPageBreak/>
        <w:t xml:space="preserve">Pereira, N. (2024) </w:t>
      </w:r>
      <w:r w:rsidRPr="001F619C">
        <w:rPr>
          <w:i/>
          <w:iCs/>
        </w:rPr>
        <w:t>Health in context: patterns of social risk factors and associated health outcomes.</w:t>
      </w:r>
      <w:r w:rsidRPr="004929D1">
        <w:t xml:space="preserve"> University of California </w:t>
      </w:r>
      <w:proofErr w:type="spellStart"/>
      <w:r w:rsidRPr="004929D1">
        <w:t>eScholarship</w:t>
      </w:r>
      <w:proofErr w:type="spellEnd"/>
      <w:r w:rsidRPr="004929D1">
        <w:t>.</w:t>
      </w:r>
    </w:p>
    <w:p w14:paraId="6B1BCB12" w14:textId="77777777" w:rsidR="007F2AD4" w:rsidRPr="004929D1" w:rsidRDefault="007F2AD4" w:rsidP="007F2AD4">
      <w:r w:rsidRPr="004929D1">
        <w:t>Public Health England (2019a</w:t>
      </w:r>
      <w:r w:rsidRPr="007F51E1">
        <w:rPr>
          <w:i/>
          <w:iCs/>
        </w:rPr>
        <w:t>) Health matters: giving every child the best start in life.</w:t>
      </w:r>
      <w:r w:rsidRPr="004929D1">
        <w:t xml:space="preserve"> London: PHE.</w:t>
      </w:r>
    </w:p>
    <w:p w14:paraId="244A6A8D" w14:textId="77777777" w:rsidR="007F2AD4" w:rsidRPr="004929D1" w:rsidRDefault="007F2AD4" w:rsidP="007F2AD4">
      <w:r w:rsidRPr="004929D1">
        <w:t>Public Health England (2019b</w:t>
      </w:r>
      <w:r w:rsidRPr="00217B0F">
        <w:rPr>
          <w:i/>
          <w:iCs/>
        </w:rPr>
        <w:t>) Health matters: prevention – a life course approach</w:t>
      </w:r>
      <w:r w:rsidRPr="004929D1">
        <w:t>. London: PHE.</w:t>
      </w:r>
    </w:p>
    <w:p w14:paraId="55E6642F" w14:textId="77777777" w:rsidR="007F2AD4" w:rsidRPr="004929D1" w:rsidRDefault="007F2AD4" w:rsidP="007F2AD4">
      <w:r w:rsidRPr="004929D1">
        <w:t>Pun, V.C. et al. (2021) ‘Ambient and household air pollution as early-life determinants of stunting: a systematic review and meta-analysis’</w:t>
      </w:r>
      <w:r w:rsidRPr="00217B0F">
        <w:rPr>
          <w:i/>
          <w:iCs/>
        </w:rPr>
        <w:t>, Environmental Science and Pollution Research,</w:t>
      </w:r>
      <w:r w:rsidRPr="004929D1">
        <w:t xml:space="preserve"> 28(21), pp. 26404–26412. https://doi.org/10.1007/s11356-021-13719-7</w:t>
      </w:r>
      <w:r w:rsidRPr="004929D1">
        <w:rPr>
          <w:rFonts w:ascii="Segoe UI Symbol" w:hAnsi="Segoe UI Symbol" w:cs="Segoe UI Symbol"/>
        </w:rPr>
        <w:t>⁠</w:t>
      </w:r>
      <w:r w:rsidRPr="004929D1">
        <w:rPr>
          <w:rFonts w:ascii="Aptos" w:hAnsi="Aptos" w:cs="Aptos"/>
        </w:rPr>
        <w:t>�</w:t>
      </w:r>
    </w:p>
    <w:p w14:paraId="029E4B6D" w14:textId="77777777" w:rsidR="007F2AD4" w:rsidRPr="004929D1" w:rsidRDefault="007F2AD4" w:rsidP="007F2AD4">
      <w:r w:rsidRPr="004929D1">
        <w:t xml:space="preserve">Reed, K. et al. (2015) ‘Adverse family influences on depressive symptoms in emerging adulthood’, </w:t>
      </w:r>
      <w:r w:rsidRPr="00DC476F">
        <w:rPr>
          <w:i/>
          <w:iCs/>
        </w:rPr>
        <w:t>Journal of Child and Family Studies</w:t>
      </w:r>
      <w:r w:rsidRPr="004929D1">
        <w:t>, 24(9), pp. 2710–2720. https://doi.org/10.1007/s10826-014-0073-7</w:t>
      </w:r>
      <w:r w:rsidRPr="004929D1">
        <w:rPr>
          <w:rFonts w:ascii="Segoe UI Symbol" w:hAnsi="Segoe UI Symbol" w:cs="Segoe UI Symbol"/>
        </w:rPr>
        <w:t>⁠</w:t>
      </w:r>
      <w:r w:rsidRPr="004929D1">
        <w:rPr>
          <w:rFonts w:ascii="Aptos" w:hAnsi="Aptos" w:cs="Aptos"/>
        </w:rPr>
        <w:t>�</w:t>
      </w:r>
    </w:p>
    <w:p w14:paraId="0DC03ABD" w14:textId="77777777" w:rsidR="007F2AD4" w:rsidRPr="004929D1" w:rsidRDefault="007F2AD4" w:rsidP="007F2AD4">
      <w:r w:rsidRPr="004929D1">
        <w:t>Rutter, M. (2012) ‘Resilience as a dynamic concept’</w:t>
      </w:r>
      <w:r w:rsidRPr="00004802">
        <w:rPr>
          <w:i/>
          <w:iCs/>
        </w:rPr>
        <w:t>, Development and Psychopathology</w:t>
      </w:r>
      <w:r w:rsidRPr="004929D1">
        <w:t>, 24(2), pp. 335–344.</w:t>
      </w:r>
    </w:p>
    <w:p w14:paraId="229A2999" w14:textId="77777777" w:rsidR="007F2AD4" w:rsidRPr="004929D1" w:rsidRDefault="007F2AD4" w:rsidP="007F2AD4">
      <w:r w:rsidRPr="004929D1">
        <w:t>Van den Hazel, P. (2025) ‘Green spaces and mental health across the life course’</w:t>
      </w:r>
      <w:r w:rsidRPr="00004802">
        <w:rPr>
          <w:i/>
          <w:iCs/>
        </w:rPr>
        <w:t>, European Journal of Public Health,</w:t>
      </w:r>
      <w:r w:rsidRPr="004929D1">
        <w:t xml:space="preserve"> 35(Supplement_4). https://doi.org/10.1093/</w:t>
      </w:r>
      <w:proofErr w:type="spellStart"/>
      <w:r w:rsidRPr="004929D1">
        <w:t>eurpub</w:t>
      </w:r>
      <w:proofErr w:type="spellEnd"/>
      <w:r w:rsidRPr="004929D1">
        <w:t>/ckaf161.716</w:t>
      </w:r>
      <w:r w:rsidRPr="004929D1">
        <w:rPr>
          <w:rFonts w:ascii="Segoe UI Symbol" w:hAnsi="Segoe UI Symbol" w:cs="Segoe UI Symbol"/>
        </w:rPr>
        <w:t>⁠</w:t>
      </w:r>
      <w:r w:rsidRPr="004929D1">
        <w:rPr>
          <w:rFonts w:ascii="Aptos" w:hAnsi="Aptos" w:cs="Aptos"/>
        </w:rPr>
        <w:t>�</w:t>
      </w:r>
    </w:p>
    <w:p w14:paraId="0F3AA143" w14:textId="77777777" w:rsidR="007F2AD4" w:rsidRPr="004929D1" w:rsidRDefault="007F2AD4" w:rsidP="007F2AD4">
      <w:r w:rsidRPr="004929D1">
        <w:t>World Health Organization (2008) Closing the gap in a generation</w:t>
      </w:r>
      <w:r w:rsidRPr="005E2006">
        <w:rPr>
          <w:i/>
          <w:iCs/>
        </w:rPr>
        <w:t>: health equity through action on the social determinants of health</w:t>
      </w:r>
      <w:r w:rsidRPr="004929D1">
        <w:t>. Geneva: WHO.</w:t>
      </w:r>
    </w:p>
    <w:p w14:paraId="5749302D" w14:textId="77777777" w:rsidR="007F2AD4" w:rsidRPr="004929D1" w:rsidRDefault="007F2AD4" w:rsidP="007F2AD4">
      <w:r w:rsidRPr="004929D1">
        <w:t xml:space="preserve">World Health Organization (2010) </w:t>
      </w:r>
      <w:r w:rsidRPr="005E2006">
        <w:rPr>
          <w:i/>
          <w:iCs/>
        </w:rPr>
        <w:t>A conceptual framework for action on the social determinants of health.</w:t>
      </w:r>
      <w:r w:rsidRPr="004929D1">
        <w:t xml:space="preserve"> Geneva: WHO.</w:t>
      </w:r>
    </w:p>
    <w:p w14:paraId="1A62C6A5" w14:textId="2DCA07F7" w:rsidR="007F2AD4" w:rsidRPr="004929D1" w:rsidRDefault="007F2AD4" w:rsidP="007F2AD4">
      <w:r w:rsidRPr="004929D1">
        <w:t xml:space="preserve">World Health Organization (2020) </w:t>
      </w:r>
      <w:r w:rsidRPr="00DA5737">
        <w:rPr>
          <w:i/>
          <w:iCs/>
        </w:rPr>
        <w:t>Life course approach to health</w:t>
      </w:r>
      <w:r w:rsidRPr="004929D1">
        <w:t>. Available at: https://www.who.int</w:t>
      </w:r>
      <w:r w:rsidRPr="004929D1">
        <w:rPr>
          <w:rFonts w:ascii="Segoe UI Symbol" w:hAnsi="Segoe UI Symbol" w:cs="Segoe UI Symbol"/>
        </w:rPr>
        <w:t>⁠</w:t>
      </w:r>
      <w:r w:rsidRPr="004929D1">
        <w:rPr>
          <w:rFonts w:ascii="Aptos" w:hAnsi="Aptos" w:cs="Aptos"/>
        </w:rPr>
        <w:t>�</w:t>
      </w:r>
    </w:p>
    <w:sectPr w:rsidR="007F2AD4" w:rsidRPr="004929D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3EE9D" w14:textId="77777777" w:rsidR="00372CB0" w:rsidRDefault="00372CB0" w:rsidP="006874FB">
      <w:pPr>
        <w:spacing w:after="0" w:line="240" w:lineRule="auto"/>
      </w:pPr>
      <w:r>
        <w:separator/>
      </w:r>
    </w:p>
  </w:endnote>
  <w:endnote w:type="continuationSeparator" w:id="0">
    <w:p w14:paraId="0E3B92F9" w14:textId="77777777" w:rsidR="00372CB0" w:rsidRDefault="00372CB0" w:rsidP="00687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936105"/>
      <w:docPartObj>
        <w:docPartGallery w:val="Page Numbers (Bottom of Page)"/>
        <w:docPartUnique/>
      </w:docPartObj>
    </w:sdtPr>
    <w:sdtEndPr/>
    <w:sdtContent>
      <w:p w14:paraId="57354DCE" w14:textId="3FEAEA6A" w:rsidR="009622B6" w:rsidRDefault="009622B6">
        <w:pPr>
          <w:pStyle w:val="Footer"/>
        </w:pPr>
        <w:r>
          <w:fldChar w:fldCharType="begin"/>
        </w:r>
        <w:r>
          <w:instrText>PAGE   \* MERGEFORMAT</w:instrText>
        </w:r>
        <w:r>
          <w:fldChar w:fldCharType="separate"/>
        </w:r>
        <w:r>
          <w:t>2</w:t>
        </w:r>
        <w:r>
          <w:fldChar w:fldCharType="end"/>
        </w:r>
      </w:p>
    </w:sdtContent>
  </w:sdt>
  <w:p w14:paraId="14C7F961" w14:textId="399B6C4E" w:rsidR="005B3BDB" w:rsidRDefault="005B3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B4AF5" w14:textId="77777777" w:rsidR="00372CB0" w:rsidRDefault="00372CB0" w:rsidP="006874FB">
      <w:pPr>
        <w:spacing w:after="0" w:line="240" w:lineRule="auto"/>
      </w:pPr>
      <w:r>
        <w:separator/>
      </w:r>
    </w:p>
  </w:footnote>
  <w:footnote w:type="continuationSeparator" w:id="0">
    <w:p w14:paraId="03FCC8A5" w14:textId="77777777" w:rsidR="00372CB0" w:rsidRDefault="00372CB0" w:rsidP="006874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AB6"/>
    <w:rsid w:val="00004802"/>
    <w:rsid w:val="00036559"/>
    <w:rsid w:val="00067297"/>
    <w:rsid w:val="00070640"/>
    <w:rsid w:val="00071AC1"/>
    <w:rsid w:val="000852FE"/>
    <w:rsid w:val="00085F00"/>
    <w:rsid w:val="0009261B"/>
    <w:rsid w:val="000B1ACA"/>
    <w:rsid w:val="000B612D"/>
    <w:rsid w:val="000E0417"/>
    <w:rsid w:val="000E1D63"/>
    <w:rsid w:val="000E7062"/>
    <w:rsid w:val="000F3FD8"/>
    <w:rsid w:val="001030B7"/>
    <w:rsid w:val="001059EC"/>
    <w:rsid w:val="00117B3F"/>
    <w:rsid w:val="00127D66"/>
    <w:rsid w:val="00132D08"/>
    <w:rsid w:val="001404BA"/>
    <w:rsid w:val="00151D2F"/>
    <w:rsid w:val="00153331"/>
    <w:rsid w:val="001549D0"/>
    <w:rsid w:val="00157A4B"/>
    <w:rsid w:val="00173923"/>
    <w:rsid w:val="001762EE"/>
    <w:rsid w:val="00194B0B"/>
    <w:rsid w:val="001E2682"/>
    <w:rsid w:val="001F619C"/>
    <w:rsid w:val="00211B7C"/>
    <w:rsid w:val="00217B0F"/>
    <w:rsid w:val="00255861"/>
    <w:rsid w:val="00275943"/>
    <w:rsid w:val="002B1796"/>
    <w:rsid w:val="002C676E"/>
    <w:rsid w:val="002C6DFC"/>
    <w:rsid w:val="002D40FD"/>
    <w:rsid w:val="003118DD"/>
    <w:rsid w:val="0032718A"/>
    <w:rsid w:val="00330F00"/>
    <w:rsid w:val="00337C8D"/>
    <w:rsid w:val="0034458E"/>
    <w:rsid w:val="00352EC5"/>
    <w:rsid w:val="00354FCC"/>
    <w:rsid w:val="00367B99"/>
    <w:rsid w:val="00372CB0"/>
    <w:rsid w:val="00395D28"/>
    <w:rsid w:val="003A4C74"/>
    <w:rsid w:val="003A7122"/>
    <w:rsid w:val="003B3D5D"/>
    <w:rsid w:val="003B447D"/>
    <w:rsid w:val="003C5BA7"/>
    <w:rsid w:val="003F3E13"/>
    <w:rsid w:val="00413D02"/>
    <w:rsid w:val="00415AEA"/>
    <w:rsid w:val="004818CF"/>
    <w:rsid w:val="00491DDA"/>
    <w:rsid w:val="004929D1"/>
    <w:rsid w:val="00497CEC"/>
    <w:rsid w:val="004A120B"/>
    <w:rsid w:val="004B5C33"/>
    <w:rsid w:val="004C72C5"/>
    <w:rsid w:val="00504903"/>
    <w:rsid w:val="00505710"/>
    <w:rsid w:val="0050755E"/>
    <w:rsid w:val="00522977"/>
    <w:rsid w:val="005257BB"/>
    <w:rsid w:val="00527F75"/>
    <w:rsid w:val="00537A80"/>
    <w:rsid w:val="00544296"/>
    <w:rsid w:val="005470CF"/>
    <w:rsid w:val="00563992"/>
    <w:rsid w:val="005852EE"/>
    <w:rsid w:val="0059146D"/>
    <w:rsid w:val="005923BE"/>
    <w:rsid w:val="00594BCE"/>
    <w:rsid w:val="005A0ACF"/>
    <w:rsid w:val="005B3BDB"/>
    <w:rsid w:val="005C6949"/>
    <w:rsid w:val="005C78DF"/>
    <w:rsid w:val="005E2006"/>
    <w:rsid w:val="005E54DE"/>
    <w:rsid w:val="005E7D48"/>
    <w:rsid w:val="00615149"/>
    <w:rsid w:val="006208A8"/>
    <w:rsid w:val="00644B5F"/>
    <w:rsid w:val="00650877"/>
    <w:rsid w:val="00652D9E"/>
    <w:rsid w:val="00660B0B"/>
    <w:rsid w:val="006634AA"/>
    <w:rsid w:val="00667240"/>
    <w:rsid w:val="00676301"/>
    <w:rsid w:val="006874FB"/>
    <w:rsid w:val="006C2300"/>
    <w:rsid w:val="006E1243"/>
    <w:rsid w:val="006F52D5"/>
    <w:rsid w:val="006F591F"/>
    <w:rsid w:val="0070089C"/>
    <w:rsid w:val="00713B59"/>
    <w:rsid w:val="007254B6"/>
    <w:rsid w:val="00752A65"/>
    <w:rsid w:val="00754574"/>
    <w:rsid w:val="00765874"/>
    <w:rsid w:val="0077158F"/>
    <w:rsid w:val="00772BC6"/>
    <w:rsid w:val="007B35CD"/>
    <w:rsid w:val="007B6F2B"/>
    <w:rsid w:val="007C05A2"/>
    <w:rsid w:val="007D62EE"/>
    <w:rsid w:val="007D742E"/>
    <w:rsid w:val="007F0A19"/>
    <w:rsid w:val="007F2AD4"/>
    <w:rsid w:val="007F51E1"/>
    <w:rsid w:val="008047F6"/>
    <w:rsid w:val="0081105E"/>
    <w:rsid w:val="00813134"/>
    <w:rsid w:val="00836FCB"/>
    <w:rsid w:val="0084426F"/>
    <w:rsid w:val="0088127B"/>
    <w:rsid w:val="0088321F"/>
    <w:rsid w:val="008953E9"/>
    <w:rsid w:val="00895673"/>
    <w:rsid w:val="008A2577"/>
    <w:rsid w:val="008A2C38"/>
    <w:rsid w:val="008B09E9"/>
    <w:rsid w:val="008B2AB6"/>
    <w:rsid w:val="008D78A2"/>
    <w:rsid w:val="008E1EB1"/>
    <w:rsid w:val="008F66CE"/>
    <w:rsid w:val="00903910"/>
    <w:rsid w:val="00922DC0"/>
    <w:rsid w:val="0092320B"/>
    <w:rsid w:val="009271B5"/>
    <w:rsid w:val="00944A3E"/>
    <w:rsid w:val="00946ED8"/>
    <w:rsid w:val="00956B00"/>
    <w:rsid w:val="009615F4"/>
    <w:rsid w:val="009622B6"/>
    <w:rsid w:val="009A263D"/>
    <w:rsid w:val="009A3649"/>
    <w:rsid w:val="009D1AFF"/>
    <w:rsid w:val="009E070C"/>
    <w:rsid w:val="009E1C10"/>
    <w:rsid w:val="009E6054"/>
    <w:rsid w:val="00A12570"/>
    <w:rsid w:val="00A21086"/>
    <w:rsid w:val="00A87DBF"/>
    <w:rsid w:val="00A947D5"/>
    <w:rsid w:val="00AA5ECB"/>
    <w:rsid w:val="00AD3490"/>
    <w:rsid w:val="00AD6428"/>
    <w:rsid w:val="00AD79DD"/>
    <w:rsid w:val="00AF269E"/>
    <w:rsid w:val="00B24474"/>
    <w:rsid w:val="00B40BEA"/>
    <w:rsid w:val="00B415C5"/>
    <w:rsid w:val="00B543AC"/>
    <w:rsid w:val="00B63219"/>
    <w:rsid w:val="00B65F56"/>
    <w:rsid w:val="00B676FF"/>
    <w:rsid w:val="00B829DF"/>
    <w:rsid w:val="00BC2AB4"/>
    <w:rsid w:val="00C155E0"/>
    <w:rsid w:val="00C465F6"/>
    <w:rsid w:val="00C5129F"/>
    <w:rsid w:val="00C57CCD"/>
    <w:rsid w:val="00C65DAB"/>
    <w:rsid w:val="00C823C2"/>
    <w:rsid w:val="00CA2A2E"/>
    <w:rsid w:val="00CA49D3"/>
    <w:rsid w:val="00CC11A9"/>
    <w:rsid w:val="00CD4D7E"/>
    <w:rsid w:val="00CF16E4"/>
    <w:rsid w:val="00D11DFA"/>
    <w:rsid w:val="00D55556"/>
    <w:rsid w:val="00D63E53"/>
    <w:rsid w:val="00D6401E"/>
    <w:rsid w:val="00DA5737"/>
    <w:rsid w:val="00DB6501"/>
    <w:rsid w:val="00DC476F"/>
    <w:rsid w:val="00DD0A0D"/>
    <w:rsid w:val="00DF0207"/>
    <w:rsid w:val="00DF6721"/>
    <w:rsid w:val="00E34E41"/>
    <w:rsid w:val="00E42DE2"/>
    <w:rsid w:val="00E547F0"/>
    <w:rsid w:val="00E56F8A"/>
    <w:rsid w:val="00E763DD"/>
    <w:rsid w:val="00EA1F7B"/>
    <w:rsid w:val="00EA4878"/>
    <w:rsid w:val="00EB0066"/>
    <w:rsid w:val="00EB4A44"/>
    <w:rsid w:val="00EC4AB5"/>
    <w:rsid w:val="00EC566C"/>
    <w:rsid w:val="00ED0B93"/>
    <w:rsid w:val="00EE4A09"/>
    <w:rsid w:val="00EE7B4A"/>
    <w:rsid w:val="00EF0D4C"/>
    <w:rsid w:val="00F10B8B"/>
    <w:rsid w:val="00F26FFE"/>
    <w:rsid w:val="00F346D0"/>
    <w:rsid w:val="00F46BA6"/>
    <w:rsid w:val="00F47805"/>
    <w:rsid w:val="00F71ED7"/>
    <w:rsid w:val="00F82FBB"/>
    <w:rsid w:val="00F93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15D85"/>
  <w15:chartTrackingRefBased/>
  <w15:docId w15:val="{91BAF573-8B86-7047-8EB5-18E1336F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AB6"/>
    <w:rPr>
      <w:rFonts w:eastAsiaTheme="majorEastAsia" w:cstheme="majorBidi"/>
      <w:color w:val="272727" w:themeColor="text1" w:themeTint="D8"/>
    </w:rPr>
  </w:style>
  <w:style w:type="paragraph" w:styleId="Title">
    <w:name w:val="Title"/>
    <w:basedOn w:val="Normal"/>
    <w:next w:val="Normal"/>
    <w:link w:val="TitleChar"/>
    <w:uiPriority w:val="10"/>
    <w:qFormat/>
    <w:rsid w:val="008B2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AB6"/>
    <w:pPr>
      <w:spacing w:before="160"/>
      <w:jc w:val="center"/>
    </w:pPr>
    <w:rPr>
      <w:i/>
      <w:iCs/>
      <w:color w:val="404040" w:themeColor="text1" w:themeTint="BF"/>
    </w:rPr>
  </w:style>
  <w:style w:type="character" w:customStyle="1" w:styleId="QuoteChar">
    <w:name w:val="Quote Char"/>
    <w:basedOn w:val="DefaultParagraphFont"/>
    <w:link w:val="Quote"/>
    <w:uiPriority w:val="29"/>
    <w:rsid w:val="008B2AB6"/>
    <w:rPr>
      <w:i/>
      <w:iCs/>
      <w:color w:val="404040" w:themeColor="text1" w:themeTint="BF"/>
    </w:rPr>
  </w:style>
  <w:style w:type="paragraph" w:styleId="ListParagraph">
    <w:name w:val="List Paragraph"/>
    <w:basedOn w:val="Normal"/>
    <w:uiPriority w:val="34"/>
    <w:qFormat/>
    <w:rsid w:val="008B2AB6"/>
    <w:pPr>
      <w:ind w:left="720"/>
      <w:contextualSpacing/>
    </w:pPr>
  </w:style>
  <w:style w:type="character" w:styleId="IntenseEmphasis">
    <w:name w:val="Intense Emphasis"/>
    <w:basedOn w:val="DefaultParagraphFont"/>
    <w:uiPriority w:val="21"/>
    <w:qFormat/>
    <w:rsid w:val="008B2AB6"/>
    <w:rPr>
      <w:i/>
      <w:iCs/>
      <w:color w:val="0F4761" w:themeColor="accent1" w:themeShade="BF"/>
    </w:rPr>
  </w:style>
  <w:style w:type="paragraph" w:styleId="IntenseQuote">
    <w:name w:val="Intense Quote"/>
    <w:basedOn w:val="Normal"/>
    <w:next w:val="Normal"/>
    <w:link w:val="IntenseQuoteChar"/>
    <w:uiPriority w:val="30"/>
    <w:qFormat/>
    <w:rsid w:val="008B2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AB6"/>
    <w:rPr>
      <w:i/>
      <w:iCs/>
      <w:color w:val="0F4761" w:themeColor="accent1" w:themeShade="BF"/>
    </w:rPr>
  </w:style>
  <w:style w:type="character" w:styleId="IntenseReference">
    <w:name w:val="Intense Reference"/>
    <w:basedOn w:val="DefaultParagraphFont"/>
    <w:uiPriority w:val="32"/>
    <w:qFormat/>
    <w:rsid w:val="008B2AB6"/>
    <w:rPr>
      <w:b/>
      <w:bCs/>
      <w:smallCaps/>
      <w:color w:val="0F4761" w:themeColor="accent1" w:themeShade="BF"/>
      <w:spacing w:val="5"/>
    </w:rPr>
  </w:style>
  <w:style w:type="paragraph" w:styleId="CommentText">
    <w:name w:val="annotation text"/>
    <w:basedOn w:val="Normal"/>
    <w:link w:val="CommentTextChar"/>
    <w:uiPriority w:val="99"/>
    <w:semiHidden/>
    <w:unhideWhenUsed/>
    <w:rsid w:val="00C823C2"/>
    <w:pPr>
      <w:spacing w:line="240" w:lineRule="auto"/>
    </w:pPr>
    <w:rPr>
      <w:sz w:val="20"/>
      <w:szCs w:val="20"/>
    </w:rPr>
  </w:style>
  <w:style w:type="character" w:customStyle="1" w:styleId="CommentTextChar">
    <w:name w:val="Comment Text Char"/>
    <w:basedOn w:val="DefaultParagraphFont"/>
    <w:link w:val="CommentText"/>
    <w:uiPriority w:val="99"/>
    <w:semiHidden/>
    <w:rsid w:val="00C823C2"/>
    <w:rPr>
      <w:sz w:val="20"/>
      <w:szCs w:val="20"/>
    </w:rPr>
  </w:style>
  <w:style w:type="character" w:styleId="CommentReference">
    <w:name w:val="annotation reference"/>
    <w:uiPriority w:val="99"/>
    <w:semiHidden/>
    <w:unhideWhenUsed/>
    <w:rsid w:val="00C823C2"/>
    <w:rPr>
      <w:sz w:val="16"/>
      <w:szCs w:val="16"/>
    </w:rPr>
  </w:style>
  <w:style w:type="paragraph" w:styleId="Header">
    <w:name w:val="header"/>
    <w:basedOn w:val="Normal"/>
    <w:link w:val="HeaderChar"/>
    <w:uiPriority w:val="99"/>
    <w:unhideWhenUsed/>
    <w:rsid w:val="00687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4FB"/>
  </w:style>
  <w:style w:type="paragraph" w:styleId="Footer">
    <w:name w:val="footer"/>
    <w:basedOn w:val="Normal"/>
    <w:link w:val="FooterChar"/>
    <w:uiPriority w:val="99"/>
    <w:unhideWhenUsed/>
    <w:rsid w:val="00687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D8E37-8B7E-4E02-ABD5-FCC3B5D5C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3310</Words>
  <Characters>18871</Characters>
  <Application>Microsoft Office Word</Application>
  <DocSecurity>0</DocSecurity>
  <Lines>157</Lines>
  <Paragraphs>44</Paragraphs>
  <ScaleCrop>false</ScaleCrop>
  <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Elaph Chahouta (2515294)</dc:creator>
  <cp:keywords/>
  <dc:description/>
  <cp:lastModifiedBy>Elaph Chahouta (2515294)</cp:lastModifiedBy>
  <cp:revision>2</cp:revision>
  <dcterms:created xsi:type="dcterms:W3CDTF">2026-04-29T13:14:00Z</dcterms:created>
  <dcterms:modified xsi:type="dcterms:W3CDTF">2026-04-29T13:14:00Z</dcterms:modified>
</cp:coreProperties>
</file>