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E0365" w14:textId="2CD9DADD" w:rsidR="00594ECF" w:rsidRDefault="5D9034B7" w:rsidP="13EFD321">
      <w:pPr>
        <w:jc w:val="center"/>
      </w:pPr>
      <w:r w:rsidRPr="13EFD321">
        <w:rPr>
          <w:rFonts w:ascii="Arial" w:eastAsia="Arial" w:hAnsi="Arial" w:cs="Arial"/>
          <w:b/>
          <w:bCs/>
          <w:color w:val="000000" w:themeColor="text1"/>
          <w:sz w:val="24"/>
          <w:szCs w:val="24"/>
          <w:u w:val="single"/>
        </w:rPr>
        <w:t>Criminal Law- BMLW 4005</w:t>
      </w:r>
    </w:p>
    <w:p w14:paraId="696A8569" w14:textId="658CC236" w:rsidR="00594ECF" w:rsidRPr="0046396F" w:rsidRDefault="006F2A4F" w:rsidP="70898FA4">
      <w:pPr>
        <w:rPr>
          <w:rFonts w:ascii="Arial" w:eastAsia="Arial" w:hAnsi="Arial" w:cs="Arial"/>
          <w:color w:val="000000" w:themeColor="text1"/>
          <w:sz w:val="24"/>
          <w:szCs w:val="24"/>
        </w:rPr>
      </w:pPr>
      <w:r>
        <w:br/>
      </w:r>
      <w:r w:rsidR="480216DE" w:rsidRPr="70898FA4">
        <w:rPr>
          <w:rFonts w:ascii="Arial" w:eastAsia="Arial" w:hAnsi="Arial" w:cs="Arial"/>
          <w:color w:val="000000" w:themeColor="text1"/>
          <w:sz w:val="24"/>
          <w:szCs w:val="24"/>
        </w:rPr>
        <w:t xml:space="preserve">From having read the </w:t>
      </w:r>
      <w:r w:rsidR="1C9362F7" w:rsidRPr="70898FA4">
        <w:rPr>
          <w:rFonts w:ascii="Arial" w:eastAsia="Arial" w:hAnsi="Arial" w:cs="Arial"/>
          <w:color w:val="000000" w:themeColor="text1"/>
          <w:sz w:val="24"/>
          <w:szCs w:val="24"/>
        </w:rPr>
        <w:t>case, there</w:t>
      </w:r>
      <w:r w:rsidR="480216DE" w:rsidRPr="70898FA4">
        <w:rPr>
          <w:rFonts w:ascii="Arial" w:eastAsia="Arial" w:hAnsi="Arial" w:cs="Arial"/>
          <w:color w:val="000000" w:themeColor="text1"/>
          <w:sz w:val="24"/>
          <w:szCs w:val="24"/>
        </w:rPr>
        <w:t xml:space="preserve"> was an act of robbery where a Friend of Christine, Paula, steels one of </w:t>
      </w:r>
      <w:proofErr w:type="spellStart"/>
      <w:r w:rsidR="480216DE" w:rsidRPr="70898FA4">
        <w:rPr>
          <w:rFonts w:ascii="Arial" w:eastAsia="Arial" w:hAnsi="Arial" w:cs="Arial"/>
          <w:color w:val="000000" w:themeColor="text1"/>
          <w:sz w:val="24"/>
          <w:szCs w:val="24"/>
        </w:rPr>
        <w:t>Christine</w:t>
      </w:r>
      <w:r w:rsidR="5AB1A7E8" w:rsidRPr="70898FA4">
        <w:rPr>
          <w:rFonts w:ascii="Arial" w:eastAsia="Arial" w:hAnsi="Arial" w:cs="Arial"/>
          <w:color w:val="000000" w:themeColor="text1"/>
          <w:sz w:val="24"/>
          <w:szCs w:val="24"/>
        </w:rPr>
        <w:t>s</w:t>
      </w:r>
      <w:proofErr w:type="spellEnd"/>
      <w:r w:rsidR="5AB1A7E8" w:rsidRPr="70898FA4">
        <w:rPr>
          <w:rFonts w:ascii="Arial" w:eastAsia="Arial" w:hAnsi="Arial" w:cs="Arial"/>
          <w:color w:val="000000" w:themeColor="text1"/>
          <w:sz w:val="24"/>
          <w:szCs w:val="24"/>
        </w:rPr>
        <w:t xml:space="preserve"> lavish gifts </w:t>
      </w:r>
      <w:r w:rsidR="33032CDF" w:rsidRPr="70898FA4">
        <w:rPr>
          <w:rFonts w:ascii="Arial" w:eastAsia="Arial" w:hAnsi="Arial" w:cs="Arial"/>
          <w:color w:val="000000" w:themeColor="text1"/>
          <w:sz w:val="24"/>
          <w:szCs w:val="24"/>
        </w:rPr>
        <w:t xml:space="preserve">that </w:t>
      </w:r>
      <w:r w:rsidR="5AB1A7E8" w:rsidRPr="70898FA4">
        <w:rPr>
          <w:rFonts w:ascii="Arial" w:eastAsia="Arial" w:hAnsi="Arial" w:cs="Arial"/>
          <w:color w:val="000000" w:themeColor="text1"/>
          <w:sz w:val="24"/>
          <w:szCs w:val="24"/>
        </w:rPr>
        <w:t xml:space="preserve">she received due to the fact she was jealous and </w:t>
      </w:r>
      <w:r w:rsidR="19568D1A" w:rsidRPr="70898FA4">
        <w:rPr>
          <w:rFonts w:ascii="Arial" w:eastAsia="Arial" w:hAnsi="Arial" w:cs="Arial"/>
          <w:color w:val="000000" w:themeColor="text1"/>
          <w:sz w:val="24"/>
          <w:szCs w:val="24"/>
        </w:rPr>
        <w:t xml:space="preserve">envious. In addition to that, other members </w:t>
      </w:r>
      <w:r w:rsidR="05EB6C2D" w:rsidRPr="70898FA4">
        <w:rPr>
          <w:rFonts w:ascii="Arial" w:eastAsia="Arial" w:hAnsi="Arial" w:cs="Arial"/>
          <w:color w:val="000000" w:themeColor="text1"/>
          <w:sz w:val="24"/>
          <w:szCs w:val="24"/>
        </w:rPr>
        <w:t xml:space="preserve">that were </w:t>
      </w:r>
      <w:r w:rsidR="155E769E" w:rsidRPr="70898FA4">
        <w:rPr>
          <w:rFonts w:ascii="Arial" w:eastAsia="Arial" w:hAnsi="Arial" w:cs="Arial"/>
          <w:color w:val="000000" w:themeColor="text1"/>
          <w:sz w:val="24"/>
          <w:szCs w:val="24"/>
        </w:rPr>
        <w:t xml:space="preserve">introduced to the party named Leon and Harriett. Leon decides to spike Harriett drink knowing that she is allergic to </w:t>
      </w:r>
      <w:r w:rsidR="7B177F9A" w:rsidRPr="70898FA4">
        <w:rPr>
          <w:rFonts w:ascii="Arial" w:eastAsia="Arial" w:hAnsi="Arial" w:cs="Arial"/>
          <w:color w:val="000000" w:themeColor="text1"/>
          <w:sz w:val="24"/>
          <w:szCs w:val="24"/>
        </w:rPr>
        <w:t>alcohol</w:t>
      </w:r>
      <w:r w:rsidR="155E769E" w:rsidRPr="70898FA4">
        <w:rPr>
          <w:rFonts w:ascii="Arial" w:eastAsia="Arial" w:hAnsi="Arial" w:cs="Arial"/>
          <w:color w:val="000000" w:themeColor="text1"/>
          <w:sz w:val="24"/>
          <w:szCs w:val="24"/>
        </w:rPr>
        <w:t xml:space="preserve">. </w:t>
      </w:r>
      <w:r w:rsidR="4E20F78D" w:rsidRPr="70898FA4">
        <w:rPr>
          <w:rFonts w:ascii="Arial" w:eastAsia="Arial" w:hAnsi="Arial" w:cs="Arial"/>
          <w:color w:val="000000" w:themeColor="text1"/>
          <w:sz w:val="24"/>
          <w:szCs w:val="24"/>
        </w:rPr>
        <w:t>T</w:t>
      </w:r>
      <w:r w:rsidR="155E769E" w:rsidRPr="70898FA4">
        <w:rPr>
          <w:rFonts w:ascii="Arial" w:eastAsia="Arial" w:hAnsi="Arial" w:cs="Arial"/>
          <w:color w:val="000000" w:themeColor="text1"/>
          <w:sz w:val="24"/>
          <w:szCs w:val="24"/>
        </w:rPr>
        <w:t>his caused Harriett to become drowsy</w:t>
      </w:r>
      <w:r w:rsidR="13DE27CD" w:rsidRPr="70898FA4">
        <w:rPr>
          <w:rFonts w:ascii="Arial" w:eastAsia="Arial" w:hAnsi="Arial" w:cs="Arial"/>
          <w:color w:val="000000" w:themeColor="text1"/>
          <w:sz w:val="24"/>
          <w:szCs w:val="24"/>
        </w:rPr>
        <w:t xml:space="preserve"> and suffered with </w:t>
      </w:r>
      <w:r w:rsidR="00CB7108" w:rsidRPr="70898FA4">
        <w:rPr>
          <w:rFonts w:ascii="Arial" w:eastAsia="Arial" w:hAnsi="Arial" w:cs="Arial"/>
          <w:color w:val="000000" w:themeColor="text1"/>
          <w:sz w:val="24"/>
          <w:szCs w:val="24"/>
        </w:rPr>
        <w:t>hallucinations. This</w:t>
      </w:r>
      <w:r w:rsidR="5D9034B7" w:rsidRPr="70898FA4">
        <w:rPr>
          <w:rFonts w:ascii="Arial" w:eastAsia="Arial" w:hAnsi="Arial" w:cs="Arial"/>
          <w:color w:val="000000" w:themeColor="text1"/>
          <w:sz w:val="24"/>
          <w:szCs w:val="24"/>
        </w:rPr>
        <w:t xml:space="preserve"> attitude displays a criminal motive. There is clearly the crime which one style demonstrates men rea, one of which is adversatively states that the crime committed is either intentionally or recklessly </w:t>
      </w:r>
      <w:r w:rsidR="097F6383" w:rsidRPr="70898FA4">
        <w:rPr>
          <w:rFonts w:ascii="Arial" w:eastAsia="Arial" w:hAnsi="Arial" w:cs="Arial"/>
          <w:color w:val="000000" w:themeColor="text1"/>
          <w:sz w:val="24"/>
          <w:szCs w:val="24"/>
        </w:rPr>
        <w:t>and</w:t>
      </w:r>
      <w:r w:rsidR="5D9034B7" w:rsidRPr="70898FA4">
        <w:rPr>
          <w:rFonts w:ascii="Arial" w:eastAsia="Arial" w:hAnsi="Arial" w:cs="Arial"/>
          <w:color w:val="000000" w:themeColor="text1"/>
          <w:sz w:val="24"/>
          <w:szCs w:val="24"/>
        </w:rPr>
        <w:t xml:space="preserve"> with crime of strict liability or negligence which normally committed intentionally </w:t>
      </w:r>
      <w:r w:rsidR="0046396F">
        <w:rPr>
          <w:rFonts w:ascii="Arial" w:eastAsia="Arial" w:hAnsi="Arial" w:cs="Arial"/>
          <w:color w:val="000000" w:themeColor="text1"/>
          <w:sz w:val="24"/>
          <w:szCs w:val="24"/>
        </w:rPr>
        <w:t xml:space="preserve">(Elliott and Thomas, 2017). </w:t>
      </w:r>
    </w:p>
    <w:p w14:paraId="5688F7D0" w14:textId="609D9C3D" w:rsidR="00594ECF" w:rsidRPr="0046396F" w:rsidRDefault="006F2A4F" w:rsidP="70898FA4">
      <w:pPr>
        <w:rPr>
          <w:rFonts w:ascii="Arial" w:eastAsia="Arial" w:hAnsi="Arial" w:cs="Arial"/>
          <w:color w:val="000000" w:themeColor="text1"/>
          <w:sz w:val="24"/>
          <w:szCs w:val="24"/>
        </w:rPr>
      </w:pPr>
      <w:r>
        <w:br/>
      </w:r>
      <w:r w:rsidR="5D9034B7" w:rsidRPr="70898FA4">
        <w:rPr>
          <w:rFonts w:ascii="Arial" w:eastAsia="Arial" w:hAnsi="Arial" w:cs="Arial"/>
          <w:color w:val="000000" w:themeColor="text1"/>
          <w:sz w:val="24"/>
          <w:szCs w:val="24"/>
        </w:rPr>
        <w:t xml:space="preserve">As this offence committed after giving the drink, </w:t>
      </w:r>
      <w:r w:rsidR="2D736A26" w:rsidRPr="70898FA4">
        <w:rPr>
          <w:rFonts w:ascii="Arial" w:eastAsia="Arial" w:hAnsi="Arial" w:cs="Arial"/>
          <w:color w:val="000000" w:themeColor="text1"/>
          <w:sz w:val="24"/>
          <w:szCs w:val="24"/>
        </w:rPr>
        <w:t>Harriett began to act aggressively as she was smashing large panes of glass and hits another guest at the party. The</w:t>
      </w:r>
      <w:r w:rsidR="5D9034B7" w:rsidRPr="70898FA4">
        <w:rPr>
          <w:rFonts w:ascii="Arial" w:eastAsia="Arial" w:hAnsi="Arial" w:cs="Arial"/>
          <w:color w:val="000000" w:themeColor="text1"/>
          <w:sz w:val="24"/>
          <w:szCs w:val="24"/>
        </w:rPr>
        <w:t xml:space="preserve"> crucial question remains unanswered regarding whether intoxication is voluntary or involuntary which provides a complete defence. Harriet realised arguing about moral fault months spent alright just criminal liability. Harriet’s defence was one of the intoxications producing automatism had straightforward automatism. There is no certainty as to which drug the court will regard as dangerous </w:t>
      </w:r>
      <w:r w:rsidR="0046396F">
        <w:rPr>
          <w:rFonts w:ascii="Arial" w:eastAsia="Arial" w:hAnsi="Arial" w:cs="Arial"/>
          <w:color w:val="000000" w:themeColor="text1"/>
          <w:sz w:val="24"/>
          <w:szCs w:val="24"/>
        </w:rPr>
        <w:t>(In Brief, 2019).</w:t>
      </w:r>
    </w:p>
    <w:p w14:paraId="54441823" w14:textId="37DC1B90" w:rsidR="00594ECF" w:rsidRDefault="5D9034B7">
      <w:r w:rsidRPr="70898FA4">
        <w:rPr>
          <w:rFonts w:ascii="Arial" w:eastAsia="Arial" w:hAnsi="Arial" w:cs="Arial"/>
          <w:color w:val="000000" w:themeColor="text1"/>
          <w:sz w:val="24"/>
          <w:szCs w:val="24"/>
        </w:rPr>
        <w:t xml:space="preserve">On the other hand, abuse of some non-classified drugs can be dangerous. Drugs classified as controlled substance under the act 1971 amended by drug are graded to their harmfulness when misused. </w:t>
      </w:r>
      <w:r w:rsidR="4B6AC1F0" w:rsidRPr="70898FA4">
        <w:rPr>
          <w:rFonts w:ascii="Arial" w:eastAsia="Arial" w:hAnsi="Arial" w:cs="Arial"/>
          <w:color w:val="000000" w:themeColor="text1"/>
          <w:sz w:val="24"/>
          <w:szCs w:val="24"/>
        </w:rPr>
        <w:t>If the</w:t>
      </w:r>
      <w:r w:rsidRPr="70898FA4">
        <w:rPr>
          <w:rFonts w:ascii="Arial" w:eastAsia="Arial" w:hAnsi="Arial" w:cs="Arial"/>
          <w:color w:val="000000" w:themeColor="text1"/>
          <w:sz w:val="24"/>
          <w:szCs w:val="24"/>
        </w:rPr>
        <w:t xml:space="preserve"> intoxication will be voluntary and no defence to crime but here the case is involuntary and will be complete defence as is not intoxication</w:t>
      </w:r>
      <w:r w:rsidR="0046396F">
        <w:rPr>
          <w:rFonts w:ascii="Arial" w:eastAsia="Arial" w:hAnsi="Arial" w:cs="Arial"/>
          <w:color w:val="000000" w:themeColor="text1"/>
          <w:sz w:val="24"/>
          <w:szCs w:val="24"/>
        </w:rPr>
        <w:t xml:space="preserve"> (UK Legislation, 2021</w:t>
      </w:r>
      <w:r w:rsidR="132C7323" w:rsidRPr="70898FA4">
        <w:rPr>
          <w:rFonts w:ascii="Arial" w:eastAsia="Arial" w:hAnsi="Arial" w:cs="Arial"/>
          <w:color w:val="000000" w:themeColor="text1"/>
          <w:sz w:val="24"/>
          <w:szCs w:val="24"/>
        </w:rPr>
        <w:t>). According</w:t>
      </w:r>
      <w:r w:rsidRPr="70898FA4">
        <w:rPr>
          <w:rFonts w:ascii="Arial" w:eastAsia="Arial" w:hAnsi="Arial" w:cs="Arial"/>
          <w:color w:val="000000" w:themeColor="text1"/>
          <w:sz w:val="24"/>
          <w:szCs w:val="24"/>
        </w:rPr>
        <w:t xml:space="preserve"> to </w:t>
      </w:r>
      <w:proofErr w:type="spellStart"/>
      <w:r w:rsidRPr="70898FA4">
        <w:rPr>
          <w:rFonts w:ascii="Arial" w:eastAsia="Arial" w:hAnsi="Arial" w:cs="Arial"/>
          <w:color w:val="000000" w:themeColor="text1"/>
          <w:sz w:val="24"/>
          <w:szCs w:val="24"/>
        </w:rPr>
        <w:t>Jaggard</w:t>
      </w:r>
      <w:proofErr w:type="spellEnd"/>
      <w:r w:rsidRPr="70898FA4">
        <w:rPr>
          <w:rFonts w:ascii="Arial" w:eastAsia="Arial" w:hAnsi="Arial" w:cs="Arial"/>
          <w:color w:val="000000" w:themeColor="text1"/>
          <w:sz w:val="24"/>
          <w:szCs w:val="24"/>
        </w:rPr>
        <w:t xml:space="preserve"> V Dickinson (1980) 3, all 160 Queen division</w:t>
      </w:r>
      <w:r w:rsidR="30CD0FF9" w:rsidRPr="70898FA4">
        <w:rPr>
          <w:rFonts w:ascii="Arial" w:eastAsia="Arial" w:hAnsi="Arial" w:cs="Arial"/>
          <w:color w:val="000000" w:themeColor="text1"/>
          <w:sz w:val="24"/>
          <w:szCs w:val="24"/>
        </w:rPr>
        <w:t xml:space="preserve"> </w:t>
      </w:r>
      <w:r w:rsidRPr="70898FA4">
        <w:rPr>
          <w:rFonts w:ascii="Arial" w:eastAsia="Arial" w:hAnsi="Arial" w:cs="Arial"/>
          <w:color w:val="000000" w:themeColor="text1"/>
          <w:sz w:val="24"/>
          <w:szCs w:val="24"/>
        </w:rPr>
        <w:t>Harriet entitled to consent to the damage and the known circumstances under section 5, part 2. This was an offence of basic intent to which intoxication is on defence</w:t>
      </w:r>
      <w:r w:rsidR="0046396F">
        <w:rPr>
          <w:rFonts w:ascii="Arial" w:eastAsia="Arial" w:hAnsi="Arial" w:cs="Arial"/>
          <w:color w:val="000000" w:themeColor="text1"/>
          <w:sz w:val="24"/>
          <w:szCs w:val="24"/>
        </w:rPr>
        <w:t xml:space="preserve"> (</w:t>
      </w:r>
      <w:proofErr w:type="spellStart"/>
      <w:r w:rsidR="0046396F">
        <w:rPr>
          <w:rFonts w:ascii="Arial" w:eastAsia="Arial" w:hAnsi="Arial" w:cs="Arial"/>
          <w:color w:val="000000" w:themeColor="text1"/>
          <w:sz w:val="24"/>
          <w:szCs w:val="24"/>
        </w:rPr>
        <w:t>Swarb</w:t>
      </w:r>
      <w:proofErr w:type="spellEnd"/>
      <w:r w:rsidR="0046396F">
        <w:rPr>
          <w:rFonts w:ascii="Arial" w:eastAsia="Arial" w:hAnsi="Arial" w:cs="Arial"/>
          <w:color w:val="000000" w:themeColor="text1"/>
          <w:sz w:val="24"/>
          <w:szCs w:val="24"/>
        </w:rPr>
        <w:t>, 2021).</w:t>
      </w:r>
    </w:p>
    <w:p w14:paraId="562AA418" w14:textId="12F2F352" w:rsidR="00594ECF" w:rsidRPr="0046396F" w:rsidRDefault="006F2A4F">
      <w:pPr>
        <w:rPr>
          <w:color w:val="000000" w:themeColor="text1"/>
        </w:rPr>
      </w:pPr>
      <w:r>
        <w:br/>
      </w:r>
      <w:r w:rsidR="5D9034B7" w:rsidRPr="70898FA4">
        <w:rPr>
          <w:rFonts w:ascii="Arial" w:eastAsia="Arial" w:hAnsi="Arial" w:cs="Arial"/>
          <w:color w:val="000000" w:themeColor="text1"/>
          <w:sz w:val="24"/>
          <w:szCs w:val="24"/>
        </w:rPr>
        <w:t xml:space="preserve">Since being drunk is a crime of basic intent, it did not negotiate recklessness. This applies equally to subjective recklessness. Meaning of dishonesty under Theft Act 1968 RV Ghosh (Deb </w:t>
      </w:r>
      <w:proofErr w:type="spellStart"/>
      <w:r w:rsidR="5D9034B7" w:rsidRPr="70898FA4">
        <w:rPr>
          <w:rFonts w:ascii="Arial" w:eastAsia="Arial" w:hAnsi="Arial" w:cs="Arial"/>
          <w:color w:val="000000" w:themeColor="text1"/>
          <w:sz w:val="24"/>
          <w:szCs w:val="24"/>
        </w:rPr>
        <w:t>Barran</w:t>
      </w:r>
      <w:proofErr w:type="spellEnd"/>
      <w:r w:rsidR="5D9034B7" w:rsidRPr="70898FA4">
        <w:rPr>
          <w:rFonts w:ascii="Arial" w:eastAsia="Arial" w:hAnsi="Arial" w:cs="Arial"/>
          <w:color w:val="000000" w:themeColor="text1"/>
          <w:sz w:val="24"/>
          <w:szCs w:val="24"/>
        </w:rPr>
        <w:t>) 1982 of stealing the handbag</w:t>
      </w:r>
      <w:r w:rsidR="0046396F">
        <w:rPr>
          <w:rFonts w:ascii="Arial" w:eastAsia="Arial" w:hAnsi="Arial" w:cs="Arial"/>
          <w:color w:val="000000" w:themeColor="text1"/>
          <w:sz w:val="24"/>
          <w:szCs w:val="24"/>
        </w:rPr>
        <w:t xml:space="preserve"> (LCCSA, 2019)</w:t>
      </w:r>
      <w:r w:rsidR="5D9034B7" w:rsidRPr="70898FA4">
        <w:rPr>
          <w:rFonts w:ascii="Arial" w:eastAsia="Arial" w:hAnsi="Arial" w:cs="Arial"/>
          <w:color w:val="000000" w:themeColor="text1"/>
          <w:sz w:val="24"/>
          <w:szCs w:val="24"/>
        </w:rPr>
        <w:t xml:space="preserve">. The jury had to decide </w:t>
      </w:r>
      <w:r w:rsidR="51DB822F" w:rsidRPr="70898FA4">
        <w:rPr>
          <w:rFonts w:ascii="Arial" w:eastAsia="Arial" w:hAnsi="Arial" w:cs="Arial"/>
          <w:color w:val="000000" w:themeColor="text1"/>
          <w:sz w:val="24"/>
          <w:szCs w:val="24"/>
        </w:rPr>
        <w:t>whether</w:t>
      </w:r>
      <w:r w:rsidR="5D9034B7" w:rsidRPr="70898FA4">
        <w:rPr>
          <w:rFonts w:ascii="Arial" w:eastAsia="Arial" w:hAnsi="Arial" w:cs="Arial"/>
          <w:color w:val="000000" w:themeColor="text1"/>
          <w:sz w:val="24"/>
          <w:szCs w:val="24"/>
        </w:rPr>
        <w:t xml:space="preserve"> the defended was dishonest under the 1968 </w:t>
      </w:r>
      <w:r w:rsidR="697D6F61" w:rsidRPr="70898FA4">
        <w:rPr>
          <w:rFonts w:ascii="Arial" w:eastAsia="Arial" w:hAnsi="Arial" w:cs="Arial"/>
          <w:color w:val="000000" w:themeColor="text1"/>
          <w:sz w:val="24"/>
          <w:szCs w:val="24"/>
        </w:rPr>
        <w:t>Act. The</w:t>
      </w:r>
      <w:r w:rsidR="5D9034B7" w:rsidRPr="70898FA4">
        <w:rPr>
          <w:rFonts w:ascii="Arial" w:eastAsia="Arial" w:hAnsi="Arial" w:cs="Arial"/>
          <w:color w:val="000000" w:themeColor="text1"/>
          <w:sz w:val="24"/>
          <w:szCs w:val="24"/>
        </w:rPr>
        <w:t xml:space="preserve"> law commission has recently proposed that voluntary intoxication should support a defence based upon on the absence of fault intoxication and criminal liability </w:t>
      </w:r>
      <w:r w:rsidR="5D9034B7" w:rsidRPr="0046396F">
        <w:rPr>
          <w:rFonts w:ascii="Arial" w:eastAsia="Arial" w:hAnsi="Arial" w:cs="Arial"/>
          <w:color w:val="000000" w:themeColor="text1"/>
          <w:sz w:val="24"/>
          <w:szCs w:val="24"/>
        </w:rPr>
        <w:t>law</w:t>
      </w:r>
      <w:r w:rsidR="0046396F">
        <w:rPr>
          <w:rFonts w:ascii="Arial" w:eastAsia="Arial" w:hAnsi="Arial" w:cs="Arial"/>
          <w:color w:val="000000" w:themeColor="text1"/>
          <w:sz w:val="24"/>
          <w:szCs w:val="24"/>
        </w:rPr>
        <w:t xml:space="preserve">. </w:t>
      </w:r>
      <w:r w:rsidR="434F29D5" w:rsidRPr="0046396F">
        <w:rPr>
          <w:rFonts w:ascii="Arial" w:eastAsia="Arial" w:hAnsi="Arial" w:cs="Arial"/>
          <w:color w:val="000000" w:themeColor="text1"/>
          <w:sz w:val="24"/>
          <w:szCs w:val="24"/>
        </w:rPr>
        <w:t>The</w:t>
      </w:r>
      <w:r w:rsidR="5D9034B7" w:rsidRPr="70898FA4">
        <w:rPr>
          <w:rFonts w:ascii="Arial" w:eastAsia="Arial" w:hAnsi="Arial" w:cs="Arial"/>
          <w:color w:val="000000" w:themeColor="text1"/>
          <w:sz w:val="24"/>
          <w:szCs w:val="24"/>
        </w:rPr>
        <w:t xml:space="preserve"> main crimes highlighted above are spiking a drink and theft of a handbag. Theft act is dishonestly moving property of another person with the intent of stealing under the act 1965 </w:t>
      </w:r>
      <w:r w:rsidR="0046396F">
        <w:rPr>
          <w:rFonts w:ascii="Arial" w:eastAsia="Arial" w:hAnsi="Arial" w:cs="Arial"/>
          <w:color w:val="000000" w:themeColor="text1"/>
          <w:sz w:val="24"/>
          <w:szCs w:val="24"/>
        </w:rPr>
        <w:t xml:space="preserve">(UK Legislation, 2010). </w:t>
      </w:r>
    </w:p>
    <w:p w14:paraId="255AB294" w14:textId="2C35607C" w:rsidR="00594ECF" w:rsidRDefault="006F2A4F">
      <w:r>
        <w:br/>
      </w:r>
    </w:p>
    <w:p w14:paraId="2E717FB6" w14:textId="64EC8731" w:rsidR="70898FA4" w:rsidRDefault="70898FA4" w:rsidP="70898FA4">
      <w:pPr>
        <w:rPr>
          <w:rFonts w:ascii="Arial" w:eastAsia="Arial" w:hAnsi="Arial" w:cs="Arial"/>
          <w:color w:val="000000" w:themeColor="text1"/>
          <w:sz w:val="24"/>
          <w:szCs w:val="24"/>
        </w:rPr>
      </w:pPr>
    </w:p>
    <w:p w14:paraId="22E88B3E" w14:textId="17319ECB" w:rsidR="70898FA4" w:rsidRDefault="70898FA4" w:rsidP="70898FA4">
      <w:pPr>
        <w:rPr>
          <w:rFonts w:ascii="Arial" w:eastAsia="Arial" w:hAnsi="Arial" w:cs="Arial"/>
          <w:color w:val="000000" w:themeColor="text1"/>
          <w:sz w:val="24"/>
          <w:szCs w:val="24"/>
        </w:rPr>
      </w:pPr>
    </w:p>
    <w:p w14:paraId="12857ACB" w14:textId="571FBC0C" w:rsidR="70898FA4" w:rsidRDefault="70898FA4" w:rsidP="70898FA4">
      <w:pPr>
        <w:rPr>
          <w:rFonts w:ascii="Arial" w:eastAsia="Arial" w:hAnsi="Arial" w:cs="Arial"/>
          <w:color w:val="000000" w:themeColor="text1"/>
          <w:sz w:val="24"/>
          <w:szCs w:val="24"/>
        </w:rPr>
      </w:pPr>
    </w:p>
    <w:p w14:paraId="2C011D52" w14:textId="50525DAB" w:rsidR="70898FA4" w:rsidRDefault="70898FA4" w:rsidP="70898FA4">
      <w:pPr>
        <w:rPr>
          <w:rFonts w:ascii="Arial" w:eastAsia="Arial" w:hAnsi="Arial" w:cs="Arial"/>
          <w:color w:val="000000" w:themeColor="text1"/>
          <w:sz w:val="24"/>
          <w:szCs w:val="24"/>
        </w:rPr>
      </w:pPr>
    </w:p>
    <w:p w14:paraId="16B19012" w14:textId="277543B1" w:rsidR="00594ECF" w:rsidRDefault="5D9034B7" w:rsidP="70898FA4">
      <w:pPr>
        <w:rPr>
          <w:rFonts w:ascii="Arial" w:eastAsia="Arial" w:hAnsi="Arial" w:cs="Arial"/>
          <w:color w:val="000000" w:themeColor="text1"/>
          <w:sz w:val="24"/>
          <w:szCs w:val="24"/>
        </w:rPr>
      </w:pPr>
      <w:r w:rsidRPr="70898FA4">
        <w:rPr>
          <w:rFonts w:ascii="Arial" w:eastAsia="Arial" w:hAnsi="Arial" w:cs="Arial"/>
          <w:color w:val="000000" w:themeColor="text1"/>
          <w:sz w:val="24"/>
          <w:szCs w:val="24"/>
        </w:rPr>
        <w:t>If Paula is guilty the offence which is referred to stealing anything in the building in question of inflicting on any person and causing any grievous bodily harm and doing unlawful damage to a person or anything. A person guilty for burglary shall be on conviction on indictment be liable to imprisonment for term not exceeding where the offence was committed to respect of a building</w:t>
      </w:r>
      <w:r w:rsidR="0046396F">
        <w:rPr>
          <w:rFonts w:ascii="Arial" w:eastAsia="Arial" w:hAnsi="Arial" w:cs="Arial"/>
          <w:color w:val="000000" w:themeColor="text1"/>
          <w:sz w:val="24"/>
          <w:szCs w:val="24"/>
        </w:rPr>
        <w:t>.</w:t>
      </w:r>
      <w:r w:rsidR="5445BC27" w:rsidRPr="70898FA4">
        <w:rPr>
          <w:rFonts w:ascii="Arial" w:eastAsia="Arial" w:hAnsi="Arial" w:cs="Arial"/>
          <w:color w:val="FF0000"/>
          <w:sz w:val="24"/>
          <w:szCs w:val="24"/>
        </w:rPr>
        <w:t xml:space="preserve"> </w:t>
      </w:r>
    </w:p>
    <w:p w14:paraId="38699C14" w14:textId="6A8470B5" w:rsidR="70898FA4" w:rsidRDefault="70898FA4" w:rsidP="70898FA4">
      <w:pPr>
        <w:rPr>
          <w:rFonts w:ascii="Arial" w:eastAsia="Arial" w:hAnsi="Arial" w:cs="Arial"/>
          <w:color w:val="000000" w:themeColor="text1"/>
          <w:sz w:val="24"/>
          <w:szCs w:val="24"/>
        </w:rPr>
      </w:pPr>
    </w:p>
    <w:p w14:paraId="6073E541" w14:textId="2A1D5B37" w:rsidR="00594ECF" w:rsidRPr="0046396F" w:rsidRDefault="5D9034B7">
      <w:pPr>
        <w:rPr>
          <w:color w:val="000000" w:themeColor="text1"/>
        </w:rPr>
      </w:pPr>
      <w:r w:rsidRPr="70898FA4">
        <w:rPr>
          <w:rFonts w:ascii="Arial" w:eastAsia="Arial" w:hAnsi="Arial" w:cs="Arial"/>
          <w:color w:val="000000" w:themeColor="text1"/>
          <w:sz w:val="24"/>
          <w:szCs w:val="24"/>
        </w:rPr>
        <w:t xml:space="preserve">In the common law, it </w:t>
      </w:r>
      <w:r w:rsidR="0C840AF5" w:rsidRPr="70898FA4">
        <w:rPr>
          <w:rFonts w:ascii="Arial" w:eastAsia="Arial" w:hAnsi="Arial" w:cs="Arial"/>
          <w:color w:val="000000" w:themeColor="text1"/>
          <w:sz w:val="24"/>
          <w:szCs w:val="24"/>
        </w:rPr>
        <w:t>states</w:t>
      </w:r>
      <w:r w:rsidR="1B52EE6F" w:rsidRPr="70898FA4">
        <w:rPr>
          <w:rFonts w:ascii="Arial" w:eastAsia="Arial" w:hAnsi="Arial" w:cs="Arial"/>
          <w:color w:val="000000" w:themeColor="text1"/>
          <w:sz w:val="24"/>
          <w:szCs w:val="24"/>
        </w:rPr>
        <w:t xml:space="preserve"> that </w:t>
      </w:r>
      <w:r w:rsidRPr="70898FA4">
        <w:rPr>
          <w:rFonts w:ascii="Arial" w:eastAsia="Arial" w:hAnsi="Arial" w:cs="Arial"/>
          <w:color w:val="000000" w:themeColor="text1"/>
          <w:sz w:val="24"/>
          <w:szCs w:val="24"/>
        </w:rPr>
        <w:t xml:space="preserve">unless the parties expressed a contrary intention time was of the essence. This meant that where it could </w:t>
      </w:r>
      <w:r w:rsidR="270AD459" w:rsidRPr="70898FA4">
        <w:rPr>
          <w:rFonts w:ascii="Arial" w:eastAsia="Arial" w:hAnsi="Arial" w:cs="Arial"/>
          <w:color w:val="000000" w:themeColor="text1"/>
          <w:sz w:val="24"/>
          <w:szCs w:val="24"/>
        </w:rPr>
        <w:t xml:space="preserve">do </w:t>
      </w:r>
      <w:r w:rsidRPr="70898FA4">
        <w:rPr>
          <w:rFonts w:ascii="Arial" w:eastAsia="Arial" w:hAnsi="Arial" w:cs="Arial"/>
          <w:color w:val="000000" w:themeColor="text1"/>
          <w:sz w:val="24"/>
          <w:szCs w:val="24"/>
        </w:rPr>
        <w:t xml:space="preserve">so without injustice and equality it decreased specific performance. The offence under the Theft Act 1968 of either entering a building or public area and committing one of two specified crimes. The tour specified crime inflicting grievous bodily harm causing criminal damages and harming the human body. The specified offences for burglary without intent are stealing or attempting to steal. The Crime (sentence) Act 1997, the judge may give the sentences if the court decide the minimum would be unjust in all circumstance. </w:t>
      </w:r>
      <w:r w:rsidR="781F7833" w:rsidRPr="70898FA4">
        <w:rPr>
          <w:rFonts w:ascii="Arial" w:eastAsia="Arial" w:hAnsi="Arial" w:cs="Arial"/>
          <w:color w:val="000000" w:themeColor="text1"/>
          <w:sz w:val="24"/>
          <w:szCs w:val="24"/>
        </w:rPr>
        <w:t>(</w:t>
      </w:r>
      <w:r w:rsidR="0046396F">
        <w:rPr>
          <w:rFonts w:ascii="Arial" w:eastAsia="Arial" w:hAnsi="Arial" w:cs="Arial"/>
          <w:color w:val="000000" w:themeColor="text1"/>
          <w:sz w:val="24"/>
          <w:szCs w:val="24"/>
        </w:rPr>
        <w:t>Loveless, 2010).</w:t>
      </w:r>
    </w:p>
    <w:p w14:paraId="719E889E" w14:textId="77777777" w:rsidR="0071256E" w:rsidRDefault="0071256E" w:rsidP="70898FA4">
      <w:pPr>
        <w:rPr>
          <w:rFonts w:ascii="Arial" w:eastAsia="Arial" w:hAnsi="Arial" w:cs="Arial"/>
          <w:color w:val="000000" w:themeColor="text1"/>
          <w:sz w:val="24"/>
          <w:szCs w:val="24"/>
        </w:rPr>
      </w:pPr>
    </w:p>
    <w:p w14:paraId="0C8F1821" w14:textId="4003ECC1" w:rsidR="00594ECF" w:rsidRPr="0071256E" w:rsidRDefault="5D9034B7" w:rsidP="70898FA4">
      <w:pPr>
        <w:rPr>
          <w:color w:val="000000" w:themeColor="text1"/>
        </w:rPr>
      </w:pPr>
      <w:r w:rsidRPr="70898FA4">
        <w:rPr>
          <w:rFonts w:ascii="Arial" w:eastAsia="Arial" w:hAnsi="Arial" w:cs="Arial"/>
          <w:color w:val="000000" w:themeColor="text1"/>
          <w:sz w:val="24"/>
          <w:szCs w:val="24"/>
        </w:rPr>
        <w:t xml:space="preserve">The issue in the case was whether the trial judge had entered in his instruction to the Jury and what is the correct meaning of malice. The correct test for malice was whether the defendant had actual intent to cause harm or was reckless as to the possibility of causing foreseeable harm. This is causing a Cunningham “Recklessness”. The jury should have decided whether even without intending to cause the harm. The original trial judge directed the jury oblique intension exist if there is an appreciation of a substantial risk of injury which resulted in the deciding that exposing somebody to a risk of harm. The case was referred to the court appeal and the House of the Lord considering whether this was correct way to define intention. The term “substantial” risk blurred the lines between intention and recklessness, as reckless is not a state of mind sufficient to convict a defendant. The House of Lord confirm that the virtual certainty test introduced in Nedrick should instead be used when considering oblique intention. The jury should be focusing on the </w:t>
      </w:r>
      <w:r w:rsidR="41AB5F13" w:rsidRPr="70898FA4">
        <w:rPr>
          <w:rFonts w:ascii="Arial" w:eastAsia="Arial" w:hAnsi="Arial" w:cs="Arial"/>
          <w:color w:val="000000" w:themeColor="text1"/>
          <w:sz w:val="24"/>
          <w:szCs w:val="24"/>
        </w:rPr>
        <w:t>defendant's</w:t>
      </w:r>
      <w:r w:rsidRPr="70898FA4">
        <w:rPr>
          <w:rFonts w:ascii="Arial" w:eastAsia="Arial" w:hAnsi="Arial" w:cs="Arial"/>
          <w:color w:val="000000" w:themeColor="text1"/>
          <w:sz w:val="24"/>
          <w:szCs w:val="24"/>
        </w:rPr>
        <w:t xml:space="preserve"> purpose when carrying out the action. The defendant attempted to argue her intension was to steal handbag rather than cause death or injury to the victim</w:t>
      </w:r>
      <w:r w:rsidR="31471C7E" w:rsidRPr="70898FA4">
        <w:rPr>
          <w:rFonts w:ascii="Arial" w:eastAsia="Arial" w:hAnsi="Arial" w:cs="Arial"/>
          <w:color w:val="000000" w:themeColor="text1"/>
          <w:sz w:val="24"/>
          <w:szCs w:val="24"/>
        </w:rPr>
        <w:t xml:space="preserve"> (</w:t>
      </w:r>
      <w:r w:rsidR="0071256E">
        <w:rPr>
          <w:rFonts w:ascii="Arial" w:eastAsia="Arial" w:hAnsi="Arial" w:cs="Arial"/>
          <w:color w:val="000000" w:themeColor="text1"/>
          <w:sz w:val="24"/>
          <w:szCs w:val="24"/>
        </w:rPr>
        <w:t>Elliott and Thomas, 2017).</w:t>
      </w:r>
    </w:p>
    <w:p w14:paraId="185A6A55" w14:textId="4D133277" w:rsidR="00594ECF" w:rsidRPr="0071256E" w:rsidRDefault="5D9034B7" w:rsidP="70898FA4">
      <w:pPr>
        <w:rPr>
          <w:color w:val="000000" w:themeColor="text1"/>
        </w:rPr>
      </w:pPr>
      <w:r w:rsidRPr="70898FA4">
        <w:rPr>
          <w:rFonts w:ascii="Arial" w:eastAsia="Arial" w:hAnsi="Arial" w:cs="Arial"/>
          <w:color w:val="000000" w:themeColor="text1"/>
          <w:sz w:val="24"/>
          <w:szCs w:val="24"/>
        </w:rPr>
        <w:t>However, in R V Hales, the court should go in a different direction to the established instead suggesting that the jury should consider defendant action before of and after the alleged offence. The appellants submitted there was no damage in line with the Criminal Damage Act 1971 and within the meaning of A V R (1978) crime LR 689. An important issue in this case which was considered in the action of damage under this legislation</w:t>
      </w:r>
      <w:r w:rsidR="5EC1D6AD" w:rsidRPr="70898FA4">
        <w:rPr>
          <w:rFonts w:ascii="Arial" w:eastAsia="Arial" w:hAnsi="Arial" w:cs="Arial"/>
          <w:color w:val="000000" w:themeColor="text1"/>
          <w:sz w:val="24"/>
          <w:szCs w:val="24"/>
        </w:rPr>
        <w:t xml:space="preserve"> (</w:t>
      </w:r>
      <w:proofErr w:type="spellStart"/>
      <w:r w:rsidR="0071256E">
        <w:rPr>
          <w:rFonts w:ascii="Arial" w:eastAsia="Arial" w:hAnsi="Arial" w:cs="Arial"/>
          <w:color w:val="000000" w:themeColor="text1"/>
          <w:sz w:val="24"/>
          <w:szCs w:val="24"/>
        </w:rPr>
        <w:t>Swarb</w:t>
      </w:r>
      <w:proofErr w:type="spellEnd"/>
      <w:r w:rsidR="0071256E">
        <w:rPr>
          <w:rFonts w:ascii="Arial" w:eastAsia="Arial" w:hAnsi="Arial" w:cs="Arial"/>
          <w:color w:val="000000" w:themeColor="text1"/>
          <w:sz w:val="24"/>
          <w:szCs w:val="24"/>
        </w:rPr>
        <w:t>, 2020).</w:t>
      </w:r>
    </w:p>
    <w:p w14:paraId="5117450F" w14:textId="75787A7D" w:rsidR="00594ECF" w:rsidRDefault="006F2A4F">
      <w:r>
        <w:br/>
      </w:r>
    </w:p>
    <w:p w14:paraId="0BF7C4D5" w14:textId="02472F9B" w:rsidR="00594ECF" w:rsidRDefault="00594ECF" w:rsidP="70898FA4"/>
    <w:p w14:paraId="53BB2666" w14:textId="5D6591C6" w:rsidR="00594ECF" w:rsidRDefault="00594ECF" w:rsidP="70898FA4">
      <w:pPr>
        <w:rPr>
          <w:rFonts w:ascii="Arial" w:eastAsia="Arial" w:hAnsi="Arial" w:cs="Arial"/>
          <w:color w:val="000000" w:themeColor="text1"/>
          <w:sz w:val="24"/>
          <w:szCs w:val="24"/>
        </w:rPr>
      </w:pPr>
    </w:p>
    <w:p w14:paraId="0DD2E932" w14:textId="7C0D5C90" w:rsidR="00594ECF" w:rsidRDefault="00594ECF" w:rsidP="70898FA4">
      <w:pPr>
        <w:rPr>
          <w:rFonts w:ascii="Arial" w:eastAsia="Arial" w:hAnsi="Arial" w:cs="Arial"/>
          <w:color w:val="000000" w:themeColor="text1"/>
          <w:sz w:val="24"/>
          <w:szCs w:val="24"/>
        </w:rPr>
      </w:pPr>
    </w:p>
    <w:p w14:paraId="4D938E21" w14:textId="5D9A0B84" w:rsidR="00594ECF" w:rsidRDefault="5D9034B7" w:rsidP="70898FA4">
      <w:pPr>
        <w:rPr>
          <w:rFonts w:ascii="Arial" w:eastAsia="Arial" w:hAnsi="Arial" w:cs="Arial"/>
          <w:color w:val="000000" w:themeColor="text1"/>
          <w:sz w:val="24"/>
          <w:szCs w:val="24"/>
        </w:rPr>
      </w:pPr>
      <w:r w:rsidRPr="70898FA4">
        <w:rPr>
          <w:rFonts w:ascii="Arial" w:eastAsia="Arial" w:hAnsi="Arial" w:cs="Arial"/>
          <w:color w:val="000000" w:themeColor="text1"/>
          <w:sz w:val="24"/>
          <w:szCs w:val="24"/>
        </w:rPr>
        <w:t xml:space="preserve">In this case Leon spiked Harriet drink which caused </w:t>
      </w:r>
      <w:r w:rsidR="606932D9" w:rsidRPr="70898FA4">
        <w:rPr>
          <w:rFonts w:ascii="Arial" w:eastAsia="Arial" w:hAnsi="Arial" w:cs="Arial"/>
          <w:color w:val="000000" w:themeColor="text1"/>
          <w:sz w:val="24"/>
          <w:szCs w:val="24"/>
        </w:rPr>
        <w:t>damage,</w:t>
      </w:r>
      <w:r w:rsidRPr="70898FA4">
        <w:rPr>
          <w:rFonts w:ascii="Arial" w:eastAsia="Arial" w:hAnsi="Arial" w:cs="Arial"/>
          <w:color w:val="000000" w:themeColor="text1"/>
          <w:sz w:val="24"/>
          <w:szCs w:val="24"/>
        </w:rPr>
        <w:t xml:space="preserve"> but no loss cause caused despite the inconvenience to leave the party. The word damage may be used in the sense mischief done to the property and motive was not </w:t>
      </w:r>
      <w:r w:rsidR="4F988BCE" w:rsidRPr="70898FA4">
        <w:rPr>
          <w:rFonts w:ascii="Arial" w:eastAsia="Arial" w:hAnsi="Arial" w:cs="Arial"/>
          <w:color w:val="000000" w:themeColor="text1"/>
          <w:sz w:val="24"/>
          <w:szCs w:val="24"/>
        </w:rPr>
        <w:t>considered</w:t>
      </w:r>
      <w:r w:rsidRPr="70898FA4">
        <w:rPr>
          <w:rFonts w:ascii="Arial" w:eastAsia="Arial" w:hAnsi="Arial" w:cs="Arial"/>
          <w:color w:val="000000" w:themeColor="text1"/>
          <w:sz w:val="24"/>
          <w:szCs w:val="24"/>
        </w:rPr>
        <w:t xml:space="preserve"> neither was the fact that the damage could be remedied. The export of a reference to this article </w:t>
      </w:r>
      <w:proofErr w:type="spellStart"/>
      <w:r w:rsidRPr="70898FA4">
        <w:rPr>
          <w:rFonts w:ascii="Arial" w:eastAsia="Arial" w:hAnsi="Arial" w:cs="Arial"/>
          <w:color w:val="000000" w:themeColor="text1"/>
          <w:sz w:val="24"/>
          <w:szCs w:val="24"/>
        </w:rPr>
        <w:t>Oscola</w:t>
      </w:r>
      <w:proofErr w:type="spellEnd"/>
      <w:r w:rsidRPr="70898FA4">
        <w:rPr>
          <w:rFonts w:ascii="Arial" w:eastAsia="Arial" w:hAnsi="Arial" w:cs="Arial"/>
          <w:color w:val="000000" w:themeColor="text1"/>
          <w:sz w:val="24"/>
          <w:szCs w:val="24"/>
        </w:rPr>
        <w:t xml:space="preserve"> Hardman Chief Constable of </w:t>
      </w:r>
      <w:proofErr w:type="spellStart"/>
      <w:r w:rsidRPr="70898FA4">
        <w:rPr>
          <w:rFonts w:ascii="Arial" w:eastAsia="Arial" w:hAnsi="Arial" w:cs="Arial"/>
          <w:color w:val="000000" w:themeColor="text1"/>
          <w:sz w:val="24"/>
          <w:szCs w:val="24"/>
        </w:rPr>
        <w:t>Auon</w:t>
      </w:r>
      <w:proofErr w:type="spellEnd"/>
      <w:r w:rsidRPr="70898FA4">
        <w:rPr>
          <w:rFonts w:ascii="Arial" w:eastAsia="Arial" w:hAnsi="Arial" w:cs="Arial"/>
          <w:color w:val="000000" w:themeColor="text1"/>
          <w:sz w:val="24"/>
          <w:szCs w:val="24"/>
        </w:rPr>
        <w:t xml:space="preserve"> and Somerset</w:t>
      </w:r>
      <w:r w:rsidR="76529813" w:rsidRPr="70898FA4">
        <w:rPr>
          <w:rFonts w:ascii="Arial" w:eastAsia="Arial" w:hAnsi="Arial" w:cs="Arial"/>
          <w:color w:val="000000" w:themeColor="text1"/>
          <w:sz w:val="24"/>
          <w:szCs w:val="24"/>
        </w:rPr>
        <w:t xml:space="preserve"> (</w:t>
      </w:r>
      <w:proofErr w:type="spellStart"/>
      <w:r w:rsidR="00F47264">
        <w:rPr>
          <w:rFonts w:ascii="Arial" w:eastAsia="Arial" w:hAnsi="Arial" w:cs="Arial"/>
          <w:color w:val="000000" w:themeColor="text1"/>
          <w:sz w:val="24"/>
          <w:szCs w:val="24"/>
        </w:rPr>
        <w:t>Croneri</w:t>
      </w:r>
      <w:proofErr w:type="spellEnd"/>
      <w:r w:rsidR="00F47264">
        <w:rPr>
          <w:rFonts w:ascii="Arial" w:eastAsia="Arial" w:hAnsi="Arial" w:cs="Arial"/>
          <w:color w:val="000000" w:themeColor="text1"/>
          <w:sz w:val="24"/>
          <w:szCs w:val="24"/>
        </w:rPr>
        <w:t xml:space="preserve">, 2018). </w:t>
      </w:r>
      <w:r w:rsidR="097A9717" w:rsidRPr="70898FA4">
        <w:rPr>
          <w:rFonts w:ascii="Arial" w:eastAsia="Arial" w:hAnsi="Arial" w:cs="Arial"/>
          <w:color w:val="FF0000"/>
          <w:sz w:val="24"/>
          <w:szCs w:val="24"/>
        </w:rPr>
        <w:t xml:space="preserve"> </w:t>
      </w:r>
    </w:p>
    <w:p w14:paraId="3B1BE2DC" w14:textId="42C1313E" w:rsidR="00594ECF" w:rsidRPr="00F47264" w:rsidRDefault="5D9034B7">
      <w:pPr>
        <w:rPr>
          <w:color w:val="000000" w:themeColor="text1"/>
        </w:rPr>
      </w:pPr>
      <w:r w:rsidRPr="70898FA4">
        <w:rPr>
          <w:rFonts w:ascii="Arial" w:eastAsia="Arial" w:hAnsi="Arial" w:cs="Arial"/>
          <w:color w:val="000000" w:themeColor="text1"/>
          <w:sz w:val="24"/>
          <w:szCs w:val="24"/>
        </w:rPr>
        <w:t>Power of arrest in the case of violence, a power attached to for violence, for example a non-molestation order or an occupation order which enable a police constable to arrest without a warrant while he has reasonable cause for suspecting of being in a breach of order to which it is attached even though that person might not be committing a criminal offence</w:t>
      </w:r>
      <w:r w:rsidR="595F8E7B" w:rsidRPr="70898FA4">
        <w:rPr>
          <w:rFonts w:ascii="Arial" w:eastAsia="Arial" w:hAnsi="Arial" w:cs="Arial"/>
          <w:color w:val="000000" w:themeColor="text1"/>
          <w:sz w:val="24"/>
          <w:szCs w:val="24"/>
        </w:rPr>
        <w:t xml:space="preserve"> </w:t>
      </w:r>
      <w:r w:rsidR="00F47264">
        <w:rPr>
          <w:rFonts w:ascii="Arial" w:eastAsia="Arial" w:hAnsi="Arial" w:cs="Arial"/>
          <w:color w:val="000000" w:themeColor="text1"/>
          <w:sz w:val="24"/>
          <w:szCs w:val="24"/>
        </w:rPr>
        <w:t xml:space="preserve">(Loveless, 2010). </w:t>
      </w:r>
    </w:p>
    <w:p w14:paraId="24915381" w14:textId="09CE31E9" w:rsidR="00594ECF" w:rsidRPr="00F47264" w:rsidRDefault="006F2A4F" w:rsidP="70898FA4">
      <w:pPr>
        <w:rPr>
          <w:rFonts w:ascii="Arial" w:eastAsia="Arial" w:hAnsi="Arial" w:cs="Arial"/>
          <w:color w:val="000000" w:themeColor="text1"/>
          <w:sz w:val="24"/>
          <w:szCs w:val="24"/>
        </w:rPr>
      </w:pPr>
      <w:r>
        <w:br/>
      </w:r>
      <w:r w:rsidR="5D9034B7" w:rsidRPr="70898FA4">
        <w:rPr>
          <w:rFonts w:ascii="Arial" w:eastAsia="Arial" w:hAnsi="Arial" w:cs="Arial"/>
          <w:color w:val="000000" w:themeColor="text1"/>
          <w:sz w:val="24"/>
          <w:szCs w:val="24"/>
        </w:rPr>
        <w:t>The judge role is to ensure fair play to maintain the rules of evidence and direct the jury on the la</w:t>
      </w:r>
      <w:r w:rsidR="4888B71E" w:rsidRPr="70898FA4">
        <w:rPr>
          <w:rFonts w:ascii="Arial" w:eastAsia="Arial" w:hAnsi="Arial" w:cs="Arial"/>
          <w:color w:val="000000" w:themeColor="text1"/>
          <w:sz w:val="24"/>
          <w:szCs w:val="24"/>
        </w:rPr>
        <w:t>w</w:t>
      </w:r>
      <w:r w:rsidR="5D9034B7" w:rsidRPr="70898FA4">
        <w:rPr>
          <w:rFonts w:ascii="Arial" w:eastAsia="Arial" w:hAnsi="Arial" w:cs="Arial"/>
          <w:color w:val="000000" w:themeColor="text1"/>
          <w:sz w:val="24"/>
          <w:szCs w:val="24"/>
        </w:rPr>
        <w:t xml:space="preserve">, the police will have independently gathered the </w:t>
      </w:r>
      <w:r w:rsidR="17B58A15" w:rsidRPr="70898FA4">
        <w:rPr>
          <w:rFonts w:ascii="Arial" w:eastAsia="Arial" w:hAnsi="Arial" w:cs="Arial"/>
          <w:color w:val="000000" w:themeColor="text1"/>
          <w:sz w:val="24"/>
          <w:szCs w:val="24"/>
        </w:rPr>
        <w:t>evidence</w:t>
      </w:r>
      <w:r w:rsidR="5D9034B7" w:rsidRPr="70898FA4">
        <w:rPr>
          <w:rFonts w:ascii="Arial" w:eastAsia="Arial" w:hAnsi="Arial" w:cs="Arial"/>
          <w:color w:val="000000" w:themeColor="text1"/>
          <w:sz w:val="24"/>
          <w:szCs w:val="24"/>
        </w:rPr>
        <w:t xml:space="preserve"> which will be presented by </w:t>
      </w:r>
      <w:r w:rsidR="57959827" w:rsidRPr="70898FA4">
        <w:rPr>
          <w:rFonts w:ascii="Arial" w:eastAsia="Arial" w:hAnsi="Arial" w:cs="Arial"/>
          <w:color w:val="000000" w:themeColor="text1"/>
          <w:sz w:val="24"/>
          <w:szCs w:val="24"/>
        </w:rPr>
        <w:t>lawyers</w:t>
      </w:r>
      <w:r w:rsidR="5D9034B7" w:rsidRPr="70898FA4">
        <w:rPr>
          <w:rFonts w:ascii="Arial" w:eastAsia="Arial" w:hAnsi="Arial" w:cs="Arial"/>
          <w:color w:val="000000" w:themeColor="text1"/>
          <w:sz w:val="24"/>
          <w:szCs w:val="24"/>
        </w:rPr>
        <w:t xml:space="preserve"> or </w:t>
      </w:r>
      <w:proofErr w:type="spellStart"/>
      <w:r w:rsidR="5D9034B7" w:rsidRPr="70898FA4">
        <w:rPr>
          <w:rFonts w:ascii="Arial" w:eastAsia="Arial" w:hAnsi="Arial" w:cs="Arial"/>
          <w:color w:val="000000" w:themeColor="text1"/>
          <w:sz w:val="24"/>
          <w:szCs w:val="24"/>
        </w:rPr>
        <w:t>cousel</w:t>
      </w:r>
      <w:proofErr w:type="spellEnd"/>
      <w:r w:rsidR="5D9034B7" w:rsidRPr="70898FA4">
        <w:rPr>
          <w:rFonts w:ascii="Arial" w:eastAsia="Arial" w:hAnsi="Arial" w:cs="Arial"/>
          <w:color w:val="000000" w:themeColor="text1"/>
          <w:sz w:val="24"/>
          <w:szCs w:val="24"/>
        </w:rPr>
        <w:t xml:space="preserve"> for the crown prosecution service, no trial can occur unit the prosecution case and unused evidence has been disclosed to the defence, the </w:t>
      </w:r>
      <w:r w:rsidR="13413CD9" w:rsidRPr="70898FA4">
        <w:rPr>
          <w:rFonts w:ascii="Arial" w:eastAsia="Arial" w:hAnsi="Arial" w:cs="Arial"/>
          <w:color w:val="000000" w:themeColor="text1"/>
          <w:sz w:val="24"/>
          <w:szCs w:val="24"/>
        </w:rPr>
        <w:t>defendant</w:t>
      </w:r>
      <w:r w:rsidR="5D9034B7" w:rsidRPr="70898FA4">
        <w:rPr>
          <w:rFonts w:ascii="Arial" w:eastAsia="Arial" w:hAnsi="Arial" w:cs="Arial"/>
          <w:color w:val="000000" w:themeColor="text1"/>
          <w:sz w:val="24"/>
          <w:szCs w:val="24"/>
        </w:rPr>
        <w:t xml:space="preserve"> will </w:t>
      </w:r>
      <w:r w:rsidR="1597162E" w:rsidRPr="70898FA4">
        <w:rPr>
          <w:rFonts w:ascii="Arial" w:eastAsia="Arial" w:hAnsi="Arial" w:cs="Arial"/>
          <w:color w:val="000000" w:themeColor="text1"/>
          <w:sz w:val="24"/>
          <w:szCs w:val="24"/>
        </w:rPr>
        <w:t>usually</w:t>
      </w:r>
      <w:r w:rsidR="5D9034B7" w:rsidRPr="70898FA4">
        <w:rPr>
          <w:rFonts w:ascii="Arial" w:eastAsia="Arial" w:hAnsi="Arial" w:cs="Arial"/>
          <w:color w:val="000000" w:themeColor="text1"/>
          <w:sz w:val="24"/>
          <w:szCs w:val="24"/>
        </w:rPr>
        <w:t xml:space="preserve"> have disclosed a brief defence statement concern the </w:t>
      </w:r>
      <w:r w:rsidR="24FED1EF" w:rsidRPr="70898FA4">
        <w:rPr>
          <w:rFonts w:ascii="Arial" w:eastAsia="Arial" w:hAnsi="Arial" w:cs="Arial"/>
          <w:color w:val="000000" w:themeColor="text1"/>
          <w:sz w:val="24"/>
          <w:szCs w:val="24"/>
        </w:rPr>
        <w:t>nature</w:t>
      </w:r>
      <w:r w:rsidR="5D9034B7" w:rsidRPr="70898FA4">
        <w:rPr>
          <w:rFonts w:ascii="Arial" w:eastAsia="Arial" w:hAnsi="Arial" w:cs="Arial"/>
          <w:color w:val="000000" w:themeColor="text1"/>
          <w:sz w:val="24"/>
          <w:szCs w:val="24"/>
        </w:rPr>
        <w:t xml:space="preserve"> of grounds of defence and notice of alibis and expert witness. A search for the truth is played out </w:t>
      </w:r>
      <w:r w:rsidR="091E8F2E" w:rsidRPr="70898FA4">
        <w:rPr>
          <w:rFonts w:ascii="Arial" w:eastAsia="Arial" w:hAnsi="Arial" w:cs="Arial"/>
          <w:color w:val="000000" w:themeColor="text1"/>
          <w:sz w:val="24"/>
          <w:szCs w:val="24"/>
        </w:rPr>
        <w:t>based on</w:t>
      </w:r>
      <w:r w:rsidR="5D9034B7" w:rsidRPr="70898FA4">
        <w:rPr>
          <w:rFonts w:ascii="Arial" w:eastAsia="Arial" w:hAnsi="Arial" w:cs="Arial"/>
          <w:color w:val="000000" w:themeColor="text1"/>
          <w:sz w:val="24"/>
          <w:szCs w:val="24"/>
        </w:rPr>
        <w:t xml:space="preserve"> the factual evidence and legal argument presented by the parties who will be portraying their own side of the truth, the reality of which they may exist somewhere in between, the </w:t>
      </w:r>
      <w:r w:rsidR="051329A7" w:rsidRPr="70898FA4">
        <w:rPr>
          <w:rFonts w:ascii="Arial" w:eastAsia="Arial" w:hAnsi="Arial" w:cs="Arial"/>
          <w:color w:val="000000" w:themeColor="text1"/>
          <w:sz w:val="24"/>
          <w:szCs w:val="24"/>
        </w:rPr>
        <w:t>conviction</w:t>
      </w:r>
      <w:r w:rsidR="5D9034B7" w:rsidRPr="70898FA4">
        <w:rPr>
          <w:rFonts w:ascii="Arial" w:eastAsia="Arial" w:hAnsi="Arial" w:cs="Arial"/>
          <w:color w:val="000000" w:themeColor="text1"/>
          <w:sz w:val="24"/>
          <w:szCs w:val="24"/>
        </w:rPr>
        <w:t xml:space="preserve"> in the crown courts is </w:t>
      </w:r>
      <w:r w:rsidR="09063CC4" w:rsidRPr="70898FA4">
        <w:rPr>
          <w:rFonts w:ascii="Arial" w:eastAsia="Arial" w:hAnsi="Arial" w:cs="Arial"/>
          <w:color w:val="000000" w:themeColor="text1"/>
          <w:sz w:val="24"/>
          <w:szCs w:val="24"/>
        </w:rPr>
        <w:t>roughly</w:t>
      </w:r>
      <w:r w:rsidR="5D9034B7" w:rsidRPr="70898FA4">
        <w:rPr>
          <w:rFonts w:ascii="Arial" w:eastAsia="Arial" w:hAnsi="Arial" w:cs="Arial"/>
          <w:color w:val="000000" w:themeColor="text1"/>
          <w:sz w:val="24"/>
          <w:szCs w:val="24"/>
        </w:rPr>
        <w:t xml:space="preserve"> 561. The human rights act 1998 provides that for claims arising most convention right can be </w:t>
      </w:r>
      <w:r w:rsidR="3424C955" w:rsidRPr="70898FA4">
        <w:rPr>
          <w:rFonts w:ascii="Arial" w:eastAsia="Arial" w:hAnsi="Arial" w:cs="Arial"/>
          <w:color w:val="000000" w:themeColor="text1"/>
          <w:sz w:val="24"/>
          <w:szCs w:val="24"/>
        </w:rPr>
        <w:t>directly</w:t>
      </w:r>
      <w:r w:rsidR="5D9034B7" w:rsidRPr="70898FA4">
        <w:rPr>
          <w:rFonts w:ascii="Arial" w:eastAsia="Arial" w:hAnsi="Arial" w:cs="Arial"/>
          <w:color w:val="000000" w:themeColor="text1"/>
          <w:sz w:val="24"/>
          <w:szCs w:val="24"/>
        </w:rPr>
        <w:t xml:space="preserve"> </w:t>
      </w:r>
      <w:r w:rsidR="79215FE6" w:rsidRPr="70898FA4">
        <w:rPr>
          <w:rFonts w:ascii="Arial" w:eastAsia="Arial" w:hAnsi="Arial" w:cs="Arial"/>
          <w:color w:val="000000" w:themeColor="text1"/>
          <w:sz w:val="24"/>
          <w:szCs w:val="24"/>
        </w:rPr>
        <w:t>enforced</w:t>
      </w:r>
      <w:r w:rsidR="5D9034B7" w:rsidRPr="70898FA4">
        <w:rPr>
          <w:rFonts w:ascii="Arial" w:eastAsia="Arial" w:hAnsi="Arial" w:cs="Arial"/>
          <w:color w:val="000000" w:themeColor="text1"/>
          <w:sz w:val="24"/>
          <w:szCs w:val="24"/>
        </w:rPr>
        <w:t xml:space="preserve"> in the domestic courts. This does not prevent from </w:t>
      </w:r>
      <w:r w:rsidR="2F84D875" w:rsidRPr="70898FA4">
        <w:rPr>
          <w:rFonts w:ascii="Arial" w:eastAsia="Arial" w:hAnsi="Arial" w:cs="Arial"/>
          <w:color w:val="000000" w:themeColor="text1"/>
          <w:sz w:val="24"/>
          <w:szCs w:val="24"/>
        </w:rPr>
        <w:t>applying</w:t>
      </w:r>
      <w:r w:rsidR="5D9034B7" w:rsidRPr="70898FA4">
        <w:rPr>
          <w:rFonts w:ascii="Arial" w:eastAsia="Arial" w:hAnsi="Arial" w:cs="Arial"/>
          <w:color w:val="000000" w:themeColor="text1"/>
          <w:sz w:val="24"/>
          <w:szCs w:val="24"/>
        </w:rPr>
        <w:t xml:space="preserve"> directly to </w:t>
      </w:r>
      <w:r w:rsidR="7DCFEDEC" w:rsidRPr="70898FA4">
        <w:rPr>
          <w:rFonts w:ascii="Arial" w:eastAsia="Arial" w:hAnsi="Arial" w:cs="Arial"/>
          <w:color w:val="000000" w:themeColor="text1"/>
          <w:sz w:val="24"/>
          <w:szCs w:val="24"/>
        </w:rPr>
        <w:t>Strasbourg</w:t>
      </w:r>
      <w:r w:rsidR="5D9034B7" w:rsidRPr="70898FA4">
        <w:rPr>
          <w:rFonts w:ascii="Arial" w:eastAsia="Arial" w:hAnsi="Arial" w:cs="Arial"/>
          <w:color w:val="000000" w:themeColor="text1"/>
          <w:sz w:val="24"/>
          <w:szCs w:val="24"/>
        </w:rPr>
        <w:t xml:space="preserve"> </w:t>
      </w:r>
      <w:r w:rsidR="50502A7B" w:rsidRPr="70898FA4">
        <w:rPr>
          <w:rFonts w:ascii="Arial" w:eastAsia="Arial" w:hAnsi="Arial" w:cs="Arial"/>
          <w:color w:val="000000" w:themeColor="text1"/>
          <w:sz w:val="24"/>
          <w:szCs w:val="24"/>
        </w:rPr>
        <w:t>A</w:t>
      </w:r>
      <w:r w:rsidR="00F47264">
        <w:rPr>
          <w:rFonts w:ascii="Arial" w:eastAsia="Arial" w:hAnsi="Arial" w:cs="Arial"/>
          <w:color w:val="000000" w:themeColor="text1"/>
          <w:sz w:val="24"/>
          <w:szCs w:val="24"/>
        </w:rPr>
        <w:t>d</w:t>
      </w:r>
      <w:r w:rsidR="50502A7B" w:rsidRPr="70898FA4">
        <w:rPr>
          <w:rFonts w:ascii="Arial" w:eastAsia="Arial" w:hAnsi="Arial" w:cs="Arial"/>
          <w:color w:val="000000" w:themeColor="text1"/>
          <w:sz w:val="24"/>
          <w:szCs w:val="24"/>
        </w:rPr>
        <w:t>ler</w:t>
      </w:r>
      <w:r w:rsidR="5D9034B7" w:rsidRPr="70898FA4">
        <w:rPr>
          <w:rFonts w:ascii="Arial" w:eastAsia="Arial" w:hAnsi="Arial" w:cs="Arial"/>
          <w:color w:val="000000" w:themeColor="text1"/>
          <w:sz w:val="24"/>
          <w:szCs w:val="24"/>
        </w:rPr>
        <w:t xml:space="preserve"> attempting domestic </w:t>
      </w:r>
      <w:r w:rsidR="2927978C" w:rsidRPr="70898FA4">
        <w:rPr>
          <w:rFonts w:ascii="Arial" w:eastAsia="Arial" w:hAnsi="Arial" w:cs="Arial"/>
          <w:color w:val="000000" w:themeColor="text1"/>
          <w:sz w:val="24"/>
          <w:szCs w:val="24"/>
        </w:rPr>
        <w:t>appeal</w:t>
      </w:r>
      <w:r w:rsidR="5D9034B7" w:rsidRPr="70898FA4">
        <w:rPr>
          <w:rFonts w:ascii="Arial" w:eastAsia="Arial" w:hAnsi="Arial" w:cs="Arial"/>
          <w:color w:val="000000" w:themeColor="text1"/>
          <w:sz w:val="24"/>
          <w:szCs w:val="24"/>
        </w:rPr>
        <w:t xml:space="preserve">. The act rests on the following </w:t>
      </w:r>
      <w:r w:rsidR="2A805AFE" w:rsidRPr="70898FA4">
        <w:rPr>
          <w:rFonts w:ascii="Arial" w:eastAsia="Arial" w:hAnsi="Arial" w:cs="Arial"/>
          <w:color w:val="000000" w:themeColor="text1"/>
          <w:sz w:val="24"/>
          <w:szCs w:val="24"/>
        </w:rPr>
        <w:t>principles</w:t>
      </w:r>
      <w:r w:rsidR="694AB0CE" w:rsidRPr="70898FA4">
        <w:rPr>
          <w:rFonts w:ascii="Arial" w:eastAsia="Arial" w:hAnsi="Arial" w:cs="Arial"/>
          <w:color w:val="000000" w:themeColor="text1"/>
          <w:sz w:val="24"/>
          <w:szCs w:val="24"/>
        </w:rPr>
        <w:t xml:space="preserve"> (</w:t>
      </w:r>
      <w:r w:rsidR="00F47264">
        <w:rPr>
          <w:rFonts w:ascii="Arial" w:eastAsia="Arial" w:hAnsi="Arial" w:cs="Arial"/>
          <w:color w:val="000000" w:themeColor="text1"/>
          <w:sz w:val="24"/>
          <w:szCs w:val="24"/>
        </w:rPr>
        <w:t xml:space="preserve">ECHR, 2014). </w:t>
      </w:r>
    </w:p>
    <w:p w14:paraId="19F9EC73" w14:textId="26664B34" w:rsidR="00594ECF" w:rsidRPr="00F47264" w:rsidRDefault="006F2A4F" w:rsidP="70898FA4">
      <w:pPr>
        <w:rPr>
          <w:rFonts w:ascii="Arial" w:eastAsia="Arial" w:hAnsi="Arial" w:cs="Arial"/>
          <w:color w:val="000000" w:themeColor="text1"/>
          <w:sz w:val="24"/>
          <w:szCs w:val="24"/>
        </w:rPr>
      </w:pPr>
      <w:r>
        <w:br/>
      </w:r>
      <w:r w:rsidR="70017BFD" w:rsidRPr="70898FA4">
        <w:rPr>
          <w:rFonts w:ascii="Arial" w:eastAsia="Arial" w:hAnsi="Arial" w:cs="Arial"/>
          <w:color w:val="000000" w:themeColor="text1"/>
          <w:sz w:val="24"/>
          <w:szCs w:val="24"/>
        </w:rPr>
        <w:t>Individuals</w:t>
      </w:r>
      <w:r w:rsidR="5D9034B7" w:rsidRPr="70898FA4">
        <w:rPr>
          <w:rFonts w:ascii="Arial" w:eastAsia="Arial" w:hAnsi="Arial" w:cs="Arial"/>
          <w:color w:val="000000" w:themeColor="text1"/>
          <w:sz w:val="24"/>
          <w:szCs w:val="24"/>
        </w:rPr>
        <w:t xml:space="preserve"> who </w:t>
      </w:r>
      <w:r w:rsidR="4B18FF71" w:rsidRPr="70898FA4">
        <w:rPr>
          <w:rFonts w:ascii="Arial" w:eastAsia="Arial" w:hAnsi="Arial" w:cs="Arial"/>
          <w:color w:val="000000" w:themeColor="text1"/>
          <w:sz w:val="24"/>
          <w:szCs w:val="24"/>
        </w:rPr>
        <w:t>believe</w:t>
      </w:r>
      <w:r w:rsidR="5D9034B7" w:rsidRPr="70898FA4">
        <w:rPr>
          <w:rFonts w:ascii="Arial" w:eastAsia="Arial" w:hAnsi="Arial" w:cs="Arial"/>
          <w:color w:val="000000" w:themeColor="text1"/>
          <w:sz w:val="24"/>
          <w:szCs w:val="24"/>
        </w:rPr>
        <w:t xml:space="preserve"> their </w:t>
      </w:r>
      <w:r w:rsidR="75EEC6FA" w:rsidRPr="70898FA4">
        <w:rPr>
          <w:rFonts w:ascii="Arial" w:eastAsia="Arial" w:hAnsi="Arial" w:cs="Arial"/>
          <w:color w:val="000000" w:themeColor="text1"/>
          <w:sz w:val="24"/>
          <w:szCs w:val="24"/>
        </w:rPr>
        <w:t>rights</w:t>
      </w:r>
      <w:r w:rsidR="5D9034B7" w:rsidRPr="70898FA4">
        <w:rPr>
          <w:rFonts w:ascii="Arial" w:eastAsia="Arial" w:hAnsi="Arial" w:cs="Arial"/>
          <w:color w:val="000000" w:themeColor="text1"/>
          <w:sz w:val="24"/>
          <w:szCs w:val="24"/>
        </w:rPr>
        <w:t xml:space="preserve"> </w:t>
      </w:r>
      <w:r w:rsidR="1C1D1EDF" w:rsidRPr="70898FA4">
        <w:rPr>
          <w:rFonts w:ascii="Arial" w:eastAsia="Arial" w:hAnsi="Arial" w:cs="Arial"/>
          <w:color w:val="000000" w:themeColor="text1"/>
          <w:sz w:val="24"/>
          <w:szCs w:val="24"/>
        </w:rPr>
        <w:t>have</w:t>
      </w:r>
      <w:r w:rsidR="5D9034B7" w:rsidRPr="70898FA4">
        <w:rPr>
          <w:rFonts w:ascii="Arial" w:eastAsia="Arial" w:hAnsi="Arial" w:cs="Arial"/>
          <w:color w:val="000000" w:themeColor="text1"/>
          <w:sz w:val="24"/>
          <w:szCs w:val="24"/>
        </w:rPr>
        <w:t xml:space="preserve"> been </w:t>
      </w:r>
      <w:r w:rsidR="712301F5" w:rsidRPr="70898FA4">
        <w:rPr>
          <w:rFonts w:ascii="Arial" w:eastAsia="Arial" w:hAnsi="Arial" w:cs="Arial"/>
          <w:color w:val="000000" w:themeColor="text1"/>
          <w:sz w:val="24"/>
          <w:szCs w:val="24"/>
        </w:rPr>
        <w:t>infringed</w:t>
      </w:r>
      <w:r w:rsidR="5D9034B7" w:rsidRPr="70898FA4">
        <w:rPr>
          <w:rFonts w:ascii="Arial" w:eastAsia="Arial" w:hAnsi="Arial" w:cs="Arial"/>
          <w:color w:val="000000" w:themeColor="text1"/>
          <w:sz w:val="24"/>
          <w:szCs w:val="24"/>
        </w:rPr>
        <w:t xml:space="preserve"> by a </w:t>
      </w:r>
      <w:r w:rsidR="1397B948" w:rsidRPr="70898FA4">
        <w:rPr>
          <w:rFonts w:ascii="Arial" w:eastAsia="Arial" w:hAnsi="Arial" w:cs="Arial"/>
          <w:color w:val="000000" w:themeColor="text1"/>
          <w:sz w:val="24"/>
          <w:szCs w:val="24"/>
        </w:rPr>
        <w:t>public</w:t>
      </w:r>
      <w:r w:rsidR="5D9034B7" w:rsidRPr="70898FA4">
        <w:rPr>
          <w:rFonts w:ascii="Arial" w:eastAsia="Arial" w:hAnsi="Arial" w:cs="Arial"/>
          <w:color w:val="000000" w:themeColor="text1"/>
          <w:sz w:val="24"/>
          <w:szCs w:val="24"/>
        </w:rPr>
        <w:t xml:space="preserve"> authority can assert their rights as a defence an appeal or judicial review which bring civil proceeding for damages. The need for </w:t>
      </w:r>
      <w:r w:rsidR="3F4CFCDC" w:rsidRPr="70898FA4">
        <w:rPr>
          <w:rFonts w:ascii="Arial" w:eastAsia="Arial" w:hAnsi="Arial" w:cs="Arial"/>
          <w:color w:val="000000" w:themeColor="text1"/>
          <w:sz w:val="24"/>
          <w:szCs w:val="24"/>
        </w:rPr>
        <w:t>local authority or police</w:t>
      </w:r>
      <w:r w:rsidR="5D9034B7" w:rsidRPr="70898FA4">
        <w:rPr>
          <w:rFonts w:ascii="Arial" w:eastAsia="Arial" w:hAnsi="Arial" w:cs="Arial"/>
          <w:color w:val="000000" w:themeColor="text1"/>
          <w:sz w:val="24"/>
          <w:szCs w:val="24"/>
        </w:rPr>
        <w:t xml:space="preserve"> to have due regard to arti</w:t>
      </w:r>
      <w:r w:rsidR="69BA76A7" w:rsidRPr="70898FA4">
        <w:rPr>
          <w:rFonts w:ascii="Arial" w:eastAsia="Arial" w:hAnsi="Arial" w:cs="Arial"/>
          <w:color w:val="000000" w:themeColor="text1"/>
          <w:sz w:val="24"/>
          <w:szCs w:val="24"/>
        </w:rPr>
        <w:t>fi</w:t>
      </w:r>
      <w:r w:rsidR="5D9034B7" w:rsidRPr="70898FA4">
        <w:rPr>
          <w:rFonts w:ascii="Arial" w:eastAsia="Arial" w:hAnsi="Arial" w:cs="Arial"/>
          <w:color w:val="000000" w:themeColor="text1"/>
          <w:sz w:val="24"/>
          <w:szCs w:val="24"/>
        </w:rPr>
        <w:t xml:space="preserve">cial 8 before </w:t>
      </w:r>
      <w:r w:rsidR="06AB81EF" w:rsidRPr="70898FA4">
        <w:rPr>
          <w:rFonts w:ascii="Arial" w:eastAsia="Arial" w:hAnsi="Arial" w:cs="Arial"/>
          <w:color w:val="000000" w:themeColor="text1"/>
          <w:sz w:val="24"/>
          <w:szCs w:val="24"/>
        </w:rPr>
        <w:t>perusing</w:t>
      </w:r>
      <w:r w:rsidR="5D9034B7" w:rsidRPr="70898FA4">
        <w:rPr>
          <w:rFonts w:ascii="Arial" w:eastAsia="Arial" w:hAnsi="Arial" w:cs="Arial"/>
          <w:color w:val="000000" w:themeColor="text1"/>
          <w:sz w:val="24"/>
          <w:szCs w:val="24"/>
        </w:rPr>
        <w:t xml:space="preserve"> a publicity </w:t>
      </w:r>
      <w:r w:rsidR="5594CB5F" w:rsidRPr="70898FA4">
        <w:rPr>
          <w:rFonts w:ascii="Arial" w:eastAsia="Arial" w:hAnsi="Arial" w:cs="Arial"/>
          <w:color w:val="000000" w:themeColor="text1"/>
          <w:sz w:val="24"/>
          <w:szCs w:val="24"/>
        </w:rPr>
        <w:t>campaign</w:t>
      </w:r>
      <w:r w:rsidR="5D9034B7" w:rsidRPr="70898FA4">
        <w:rPr>
          <w:rFonts w:ascii="Arial" w:eastAsia="Arial" w:hAnsi="Arial" w:cs="Arial"/>
          <w:color w:val="000000" w:themeColor="text1"/>
          <w:sz w:val="24"/>
          <w:szCs w:val="24"/>
        </w:rPr>
        <w:t xml:space="preserve"> after the </w:t>
      </w:r>
      <w:r w:rsidR="7A2F6686" w:rsidRPr="70898FA4">
        <w:rPr>
          <w:rFonts w:ascii="Arial" w:eastAsia="Arial" w:hAnsi="Arial" w:cs="Arial"/>
          <w:color w:val="000000" w:themeColor="text1"/>
          <w:sz w:val="24"/>
          <w:szCs w:val="24"/>
        </w:rPr>
        <w:t>impositions</w:t>
      </w:r>
      <w:r w:rsidR="5D9034B7" w:rsidRPr="70898FA4">
        <w:rPr>
          <w:rFonts w:ascii="Arial" w:eastAsia="Arial" w:hAnsi="Arial" w:cs="Arial"/>
          <w:color w:val="000000" w:themeColor="text1"/>
          <w:sz w:val="24"/>
          <w:szCs w:val="24"/>
        </w:rPr>
        <w:t xml:space="preserve"> of ASBO (on the application of </w:t>
      </w:r>
      <w:proofErr w:type="spellStart"/>
      <w:r w:rsidR="77564338" w:rsidRPr="70898FA4">
        <w:rPr>
          <w:rFonts w:ascii="Arial" w:eastAsia="Arial" w:hAnsi="Arial" w:cs="Arial"/>
          <w:color w:val="000000" w:themeColor="text1"/>
          <w:sz w:val="24"/>
          <w:szCs w:val="24"/>
        </w:rPr>
        <w:t>Stanely</w:t>
      </w:r>
      <w:proofErr w:type="spellEnd"/>
      <w:r w:rsidR="5D9034B7" w:rsidRPr="70898FA4">
        <w:rPr>
          <w:rFonts w:ascii="Arial" w:eastAsia="Arial" w:hAnsi="Arial" w:cs="Arial"/>
          <w:color w:val="000000" w:themeColor="text1"/>
          <w:sz w:val="24"/>
          <w:szCs w:val="24"/>
        </w:rPr>
        <w:t xml:space="preserve"> MPC 2004). The right of </w:t>
      </w:r>
      <w:r w:rsidR="5DAA0273" w:rsidRPr="70898FA4">
        <w:rPr>
          <w:rFonts w:ascii="Arial" w:eastAsia="Arial" w:hAnsi="Arial" w:cs="Arial"/>
          <w:color w:val="000000" w:themeColor="text1"/>
          <w:sz w:val="24"/>
          <w:szCs w:val="24"/>
        </w:rPr>
        <w:t>individual</w:t>
      </w:r>
      <w:r w:rsidR="5D9034B7" w:rsidRPr="70898FA4">
        <w:rPr>
          <w:rFonts w:ascii="Arial" w:eastAsia="Arial" w:hAnsi="Arial" w:cs="Arial"/>
          <w:color w:val="000000" w:themeColor="text1"/>
          <w:sz w:val="24"/>
          <w:szCs w:val="24"/>
        </w:rPr>
        <w:t xml:space="preserve"> to public and </w:t>
      </w:r>
      <w:r w:rsidR="50429556" w:rsidRPr="70898FA4">
        <w:rPr>
          <w:rFonts w:ascii="Arial" w:eastAsia="Arial" w:hAnsi="Arial" w:cs="Arial"/>
          <w:color w:val="000000" w:themeColor="text1"/>
          <w:sz w:val="24"/>
          <w:szCs w:val="24"/>
        </w:rPr>
        <w:t>freedom</w:t>
      </w:r>
      <w:r w:rsidR="5D9034B7" w:rsidRPr="70898FA4">
        <w:rPr>
          <w:rFonts w:ascii="Arial" w:eastAsia="Arial" w:hAnsi="Arial" w:cs="Arial"/>
          <w:color w:val="000000" w:themeColor="text1"/>
          <w:sz w:val="24"/>
          <w:szCs w:val="24"/>
        </w:rPr>
        <w:t xml:space="preserve"> of expression were protected </w:t>
      </w:r>
      <w:r w:rsidR="587DFB09" w:rsidRPr="70898FA4">
        <w:rPr>
          <w:rFonts w:ascii="Arial" w:eastAsia="Arial" w:hAnsi="Arial" w:cs="Arial"/>
          <w:color w:val="000000" w:themeColor="text1"/>
          <w:sz w:val="24"/>
          <w:szCs w:val="24"/>
        </w:rPr>
        <w:t>through</w:t>
      </w:r>
      <w:r w:rsidR="5D9034B7" w:rsidRPr="70898FA4">
        <w:rPr>
          <w:rFonts w:ascii="Arial" w:eastAsia="Arial" w:hAnsi="Arial" w:cs="Arial"/>
          <w:color w:val="000000" w:themeColor="text1"/>
          <w:sz w:val="24"/>
          <w:szCs w:val="24"/>
        </w:rPr>
        <w:t xml:space="preserve"> curtailing the offence of breach of peace. </w:t>
      </w:r>
      <w:r w:rsidR="0BF7E913" w:rsidRPr="70898FA4">
        <w:rPr>
          <w:rFonts w:ascii="Arial" w:eastAsia="Arial" w:hAnsi="Arial" w:cs="Arial"/>
          <w:color w:val="000000" w:themeColor="text1"/>
          <w:sz w:val="24"/>
          <w:szCs w:val="24"/>
        </w:rPr>
        <w:t>Certainly,</w:t>
      </w:r>
      <w:r w:rsidR="5D9034B7" w:rsidRPr="70898FA4">
        <w:rPr>
          <w:rFonts w:ascii="Arial" w:eastAsia="Arial" w:hAnsi="Arial" w:cs="Arial"/>
          <w:color w:val="000000" w:themeColor="text1"/>
          <w:sz w:val="24"/>
          <w:szCs w:val="24"/>
        </w:rPr>
        <w:t xml:space="preserve"> yet many </w:t>
      </w:r>
      <w:r w:rsidR="5925D7E4" w:rsidRPr="70898FA4">
        <w:rPr>
          <w:rFonts w:ascii="Arial" w:eastAsia="Arial" w:hAnsi="Arial" w:cs="Arial"/>
          <w:color w:val="000000" w:themeColor="text1"/>
          <w:sz w:val="24"/>
          <w:szCs w:val="24"/>
        </w:rPr>
        <w:t>fundamental</w:t>
      </w:r>
      <w:r w:rsidR="5D9034B7" w:rsidRPr="70898FA4">
        <w:rPr>
          <w:rFonts w:ascii="Arial" w:eastAsia="Arial" w:hAnsi="Arial" w:cs="Arial"/>
          <w:color w:val="000000" w:themeColor="text1"/>
          <w:sz w:val="24"/>
          <w:szCs w:val="24"/>
        </w:rPr>
        <w:t xml:space="preserve"> criminal </w:t>
      </w:r>
      <w:r w:rsidR="7AE697CF" w:rsidRPr="70898FA4">
        <w:rPr>
          <w:rFonts w:ascii="Arial" w:eastAsia="Arial" w:hAnsi="Arial" w:cs="Arial"/>
          <w:color w:val="000000" w:themeColor="text1"/>
          <w:sz w:val="24"/>
          <w:szCs w:val="24"/>
        </w:rPr>
        <w:t>concepts</w:t>
      </w:r>
      <w:r w:rsidR="5D9034B7" w:rsidRPr="70898FA4">
        <w:rPr>
          <w:rFonts w:ascii="Arial" w:eastAsia="Arial" w:hAnsi="Arial" w:cs="Arial"/>
          <w:color w:val="000000" w:themeColor="text1"/>
          <w:sz w:val="24"/>
          <w:szCs w:val="24"/>
        </w:rPr>
        <w:t xml:space="preserve"> of MR such intension and dishonest are far from certain, the same applies to many common lawn </w:t>
      </w:r>
      <w:proofErr w:type="gramStart"/>
      <w:r w:rsidR="5D9034B7" w:rsidRPr="70898FA4">
        <w:rPr>
          <w:rFonts w:ascii="Arial" w:eastAsia="Arial" w:hAnsi="Arial" w:cs="Arial"/>
          <w:color w:val="000000" w:themeColor="text1"/>
          <w:sz w:val="24"/>
          <w:szCs w:val="24"/>
        </w:rPr>
        <w:t>offence</w:t>
      </w:r>
      <w:proofErr w:type="gramEnd"/>
      <w:r w:rsidR="5D9034B7" w:rsidRPr="70898FA4">
        <w:rPr>
          <w:rFonts w:ascii="Arial" w:eastAsia="Arial" w:hAnsi="Arial" w:cs="Arial"/>
          <w:color w:val="000000" w:themeColor="text1"/>
          <w:sz w:val="24"/>
          <w:szCs w:val="24"/>
        </w:rPr>
        <w:t xml:space="preserve">, such as breach of the peace, common law conspiracy and gross negligence. A body of police </w:t>
      </w:r>
      <w:r w:rsidR="3A8ABAC1" w:rsidRPr="70898FA4">
        <w:rPr>
          <w:rFonts w:ascii="Arial" w:eastAsia="Arial" w:hAnsi="Arial" w:cs="Arial"/>
          <w:color w:val="000000" w:themeColor="text1"/>
          <w:sz w:val="24"/>
          <w:szCs w:val="24"/>
        </w:rPr>
        <w:t>officers</w:t>
      </w:r>
      <w:r w:rsidR="5D9034B7" w:rsidRPr="70898FA4">
        <w:rPr>
          <w:rFonts w:ascii="Arial" w:eastAsia="Arial" w:hAnsi="Arial" w:cs="Arial"/>
          <w:color w:val="000000" w:themeColor="text1"/>
          <w:sz w:val="24"/>
          <w:szCs w:val="24"/>
        </w:rPr>
        <w:t xml:space="preserve"> </w:t>
      </w:r>
      <w:r w:rsidR="5AC9DFBF" w:rsidRPr="70898FA4">
        <w:rPr>
          <w:rFonts w:ascii="Arial" w:eastAsia="Arial" w:hAnsi="Arial" w:cs="Arial"/>
          <w:color w:val="000000" w:themeColor="text1"/>
          <w:sz w:val="24"/>
          <w:szCs w:val="24"/>
        </w:rPr>
        <w:t>maintain</w:t>
      </w:r>
      <w:r w:rsidR="5D9034B7" w:rsidRPr="70898FA4">
        <w:rPr>
          <w:rFonts w:ascii="Arial" w:eastAsia="Arial" w:hAnsi="Arial" w:cs="Arial"/>
          <w:color w:val="000000" w:themeColor="text1"/>
          <w:sz w:val="24"/>
          <w:szCs w:val="24"/>
        </w:rPr>
        <w:t xml:space="preserve"> for </w:t>
      </w:r>
      <w:r w:rsidR="71942A17" w:rsidRPr="70898FA4">
        <w:rPr>
          <w:rFonts w:ascii="Arial" w:eastAsia="Arial" w:hAnsi="Arial" w:cs="Arial"/>
          <w:color w:val="000000" w:themeColor="text1"/>
          <w:sz w:val="24"/>
          <w:szCs w:val="24"/>
        </w:rPr>
        <w:t>police</w:t>
      </w:r>
      <w:r w:rsidR="5D9034B7" w:rsidRPr="70898FA4">
        <w:rPr>
          <w:rFonts w:ascii="Arial" w:eastAsia="Arial" w:hAnsi="Arial" w:cs="Arial"/>
          <w:color w:val="000000" w:themeColor="text1"/>
          <w:sz w:val="24"/>
          <w:szCs w:val="24"/>
        </w:rPr>
        <w:t xml:space="preserve"> area by a </w:t>
      </w:r>
      <w:r w:rsidR="647C66A0" w:rsidRPr="70898FA4">
        <w:rPr>
          <w:rFonts w:ascii="Arial" w:eastAsia="Arial" w:hAnsi="Arial" w:cs="Arial"/>
          <w:color w:val="000000" w:themeColor="text1"/>
          <w:sz w:val="24"/>
          <w:szCs w:val="24"/>
        </w:rPr>
        <w:t>police force</w:t>
      </w:r>
      <w:r w:rsidR="5D9034B7" w:rsidRPr="70898FA4">
        <w:rPr>
          <w:rFonts w:ascii="Arial" w:eastAsia="Arial" w:hAnsi="Arial" w:cs="Arial"/>
          <w:color w:val="000000" w:themeColor="text1"/>
          <w:sz w:val="24"/>
          <w:szCs w:val="24"/>
        </w:rPr>
        <w:t xml:space="preserve"> </w:t>
      </w:r>
      <w:r w:rsidR="163AE100" w:rsidRPr="70898FA4">
        <w:rPr>
          <w:rFonts w:ascii="Arial" w:eastAsia="Arial" w:hAnsi="Arial" w:cs="Arial"/>
          <w:color w:val="000000" w:themeColor="text1"/>
          <w:sz w:val="24"/>
          <w:szCs w:val="24"/>
        </w:rPr>
        <w:t>authority</w:t>
      </w:r>
      <w:r w:rsidR="5D9034B7" w:rsidRPr="70898FA4">
        <w:rPr>
          <w:rFonts w:ascii="Arial" w:eastAsia="Arial" w:hAnsi="Arial" w:cs="Arial"/>
          <w:color w:val="000000" w:themeColor="text1"/>
          <w:sz w:val="24"/>
          <w:szCs w:val="24"/>
        </w:rPr>
        <w:t xml:space="preserve">. Police </w:t>
      </w:r>
      <w:r w:rsidR="2901047B" w:rsidRPr="70898FA4">
        <w:rPr>
          <w:rFonts w:ascii="Arial" w:eastAsia="Arial" w:hAnsi="Arial" w:cs="Arial"/>
          <w:color w:val="000000" w:themeColor="text1"/>
          <w:sz w:val="24"/>
          <w:szCs w:val="24"/>
        </w:rPr>
        <w:t>authorities</w:t>
      </w:r>
      <w:r w:rsidR="5D9034B7" w:rsidRPr="70898FA4">
        <w:rPr>
          <w:rFonts w:ascii="Arial" w:eastAsia="Arial" w:hAnsi="Arial" w:cs="Arial"/>
          <w:color w:val="000000" w:themeColor="text1"/>
          <w:sz w:val="24"/>
          <w:szCs w:val="24"/>
        </w:rPr>
        <w:t xml:space="preserve"> consists of local councillors</w:t>
      </w:r>
      <w:r w:rsidR="5403F8EE" w:rsidRPr="70898FA4">
        <w:rPr>
          <w:rFonts w:ascii="Arial" w:eastAsia="Arial" w:hAnsi="Arial" w:cs="Arial"/>
          <w:color w:val="000000" w:themeColor="text1"/>
          <w:sz w:val="24"/>
          <w:szCs w:val="24"/>
        </w:rPr>
        <w:t xml:space="preserve"> (</w:t>
      </w:r>
      <w:r w:rsidR="00F47264">
        <w:rPr>
          <w:rFonts w:ascii="Arial" w:eastAsia="Arial" w:hAnsi="Arial" w:cs="Arial"/>
          <w:color w:val="000000" w:themeColor="text1"/>
          <w:sz w:val="24"/>
          <w:szCs w:val="24"/>
        </w:rPr>
        <w:t xml:space="preserve">Elliott and Thomas, 2017). </w:t>
      </w:r>
    </w:p>
    <w:p w14:paraId="7A65C56F" w14:textId="21528FAF" w:rsidR="00594ECF" w:rsidRDefault="006F2A4F">
      <w:r>
        <w:br/>
      </w:r>
    </w:p>
    <w:p w14:paraId="145CADA1" w14:textId="077265E0" w:rsidR="70898FA4" w:rsidRDefault="70898FA4" w:rsidP="70898FA4">
      <w:pPr>
        <w:rPr>
          <w:rFonts w:ascii="Arial" w:eastAsia="Arial" w:hAnsi="Arial" w:cs="Arial"/>
          <w:color w:val="000000" w:themeColor="text1"/>
          <w:sz w:val="24"/>
          <w:szCs w:val="24"/>
        </w:rPr>
      </w:pPr>
    </w:p>
    <w:p w14:paraId="0ADBB2CD" w14:textId="16079134" w:rsidR="70898FA4" w:rsidRDefault="70898FA4" w:rsidP="70898FA4">
      <w:pPr>
        <w:rPr>
          <w:rFonts w:ascii="Arial" w:eastAsia="Arial" w:hAnsi="Arial" w:cs="Arial"/>
          <w:color w:val="000000" w:themeColor="text1"/>
          <w:sz w:val="24"/>
          <w:szCs w:val="24"/>
        </w:rPr>
      </w:pPr>
    </w:p>
    <w:p w14:paraId="7B8ADC0C" w14:textId="74042B4E" w:rsidR="70898FA4" w:rsidRDefault="70898FA4" w:rsidP="70898FA4">
      <w:pPr>
        <w:rPr>
          <w:rFonts w:ascii="Arial" w:eastAsia="Arial" w:hAnsi="Arial" w:cs="Arial"/>
          <w:color w:val="000000" w:themeColor="text1"/>
          <w:sz w:val="24"/>
          <w:szCs w:val="24"/>
        </w:rPr>
      </w:pPr>
    </w:p>
    <w:p w14:paraId="6BF1A58C" w14:textId="13367B66" w:rsidR="00594ECF" w:rsidRDefault="5D9034B7" w:rsidP="70898FA4">
      <w:pPr>
        <w:rPr>
          <w:rFonts w:ascii="Arial" w:eastAsia="Arial" w:hAnsi="Arial" w:cs="Arial"/>
          <w:color w:val="000000" w:themeColor="text1"/>
          <w:sz w:val="24"/>
          <w:szCs w:val="24"/>
        </w:rPr>
      </w:pPr>
      <w:r w:rsidRPr="70898FA4">
        <w:rPr>
          <w:rFonts w:ascii="Arial" w:eastAsia="Arial" w:hAnsi="Arial" w:cs="Arial"/>
          <w:color w:val="000000" w:themeColor="text1"/>
          <w:sz w:val="24"/>
          <w:szCs w:val="24"/>
        </w:rPr>
        <w:t>Magistrates and independent members</w:t>
      </w:r>
      <w:r w:rsidR="5B763C57" w:rsidRPr="70898FA4">
        <w:rPr>
          <w:rFonts w:ascii="Arial" w:eastAsia="Arial" w:hAnsi="Arial" w:cs="Arial"/>
          <w:color w:val="000000" w:themeColor="text1"/>
          <w:sz w:val="24"/>
          <w:szCs w:val="24"/>
        </w:rPr>
        <w:t xml:space="preserve"> </w:t>
      </w:r>
      <w:r w:rsidRPr="70898FA4">
        <w:rPr>
          <w:rFonts w:ascii="Arial" w:eastAsia="Arial" w:hAnsi="Arial" w:cs="Arial"/>
          <w:color w:val="000000" w:themeColor="text1"/>
          <w:sz w:val="24"/>
          <w:szCs w:val="24"/>
        </w:rPr>
        <w:t xml:space="preserve">are responsible for maintaining adequate and efficient forces. A person who whatever his rank </w:t>
      </w:r>
      <w:r w:rsidR="0D670674" w:rsidRPr="70898FA4">
        <w:rPr>
          <w:rFonts w:ascii="Arial" w:eastAsia="Arial" w:hAnsi="Arial" w:cs="Arial"/>
          <w:color w:val="000000" w:themeColor="text1"/>
          <w:sz w:val="24"/>
          <w:szCs w:val="24"/>
        </w:rPr>
        <w:t xml:space="preserve">is </w:t>
      </w:r>
      <w:r w:rsidRPr="70898FA4">
        <w:rPr>
          <w:rFonts w:ascii="Arial" w:eastAsia="Arial" w:hAnsi="Arial" w:cs="Arial"/>
          <w:color w:val="000000" w:themeColor="text1"/>
          <w:sz w:val="24"/>
          <w:szCs w:val="24"/>
        </w:rPr>
        <w:t xml:space="preserve">within police force holds the ancient office of constable, </w:t>
      </w:r>
      <w:r w:rsidR="49F54BD1" w:rsidRPr="70898FA4">
        <w:rPr>
          <w:rFonts w:ascii="Arial" w:eastAsia="Arial" w:hAnsi="Arial" w:cs="Arial"/>
          <w:color w:val="000000" w:themeColor="text1"/>
          <w:sz w:val="24"/>
          <w:szCs w:val="24"/>
        </w:rPr>
        <w:t>finally</w:t>
      </w:r>
      <w:r w:rsidRPr="70898FA4">
        <w:rPr>
          <w:rFonts w:ascii="Arial" w:eastAsia="Arial" w:hAnsi="Arial" w:cs="Arial"/>
          <w:color w:val="000000" w:themeColor="text1"/>
          <w:sz w:val="24"/>
          <w:szCs w:val="24"/>
        </w:rPr>
        <w:t xml:space="preserve"> it is worth noting that every proposal for strict </w:t>
      </w:r>
      <w:r w:rsidR="676E1591" w:rsidRPr="70898FA4">
        <w:rPr>
          <w:rFonts w:ascii="Arial" w:eastAsia="Arial" w:hAnsi="Arial" w:cs="Arial"/>
          <w:color w:val="000000" w:themeColor="text1"/>
          <w:sz w:val="24"/>
          <w:szCs w:val="24"/>
        </w:rPr>
        <w:t>liability fault</w:t>
      </w:r>
      <w:r w:rsidRPr="70898FA4">
        <w:rPr>
          <w:rFonts w:ascii="Arial" w:eastAsia="Arial" w:hAnsi="Arial" w:cs="Arial"/>
          <w:color w:val="000000" w:themeColor="text1"/>
          <w:sz w:val="24"/>
          <w:szCs w:val="24"/>
        </w:rPr>
        <w:t xml:space="preserve"> compensation in a limited area create a preference in favour of some victims of personal injury against others. The purpose of pointing out that the law and most reform proposal contain such preferences is not to show that preferential treatment of selected groups is necessarily unjustifiable. One obvious way in which the effect on the legal progression of eliminating all personal injury </w:t>
      </w:r>
      <w:r w:rsidR="6BF326ED" w:rsidRPr="70898FA4">
        <w:rPr>
          <w:rFonts w:ascii="Arial" w:eastAsia="Arial" w:hAnsi="Arial" w:cs="Arial"/>
          <w:color w:val="000000" w:themeColor="text1"/>
          <w:sz w:val="24"/>
          <w:szCs w:val="24"/>
        </w:rPr>
        <w:t>litigation could</w:t>
      </w:r>
      <w:r w:rsidRPr="70898FA4">
        <w:rPr>
          <w:rFonts w:ascii="Arial" w:eastAsia="Arial" w:hAnsi="Arial" w:cs="Arial"/>
          <w:color w:val="000000" w:themeColor="text1"/>
          <w:sz w:val="24"/>
          <w:szCs w:val="24"/>
        </w:rPr>
        <w:t xml:space="preserve"> be cushioned would be to make legal and available for social security tribunal. In criminal law, a warning that </w:t>
      </w:r>
      <w:r w:rsidR="19739C2E" w:rsidRPr="70898FA4">
        <w:rPr>
          <w:rFonts w:ascii="Arial" w:eastAsia="Arial" w:hAnsi="Arial" w:cs="Arial"/>
          <w:color w:val="000000" w:themeColor="text1"/>
          <w:sz w:val="24"/>
          <w:szCs w:val="24"/>
        </w:rPr>
        <w:t>normally</w:t>
      </w:r>
      <w:r w:rsidRPr="70898FA4">
        <w:rPr>
          <w:rFonts w:ascii="Arial" w:eastAsia="Arial" w:hAnsi="Arial" w:cs="Arial"/>
          <w:color w:val="000000" w:themeColor="text1"/>
          <w:sz w:val="24"/>
          <w:szCs w:val="24"/>
        </w:rPr>
        <w:t xml:space="preserve"> should be given by police officer. In accordance with a code of practi</w:t>
      </w:r>
      <w:r w:rsidR="7D2A0F28" w:rsidRPr="70898FA4">
        <w:rPr>
          <w:rFonts w:ascii="Arial" w:eastAsia="Arial" w:hAnsi="Arial" w:cs="Arial"/>
          <w:color w:val="000000" w:themeColor="text1"/>
          <w:sz w:val="24"/>
          <w:szCs w:val="24"/>
        </w:rPr>
        <w:t>c</w:t>
      </w:r>
      <w:r w:rsidRPr="70898FA4">
        <w:rPr>
          <w:rFonts w:ascii="Arial" w:eastAsia="Arial" w:hAnsi="Arial" w:cs="Arial"/>
          <w:color w:val="000000" w:themeColor="text1"/>
          <w:sz w:val="24"/>
          <w:szCs w:val="24"/>
        </w:rPr>
        <w:t xml:space="preserve">e </w:t>
      </w:r>
      <w:r w:rsidR="7D07CA6D" w:rsidRPr="70898FA4">
        <w:rPr>
          <w:rFonts w:ascii="Arial" w:eastAsia="Arial" w:hAnsi="Arial" w:cs="Arial"/>
          <w:color w:val="000000" w:themeColor="text1"/>
          <w:sz w:val="24"/>
          <w:szCs w:val="24"/>
        </w:rPr>
        <w:t xml:space="preserve">it </w:t>
      </w:r>
      <w:r w:rsidRPr="70898FA4">
        <w:rPr>
          <w:rFonts w:ascii="Arial" w:eastAsia="Arial" w:hAnsi="Arial" w:cs="Arial"/>
          <w:color w:val="000000" w:themeColor="text1"/>
          <w:sz w:val="24"/>
          <w:szCs w:val="24"/>
        </w:rPr>
        <w:t xml:space="preserve">is issued under the police and criminal evidence act 1984 which has grounds for believing that </w:t>
      </w:r>
      <w:r w:rsidR="34A97C93" w:rsidRPr="70898FA4">
        <w:rPr>
          <w:rFonts w:ascii="Arial" w:eastAsia="Arial" w:hAnsi="Arial" w:cs="Arial"/>
          <w:color w:val="000000" w:themeColor="text1"/>
          <w:sz w:val="24"/>
          <w:szCs w:val="24"/>
        </w:rPr>
        <w:t>P</w:t>
      </w:r>
      <w:r w:rsidRPr="70898FA4">
        <w:rPr>
          <w:rFonts w:ascii="Arial" w:eastAsia="Arial" w:hAnsi="Arial" w:cs="Arial"/>
          <w:color w:val="000000" w:themeColor="text1"/>
          <w:sz w:val="24"/>
          <w:szCs w:val="24"/>
        </w:rPr>
        <w:t>a</w:t>
      </w:r>
      <w:r w:rsidR="4060F34F" w:rsidRPr="70898FA4">
        <w:rPr>
          <w:rFonts w:ascii="Arial" w:eastAsia="Arial" w:hAnsi="Arial" w:cs="Arial"/>
          <w:color w:val="000000" w:themeColor="text1"/>
          <w:sz w:val="24"/>
          <w:szCs w:val="24"/>
        </w:rPr>
        <w:t>ul</w:t>
      </w:r>
      <w:r w:rsidRPr="70898FA4">
        <w:rPr>
          <w:rFonts w:ascii="Arial" w:eastAsia="Arial" w:hAnsi="Arial" w:cs="Arial"/>
          <w:color w:val="000000" w:themeColor="text1"/>
          <w:sz w:val="24"/>
          <w:szCs w:val="24"/>
        </w:rPr>
        <w:t xml:space="preserve"> has committed an offence. A warning by police officer is given to her and consider her crime</w:t>
      </w:r>
      <w:r w:rsidR="63A1EFEC" w:rsidRPr="70898FA4">
        <w:rPr>
          <w:rFonts w:ascii="Arial" w:eastAsia="Arial" w:hAnsi="Arial" w:cs="Arial"/>
          <w:color w:val="000000" w:themeColor="text1"/>
          <w:sz w:val="24"/>
          <w:szCs w:val="24"/>
        </w:rPr>
        <w:t xml:space="preserve"> (</w:t>
      </w:r>
      <w:r w:rsidR="00F47264">
        <w:rPr>
          <w:rFonts w:ascii="Arial" w:eastAsia="Arial" w:hAnsi="Arial" w:cs="Arial"/>
          <w:color w:val="000000" w:themeColor="text1"/>
          <w:sz w:val="24"/>
          <w:szCs w:val="24"/>
        </w:rPr>
        <w:t xml:space="preserve">Law Commission, 2010). </w:t>
      </w:r>
    </w:p>
    <w:p w14:paraId="5E5787A5" w14:textId="65B55F0E" w:rsidR="00594ECF" w:rsidRDefault="006F2A4F" w:rsidP="13EFD321">
      <w:r>
        <w:br/>
      </w:r>
    </w:p>
    <w:p w14:paraId="453880D7" w14:textId="6201BDA3" w:rsidR="70898FA4" w:rsidRDefault="70898FA4" w:rsidP="70898FA4"/>
    <w:p w14:paraId="1DD6B7E9" w14:textId="06AC3EEB" w:rsidR="70898FA4" w:rsidRDefault="70898FA4" w:rsidP="70898FA4"/>
    <w:p w14:paraId="2F75C0E1" w14:textId="05BA341D" w:rsidR="70898FA4" w:rsidRDefault="70898FA4" w:rsidP="70898FA4"/>
    <w:p w14:paraId="0FC0DAFF" w14:textId="6160F955" w:rsidR="70898FA4" w:rsidRDefault="70898FA4" w:rsidP="70898FA4"/>
    <w:p w14:paraId="4B715DDF" w14:textId="25AEEA38" w:rsidR="70898FA4" w:rsidRDefault="70898FA4" w:rsidP="70898FA4"/>
    <w:p w14:paraId="15EC0DAC" w14:textId="02986528" w:rsidR="70898FA4" w:rsidRDefault="70898FA4" w:rsidP="70898FA4"/>
    <w:p w14:paraId="2E34CF6B" w14:textId="1E538849" w:rsidR="70898FA4" w:rsidRDefault="70898FA4" w:rsidP="70898FA4"/>
    <w:p w14:paraId="18B1C85D" w14:textId="21D7D0C7" w:rsidR="70898FA4" w:rsidRDefault="70898FA4" w:rsidP="70898FA4"/>
    <w:p w14:paraId="4FF4E345" w14:textId="2FD2CC4A" w:rsidR="70898FA4" w:rsidRDefault="70898FA4" w:rsidP="70898FA4"/>
    <w:p w14:paraId="23A0E3E9" w14:textId="7E1C574C" w:rsidR="70898FA4" w:rsidRDefault="70898FA4" w:rsidP="70898FA4"/>
    <w:p w14:paraId="460277A7" w14:textId="5F820A61" w:rsidR="70898FA4" w:rsidRDefault="70898FA4" w:rsidP="70898FA4"/>
    <w:p w14:paraId="335E2FEB" w14:textId="24295C83" w:rsidR="70898FA4" w:rsidRDefault="70898FA4" w:rsidP="70898FA4"/>
    <w:p w14:paraId="14F5DC5C" w14:textId="33B7C3C5" w:rsidR="70898FA4" w:rsidRDefault="70898FA4" w:rsidP="70898FA4"/>
    <w:p w14:paraId="45E6EC61" w14:textId="35E16ABC" w:rsidR="70898FA4" w:rsidRDefault="70898FA4" w:rsidP="70898FA4"/>
    <w:p w14:paraId="38BB21D3" w14:textId="4DB863B0" w:rsidR="70898FA4" w:rsidRDefault="70898FA4" w:rsidP="70898FA4"/>
    <w:p w14:paraId="69D6BC1F" w14:textId="4F16B7B7" w:rsidR="70898FA4" w:rsidRDefault="70898FA4" w:rsidP="70898FA4"/>
    <w:p w14:paraId="4CC541C7" w14:textId="19B42727" w:rsidR="70898FA4" w:rsidRDefault="70898FA4" w:rsidP="70898FA4"/>
    <w:p w14:paraId="2222AC2A" w14:textId="5C013379" w:rsidR="70898FA4" w:rsidRDefault="70898FA4" w:rsidP="70898FA4"/>
    <w:p w14:paraId="45BDD5AE" w14:textId="27FC00C2" w:rsidR="70898FA4" w:rsidRDefault="70898FA4" w:rsidP="70898FA4"/>
    <w:p w14:paraId="01ED9275" w14:textId="47AD4653" w:rsidR="70898FA4" w:rsidRDefault="70898FA4" w:rsidP="70898FA4"/>
    <w:p w14:paraId="59379D8D" w14:textId="0903B176" w:rsidR="66B389F8" w:rsidRDefault="66B389F8" w:rsidP="70898FA4">
      <w:pPr>
        <w:jc w:val="center"/>
        <w:rPr>
          <w:rFonts w:ascii="Arial" w:eastAsia="Arial" w:hAnsi="Arial" w:cs="Arial"/>
          <w:b/>
          <w:bCs/>
          <w:sz w:val="24"/>
          <w:szCs w:val="24"/>
          <w:u w:val="single"/>
        </w:rPr>
      </w:pPr>
      <w:r w:rsidRPr="70898FA4">
        <w:rPr>
          <w:rFonts w:ascii="Arial" w:eastAsia="Arial" w:hAnsi="Arial" w:cs="Arial"/>
          <w:b/>
          <w:bCs/>
          <w:sz w:val="24"/>
          <w:szCs w:val="24"/>
          <w:u w:val="single"/>
        </w:rPr>
        <w:t>Refere</w:t>
      </w:r>
      <w:r w:rsidR="33F34FE2" w:rsidRPr="70898FA4">
        <w:rPr>
          <w:rFonts w:ascii="Arial" w:eastAsia="Arial" w:hAnsi="Arial" w:cs="Arial"/>
          <w:b/>
          <w:bCs/>
          <w:sz w:val="24"/>
          <w:szCs w:val="24"/>
          <w:u w:val="single"/>
        </w:rPr>
        <w:t>nces:</w:t>
      </w:r>
    </w:p>
    <w:p w14:paraId="64DB6402" w14:textId="77777777" w:rsidR="004C52A7" w:rsidRDefault="004C52A7" w:rsidP="004C52A7">
      <w:pPr>
        <w:rPr>
          <w:rFonts w:ascii="Arial" w:eastAsia="Arial" w:hAnsi="Arial" w:cs="Arial"/>
          <w:bCs/>
          <w:sz w:val="24"/>
          <w:szCs w:val="24"/>
        </w:rPr>
      </w:pPr>
    </w:p>
    <w:p w14:paraId="5027B023" w14:textId="4388741D" w:rsidR="004C52A7" w:rsidRDefault="004C52A7" w:rsidP="004C52A7">
      <w:pPr>
        <w:rPr>
          <w:rFonts w:ascii="Arial" w:eastAsia="Arial" w:hAnsi="Arial" w:cs="Arial"/>
          <w:bCs/>
          <w:sz w:val="24"/>
          <w:szCs w:val="24"/>
        </w:rPr>
      </w:pPr>
      <w:proofErr w:type="spellStart"/>
      <w:r>
        <w:rPr>
          <w:rFonts w:ascii="Arial" w:eastAsia="Arial" w:hAnsi="Arial" w:cs="Arial"/>
          <w:bCs/>
          <w:sz w:val="24"/>
          <w:szCs w:val="24"/>
        </w:rPr>
        <w:t>Croneri</w:t>
      </w:r>
      <w:proofErr w:type="spellEnd"/>
      <w:r>
        <w:rPr>
          <w:rFonts w:ascii="Arial" w:eastAsia="Arial" w:hAnsi="Arial" w:cs="Arial"/>
          <w:bCs/>
          <w:sz w:val="24"/>
          <w:szCs w:val="24"/>
        </w:rPr>
        <w:t xml:space="preserve">. (2018). </w:t>
      </w:r>
      <w:r w:rsidRPr="004C52A7">
        <w:rPr>
          <w:rFonts w:ascii="Arial" w:eastAsia="Arial" w:hAnsi="Arial" w:cs="Arial"/>
          <w:bCs/>
          <w:i/>
          <w:sz w:val="24"/>
          <w:szCs w:val="24"/>
        </w:rPr>
        <w:t>Peck v Chief Constable of Avon and Somerset (1999) Bristol County Court.</w:t>
      </w:r>
      <w:r>
        <w:rPr>
          <w:rFonts w:ascii="Arial" w:eastAsia="Arial" w:hAnsi="Arial" w:cs="Arial"/>
          <w:bCs/>
          <w:i/>
          <w:sz w:val="24"/>
          <w:szCs w:val="24"/>
        </w:rPr>
        <w:t xml:space="preserve"> </w:t>
      </w:r>
      <w:r>
        <w:rPr>
          <w:rFonts w:ascii="Arial" w:eastAsia="Arial" w:hAnsi="Arial" w:cs="Arial"/>
          <w:bCs/>
          <w:sz w:val="24"/>
          <w:szCs w:val="24"/>
        </w:rPr>
        <w:t>Available at:</w:t>
      </w:r>
      <w:hyperlink r:id="rId4" w:history="1">
        <w:r w:rsidRPr="007B1CC6">
          <w:rPr>
            <w:rStyle w:val="Hyperlink"/>
            <w:rFonts w:ascii="Arial" w:eastAsia="Arial" w:hAnsi="Arial" w:cs="Arial"/>
            <w:bCs/>
            <w:sz w:val="24"/>
            <w:szCs w:val="24"/>
          </w:rPr>
          <w:t>https://app.croneri.co.uk/law-and-guidance/case-reports/peck-v-chief-constable-avon-a</w:t>
        </w:r>
        <w:r w:rsidRPr="007B1CC6">
          <w:rPr>
            <w:rStyle w:val="Hyperlink"/>
            <w:rFonts w:ascii="Arial" w:eastAsia="Arial" w:hAnsi="Arial" w:cs="Arial"/>
            <w:bCs/>
            <w:sz w:val="24"/>
            <w:szCs w:val="24"/>
          </w:rPr>
          <w:t>n</w:t>
        </w:r>
        <w:r w:rsidRPr="007B1CC6">
          <w:rPr>
            <w:rStyle w:val="Hyperlink"/>
            <w:rFonts w:ascii="Arial" w:eastAsia="Arial" w:hAnsi="Arial" w:cs="Arial"/>
            <w:bCs/>
            <w:sz w:val="24"/>
            <w:szCs w:val="24"/>
          </w:rPr>
          <w:t>d-somerset-1999-bristol-county-court-may</w:t>
        </w:r>
      </w:hyperlink>
    </w:p>
    <w:p w14:paraId="7D1B0228" w14:textId="77777777" w:rsidR="00FF33A4" w:rsidRDefault="00FF33A4" w:rsidP="00FF33A4">
      <w:pPr>
        <w:rPr>
          <w:rFonts w:ascii="Arial" w:eastAsia="Arial" w:hAnsi="Arial" w:cs="Arial"/>
          <w:bCs/>
          <w:sz w:val="24"/>
          <w:szCs w:val="24"/>
        </w:rPr>
      </w:pPr>
    </w:p>
    <w:p w14:paraId="0020BFD3" w14:textId="41FF6037" w:rsidR="00FF33A4" w:rsidRDefault="00FF33A4" w:rsidP="00FF33A4">
      <w:pPr>
        <w:rPr>
          <w:rFonts w:ascii="Arial" w:eastAsia="Arial" w:hAnsi="Arial" w:cs="Arial"/>
          <w:bCs/>
          <w:sz w:val="24"/>
          <w:szCs w:val="24"/>
        </w:rPr>
      </w:pPr>
      <w:r>
        <w:rPr>
          <w:rFonts w:ascii="Arial" w:eastAsia="Arial" w:hAnsi="Arial" w:cs="Arial"/>
          <w:bCs/>
          <w:sz w:val="24"/>
          <w:szCs w:val="24"/>
        </w:rPr>
        <w:t>ECHR</w:t>
      </w:r>
      <w:r>
        <w:rPr>
          <w:rFonts w:ascii="Arial" w:eastAsia="Arial" w:hAnsi="Arial" w:cs="Arial"/>
          <w:bCs/>
          <w:sz w:val="24"/>
          <w:szCs w:val="24"/>
        </w:rPr>
        <w:t xml:space="preserve">. (2014). </w:t>
      </w:r>
      <w:r>
        <w:rPr>
          <w:rFonts w:ascii="Arial" w:eastAsia="Arial" w:hAnsi="Arial" w:cs="Arial"/>
          <w:bCs/>
          <w:i/>
          <w:sz w:val="24"/>
          <w:szCs w:val="24"/>
        </w:rPr>
        <w:t xml:space="preserve">The European Court of Human Rights. </w:t>
      </w:r>
      <w:r>
        <w:rPr>
          <w:rFonts w:ascii="Arial" w:eastAsia="Arial" w:hAnsi="Arial" w:cs="Arial"/>
          <w:bCs/>
          <w:sz w:val="24"/>
          <w:szCs w:val="24"/>
        </w:rPr>
        <w:t xml:space="preserve">Available </w:t>
      </w:r>
      <w:proofErr w:type="spellStart"/>
      <w:r>
        <w:rPr>
          <w:rFonts w:ascii="Arial" w:eastAsia="Arial" w:hAnsi="Arial" w:cs="Arial"/>
          <w:bCs/>
          <w:sz w:val="24"/>
          <w:szCs w:val="24"/>
        </w:rPr>
        <w:t>at:</w:t>
      </w:r>
      <w:r>
        <w:rPr>
          <w:rFonts w:ascii="Arial" w:eastAsia="Arial" w:hAnsi="Arial" w:cs="Arial"/>
          <w:bCs/>
          <w:sz w:val="24"/>
          <w:szCs w:val="24"/>
        </w:rPr>
        <w:fldChar w:fldCharType="begin"/>
      </w:r>
      <w:r>
        <w:rPr>
          <w:rFonts w:ascii="Arial" w:eastAsia="Arial" w:hAnsi="Arial" w:cs="Arial"/>
          <w:bCs/>
          <w:sz w:val="24"/>
          <w:szCs w:val="24"/>
        </w:rPr>
        <w:instrText xml:space="preserve"> HYPERLINK "</w:instrText>
      </w:r>
      <w:r w:rsidRPr="00FF33A4">
        <w:rPr>
          <w:rFonts w:ascii="Arial" w:eastAsia="Arial" w:hAnsi="Arial" w:cs="Arial"/>
          <w:bCs/>
          <w:sz w:val="24"/>
          <w:szCs w:val="24"/>
        </w:rPr>
        <w:instrText>https://www.echr.coe.int/Documents/Guide_ECHR_lawyers_ENG.pdf</w:instrText>
      </w:r>
      <w:r>
        <w:rPr>
          <w:rFonts w:ascii="Arial" w:eastAsia="Arial" w:hAnsi="Arial" w:cs="Arial"/>
          <w:bCs/>
          <w:sz w:val="24"/>
          <w:szCs w:val="24"/>
        </w:rPr>
        <w:instrText xml:space="preserve">" </w:instrText>
      </w:r>
      <w:r>
        <w:rPr>
          <w:rFonts w:ascii="Arial" w:eastAsia="Arial" w:hAnsi="Arial" w:cs="Arial"/>
          <w:bCs/>
          <w:sz w:val="24"/>
          <w:szCs w:val="24"/>
        </w:rPr>
        <w:fldChar w:fldCharType="separate"/>
      </w:r>
      <w:r w:rsidRPr="007B1CC6">
        <w:rPr>
          <w:rStyle w:val="Hyperlink"/>
          <w:rFonts w:ascii="Arial" w:eastAsia="Arial" w:hAnsi="Arial" w:cs="Arial"/>
          <w:bCs/>
          <w:sz w:val="24"/>
          <w:szCs w:val="24"/>
        </w:rPr>
        <w:t>https</w:t>
      </w:r>
      <w:proofErr w:type="spellEnd"/>
      <w:r w:rsidRPr="007B1CC6">
        <w:rPr>
          <w:rStyle w:val="Hyperlink"/>
          <w:rFonts w:ascii="Arial" w:eastAsia="Arial" w:hAnsi="Arial" w:cs="Arial"/>
          <w:bCs/>
          <w:sz w:val="24"/>
          <w:szCs w:val="24"/>
        </w:rPr>
        <w:t>://w</w:t>
      </w:r>
      <w:r w:rsidRPr="007B1CC6">
        <w:rPr>
          <w:rStyle w:val="Hyperlink"/>
          <w:rFonts w:ascii="Arial" w:eastAsia="Arial" w:hAnsi="Arial" w:cs="Arial"/>
          <w:bCs/>
          <w:sz w:val="24"/>
          <w:szCs w:val="24"/>
        </w:rPr>
        <w:t>w</w:t>
      </w:r>
      <w:r w:rsidRPr="007B1CC6">
        <w:rPr>
          <w:rStyle w:val="Hyperlink"/>
          <w:rFonts w:ascii="Arial" w:eastAsia="Arial" w:hAnsi="Arial" w:cs="Arial"/>
          <w:bCs/>
          <w:sz w:val="24"/>
          <w:szCs w:val="24"/>
        </w:rPr>
        <w:t>w.echr.coe.int/Documents/Guide_ECHR_lawyers_ENG.pdf</w:t>
      </w:r>
      <w:r>
        <w:rPr>
          <w:rFonts w:ascii="Arial" w:eastAsia="Arial" w:hAnsi="Arial" w:cs="Arial"/>
          <w:bCs/>
          <w:sz w:val="24"/>
          <w:szCs w:val="24"/>
        </w:rPr>
        <w:fldChar w:fldCharType="end"/>
      </w:r>
      <w:r>
        <w:rPr>
          <w:rFonts w:ascii="Arial" w:eastAsia="Arial" w:hAnsi="Arial" w:cs="Arial"/>
          <w:bCs/>
          <w:sz w:val="24"/>
          <w:szCs w:val="24"/>
        </w:rPr>
        <w:t xml:space="preserve"> </w:t>
      </w:r>
    </w:p>
    <w:p w14:paraId="4C46F4E9" w14:textId="77777777" w:rsidR="005900CB" w:rsidRDefault="005900CB" w:rsidP="005900CB">
      <w:pPr>
        <w:rPr>
          <w:rFonts w:ascii="Arial" w:hAnsi="Arial" w:cs="Arial"/>
          <w:sz w:val="24"/>
        </w:rPr>
      </w:pPr>
    </w:p>
    <w:p w14:paraId="5270E997" w14:textId="3F1CBB37" w:rsidR="005900CB" w:rsidRPr="00F5759D" w:rsidRDefault="005900CB" w:rsidP="005900CB">
      <w:pPr>
        <w:rPr>
          <w:rFonts w:ascii="Arial" w:hAnsi="Arial" w:cs="Arial"/>
          <w:sz w:val="24"/>
        </w:rPr>
      </w:pPr>
      <w:r>
        <w:rPr>
          <w:rFonts w:ascii="Arial" w:hAnsi="Arial" w:cs="Arial"/>
          <w:sz w:val="24"/>
        </w:rPr>
        <w:t xml:space="preserve">Elliott, M and Thomas, R. (2017). </w:t>
      </w:r>
      <w:r>
        <w:rPr>
          <w:rFonts w:ascii="Arial" w:hAnsi="Arial" w:cs="Arial"/>
          <w:i/>
          <w:sz w:val="24"/>
        </w:rPr>
        <w:t xml:space="preserve">Public Law. </w:t>
      </w:r>
      <w:r>
        <w:rPr>
          <w:rFonts w:ascii="Arial" w:hAnsi="Arial" w:cs="Arial"/>
          <w:sz w:val="24"/>
        </w:rPr>
        <w:t>Oxford. 3</w:t>
      </w:r>
      <w:r w:rsidRPr="00F5759D">
        <w:rPr>
          <w:rFonts w:ascii="Arial" w:hAnsi="Arial" w:cs="Arial"/>
          <w:sz w:val="24"/>
          <w:vertAlign w:val="superscript"/>
        </w:rPr>
        <w:t>rd</w:t>
      </w:r>
      <w:r>
        <w:rPr>
          <w:rFonts w:ascii="Arial" w:hAnsi="Arial" w:cs="Arial"/>
          <w:sz w:val="24"/>
        </w:rPr>
        <w:t xml:space="preserve"> Edition. </w:t>
      </w:r>
      <w:proofErr w:type="spellStart"/>
      <w:r>
        <w:rPr>
          <w:rFonts w:ascii="Arial" w:hAnsi="Arial" w:cs="Arial"/>
          <w:sz w:val="24"/>
        </w:rPr>
        <w:t>Pg</w:t>
      </w:r>
      <w:proofErr w:type="spellEnd"/>
      <w:r>
        <w:rPr>
          <w:rFonts w:ascii="Arial" w:hAnsi="Arial" w:cs="Arial"/>
          <w:sz w:val="24"/>
        </w:rPr>
        <w:t xml:space="preserve"> 293-419.</w:t>
      </w:r>
    </w:p>
    <w:p w14:paraId="59910A18" w14:textId="77777777" w:rsidR="004C52A7" w:rsidRDefault="004C52A7" w:rsidP="0046396F">
      <w:pPr>
        <w:rPr>
          <w:rFonts w:ascii="Arial" w:eastAsia="Arial" w:hAnsi="Arial" w:cs="Arial"/>
          <w:bCs/>
          <w:sz w:val="24"/>
          <w:szCs w:val="24"/>
        </w:rPr>
      </w:pPr>
    </w:p>
    <w:p w14:paraId="5A906AAD" w14:textId="44144B14" w:rsidR="0046396F" w:rsidRDefault="0046396F" w:rsidP="0046396F">
      <w:pPr>
        <w:rPr>
          <w:rFonts w:ascii="Arial" w:eastAsia="Arial" w:hAnsi="Arial" w:cs="Arial"/>
          <w:bCs/>
          <w:sz w:val="24"/>
          <w:szCs w:val="24"/>
        </w:rPr>
      </w:pPr>
      <w:r>
        <w:rPr>
          <w:rFonts w:ascii="Arial" w:eastAsia="Arial" w:hAnsi="Arial" w:cs="Arial"/>
          <w:bCs/>
          <w:sz w:val="24"/>
          <w:szCs w:val="24"/>
        </w:rPr>
        <w:t>In Brief</w:t>
      </w:r>
      <w:r w:rsidR="005900CB">
        <w:rPr>
          <w:rFonts w:ascii="Arial" w:eastAsia="Arial" w:hAnsi="Arial" w:cs="Arial"/>
          <w:bCs/>
          <w:sz w:val="24"/>
          <w:szCs w:val="24"/>
        </w:rPr>
        <w:t xml:space="preserve">. (2021). </w:t>
      </w:r>
      <w:r w:rsidR="005900CB">
        <w:rPr>
          <w:rFonts w:ascii="Arial" w:eastAsia="Arial" w:hAnsi="Arial" w:cs="Arial"/>
          <w:bCs/>
          <w:i/>
          <w:sz w:val="24"/>
          <w:szCs w:val="24"/>
        </w:rPr>
        <w:t xml:space="preserve">Automatism as a criminal defence. </w:t>
      </w:r>
      <w:r w:rsidR="005900CB">
        <w:rPr>
          <w:rFonts w:ascii="Arial" w:eastAsia="Arial" w:hAnsi="Arial" w:cs="Arial"/>
          <w:bCs/>
          <w:sz w:val="24"/>
          <w:szCs w:val="24"/>
        </w:rPr>
        <w:t xml:space="preserve">Available at: </w:t>
      </w:r>
      <w:hyperlink r:id="rId5" w:history="1">
        <w:r w:rsidR="005900CB" w:rsidRPr="007B1CC6">
          <w:rPr>
            <w:rStyle w:val="Hyperlink"/>
            <w:rFonts w:ascii="Arial" w:eastAsia="Arial" w:hAnsi="Arial" w:cs="Arial"/>
            <w:bCs/>
            <w:sz w:val="24"/>
            <w:szCs w:val="24"/>
          </w:rPr>
          <w:t>https://www</w:t>
        </w:r>
        <w:r w:rsidR="005900CB" w:rsidRPr="007B1CC6">
          <w:rPr>
            <w:rStyle w:val="Hyperlink"/>
            <w:rFonts w:ascii="Arial" w:eastAsia="Arial" w:hAnsi="Arial" w:cs="Arial"/>
            <w:bCs/>
            <w:sz w:val="24"/>
            <w:szCs w:val="24"/>
          </w:rPr>
          <w:t>.</w:t>
        </w:r>
        <w:r w:rsidR="005900CB" w:rsidRPr="007B1CC6">
          <w:rPr>
            <w:rStyle w:val="Hyperlink"/>
            <w:rFonts w:ascii="Arial" w:eastAsia="Arial" w:hAnsi="Arial" w:cs="Arial"/>
            <w:bCs/>
            <w:sz w:val="24"/>
            <w:szCs w:val="24"/>
          </w:rPr>
          <w:t>inbrief.co.uk/court-proceedings/automatism-as-a-criminal-defence/</w:t>
        </w:r>
      </w:hyperlink>
      <w:r>
        <w:rPr>
          <w:rFonts w:ascii="Arial" w:eastAsia="Arial" w:hAnsi="Arial" w:cs="Arial"/>
          <w:bCs/>
          <w:sz w:val="24"/>
          <w:szCs w:val="24"/>
        </w:rPr>
        <w:t xml:space="preserve"> </w:t>
      </w:r>
    </w:p>
    <w:p w14:paraId="4BF2F074" w14:textId="77777777" w:rsidR="00FF33A4" w:rsidRDefault="00FF33A4" w:rsidP="004C52A7">
      <w:pPr>
        <w:rPr>
          <w:rFonts w:ascii="Arial" w:eastAsia="Arial" w:hAnsi="Arial" w:cs="Arial"/>
          <w:bCs/>
          <w:sz w:val="24"/>
          <w:szCs w:val="24"/>
        </w:rPr>
      </w:pPr>
    </w:p>
    <w:p w14:paraId="3D420F85" w14:textId="1CD90073" w:rsidR="004C52A7" w:rsidRPr="00FF33A4" w:rsidRDefault="00FF33A4" w:rsidP="004C52A7">
      <w:pPr>
        <w:rPr>
          <w:rFonts w:ascii="Arial" w:eastAsia="Arial" w:hAnsi="Arial" w:cs="Arial"/>
          <w:bCs/>
          <w:sz w:val="24"/>
          <w:szCs w:val="24"/>
        </w:rPr>
      </w:pPr>
      <w:r>
        <w:rPr>
          <w:rFonts w:ascii="Arial" w:eastAsia="Arial" w:hAnsi="Arial" w:cs="Arial"/>
          <w:bCs/>
          <w:sz w:val="24"/>
          <w:szCs w:val="24"/>
        </w:rPr>
        <w:t xml:space="preserve">Law Commission. (2010). </w:t>
      </w:r>
      <w:r>
        <w:rPr>
          <w:rFonts w:ascii="Arial" w:eastAsia="Arial" w:hAnsi="Arial" w:cs="Arial"/>
          <w:bCs/>
          <w:i/>
          <w:sz w:val="24"/>
          <w:szCs w:val="24"/>
        </w:rPr>
        <w:t xml:space="preserve">Evidence of Bad Character in criminal proceedings. </w:t>
      </w:r>
      <w:r>
        <w:rPr>
          <w:rFonts w:ascii="Arial" w:eastAsia="Arial" w:hAnsi="Arial" w:cs="Arial"/>
          <w:bCs/>
          <w:sz w:val="24"/>
          <w:szCs w:val="24"/>
        </w:rPr>
        <w:t xml:space="preserve">Available at: </w:t>
      </w:r>
      <w:hyperlink r:id="rId6" w:history="1">
        <w:r w:rsidRPr="007B1CC6">
          <w:rPr>
            <w:rStyle w:val="Hyperlink"/>
            <w:rFonts w:ascii="Arial" w:eastAsia="Arial" w:hAnsi="Arial" w:cs="Arial"/>
            <w:bCs/>
            <w:sz w:val="24"/>
            <w:szCs w:val="24"/>
          </w:rPr>
          <w:t>http://lawcom.gov.uk/app/uploads/2015/03/lc273_Evidence_of_Bad_Character_in_Criminal_Proceedings_Report.pdf</w:t>
        </w:r>
      </w:hyperlink>
      <w:r>
        <w:rPr>
          <w:rFonts w:ascii="Arial" w:eastAsia="Arial" w:hAnsi="Arial" w:cs="Arial"/>
          <w:bCs/>
          <w:sz w:val="24"/>
          <w:szCs w:val="24"/>
        </w:rPr>
        <w:t xml:space="preserve"> </w:t>
      </w:r>
    </w:p>
    <w:p w14:paraId="6A9A3FAA" w14:textId="77777777" w:rsidR="00FF33A4" w:rsidRDefault="00FF33A4" w:rsidP="004C52A7">
      <w:pPr>
        <w:rPr>
          <w:rFonts w:ascii="Arial" w:eastAsia="Arial" w:hAnsi="Arial" w:cs="Arial"/>
          <w:bCs/>
          <w:sz w:val="24"/>
          <w:szCs w:val="24"/>
        </w:rPr>
      </w:pPr>
    </w:p>
    <w:p w14:paraId="47B69F91" w14:textId="102EB31E" w:rsidR="004C52A7" w:rsidRDefault="004C52A7" w:rsidP="004C52A7">
      <w:pPr>
        <w:rPr>
          <w:rFonts w:ascii="Arial" w:eastAsia="Arial" w:hAnsi="Arial" w:cs="Arial"/>
          <w:bCs/>
          <w:sz w:val="24"/>
          <w:szCs w:val="24"/>
        </w:rPr>
      </w:pPr>
      <w:r>
        <w:rPr>
          <w:rFonts w:ascii="Arial" w:eastAsia="Arial" w:hAnsi="Arial" w:cs="Arial"/>
          <w:bCs/>
          <w:sz w:val="24"/>
          <w:szCs w:val="24"/>
        </w:rPr>
        <w:t xml:space="preserve">LCCSA, (2019). </w:t>
      </w:r>
      <w:r>
        <w:rPr>
          <w:rFonts w:ascii="Arial" w:eastAsia="Arial" w:hAnsi="Arial" w:cs="Arial"/>
          <w:bCs/>
          <w:i/>
          <w:sz w:val="24"/>
          <w:szCs w:val="24"/>
        </w:rPr>
        <w:t xml:space="preserve">R V DEB Baran Ghosh. </w:t>
      </w:r>
      <w:r>
        <w:rPr>
          <w:rFonts w:ascii="Arial" w:eastAsia="Arial" w:hAnsi="Arial" w:cs="Arial"/>
          <w:bCs/>
          <w:sz w:val="24"/>
          <w:szCs w:val="24"/>
        </w:rPr>
        <w:t xml:space="preserve">Available at: </w:t>
      </w:r>
      <w:hyperlink r:id="rId7" w:history="1">
        <w:r w:rsidRPr="007B1CC6">
          <w:rPr>
            <w:rStyle w:val="Hyperlink"/>
            <w:rFonts w:ascii="Arial" w:eastAsia="Arial" w:hAnsi="Arial" w:cs="Arial"/>
            <w:bCs/>
            <w:sz w:val="24"/>
            <w:szCs w:val="24"/>
          </w:rPr>
          <w:t>https://www.lccsa</w:t>
        </w:r>
        <w:r w:rsidRPr="007B1CC6">
          <w:rPr>
            <w:rStyle w:val="Hyperlink"/>
            <w:rFonts w:ascii="Arial" w:eastAsia="Arial" w:hAnsi="Arial" w:cs="Arial"/>
            <w:bCs/>
            <w:sz w:val="24"/>
            <w:szCs w:val="24"/>
          </w:rPr>
          <w:t>.</w:t>
        </w:r>
        <w:r w:rsidRPr="007B1CC6">
          <w:rPr>
            <w:rStyle w:val="Hyperlink"/>
            <w:rFonts w:ascii="Arial" w:eastAsia="Arial" w:hAnsi="Arial" w:cs="Arial"/>
            <w:bCs/>
            <w:sz w:val="24"/>
            <w:szCs w:val="24"/>
          </w:rPr>
          <w:t>org.uk/r-v-deb-baran-ghosh-1982/</w:t>
        </w:r>
      </w:hyperlink>
      <w:r>
        <w:rPr>
          <w:rFonts w:ascii="Arial" w:eastAsia="Arial" w:hAnsi="Arial" w:cs="Arial"/>
          <w:bCs/>
          <w:sz w:val="24"/>
          <w:szCs w:val="24"/>
        </w:rPr>
        <w:t xml:space="preserve"> </w:t>
      </w:r>
    </w:p>
    <w:p w14:paraId="43023811" w14:textId="77777777" w:rsidR="00FF33A4" w:rsidRDefault="00FF33A4" w:rsidP="0046396F">
      <w:pPr>
        <w:rPr>
          <w:rFonts w:ascii="Arial" w:hAnsi="Arial" w:cs="Arial"/>
          <w:sz w:val="24"/>
        </w:rPr>
      </w:pPr>
    </w:p>
    <w:p w14:paraId="61B94AAF" w14:textId="3A895EAF" w:rsidR="0046396F" w:rsidRDefault="005900CB" w:rsidP="0046396F">
      <w:pPr>
        <w:rPr>
          <w:rFonts w:ascii="Arial" w:eastAsia="Arial" w:hAnsi="Arial" w:cs="Arial"/>
          <w:bCs/>
          <w:sz w:val="24"/>
          <w:szCs w:val="24"/>
        </w:rPr>
      </w:pPr>
      <w:r>
        <w:rPr>
          <w:rFonts w:ascii="Arial" w:hAnsi="Arial" w:cs="Arial"/>
          <w:sz w:val="24"/>
        </w:rPr>
        <w:t xml:space="preserve">Loveless, J. (2010). </w:t>
      </w:r>
      <w:r>
        <w:rPr>
          <w:rFonts w:ascii="Arial" w:hAnsi="Arial" w:cs="Arial"/>
          <w:i/>
          <w:sz w:val="24"/>
        </w:rPr>
        <w:t>Criminal Law.</w:t>
      </w:r>
      <w:r>
        <w:rPr>
          <w:rFonts w:ascii="Arial" w:hAnsi="Arial" w:cs="Arial"/>
          <w:sz w:val="24"/>
        </w:rPr>
        <w:t xml:space="preserve"> Oxford, 2</w:t>
      </w:r>
      <w:r w:rsidRPr="00F5759D">
        <w:rPr>
          <w:rFonts w:ascii="Arial" w:hAnsi="Arial" w:cs="Arial"/>
          <w:sz w:val="24"/>
          <w:vertAlign w:val="superscript"/>
        </w:rPr>
        <w:t>nd</w:t>
      </w:r>
      <w:r>
        <w:rPr>
          <w:rFonts w:ascii="Arial" w:hAnsi="Arial" w:cs="Arial"/>
          <w:sz w:val="24"/>
        </w:rPr>
        <w:t xml:space="preserve"> Edition. </w:t>
      </w:r>
      <w:proofErr w:type="spellStart"/>
      <w:r>
        <w:rPr>
          <w:rFonts w:ascii="Arial" w:hAnsi="Arial" w:cs="Arial"/>
          <w:sz w:val="24"/>
        </w:rPr>
        <w:t>Pg</w:t>
      </w:r>
      <w:proofErr w:type="spellEnd"/>
      <w:r>
        <w:rPr>
          <w:rFonts w:ascii="Arial" w:hAnsi="Arial" w:cs="Arial"/>
          <w:sz w:val="24"/>
        </w:rPr>
        <w:t xml:space="preserve"> 153-337</w:t>
      </w:r>
      <w:r>
        <w:rPr>
          <w:rFonts w:ascii="Arial" w:hAnsi="Arial" w:cs="Arial"/>
          <w:sz w:val="24"/>
        </w:rPr>
        <w:t>.</w:t>
      </w:r>
    </w:p>
    <w:p w14:paraId="1A9AE5E5" w14:textId="310A3A7F" w:rsidR="005900CB" w:rsidRDefault="005900CB" w:rsidP="005900CB">
      <w:pPr>
        <w:rPr>
          <w:rFonts w:ascii="Arial" w:eastAsia="Arial" w:hAnsi="Arial" w:cs="Arial"/>
          <w:bCs/>
          <w:sz w:val="24"/>
          <w:szCs w:val="24"/>
        </w:rPr>
      </w:pPr>
      <w:proofErr w:type="spellStart"/>
      <w:r>
        <w:rPr>
          <w:rFonts w:ascii="Arial" w:eastAsia="Arial" w:hAnsi="Arial" w:cs="Arial"/>
          <w:bCs/>
          <w:sz w:val="24"/>
          <w:szCs w:val="24"/>
        </w:rPr>
        <w:t>Swarb</w:t>
      </w:r>
      <w:proofErr w:type="spellEnd"/>
      <w:r>
        <w:rPr>
          <w:rFonts w:ascii="Arial" w:eastAsia="Arial" w:hAnsi="Arial" w:cs="Arial"/>
          <w:bCs/>
          <w:sz w:val="24"/>
          <w:szCs w:val="24"/>
        </w:rPr>
        <w:t xml:space="preserve">. (2021). </w:t>
      </w:r>
      <w:proofErr w:type="spellStart"/>
      <w:r>
        <w:rPr>
          <w:rFonts w:ascii="Arial" w:eastAsia="Arial" w:hAnsi="Arial" w:cs="Arial"/>
          <w:bCs/>
          <w:i/>
          <w:sz w:val="24"/>
          <w:szCs w:val="24"/>
        </w:rPr>
        <w:t>Jaggard</w:t>
      </w:r>
      <w:proofErr w:type="spellEnd"/>
      <w:r>
        <w:rPr>
          <w:rFonts w:ascii="Arial" w:eastAsia="Arial" w:hAnsi="Arial" w:cs="Arial"/>
          <w:bCs/>
          <w:i/>
          <w:sz w:val="24"/>
          <w:szCs w:val="24"/>
        </w:rPr>
        <w:t xml:space="preserve"> V Dickins</w:t>
      </w:r>
      <w:r w:rsidR="004C52A7">
        <w:rPr>
          <w:rFonts w:ascii="Arial" w:eastAsia="Arial" w:hAnsi="Arial" w:cs="Arial"/>
          <w:bCs/>
          <w:i/>
          <w:sz w:val="24"/>
          <w:szCs w:val="24"/>
        </w:rPr>
        <w:t xml:space="preserve">on: QBD 1980. </w:t>
      </w:r>
      <w:r w:rsidR="004C52A7">
        <w:rPr>
          <w:rFonts w:ascii="Arial" w:eastAsia="Arial" w:hAnsi="Arial" w:cs="Arial"/>
          <w:bCs/>
          <w:sz w:val="24"/>
          <w:szCs w:val="24"/>
        </w:rPr>
        <w:t xml:space="preserve">Available at: </w:t>
      </w:r>
      <w:hyperlink r:id="rId8" w:history="1">
        <w:r w:rsidR="004C52A7" w:rsidRPr="007B1CC6">
          <w:rPr>
            <w:rStyle w:val="Hyperlink"/>
            <w:rFonts w:ascii="Arial" w:eastAsia="Arial" w:hAnsi="Arial" w:cs="Arial"/>
            <w:bCs/>
            <w:sz w:val="24"/>
            <w:szCs w:val="24"/>
          </w:rPr>
          <w:t>https://swarb.co.uk/ja</w:t>
        </w:r>
        <w:r w:rsidR="004C52A7" w:rsidRPr="007B1CC6">
          <w:rPr>
            <w:rStyle w:val="Hyperlink"/>
            <w:rFonts w:ascii="Arial" w:eastAsia="Arial" w:hAnsi="Arial" w:cs="Arial"/>
            <w:bCs/>
            <w:sz w:val="24"/>
            <w:szCs w:val="24"/>
          </w:rPr>
          <w:t>g</w:t>
        </w:r>
        <w:r w:rsidR="004C52A7" w:rsidRPr="007B1CC6">
          <w:rPr>
            <w:rStyle w:val="Hyperlink"/>
            <w:rFonts w:ascii="Arial" w:eastAsia="Arial" w:hAnsi="Arial" w:cs="Arial"/>
            <w:bCs/>
            <w:sz w:val="24"/>
            <w:szCs w:val="24"/>
          </w:rPr>
          <w:t>gard-v-dickinson-qbd-1980/</w:t>
        </w:r>
      </w:hyperlink>
      <w:r>
        <w:rPr>
          <w:rFonts w:ascii="Arial" w:eastAsia="Arial" w:hAnsi="Arial" w:cs="Arial"/>
          <w:bCs/>
          <w:sz w:val="24"/>
          <w:szCs w:val="24"/>
        </w:rPr>
        <w:t xml:space="preserve"> </w:t>
      </w:r>
    </w:p>
    <w:p w14:paraId="13FD3B7A" w14:textId="73791CD2" w:rsidR="004C52A7" w:rsidRDefault="004C52A7" w:rsidP="004C52A7">
      <w:pPr>
        <w:rPr>
          <w:rFonts w:ascii="Arial" w:eastAsia="Arial" w:hAnsi="Arial" w:cs="Arial"/>
          <w:bCs/>
          <w:sz w:val="24"/>
          <w:szCs w:val="24"/>
        </w:rPr>
      </w:pPr>
      <w:proofErr w:type="spellStart"/>
      <w:r>
        <w:rPr>
          <w:rFonts w:ascii="Arial" w:eastAsia="Arial" w:hAnsi="Arial" w:cs="Arial"/>
          <w:bCs/>
          <w:sz w:val="24"/>
          <w:szCs w:val="24"/>
        </w:rPr>
        <w:t>Swarb</w:t>
      </w:r>
      <w:proofErr w:type="spellEnd"/>
      <w:r>
        <w:rPr>
          <w:rFonts w:ascii="Arial" w:eastAsia="Arial" w:hAnsi="Arial" w:cs="Arial"/>
          <w:bCs/>
          <w:sz w:val="24"/>
          <w:szCs w:val="24"/>
        </w:rPr>
        <w:t>. (</w:t>
      </w:r>
      <w:r>
        <w:rPr>
          <w:rFonts w:ascii="Arial" w:eastAsia="Arial" w:hAnsi="Arial" w:cs="Arial"/>
          <w:bCs/>
          <w:sz w:val="24"/>
          <w:szCs w:val="24"/>
        </w:rPr>
        <w:t>2020</w:t>
      </w:r>
      <w:r>
        <w:rPr>
          <w:rFonts w:ascii="Arial" w:eastAsia="Arial" w:hAnsi="Arial" w:cs="Arial"/>
          <w:bCs/>
          <w:sz w:val="24"/>
          <w:szCs w:val="24"/>
        </w:rPr>
        <w:t xml:space="preserve">). </w:t>
      </w:r>
      <w:r>
        <w:rPr>
          <w:rFonts w:ascii="Arial" w:eastAsia="Arial" w:hAnsi="Arial" w:cs="Arial"/>
          <w:bCs/>
          <w:i/>
          <w:sz w:val="24"/>
          <w:szCs w:val="24"/>
        </w:rPr>
        <w:t xml:space="preserve">Regina v Hale: CACD 1978. </w:t>
      </w:r>
      <w:r>
        <w:rPr>
          <w:rFonts w:ascii="Arial" w:eastAsia="Arial" w:hAnsi="Arial" w:cs="Arial"/>
          <w:bCs/>
          <w:sz w:val="24"/>
          <w:szCs w:val="24"/>
        </w:rPr>
        <w:t xml:space="preserve">Available at: </w:t>
      </w:r>
      <w:hyperlink r:id="rId9" w:history="1">
        <w:r w:rsidRPr="007B1CC6">
          <w:rPr>
            <w:rStyle w:val="Hyperlink"/>
            <w:rFonts w:ascii="Arial" w:eastAsia="Arial" w:hAnsi="Arial" w:cs="Arial"/>
            <w:bCs/>
            <w:sz w:val="24"/>
            <w:szCs w:val="24"/>
          </w:rPr>
          <w:t>https://swarb.co.uk/reg</w:t>
        </w:r>
        <w:r w:rsidRPr="007B1CC6">
          <w:rPr>
            <w:rStyle w:val="Hyperlink"/>
            <w:rFonts w:ascii="Arial" w:eastAsia="Arial" w:hAnsi="Arial" w:cs="Arial"/>
            <w:bCs/>
            <w:sz w:val="24"/>
            <w:szCs w:val="24"/>
          </w:rPr>
          <w:t>i</w:t>
        </w:r>
        <w:r w:rsidRPr="007B1CC6">
          <w:rPr>
            <w:rStyle w:val="Hyperlink"/>
            <w:rFonts w:ascii="Arial" w:eastAsia="Arial" w:hAnsi="Arial" w:cs="Arial"/>
            <w:bCs/>
            <w:sz w:val="24"/>
            <w:szCs w:val="24"/>
          </w:rPr>
          <w:t>na-v-hale-cacd-1978/</w:t>
        </w:r>
      </w:hyperlink>
      <w:r>
        <w:rPr>
          <w:rFonts w:ascii="Arial" w:eastAsia="Arial" w:hAnsi="Arial" w:cs="Arial"/>
          <w:bCs/>
          <w:sz w:val="24"/>
          <w:szCs w:val="24"/>
        </w:rPr>
        <w:t xml:space="preserve"> </w:t>
      </w:r>
    </w:p>
    <w:p w14:paraId="31656F3C" w14:textId="77777777" w:rsidR="004C52A7" w:rsidRDefault="004C52A7" w:rsidP="004C52A7">
      <w:pPr>
        <w:rPr>
          <w:rFonts w:ascii="Arial" w:eastAsia="Arial" w:hAnsi="Arial" w:cs="Arial"/>
          <w:bCs/>
          <w:sz w:val="24"/>
          <w:szCs w:val="24"/>
        </w:rPr>
      </w:pPr>
      <w:r>
        <w:rPr>
          <w:rFonts w:ascii="Arial" w:eastAsia="Arial" w:hAnsi="Arial" w:cs="Arial"/>
          <w:bCs/>
          <w:sz w:val="24"/>
          <w:szCs w:val="24"/>
        </w:rPr>
        <w:t xml:space="preserve">UK Legislation. (2010). </w:t>
      </w:r>
      <w:r>
        <w:rPr>
          <w:rFonts w:ascii="Arial" w:eastAsia="Arial" w:hAnsi="Arial" w:cs="Arial"/>
          <w:bCs/>
          <w:i/>
          <w:sz w:val="24"/>
          <w:szCs w:val="24"/>
        </w:rPr>
        <w:t xml:space="preserve">Theft Act 1968. </w:t>
      </w:r>
      <w:r>
        <w:rPr>
          <w:rFonts w:ascii="Arial" w:eastAsia="Arial" w:hAnsi="Arial" w:cs="Arial"/>
          <w:bCs/>
          <w:sz w:val="24"/>
          <w:szCs w:val="24"/>
        </w:rPr>
        <w:t xml:space="preserve">Available at: </w:t>
      </w:r>
      <w:hyperlink r:id="rId10" w:history="1">
        <w:r w:rsidRPr="007B1CC6">
          <w:rPr>
            <w:rStyle w:val="Hyperlink"/>
            <w:rFonts w:ascii="Arial" w:eastAsia="Arial" w:hAnsi="Arial" w:cs="Arial"/>
            <w:bCs/>
            <w:sz w:val="24"/>
            <w:szCs w:val="24"/>
          </w:rPr>
          <w:t>https://</w:t>
        </w:r>
        <w:r w:rsidRPr="007B1CC6">
          <w:rPr>
            <w:rStyle w:val="Hyperlink"/>
            <w:rFonts w:ascii="Arial" w:eastAsia="Arial" w:hAnsi="Arial" w:cs="Arial"/>
            <w:bCs/>
            <w:sz w:val="24"/>
            <w:szCs w:val="24"/>
          </w:rPr>
          <w:t>w</w:t>
        </w:r>
        <w:r w:rsidRPr="007B1CC6">
          <w:rPr>
            <w:rStyle w:val="Hyperlink"/>
            <w:rFonts w:ascii="Arial" w:eastAsia="Arial" w:hAnsi="Arial" w:cs="Arial"/>
            <w:bCs/>
            <w:sz w:val="24"/>
            <w:szCs w:val="24"/>
          </w:rPr>
          <w:t>ww.legislation.gov.uk/ukpga/1968/60</w:t>
        </w:r>
      </w:hyperlink>
      <w:r>
        <w:rPr>
          <w:rFonts w:ascii="Arial" w:eastAsia="Arial" w:hAnsi="Arial" w:cs="Arial"/>
          <w:bCs/>
          <w:sz w:val="24"/>
          <w:szCs w:val="24"/>
        </w:rPr>
        <w:t xml:space="preserve"> </w:t>
      </w:r>
    </w:p>
    <w:p w14:paraId="7A663A1F" w14:textId="410C91F1" w:rsidR="0046396F" w:rsidRDefault="0046396F" w:rsidP="0046396F">
      <w:pPr>
        <w:rPr>
          <w:rFonts w:ascii="Arial" w:eastAsia="Arial" w:hAnsi="Arial" w:cs="Arial"/>
          <w:bCs/>
          <w:sz w:val="24"/>
          <w:szCs w:val="24"/>
        </w:rPr>
      </w:pPr>
      <w:r>
        <w:rPr>
          <w:rFonts w:ascii="Arial" w:eastAsia="Arial" w:hAnsi="Arial" w:cs="Arial"/>
          <w:bCs/>
          <w:sz w:val="24"/>
          <w:szCs w:val="24"/>
        </w:rPr>
        <w:t>UK legislation</w:t>
      </w:r>
      <w:r w:rsidR="005900CB">
        <w:rPr>
          <w:rFonts w:ascii="Arial" w:eastAsia="Arial" w:hAnsi="Arial" w:cs="Arial"/>
          <w:bCs/>
          <w:sz w:val="24"/>
          <w:szCs w:val="24"/>
        </w:rPr>
        <w:t xml:space="preserve">. (2021). </w:t>
      </w:r>
      <w:r w:rsidR="005900CB">
        <w:rPr>
          <w:rFonts w:ascii="Arial" w:eastAsia="Arial" w:hAnsi="Arial" w:cs="Arial"/>
          <w:bCs/>
          <w:i/>
          <w:sz w:val="24"/>
          <w:szCs w:val="24"/>
        </w:rPr>
        <w:t xml:space="preserve">Misuse of Drugs Act 1971. </w:t>
      </w:r>
      <w:r w:rsidR="005900CB">
        <w:rPr>
          <w:rFonts w:ascii="Arial" w:eastAsia="Arial" w:hAnsi="Arial" w:cs="Arial"/>
          <w:bCs/>
          <w:sz w:val="24"/>
          <w:szCs w:val="24"/>
        </w:rPr>
        <w:t>Available at:</w:t>
      </w:r>
      <w:r w:rsidR="00FF33A4">
        <w:rPr>
          <w:rFonts w:ascii="Arial" w:eastAsia="Arial" w:hAnsi="Arial" w:cs="Arial"/>
          <w:bCs/>
          <w:sz w:val="24"/>
          <w:szCs w:val="24"/>
        </w:rPr>
        <w:t xml:space="preserve"> </w:t>
      </w:r>
      <w:hyperlink r:id="rId11" w:history="1">
        <w:r w:rsidR="00FF33A4" w:rsidRPr="007B1CC6">
          <w:rPr>
            <w:rStyle w:val="Hyperlink"/>
            <w:rFonts w:ascii="Arial" w:eastAsia="Arial" w:hAnsi="Arial" w:cs="Arial"/>
            <w:bCs/>
            <w:sz w:val="24"/>
            <w:szCs w:val="24"/>
          </w:rPr>
          <w:t>https://www.le</w:t>
        </w:r>
        <w:r w:rsidR="00FF33A4" w:rsidRPr="007B1CC6">
          <w:rPr>
            <w:rStyle w:val="Hyperlink"/>
            <w:rFonts w:ascii="Arial" w:eastAsia="Arial" w:hAnsi="Arial" w:cs="Arial"/>
            <w:bCs/>
            <w:sz w:val="24"/>
            <w:szCs w:val="24"/>
          </w:rPr>
          <w:t>g</w:t>
        </w:r>
        <w:r w:rsidR="00FF33A4" w:rsidRPr="007B1CC6">
          <w:rPr>
            <w:rStyle w:val="Hyperlink"/>
            <w:rFonts w:ascii="Arial" w:eastAsia="Arial" w:hAnsi="Arial" w:cs="Arial"/>
            <w:bCs/>
            <w:sz w:val="24"/>
            <w:szCs w:val="24"/>
          </w:rPr>
          <w:t>islation.gov.uk/ukpga/1971/38/contents</w:t>
        </w:r>
      </w:hyperlink>
      <w:r>
        <w:rPr>
          <w:rFonts w:ascii="Arial" w:eastAsia="Arial" w:hAnsi="Arial" w:cs="Arial"/>
          <w:bCs/>
          <w:sz w:val="24"/>
          <w:szCs w:val="24"/>
        </w:rPr>
        <w:t xml:space="preserve"> </w:t>
      </w:r>
    </w:p>
    <w:p w14:paraId="3C2F12B5" w14:textId="74ED8696" w:rsidR="0046396F" w:rsidRDefault="0046396F" w:rsidP="0046396F">
      <w:pPr>
        <w:rPr>
          <w:rFonts w:ascii="Arial" w:eastAsia="Arial" w:hAnsi="Arial" w:cs="Arial"/>
          <w:bCs/>
          <w:sz w:val="24"/>
          <w:szCs w:val="24"/>
        </w:rPr>
      </w:pPr>
    </w:p>
    <w:p w14:paraId="6CB9CDBE" w14:textId="2F16D3CE" w:rsidR="0046396F" w:rsidRDefault="0046396F" w:rsidP="0046396F">
      <w:pPr>
        <w:rPr>
          <w:rFonts w:ascii="Arial" w:eastAsia="Arial" w:hAnsi="Arial" w:cs="Arial"/>
          <w:bCs/>
          <w:sz w:val="24"/>
          <w:szCs w:val="24"/>
        </w:rPr>
      </w:pPr>
    </w:p>
    <w:p w14:paraId="001B7F19" w14:textId="5F02DA60" w:rsidR="005900CB" w:rsidRPr="0046396F" w:rsidRDefault="005900CB" w:rsidP="0046396F">
      <w:pPr>
        <w:rPr>
          <w:rFonts w:ascii="Arial" w:eastAsia="Arial" w:hAnsi="Arial" w:cs="Arial"/>
          <w:bCs/>
          <w:sz w:val="24"/>
          <w:szCs w:val="24"/>
        </w:rPr>
      </w:pPr>
      <w:bookmarkStart w:id="0" w:name="_GoBack"/>
      <w:bookmarkEnd w:id="0"/>
    </w:p>
    <w:sectPr w:rsidR="005900CB" w:rsidRPr="0046396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textHash int2:hashCode="//ZX3PW47tUMkW" int2:id="3vLAjI7x">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5F5211"/>
    <w:rsid w:val="0046396F"/>
    <w:rsid w:val="004C52A7"/>
    <w:rsid w:val="005900CB"/>
    <w:rsid w:val="00594ECF"/>
    <w:rsid w:val="006F2A4F"/>
    <w:rsid w:val="0071256E"/>
    <w:rsid w:val="00CB7108"/>
    <w:rsid w:val="00F47264"/>
    <w:rsid w:val="00FF33A4"/>
    <w:rsid w:val="023E83C0"/>
    <w:rsid w:val="051329A7"/>
    <w:rsid w:val="05EB6C2D"/>
    <w:rsid w:val="06AB81EF"/>
    <w:rsid w:val="08CF0A43"/>
    <w:rsid w:val="09063CC4"/>
    <w:rsid w:val="091E8F2E"/>
    <w:rsid w:val="097A9717"/>
    <w:rsid w:val="097F6383"/>
    <w:rsid w:val="09AF690F"/>
    <w:rsid w:val="0A14399F"/>
    <w:rsid w:val="0AF6369A"/>
    <w:rsid w:val="0B271F23"/>
    <w:rsid w:val="0B3204BC"/>
    <w:rsid w:val="0BF7E913"/>
    <w:rsid w:val="0C840AF5"/>
    <w:rsid w:val="0D670674"/>
    <w:rsid w:val="0F1C61FE"/>
    <w:rsid w:val="120C2D5E"/>
    <w:rsid w:val="1284FF0B"/>
    <w:rsid w:val="1320C9D0"/>
    <w:rsid w:val="132C7323"/>
    <w:rsid w:val="13413CD9"/>
    <w:rsid w:val="1397B948"/>
    <w:rsid w:val="13DE27CD"/>
    <w:rsid w:val="13EFD321"/>
    <w:rsid w:val="14BC9A31"/>
    <w:rsid w:val="1524CE5D"/>
    <w:rsid w:val="155E769E"/>
    <w:rsid w:val="15708A2D"/>
    <w:rsid w:val="1597162E"/>
    <w:rsid w:val="163AE100"/>
    <w:rsid w:val="17B58A15"/>
    <w:rsid w:val="185C6F1F"/>
    <w:rsid w:val="19568D1A"/>
    <w:rsid w:val="19739C2E"/>
    <w:rsid w:val="1B52EE6F"/>
    <w:rsid w:val="1C1D1EDF"/>
    <w:rsid w:val="1C24BC55"/>
    <w:rsid w:val="1C9362F7"/>
    <w:rsid w:val="1FD86922"/>
    <w:rsid w:val="205F5211"/>
    <w:rsid w:val="21743983"/>
    <w:rsid w:val="24FED1EF"/>
    <w:rsid w:val="25A9B4D2"/>
    <w:rsid w:val="2647AAA6"/>
    <w:rsid w:val="270AD459"/>
    <w:rsid w:val="287A806F"/>
    <w:rsid w:val="2901047B"/>
    <w:rsid w:val="2927978C"/>
    <w:rsid w:val="2A805AFE"/>
    <w:rsid w:val="2D736A26"/>
    <w:rsid w:val="2EE9C1F3"/>
    <w:rsid w:val="2F84D875"/>
    <w:rsid w:val="2FE4B47A"/>
    <w:rsid w:val="30CD0FF9"/>
    <w:rsid w:val="31471C7E"/>
    <w:rsid w:val="326F0F7D"/>
    <w:rsid w:val="33032CDF"/>
    <w:rsid w:val="33F34FE2"/>
    <w:rsid w:val="3424C955"/>
    <w:rsid w:val="34A97C93"/>
    <w:rsid w:val="37386906"/>
    <w:rsid w:val="39615BC5"/>
    <w:rsid w:val="3988CC1C"/>
    <w:rsid w:val="3A8ABAC1"/>
    <w:rsid w:val="3C0A773C"/>
    <w:rsid w:val="3C4FA228"/>
    <w:rsid w:val="3DD67BC6"/>
    <w:rsid w:val="3F4CFCDC"/>
    <w:rsid w:val="4060F34F"/>
    <w:rsid w:val="41AB5F13"/>
    <w:rsid w:val="434F29D5"/>
    <w:rsid w:val="448E400E"/>
    <w:rsid w:val="4744B45E"/>
    <w:rsid w:val="480216DE"/>
    <w:rsid w:val="4888B71E"/>
    <w:rsid w:val="49F54BD1"/>
    <w:rsid w:val="4B18FF71"/>
    <w:rsid w:val="4B6AC1F0"/>
    <w:rsid w:val="4CDD19F2"/>
    <w:rsid w:val="4E20F78D"/>
    <w:rsid w:val="4F988BCE"/>
    <w:rsid w:val="4FD77BC0"/>
    <w:rsid w:val="50429556"/>
    <w:rsid w:val="50502A7B"/>
    <w:rsid w:val="507F5758"/>
    <w:rsid w:val="51DB822F"/>
    <w:rsid w:val="5403F8EE"/>
    <w:rsid w:val="5445BC27"/>
    <w:rsid w:val="54AAECE3"/>
    <w:rsid w:val="5594CB5F"/>
    <w:rsid w:val="57959827"/>
    <w:rsid w:val="587DFB09"/>
    <w:rsid w:val="5925D7E4"/>
    <w:rsid w:val="595F8E7B"/>
    <w:rsid w:val="59DB1B91"/>
    <w:rsid w:val="5AB1A7E8"/>
    <w:rsid w:val="5AC9DFBF"/>
    <w:rsid w:val="5B763C57"/>
    <w:rsid w:val="5D9034B7"/>
    <w:rsid w:val="5DAA0273"/>
    <w:rsid w:val="5EA4B442"/>
    <w:rsid w:val="5EC1D6AD"/>
    <w:rsid w:val="5F6DD793"/>
    <w:rsid w:val="606932D9"/>
    <w:rsid w:val="61EE1AFC"/>
    <w:rsid w:val="6397A6B6"/>
    <w:rsid w:val="63A1EFEC"/>
    <w:rsid w:val="647C66A0"/>
    <w:rsid w:val="66B389F8"/>
    <w:rsid w:val="676E1591"/>
    <w:rsid w:val="67CF4D14"/>
    <w:rsid w:val="67F88BF0"/>
    <w:rsid w:val="68791F2B"/>
    <w:rsid w:val="694AB0CE"/>
    <w:rsid w:val="697D6F61"/>
    <w:rsid w:val="69BA76A7"/>
    <w:rsid w:val="6AC5331C"/>
    <w:rsid w:val="6BF326ED"/>
    <w:rsid w:val="6E324BEF"/>
    <w:rsid w:val="70017BFD"/>
    <w:rsid w:val="704595CF"/>
    <w:rsid w:val="70898FA4"/>
    <w:rsid w:val="712301F5"/>
    <w:rsid w:val="71942A17"/>
    <w:rsid w:val="74AFC69B"/>
    <w:rsid w:val="75EBB402"/>
    <w:rsid w:val="75EEC6FA"/>
    <w:rsid w:val="76529813"/>
    <w:rsid w:val="767B5705"/>
    <w:rsid w:val="76BE878C"/>
    <w:rsid w:val="77564338"/>
    <w:rsid w:val="781F7833"/>
    <w:rsid w:val="79215FE6"/>
    <w:rsid w:val="7A057839"/>
    <w:rsid w:val="7A2F6686"/>
    <w:rsid w:val="7AE697CF"/>
    <w:rsid w:val="7B177F9A"/>
    <w:rsid w:val="7B88203D"/>
    <w:rsid w:val="7D07CA6D"/>
    <w:rsid w:val="7D2A0F28"/>
    <w:rsid w:val="7DCFEDEC"/>
    <w:rsid w:val="7F2F4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F5211"/>
  <w15:chartTrackingRefBased/>
  <w15:docId w15:val="{BC876DB8-09EB-4A56-A172-20CCCB592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396F"/>
    <w:rPr>
      <w:color w:val="0563C1" w:themeColor="hyperlink"/>
      <w:u w:val="single"/>
    </w:rPr>
  </w:style>
  <w:style w:type="character" w:styleId="UnresolvedMention">
    <w:name w:val="Unresolved Mention"/>
    <w:basedOn w:val="DefaultParagraphFont"/>
    <w:uiPriority w:val="99"/>
    <w:semiHidden/>
    <w:unhideWhenUsed/>
    <w:rsid w:val="0046396F"/>
    <w:rPr>
      <w:color w:val="605E5C"/>
      <w:shd w:val="clear" w:color="auto" w:fill="E1DFDD"/>
    </w:rPr>
  </w:style>
  <w:style w:type="character" w:styleId="FollowedHyperlink">
    <w:name w:val="FollowedHyperlink"/>
    <w:basedOn w:val="DefaultParagraphFont"/>
    <w:uiPriority w:val="99"/>
    <w:semiHidden/>
    <w:unhideWhenUsed/>
    <w:rsid w:val="005900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rb.co.uk/jaggard-v-dickinson-qbd-1980/" TargetMode="External"/><Relationship Id="rId13" Type="http://schemas.openxmlformats.org/officeDocument/2006/relationships/theme" Target="theme/theme1.xml"/><Relationship Id="Rcf7de62df299431d"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lccsa.org.uk/r-v-deb-baran-ghosh-198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awcom.gov.uk/app/uploads/2015/03/lc273_Evidence_of_Bad_Character_in_Criminal_Proceedings_Report.pdf" TargetMode="External"/><Relationship Id="rId11" Type="http://schemas.openxmlformats.org/officeDocument/2006/relationships/hyperlink" Target="https://www.legislation.gov.uk/ukpga/1971/38/contents" TargetMode="External"/><Relationship Id="rId5" Type="http://schemas.openxmlformats.org/officeDocument/2006/relationships/hyperlink" Target="https://www.inbrief.co.uk/court-proceedings/automatism-as-a-criminal-defence/" TargetMode="External"/><Relationship Id="rId10" Type="http://schemas.openxmlformats.org/officeDocument/2006/relationships/hyperlink" Target="https://www.legislation.gov.uk/ukpga/1968/60" TargetMode="External"/><Relationship Id="rId4" Type="http://schemas.openxmlformats.org/officeDocument/2006/relationships/hyperlink" Target="https://app.croneri.co.uk/law-and-guidance/case-reports/peck-v-chief-constable-avon-and-somerset-1999-bristol-county-court-may" TargetMode="External"/><Relationship Id="rId9" Type="http://schemas.openxmlformats.org/officeDocument/2006/relationships/hyperlink" Target="https://swarb.co.uk/regina-v-hale-cacd-1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5</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Ghillamrasul Ibrahim (2024827)</dc:creator>
  <cp:keywords/>
  <dc:description/>
  <cp:lastModifiedBy>Anisa ibrahim</cp:lastModifiedBy>
  <cp:revision>7</cp:revision>
  <dcterms:created xsi:type="dcterms:W3CDTF">2022-01-07T09:12:00Z</dcterms:created>
  <dcterms:modified xsi:type="dcterms:W3CDTF">2022-01-07T21:32:00Z</dcterms:modified>
</cp:coreProperties>
</file>