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4021" w:rsidRDefault="00CE4021">
      <w:pPr>
        <w:spacing w:line="360" w:lineRule="auto"/>
        <w:jc w:val="both"/>
        <w:rPr>
          <w:rFonts w:ascii="Times New Roman" w:eastAsia="Times New Roman" w:hAnsi="Times New Roman" w:cs="Times New Roman"/>
          <w:sz w:val="24"/>
          <w:szCs w:val="24"/>
        </w:rPr>
      </w:pPr>
    </w:p>
    <w:p w:rsidR="00CE4021" w:rsidRDefault="00CE4021">
      <w:pPr>
        <w:spacing w:line="360" w:lineRule="auto"/>
        <w:jc w:val="both"/>
        <w:rPr>
          <w:rFonts w:ascii="Times New Roman" w:eastAsia="Times New Roman" w:hAnsi="Times New Roman" w:cs="Times New Roman"/>
          <w:sz w:val="24"/>
          <w:szCs w:val="24"/>
        </w:rPr>
      </w:pPr>
    </w:p>
    <w:p w:rsidR="00CE4021" w:rsidRDefault="00CE4021">
      <w:pPr>
        <w:spacing w:line="360" w:lineRule="auto"/>
        <w:jc w:val="both"/>
        <w:rPr>
          <w:rFonts w:ascii="Times New Roman" w:eastAsia="Times New Roman" w:hAnsi="Times New Roman" w:cs="Times New Roman"/>
          <w:sz w:val="24"/>
          <w:szCs w:val="24"/>
        </w:rPr>
      </w:pPr>
    </w:p>
    <w:p w:rsidR="00CE4021" w:rsidRDefault="00CE4021">
      <w:pPr>
        <w:spacing w:line="360" w:lineRule="auto"/>
        <w:jc w:val="both"/>
        <w:rPr>
          <w:rFonts w:ascii="Times New Roman" w:eastAsia="Times New Roman" w:hAnsi="Times New Roman" w:cs="Times New Roman"/>
          <w:sz w:val="24"/>
          <w:szCs w:val="24"/>
        </w:rPr>
      </w:pPr>
    </w:p>
    <w:p w:rsidR="00CE4021" w:rsidRDefault="00CE4021">
      <w:pPr>
        <w:spacing w:line="360" w:lineRule="auto"/>
        <w:jc w:val="both"/>
        <w:rPr>
          <w:rFonts w:ascii="Times New Roman" w:eastAsia="Times New Roman" w:hAnsi="Times New Roman" w:cs="Times New Roman"/>
          <w:sz w:val="34"/>
          <w:szCs w:val="34"/>
        </w:rPr>
      </w:pPr>
    </w:p>
    <w:p w:rsidR="00CE4021" w:rsidRDefault="00DF3B45">
      <w:pPr>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Programme: Master of Business Administration</w:t>
      </w:r>
    </w:p>
    <w:p w:rsidR="00CE4021" w:rsidRDefault="00DF3B45">
      <w:pPr>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Module: Human Capital Management</w:t>
      </w:r>
    </w:p>
    <w:p w:rsidR="00CE4021" w:rsidRDefault="00DF3B45">
      <w:pPr>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Module Code: LCMB7023</w:t>
      </w:r>
    </w:p>
    <w:p w:rsidR="00CE4021" w:rsidRDefault="00DF3B45">
      <w:pPr>
        <w:spacing w:line="360" w:lineRule="auto"/>
        <w:jc w:val="center"/>
        <w:rPr>
          <w:b/>
        </w:rPr>
      </w:pPr>
      <w:r>
        <w:rPr>
          <w:rFonts w:ascii="Times New Roman" w:eastAsia="Times New Roman" w:hAnsi="Times New Roman" w:cs="Times New Roman"/>
          <w:b/>
          <w:sz w:val="34"/>
          <w:szCs w:val="34"/>
        </w:rPr>
        <w:t xml:space="preserve">Lecturer: </w:t>
      </w:r>
      <w:proofErr w:type="spellStart"/>
      <w:r>
        <w:rPr>
          <w:rFonts w:ascii="Times New Roman" w:eastAsia="Times New Roman" w:hAnsi="Times New Roman" w:cs="Times New Roman"/>
          <w:b/>
          <w:sz w:val="34"/>
          <w:szCs w:val="34"/>
        </w:rPr>
        <w:t>Ejike</w:t>
      </w:r>
      <w:proofErr w:type="spellEnd"/>
      <w:r>
        <w:rPr>
          <w:rFonts w:ascii="Times New Roman" w:eastAsia="Times New Roman" w:hAnsi="Times New Roman" w:cs="Times New Roman"/>
          <w:b/>
          <w:sz w:val="34"/>
          <w:szCs w:val="34"/>
        </w:rPr>
        <w:t xml:space="preserve"> </w:t>
      </w:r>
      <w:proofErr w:type="spellStart"/>
      <w:r>
        <w:rPr>
          <w:rFonts w:ascii="Times New Roman" w:eastAsia="Times New Roman" w:hAnsi="Times New Roman" w:cs="Times New Roman"/>
          <w:b/>
          <w:sz w:val="34"/>
          <w:szCs w:val="34"/>
        </w:rPr>
        <w:t>Udeogu</w:t>
      </w:r>
      <w:proofErr w:type="spellEnd"/>
      <w:r>
        <w:rPr>
          <w:rFonts w:ascii="Times New Roman" w:eastAsia="Times New Roman" w:hAnsi="Times New Roman" w:cs="Times New Roman"/>
          <w:b/>
          <w:sz w:val="34"/>
          <w:szCs w:val="34"/>
        </w:rPr>
        <w:t xml:space="preserve"> (Birmingham)</w:t>
      </w:r>
    </w:p>
    <w:p w:rsidR="00CE4021" w:rsidRDefault="00DF3B45">
      <w:pPr>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 xml:space="preserve">Name: Fahad Hussain </w:t>
      </w:r>
    </w:p>
    <w:p w:rsidR="00CE4021" w:rsidRDefault="00DF3B45">
      <w:pPr>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ID: 2434582</w:t>
      </w:r>
      <w:r>
        <w:br w:type="page"/>
      </w:r>
    </w:p>
    <w:p w:rsidR="00CE4021" w:rsidRDefault="00DF3B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889970857"/>
        <w:docPartObj>
          <w:docPartGallery w:val="Table of Contents"/>
          <w:docPartUnique/>
        </w:docPartObj>
      </w:sdtPr>
      <w:sdtEndPr/>
      <w:sdtContent>
        <w:p w:rsidR="00CE4021" w:rsidRDefault="00DF3B45">
          <w:pPr>
            <w:widowControl w:val="0"/>
            <w:tabs>
              <w:tab w:val="right" w:pos="12000"/>
            </w:tabs>
            <w:spacing w:before="60" w:line="360" w:lineRule="auto"/>
            <w:ind w:left="360"/>
            <w:rPr>
              <w:rFonts w:ascii="Times New Roman" w:eastAsia="Times New Roman" w:hAnsi="Times New Roman" w:cs="Times New Roman"/>
              <w:color w:val="000000"/>
            </w:rPr>
          </w:pPr>
          <w:r>
            <w:fldChar w:fldCharType="begin"/>
          </w:r>
          <w:r>
            <w:instrText xml:space="preserve"> TOC \h \u \z \t "Heading 1,1,Heading 2,2,Heading 3,3,Heading 4,4,Heading 5,5,Heading 6,6,"</w:instrText>
          </w:r>
          <w:r>
            <w:fldChar w:fldCharType="separate"/>
          </w:r>
          <w:hyperlink w:anchor="_heading=h.cwd6wfpi0ern">
            <w:r>
              <w:rPr>
                <w:rFonts w:ascii="Times New Roman" w:eastAsia="Times New Roman" w:hAnsi="Times New Roman" w:cs="Times New Roman"/>
                <w:color w:val="000000"/>
              </w:rPr>
              <w:t>Question 1: Technological Advancements and Their Impact on Labour Markets</w:t>
            </w:r>
            <w:r>
              <w:rPr>
                <w:rFonts w:ascii="Times New Roman" w:eastAsia="Times New Roman" w:hAnsi="Times New Roman" w:cs="Times New Roman"/>
                <w:color w:val="000000"/>
              </w:rPr>
              <w:tab/>
              <w:t>3</w:t>
            </w:r>
          </w:hyperlink>
        </w:p>
        <w:p w:rsidR="00CE4021" w:rsidRDefault="00DF3B45">
          <w:pPr>
            <w:widowControl w:val="0"/>
            <w:tabs>
              <w:tab w:val="right" w:pos="12000"/>
            </w:tabs>
            <w:spacing w:before="60" w:line="360" w:lineRule="auto"/>
            <w:ind w:left="360"/>
            <w:rPr>
              <w:rFonts w:ascii="Times New Roman" w:eastAsia="Times New Roman" w:hAnsi="Times New Roman" w:cs="Times New Roman"/>
              <w:color w:val="000000"/>
            </w:rPr>
          </w:pPr>
          <w:hyperlink w:anchor="_heading=h.nceu0uati3tr">
            <w:r>
              <w:rPr>
                <w:rFonts w:ascii="Times New Roman" w:eastAsia="Times New Roman" w:hAnsi="Times New Roman" w:cs="Times New Roman"/>
                <w:color w:val="000000"/>
              </w:rPr>
              <w:t>Question 2: Demographic and Geopolitical Factors Shaping Employment Markets</w:t>
            </w:r>
            <w:r>
              <w:rPr>
                <w:rFonts w:ascii="Times New Roman" w:eastAsia="Times New Roman" w:hAnsi="Times New Roman" w:cs="Times New Roman"/>
                <w:color w:val="000000"/>
              </w:rPr>
              <w:tab/>
              <w:t>5</w:t>
            </w:r>
          </w:hyperlink>
        </w:p>
        <w:p w:rsidR="00CE4021" w:rsidRDefault="00DF3B45">
          <w:pPr>
            <w:widowControl w:val="0"/>
            <w:tabs>
              <w:tab w:val="right" w:pos="12000"/>
            </w:tabs>
            <w:spacing w:before="60" w:line="360" w:lineRule="auto"/>
            <w:ind w:left="360"/>
            <w:rPr>
              <w:rFonts w:ascii="Times New Roman" w:eastAsia="Times New Roman" w:hAnsi="Times New Roman" w:cs="Times New Roman"/>
              <w:color w:val="000000"/>
            </w:rPr>
          </w:pPr>
          <w:hyperlink w:anchor="_heading=h.fxa3duqtju48">
            <w:r>
              <w:rPr>
                <w:rFonts w:ascii="Times New Roman" w:eastAsia="Times New Roman" w:hAnsi="Times New Roman" w:cs="Times New Roman"/>
                <w:color w:val="000000"/>
              </w:rPr>
              <w:t>Question 3: Addressing Skills Gaps and Talent Shortages through Strategic HRM</w:t>
            </w:r>
            <w:r>
              <w:rPr>
                <w:rFonts w:ascii="Times New Roman" w:eastAsia="Times New Roman" w:hAnsi="Times New Roman" w:cs="Times New Roman"/>
                <w:color w:val="000000"/>
              </w:rPr>
              <w:tab/>
              <w:t>8</w:t>
            </w:r>
          </w:hyperlink>
        </w:p>
        <w:p w:rsidR="00CE4021" w:rsidRDefault="00DF3B45">
          <w:pPr>
            <w:widowControl w:val="0"/>
            <w:tabs>
              <w:tab w:val="right" w:pos="12000"/>
            </w:tabs>
            <w:spacing w:before="60" w:line="360" w:lineRule="auto"/>
            <w:ind w:left="360"/>
            <w:rPr>
              <w:rFonts w:ascii="Times New Roman" w:eastAsia="Times New Roman" w:hAnsi="Times New Roman" w:cs="Times New Roman"/>
              <w:color w:val="000000"/>
            </w:rPr>
          </w:pPr>
          <w:hyperlink w:anchor="_heading=h.kt2sn3jkrs1o">
            <w:r>
              <w:rPr>
                <w:rFonts w:ascii="Times New Roman" w:eastAsia="Times New Roman" w:hAnsi="Times New Roman" w:cs="Times New Roman"/>
                <w:color w:val="000000"/>
              </w:rPr>
              <w:t>Que</w:t>
            </w:r>
            <w:r>
              <w:rPr>
                <w:rFonts w:ascii="Times New Roman" w:eastAsia="Times New Roman" w:hAnsi="Times New Roman" w:cs="Times New Roman"/>
                <w:color w:val="000000"/>
              </w:rPr>
              <w:t>stion 4: Reflective Self-Analysis of Global Employability Capabilities</w:t>
            </w:r>
            <w:r>
              <w:rPr>
                <w:rFonts w:ascii="Times New Roman" w:eastAsia="Times New Roman" w:hAnsi="Times New Roman" w:cs="Times New Roman"/>
                <w:color w:val="000000"/>
              </w:rPr>
              <w:tab/>
              <w:t>10</w:t>
            </w:r>
          </w:hyperlink>
        </w:p>
        <w:p w:rsidR="00CE4021" w:rsidRDefault="00DF3B45">
          <w:pPr>
            <w:widowControl w:val="0"/>
            <w:tabs>
              <w:tab w:val="right" w:pos="12000"/>
            </w:tabs>
            <w:spacing w:before="60" w:line="360" w:lineRule="auto"/>
            <w:rPr>
              <w:rFonts w:ascii="Times New Roman" w:eastAsia="Times New Roman" w:hAnsi="Times New Roman" w:cs="Times New Roman"/>
              <w:color w:val="000000"/>
            </w:rPr>
          </w:pPr>
          <w:hyperlink w:anchor="_heading=h.es45kbetil2">
            <w:r>
              <w:rPr>
                <w:rFonts w:ascii="Times New Roman" w:eastAsia="Times New Roman" w:hAnsi="Times New Roman" w:cs="Times New Roman"/>
                <w:color w:val="000000"/>
              </w:rPr>
              <w:t>Reference list</w:t>
            </w:r>
            <w:r>
              <w:rPr>
                <w:rFonts w:ascii="Times New Roman" w:eastAsia="Times New Roman" w:hAnsi="Times New Roman" w:cs="Times New Roman"/>
                <w:color w:val="000000"/>
              </w:rPr>
              <w:tab/>
              <w:t>16</w:t>
            </w:r>
          </w:hyperlink>
          <w:r>
            <w:fldChar w:fldCharType="end"/>
          </w:r>
        </w:p>
      </w:sdtContent>
    </w:sdt>
    <w:p w:rsidR="00CE4021" w:rsidRDefault="00CE4021">
      <w:pPr>
        <w:spacing w:line="360" w:lineRule="auto"/>
        <w:jc w:val="both"/>
        <w:rPr>
          <w:rFonts w:ascii="Times New Roman" w:eastAsia="Times New Roman" w:hAnsi="Times New Roman" w:cs="Times New Roman"/>
          <w:sz w:val="24"/>
          <w:szCs w:val="24"/>
        </w:rPr>
      </w:pPr>
    </w:p>
    <w:p w:rsidR="00CE4021" w:rsidRDefault="00DF3B45">
      <w:pPr>
        <w:spacing w:line="360" w:lineRule="auto"/>
        <w:jc w:val="both"/>
        <w:rPr>
          <w:rFonts w:ascii="Times New Roman" w:eastAsia="Times New Roman" w:hAnsi="Times New Roman" w:cs="Times New Roman"/>
          <w:sz w:val="34"/>
          <w:szCs w:val="34"/>
        </w:rPr>
      </w:pPr>
      <w:r>
        <w:br w:type="page"/>
      </w:r>
    </w:p>
    <w:p w:rsidR="00CE4021" w:rsidRDefault="00DF3B45">
      <w:pPr>
        <w:pStyle w:val="Heading2"/>
        <w:keepNext w:val="0"/>
        <w:keepLines w:val="0"/>
        <w:spacing w:after="80" w:line="360" w:lineRule="auto"/>
        <w:jc w:val="both"/>
        <w:rPr>
          <w:rFonts w:ascii="Times New Roman" w:eastAsia="Times New Roman" w:hAnsi="Times New Roman" w:cs="Times New Roman"/>
          <w:b/>
          <w:sz w:val="24"/>
          <w:szCs w:val="24"/>
        </w:rPr>
      </w:pPr>
      <w:bookmarkStart w:id="0" w:name="_heading=h.cwd6wfpi0ern" w:colFirst="0" w:colLast="0"/>
      <w:bookmarkEnd w:id="0"/>
      <w:r>
        <w:rPr>
          <w:rFonts w:ascii="Times New Roman" w:eastAsia="Times New Roman" w:hAnsi="Times New Roman" w:cs="Times New Roman"/>
          <w:b/>
          <w:sz w:val="24"/>
          <w:szCs w:val="24"/>
        </w:rPr>
        <w:lastRenderedPageBreak/>
        <w:t>Question 1: Technological Advancements and Their Impact on Labour Markets</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4.0 is a breakthrough in the history of the labour market. The bringing together of AI, the Internet of Things (IoT), robotics, big data, cloud computing, and cyber-physical systems (Ullah et al., 2025). The fourth industrial revolution allows the</w:t>
      </w:r>
      <w:r>
        <w:rPr>
          <w:rFonts w:ascii="Times New Roman" w:eastAsia="Times New Roman" w:hAnsi="Times New Roman" w:cs="Times New Roman"/>
          <w:sz w:val="24"/>
          <w:szCs w:val="24"/>
        </w:rPr>
        <w:t xml:space="preserve"> new interconnected systems of production and decisions (Edmond, 2024). The digital economy allows companies to be nimble, more precise, and efficient; nevertheless, its consequences to both labour demand and HR policies are far-reaching (McKinsey, 2022).</w:t>
      </w:r>
    </w:p>
    <w:p w:rsidR="00CE4021" w:rsidRDefault="00DF3B45">
      <w:pPr>
        <w:spacing w:before="240" w:after="240" w:line="360" w:lineRule="auto"/>
        <w:jc w:val="both"/>
        <w:rPr>
          <w:rFonts w:ascii="Times New Roman" w:eastAsia="Times New Roman" w:hAnsi="Times New Roman" w:cs="Times New Roman"/>
          <w:sz w:val="24"/>
          <w:szCs w:val="24"/>
        </w:rPr>
      </w:pPr>
      <w:bookmarkStart w:id="1" w:name="_heading=h.ll6crljpp6m8" w:colFirst="0" w:colLast="0"/>
      <w:bookmarkEnd w:id="1"/>
      <w:r>
        <w:rPr>
          <w:rFonts w:ascii="Times New Roman" w:eastAsia="Times New Roman" w:hAnsi="Times New Roman" w:cs="Times New Roman"/>
          <w:sz w:val="24"/>
          <w:szCs w:val="24"/>
        </w:rPr>
        <w:t xml:space="preserve">Adopting technology has both the impact that destroys and innovates jobs. Notably, a set of repetitive and routine work (in the manufacturing industry, back-office processing, or data entry strategies) is </w:t>
      </w:r>
      <w:r>
        <w:rPr>
          <w:rFonts w:ascii="Times New Roman" w:eastAsia="Times New Roman" w:hAnsi="Times New Roman" w:cs="Times New Roman"/>
          <w:sz w:val="24"/>
          <w:szCs w:val="24"/>
        </w:rPr>
        <w:t>specifically susceptible to automation and results in the displacement of middle- and low-skilled jobs (Ramos et al., 2022). However, other jobs are being created in fields of data science, AI model training, system maintenance, and digital oversight. In f</w:t>
      </w:r>
      <w:r>
        <w:rPr>
          <w:rFonts w:ascii="Times New Roman" w:eastAsia="Times New Roman" w:hAnsi="Times New Roman" w:cs="Times New Roman"/>
          <w:sz w:val="24"/>
          <w:szCs w:val="24"/>
        </w:rPr>
        <w:t>act, it has been projected that the number of new jobs in the world can reach between 20 and 50 million by 2030 in the event that technology and human capital investments are equalised (</w:t>
      </w:r>
      <w:proofErr w:type="spellStart"/>
      <w:r>
        <w:rPr>
          <w:rFonts w:ascii="Times New Roman" w:eastAsia="Times New Roman" w:hAnsi="Times New Roman" w:cs="Times New Roman"/>
          <w:sz w:val="24"/>
          <w:szCs w:val="24"/>
        </w:rPr>
        <w:t>SzaboSzentgroti</w:t>
      </w:r>
      <w:proofErr w:type="spellEnd"/>
      <w:r>
        <w:rPr>
          <w:rFonts w:ascii="Times New Roman" w:eastAsia="Times New Roman" w:hAnsi="Times New Roman" w:cs="Times New Roman"/>
          <w:sz w:val="24"/>
          <w:szCs w:val="24"/>
        </w:rPr>
        <w:t xml:space="preserve"> et al., 2021).</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2832435"/>
            <wp:effectExtent l="9525" t="9525" r="9525" b="9525"/>
            <wp:docPr id="409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b="15520"/>
                    <a:stretch>
                      <a:fillRect/>
                    </a:stretch>
                  </pic:blipFill>
                  <pic:spPr>
                    <a:xfrm>
                      <a:off x="0" y="0"/>
                      <a:ext cx="5943600" cy="2832435"/>
                    </a:xfrm>
                    <a:prstGeom prst="rect">
                      <a:avLst/>
                    </a:prstGeom>
                    <a:ln w="9525">
                      <a:solidFill>
                        <a:srgbClr val="000000"/>
                      </a:solidFill>
                      <a:prstDash val="solid"/>
                    </a:ln>
                  </pic:spPr>
                </pic:pic>
              </a:graphicData>
            </a:graphic>
          </wp:inline>
        </w:drawing>
      </w:r>
    </w:p>
    <w:p w:rsidR="00CE4021" w:rsidRDefault="00DF3B45">
      <w:pPr>
        <w:spacing w:before="240" w:after="240" w:line="360" w:lineRule="auto"/>
        <w:jc w:val="center"/>
        <w:rPr>
          <w:rFonts w:ascii="Times New Roman" w:eastAsia="Times New Roman" w:hAnsi="Times New Roman" w:cs="Times New Roman"/>
          <w:i/>
        </w:rPr>
      </w:pPr>
      <w:r>
        <w:rPr>
          <w:rFonts w:ascii="Times New Roman" w:eastAsia="Times New Roman" w:hAnsi="Times New Roman" w:cs="Times New Roman"/>
          <w:i/>
        </w:rPr>
        <w:t xml:space="preserve">Figure 1: Impact of Generative AI on </w:t>
      </w:r>
      <w:r>
        <w:rPr>
          <w:rFonts w:ascii="Times New Roman" w:eastAsia="Times New Roman" w:hAnsi="Times New Roman" w:cs="Times New Roman"/>
          <w:i/>
        </w:rPr>
        <w:t>job levels across industries, Source: (Gartner, 2024)</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empirical research findings of Wang, Chen and Chen (2024), AI effects on labour drive employment are not linear: the productivity gains can complement labour; however, the </w:t>
      </w:r>
      <w:r>
        <w:rPr>
          <w:rFonts w:ascii="Times New Roman" w:eastAsia="Times New Roman" w:hAnsi="Times New Roman" w:cs="Times New Roman"/>
          <w:sz w:val="24"/>
          <w:szCs w:val="24"/>
        </w:rPr>
        <w:lastRenderedPageBreak/>
        <w:t>threshold impacts</w:t>
      </w:r>
      <w:r>
        <w:rPr>
          <w:rFonts w:ascii="Times New Roman" w:eastAsia="Times New Roman" w:hAnsi="Times New Roman" w:cs="Times New Roman"/>
          <w:sz w:val="24"/>
          <w:szCs w:val="24"/>
        </w:rPr>
        <w:t xml:space="preserve"> substitute labour experiences. An example is the use of robotics in China, which has affected the employment structure through threshold and spatial </w:t>
      </w:r>
      <w:proofErr w:type="spellStart"/>
      <w:r>
        <w:rPr>
          <w:rFonts w:ascii="Times New Roman" w:eastAsia="Times New Roman" w:hAnsi="Times New Roman" w:cs="Times New Roman"/>
          <w:sz w:val="24"/>
          <w:szCs w:val="24"/>
        </w:rPr>
        <w:t>spillover</w:t>
      </w:r>
      <w:proofErr w:type="spellEnd"/>
      <w:r>
        <w:rPr>
          <w:rFonts w:ascii="Times New Roman" w:eastAsia="Times New Roman" w:hAnsi="Times New Roman" w:cs="Times New Roman"/>
          <w:sz w:val="24"/>
          <w:szCs w:val="24"/>
        </w:rPr>
        <w:t xml:space="preserve">. In Mexico, the study shows that the occupations with a low risk of automation and a high level </w:t>
      </w:r>
      <w:r>
        <w:rPr>
          <w:rFonts w:ascii="Times New Roman" w:eastAsia="Times New Roman" w:hAnsi="Times New Roman" w:cs="Times New Roman"/>
          <w:sz w:val="24"/>
          <w:szCs w:val="24"/>
        </w:rPr>
        <w:t xml:space="preserve">of skills are growing, whereas the occupations with the risk are dying out (Ramos et al., 2022). </w:t>
      </w:r>
    </w:p>
    <w:p w:rsidR="00CE4021" w:rsidRDefault="00DF3B45">
      <w:pPr>
        <w:spacing w:before="240" w:after="240" w:line="360" w:lineRule="auto"/>
        <w:jc w:val="both"/>
        <w:rPr>
          <w:rFonts w:ascii="Times New Roman" w:eastAsia="Times New Roman" w:hAnsi="Times New Roman" w:cs="Times New Roman"/>
          <w:sz w:val="24"/>
          <w:szCs w:val="24"/>
        </w:rPr>
      </w:pPr>
      <w:bookmarkStart w:id="2" w:name="_heading=h.gd9a2ujbzrql" w:colFirst="0" w:colLast="0"/>
      <w:bookmarkEnd w:id="2"/>
      <w:r>
        <w:rPr>
          <w:rFonts w:ascii="Times New Roman" w:eastAsia="Times New Roman" w:hAnsi="Times New Roman" w:cs="Times New Roman"/>
          <w:sz w:val="24"/>
          <w:szCs w:val="24"/>
        </w:rPr>
        <w:t xml:space="preserve">Gig and platform labour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thrived with technological platform support: workers can sell their</w:t>
      </w:r>
      <w:r>
        <w:rPr>
          <w:rFonts w:ascii="Times New Roman" w:eastAsia="Times New Roman" w:hAnsi="Times New Roman" w:cs="Times New Roman"/>
          <w:sz w:val="24"/>
          <w:szCs w:val="24"/>
        </w:rPr>
        <w:t xml:space="preserve"> services via apps (e.g., ride-hailing, freelancing marketplaces), and no longer need to sign contracts with a specific employer (Singh and Bhushan, 2023). </w:t>
      </w:r>
      <w:r>
        <w:rPr>
          <w:rFonts w:ascii="Times New Roman" w:eastAsia="Times New Roman" w:hAnsi="Times New Roman" w:cs="Times New Roman"/>
          <w:sz w:val="24"/>
          <w:szCs w:val="24"/>
        </w:rPr>
        <w:t>This trend intensifies cross-border working that enables organisations to access global talent; however,</w:t>
      </w:r>
      <w:r>
        <w:rPr>
          <w:rFonts w:ascii="Times New Roman" w:eastAsia="Times New Roman" w:hAnsi="Times New Roman" w:cs="Times New Roman"/>
          <w:sz w:val="24"/>
          <w:szCs w:val="24"/>
        </w:rPr>
        <w:t xml:space="preserve"> it poses challenges of jurisdiction, culture, and management. Recruitment tools that are powered by AI are used by the Unilever company to filter video interviews (analysis of expressions/speech) and facilitate the onboarding process. It is reported that </w:t>
      </w:r>
      <w:r>
        <w:rPr>
          <w:rFonts w:ascii="Times New Roman" w:eastAsia="Times New Roman" w:hAnsi="Times New Roman" w:cs="Times New Roman"/>
          <w:sz w:val="24"/>
          <w:szCs w:val="24"/>
        </w:rPr>
        <w:t>it will be more efficient and the workload of the recruiters will decrease (Marr, 2021).</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same time, HR analytics and artificial intelligence-based decision systems are changing the way organisations treat talent. AI can assist in predictive analytic</w:t>
      </w:r>
      <w:r>
        <w:rPr>
          <w:rFonts w:ascii="Times New Roman" w:eastAsia="Times New Roman" w:hAnsi="Times New Roman" w:cs="Times New Roman"/>
          <w:sz w:val="24"/>
          <w:szCs w:val="24"/>
        </w:rPr>
        <w:t>s (e.g. turnover prediction, performance forecasting), recruitment screening, and talent matching. As a case in point, Amazon applies AI to examine the exit interview data, identifying tendencies and determining retention directions (</w:t>
      </w:r>
      <w:proofErr w:type="spellStart"/>
      <w:r>
        <w:rPr>
          <w:rFonts w:ascii="Times New Roman" w:eastAsia="Times New Roman" w:hAnsi="Times New Roman" w:cs="Times New Roman"/>
          <w:sz w:val="24"/>
          <w:szCs w:val="24"/>
        </w:rPr>
        <w:t>Arhip</w:t>
      </w:r>
      <w:proofErr w:type="spellEnd"/>
      <w:r>
        <w:rPr>
          <w:rFonts w:ascii="Times New Roman" w:eastAsia="Times New Roman" w:hAnsi="Times New Roman" w:cs="Times New Roman"/>
          <w:sz w:val="24"/>
          <w:szCs w:val="24"/>
        </w:rPr>
        <w:t xml:space="preserve">, 2024). IBM has </w:t>
      </w:r>
      <w:r>
        <w:rPr>
          <w:rFonts w:ascii="Times New Roman" w:eastAsia="Times New Roman" w:hAnsi="Times New Roman" w:cs="Times New Roman"/>
          <w:sz w:val="24"/>
          <w:szCs w:val="24"/>
        </w:rPr>
        <w:t>approximately 11 million employee interactions annually that are solved by its AI agent with a success rate of approximately 94. Relocating the HR to do strategic work like coaching and leadership services (IBM, 2025).</w:t>
      </w:r>
    </w:p>
    <w:p w:rsidR="00CE4021" w:rsidRDefault="00DF3B45" w:rsidP="001B7041">
      <w:pPr>
        <w:spacing w:before="240" w:after="240" w:line="360" w:lineRule="auto"/>
        <w:jc w:val="both"/>
        <w:rPr>
          <w:rFonts w:ascii="Times New Roman" w:eastAsia="Times New Roman" w:hAnsi="Times New Roman" w:cs="Times New Roman"/>
          <w:sz w:val="24"/>
          <w:szCs w:val="24"/>
        </w:rPr>
      </w:pPr>
      <w:bookmarkStart w:id="3" w:name="_heading=h.371bvrcjw5ar" w:colFirst="0" w:colLast="0"/>
      <w:bookmarkEnd w:id="3"/>
      <w:r>
        <w:rPr>
          <w:rFonts w:ascii="Times New Roman" w:eastAsia="Times New Roman" w:hAnsi="Times New Roman" w:cs="Times New Roman"/>
          <w:sz w:val="24"/>
          <w:szCs w:val="24"/>
        </w:rPr>
        <w:t>With such changes, the HR and IHRM strategies have to evolve:</w:t>
      </w:r>
      <w:r w:rsidR="001B704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strategy in the organisation should be focused on re-skilling and lifelong learning. The HR functions are supposed to develop upskilling frameworks (digital skills, data literacy, human-AI</w:t>
      </w:r>
      <w:r>
        <w:rPr>
          <w:rFonts w:ascii="Times New Roman" w:eastAsia="Times New Roman" w:hAnsi="Times New Roman" w:cs="Times New Roman"/>
          <w:sz w:val="24"/>
          <w:szCs w:val="24"/>
        </w:rPr>
        <w:t xml:space="preserve"> teaming). The workforce planning should project structural changes and role definition changes to enable the successful management of the workforce. This will require scenario planning, skills mapping and dynamic talent pipelines. Further, Ethical AI and </w:t>
      </w:r>
      <w:r>
        <w:rPr>
          <w:rFonts w:ascii="Times New Roman" w:eastAsia="Times New Roman" w:hAnsi="Times New Roman" w:cs="Times New Roman"/>
          <w:sz w:val="24"/>
          <w:szCs w:val="24"/>
        </w:rPr>
        <w:t>transparency must be in place. Recruitment/promotion through the use and application of algorithms should avoid bias, safeguard privacy, and encourage fairness (</w:t>
      </w:r>
      <w:proofErr w:type="spellStart"/>
      <w:r>
        <w:rPr>
          <w:rFonts w:ascii="Times New Roman" w:eastAsia="Times New Roman" w:hAnsi="Times New Roman" w:cs="Times New Roman"/>
          <w:sz w:val="24"/>
          <w:szCs w:val="24"/>
        </w:rPr>
        <w:t>Ammam</w:t>
      </w:r>
      <w:proofErr w:type="spellEnd"/>
      <w:r>
        <w:rPr>
          <w:rFonts w:ascii="Times New Roman" w:eastAsia="Times New Roman" w:hAnsi="Times New Roman" w:cs="Times New Roman"/>
          <w:sz w:val="24"/>
          <w:szCs w:val="24"/>
        </w:rPr>
        <w:t xml:space="preserve">, 2025). </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light of Strategic HRM, the Strategic Capabilities need to be aligned by </w:t>
      </w:r>
      <w:r>
        <w:rPr>
          <w:rFonts w:ascii="Times New Roman" w:eastAsia="Times New Roman" w:hAnsi="Times New Roman" w:cs="Times New Roman"/>
          <w:sz w:val="24"/>
          <w:szCs w:val="24"/>
        </w:rPr>
        <w:t>the organisation with its strategic objectives and labour market environment. Human Capital Theory underlines that the investment in employee skills is rewarded; thus, training and development should be thought of as the intention to invest. The Technology</w:t>
      </w:r>
      <w:r>
        <w:rPr>
          <w:rFonts w:ascii="Times New Roman" w:eastAsia="Times New Roman" w:hAnsi="Times New Roman" w:cs="Times New Roman"/>
          <w:sz w:val="24"/>
          <w:szCs w:val="24"/>
        </w:rPr>
        <w:t xml:space="preserve"> Acceptance Model (TAM) sheds some light on the antecedents of using digital tools, perceived ease of use and usefulness moderate acceptance, which is especially applicable in the case of the adoption of HRs (as it has been observed in other studies when I</w:t>
      </w:r>
      <w:r>
        <w:rPr>
          <w:rFonts w:ascii="Times New Roman" w:eastAsia="Times New Roman" w:hAnsi="Times New Roman" w:cs="Times New Roman"/>
          <w:sz w:val="24"/>
          <w:szCs w:val="24"/>
        </w:rPr>
        <w:t>ndustry 4.0 preparedness was correlated with AI acceptance) (</w:t>
      </w:r>
      <w:proofErr w:type="spellStart"/>
      <w:r>
        <w:rPr>
          <w:rFonts w:ascii="Times New Roman" w:eastAsia="Times New Roman" w:hAnsi="Times New Roman" w:cs="Times New Roman"/>
          <w:sz w:val="24"/>
          <w:szCs w:val="24"/>
        </w:rPr>
        <w:t>Hashid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Almaqtari</w:t>
      </w:r>
      <w:proofErr w:type="spellEnd"/>
      <w:r>
        <w:rPr>
          <w:rFonts w:ascii="Times New Roman" w:eastAsia="Times New Roman" w:hAnsi="Times New Roman" w:cs="Times New Roman"/>
          <w:sz w:val="24"/>
          <w:szCs w:val="24"/>
        </w:rPr>
        <w:t xml:space="preserve">, 2024). </w:t>
      </w:r>
    </w:p>
    <w:p w:rsidR="00CE4021" w:rsidRDefault="00DF3B45">
      <w:pPr>
        <w:pStyle w:val="Heading2"/>
        <w:keepNext w:val="0"/>
        <w:keepLines w:val="0"/>
        <w:spacing w:after="80" w:line="360" w:lineRule="auto"/>
        <w:jc w:val="both"/>
        <w:rPr>
          <w:rFonts w:ascii="Times New Roman" w:eastAsia="Times New Roman" w:hAnsi="Times New Roman" w:cs="Times New Roman"/>
          <w:b/>
          <w:sz w:val="24"/>
          <w:szCs w:val="24"/>
        </w:rPr>
      </w:pPr>
      <w:bookmarkStart w:id="4" w:name="_heading=h.nceu0uati3tr" w:colFirst="0" w:colLast="0"/>
      <w:bookmarkEnd w:id="4"/>
      <w:r>
        <w:rPr>
          <w:rFonts w:ascii="Times New Roman" w:eastAsia="Times New Roman" w:hAnsi="Times New Roman" w:cs="Times New Roman"/>
          <w:b/>
          <w:sz w:val="24"/>
          <w:szCs w:val="24"/>
        </w:rPr>
        <w:t>Question 2: Demographic and Geopolitical Factors Shaping Employment Markets</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Ageing of the population is one of the most obvious demographic trends. The decreasing fertility and increasing life expectancy imply that most developed economies are experiencing a declining working population and an increasing proportion of the elderly </w:t>
      </w:r>
      <w:r>
        <w:rPr>
          <w:rFonts w:ascii="Times New Roman" w:eastAsia="Times New Roman" w:hAnsi="Times New Roman" w:cs="Times New Roman"/>
          <w:sz w:val="24"/>
          <w:szCs w:val="24"/>
        </w:rPr>
        <w:t>population that is dependent on the working population. The OECD Employment Outlook 2025 cautions on the fact that in most countries of the OECD, the working-age population (ages 20 to 64) has stagnated and started to decrease, which is a threat to economi</w:t>
      </w:r>
      <w:r>
        <w:rPr>
          <w:rFonts w:ascii="Times New Roman" w:eastAsia="Times New Roman" w:hAnsi="Times New Roman" w:cs="Times New Roman"/>
          <w:sz w:val="24"/>
          <w:szCs w:val="24"/>
        </w:rPr>
        <w:t>c growth and labour supply capacity (OECD, 2025). With the shrinking number of potential younger workers, the competition in seeking skilled labour is now a bit harder, particularly in fields which need specialised knowledge.</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same time, new generati</w:t>
      </w:r>
      <w:r>
        <w:rPr>
          <w:rFonts w:ascii="Times New Roman" w:eastAsia="Times New Roman" w:hAnsi="Times New Roman" w:cs="Times New Roman"/>
          <w:sz w:val="24"/>
          <w:szCs w:val="24"/>
        </w:rPr>
        <w:t>ons (Gen Z, late Millennials) come with different expectations. They focus on flexibility, purposeful work, digital connectivity, and meaningful work (Krishna and Agrawal, 2025). It requires new HR practices that are supportive of these values (e.g., hybri</w:t>
      </w:r>
      <w:r>
        <w:rPr>
          <w:rFonts w:ascii="Times New Roman" w:eastAsia="Times New Roman" w:hAnsi="Times New Roman" w:cs="Times New Roman"/>
          <w:sz w:val="24"/>
          <w:szCs w:val="24"/>
        </w:rPr>
        <w:t>d work, visibility of career progression, constant feedback).</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Migration and labour mobility are other dimensions. Based on the ILO migration data, the migrant and non-local labour force has become a key determinant of the labour market, particularly in lab</w:t>
      </w:r>
      <w:r>
        <w:rPr>
          <w:rFonts w:ascii="Times New Roman" w:eastAsia="Times New Roman" w:hAnsi="Times New Roman" w:cs="Times New Roman"/>
          <w:sz w:val="24"/>
          <w:szCs w:val="24"/>
        </w:rPr>
        <w:t xml:space="preserve">our-deficient nations (ILOSTAT, 2018). Temporary migration exceeds permanent migration in most developed and emerging economies, one reason is that it occurs to provide labour in areas like healthcare, construction and agriculture, where there exist gaps. </w:t>
      </w:r>
      <w:r>
        <w:rPr>
          <w:rFonts w:ascii="Times New Roman" w:eastAsia="Times New Roman" w:hAnsi="Times New Roman" w:cs="Times New Roman"/>
          <w:sz w:val="24"/>
          <w:szCs w:val="24"/>
        </w:rPr>
        <w:t>Nevertheless, migration also poses problems in the area of integration, acknowledgement of credentials, and cross-border compliance in HR (OECD, 2023).</w:t>
      </w:r>
    </w:p>
    <w:p w:rsidR="00CE4021" w:rsidRDefault="00DF3B45">
      <w:pPr>
        <w:spacing w:before="240" w:after="240" w:line="360" w:lineRule="auto"/>
        <w:jc w:val="center"/>
        <w:rPr>
          <w:rFonts w:ascii="Times New Roman" w:eastAsia="Times New Roman" w:hAnsi="Times New Roman" w:cs="Times New Roman"/>
          <w:i/>
        </w:rPr>
      </w:pPr>
      <w:r>
        <w:rPr>
          <w:rFonts w:ascii="Times New Roman" w:eastAsia="Times New Roman" w:hAnsi="Times New Roman" w:cs="Times New Roman"/>
          <w:i/>
          <w:noProof/>
        </w:rPr>
        <w:lastRenderedPageBreak/>
        <w:drawing>
          <wp:inline distT="0" distB="0" distL="0" distR="0">
            <wp:extent cx="5943600" cy="2540000"/>
            <wp:effectExtent l="9525" t="9525" r="9525" b="9525"/>
            <wp:docPr id="41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540000"/>
                    </a:xfrm>
                    <a:prstGeom prst="rect">
                      <a:avLst/>
                    </a:prstGeom>
                    <a:ln w="9525">
                      <a:solidFill>
                        <a:srgbClr val="000000"/>
                      </a:solidFill>
                      <a:prstDash val="solid"/>
                    </a:ln>
                  </pic:spPr>
                </pic:pic>
              </a:graphicData>
            </a:graphic>
          </wp:inline>
        </w:drawing>
      </w:r>
      <w:r>
        <w:rPr>
          <w:rFonts w:ascii="Times New Roman" w:eastAsia="Times New Roman" w:hAnsi="Times New Roman" w:cs="Times New Roman"/>
          <w:i/>
        </w:rPr>
        <w:t>Figure 2: Permanent migration inflows as a percentage of national populations across OECD countries, So</w:t>
      </w:r>
      <w:r>
        <w:rPr>
          <w:rFonts w:ascii="Times New Roman" w:eastAsia="Times New Roman" w:hAnsi="Times New Roman" w:cs="Times New Roman"/>
          <w:i/>
        </w:rPr>
        <w:t>urce: (OECD, 2023)</w:t>
      </w:r>
    </w:p>
    <w:p w:rsidR="00CE4021" w:rsidRDefault="00DF3B45">
      <w:pPr>
        <w:spacing w:before="240" w:after="240" w:line="360" w:lineRule="auto"/>
        <w:jc w:val="both"/>
        <w:rPr>
          <w:rFonts w:ascii="Times New Roman" w:eastAsia="Times New Roman" w:hAnsi="Times New Roman" w:cs="Times New Roman"/>
          <w:sz w:val="24"/>
          <w:szCs w:val="24"/>
        </w:rPr>
      </w:pPr>
      <w:bookmarkStart w:id="5" w:name="_heading=h.i0ejxzvo380e" w:colFirst="0" w:colLast="0"/>
      <w:bookmarkEnd w:id="5"/>
      <w:r>
        <w:rPr>
          <w:rFonts w:ascii="Times New Roman" w:eastAsia="Times New Roman" w:hAnsi="Times New Roman" w:cs="Times New Roman"/>
          <w:sz w:val="24"/>
          <w:szCs w:val="24"/>
        </w:rPr>
        <w:t>Labour markets are further limited by a period of a turbulent geopolitical environment. The global value chains have been disrupted by trade wars, tariff increases and protectionism, forcing fir</w:t>
      </w:r>
      <w:r>
        <w:rPr>
          <w:rFonts w:ascii="Times New Roman" w:eastAsia="Times New Roman" w:hAnsi="Times New Roman" w:cs="Times New Roman"/>
          <w:sz w:val="24"/>
          <w:szCs w:val="24"/>
        </w:rPr>
        <w:t xml:space="preserve">ms to review their offshoring and supply-chain labour practices. According to the OECD report, the increment in tariff rates and political unrest on the geopolitical scale may impede the growth of labour markets and wage recuperations. As an example, some </w:t>
      </w:r>
      <w:r>
        <w:rPr>
          <w:rFonts w:ascii="Times New Roman" w:eastAsia="Times New Roman" w:hAnsi="Times New Roman" w:cs="Times New Roman"/>
          <w:sz w:val="24"/>
          <w:szCs w:val="24"/>
        </w:rPr>
        <w:t>companies operating in an export-driven industry might contract or move their operations in reaction to a sanction or a change in trade policy (OECD, 2025).</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Confrontations and instability in the region (e.g., Russia-Ukraine War, Middle East tensions) idle </w:t>
      </w:r>
      <w:r>
        <w:rPr>
          <w:rFonts w:ascii="Times New Roman" w:eastAsia="Times New Roman" w:hAnsi="Times New Roman" w:cs="Times New Roman"/>
          <w:sz w:val="24"/>
          <w:szCs w:val="24"/>
        </w:rPr>
        <w:t>labour, pose migration pressure, chain disruption and macroeconomic volatility. HR professionals should address the problem of sudden talent exodus, integration of refugee labour, as well as emergency redeployment (Fang and Shao, 2022).</w:t>
      </w:r>
    </w:p>
    <w:p w:rsidR="00CE4021" w:rsidRDefault="00DF3B45">
      <w:pPr>
        <w:spacing w:before="240" w:after="240" w:line="360" w:lineRule="auto"/>
        <w:jc w:val="both"/>
        <w:rPr>
          <w:rFonts w:ascii="Times New Roman" w:eastAsia="Times New Roman" w:hAnsi="Times New Roman" w:cs="Times New Roman"/>
          <w:sz w:val="24"/>
          <w:szCs w:val="24"/>
        </w:rPr>
      </w:pPr>
      <w:bookmarkStart w:id="6" w:name="_heading=h.6thg1p4m7i7c" w:colFirst="0" w:colLast="0"/>
      <w:bookmarkEnd w:id="6"/>
      <w:r>
        <w:rPr>
          <w:rFonts w:ascii="Times New Roman" w:eastAsia="Times New Roman" w:hAnsi="Times New Roman" w:cs="Times New Roman"/>
          <w:sz w:val="24"/>
          <w:szCs w:val="24"/>
        </w:rPr>
        <w:t>The demographic and geopolitical changes present complex challenges to HRM and IHRM. Diversity and inclusion are an interdisciplinary are</w:t>
      </w:r>
      <w:r>
        <w:rPr>
          <w:rFonts w:ascii="Times New Roman" w:eastAsia="Times New Roman" w:hAnsi="Times New Roman" w:cs="Times New Roman"/>
          <w:sz w:val="24"/>
          <w:szCs w:val="24"/>
        </w:rPr>
        <w:t>a that organisations need to approach in multilingual, multigenerational teams so that equity and unity are achieved. Working across time zones and cultural settings remotely requires effective cross-cultural collaborations. Complex immigration, tax, and s</w:t>
      </w:r>
      <w:r>
        <w:rPr>
          <w:rFonts w:ascii="Times New Roman" w:eastAsia="Times New Roman" w:hAnsi="Times New Roman" w:cs="Times New Roman"/>
          <w:sz w:val="24"/>
          <w:szCs w:val="24"/>
        </w:rPr>
        <w:t xml:space="preserve">ocial security systems make talent mobility and control difficult. The HR has to strike a balance in retention between old and young, providing older workers with flexibility </w:t>
      </w:r>
      <w:r>
        <w:rPr>
          <w:rFonts w:ascii="Times New Roman" w:eastAsia="Times New Roman" w:hAnsi="Times New Roman" w:cs="Times New Roman"/>
          <w:sz w:val="24"/>
          <w:szCs w:val="24"/>
        </w:rPr>
        <w:lastRenderedPageBreak/>
        <w:t>and the younger generation with expansion. To harness global talent, credential r</w:t>
      </w:r>
      <w:r>
        <w:rPr>
          <w:rFonts w:ascii="Times New Roman" w:eastAsia="Times New Roman" w:hAnsi="Times New Roman" w:cs="Times New Roman"/>
          <w:sz w:val="24"/>
          <w:szCs w:val="24"/>
        </w:rPr>
        <w:t xml:space="preserve">ecognition and upskilling of migrants an </w:t>
      </w:r>
      <w:proofErr w:type="gramStart"/>
      <w:r>
        <w:rPr>
          <w:rFonts w:ascii="Times New Roman" w:eastAsia="Times New Roman" w:hAnsi="Times New Roman" w:cs="Times New Roman"/>
          <w:sz w:val="24"/>
          <w:szCs w:val="24"/>
        </w:rPr>
        <w:t>important topics</w:t>
      </w:r>
      <w:proofErr w:type="gramEnd"/>
      <w:r>
        <w:rPr>
          <w:rFonts w:ascii="Times New Roman" w:eastAsia="Times New Roman" w:hAnsi="Times New Roman" w:cs="Times New Roman"/>
          <w:sz w:val="24"/>
          <w:szCs w:val="24"/>
        </w:rPr>
        <w:t xml:space="preserve"> to be tackled. Lastly, the HR has to curb risk and political exposure by ensuring compliance, safety protocols and crisis prepared workforce planning. These forces can be framed using a PESTLE analy</w:t>
      </w:r>
      <w:r>
        <w:rPr>
          <w:rFonts w:ascii="Times New Roman" w:eastAsia="Times New Roman" w:hAnsi="Times New Roman" w:cs="Times New Roman"/>
          <w:sz w:val="24"/>
          <w:szCs w:val="24"/>
        </w:rPr>
        <w:t>sis as presented in Figure 3. Based on the Hofstede dimensions, IHRM might have to negotiate power distance, individualism or collectivism, uncertainty-avoidance and long-term orientation among teams across cultures. Particularly in the case of incorporati</w:t>
      </w:r>
      <w:r>
        <w:rPr>
          <w:rFonts w:ascii="Times New Roman" w:eastAsia="Times New Roman" w:hAnsi="Times New Roman" w:cs="Times New Roman"/>
          <w:sz w:val="24"/>
          <w:szCs w:val="24"/>
        </w:rPr>
        <w:t>ng staff who belong to various demographic groups or populations.</w:t>
      </w:r>
    </w:p>
    <w:p w:rsidR="00CE4021" w:rsidRDefault="00DF3B4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05428" cy="3743435"/>
            <wp:effectExtent l="9525" t="9525" r="9525" b="9525"/>
            <wp:docPr id="409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05428" cy="3743435"/>
                    </a:xfrm>
                    <a:prstGeom prst="rect">
                      <a:avLst/>
                    </a:prstGeom>
                    <a:ln w="9525">
                      <a:solidFill>
                        <a:srgbClr val="000000"/>
                      </a:solidFill>
                      <a:prstDash val="solid"/>
                    </a:ln>
                  </pic:spPr>
                </pic:pic>
              </a:graphicData>
            </a:graphic>
          </wp:inline>
        </w:drawing>
      </w:r>
    </w:p>
    <w:p w:rsidR="00CE4021" w:rsidRDefault="00DF3B45">
      <w:pPr>
        <w:spacing w:line="360" w:lineRule="auto"/>
        <w:jc w:val="center"/>
        <w:rPr>
          <w:rFonts w:ascii="Times New Roman" w:eastAsia="Times New Roman" w:hAnsi="Times New Roman" w:cs="Times New Roman"/>
          <w:i/>
        </w:rPr>
      </w:pPr>
      <w:r>
        <w:rPr>
          <w:rFonts w:ascii="Times New Roman" w:eastAsia="Times New Roman" w:hAnsi="Times New Roman" w:cs="Times New Roman"/>
          <w:i/>
        </w:rPr>
        <w:t>Figure 3: PESTLE Analysis; Source: User-Created</w:t>
      </w:r>
    </w:p>
    <w:p w:rsidR="00CE4021" w:rsidRDefault="00DF3B45">
      <w:pPr>
        <w:pStyle w:val="Heading2"/>
        <w:spacing w:line="360" w:lineRule="auto"/>
        <w:rPr>
          <w:rFonts w:ascii="Times New Roman" w:eastAsia="Times New Roman" w:hAnsi="Times New Roman" w:cs="Times New Roman"/>
          <w:b/>
          <w:sz w:val="24"/>
          <w:szCs w:val="24"/>
        </w:rPr>
      </w:pPr>
      <w:bookmarkStart w:id="7" w:name="_heading=h.fxa3duqtju48" w:colFirst="0" w:colLast="0"/>
      <w:bookmarkEnd w:id="7"/>
      <w:r>
        <w:rPr>
          <w:rFonts w:ascii="Times New Roman" w:eastAsia="Times New Roman" w:hAnsi="Times New Roman" w:cs="Times New Roman"/>
          <w:b/>
          <w:sz w:val="24"/>
          <w:szCs w:val="24"/>
        </w:rPr>
        <w:t>Question 3: Addressing Skills Gaps and Talent Shortages through Strategic HRM</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 economy is encountering a chronic skills shortage that is jeopardising productivity, competitiveness, and innovation. The OECD (2024) notes that more than 7 out of 10 employers have indicated that they have had difficulties in finding the right k</w:t>
      </w:r>
      <w:r>
        <w:rPr>
          <w:rFonts w:ascii="Times New Roman" w:eastAsia="Times New Roman" w:hAnsi="Times New Roman" w:cs="Times New Roman"/>
          <w:sz w:val="24"/>
          <w:szCs w:val="24"/>
        </w:rPr>
        <w:t xml:space="preserve">ind of workers, especially in the technology, healthcare, and hospitality industries. The World Economic Forum estimates that over </w:t>
      </w:r>
      <w:r>
        <w:rPr>
          <w:rFonts w:ascii="Times New Roman" w:eastAsia="Times New Roman" w:hAnsi="Times New Roman" w:cs="Times New Roman"/>
          <w:sz w:val="24"/>
          <w:szCs w:val="24"/>
        </w:rPr>
        <w:lastRenderedPageBreak/>
        <w:t>1 billion employees will require reskilling in order to deal with automation and digitisation by 2030. Skills gaps arise when</w:t>
      </w:r>
      <w:r>
        <w:rPr>
          <w:rFonts w:ascii="Times New Roman" w:eastAsia="Times New Roman" w:hAnsi="Times New Roman" w:cs="Times New Roman"/>
          <w:sz w:val="24"/>
          <w:szCs w:val="24"/>
        </w:rPr>
        <w:t xml:space="preserve"> the competences of the workforce cannot meet organisational or industry role demands, usually because of the rapid technological changes, demographics, and a lack of alignment between the systems of education and the labour market demands (Milberg, 2023).</w:t>
      </w:r>
    </w:p>
    <w:p w:rsidR="00CE4021" w:rsidRDefault="00DF3B45" w:rsidP="001B7041">
      <w:pPr>
        <w:spacing w:before="240" w:after="240" w:line="360" w:lineRule="auto"/>
        <w:jc w:val="both"/>
        <w:rPr>
          <w:rFonts w:ascii="Times New Roman" w:eastAsia="Times New Roman" w:hAnsi="Times New Roman" w:cs="Times New Roman"/>
          <w:sz w:val="24"/>
          <w:szCs w:val="24"/>
        </w:rPr>
      </w:pPr>
      <w:bookmarkStart w:id="8" w:name="_heading=h.i29ka62usxfx" w:colFirst="0" w:colLast="0"/>
      <w:bookmarkEnd w:id="8"/>
      <w:r>
        <w:rPr>
          <w:rFonts w:ascii="Times New Roman" w:eastAsia="Times New Roman" w:hAnsi="Times New Roman" w:cs="Times New Roman"/>
          <w:sz w:val="24"/>
          <w:szCs w:val="24"/>
        </w:rPr>
        <w:t>Strategic HRM can offer conceptual resources to cope with these problems. Talent management Cycle (Lewis and Heckman, 2006) represents a cyclical procedure of attracting, developing and retaining employees in order to maintain organisational capability. Or</w:t>
      </w:r>
      <w:r>
        <w:rPr>
          <w:rFonts w:ascii="Times New Roman" w:eastAsia="Times New Roman" w:hAnsi="Times New Roman" w:cs="Times New Roman"/>
          <w:sz w:val="24"/>
          <w:szCs w:val="24"/>
        </w:rPr>
        <w:t>ganisations that incorporate workforce planning, recruitment and career development are capable of aligning their human capital to meet the needs of the business.</w:t>
      </w:r>
      <w:r w:rsidR="001B704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Resource-Based View (RBV) (Barney, 1991) is an argument that human capital is a distinctive, </w:t>
      </w:r>
      <w:r>
        <w:rPr>
          <w:rFonts w:ascii="Times New Roman" w:eastAsia="Times New Roman" w:hAnsi="Times New Roman" w:cs="Times New Roman"/>
          <w:sz w:val="24"/>
          <w:szCs w:val="24"/>
        </w:rPr>
        <w:t>valuable resource that is difficult to imitate, and can be utilised by companies in the creation of sustained competitive advantage. In this view, bridging the skills gap is not only an operational task, but it is a strategic endeavour. Those organisations</w:t>
      </w:r>
      <w:r>
        <w:rPr>
          <w:rFonts w:ascii="Times New Roman" w:eastAsia="Times New Roman" w:hAnsi="Times New Roman" w:cs="Times New Roman"/>
          <w:sz w:val="24"/>
          <w:szCs w:val="24"/>
        </w:rPr>
        <w:t xml:space="preserve"> that make investments in building unique employee capabilities acquire resilience and innovation strengths.</w:t>
      </w:r>
    </w:p>
    <w:p w:rsidR="00CE4021" w:rsidRDefault="00DF3B45" w:rsidP="001B7041">
      <w:pPr>
        <w:spacing w:before="240" w:after="240" w:line="360" w:lineRule="auto"/>
        <w:jc w:val="both"/>
        <w:rPr>
          <w:rFonts w:ascii="Times New Roman" w:eastAsia="Times New Roman" w:hAnsi="Times New Roman" w:cs="Times New Roman"/>
          <w:sz w:val="24"/>
          <w:szCs w:val="24"/>
        </w:rPr>
      </w:pPr>
      <w:bookmarkStart w:id="9" w:name="_heading=h.cerra0nk823" w:colFirst="0" w:colLast="0"/>
      <w:bookmarkEnd w:id="9"/>
      <w:r>
        <w:rPr>
          <w:rFonts w:ascii="Times New Roman" w:eastAsia="Times New Roman" w:hAnsi="Times New Roman" w:cs="Times New Roman"/>
          <w:sz w:val="24"/>
          <w:szCs w:val="24"/>
        </w:rPr>
        <w:t>Firms are implementing a multi-dimensional HR strategy to overcome skills shorta</w:t>
      </w:r>
      <w:r>
        <w:rPr>
          <w:rFonts w:ascii="Times New Roman" w:eastAsia="Times New Roman" w:hAnsi="Times New Roman" w:cs="Times New Roman"/>
          <w:sz w:val="24"/>
          <w:szCs w:val="24"/>
        </w:rPr>
        <w:t>ges:</w:t>
      </w:r>
      <w:r w:rsidR="001B704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Ongoing training programmes are useful towards up-skilling current employees to take up new positions. As an example, the Career Choice programme at Amazon covers technical training of warehouse workers to transition to</w:t>
      </w:r>
      <w:r>
        <w:rPr>
          <w:rFonts w:ascii="Times New Roman" w:eastAsia="Times New Roman" w:hAnsi="Times New Roman" w:cs="Times New Roman"/>
          <w:sz w:val="24"/>
          <w:szCs w:val="24"/>
        </w:rPr>
        <w:t xml:space="preserve"> IT and logistics (</w:t>
      </w:r>
      <w:proofErr w:type="spellStart"/>
      <w:r>
        <w:rPr>
          <w:rFonts w:ascii="Times New Roman" w:eastAsia="Times New Roman" w:hAnsi="Times New Roman" w:cs="Times New Roman"/>
          <w:sz w:val="24"/>
          <w:szCs w:val="24"/>
        </w:rPr>
        <w:t>Laber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Thamma</w:t>
      </w:r>
      <w:proofErr w:type="spellEnd"/>
      <w:r>
        <w:rPr>
          <w:rFonts w:ascii="Times New Roman" w:eastAsia="Times New Roman" w:hAnsi="Times New Roman" w:cs="Times New Roman"/>
          <w:sz w:val="24"/>
          <w:szCs w:val="24"/>
        </w:rPr>
        <w:t xml:space="preserve"> and Kirby, 2020).</w:t>
      </w:r>
      <w:r w:rsidR="001B704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Future leaders are identified and developed so that continuity exists in vital functions, so that they would not be susceptible to turnover or shortages.</w:t>
      </w:r>
      <w:r w:rsidR="001B704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Job rotation should be encouraged as it increases the flexibility and interest of the workforce, particularly in the service markets where multiple tasks are essential.</w:t>
      </w:r>
      <w:r w:rsidR="001B7041">
        <w:rPr>
          <w:rFonts w:ascii="Times New Roman" w:eastAsia="Times New Roman" w:hAnsi="Times New Roman" w:cs="Times New Roman"/>
          <w:sz w:val="24"/>
          <w:szCs w:val="24"/>
        </w:rPr>
        <w:t xml:space="preserve"> </w:t>
      </w:r>
    </w:p>
    <w:p w:rsidR="00CE4021" w:rsidRDefault="00DF3B45">
      <w:pPr>
        <w:spacing w:before="240" w:after="240" w:line="360" w:lineRule="auto"/>
        <w:jc w:val="both"/>
        <w:rPr>
          <w:rFonts w:ascii="Times New Roman" w:eastAsia="Times New Roman" w:hAnsi="Times New Roman" w:cs="Times New Roman"/>
          <w:sz w:val="24"/>
          <w:szCs w:val="24"/>
        </w:rPr>
      </w:pPr>
      <w:bookmarkStart w:id="10" w:name="_heading=h.64t5n0l5la6g" w:colFirst="0" w:colLast="0"/>
      <w:bookmarkEnd w:id="10"/>
      <w:r>
        <w:rPr>
          <w:rFonts w:ascii="Times New Roman" w:eastAsia="Times New Roman" w:hAnsi="Times New Roman" w:cs="Times New Roman"/>
          <w:sz w:val="24"/>
          <w:szCs w:val="24"/>
        </w:rPr>
        <w:t>HR strategies are influenced by national settings. The National Health Service (NHS) of the UK is experiencing severe shortages of both nurs</w:t>
      </w:r>
      <w:r>
        <w:rPr>
          <w:rFonts w:ascii="Times New Roman" w:eastAsia="Times New Roman" w:hAnsi="Times New Roman" w:cs="Times New Roman"/>
          <w:sz w:val="24"/>
          <w:szCs w:val="24"/>
        </w:rPr>
        <w:t>es and medical personnel. It will use international recruitment campaigns, apprenticeships, and flexible work plans to recruit and retain different talent (NHS Workforce Strategy, 2024). On the other hand, Tata Consultancy Services (TCS) India implements a</w:t>
      </w:r>
      <w:r>
        <w:rPr>
          <w:rFonts w:ascii="Times New Roman" w:eastAsia="Times New Roman" w:hAnsi="Times New Roman" w:cs="Times New Roman"/>
          <w:sz w:val="24"/>
          <w:szCs w:val="24"/>
        </w:rPr>
        <w:t xml:space="preserve"> global talent pipeline paradigm, establishing collaborations with universities and grooming graduates on digital and data fronts before hiring them into the company.</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global context, countries have liberalised their policies in the form of apprentic</w:t>
      </w:r>
      <w:r>
        <w:rPr>
          <w:rFonts w:ascii="Times New Roman" w:eastAsia="Times New Roman" w:hAnsi="Times New Roman" w:cs="Times New Roman"/>
          <w:sz w:val="24"/>
          <w:szCs w:val="24"/>
        </w:rPr>
        <w:t>eships, STEM investments, and skilled migration schemes as an effort to address the scarcity. A case in point is the dual education system in Germany that incorporates both vocational training and practical apprenticeships at the same time, which means tha</w:t>
      </w:r>
      <w:r>
        <w:rPr>
          <w:rFonts w:ascii="Times New Roman" w:eastAsia="Times New Roman" w:hAnsi="Times New Roman" w:cs="Times New Roman"/>
          <w:sz w:val="24"/>
          <w:szCs w:val="24"/>
        </w:rPr>
        <w:t>t there is a high level of skills alignment. Equally, the Temporary Skill Shortage (TSS) visa programme available in Australia and the Skilled Worker visa programmes available in the UK allow companies to tap into international talent pools where the natio</w:t>
      </w:r>
      <w:r>
        <w:rPr>
          <w:rFonts w:ascii="Times New Roman" w:eastAsia="Times New Roman" w:hAnsi="Times New Roman" w:cs="Times New Roman"/>
          <w:sz w:val="24"/>
          <w:szCs w:val="24"/>
        </w:rPr>
        <w:t>nal pool is constrained.</w:t>
      </w:r>
    </w:p>
    <w:p w:rsidR="00CE4021" w:rsidRDefault="00DF3B45">
      <w:pPr>
        <w:pStyle w:val="Heading2"/>
        <w:keepNext w:val="0"/>
        <w:keepLines w:val="0"/>
        <w:spacing w:after="80" w:line="360" w:lineRule="auto"/>
        <w:jc w:val="both"/>
        <w:rPr>
          <w:rFonts w:ascii="Times New Roman" w:eastAsia="Times New Roman" w:hAnsi="Times New Roman" w:cs="Times New Roman"/>
          <w:b/>
          <w:sz w:val="28"/>
          <w:szCs w:val="28"/>
        </w:rPr>
      </w:pPr>
      <w:bookmarkStart w:id="11" w:name="_heading=h.kt2sn3jkrs1o" w:colFirst="0" w:colLast="0"/>
      <w:bookmarkEnd w:id="11"/>
      <w:r>
        <w:rPr>
          <w:rFonts w:ascii="Times New Roman" w:eastAsia="Times New Roman" w:hAnsi="Times New Roman" w:cs="Times New Roman"/>
          <w:b/>
          <w:sz w:val="28"/>
          <w:szCs w:val="28"/>
        </w:rPr>
        <w:t>Question 4: Reflective Self-Analysis of Global Employability Capabilities</w:t>
      </w:r>
    </w:p>
    <w:p w:rsidR="00CE4021" w:rsidRDefault="00DF3B45">
      <w:pPr>
        <w:spacing w:before="240" w:after="240" w:line="360" w:lineRule="auto"/>
        <w:jc w:val="both"/>
        <w:rPr>
          <w:rFonts w:ascii="Times New Roman" w:eastAsia="Times New Roman" w:hAnsi="Times New Roman" w:cs="Times New Roman"/>
          <w:sz w:val="24"/>
          <w:szCs w:val="24"/>
        </w:rPr>
      </w:pPr>
      <w:bookmarkStart w:id="12" w:name="_heading=h.ar55ar2yn0xi" w:colFirst="0" w:colLast="0"/>
      <w:bookmarkEnd w:id="12"/>
      <w:r>
        <w:rPr>
          <w:rFonts w:ascii="Times New Roman" w:eastAsia="Times New Roman" w:hAnsi="Times New Roman" w:cs="Times New Roman"/>
          <w:sz w:val="24"/>
          <w:szCs w:val="24"/>
        </w:rPr>
        <w:t>Working in an ever more globalised and technologically advanced labour market, employability relies on the capacity to adjust, communicate, lead</w:t>
      </w:r>
      <w:r>
        <w:rPr>
          <w:rFonts w:ascii="Times New Roman" w:eastAsia="Times New Roman" w:hAnsi="Times New Roman" w:cs="Times New Roman"/>
          <w:sz w:val="24"/>
          <w:szCs w:val="24"/>
        </w:rPr>
        <w:t>, and learn within religious and professional settings different to one's own. The purpose of this reflection is to critically examine my personal global employability skills in five areas: technology, communication, teamwork, leadership, and self-directed</w:t>
      </w:r>
      <w:r>
        <w:rPr>
          <w:rFonts w:ascii="Times New Roman" w:eastAsia="Times New Roman" w:hAnsi="Times New Roman" w:cs="Times New Roman"/>
          <w:sz w:val="24"/>
          <w:szCs w:val="24"/>
        </w:rPr>
        <w:t xml:space="preserve"> learning, through the Gibbs Reflective Cycle (1988). It is done in order to define my strengths and weaknesses, determine the ways in which the experience in the MBA programme has influenced my competencies, and create a practical plan of further professi</w:t>
      </w:r>
      <w:r>
        <w:rPr>
          <w:rFonts w:ascii="Times New Roman" w:eastAsia="Times New Roman" w:hAnsi="Times New Roman" w:cs="Times New Roman"/>
          <w:sz w:val="24"/>
          <w:szCs w:val="24"/>
        </w:rPr>
        <w:t>onal enhancement in accordance with the international HRM expectations and lifelong learning objectives.</w:t>
      </w:r>
    </w:p>
    <w:p w:rsidR="00CE4021" w:rsidRDefault="00DF3B45">
      <w:pPr>
        <w:spacing w:before="240" w:after="240" w:line="360" w:lineRule="auto"/>
        <w:jc w:val="center"/>
        <w:rPr>
          <w:rFonts w:ascii="Times New Roman" w:eastAsia="Times New Roman" w:hAnsi="Times New Roman" w:cs="Times New Roman"/>
          <w:i/>
        </w:rPr>
      </w:pPr>
      <w:r>
        <w:rPr>
          <w:rFonts w:ascii="Times New Roman" w:eastAsia="Times New Roman" w:hAnsi="Times New Roman" w:cs="Times New Roman"/>
          <w:i/>
          <w:noProof/>
        </w:rPr>
        <w:lastRenderedPageBreak/>
        <w:drawing>
          <wp:inline distT="0" distB="0" distL="0" distR="0">
            <wp:extent cx="5943600" cy="3594100"/>
            <wp:effectExtent l="9525" t="9525" r="9525" b="9525"/>
            <wp:docPr id="410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594100"/>
                    </a:xfrm>
                    <a:prstGeom prst="rect">
                      <a:avLst/>
                    </a:prstGeom>
                    <a:ln w="9525">
                      <a:solidFill>
                        <a:srgbClr val="000000"/>
                      </a:solidFill>
                      <a:prstDash val="solid"/>
                    </a:ln>
                  </pic:spPr>
                </pic:pic>
              </a:graphicData>
            </a:graphic>
          </wp:inline>
        </w:drawing>
      </w:r>
    </w:p>
    <w:p w:rsidR="00CE4021" w:rsidRDefault="00DF3B45">
      <w:pPr>
        <w:spacing w:before="240" w:after="240" w:line="360" w:lineRule="auto"/>
        <w:jc w:val="center"/>
        <w:rPr>
          <w:rFonts w:ascii="Times New Roman" w:eastAsia="Times New Roman" w:hAnsi="Times New Roman" w:cs="Times New Roman"/>
          <w:i/>
        </w:rPr>
      </w:pPr>
      <w:r>
        <w:rPr>
          <w:rFonts w:ascii="Times New Roman" w:eastAsia="Times New Roman" w:hAnsi="Times New Roman" w:cs="Times New Roman"/>
          <w:i/>
        </w:rPr>
        <w:t>Figure 4: Gibbs’ Reflective Cycle; Source: Adopted from Gibbs (2010)</w:t>
      </w:r>
    </w:p>
    <w:p w:rsidR="00CE4021" w:rsidRDefault="00DF3B45">
      <w:pPr>
        <w:spacing w:before="240" w:after="240" w:line="360" w:lineRule="auto"/>
        <w:jc w:val="both"/>
        <w:rPr>
          <w:rFonts w:ascii="Times New Roman" w:eastAsia="Times New Roman" w:hAnsi="Times New Roman" w:cs="Times New Roman"/>
          <w:sz w:val="24"/>
          <w:szCs w:val="24"/>
        </w:rPr>
      </w:pPr>
      <w:bookmarkStart w:id="13" w:name="_heading=h.d239bm1hps3q" w:colFirst="0" w:colLast="0"/>
      <w:bookmarkEnd w:id="13"/>
      <w:r>
        <w:rPr>
          <w:rFonts w:ascii="Times New Roman" w:eastAsia="Times New Roman" w:hAnsi="Times New Roman" w:cs="Times New Roman"/>
          <w:sz w:val="24"/>
          <w:szCs w:val="24"/>
        </w:rPr>
        <w:t>The MBA course exposed me to various global group tasks and research projects where cross-cultural work and online collaboration were needed. These experiences demonstrated that I can handle technological tools, intercultural communication and become a lea</w:t>
      </w:r>
      <w:r>
        <w:rPr>
          <w:rFonts w:ascii="Times New Roman" w:eastAsia="Times New Roman" w:hAnsi="Times New Roman" w:cs="Times New Roman"/>
          <w:sz w:val="24"/>
          <w:szCs w:val="24"/>
        </w:rPr>
        <w:t>der in an Internet-dispersed team. Nevertheless, they also revealed the issues of overdependence on digital communication as the means of coordinating effort, sometimes a misunderstanding of virtual communication, and greater levels of structured self-lear</w:t>
      </w:r>
      <w:r>
        <w:rPr>
          <w:rFonts w:ascii="Times New Roman" w:eastAsia="Times New Roman" w:hAnsi="Times New Roman" w:cs="Times New Roman"/>
          <w:sz w:val="24"/>
          <w:szCs w:val="24"/>
        </w:rPr>
        <w:t xml:space="preserve">ning practices. </w:t>
      </w:r>
    </w:p>
    <w:p w:rsidR="00CE4021" w:rsidRDefault="00DF3B45">
      <w:pPr>
        <w:spacing w:before="240" w:after="240" w:line="360" w:lineRule="auto"/>
        <w:jc w:val="both"/>
        <w:rPr>
          <w:rFonts w:ascii="Times New Roman" w:eastAsia="Times New Roman" w:hAnsi="Times New Roman" w:cs="Times New Roman"/>
          <w:sz w:val="24"/>
          <w:szCs w:val="24"/>
        </w:rPr>
      </w:pPr>
      <w:bookmarkStart w:id="14" w:name="_heading=h.rm3vxg2qmggz" w:colFirst="0" w:colLast="0"/>
      <w:bookmarkEnd w:id="14"/>
      <w:r>
        <w:rPr>
          <w:rFonts w:ascii="Times New Roman" w:eastAsia="Times New Roman" w:hAnsi="Times New Roman" w:cs="Times New Roman"/>
          <w:sz w:val="24"/>
          <w:szCs w:val="24"/>
        </w:rPr>
        <w:t>At first, I was confident in technical performance but not as confident in interpersonal and cultural management in multinational teams.</w:t>
      </w:r>
    </w:p>
    <w:p w:rsidR="00CE4021" w:rsidRDefault="00DF3B45">
      <w:pPr>
        <w:spacing w:before="240" w:after="240" w:line="360" w:lineRule="auto"/>
        <w:jc w:val="both"/>
        <w:rPr>
          <w:rFonts w:ascii="Times New Roman" w:eastAsia="Times New Roman" w:hAnsi="Times New Roman" w:cs="Times New Roman"/>
          <w:sz w:val="24"/>
          <w:szCs w:val="24"/>
        </w:rPr>
      </w:pPr>
      <w:bookmarkStart w:id="15" w:name="_heading=h.8spu7d6gx5or" w:colFirst="0" w:colLast="0"/>
      <w:bookmarkEnd w:id="15"/>
      <w:r>
        <w:rPr>
          <w:rFonts w:ascii="Times New Roman" w:eastAsia="Times New Roman" w:hAnsi="Times New Roman" w:cs="Times New Roman"/>
          <w:sz w:val="24"/>
          <w:szCs w:val="24"/>
        </w:rPr>
        <w:t>Considering such experiences, I can identify the following positive results and so</w:t>
      </w:r>
      <w:r>
        <w:rPr>
          <w:rFonts w:ascii="Times New Roman" w:eastAsia="Times New Roman" w:hAnsi="Times New Roman" w:cs="Times New Roman"/>
          <w:sz w:val="24"/>
          <w:szCs w:val="24"/>
        </w:rPr>
        <w:t>me aspects that need improvement:</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have a good background in both digital literacy and analytics, such as Microsoft Excel, Power BI, and tools that use AI assistance. My presentation and writing skills have also developed in a considerable way, prima</w:t>
      </w:r>
      <w:r>
        <w:rPr>
          <w:rFonts w:ascii="Times New Roman" w:eastAsia="Times New Roman" w:hAnsi="Times New Roman" w:cs="Times New Roman"/>
          <w:sz w:val="24"/>
          <w:szCs w:val="24"/>
        </w:rPr>
        <w:t xml:space="preserve">rily in preparing research reports as well as professional portfolios. </w:t>
      </w:r>
      <w:r>
        <w:rPr>
          <w:rFonts w:ascii="Times New Roman" w:eastAsia="Times New Roman" w:hAnsi="Times New Roman" w:cs="Times New Roman"/>
          <w:sz w:val="24"/>
          <w:szCs w:val="24"/>
        </w:rPr>
        <w:lastRenderedPageBreak/>
        <w:t>Additionally, I was resilient and initiative-driven as a head of small project teams, as tasks were accomplished within deadlines.</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have difficulty balancing conflicting prioritie</w:t>
      </w:r>
      <w:r>
        <w:rPr>
          <w:rFonts w:ascii="Times New Roman" w:eastAsia="Times New Roman" w:hAnsi="Times New Roman" w:cs="Times New Roman"/>
          <w:sz w:val="24"/>
          <w:szCs w:val="24"/>
        </w:rPr>
        <w:t>s when working in groups, and it might cause me to feel time-stressed. My digital competency is also good, but I should improve my strategic application of AI in making decisions based on data. Even in international collaboration, sometimes the peculiariti</w:t>
      </w:r>
      <w:r>
        <w:rPr>
          <w:rFonts w:ascii="Times New Roman" w:eastAsia="Times New Roman" w:hAnsi="Times New Roman" w:cs="Times New Roman"/>
          <w:sz w:val="24"/>
          <w:szCs w:val="24"/>
        </w:rPr>
        <w:t>es of language and the tone of a conversation create confusion, which puts a strong intercultural perception and understanding in a rather new position.</w:t>
      </w:r>
    </w:p>
    <w:p w:rsidR="00CE4021" w:rsidRDefault="00DF3B45">
      <w:pPr>
        <w:spacing w:before="240" w:after="240" w:line="360" w:lineRule="auto"/>
        <w:jc w:val="both"/>
        <w:rPr>
          <w:rFonts w:ascii="Times New Roman" w:eastAsia="Times New Roman" w:hAnsi="Times New Roman" w:cs="Times New Roman"/>
          <w:sz w:val="24"/>
          <w:szCs w:val="24"/>
        </w:rPr>
      </w:pPr>
      <w:bookmarkStart w:id="16" w:name="_heading=h.qh58wdljit4r" w:colFirst="0" w:colLast="0"/>
      <w:bookmarkEnd w:id="16"/>
      <w:r>
        <w:rPr>
          <w:rFonts w:ascii="Times New Roman" w:eastAsia="Times New Roman" w:hAnsi="Times New Roman" w:cs="Times New Roman"/>
          <w:sz w:val="24"/>
          <w:szCs w:val="24"/>
        </w:rPr>
        <w:t>The artificial intelligence and automation-driven digital transformation of workplaces will re</w:t>
      </w:r>
      <w:r>
        <w:rPr>
          <w:rFonts w:ascii="Times New Roman" w:eastAsia="Times New Roman" w:hAnsi="Times New Roman" w:cs="Times New Roman"/>
          <w:sz w:val="24"/>
          <w:szCs w:val="24"/>
        </w:rPr>
        <w:t xml:space="preserve">quire strong technological agility. The MBA Digital Strategy and Data Analytics modules taught me that I will gain knowledge in the interpretation of HR dashboards, utilising AI-enabled tools to conduct a study and using online tools to collaborate (e.g., </w:t>
      </w:r>
      <w:r>
        <w:rPr>
          <w:rFonts w:ascii="Times New Roman" w:eastAsia="Times New Roman" w:hAnsi="Times New Roman" w:cs="Times New Roman"/>
          <w:sz w:val="24"/>
          <w:szCs w:val="24"/>
        </w:rPr>
        <w:t xml:space="preserve">Teams, Slack, and Google Workspace). This represents technological self-efficacy, which is a vital employability attribute (OECD, 2024). I do identify, however, that I need to go beyond operational acquaintance and apply analytics to HR planning or talent </w:t>
      </w:r>
      <w:r>
        <w:rPr>
          <w:rFonts w:ascii="Times New Roman" w:eastAsia="Times New Roman" w:hAnsi="Times New Roman" w:cs="Times New Roman"/>
          <w:sz w:val="24"/>
          <w:szCs w:val="24"/>
        </w:rPr>
        <w:t>projections. To do so, I will have to complete an HR Analytics certification accredited by CIPD, attend workshops on digital transformation to enhance my data-driven decision-making skills.</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employability is pegged on effective intercultural communic</w:t>
      </w:r>
      <w:r>
        <w:rPr>
          <w:rFonts w:ascii="Times New Roman" w:eastAsia="Times New Roman" w:hAnsi="Times New Roman" w:cs="Times New Roman"/>
          <w:sz w:val="24"/>
          <w:szCs w:val="24"/>
        </w:rPr>
        <w:t>ation. My MBA life involved a lot of scholarly writing and speaking to different people of different linguistic and cultural backgrounds. This also improved my skill of being able to express intricate concepts in a clear and succinct way. Using the high an</w:t>
      </w:r>
      <w:r>
        <w:rPr>
          <w:rFonts w:ascii="Times New Roman" w:eastAsia="Times New Roman" w:hAnsi="Times New Roman" w:cs="Times New Roman"/>
          <w:sz w:val="24"/>
          <w:szCs w:val="24"/>
        </w:rPr>
        <w:t>d low context communication theory by Hall (1976), I was able to learn the importance of varying my tone and style to fit the cultural expectations. Nevertheless, a few problems with misunderstanding in virtual meetings indicate that I should develop my ac</w:t>
      </w:r>
      <w:r>
        <w:rPr>
          <w:rFonts w:ascii="Times New Roman" w:eastAsia="Times New Roman" w:hAnsi="Times New Roman" w:cs="Times New Roman"/>
          <w:sz w:val="24"/>
          <w:szCs w:val="24"/>
        </w:rPr>
        <w:t>tive listening and non-verbal sensitivity. To alleviate it, I will participate in cross-cultural communication training as well as ask my peers to provide feedback during international group work.</w:t>
      </w:r>
    </w:p>
    <w:p w:rsidR="00CE4021" w:rsidRDefault="00DF3B4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work involves finding a balance between coope</w:t>
      </w:r>
      <w:r>
        <w:rPr>
          <w:rFonts w:ascii="Times New Roman" w:eastAsia="Times New Roman" w:hAnsi="Times New Roman" w:cs="Times New Roman"/>
          <w:sz w:val="24"/>
          <w:szCs w:val="24"/>
        </w:rPr>
        <w:t xml:space="preserve">ration and independence. Skill: Through my engagement in group consultancy simulations, I demonstrated high levels of cooperation, empathy, and trustworthiness. My skills in coordinating tasks and maintaining the </w:t>
      </w:r>
      <w:r>
        <w:rPr>
          <w:rFonts w:ascii="Times New Roman" w:eastAsia="Times New Roman" w:hAnsi="Times New Roman" w:cs="Times New Roman"/>
          <w:sz w:val="24"/>
          <w:szCs w:val="24"/>
        </w:rPr>
        <w:lastRenderedPageBreak/>
        <w:t>distribution of work equally also showed th</w:t>
      </w:r>
      <w:r>
        <w:rPr>
          <w:rFonts w:ascii="Times New Roman" w:eastAsia="Times New Roman" w:hAnsi="Times New Roman" w:cs="Times New Roman"/>
          <w:sz w:val="24"/>
          <w:szCs w:val="24"/>
        </w:rPr>
        <w:t xml:space="preserve">e impact of Belbin's (2010) roles of a </w:t>
      </w:r>
      <w:proofErr w:type="spellStart"/>
      <w:r>
        <w:rPr>
          <w:rFonts w:ascii="Times New Roman" w:eastAsia="Times New Roman" w:hAnsi="Times New Roman" w:cs="Times New Roman"/>
          <w:sz w:val="24"/>
          <w:szCs w:val="24"/>
        </w:rPr>
        <w:t>teamworker</w:t>
      </w:r>
      <w:proofErr w:type="spellEnd"/>
      <w:r>
        <w:rPr>
          <w:rFonts w:ascii="Times New Roman" w:eastAsia="Times New Roman" w:hAnsi="Times New Roman" w:cs="Times New Roman"/>
          <w:sz w:val="24"/>
          <w:szCs w:val="24"/>
        </w:rPr>
        <w:t xml:space="preserve"> (like me) and an implementer. However, I realised that managing conflict is a field that I can work on. There was friction in the differences in time zones, work styles, and cultural expectations. I would l</w:t>
      </w:r>
      <w:r>
        <w:rPr>
          <w:rFonts w:ascii="Times New Roman" w:eastAsia="Times New Roman" w:hAnsi="Times New Roman" w:cs="Times New Roman"/>
          <w:sz w:val="24"/>
          <w:szCs w:val="24"/>
        </w:rPr>
        <w:t>ike to enhance it with reference to the stages of group development proposed by Tuckman (1965), in particular, norming and performing, and with the help of digital project-management tools to observe the contributions made transparently. Membership in inte</w:t>
      </w:r>
      <w:r>
        <w:rPr>
          <w:rFonts w:ascii="Times New Roman" w:eastAsia="Times New Roman" w:hAnsi="Times New Roman" w:cs="Times New Roman"/>
          <w:sz w:val="24"/>
          <w:szCs w:val="24"/>
        </w:rPr>
        <w:t>rnational professional networks, including the HR Global Network on LinkedIn, will also contribute to empowering my capacity to collaborate in multicultural contexts.</w:t>
      </w:r>
    </w:p>
    <w:p w:rsidR="00CE4021" w:rsidRDefault="00DF3B45">
      <w:pPr>
        <w:spacing w:before="240" w:after="240" w:line="360" w:lineRule="auto"/>
        <w:jc w:val="both"/>
        <w:rPr>
          <w:rFonts w:ascii="Times New Roman" w:eastAsia="Times New Roman" w:hAnsi="Times New Roman" w:cs="Times New Roman"/>
          <w:b/>
          <w:color w:val="000000"/>
          <w:sz w:val="26"/>
          <w:szCs w:val="26"/>
        </w:rPr>
      </w:pPr>
      <w:r>
        <w:rPr>
          <w:rFonts w:ascii="Times New Roman" w:eastAsia="Times New Roman" w:hAnsi="Times New Roman" w:cs="Times New Roman"/>
          <w:sz w:val="24"/>
          <w:szCs w:val="24"/>
        </w:rPr>
        <w:t>Global leadership requires cultural intelligence (CQ), flexibility, and emotional stabili</w:t>
      </w:r>
      <w:r>
        <w:rPr>
          <w:rFonts w:ascii="Times New Roman" w:eastAsia="Times New Roman" w:hAnsi="Times New Roman" w:cs="Times New Roman"/>
          <w:sz w:val="24"/>
          <w:szCs w:val="24"/>
        </w:rPr>
        <w:t>ty. I have shown the characteristics of transformational leadership through the use of the highest order of convincing my peers, assigning tasks according to their respective strengths, and ensuring that the team spirit is maintained at a high level. Never</w:t>
      </w:r>
      <w:r>
        <w:rPr>
          <w:rFonts w:ascii="Times New Roman" w:eastAsia="Times New Roman" w:hAnsi="Times New Roman" w:cs="Times New Roman"/>
          <w:sz w:val="24"/>
          <w:szCs w:val="24"/>
        </w:rPr>
        <w:t>theless, there have been times when I was afraid of the strength in cross-functional teams, and I feared conflict or cultural misinterpretation. Based on the Emotional Intelligence Framework of Goleman (2001), I realise that I should work on improving self</w:t>
      </w:r>
      <w:r>
        <w:rPr>
          <w:rFonts w:ascii="Times New Roman" w:eastAsia="Times New Roman" w:hAnsi="Times New Roman" w:cs="Times New Roman"/>
          <w:sz w:val="24"/>
          <w:szCs w:val="24"/>
        </w:rPr>
        <w:t xml:space="preserve">-awareness and social regulation to become an empathetic and confident leader. By enrolling in the leadership workshops of the MBA, I have already gained some skills of situational judgement, though I will maximise that by taking the Cultural Intelligence </w:t>
      </w:r>
      <w:r>
        <w:rPr>
          <w:rFonts w:ascii="Times New Roman" w:eastAsia="Times New Roman" w:hAnsi="Times New Roman" w:cs="Times New Roman"/>
          <w:sz w:val="24"/>
          <w:szCs w:val="24"/>
        </w:rPr>
        <w:t>(CQ) Certification and mentorship with experienced leaders of the HR industry.</w:t>
      </w:r>
    </w:p>
    <w:p w:rsidR="00CE4021" w:rsidRPr="001B7041" w:rsidRDefault="00DF3B45">
      <w:pPr>
        <w:pStyle w:val="Heading3"/>
        <w:keepNext w:val="0"/>
        <w:keepLines w:val="0"/>
        <w:spacing w:before="280" w:line="360" w:lineRule="auto"/>
        <w:jc w:val="both"/>
        <w:rPr>
          <w:rFonts w:ascii="Times New Roman" w:eastAsia="Times New Roman" w:hAnsi="Times New Roman" w:cs="Times New Roman"/>
          <w:bCs/>
          <w:i/>
          <w:iCs/>
          <w:color w:val="000000"/>
          <w:sz w:val="24"/>
          <w:szCs w:val="24"/>
        </w:rPr>
      </w:pPr>
      <w:bookmarkStart w:id="17" w:name="_heading=h.dkzlwrrqyx2" w:colFirst="0" w:colLast="0"/>
      <w:bookmarkEnd w:id="17"/>
      <w:r w:rsidRPr="001B7041">
        <w:rPr>
          <w:rFonts w:ascii="Times New Roman" w:eastAsia="Times New Roman" w:hAnsi="Times New Roman" w:cs="Times New Roman"/>
          <w:bCs/>
          <w:i/>
          <w:iCs/>
          <w:color w:val="000000"/>
          <w:sz w:val="24"/>
          <w:szCs w:val="24"/>
        </w:rPr>
        <w:t>Action Plan (SMART Goals)</w:t>
      </w:r>
    </w:p>
    <w:tbl>
      <w:tblPr>
        <w:tblStyle w:val="a0"/>
        <w:tblW w:w="10935" w:type="dxa"/>
        <w:tblInd w:w="-765" w:type="dxa"/>
        <w:tblBorders>
          <w:top w:val="nil"/>
          <w:left w:val="nil"/>
          <w:bottom w:val="nil"/>
          <w:right w:val="nil"/>
          <w:insideH w:val="nil"/>
          <w:insideV w:val="nil"/>
        </w:tblBorders>
        <w:tblLayout w:type="fixed"/>
        <w:tblLook w:val="0600" w:firstRow="0" w:lastRow="0" w:firstColumn="0" w:lastColumn="0" w:noHBand="1" w:noVBand="1"/>
      </w:tblPr>
      <w:tblGrid>
        <w:gridCol w:w="1980"/>
        <w:gridCol w:w="2430"/>
        <w:gridCol w:w="2550"/>
        <w:gridCol w:w="1560"/>
        <w:gridCol w:w="2415"/>
      </w:tblGrid>
      <w:tr w:rsidR="00CE4021">
        <w:trPr>
          <w:trHeight w:val="785"/>
        </w:trPr>
        <w:tc>
          <w:tcPr>
            <w:tcW w:w="198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rsidR="00CE4021" w:rsidRDefault="00DF3B45">
            <w:pPr>
              <w:spacing w:line="360" w:lineRule="auto"/>
              <w:jc w:val="center"/>
              <w:rPr>
                <w:rFonts w:ascii="Times New Roman" w:eastAsia="Times New Roman" w:hAnsi="Times New Roman" w:cs="Times New Roman"/>
                <w:color w:val="FFFFFF"/>
                <w:sz w:val="24"/>
                <w:szCs w:val="24"/>
              </w:rPr>
            </w:pPr>
            <w:r>
              <w:rPr>
                <w:rFonts w:ascii="Times New Roman" w:eastAsia="Times New Roman" w:hAnsi="Times New Roman" w:cs="Times New Roman"/>
                <w:b/>
                <w:color w:val="FFFFFF"/>
                <w:sz w:val="24"/>
                <w:szCs w:val="24"/>
              </w:rPr>
              <w:t>Goal Area</w:t>
            </w:r>
          </w:p>
        </w:tc>
        <w:tc>
          <w:tcPr>
            <w:tcW w:w="243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rsidR="00CE4021" w:rsidRDefault="00DF3B45">
            <w:pPr>
              <w:spacing w:line="360" w:lineRule="auto"/>
              <w:jc w:val="center"/>
              <w:rPr>
                <w:rFonts w:ascii="Times New Roman" w:eastAsia="Times New Roman" w:hAnsi="Times New Roman" w:cs="Times New Roman"/>
                <w:color w:val="FFFFFF"/>
                <w:sz w:val="24"/>
                <w:szCs w:val="24"/>
              </w:rPr>
            </w:pPr>
            <w:r>
              <w:rPr>
                <w:rFonts w:ascii="Times New Roman" w:eastAsia="Times New Roman" w:hAnsi="Times New Roman" w:cs="Times New Roman"/>
                <w:b/>
                <w:color w:val="FFFFFF"/>
                <w:sz w:val="24"/>
                <w:szCs w:val="24"/>
              </w:rPr>
              <w:t>Specific Objective</w:t>
            </w:r>
          </w:p>
        </w:tc>
        <w:tc>
          <w:tcPr>
            <w:tcW w:w="255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rsidR="00CE4021" w:rsidRDefault="00DF3B45">
            <w:pPr>
              <w:spacing w:line="360" w:lineRule="auto"/>
              <w:jc w:val="center"/>
              <w:rPr>
                <w:rFonts w:ascii="Times New Roman" w:eastAsia="Times New Roman" w:hAnsi="Times New Roman" w:cs="Times New Roman"/>
                <w:color w:val="FFFFFF"/>
                <w:sz w:val="24"/>
                <w:szCs w:val="24"/>
              </w:rPr>
            </w:pPr>
            <w:r>
              <w:rPr>
                <w:rFonts w:ascii="Times New Roman" w:eastAsia="Times New Roman" w:hAnsi="Times New Roman" w:cs="Times New Roman"/>
                <w:b/>
                <w:color w:val="FFFFFF"/>
                <w:sz w:val="24"/>
                <w:szCs w:val="24"/>
              </w:rPr>
              <w:t>Actions</w:t>
            </w:r>
          </w:p>
        </w:tc>
        <w:tc>
          <w:tcPr>
            <w:tcW w:w="1560"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rsidR="00CE4021" w:rsidRDefault="00DF3B45">
            <w:pPr>
              <w:spacing w:line="360" w:lineRule="auto"/>
              <w:jc w:val="center"/>
              <w:rPr>
                <w:rFonts w:ascii="Times New Roman" w:eastAsia="Times New Roman" w:hAnsi="Times New Roman" w:cs="Times New Roman"/>
                <w:color w:val="FFFFFF"/>
                <w:sz w:val="24"/>
                <w:szCs w:val="24"/>
              </w:rPr>
            </w:pPr>
            <w:r>
              <w:rPr>
                <w:rFonts w:ascii="Times New Roman" w:eastAsia="Times New Roman" w:hAnsi="Times New Roman" w:cs="Times New Roman"/>
                <w:b/>
                <w:color w:val="FFFFFF"/>
                <w:sz w:val="24"/>
                <w:szCs w:val="24"/>
              </w:rPr>
              <w:t>Timeline</w:t>
            </w:r>
          </w:p>
        </w:tc>
        <w:tc>
          <w:tcPr>
            <w:tcW w:w="2415" w:type="dxa"/>
            <w:tcBorders>
              <w:top w:val="single" w:sz="4" w:space="0" w:color="000000"/>
              <w:left w:val="single" w:sz="4" w:space="0" w:color="000000"/>
              <w:bottom w:val="single" w:sz="4" w:space="0" w:color="000000"/>
              <w:right w:val="single" w:sz="4" w:space="0" w:color="000000"/>
            </w:tcBorders>
            <w:shd w:val="clear" w:color="auto" w:fill="FF9900"/>
            <w:tcMar>
              <w:top w:w="100" w:type="dxa"/>
              <w:left w:w="100" w:type="dxa"/>
              <w:bottom w:w="100" w:type="dxa"/>
              <w:right w:w="100" w:type="dxa"/>
            </w:tcMar>
          </w:tcPr>
          <w:p w:rsidR="00CE4021" w:rsidRDefault="00DF3B45">
            <w:pPr>
              <w:spacing w:line="360" w:lineRule="auto"/>
              <w:jc w:val="center"/>
              <w:rPr>
                <w:rFonts w:ascii="Times New Roman" w:eastAsia="Times New Roman" w:hAnsi="Times New Roman" w:cs="Times New Roman"/>
                <w:color w:val="FFFFFF"/>
                <w:sz w:val="24"/>
                <w:szCs w:val="24"/>
              </w:rPr>
            </w:pPr>
            <w:r>
              <w:rPr>
                <w:rFonts w:ascii="Times New Roman" w:eastAsia="Times New Roman" w:hAnsi="Times New Roman" w:cs="Times New Roman"/>
                <w:b/>
                <w:color w:val="FFFFFF"/>
                <w:sz w:val="24"/>
                <w:szCs w:val="24"/>
              </w:rPr>
              <w:t>Measure of Success</w:t>
            </w:r>
          </w:p>
        </w:tc>
      </w:tr>
      <w:tr w:rsidR="00CE4021">
        <w:trPr>
          <w:trHeight w:val="162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Technology</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Gain advanced proficiency in HR analytics and AI integration.</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CIPD HR Analytics Certificate; apply learning to a real project.</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6–12 months</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Certificate achieved; improved analytics use in projects.</w:t>
            </w:r>
          </w:p>
        </w:tc>
      </w:tr>
      <w:tr w:rsidR="00CE4021">
        <w:trPr>
          <w:trHeight w:val="143"/>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Communication</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intercultural communication competence.</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Enrol in the Cross-Cultural Communication MOOC and request feedback after international presentations.</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360-degree peer feedback scores improve by 20%.</w:t>
            </w:r>
          </w:p>
        </w:tc>
      </w:tr>
      <w:tr w:rsidR="00CE4021">
        <w:trPr>
          <w:trHeight w:val="1625"/>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Teamwork</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conflict-resolution and collaboration in diverse teams.</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Apply Tuckman’s model; document lessons in a reflective journal.</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 months</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completion of a multicultural team project with minimal conflicts.</w:t>
            </w:r>
          </w:p>
        </w:tc>
      </w:tr>
      <w:tr w:rsidR="00CE4021">
        <w:trPr>
          <w:trHeight w:val="1340"/>
        </w:trPr>
        <w:tc>
          <w:tcPr>
            <w:tcW w:w="19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Leadership</w:t>
            </w:r>
          </w:p>
        </w:tc>
        <w:tc>
          <w:tcPr>
            <w:tcW w:w="24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cultural intelligence and emotional regulation.</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Attend the CQ Leadership Programme; </w:t>
            </w:r>
            <w:r>
              <w:rPr>
                <w:rFonts w:ascii="Times New Roman" w:eastAsia="Times New Roman" w:hAnsi="Times New Roman" w:cs="Times New Roman"/>
                <w:sz w:val="24"/>
                <w:szCs w:val="24"/>
              </w:rPr>
              <w:t>seek mentorship with an HR leader.</w:t>
            </w:r>
          </w:p>
        </w:tc>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year</w:t>
            </w:r>
          </w:p>
        </w:tc>
        <w:tc>
          <w:tcPr>
            <w:tcW w:w="24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CE4021" w:rsidRDefault="00DF3B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Mentor feedback: improved leadership evaluations.</w:t>
            </w:r>
          </w:p>
        </w:tc>
      </w:tr>
    </w:tbl>
    <w:p w:rsidR="00CE4021" w:rsidRDefault="00DF3B45">
      <w:pPr>
        <w:spacing w:before="240" w:after="240" w:line="360" w:lineRule="auto"/>
        <w:jc w:val="both"/>
        <w:rPr>
          <w:rFonts w:ascii="Times New Roman" w:eastAsia="Times New Roman" w:hAnsi="Times New Roman" w:cs="Times New Roman"/>
          <w:sz w:val="24"/>
          <w:szCs w:val="24"/>
        </w:rPr>
      </w:pPr>
      <w:bookmarkStart w:id="18" w:name="_heading=h.gbkwdto35sl1" w:colFirst="0" w:colLast="0"/>
      <w:bookmarkStart w:id="19" w:name="_heading=h.ctrc18vxiccn" w:colFirst="0" w:colLast="0"/>
      <w:bookmarkStart w:id="20" w:name="_heading=h.o32ixbspho0r" w:colFirst="0" w:colLast="0"/>
      <w:bookmarkEnd w:id="18"/>
      <w:bookmarkEnd w:id="19"/>
      <w:bookmarkEnd w:id="20"/>
      <w:r>
        <w:rPr>
          <w:rFonts w:ascii="Times New Roman" w:eastAsia="Times New Roman" w:hAnsi="Times New Roman" w:cs="Times New Roman"/>
          <w:sz w:val="24"/>
          <w:szCs w:val="24"/>
        </w:rPr>
        <w:t>Thinking about my strengths using Gibbs' cycle has given me insight into how my MBA experiences have helped to build my employability profile in an international setting. My technological competence, collaboration, and resilience easily ranked among the ap</w:t>
      </w:r>
      <w:r>
        <w:rPr>
          <w:rFonts w:ascii="Times New Roman" w:eastAsia="Times New Roman" w:hAnsi="Times New Roman" w:cs="Times New Roman"/>
          <w:sz w:val="24"/>
          <w:szCs w:val="24"/>
        </w:rPr>
        <w:t>parent strengths, and development requirements comprised strategic communication, emotional intelligence, and structured self-learning.</w:t>
      </w:r>
    </w:p>
    <w:p w:rsidR="00CE4021" w:rsidRDefault="00DF3B45">
      <w:pPr>
        <w:spacing w:line="360" w:lineRule="auto"/>
        <w:jc w:val="both"/>
        <w:rPr>
          <w:rFonts w:ascii="Times New Roman" w:eastAsia="Times New Roman" w:hAnsi="Times New Roman" w:cs="Times New Roman"/>
          <w:sz w:val="24"/>
          <w:szCs w:val="24"/>
        </w:rPr>
      </w:pPr>
      <w:bookmarkStart w:id="21" w:name="_GoBack"/>
      <w:bookmarkEnd w:id="21"/>
      <w:r>
        <w:br w:type="page"/>
      </w:r>
    </w:p>
    <w:p w:rsidR="00CE4021" w:rsidRDefault="00DF3B45">
      <w:pPr>
        <w:pStyle w:val="Heading1"/>
        <w:keepNext w:val="0"/>
        <w:keepLines w:val="0"/>
        <w:spacing w:before="0" w:after="360" w:line="360" w:lineRule="auto"/>
        <w:jc w:val="both"/>
        <w:rPr>
          <w:rFonts w:ascii="Times New Roman" w:eastAsia="Times New Roman" w:hAnsi="Times New Roman" w:cs="Times New Roman"/>
          <w:b/>
          <w:sz w:val="28"/>
          <w:szCs w:val="28"/>
        </w:rPr>
      </w:pPr>
      <w:bookmarkStart w:id="22" w:name="_heading=h.es45kbetil2" w:colFirst="0" w:colLast="0"/>
      <w:bookmarkEnd w:id="22"/>
      <w:r>
        <w:rPr>
          <w:rFonts w:ascii="Times New Roman" w:eastAsia="Times New Roman" w:hAnsi="Times New Roman" w:cs="Times New Roman"/>
          <w:b/>
          <w:sz w:val="28"/>
          <w:szCs w:val="28"/>
        </w:rPr>
        <w:lastRenderedPageBreak/>
        <w:t>Reference list</w:t>
      </w:r>
    </w:p>
    <w:p w:rsidR="00CE4021" w:rsidRDefault="00DF3B45">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Ammam</w:t>
      </w:r>
      <w:proofErr w:type="spellEnd"/>
      <w:r>
        <w:rPr>
          <w:rFonts w:ascii="Times New Roman" w:eastAsia="Times New Roman" w:hAnsi="Times New Roman" w:cs="Times New Roman"/>
          <w:sz w:val="24"/>
          <w:szCs w:val="24"/>
        </w:rPr>
        <w:t xml:space="preserve">, R. (2025). Implementation of Ethical AI in Human Resources: A </w:t>
      </w:r>
      <w:r>
        <w:rPr>
          <w:rFonts w:ascii="Times New Roman" w:eastAsia="Times New Roman" w:hAnsi="Times New Roman" w:cs="Times New Roman"/>
          <w:sz w:val="24"/>
          <w:szCs w:val="24"/>
        </w:rPr>
        <w:t xml:space="preserve">Multiple Case Study of Privacy and Transparency Mechanisms in Global Technology Organisations. </w:t>
      </w:r>
      <w:r>
        <w:rPr>
          <w:rFonts w:ascii="Times New Roman" w:eastAsia="Times New Roman" w:hAnsi="Times New Roman" w:cs="Times New Roman"/>
          <w:i/>
          <w:sz w:val="24"/>
          <w:szCs w:val="24"/>
        </w:rPr>
        <w:t xml:space="preserve">International conference on </w:t>
      </w:r>
      <w:proofErr w:type="gramStart"/>
      <w:r>
        <w:rPr>
          <w:rFonts w:ascii="Times New Roman" w:eastAsia="Times New Roman" w:hAnsi="Times New Roman" w:cs="Times New Roman"/>
          <w:i/>
          <w:sz w:val="24"/>
          <w:szCs w:val="24"/>
        </w:rPr>
        <w:t>The</w:t>
      </w:r>
      <w:proofErr w:type="gramEnd"/>
      <w:r>
        <w:rPr>
          <w:rFonts w:ascii="Times New Roman" w:eastAsia="Times New Roman" w:hAnsi="Times New Roman" w:cs="Times New Roman"/>
          <w:i/>
          <w:sz w:val="24"/>
          <w:szCs w:val="24"/>
        </w:rPr>
        <w:t xml:space="preserve"> future visions and trends of human resources management in light of local and international challenges, on 5 and 6 February 2025</w:t>
      </w:r>
      <w:r>
        <w:rPr>
          <w:rFonts w:ascii="Times New Roman" w:eastAsia="Times New Roman" w:hAnsi="Times New Roman" w:cs="Times New Roman"/>
          <w:sz w:val="24"/>
          <w:szCs w:val="24"/>
        </w:rPr>
        <w:t xml:space="preserve">. [online] Available at: </w:t>
      </w:r>
      <w:hyperlink r:id="rId12">
        <w:r>
          <w:rPr>
            <w:rFonts w:ascii="Times New Roman" w:eastAsia="Times New Roman" w:hAnsi="Times New Roman" w:cs="Times New Roman"/>
            <w:color w:val="1155CC"/>
            <w:sz w:val="24"/>
            <w:szCs w:val="24"/>
            <w:u w:val="single"/>
          </w:rPr>
          <w:t>https://www.resea</w:t>
        </w:r>
        <w:r>
          <w:rPr>
            <w:rFonts w:ascii="Times New Roman" w:eastAsia="Times New Roman" w:hAnsi="Times New Roman" w:cs="Times New Roman"/>
            <w:color w:val="1155CC"/>
            <w:sz w:val="24"/>
            <w:szCs w:val="24"/>
            <w:u w:val="single"/>
          </w:rPr>
          <w:t>rchgate.net/publication/388951858_Implementation_of_Ethical_AI_in_Human_Resources_A_Multiple_Case_Study_of_Privacy_and_Transparency_Mechanisms_in_Global_Technology_Organizations</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Arhip</w:t>
      </w:r>
      <w:proofErr w:type="spellEnd"/>
      <w:r>
        <w:rPr>
          <w:rFonts w:ascii="Times New Roman" w:eastAsia="Times New Roman" w:hAnsi="Times New Roman" w:cs="Times New Roman"/>
          <w:sz w:val="24"/>
          <w:szCs w:val="24"/>
        </w:rPr>
        <w:t xml:space="preserve">, B. (2024). </w:t>
      </w:r>
      <w:r>
        <w:rPr>
          <w:rFonts w:ascii="Times New Roman" w:eastAsia="Times New Roman" w:hAnsi="Times New Roman" w:cs="Times New Roman"/>
          <w:i/>
          <w:sz w:val="24"/>
          <w:szCs w:val="24"/>
        </w:rPr>
        <w:t>10 Use Cases of AI in HR with real-world case studies</w:t>
      </w:r>
      <w:r>
        <w:rPr>
          <w:rFonts w:ascii="Times New Roman" w:eastAsia="Times New Roman" w:hAnsi="Times New Roman" w:cs="Times New Roman"/>
          <w:sz w:val="24"/>
          <w:szCs w:val="24"/>
        </w:rPr>
        <w:t>. [on</w:t>
      </w:r>
      <w:r>
        <w:rPr>
          <w:rFonts w:ascii="Times New Roman" w:eastAsia="Times New Roman" w:hAnsi="Times New Roman" w:cs="Times New Roman"/>
          <w:sz w:val="24"/>
          <w:szCs w:val="24"/>
        </w:rPr>
        <w:t xml:space="preserve">line] </w:t>
      </w:r>
      <w:proofErr w:type="spellStart"/>
      <w:r>
        <w:rPr>
          <w:rFonts w:ascii="Times New Roman" w:eastAsia="Times New Roman" w:hAnsi="Times New Roman" w:cs="Times New Roman"/>
          <w:sz w:val="24"/>
          <w:szCs w:val="24"/>
        </w:rPr>
        <w:t>Cubeo</w:t>
      </w:r>
      <w:proofErr w:type="spellEnd"/>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1155CC"/>
            <w:sz w:val="24"/>
            <w:szCs w:val="24"/>
            <w:u w:val="single"/>
          </w:rPr>
          <w:t>https://www.cubeo.ai/10-use-cases-of-ai-in-hr-with-real-world-case-studies</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Barney, J. (1991). Firm Resources and Sustained Competitiv</w:t>
      </w:r>
      <w:r>
        <w:rPr>
          <w:rFonts w:ascii="Times New Roman" w:eastAsia="Times New Roman" w:hAnsi="Times New Roman" w:cs="Times New Roman"/>
          <w:sz w:val="24"/>
          <w:szCs w:val="24"/>
        </w:rPr>
        <w:t xml:space="preserve">e Advantage. </w:t>
      </w:r>
      <w:r>
        <w:rPr>
          <w:rFonts w:ascii="Times New Roman" w:eastAsia="Times New Roman" w:hAnsi="Times New Roman" w:cs="Times New Roman"/>
          <w:i/>
          <w:sz w:val="24"/>
          <w:szCs w:val="24"/>
        </w:rPr>
        <w:t>Journal of Management</w:t>
      </w:r>
      <w:r>
        <w:rPr>
          <w:rFonts w:ascii="Times New Roman" w:eastAsia="Times New Roman" w:hAnsi="Times New Roman" w:cs="Times New Roman"/>
          <w:sz w:val="24"/>
          <w:szCs w:val="24"/>
        </w:rPr>
        <w:t xml:space="preserve">, 17(1), pp.99–120. </w:t>
      </w:r>
      <w:proofErr w:type="spellStart"/>
      <w:r>
        <w:rPr>
          <w:rFonts w:ascii="Times New Roman" w:eastAsia="Times New Roman" w:hAnsi="Times New Roman" w:cs="Times New Roman"/>
          <w:sz w:val="24"/>
          <w:szCs w:val="24"/>
        </w:rPr>
        <w:t>doi:</w:t>
      </w:r>
      <w:hyperlink r:id="rId14">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://doi.org/10.1177/014920639101700108</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Belbin, R.M. (2010). </w:t>
      </w:r>
      <w:r>
        <w:rPr>
          <w:rFonts w:ascii="Times New Roman" w:eastAsia="Times New Roman" w:hAnsi="Times New Roman" w:cs="Times New Roman"/>
          <w:i/>
          <w:sz w:val="24"/>
          <w:szCs w:val="24"/>
        </w:rPr>
        <w:t>Management Teams</w:t>
      </w:r>
      <w:r>
        <w:rPr>
          <w:rFonts w:ascii="Times New Roman" w:eastAsia="Times New Roman" w:hAnsi="Times New Roman" w:cs="Times New Roman"/>
          <w:sz w:val="24"/>
          <w:szCs w:val="24"/>
        </w:rPr>
        <w:t xml:space="preserve">. [online] Routledge. </w:t>
      </w:r>
      <w:proofErr w:type="spellStart"/>
      <w:r>
        <w:rPr>
          <w:rFonts w:ascii="Times New Roman" w:eastAsia="Times New Roman" w:hAnsi="Times New Roman" w:cs="Times New Roman"/>
          <w:sz w:val="24"/>
          <w:szCs w:val="24"/>
        </w:rPr>
        <w:t>Doi:</w:t>
      </w:r>
      <w:hyperlink r:id="rId15">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://doi.org/10.4324/9780080963594</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Edmond, C. (2024). </w:t>
      </w:r>
      <w:r>
        <w:rPr>
          <w:rFonts w:ascii="Times New Roman" w:eastAsia="Times New Roman" w:hAnsi="Times New Roman" w:cs="Times New Roman"/>
          <w:i/>
          <w:sz w:val="24"/>
          <w:szCs w:val="24"/>
        </w:rPr>
        <w:t>What does Industry 4.0 mean for workers?</w:t>
      </w:r>
      <w:r>
        <w:rPr>
          <w:rFonts w:ascii="Times New Roman" w:eastAsia="Times New Roman" w:hAnsi="Times New Roman" w:cs="Times New Roman"/>
          <w:sz w:val="24"/>
          <w:szCs w:val="24"/>
        </w:rPr>
        <w:t xml:space="preserve"> [online] World Economic Forum. Available at: </w:t>
      </w:r>
      <w:hyperlink r:id="rId16">
        <w:r>
          <w:rPr>
            <w:rFonts w:ascii="Times New Roman" w:eastAsia="Times New Roman" w:hAnsi="Times New Roman" w:cs="Times New Roman"/>
            <w:color w:val="1155CC"/>
            <w:sz w:val="24"/>
            <w:szCs w:val="24"/>
            <w:u w:val="single"/>
          </w:rPr>
          <w:t>https://www.weforum.org/stories/2024/01/industry-4-fourth-industrial-revolution-workers</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Fang, Y. and Shao, Z. (2022). The Russia-Ukraine Conflict and Volatility Risk of Commodity Markets. </w:t>
      </w:r>
      <w:r>
        <w:rPr>
          <w:rFonts w:ascii="Times New Roman" w:eastAsia="Times New Roman" w:hAnsi="Times New Roman" w:cs="Times New Roman"/>
          <w:i/>
          <w:sz w:val="24"/>
          <w:szCs w:val="24"/>
        </w:rPr>
        <w:t>Finance Research Letters</w:t>
      </w:r>
      <w:r>
        <w:rPr>
          <w:rFonts w:ascii="Times New Roman" w:eastAsia="Times New Roman" w:hAnsi="Times New Roman" w:cs="Times New Roman"/>
          <w:sz w:val="24"/>
          <w:szCs w:val="24"/>
        </w:rPr>
        <w:t xml:space="preserve">, [online] 50, p.103264. </w:t>
      </w:r>
      <w:proofErr w:type="spellStart"/>
      <w:r>
        <w:rPr>
          <w:rFonts w:ascii="Times New Roman" w:eastAsia="Times New Roman" w:hAnsi="Times New Roman" w:cs="Times New Roman"/>
          <w:sz w:val="24"/>
          <w:szCs w:val="24"/>
        </w:rPr>
        <w:t>doi:</w:t>
      </w:r>
      <w:hyperlink r:id="rId17">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://doi.org/10.1016/j.frl.2022.103264</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Gartner (2024). </w:t>
      </w:r>
      <w:r>
        <w:rPr>
          <w:rFonts w:ascii="Times New Roman" w:eastAsia="Times New Roman" w:hAnsi="Times New Roman" w:cs="Times New Roman"/>
          <w:i/>
          <w:sz w:val="24"/>
          <w:szCs w:val="24"/>
        </w:rPr>
        <w:t>Navigate AI’s Impact on the Workforce Effectively | Gartner</w:t>
      </w:r>
      <w:r>
        <w:rPr>
          <w:rFonts w:ascii="Times New Roman" w:eastAsia="Times New Roman" w:hAnsi="Times New Roman" w:cs="Times New Roman"/>
          <w:sz w:val="24"/>
          <w:szCs w:val="24"/>
        </w:rPr>
        <w:t xml:space="preserve">. [online] Gartner. Available at: </w:t>
      </w:r>
      <w:hyperlink r:id="rId18">
        <w:r>
          <w:rPr>
            <w:rFonts w:ascii="Times New Roman" w:eastAsia="Times New Roman" w:hAnsi="Times New Roman" w:cs="Times New Roman"/>
            <w:color w:val="1155CC"/>
            <w:sz w:val="24"/>
            <w:szCs w:val="24"/>
            <w:u w:val="single"/>
          </w:rPr>
          <w:t>https://www.gartner.com/en/human-resources/trends/ai-in-the-workforce</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Gibbs, G. (2010). </w:t>
      </w:r>
      <w:r>
        <w:rPr>
          <w:rFonts w:ascii="Times New Roman" w:eastAsia="Times New Roman" w:hAnsi="Times New Roman" w:cs="Times New Roman"/>
          <w:i/>
          <w:sz w:val="24"/>
          <w:szCs w:val="24"/>
        </w:rPr>
        <w:t>Using assessment to support student learning. Using assessment to support student learning</w:t>
      </w:r>
      <w:r>
        <w:rPr>
          <w:rFonts w:ascii="Times New Roman" w:eastAsia="Times New Roman" w:hAnsi="Times New Roman" w:cs="Times New Roman"/>
          <w:i/>
          <w:sz w:val="24"/>
          <w:szCs w:val="24"/>
        </w:rPr>
        <w:t xml:space="preserve"> Using assessment to </w:t>
      </w:r>
      <w:proofErr w:type="spellStart"/>
      <w:r>
        <w:rPr>
          <w:rFonts w:ascii="Times New Roman" w:eastAsia="Times New Roman" w:hAnsi="Times New Roman" w:cs="Times New Roman"/>
          <w:i/>
          <w:sz w:val="24"/>
          <w:szCs w:val="24"/>
        </w:rPr>
        <w:t>sUpport</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stUdent</w:t>
      </w:r>
      <w:proofErr w:type="spellEnd"/>
      <w:r>
        <w:rPr>
          <w:rFonts w:ascii="Times New Roman" w:eastAsia="Times New Roman" w:hAnsi="Times New Roman" w:cs="Times New Roman"/>
          <w:i/>
          <w:sz w:val="24"/>
          <w:szCs w:val="24"/>
        </w:rPr>
        <w:t xml:space="preserve"> learning</w:t>
      </w:r>
      <w:r>
        <w:rPr>
          <w:rFonts w:ascii="Times New Roman" w:eastAsia="Times New Roman" w:hAnsi="Times New Roman" w:cs="Times New Roman"/>
          <w:sz w:val="24"/>
          <w:szCs w:val="24"/>
        </w:rPr>
        <w:t xml:space="preserve">. [online] Available at: </w:t>
      </w:r>
      <w:hyperlink r:id="rId19">
        <w:r>
          <w:rPr>
            <w:rFonts w:ascii="Times New Roman" w:eastAsia="Times New Roman" w:hAnsi="Times New Roman" w:cs="Times New Roman"/>
            <w:color w:val="1155CC"/>
            <w:sz w:val="24"/>
            <w:szCs w:val="24"/>
            <w:u w:val="single"/>
          </w:rPr>
          <w:t>https://wordpress.kpu.ca/authenticassessment/files/2021/12/</w:t>
        </w:r>
        <w:r>
          <w:rPr>
            <w:rFonts w:ascii="Times New Roman" w:eastAsia="Times New Roman" w:hAnsi="Times New Roman" w:cs="Times New Roman"/>
            <w:color w:val="1155CC"/>
            <w:sz w:val="24"/>
            <w:szCs w:val="24"/>
            <w:u w:val="single"/>
          </w:rPr>
          <w:t>Using-Assessment-to-Support-Student-Learning.pdf</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Goleman, D. (2001). Emotional intelligence: Issues in paradigm building. </w:t>
      </w:r>
      <w:r>
        <w:rPr>
          <w:rFonts w:ascii="Times New Roman" w:eastAsia="Times New Roman" w:hAnsi="Times New Roman" w:cs="Times New Roman"/>
          <w:i/>
          <w:sz w:val="24"/>
          <w:szCs w:val="24"/>
        </w:rPr>
        <w:t>The emotionally intelligent workplace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 xml:space="preserve">, p.26.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 E. T. (1976). </w:t>
      </w:r>
      <w:r>
        <w:rPr>
          <w:rFonts w:ascii="Times New Roman" w:eastAsia="Times New Roman" w:hAnsi="Times New Roman" w:cs="Times New Roman"/>
          <w:i/>
          <w:sz w:val="24"/>
          <w:szCs w:val="24"/>
        </w:rPr>
        <w:t>Beyond Culture</w:t>
      </w:r>
      <w:r>
        <w:rPr>
          <w:rFonts w:ascii="Times New Roman" w:eastAsia="Times New Roman" w:hAnsi="Times New Roman" w:cs="Times New Roman"/>
          <w:sz w:val="24"/>
          <w:szCs w:val="24"/>
        </w:rPr>
        <w:t>. New York: Anchor Press.</w:t>
      </w:r>
    </w:p>
    <w:p w:rsidR="00CE4021" w:rsidRDefault="00DF3B45">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Hashid</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Almaqtari</w:t>
      </w:r>
      <w:proofErr w:type="spellEnd"/>
      <w:r>
        <w:rPr>
          <w:rFonts w:ascii="Times New Roman" w:eastAsia="Times New Roman" w:hAnsi="Times New Roman" w:cs="Times New Roman"/>
          <w:sz w:val="24"/>
          <w:szCs w:val="24"/>
        </w:rPr>
        <w:t xml:space="preserve">, F.A. (2024). The Impact of Artificial Intelligence and Industry 4.0 on Transforming Accounting and Auditing Practices. </w:t>
      </w:r>
      <w:r>
        <w:rPr>
          <w:rFonts w:ascii="Times New Roman" w:eastAsia="Times New Roman" w:hAnsi="Times New Roman" w:cs="Times New Roman"/>
          <w:i/>
          <w:sz w:val="24"/>
          <w:szCs w:val="24"/>
        </w:rPr>
        <w:t>Journal of Open Innovation: Technology, Market, and Complexity</w:t>
      </w:r>
      <w:r>
        <w:rPr>
          <w:rFonts w:ascii="Times New Roman" w:eastAsia="Times New Roman" w:hAnsi="Times New Roman" w:cs="Times New Roman"/>
          <w:sz w:val="24"/>
          <w:szCs w:val="24"/>
        </w:rPr>
        <w:t xml:space="preserve">, 10(1), pp.100218–100218. </w:t>
      </w:r>
      <w:proofErr w:type="spellStart"/>
      <w:r>
        <w:rPr>
          <w:rFonts w:ascii="Times New Roman" w:eastAsia="Times New Roman" w:hAnsi="Times New Roman" w:cs="Times New Roman"/>
          <w:sz w:val="24"/>
          <w:szCs w:val="24"/>
        </w:rPr>
        <w:t>doi:</w:t>
      </w:r>
      <w:hyperlink r:id="rId20">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://doi.org/10.1016/j.joitmc.2024.100218</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IBM (2025). </w:t>
      </w:r>
      <w:r>
        <w:rPr>
          <w:rFonts w:ascii="Times New Roman" w:eastAsia="Times New Roman" w:hAnsi="Times New Roman" w:cs="Times New Roman"/>
          <w:i/>
          <w:sz w:val="24"/>
          <w:szCs w:val="24"/>
        </w:rPr>
        <w:t xml:space="preserve">IBM’s Nickle </w:t>
      </w:r>
      <w:proofErr w:type="spellStart"/>
      <w:r>
        <w:rPr>
          <w:rFonts w:ascii="Times New Roman" w:eastAsia="Times New Roman" w:hAnsi="Times New Roman" w:cs="Times New Roman"/>
          <w:i/>
          <w:sz w:val="24"/>
          <w:szCs w:val="24"/>
        </w:rPr>
        <w:t>LaMoreaux</w:t>
      </w:r>
      <w:proofErr w:type="spellEnd"/>
      <w:r>
        <w:rPr>
          <w:rFonts w:ascii="Times New Roman" w:eastAsia="Times New Roman" w:hAnsi="Times New Roman" w:cs="Times New Roman"/>
          <w:i/>
          <w:sz w:val="24"/>
          <w:szCs w:val="24"/>
        </w:rPr>
        <w:t xml:space="preserve"> on how AI helped HR put people first - Berkeley Haas</w:t>
      </w:r>
      <w:r>
        <w:rPr>
          <w:rFonts w:ascii="Times New Roman" w:eastAsia="Times New Roman" w:hAnsi="Times New Roman" w:cs="Times New Roman"/>
          <w:sz w:val="24"/>
          <w:szCs w:val="24"/>
        </w:rPr>
        <w:t xml:space="preserve">. [online] Berkeley Haas. Available at: </w:t>
      </w:r>
      <w:hyperlink r:id="rId21">
        <w:r>
          <w:rPr>
            <w:rFonts w:ascii="Times New Roman" w:eastAsia="Times New Roman" w:hAnsi="Times New Roman" w:cs="Times New Roman"/>
            <w:color w:val="1155CC"/>
            <w:sz w:val="24"/>
            <w:szCs w:val="24"/>
            <w:u w:val="single"/>
          </w:rPr>
          <w:t>https://haas.berkeley.edu/culture/culture-kit-podcast/posts/s3-e2-ibms-nickle-lamoreaux-on-how-ai-helped-hr-put-people-first</w:t>
        </w:r>
      </w:hyperlink>
      <w:r>
        <w:rPr>
          <w:rFonts w:ascii="Times New Roman" w:eastAsia="Times New Roman" w:hAnsi="Times New Roman" w:cs="Times New Roman"/>
          <w:sz w:val="24"/>
          <w:szCs w:val="24"/>
        </w:rPr>
        <w:t xml:space="preserve">  [Accessed 9 Oct. 2025]</w:t>
      </w:r>
      <w:r>
        <w:rPr>
          <w:rFonts w:ascii="Times New Roman" w:eastAsia="Times New Roman" w:hAnsi="Times New Roman" w:cs="Times New Roman"/>
          <w:sz w:val="24"/>
          <w:szCs w:val="24"/>
        </w:rPr>
        <w:t>.</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ILOSTAT (2018). </w:t>
      </w:r>
      <w:r>
        <w:rPr>
          <w:rFonts w:ascii="Times New Roman" w:eastAsia="Times New Roman" w:hAnsi="Times New Roman" w:cs="Times New Roman"/>
          <w:i/>
          <w:sz w:val="24"/>
          <w:szCs w:val="24"/>
        </w:rPr>
        <w:t>International Labour Migration Statistics (ILMS database) - ILOSTAT</w:t>
      </w:r>
      <w:r>
        <w:rPr>
          <w:rFonts w:ascii="Times New Roman" w:eastAsia="Times New Roman" w:hAnsi="Times New Roman" w:cs="Times New Roman"/>
          <w:sz w:val="24"/>
          <w:szCs w:val="24"/>
        </w:rPr>
        <w:t>. [online] ILOSTAT. Available at: https://ilostat.ilo.org/methods/concepts-and-definitions/description-international-labour-migration-statistics/.</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Krishna, S.M. and Agrawa</w:t>
      </w:r>
      <w:r>
        <w:rPr>
          <w:rFonts w:ascii="Times New Roman" w:eastAsia="Times New Roman" w:hAnsi="Times New Roman" w:cs="Times New Roman"/>
          <w:sz w:val="24"/>
          <w:szCs w:val="24"/>
        </w:rPr>
        <w:t xml:space="preserve">l, S. (2025). Creative Performance of Millennials and Generation Z: What Matters More, Intrinsic or Extrinsic Rewards? </w:t>
      </w:r>
      <w:r>
        <w:rPr>
          <w:rFonts w:ascii="Times New Roman" w:eastAsia="Times New Roman" w:hAnsi="Times New Roman" w:cs="Times New Roman"/>
          <w:i/>
          <w:sz w:val="24"/>
          <w:szCs w:val="24"/>
        </w:rPr>
        <w:t>Administrative Sciences</w:t>
      </w:r>
      <w:r>
        <w:rPr>
          <w:rFonts w:ascii="Times New Roman" w:eastAsia="Times New Roman" w:hAnsi="Times New Roman" w:cs="Times New Roman"/>
          <w:sz w:val="24"/>
          <w:szCs w:val="24"/>
        </w:rPr>
        <w:t xml:space="preserve">, [online] 15(1), p.11. </w:t>
      </w:r>
      <w:proofErr w:type="spellStart"/>
      <w:r>
        <w:rPr>
          <w:rFonts w:ascii="Times New Roman" w:eastAsia="Times New Roman" w:hAnsi="Times New Roman" w:cs="Times New Roman"/>
          <w:sz w:val="24"/>
          <w:szCs w:val="24"/>
        </w:rPr>
        <w:t>doi:</w:t>
      </w:r>
      <w:hyperlink r:id="rId22">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://doi.org/10.3390/adms</w:t>
        </w:r>
        <w:r>
          <w:rPr>
            <w:rFonts w:ascii="Times New Roman" w:eastAsia="Times New Roman" w:hAnsi="Times New Roman" w:cs="Times New Roman"/>
            <w:color w:val="1155CC"/>
            <w:sz w:val="24"/>
            <w:szCs w:val="24"/>
            <w:u w:val="single"/>
          </w:rPr>
          <w:t>ci15010011</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Laber</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Thamma</w:t>
      </w:r>
      <w:proofErr w:type="spellEnd"/>
      <w:r>
        <w:rPr>
          <w:rFonts w:ascii="Times New Roman" w:eastAsia="Times New Roman" w:hAnsi="Times New Roman" w:cs="Times New Roman"/>
          <w:sz w:val="24"/>
          <w:szCs w:val="24"/>
        </w:rPr>
        <w:t xml:space="preserve">, R. and Kirby, E.D. (2020). The Impact of Warehouse Automation on Amazon’s Success. </w:t>
      </w:r>
      <w:r>
        <w:rPr>
          <w:rFonts w:ascii="Times New Roman" w:eastAsia="Times New Roman" w:hAnsi="Times New Roman" w:cs="Times New Roman"/>
          <w:i/>
          <w:sz w:val="24"/>
          <w:szCs w:val="24"/>
        </w:rPr>
        <w:t>IJISET -International Journal of Innovative Science, Engineering &amp; Technology</w:t>
      </w:r>
      <w:r>
        <w:rPr>
          <w:rFonts w:ascii="Times New Roman" w:eastAsia="Times New Roman" w:hAnsi="Times New Roman" w:cs="Times New Roman"/>
          <w:sz w:val="24"/>
          <w:szCs w:val="24"/>
        </w:rPr>
        <w:t xml:space="preserve">, [online] 7(8), pp.63–70. Available at: </w:t>
      </w:r>
      <w:hyperlink r:id="rId23">
        <w:r>
          <w:rPr>
            <w:rFonts w:ascii="Times New Roman" w:eastAsia="Times New Roman" w:hAnsi="Times New Roman" w:cs="Times New Roman"/>
            <w:color w:val="1155CC"/>
            <w:sz w:val="24"/>
            <w:szCs w:val="24"/>
            <w:u w:val="single"/>
          </w:rPr>
          <w:t>https://ijiset.com/vol7/v7s8/IJISET_V7_I8_07.pdf</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R.E. and Heckman, R.J. (2006). Talent management: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Critical Review. </w:t>
      </w:r>
      <w:r>
        <w:rPr>
          <w:rFonts w:ascii="Times New Roman" w:eastAsia="Times New Roman" w:hAnsi="Times New Roman" w:cs="Times New Roman"/>
          <w:i/>
          <w:sz w:val="24"/>
          <w:szCs w:val="24"/>
        </w:rPr>
        <w:t>Human Resource Management Review</w:t>
      </w:r>
      <w:r>
        <w:rPr>
          <w:rFonts w:ascii="Times New Roman" w:eastAsia="Times New Roman" w:hAnsi="Times New Roman" w:cs="Times New Roman"/>
          <w:sz w:val="24"/>
          <w:szCs w:val="24"/>
        </w:rPr>
        <w:t>, 16(2), pp.139–154.</w:t>
      </w:r>
    </w:p>
    <w:p w:rsidR="00CE4021" w:rsidRDefault="00DF3B45">
      <w:pPr>
        <w:spacing w:after="240" w:line="360" w:lineRule="auto"/>
        <w:rPr>
          <w:rFonts w:ascii="Times New Roman" w:eastAsia="Times New Roman" w:hAnsi="Times New Roman" w:cs="Times New Roman"/>
          <w:sz w:val="24"/>
          <w:szCs w:val="24"/>
        </w:rPr>
      </w:pPr>
      <w:bookmarkStart w:id="23" w:name="_heading=h.jmivwzorcv5" w:colFirst="0" w:colLast="0"/>
      <w:bookmarkEnd w:id="23"/>
      <w:r>
        <w:rPr>
          <w:rFonts w:ascii="Times New Roman" w:eastAsia="Times New Roman" w:hAnsi="Times New Roman" w:cs="Times New Roman"/>
          <w:sz w:val="24"/>
          <w:szCs w:val="24"/>
        </w:rPr>
        <w:t xml:space="preserve">Marr, B. (2021). </w:t>
      </w:r>
      <w:r>
        <w:rPr>
          <w:rFonts w:ascii="Times New Roman" w:eastAsia="Times New Roman" w:hAnsi="Times New Roman" w:cs="Times New Roman"/>
          <w:i/>
          <w:sz w:val="24"/>
          <w:szCs w:val="24"/>
        </w:rPr>
        <w:t>The Amazing Wa</w:t>
      </w:r>
      <w:r>
        <w:rPr>
          <w:rFonts w:ascii="Times New Roman" w:eastAsia="Times New Roman" w:hAnsi="Times New Roman" w:cs="Times New Roman"/>
          <w:i/>
          <w:sz w:val="24"/>
          <w:szCs w:val="24"/>
        </w:rPr>
        <w:t xml:space="preserve">ys How Unilever Uses Artificial Intelligence </w:t>
      </w:r>
      <w:proofErr w:type="gramStart"/>
      <w:r>
        <w:rPr>
          <w:rFonts w:ascii="Times New Roman" w:eastAsia="Times New Roman" w:hAnsi="Times New Roman" w:cs="Times New Roman"/>
          <w:i/>
          <w:sz w:val="24"/>
          <w:szCs w:val="24"/>
        </w:rPr>
        <w:t>To</w:t>
      </w:r>
      <w:proofErr w:type="gramEnd"/>
      <w:r>
        <w:rPr>
          <w:rFonts w:ascii="Times New Roman" w:eastAsia="Times New Roman" w:hAnsi="Times New Roman" w:cs="Times New Roman"/>
          <w:i/>
          <w:sz w:val="24"/>
          <w:szCs w:val="24"/>
        </w:rPr>
        <w:t xml:space="preserve"> Recruit &amp; Train Thousands Of Employees | Bernard Marr</w:t>
      </w:r>
      <w:r>
        <w:rPr>
          <w:rFonts w:ascii="Times New Roman" w:eastAsia="Times New Roman" w:hAnsi="Times New Roman" w:cs="Times New Roman"/>
          <w:sz w:val="24"/>
          <w:szCs w:val="24"/>
        </w:rPr>
        <w:t xml:space="preserve">. [online] Bernard Marr. Available at: </w:t>
      </w:r>
      <w:hyperlink r:id="rId24">
        <w:r>
          <w:rPr>
            <w:rFonts w:ascii="Times New Roman" w:eastAsia="Times New Roman" w:hAnsi="Times New Roman" w:cs="Times New Roman"/>
            <w:color w:val="1155CC"/>
            <w:sz w:val="24"/>
            <w:szCs w:val="24"/>
            <w:u w:val="single"/>
          </w:rPr>
          <w:t>https://bernardmarr.com/the-amazing-ways-how-unilever-uses-artificial-intelligence-to-recruit-train-thousands-of-employees</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McKinsey (2022). </w:t>
      </w:r>
      <w:r>
        <w:rPr>
          <w:rFonts w:ascii="Times New Roman" w:eastAsia="Times New Roman" w:hAnsi="Times New Roman" w:cs="Times New Roman"/>
          <w:i/>
          <w:sz w:val="24"/>
          <w:szCs w:val="24"/>
        </w:rPr>
        <w:t xml:space="preserve">What </w:t>
      </w:r>
      <w:proofErr w:type="gramStart"/>
      <w:r>
        <w:rPr>
          <w:rFonts w:ascii="Times New Roman" w:eastAsia="Times New Roman" w:hAnsi="Times New Roman" w:cs="Times New Roman"/>
          <w:i/>
          <w:sz w:val="24"/>
          <w:szCs w:val="24"/>
        </w:rPr>
        <w:t>are</w:t>
      </w:r>
      <w:proofErr w:type="gramEnd"/>
      <w:r>
        <w:rPr>
          <w:rFonts w:ascii="Times New Roman" w:eastAsia="Times New Roman" w:hAnsi="Times New Roman" w:cs="Times New Roman"/>
          <w:i/>
          <w:sz w:val="24"/>
          <w:szCs w:val="24"/>
        </w:rPr>
        <w:t xml:space="preserve"> Industry 4.0, the Fourth Industrial Revolution, and 4IR?</w:t>
      </w:r>
      <w:r>
        <w:rPr>
          <w:rFonts w:ascii="Times New Roman" w:eastAsia="Times New Roman" w:hAnsi="Times New Roman" w:cs="Times New Roman"/>
          <w:sz w:val="24"/>
          <w:szCs w:val="24"/>
        </w:rPr>
        <w:t xml:space="preserve"> [online] McKinsey &amp; Co</w:t>
      </w:r>
      <w:r>
        <w:rPr>
          <w:rFonts w:ascii="Times New Roman" w:eastAsia="Times New Roman" w:hAnsi="Times New Roman" w:cs="Times New Roman"/>
          <w:sz w:val="24"/>
          <w:szCs w:val="24"/>
        </w:rPr>
        <w:t xml:space="preserve">mpany. Available at: </w:t>
      </w:r>
      <w:hyperlink r:id="rId25">
        <w:r>
          <w:rPr>
            <w:rFonts w:ascii="Times New Roman" w:eastAsia="Times New Roman" w:hAnsi="Times New Roman" w:cs="Times New Roman"/>
            <w:color w:val="1155CC"/>
            <w:sz w:val="24"/>
            <w:szCs w:val="24"/>
            <w:u w:val="single"/>
          </w:rPr>
          <w:t>https://www.mckinsey.com/featured-insights/mckinsey-explainers/what-are-industry-4-0-the-f</w:t>
        </w:r>
        <w:r>
          <w:rPr>
            <w:rFonts w:ascii="Times New Roman" w:eastAsia="Times New Roman" w:hAnsi="Times New Roman" w:cs="Times New Roman"/>
            <w:color w:val="1155CC"/>
            <w:sz w:val="24"/>
            <w:szCs w:val="24"/>
            <w:u w:val="single"/>
          </w:rPr>
          <w:t>ourth-industrial-revolution-and-4ir</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Milberg, T. (2023). </w:t>
      </w:r>
      <w:r>
        <w:rPr>
          <w:rFonts w:ascii="Times New Roman" w:eastAsia="Times New Roman" w:hAnsi="Times New Roman" w:cs="Times New Roman"/>
          <w:i/>
          <w:sz w:val="24"/>
          <w:szCs w:val="24"/>
        </w:rPr>
        <w:t>By 2030, 1 billion people will learn the skills of the future</w:t>
      </w:r>
      <w:r>
        <w:rPr>
          <w:rFonts w:ascii="Times New Roman" w:eastAsia="Times New Roman" w:hAnsi="Times New Roman" w:cs="Times New Roman"/>
          <w:sz w:val="24"/>
          <w:szCs w:val="24"/>
        </w:rPr>
        <w:t xml:space="preserve">. [online] World Economic Forum. Available at: </w:t>
      </w:r>
      <w:hyperlink r:id="rId26">
        <w:r>
          <w:rPr>
            <w:rFonts w:ascii="Times New Roman" w:eastAsia="Times New Roman" w:hAnsi="Times New Roman" w:cs="Times New Roman"/>
            <w:color w:val="1155CC"/>
            <w:sz w:val="24"/>
            <w:szCs w:val="24"/>
            <w:u w:val="single"/>
          </w:rPr>
          <w:t>https://www.weforum.org/stories/2023/04/growth-summit-2023-by-2030-1-billion-people-will-be-equipped-with-t</w:t>
        </w:r>
        <w:r>
          <w:rPr>
            <w:rFonts w:ascii="Times New Roman" w:eastAsia="Times New Roman" w:hAnsi="Times New Roman" w:cs="Times New Roman"/>
            <w:color w:val="1155CC"/>
            <w:sz w:val="24"/>
            <w:szCs w:val="24"/>
            <w:u w:val="single"/>
          </w:rPr>
          <w:t>he-skills-of-the-future/</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(2023). </w:t>
      </w:r>
      <w:r>
        <w:rPr>
          <w:rFonts w:ascii="Times New Roman" w:eastAsia="Times New Roman" w:hAnsi="Times New Roman" w:cs="Times New Roman"/>
          <w:i/>
          <w:sz w:val="24"/>
          <w:szCs w:val="24"/>
        </w:rPr>
        <w:t>International migration trends</w:t>
      </w:r>
      <w:r>
        <w:rPr>
          <w:rFonts w:ascii="Times New Roman" w:eastAsia="Times New Roman" w:hAnsi="Times New Roman" w:cs="Times New Roman"/>
          <w:sz w:val="24"/>
          <w:szCs w:val="24"/>
        </w:rPr>
        <w:t xml:space="preserve">. [online] OECD. Available at: </w:t>
      </w:r>
      <w:hyperlink r:id="rId27">
        <w:r>
          <w:rPr>
            <w:rFonts w:ascii="Times New Roman" w:eastAsia="Times New Roman" w:hAnsi="Times New Roman" w:cs="Times New Roman"/>
            <w:color w:val="1155CC"/>
            <w:sz w:val="24"/>
            <w:szCs w:val="24"/>
            <w:u w:val="single"/>
          </w:rPr>
          <w:t>https://www.oecd.org/en/topics/sub-issues/international-mi</w:t>
        </w:r>
        <w:r>
          <w:rPr>
            <w:rFonts w:ascii="Times New Roman" w:eastAsia="Times New Roman" w:hAnsi="Times New Roman" w:cs="Times New Roman"/>
            <w:color w:val="1155CC"/>
            <w:sz w:val="24"/>
            <w:szCs w:val="24"/>
            <w:u w:val="single"/>
          </w:rPr>
          <w:t>gration-trends.html</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(2025). </w:t>
      </w:r>
      <w:r>
        <w:rPr>
          <w:rFonts w:ascii="Times New Roman" w:eastAsia="Times New Roman" w:hAnsi="Times New Roman" w:cs="Times New Roman"/>
          <w:i/>
          <w:sz w:val="24"/>
          <w:szCs w:val="24"/>
        </w:rPr>
        <w:t>OECD Employment Outlook 2025: Bouncing back, but on shaky ground: Wages continue to recover in uncertain labour markets</w:t>
      </w:r>
      <w:r>
        <w:rPr>
          <w:rFonts w:ascii="Times New Roman" w:eastAsia="Times New Roman" w:hAnsi="Times New Roman" w:cs="Times New Roman"/>
          <w:sz w:val="24"/>
          <w:szCs w:val="24"/>
        </w:rPr>
        <w:t xml:space="preserve">. [online] OECD. Available at: </w:t>
      </w:r>
      <w:hyperlink r:id="rId28">
        <w:r>
          <w:rPr>
            <w:rFonts w:ascii="Times New Roman" w:eastAsia="Times New Roman" w:hAnsi="Times New Roman" w:cs="Times New Roman"/>
            <w:color w:val="1155CC"/>
            <w:sz w:val="24"/>
            <w:szCs w:val="24"/>
            <w:u w:val="single"/>
          </w:rPr>
          <w:t>https://www.oecd.org/en/publications/2025/07/oecd-employment-outlook-2025_5345f034/full-report/component-5.html</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Ramos, M.E., Garza-Rodríguez, J. and </w:t>
      </w:r>
      <w:proofErr w:type="spellStart"/>
      <w:r>
        <w:rPr>
          <w:rFonts w:ascii="Times New Roman" w:eastAsia="Times New Roman" w:hAnsi="Times New Roman" w:cs="Times New Roman"/>
          <w:sz w:val="24"/>
          <w:szCs w:val="24"/>
        </w:rPr>
        <w:t>Gibaja</w:t>
      </w:r>
      <w:proofErr w:type="spellEnd"/>
      <w:r>
        <w:rPr>
          <w:rFonts w:ascii="Times New Roman" w:eastAsia="Times New Roman" w:hAnsi="Times New Roman" w:cs="Times New Roman"/>
          <w:sz w:val="24"/>
          <w:szCs w:val="24"/>
        </w:rPr>
        <w:t>-Romero, D.E. (2022). Automation of emp</w:t>
      </w:r>
      <w:r>
        <w:rPr>
          <w:rFonts w:ascii="Times New Roman" w:eastAsia="Times New Roman" w:hAnsi="Times New Roman" w:cs="Times New Roman"/>
          <w:sz w:val="24"/>
          <w:szCs w:val="24"/>
        </w:rPr>
        <w:t xml:space="preserve">loyment in the presence of Industry 4.0: The case of Mexico. </w:t>
      </w:r>
      <w:r>
        <w:rPr>
          <w:rFonts w:ascii="Times New Roman" w:eastAsia="Times New Roman" w:hAnsi="Times New Roman" w:cs="Times New Roman"/>
          <w:i/>
          <w:sz w:val="24"/>
          <w:szCs w:val="24"/>
        </w:rPr>
        <w:t>Technology in Society</w:t>
      </w:r>
      <w:r>
        <w:rPr>
          <w:rFonts w:ascii="Times New Roman" w:eastAsia="Times New Roman" w:hAnsi="Times New Roman" w:cs="Times New Roman"/>
          <w:sz w:val="24"/>
          <w:szCs w:val="24"/>
        </w:rPr>
        <w:t xml:space="preserve">, 68, p.101837. </w:t>
      </w:r>
      <w:proofErr w:type="spellStart"/>
      <w:r>
        <w:rPr>
          <w:rFonts w:ascii="Times New Roman" w:eastAsia="Times New Roman" w:hAnsi="Times New Roman" w:cs="Times New Roman"/>
          <w:sz w:val="24"/>
          <w:szCs w:val="24"/>
        </w:rPr>
        <w:t>doi:</w:t>
      </w:r>
      <w:hyperlink r:id="rId29">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://doi.org/10.1016/j.techsoc.2021.101837</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Senge, P.M. (1990). </w:t>
      </w:r>
      <w:r>
        <w:rPr>
          <w:rFonts w:ascii="Times New Roman" w:eastAsia="Times New Roman" w:hAnsi="Times New Roman" w:cs="Times New Roman"/>
          <w:i/>
          <w:sz w:val="24"/>
          <w:szCs w:val="24"/>
        </w:rPr>
        <w:t xml:space="preserve">The art and practice </w:t>
      </w:r>
      <w:r>
        <w:rPr>
          <w:rFonts w:ascii="Times New Roman" w:eastAsia="Times New Roman" w:hAnsi="Times New Roman" w:cs="Times New Roman"/>
          <w:i/>
          <w:sz w:val="24"/>
          <w:szCs w:val="24"/>
        </w:rPr>
        <w:t>of the learning organisation</w:t>
      </w:r>
      <w:r>
        <w:rPr>
          <w:rFonts w:ascii="Times New Roman" w:eastAsia="Times New Roman" w:hAnsi="Times New Roman" w:cs="Times New Roman"/>
          <w:sz w:val="24"/>
          <w:szCs w:val="24"/>
        </w:rPr>
        <w:t xml:space="preserve"> (Vol. 1). New York: Doubleday.</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Singh, R. and Bhushan, Dr V. (2023). The global workforce revolution: Exploring digital labour platforms and the gig economy in the era of globalisation. </w:t>
      </w:r>
      <w:r>
        <w:rPr>
          <w:rFonts w:ascii="Times New Roman" w:eastAsia="Times New Roman" w:hAnsi="Times New Roman" w:cs="Times New Roman"/>
          <w:i/>
          <w:sz w:val="24"/>
          <w:szCs w:val="24"/>
        </w:rPr>
        <w:t>International Journal of Civil Law and Leg</w:t>
      </w:r>
      <w:r>
        <w:rPr>
          <w:rFonts w:ascii="Times New Roman" w:eastAsia="Times New Roman" w:hAnsi="Times New Roman" w:cs="Times New Roman"/>
          <w:i/>
          <w:sz w:val="24"/>
          <w:szCs w:val="24"/>
        </w:rPr>
        <w:t>al Research</w:t>
      </w:r>
      <w:r>
        <w:rPr>
          <w:rFonts w:ascii="Times New Roman" w:eastAsia="Times New Roman" w:hAnsi="Times New Roman" w:cs="Times New Roman"/>
          <w:sz w:val="24"/>
          <w:szCs w:val="24"/>
        </w:rPr>
        <w:t xml:space="preserve">, [online] 3(2), pp.19–27. </w:t>
      </w:r>
      <w:proofErr w:type="spellStart"/>
      <w:r>
        <w:rPr>
          <w:rFonts w:ascii="Times New Roman" w:eastAsia="Times New Roman" w:hAnsi="Times New Roman" w:cs="Times New Roman"/>
          <w:sz w:val="24"/>
          <w:szCs w:val="24"/>
        </w:rPr>
        <w:t>doi:</w:t>
      </w:r>
      <w:hyperlink r:id="rId30">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://doi.org/10.22271/civillaw.2023.v3.i2a.52</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Szabó-Szentgróti</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Végvári</w:t>
      </w:r>
      <w:proofErr w:type="spellEnd"/>
      <w:r>
        <w:rPr>
          <w:rFonts w:ascii="Times New Roman" w:eastAsia="Times New Roman" w:hAnsi="Times New Roman" w:cs="Times New Roman"/>
          <w:sz w:val="24"/>
          <w:szCs w:val="24"/>
        </w:rPr>
        <w:t xml:space="preserve">, B. and </w:t>
      </w:r>
      <w:proofErr w:type="spellStart"/>
      <w:r>
        <w:rPr>
          <w:rFonts w:ascii="Times New Roman" w:eastAsia="Times New Roman" w:hAnsi="Times New Roman" w:cs="Times New Roman"/>
          <w:sz w:val="24"/>
          <w:szCs w:val="24"/>
        </w:rPr>
        <w:t>Varga</w:t>
      </w:r>
      <w:proofErr w:type="spellEnd"/>
      <w:r>
        <w:rPr>
          <w:rFonts w:ascii="Times New Roman" w:eastAsia="Times New Roman" w:hAnsi="Times New Roman" w:cs="Times New Roman"/>
          <w:sz w:val="24"/>
          <w:szCs w:val="24"/>
        </w:rPr>
        <w:t>, J. (2021). Impact of Industry 4.0 and Digitisation</w:t>
      </w:r>
      <w:r>
        <w:rPr>
          <w:rFonts w:ascii="Times New Roman" w:eastAsia="Times New Roman" w:hAnsi="Times New Roman" w:cs="Times New Roman"/>
          <w:sz w:val="24"/>
          <w:szCs w:val="24"/>
        </w:rPr>
        <w:t xml:space="preserve"> on the Labour Market for 2030-Verification of Keynes’ Prediction.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13(14), p.7703. </w:t>
      </w:r>
      <w:proofErr w:type="spellStart"/>
      <w:r>
        <w:rPr>
          <w:rFonts w:ascii="Times New Roman" w:eastAsia="Times New Roman" w:hAnsi="Times New Roman" w:cs="Times New Roman"/>
          <w:sz w:val="24"/>
          <w:szCs w:val="24"/>
        </w:rPr>
        <w:t>doi:</w:t>
      </w:r>
      <w:hyperlink r:id="rId3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://doi.org/10.3390/su13147703</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Tuckman, B. (1965). </w:t>
      </w:r>
      <w:r>
        <w:rPr>
          <w:rFonts w:ascii="Times New Roman" w:eastAsia="Times New Roman" w:hAnsi="Times New Roman" w:cs="Times New Roman"/>
          <w:i/>
          <w:sz w:val="24"/>
          <w:szCs w:val="24"/>
        </w:rPr>
        <w:t>Developmental sequence in small groups</w:t>
      </w:r>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Ul</w:t>
      </w:r>
      <w:r>
        <w:rPr>
          <w:rFonts w:ascii="Times New Roman" w:eastAsia="Times New Roman" w:hAnsi="Times New Roman" w:cs="Times New Roman"/>
          <w:sz w:val="24"/>
          <w:szCs w:val="24"/>
        </w:rPr>
        <w:t xml:space="preserve">lah, </w:t>
      </w:r>
      <w:proofErr w:type="spellStart"/>
      <w:r>
        <w:rPr>
          <w:rFonts w:ascii="Times New Roman" w:eastAsia="Times New Roman" w:hAnsi="Times New Roman" w:cs="Times New Roman"/>
          <w:sz w:val="24"/>
          <w:szCs w:val="24"/>
        </w:rPr>
        <w:t>zia</w:t>
      </w:r>
      <w:proofErr w:type="spellEnd"/>
      <w:r>
        <w:rPr>
          <w:rFonts w:ascii="Times New Roman" w:eastAsia="Times New Roman" w:hAnsi="Times New Roman" w:cs="Times New Roman"/>
          <w:sz w:val="24"/>
          <w:szCs w:val="24"/>
        </w:rPr>
        <w:t xml:space="preserve">, Pires, E., Reis, A., Nunes, R.R., Khan, A. and </w:t>
      </w:r>
      <w:proofErr w:type="spellStart"/>
      <w:r>
        <w:rPr>
          <w:rFonts w:ascii="Times New Roman" w:eastAsia="Times New Roman" w:hAnsi="Times New Roman" w:cs="Times New Roman"/>
          <w:sz w:val="24"/>
          <w:szCs w:val="24"/>
        </w:rPr>
        <w:t>Bsrroso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joão</w:t>
      </w:r>
      <w:proofErr w:type="spellEnd"/>
      <w:r>
        <w:rPr>
          <w:rFonts w:ascii="Times New Roman" w:eastAsia="Times New Roman" w:hAnsi="Times New Roman" w:cs="Times New Roman"/>
          <w:sz w:val="24"/>
          <w:szCs w:val="24"/>
        </w:rPr>
        <w:t xml:space="preserve"> (2025). Artificial Intelligence Transformative Power in the Fourth Industry Industrial Revolution: A Systematic Review of Process and Workforce Impact. </w:t>
      </w:r>
      <w:proofErr w:type="spellStart"/>
      <w:r>
        <w:rPr>
          <w:rFonts w:ascii="Times New Roman" w:eastAsia="Times New Roman" w:hAnsi="Times New Roman" w:cs="Times New Roman"/>
          <w:sz w:val="24"/>
          <w:szCs w:val="24"/>
        </w:rPr>
        <w:t>Doi:</w:t>
      </w:r>
      <w:hyperlink r:id="rId32">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://doi.org/10.2139/ssrn.5079230</w:t>
        </w:r>
      </w:hyperlink>
      <w:r>
        <w:rPr>
          <w:rFonts w:ascii="Times New Roman" w:eastAsia="Times New Roman" w:hAnsi="Times New Roman" w:cs="Times New Roman"/>
          <w:sz w:val="24"/>
          <w:szCs w:val="24"/>
        </w:rPr>
        <w:t xml:space="preserve">. </w:t>
      </w:r>
    </w:p>
    <w:p w:rsidR="00CE4021" w:rsidRDefault="00DF3B45">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X., Chen, M. and Chen, N. (2024). How artificial intelligence affects the labour force employment structure from the perspective of industrial structure optimisation. </w:t>
      </w:r>
      <w:proofErr w:type="spellStart"/>
      <w:r>
        <w:rPr>
          <w:rFonts w:ascii="Times New Roman" w:eastAsia="Times New Roman" w:hAnsi="Times New Roman" w:cs="Times New Roman"/>
          <w:i/>
          <w:sz w:val="24"/>
          <w:szCs w:val="24"/>
        </w:rPr>
        <w:t>Heliyon</w:t>
      </w:r>
      <w:proofErr w:type="spellEnd"/>
      <w:r>
        <w:rPr>
          <w:rFonts w:ascii="Times New Roman" w:eastAsia="Times New Roman" w:hAnsi="Times New Roman" w:cs="Times New Roman"/>
          <w:sz w:val="24"/>
          <w:szCs w:val="24"/>
        </w:rPr>
        <w:t>, [online]</w:t>
      </w:r>
      <w:r>
        <w:rPr>
          <w:rFonts w:ascii="Times New Roman" w:eastAsia="Times New Roman" w:hAnsi="Times New Roman" w:cs="Times New Roman"/>
          <w:sz w:val="24"/>
          <w:szCs w:val="24"/>
        </w:rPr>
        <w:t xml:space="preserve"> 10(5),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 xml:space="preserve">26686–e26686. </w:t>
      </w:r>
      <w:proofErr w:type="spellStart"/>
      <w:r>
        <w:rPr>
          <w:rFonts w:ascii="Times New Roman" w:eastAsia="Times New Roman" w:hAnsi="Times New Roman" w:cs="Times New Roman"/>
          <w:sz w:val="24"/>
          <w:szCs w:val="24"/>
        </w:rPr>
        <w:t>Doi:</w:t>
      </w:r>
      <w:hyperlink r:id="rId3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://doi.org/10.1016/j.heliyon.2024.e26686</w:t>
        </w:r>
      </w:hyperlink>
      <w:r>
        <w:rPr>
          <w:rFonts w:ascii="Times New Roman" w:eastAsia="Times New Roman" w:hAnsi="Times New Roman" w:cs="Times New Roman"/>
          <w:sz w:val="24"/>
          <w:szCs w:val="24"/>
        </w:rPr>
        <w:t xml:space="preserve">. </w:t>
      </w:r>
    </w:p>
    <w:p w:rsidR="00CE4021" w:rsidRDefault="00CE4021">
      <w:pPr>
        <w:spacing w:line="360" w:lineRule="auto"/>
        <w:jc w:val="both"/>
        <w:rPr>
          <w:rFonts w:ascii="Times New Roman" w:eastAsia="Times New Roman" w:hAnsi="Times New Roman" w:cs="Times New Roman"/>
          <w:sz w:val="24"/>
          <w:szCs w:val="24"/>
        </w:rPr>
      </w:pPr>
    </w:p>
    <w:sectPr w:rsidR="00CE4021">
      <w:head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3B45" w:rsidRDefault="00DF3B45">
      <w:pPr>
        <w:spacing w:line="240" w:lineRule="auto"/>
      </w:pPr>
      <w:r>
        <w:separator/>
      </w:r>
    </w:p>
  </w:endnote>
  <w:endnote w:type="continuationSeparator" w:id="0">
    <w:p w:rsidR="00DF3B45" w:rsidRDefault="00DF3B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1"/>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3B45" w:rsidRDefault="00DF3B45">
      <w:pPr>
        <w:spacing w:line="240" w:lineRule="auto"/>
      </w:pPr>
      <w:r>
        <w:separator/>
      </w:r>
    </w:p>
  </w:footnote>
  <w:footnote w:type="continuationSeparator" w:id="0">
    <w:p w:rsidR="00DF3B45" w:rsidRDefault="00DF3B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4021" w:rsidRDefault="00DF3B45">
    <w:r>
      <w:rPr>
        <w:noProof/>
      </w:rPr>
      <w:drawing>
        <wp:inline distT="0" distB="0" distL="0" distR="0">
          <wp:extent cx="1201529" cy="546380"/>
          <wp:effectExtent l="9525" t="9525" r="9525" b="9525"/>
          <wp:docPr id="410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
                  <a:srcRect/>
                  <a:stretch>
                    <a:fillRect/>
                  </a:stretch>
                </pic:blipFill>
                <pic:spPr>
                  <a:xfrm>
                    <a:off x="0" y="0"/>
                    <a:ext cx="1201529" cy="546380"/>
                  </a:xfrm>
                  <a:prstGeom prst="rect">
                    <a:avLst/>
                  </a:prstGeom>
                  <a:ln w="9525">
                    <a:solidFill>
                      <a:srgbClr val="000000"/>
                    </a:solidFill>
                    <a:prstDash val="soli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A7744B"/>
    <w:multiLevelType w:val="multilevel"/>
    <w:tmpl w:val="65C47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021"/>
    <w:rsid w:val="001B7041"/>
    <w:rsid w:val="00CE4021"/>
    <w:rsid w:val="00DF3B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2F3944D6"/>
  <w15:docId w15:val="{F3EFE126-CAAB-004D-82CF-86C7617D3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Header">
    <w:name w:val="header"/>
    <w:basedOn w:val="Normal"/>
    <w:link w:val="HeaderChar"/>
    <w:uiPriority w:val="99"/>
    <w:unhideWhenUsed/>
    <w:rsid w:val="00DA2F0C"/>
    <w:pPr>
      <w:tabs>
        <w:tab w:val="center" w:pos="4680"/>
        <w:tab w:val="right" w:pos="9360"/>
      </w:tabs>
      <w:spacing w:line="240" w:lineRule="auto"/>
    </w:pPr>
  </w:style>
  <w:style w:type="character" w:customStyle="1" w:styleId="HeaderChar">
    <w:name w:val="Header Char"/>
    <w:basedOn w:val="DefaultParagraphFont"/>
    <w:link w:val="Header"/>
    <w:uiPriority w:val="99"/>
    <w:rsid w:val="00DA2F0C"/>
  </w:style>
  <w:style w:type="paragraph" w:styleId="Footer">
    <w:name w:val="footer"/>
    <w:basedOn w:val="Normal"/>
    <w:link w:val="FooterChar"/>
    <w:uiPriority w:val="99"/>
    <w:unhideWhenUsed/>
    <w:rsid w:val="00DA2F0C"/>
    <w:pPr>
      <w:tabs>
        <w:tab w:val="center" w:pos="4680"/>
        <w:tab w:val="right" w:pos="9360"/>
      </w:tabs>
      <w:spacing w:line="240" w:lineRule="auto"/>
    </w:pPr>
  </w:style>
  <w:style w:type="character" w:customStyle="1" w:styleId="FooterChar">
    <w:name w:val="Footer Char"/>
    <w:basedOn w:val="DefaultParagraphFont"/>
    <w:link w:val="Footer"/>
    <w:uiPriority w:val="99"/>
    <w:rsid w:val="00DA2F0C"/>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www.cubeo.ai/10-use-cases-of-ai-in-hr-with-real-world-case-studies" TargetMode="External"/><Relationship Id="rId18" Type="http://schemas.openxmlformats.org/officeDocument/2006/relationships/hyperlink" Target="https://www.gartner.com/en/human-resources/trends/ai-in-the-workforce" TargetMode="External"/><Relationship Id="rId26" Type="http://schemas.openxmlformats.org/officeDocument/2006/relationships/hyperlink" Target="https://www.weforum.org/stories/2023/04/growth-summit-2023-by-2030-1-billion-people-will-be-equipped-with-the-skills-of-the-future/" TargetMode="External"/><Relationship Id="rId3" Type="http://schemas.openxmlformats.org/officeDocument/2006/relationships/styles" Target="styles.xml"/><Relationship Id="rId21" Type="http://schemas.openxmlformats.org/officeDocument/2006/relationships/hyperlink" Target="https://haas.berkeley.edu/culture/culture-kit-podcast/posts/s3-e2-ibms-nickle-lamoreaux-on-how-ai-helped-hr-put-people-first"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researchgate.net/publication/388951858_Implementation_of_Ethical_AI_in_Human_Resources_A_Multiple_Case_Study_of_Privacy_and_Transparency_Mechanisms_in_Global_Technology_Organizations" TargetMode="External"/><Relationship Id="rId17" Type="http://schemas.openxmlformats.org/officeDocument/2006/relationships/hyperlink" Target="https://doi.org/10.1016/j.frl.2022.103264" TargetMode="External"/><Relationship Id="rId25" Type="http://schemas.openxmlformats.org/officeDocument/2006/relationships/hyperlink" Target="https://www.mckinsey.com/featured-insights/mckinsey-explainers/what-are-industry-4-0-the-fourth-industrial-revolution-and-4ir" TargetMode="External"/><Relationship Id="rId33" Type="http://schemas.openxmlformats.org/officeDocument/2006/relationships/hyperlink" Target="https://doi.org/10.1016/j.heliyon.2024.e26686" TargetMode="External"/><Relationship Id="rId2" Type="http://schemas.openxmlformats.org/officeDocument/2006/relationships/numbering" Target="numbering.xml"/><Relationship Id="rId16" Type="http://schemas.openxmlformats.org/officeDocument/2006/relationships/hyperlink" Target="https://www.weforum.org/stories/2024/01/industry-4-fourth-industrial-revolution-workers" TargetMode="External"/><Relationship Id="rId20" Type="http://schemas.openxmlformats.org/officeDocument/2006/relationships/hyperlink" Target="https://doi.org/10.1016/j.joitmc.2024.100218" TargetMode="External"/><Relationship Id="rId29" Type="http://schemas.openxmlformats.org/officeDocument/2006/relationships/hyperlink" Target="https://doi.org/10.1016/j.techsoc.2021.1018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ernardmarr.com/the-amazing-ways-how-unilever-uses-artificial-intelligence-to-recruit-train-thousands-of-employees" TargetMode="External"/><Relationship Id="rId32" Type="http://schemas.openxmlformats.org/officeDocument/2006/relationships/hyperlink" Target="https://doi.org/10.2139/ssrn.5079230" TargetMode="External"/><Relationship Id="rId5" Type="http://schemas.openxmlformats.org/officeDocument/2006/relationships/webSettings" Target="webSettings.xml"/><Relationship Id="rId15" Type="http://schemas.openxmlformats.org/officeDocument/2006/relationships/hyperlink" Target="https://doi.org/10.4324/9780080963594" TargetMode="External"/><Relationship Id="rId23" Type="http://schemas.openxmlformats.org/officeDocument/2006/relationships/hyperlink" Target="https://ijiset.com/vol7/v7s8/IJISET_V7_I8_07.pdf" TargetMode="External"/><Relationship Id="rId28" Type="http://schemas.openxmlformats.org/officeDocument/2006/relationships/hyperlink" Target="https://www.oecd.org/en/publications/2025/07/oecd-employment-outlook-2025_5345f034/full-report/component-5.htm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ordpress.kpu.ca/authenticassessment/files/2021/12/Using-Assessment-to-Support-Student-Learning.pdf" TargetMode="External"/><Relationship Id="rId31" Type="http://schemas.openxmlformats.org/officeDocument/2006/relationships/hyperlink" Target="https://doi.org/10.3390/su131477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14920639101700108" TargetMode="External"/><Relationship Id="rId22" Type="http://schemas.openxmlformats.org/officeDocument/2006/relationships/hyperlink" Target="https://doi.org/10.3390/admsci15010011" TargetMode="External"/><Relationship Id="rId27" Type="http://schemas.openxmlformats.org/officeDocument/2006/relationships/hyperlink" Target="https://www.oecd.org/en/topics/sub-issues/international-migration-trends.html" TargetMode="External"/><Relationship Id="rId30" Type="http://schemas.openxmlformats.org/officeDocument/2006/relationships/hyperlink" Target="https://doi.org/10.22271/civillaw.2023.v3.i2a.52" TargetMode="External"/><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rtxiWZwwd+GXyV34dNkh8IFgMA==">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4312</Words>
  <Characters>24581</Characters>
  <Application>Microsoft Office Word</Application>
  <DocSecurity>0</DocSecurity>
  <Lines>204</Lines>
  <Paragraphs>57</Paragraphs>
  <ScaleCrop>false</ScaleCrop>
  <Company/>
  <LinksUpToDate>false</LinksUpToDate>
  <CharactersWithSpaces>28836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Microsoft Office User</cp:lastModifiedBy>
  <cp:revision>2</cp:revision>
  <dcterms:created xsi:type="dcterms:W3CDTF">2025-10-15T12:40:00Z</dcterms:created>
  <dcterms:modified xsi:type="dcterms:W3CDTF">2025-10-15T12:40:00Z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b6a959f2185844f6a6ae8d726f762afc</vt:lpwstr>
  </property>
</Properties>
</file>