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BC7174" w14:textId="10B4913A" w:rsidR="00552B25" w:rsidRPr="00B42D64" w:rsidRDefault="00FA4AFB" w:rsidP="007C31F1">
      <w:pPr>
        <w:rPr>
          <w:rStyle w:val="Strong"/>
        </w:rPr>
      </w:pPr>
      <w:r w:rsidRPr="00B42D64">
        <w:rPr>
          <w:rStyle w:val="Strong"/>
        </w:rPr>
        <w:drawing>
          <wp:inline distT="0" distB="0" distL="0" distR="0" wp14:anchorId="7A3405B4" wp14:editId="38CBCDF7">
            <wp:extent cx="5730875" cy="1987550"/>
            <wp:effectExtent l="0" t="0" r="3175" b="0"/>
            <wp:docPr id="1007618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1987550"/>
                    </a:xfrm>
                    <a:prstGeom prst="rect">
                      <a:avLst/>
                    </a:prstGeom>
                    <a:noFill/>
                  </pic:spPr>
                </pic:pic>
              </a:graphicData>
            </a:graphic>
          </wp:inline>
        </w:drawing>
      </w:r>
    </w:p>
    <w:p w14:paraId="05EDAA4F" w14:textId="77777777" w:rsidR="00FA4AFB" w:rsidRPr="00B42D64" w:rsidRDefault="00FA4AFB" w:rsidP="0013506F">
      <w:pPr>
        <w:spacing w:line="360" w:lineRule="auto"/>
        <w:rPr>
          <w:rStyle w:val="Strong"/>
        </w:rPr>
      </w:pPr>
    </w:p>
    <w:p w14:paraId="0E29B1E1" w14:textId="2A4995F1" w:rsidR="00FA4AFB" w:rsidRPr="00B42D64" w:rsidRDefault="00FA4AFB" w:rsidP="00637B34">
      <w:pPr>
        <w:spacing w:line="360" w:lineRule="auto"/>
        <w:jc w:val="center"/>
        <w:rPr>
          <w:rFonts w:cs="Arial"/>
          <w:sz w:val="24"/>
          <w:szCs w:val="24"/>
        </w:rPr>
      </w:pPr>
      <w:r w:rsidRPr="00B42D64">
        <w:rPr>
          <w:rFonts w:cs="Arial"/>
          <w:sz w:val="24"/>
          <w:szCs w:val="24"/>
        </w:rPr>
        <w:t>Darrell Byrne</w:t>
      </w:r>
    </w:p>
    <w:p w14:paraId="724A1E09" w14:textId="77777777" w:rsidR="00637B34" w:rsidRPr="00637B34" w:rsidRDefault="00637B34" w:rsidP="00637B34">
      <w:pPr>
        <w:spacing w:line="360" w:lineRule="auto"/>
        <w:jc w:val="center"/>
        <w:rPr>
          <w:rFonts w:cs="Arial"/>
          <w:sz w:val="24"/>
          <w:szCs w:val="24"/>
        </w:rPr>
      </w:pPr>
      <w:r w:rsidRPr="00637B34">
        <w:rPr>
          <w:rFonts w:cs="Arial"/>
          <w:sz w:val="24"/>
          <w:szCs w:val="24"/>
        </w:rPr>
        <w:t>MODULE CODE: ACMA4018</w:t>
      </w:r>
    </w:p>
    <w:p w14:paraId="206F2207" w14:textId="43A77F1B" w:rsidR="00637B34" w:rsidRPr="00637B34" w:rsidRDefault="00637B34" w:rsidP="00637B34">
      <w:pPr>
        <w:spacing w:line="360" w:lineRule="auto"/>
        <w:jc w:val="center"/>
        <w:rPr>
          <w:rFonts w:cs="Arial"/>
          <w:sz w:val="24"/>
          <w:szCs w:val="24"/>
        </w:rPr>
      </w:pPr>
      <w:r w:rsidRPr="00637B34">
        <w:rPr>
          <w:rFonts w:cs="Arial"/>
          <w:sz w:val="24"/>
          <w:szCs w:val="24"/>
        </w:rPr>
        <w:t>INTRODUCTION TO PROCUREMENT</w:t>
      </w:r>
    </w:p>
    <w:p w14:paraId="08E44B10" w14:textId="6B31B3F4" w:rsidR="00FA4AFB" w:rsidRPr="00B42D64" w:rsidRDefault="00FA4AFB" w:rsidP="0013506F">
      <w:pPr>
        <w:spacing w:line="360" w:lineRule="auto"/>
        <w:rPr>
          <w:rStyle w:val="Strong"/>
          <w:rFonts w:cs="Arial"/>
          <w:sz w:val="24"/>
          <w:szCs w:val="24"/>
        </w:rPr>
      </w:pPr>
    </w:p>
    <w:p w14:paraId="6CD19298" w14:textId="77777777" w:rsidR="00FA4AFB" w:rsidRPr="00B42D64" w:rsidRDefault="00FA4AFB" w:rsidP="0013506F">
      <w:pPr>
        <w:spacing w:line="360" w:lineRule="auto"/>
        <w:rPr>
          <w:rStyle w:val="Strong"/>
          <w:rFonts w:cs="Arial"/>
          <w:sz w:val="24"/>
          <w:szCs w:val="24"/>
        </w:rPr>
      </w:pPr>
      <w:r w:rsidRPr="00B42D64">
        <w:rPr>
          <w:rStyle w:val="Strong"/>
          <w:rFonts w:cs="Arial"/>
          <w:sz w:val="24"/>
          <w:szCs w:val="24"/>
        </w:rPr>
        <w:br w:type="page"/>
      </w:r>
    </w:p>
    <w:p w14:paraId="7107EBAF" w14:textId="2D8ED057" w:rsidR="0069439B" w:rsidRPr="0069439B" w:rsidRDefault="0069439B" w:rsidP="00FA0A3C">
      <w:pPr>
        <w:spacing w:line="360" w:lineRule="auto"/>
        <w:rPr>
          <w:rFonts w:eastAsiaTheme="majorEastAsia" w:cs="Arial"/>
          <w:b/>
          <w:bCs/>
          <w:sz w:val="20"/>
          <w:szCs w:val="20"/>
        </w:rPr>
      </w:pPr>
      <w:r w:rsidRPr="0069439B">
        <w:rPr>
          <w:rFonts w:eastAsiaTheme="majorEastAsia" w:cs="Arial"/>
          <w:b/>
          <w:bCs/>
          <w:sz w:val="20"/>
          <w:szCs w:val="20"/>
        </w:rPr>
        <w:lastRenderedPageBreak/>
        <w:t xml:space="preserve">Question 1: Cost, Pricing and Category </w:t>
      </w:r>
      <w:r w:rsidRPr="008E7564">
        <w:rPr>
          <w:rFonts w:eastAsiaTheme="majorEastAsia" w:cs="Arial"/>
          <w:b/>
          <w:bCs/>
          <w:sz w:val="20"/>
          <w:szCs w:val="20"/>
        </w:rPr>
        <w:t>Management</w:t>
      </w:r>
      <w:r w:rsidRPr="0069439B">
        <w:rPr>
          <w:rFonts w:eastAsiaTheme="majorEastAsia" w:cs="Arial"/>
          <w:b/>
          <w:bCs/>
          <w:sz w:val="20"/>
          <w:szCs w:val="20"/>
        </w:rPr>
        <w:t xml:space="preserve"> in Procurement </w:t>
      </w:r>
    </w:p>
    <w:p w14:paraId="57E98D63" w14:textId="2A645453" w:rsidR="0069439B" w:rsidRPr="008E7564" w:rsidRDefault="0069439B" w:rsidP="00FA0A3C">
      <w:pPr>
        <w:numPr>
          <w:ilvl w:val="0"/>
          <w:numId w:val="10"/>
        </w:numPr>
        <w:spacing w:line="360" w:lineRule="auto"/>
        <w:rPr>
          <w:rFonts w:eastAsiaTheme="majorEastAsia" w:cs="Arial"/>
          <w:i/>
          <w:iCs/>
          <w:sz w:val="20"/>
          <w:szCs w:val="20"/>
        </w:rPr>
      </w:pPr>
      <w:r w:rsidRPr="0069439B">
        <w:rPr>
          <w:rFonts w:eastAsiaTheme="majorEastAsia" w:cs="Arial"/>
          <w:i/>
          <w:iCs/>
          <w:color w:val="FF0000"/>
          <w:sz w:val="20"/>
          <w:szCs w:val="20"/>
        </w:rPr>
        <w:t>Define the concept of Total Acquisition Cost and Total Cost of Ownership by using the ‘Price-Cost Iceberg’ analogy using your workplace example</w:t>
      </w:r>
      <w:r w:rsidRPr="0069439B">
        <w:rPr>
          <w:rFonts w:eastAsiaTheme="majorEastAsia" w:cs="Arial"/>
          <w:i/>
          <w:iCs/>
          <w:sz w:val="20"/>
          <w:szCs w:val="20"/>
        </w:rPr>
        <w:t xml:space="preserve">. </w:t>
      </w:r>
    </w:p>
    <w:p w14:paraId="37B56C9C" w14:textId="1395EFEA" w:rsidR="0069439B" w:rsidRPr="0069439B" w:rsidRDefault="00447D83" w:rsidP="00FA0A3C">
      <w:pPr>
        <w:spacing w:line="360" w:lineRule="auto"/>
        <w:ind w:left="720"/>
        <w:rPr>
          <w:rFonts w:eastAsiaTheme="majorEastAsia" w:cs="Arial"/>
          <w:sz w:val="20"/>
          <w:szCs w:val="20"/>
        </w:rPr>
      </w:pPr>
      <w:r w:rsidRPr="008E7564">
        <w:rPr>
          <w:rFonts w:eastAsiaTheme="majorEastAsia" w:cs="Arial"/>
          <w:sz w:val="20"/>
          <w:szCs w:val="20"/>
        </w:rPr>
        <w:t xml:space="preserve">The concept of </w:t>
      </w:r>
      <w:r w:rsidR="00796725" w:rsidRPr="008E7564">
        <w:rPr>
          <w:rFonts w:eastAsiaTheme="majorEastAsia" w:cs="Arial"/>
          <w:sz w:val="20"/>
          <w:szCs w:val="20"/>
        </w:rPr>
        <w:t xml:space="preserve">total acquisition cost </w:t>
      </w:r>
      <w:r w:rsidR="00F0209C" w:rsidRPr="008E7564">
        <w:rPr>
          <w:rFonts w:eastAsiaTheme="majorEastAsia" w:cs="Arial"/>
          <w:sz w:val="20"/>
          <w:szCs w:val="20"/>
        </w:rPr>
        <w:t>and total cost of ownership</w:t>
      </w:r>
      <w:r w:rsidR="00E04F11" w:rsidRPr="008E7564">
        <w:rPr>
          <w:rFonts w:eastAsiaTheme="majorEastAsia" w:cs="Arial"/>
          <w:sz w:val="20"/>
          <w:szCs w:val="20"/>
        </w:rPr>
        <w:t xml:space="preserve"> can be explained </w:t>
      </w:r>
      <w:r w:rsidR="00805AD3" w:rsidRPr="008E7564">
        <w:rPr>
          <w:rFonts w:eastAsiaTheme="majorEastAsia" w:cs="Arial"/>
          <w:sz w:val="20"/>
          <w:szCs w:val="20"/>
        </w:rPr>
        <w:t xml:space="preserve">using the price cost </w:t>
      </w:r>
      <w:r w:rsidR="009A1D62" w:rsidRPr="008E7564">
        <w:rPr>
          <w:rFonts w:eastAsiaTheme="majorEastAsia" w:cs="Arial"/>
          <w:sz w:val="20"/>
          <w:szCs w:val="20"/>
        </w:rPr>
        <w:t>iceberg anal</w:t>
      </w:r>
      <w:r w:rsidR="003016C0" w:rsidRPr="008E7564">
        <w:rPr>
          <w:rFonts w:eastAsiaTheme="majorEastAsia" w:cs="Arial"/>
          <w:sz w:val="20"/>
          <w:szCs w:val="20"/>
        </w:rPr>
        <w:t xml:space="preserve">ogy. </w:t>
      </w:r>
      <w:r w:rsidR="00431D48" w:rsidRPr="008E7564">
        <w:rPr>
          <w:rFonts w:eastAsiaTheme="majorEastAsia" w:cs="Arial"/>
          <w:sz w:val="20"/>
          <w:szCs w:val="20"/>
        </w:rPr>
        <w:t xml:space="preserve">The visible tip </w:t>
      </w:r>
      <w:r w:rsidR="0012648B" w:rsidRPr="008E7564">
        <w:rPr>
          <w:rFonts w:eastAsiaTheme="majorEastAsia" w:cs="Arial"/>
          <w:sz w:val="20"/>
          <w:szCs w:val="20"/>
        </w:rPr>
        <w:t xml:space="preserve">of the iceberg represents the </w:t>
      </w:r>
      <w:r w:rsidR="00D7382E" w:rsidRPr="008E7564">
        <w:rPr>
          <w:rFonts w:eastAsiaTheme="majorEastAsia" w:cs="Arial"/>
          <w:sz w:val="20"/>
          <w:szCs w:val="20"/>
        </w:rPr>
        <w:t>purchase price</w:t>
      </w:r>
      <w:r w:rsidR="00920C24" w:rsidRPr="008E7564">
        <w:rPr>
          <w:rFonts w:eastAsiaTheme="majorEastAsia" w:cs="Arial"/>
          <w:sz w:val="20"/>
          <w:szCs w:val="20"/>
        </w:rPr>
        <w:t xml:space="preserve"> which is often </w:t>
      </w:r>
      <w:r w:rsidR="000B6202" w:rsidRPr="008E7564">
        <w:rPr>
          <w:rFonts w:eastAsiaTheme="majorEastAsia" w:cs="Arial"/>
          <w:sz w:val="20"/>
          <w:szCs w:val="20"/>
        </w:rPr>
        <w:t>the only cost considered during procurement</w:t>
      </w:r>
      <w:r w:rsidR="00103C3B" w:rsidRPr="008E7564">
        <w:rPr>
          <w:rFonts w:eastAsiaTheme="majorEastAsia" w:cs="Arial"/>
          <w:sz w:val="20"/>
          <w:szCs w:val="20"/>
        </w:rPr>
        <w:t xml:space="preserve">. However, beneath </w:t>
      </w:r>
      <w:r w:rsidR="00C2577C" w:rsidRPr="008E7564">
        <w:rPr>
          <w:rFonts w:eastAsiaTheme="majorEastAsia" w:cs="Arial"/>
          <w:sz w:val="20"/>
          <w:szCs w:val="20"/>
        </w:rPr>
        <w:t xml:space="preserve">the surface lies </w:t>
      </w:r>
      <w:r w:rsidR="00217743" w:rsidRPr="008E7564">
        <w:rPr>
          <w:rFonts w:eastAsiaTheme="majorEastAsia" w:cs="Arial"/>
          <w:sz w:val="20"/>
          <w:szCs w:val="20"/>
        </w:rPr>
        <w:t>a much larger portion of the hidden cost</w:t>
      </w:r>
      <w:r w:rsidR="00A12497" w:rsidRPr="008E7564">
        <w:rPr>
          <w:rFonts w:eastAsiaTheme="majorEastAsia" w:cs="Arial"/>
          <w:sz w:val="20"/>
          <w:szCs w:val="20"/>
        </w:rPr>
        <w:t xml:space="preserve">s. </w:t>
      </w:r>
      <w:r w:rsidR="00FB3953" w:rsidRPr="008E7564">
        <w:rPr>
          <w:rFonts w:eastAsiaTheme="majorEastAsia" w:cs="Arial"/>
          <w:sz w:val="20"/>
          <w:szCs w:val="20"/>
        </w:rPr>
        <w:t xml:space="preserve">Total cost of ownership </w:t>
      </w:r>
      <w:r w:rsidR="007B3092" w:rsidRPr="008E7564">
        <w:rPr>
          <w:rFonts w:eastAsiaTheme="majorEastAsia" w:cs="Arial"/>
          <w:sz w:val="20"/>
          <w:szCs w:val="20"/>
        </w:rPr>
        <w:t xml:space="preserve">refers to all costs </w:t>
      </w:r>
      <w:r w:rsidR="00775582" w:rsidRPr="008E7564">
        <w:rPr>
          <w:rFonts w:eastAsiaTheme="majorEastAsia" w:cs="Arial"/>
          <w:sz w:val="20"/>
          <w:szCs w:val="20"/>
        </w:rPr>
        <w:t xml:space="preserve">incurred to acquire </w:t>
      </w:r>
      <w:r w:rsidR="003C7B06" w:rsidRPr="008E7564">
        <w:rPr>
          <w:rFonts w:eastAsiaTheme="majorEastAsia" w:cs="Arial"/>
          <w:sz w:val="20"/>
          <w:szCs w:val="20"/>
        </w:rPr>
        <w:t>a product or service</w:t>
      </w:r>
      <w:r w:rsidR="003D51AD" w:rsidRPr="008E7564">
        <w:rPr>
          <w:rFonts w:eastAsiaTheme="majorEastAsia" w:cs="Arial"/>
          <w:sz w:val="20"/>
          <w:szCs w:val="20"/>
        </w:rPr>
        <w:t xml:space="preserve">, including not only the purchase price </w:t>
      </w:r>
      <w:r w:rsidR="00F72DD1" w:rsidRPr="008E7564">
        <w:rPr>
          <w:rFonts w:eastAsiaTheme="majorEastAsia" w:cs="Arial"/>
          <w:sz w:val="20"/>
          <w:szCs w:val="20"/>
        </w:rPr>
        <w:t xml:space="preserve">but also transportation, </w:t>
      </w:r>
      <w:r w:rsidR="00B6711A" w:rsidRPr="008E7564">
        <w:rPr>
          <w:rFonts w:eastAsiaTheme="majorEastAsia" w:cs="Arial"/>
          <w:sz w:val="20"/>
          <w:szCs w:val="20"/>
        </w:rPr>
        <w:t>handling, customs duties and administrative charges</w:t>
      </w:r>
      <w:r w:rsidR="00F83AA4" w:rsidRPr="008E7564">
        <w:rPr>
          <w:rFonts w:eastAsiaTheme="majorEastAsia" w:cs="Arial"/>
          <w:sz w:val="20"/>
          <w:szCs w:val="20"/>
        </w:rPr>
        <w:t>.</w:t>
      </w:r>
      <w:r w:rsidR="003C2DDA" w:rsidRPr="008E7564">
        <w:rPr>
          <w:rFonts w:eastAsiaTheme="majorEastAsia" w:cs="Arial"/>
          <w:sz w:val="20"/>
          <w:szCs w:val="20"/>
        </w:rPr>
        <w:t xml:space="preserve"> For example in Tata Steel </w:t>
      </w:r>
      <w:r w:rsidR="00A4628D" w:rsidRPr="008E7564">
        <w:rPr>
          <w:rFonts w:eastAsiaTheme="majorEastAsia" w:cs="Arial"/>
          <w:sz w:val="20"/>
          <w:szCs w:val="20"/>
        </w:rPr>
        <w:t>logistics</w:t>
      </w:r>
      <w:r w:rsidR="00AF26DF" w:rsidRPr="008E7564">
        <w:rPr>
          <w:rFonts w:eastAsiaTheme="majorEastAsia" w:cs="Arial"/>
          <w:sz w:val="20"/>
          <w:szCs w:val="20"/>
        </w:rPr>
        <w:t xml:space="preserve">, when purchasing heavy gauge coils </w:t>
      </w:r>
      <w:r w:rsidR="00B84122" w:rsidRPr="008E7564">
        <w:rPr>
          <w:rFonts w:eastAsiaTheme="majorEastAsia" w:cs="Arial"/>
          <w:sz w:val="20"/>
          <w:szCs w:val="20"/>
        </w:rPr>
        <w:t xml:space="preserve">the suppliers quoted </w:t>
      </w:r>
      <w:r w:rsidR="00FA0871" w:rsidRPr="008E7564">
        <w:rPr>
          <w:rFonts w:eastAsiaTheme="majorEastAsia" w:cs="Arial"/>
          <w:sz w:val="20"/>
          <w:szCs w:val="20"/>
        </w:rPr>
        <w:t>price per tonne is the visible cost,</w:t>
      </w:r>
      <w:r w:rsidR="00296C2E" w:rsidRPr="008E7564">
        <w:rPr>
          <w:rFonts w:eastAsiaTheme="majorEastAsia" w:cs="Arial"/>
          <w:sz w:val="20"/>
          <w:szCs w:val="20"/>
        </w:rPr>
        <w:t xml:space="preserve"> while freight charges</w:t>
      </w:r>
      <w:r w:rsidR="00F72169" w:rsidRPr="008E7564">
        <w:rPr>
          <w:rFonts w:eastAsiaTheme="majorEastAsia" w:cs="Arial"/>
          <w:sz w:val="20"/>
          <w:szCs w:val="20"/>
        </w:rPr>
        <w:t xml:space="preserve">, loading and unloading at depot </w:t>
      </w:r>
      <w:r w:rsidR="000F1F44" w:rsidRPr="008E7564">
        <w:rPr>
          <w:rFonts w:eastAsiaTheme="majorEastAsia" w:cs="Arial"/>
          <w:sz w:val="20"/>
          <w:szCs w:val="20"/>
        </w:rPr>
        <w:t xml:space="preserve">and documentation costs </w:t>
      </w:r>
      <w:r w:rsidR="00D4624B" w:rsidRPr="008E7564">
        <w:rPr>
          <w:rFonts w:eastAsiaTheme="majorEastAsia" w:cs="Arial"/>
          <w:sz w:val="20"/>
          <w:szCs w:val="20"/>
        </w:rPr>
        <w:t>form the hidden part</w:t>
      </w:r>
      <w:r w:rsidR="0085344E" w:rsidRPr="008E7564">
        <w:rPr>
          <w:rFonts w:eastAsiaTheme="majorEastAsia" w:cs="Arial"/>
          <w:sz w:val="20"/>
          <w:szCs w:val="20"/>
        </w:rPr>
        <w:t xml:space="preserve"> of the total </w:t>
      </w:r>
      <w:r w:rsidR="007C1AE1" w:rsidRPr="008E7564">
        <w:rPr>
          <w:rFonts w:eastAsiaTheme="majorEastAsia" w:cs="Arial"/>
          <w:sz w:val="20"/>
          <w:szCs w:val="20"/>
        </w:rPr>
        <w:t>acquisition cost.</w:t>
      </w:r>
      <w:r w:rsidR="00773DF5" w:rsidRPr="008E7564">
        <w:rPr>
          <w:rFonts w:eastAsiaTheme="majorEastAsia" w:cs="Arial"/>
          <w:sz w:val="20"/>
          <w:szCs w:val="20"/>
        </w:rPr>
        <w:t xml:space="preserve"> Total cost of </w:t>
      </w:r>
      <w:r w:rsidR="00E2675B" w:rsidRPr="008E7564">
        <w:rPr>
          <w:rFonts w:eastAsiaTheme="majorEastAsia" w:cs="Arial"/>
          <w:sz w:val="20"/>
          <w:szCs w:val="20"/>
        </w:rPr>
        <w:t>ownership</w:t>
      </w:r>
      <w:r w:rsidR="00773DF5" w:rsidRPr="008E7564">
        <w:rPr>
          <w:rFonts w:eastAsiaTheme="majorEastAsia" w:cs="Arial"/>
          <w:sz w:val="20"/>
          <w:szCs w:val="20"/>
        </w:rPr>
        <w:t xml:space="preserve"> goes further </w:t>
      </w:r>
      <w:r w:rsidR="008F7BC5" w:rsidRPr="008E7564">
        <w:rPr>
          <w:rFonts w:eastAsiaTheme="majorEastAsia" w:cs="Arial"/>
          <w:sz w:val="20"/>
          <w:szCs w:val="20"/>
        </w:rPr>
        <w:t xml:space="preserve">by considering the </w:t>
      </w:r>
      <w:r w:rsidR="00BB7FBA" w:rsidRPr="008E7564">
        <w:rPr>
          <w:rFonts w:eastAsiaTheme="majorEastAsia" w:cs="Arial"/>
          <w:sz w:val="20"/>
          <w:szCs w:val="20"/>
        </w:rPr>
        <w:t>entire lifec</w:t>
      </w:r>
      <w:r w:rsidR="00BD0163" w:rsidRPr="008E7564">
        <w:rPr>
          <w:rFonts w:eastAsiaTheme="majorEastAsia" w:cs="Arial"/>
          <w:sz w:val="20"/>
          <w:szCs w:val="20"/>
        </w:rPr>
        <w:t xml:space="preserve">ycle </w:t>
      </w:r>
      <w:r w:rsidR="00595173" w:rsidRPr="008E7564">
        <w:rPr>
          <w:rFonts w:eastAsiaTheme="majorEastAsia" w:cs="Arial"/>
          <w:sz w:val="20"/>
          <w:szCs w:val="20"/>
        </w:rPr>
        <w:t>cost of ownership</w:t>
      </w:r>
      <w:r w:rsidR="006B0307" w:rsidRPr="008E7564">
        <w:rPr>
          <w:rFonts w:eastAsiaTheme="majorEastAsia" w:cs="Arial"/>
          <w:sz w:val="20"/>
          <w:szCs w:val="20"/>
        </w:rPr>
        <w:t xml:space="preserve">, which includes </w:t>
      </w:r>
      <w:r w:rsidR="00B10F52" w:rsidRPr="008E7564">
        <w:rPr>
          <w:rFonts w:eastAsiaTheme="majorEastAsia" w:cs="Arial"/>
          <w:sz w:val="20"/>
          <w:szCs w:val="20"/>
        </w:rPr>
        <w:t xml:space="preserve">acquisition costs plus </w:t>
      </w:r>
      <w:r w:rsidR="00AB7DCC" w:rsidRPr="008E7564">
        <w:rPr>
          <w:rFonts w:eastAsiaTheme="majorEastAsia" w:cs="Arial"/>
          <w:sz w:val="20"/>
          <w:szCs w:val="20"/>
        </w:rPr>
        <w:t xml:space="preserve">operating expenses </w:t>
      </w:r>
      <w:r w:rsidR="00DA69C5" w:rsidRPr="008E7564">
        <w:rPr>
          <w:rFonts w:eastAsiaTheme="majorEastAsia" w:cs="Arial"/>
          <w:sz w:val="20"/>
          <w:szCs w:val="20"/>
        </w:rPr>
        <w:t>such as storage</w:t>
      </w:r>
      <w:r w:rsidR="00071590" w:rsidRPr="008E7564">
        <w:rPr>
          <w:rFonts w:eastAsiaTheme="majorEastAsia" w:cs="Arial"/>
          <w:sz w:val="20"/>
          <w:szCs w:val="20"/>
        </w:rPr>
        <w:t>, maintenance</w:t>
      </w:r>
      <w:r w:rsidR="009F5E50" w:rsidRPr="008E7564">
        <w:rPr>
          <w:rFonts w:eastAsiaTheme="majorEastAsia" w:cs="Arial"/>
          <w:sz w:val="20"/>
          <w:szCs w:val="20"/>
        </w:rPr>
        <w:t xml:space="preserve">, insurance and </w:t>
      </w:r>
      <w:r w:rsidR="00C31761" w:rsidRPr="008E7564">
        <w:rPr>
          <w:rFonts w:eastAsiaTheme="majorEastAsia" w:cs="Arial"/>
          <w:sz w:val="20"/>
          <w:szCs w:val="20"/>
        </w:rPr>
        <w:t>end of life disposal.</w:t>
      </w:r>
      <w:r w:rsidR="007E356E" w:rsidRPr="008E7564">
        <w:rPr>
          <w:rFonts w:eastAsiaTheme="majorEastAsia" w:cs="Arial"/>
          <w:sz w:val="20"/>
          <w:szCs w:val="20"/>
        </w:rPr>
        <w:t xml:space="preserve"> In the same example after delivery</w:t>
      </w:r>
      <w:r w:rsidR="00EF5A16" w:rsidRPr="008E7564">
        <w:rPr>
          <w:rFonts w:eastAsiaTheme="majorEastAsia" w:cs="Arial"/>
          <w:sz w:val="20"/>
          <w:szCs w:val="20"/>
        </w:rPr>
        <w:t xml:space="preserve">, </w:t>
      </w:r>
      <w:r w:rsidR="0022593F" w:rsidRPr="008E7564">
        <w:rPr>
          <w:rFonts w:eastAsiaTheme="majorEastAsia" w:cs="Arial"/>
          <w:sz w:val="20"/>
          <w:szCs w:val="20"/>
        </w:rPr>
        <w:t xml:space="preserve">costs for </w:t>
      </w:r>
      <w:r w:rsidR="0023483F" w:rsidRPr="008E7564">
        <w:rPr>
          <w:rFonts w:eastAsiaTheme="majorEastAsia" w:cs="Arial"/>
          <w:sz w:val="20"/>
          <w:szCs w:val="20"/>
        </w:rPr>
        <w:t>warehouse</w:t>
      </w:r>
      <w:r w:rsidR="0022593F" w:rsidRPr="008E7564">
        <w:rPr>
          <w:rFonts w:eastAsiaTheme="majorEastAsia" w:cs="Arial"/>
          <w:sz w:val="20"/>
          <w:szCs w:val="20"/>
        </w:rPr>
        <w:t xml:space="preserve"> storage,</w:t>
      </w:r>
      <w:r w:rsidR="00A236EC" w:rsidRPr="008E7564">
        <w:rPr>
          <w:rFonts w:eastAsiaTheme="majorEastAsia" w:cs="Arial"/>
          <w:sz w:val="20"/>
          <w:szCs w:val="20"/>
        </w:rPr>
        <w:t xml:space="preserve"> regular inspections </w:t>
      </w:r>
      <w:r w:rsidR="002851CC" w:rsidRPr="008E7564">
        <w:rPr>
          <w:rFonts w:eastAsiaTheme="majorEastAsia" w:cs="Arial"/>
          <w:sz w:val="20"/>
          <w:szCs w:val="20"/>
        </w:rPr>
        <w:t>for rust</w:t>
      </w:r>
      <w:r w:rsidR="007D248D" w:rsidRPr="008E7564">
        <w:rPr>
          <w:rFonts w:eastAsiaTheme="majorEastAsia" w:cs="Arial"/>
          <w:sz w:val="20"/>
          <w:szCs w:val="20"/>
        </w:rPr>
        <w:t xml:space="preserve">, insurance premiums </w:t>
      </w:r>
      <w:r w:rsidR="007C3115" w:rsidRPr="008E7564">
        <w:rPr>
          <w:rFonts w:eastAsiaTheme="majorEastAsia" w:cs="Arial"/>
          <w:sz w:val="20"/>
          <w:szCs w:val="20"/>
        </w:rPr>
        <w:t>and scrap disposal all form part of total cost of ownership</w:t>
      </w:r>
      <w:r w:rsidR="00D11954" w:rsidRPr="008E7564">
        <w:rPr>
          <w:rFonts w:eastAsiaTheme="majorEastAsia" w:cs="Arial"/>
          <w:sz w:val="20"/>
          <w:szCs w:val="20"/>
        </w:rPr>
        <w:t xml:space="preserve"> meaning the iceberg </w:t>
      </w:r>
      <w:r w:rsidR="00A148B1" w:rsidRPr="008E7564">
        <w:rPr>
          <w:rFonts w:eastAsiaTheme="majorEastAsia" w:cs="Arial"/>
          <w:sz w:val="20"/>
          <w:szCs w:val="20"/>
        </w:rPr>
        <w:t xml:space="preserve">analogy illustrates </w:t>
      </w:r>
      <w:r w:rsidR="00DE6407" w:rsidRPr="008E7564">
        <w:rPr>
          <w:rFonts w:eastAsiaTheme="majorEastAsia" w:cs="Arial"/>
          <w:sz w:val="20"/>
          <w:szCs w:val="20"/>
        </w:rPr>
        <w:t xml:space="preserve">that the true </w:t>
      </w:r>
      <w:r w:rsidR="007B4374" w:rsidRPr="008E7564">
        <w:rPr>
          <w:rFonts w:eastAsiaTheme="majorEastAsia" w:cs="Arial"/>
          <w:sz w:val="20"/>
          <w:szCs w:val="20"/>
        </w:rPr>
        <w:t xml:space="preserve">cost of a product </w:t>
      </w:r>
      <w:r w:rsidR="00960ECC" w:rsidRPr="008E7564">
        <w:rPr>
          <w:rFonts w:eastAsiaTheme="majorEastAsia" w:cs="Arial"/>
          <w:sz w:val="20"/>
          <w:szCs w:val="20"/>
        </w:rPr>
        <w:t xml:space="preserve">extends far beyond </w:t>
      </w:r>
      <w:r w:rsidR="00C07310" w:rsidRPr="008E7564">
        <w:rPr>
          <w:rFonts w:eastAsiaTheme="majorEastAsia" w:cs="Arial"/>
          <w:sz w:val="20"/>
          <w:szCs w:val="20"/>
        </w:rPr>
        <w:t>its initial price</w:t>
      </w:r>
      <w:r w:rsidR="006C7BC5" w:rsidRPr="008E7564">
        <w:rPr>
          <w:rFonts w:eastAsiaTheme="majorEastAsia" w:cs="Arial"/>
          <w:sz w:val="20"/>
          <w:szCs w:val="20"/>
        </w:rPr>
        <w:t xml:space="preserve">, impacting long term </w:t>
      </w:r>
      <w:r w:rsidR="0023483F" w:rsidRPr="008E7564">
        <w:rPr>
          <w:rFonts w:eastAsiaTheme="majorEastAsia" w:cs="Arial"/>
          <w:sz w:val="20"/>
          <w:szCs w:val="20"/>
        </w:rPr>
        <w:t>profitability and decision making.</w:t>
      </w:r>
    </w:p>
    <w:p w14:paraId="46147A8F" w14:textId="3100B01D" w:rsidR="0069439B" w:rsidRPr="008E7564" w:rsidRDefault="0069439B" w:rsidP="00FA0A3C">
      <w:pPr>
        <w:numPr>
          <w:ilvl w:val="0"/>
          <w:numId w:val="10"/>
        </w:numPr>
        <w:spacing w:line="360" w:lineRule="auto"/>
        <w:rPr>
          <w:rFonts w:eastAsiaTheme="majorEastAsia" w:cs="Arial"/>
          <w:i/>
          <w:iCs/>
          <w:sz w:val="20"/>
          <w:szCs w:val="20"/>
        </w:rPr>
      </w:pPr>
      <w:r w:rsidRPr="0069439B">
        <w:rPr>
          <w:rFonts w:eastAsiaTheme="majorEastAsia" w:cs="Arial"/>
          <w:i/>
          <w:iCs/>
          <w:color w:val="FF0000"/>
          <w:sz w:val="20"/>
          <w:szCs w:val="20"/>
        </w:rPr>
        <w:t>Analyse how Kraljic's framework can be used to determine procurement positioning strategies for your organisation</w:t>
      </w:r>
      <w:r w:rsidRPr="0069439B">
        <w:rPr>
          <w:rFonts w:eastAsiaTheme="majorEastAsia" w:cs="Arial"/>
          <w:i/>
          <w:iCs/>
          <w:sz w:val="20"/>
          <w:szCs w:val="20"/>
        </w:rPr>
        <w:t xml:space="preserve">. </w:t>
      </w:r>
    </w:p>
    <w:p w14:paraId="33532527" w14:textId="0C530ED4" w:rsidR="00FA0A3C" w:rsidRPr="008E7564" w:rsidRDefault="00B909F6" w:rsidP="00FA0A3C">
      <w:pPr>
        <w:spacing w:line="360" w:lineRule="auto"/>
        <w:ind w:left="720"/>
        <w:rPr>
          <w:rFonts w:eastAsiaTheme="majorEastAsia" w:cs="Arial"/>
          <w:sz w:val="20"/>
          <w:szCs w:val="20"/>
        </w:rPr>
      </w:pPr>
      <w:r w:rsidRPr="008E7564">
        <w:rPr>
          <w:rFonts w:eastAsiaTheme="majorEastAsia" w:cs="Arial"/>
          <w:sz w:val="20"/>
          <w:szCs w:val="20"/>
        </w:rPr>
        <w:t>Kraljic</w:t>
      </w:r>
      <w:r w:rsidR="00DD5F2C" w:rsidRPr="008E7564">
        <w:rPr>
          <w:rFonts w:eastAsiaTheme="majorEastAsia" w:cs="Arial"/>
          <w:sz w:val="20"/>
          <w:szCs w:val="20"/>
        </w:rPr>
        <w:t xml:space="preserve">’s framework is a strategic tool that helps organisations </w:t>
      </w:r>
      <w:r w:rsidR="0069669D" w:rsidRPr="008E7564">
        <w:rPr>
          <w:rFonts w:eastAsiaTheme="majorEastAsia" w:cs="Arial"/>
          <w:sz w:val="20"/>
          <w:szCs w:val="20"/>
        </w:rPr>
        <w:t xml:space="preserve">classify purchased goods based on supply risk and profit impact, enabling tailored procurement strategies. The matrix divides </w:t>
      </w:r>
      <w:r w:rsidR="00FC0432" w:rsidRPr="008E7564">
        <w:rPr>
          <w:rFonts w:eastAsiaTheme="majorEastAsia" w:cs="Arial"/>
          <w:sz w:val="20"/>
          <w:szCs w:val="20"/>
        </w:rPr>
        <w:t xml:space="preserve">items into four categories- non-critical, leverage, bottleneck </w:t>
      </w:r>
      <w:r w:rsidR="00F71F4E" w:rsidRPr="008E7564">
        <w:rPr>
          <w:rFonts w:eastAsiaTheme="majorEastAsia" w:cs="Arial"/>
          <w:sz w:val="20"/>
          <w:szCs w:val="20"/>
        </w:rPr>
        <w:t xml:space="preserve">and strategic. For Tata Steel’s logistics operations this framework can guide positioning </w:t>
      </w:r>
      <w:r w:rsidR="005466AC" w:rsidRPr="008E7564">
        <w:rPr>
          <w:rFonts w:eastAsiaTheme="majorEastAsia" w:cs="Arial"/>
          <w:sz w:val="20"/>
          <w:szCs w:val="20"/>
        </w:rPr>
        <w:t xml:space="preserve">strategies effectively. For example, consumables like packaging materials fall into </w:t>
      </w:r>
      <w:r w:rsidR="008A4D84" w:rsidRPr="008E7564">
        <w:rPr>
          <w:rFonts w:eastAsiaTheme="majorEastAsia" w:cs="Arial"/>
          <w:sz w:val="20"/>
          <w:szCs w:val="20"/>
        </w:rPr>
        <w:t xml:space="preserve">the </w:t>
      </w:r>
      <w:r w:rsidR="005466AC" w:rsidRPr="008E7564">
        <w:rPr>
          <w:rFonts w:eastAsiaTheme="majorEastAsia" w:cs="Arial"/>
          <w:sz w:val="20"/>
          <w:szCs w:val="20"/>
        </w:rPr>
        <w:t>non-critical</w:t>
      </w:r>
      <w:r w:rsidR="008A4D84" w:rsidRPr="008E7564">
        <w:rPr>
          <w:rFonts w:eastAsiaTheme="majorEastAsia" w:cs="Arial"/>
          <w:sz w:val="20"/>
          <w:szCs w:val="20"/>
        </w:rPr>
        <w:t xml:space="preserve"> quadrant, where the focus is on process efficiency and cost reduction </w:t>
      </w:r>
      <w:r w:rsidR="008806A5" w:rsidRPr="008E7564">
        <w:rPr>
          <w:rFonts w:eastAsiaTheme="majorEastAsia" w:cs="Arial"/>
          <w:sz w:val="20"/>
          <w:szCs w:val="20"/>
        </w:rPr>
        <w:t>through standardisation. Steel coils</w:t>
      </w:r>
      <w:r w:rsidR="00FE6DF7" w:rsidRPr="008E7564">
        <w:rPr>
          <w:rFonts w:eastAsiaTheme="majorEastAsia" w:cs="Arial"/>
          <w:sz w:val="20"/>
          <w:szCs w:val="20"/>
        </w:rPr>
        <w:t xml:space="preserve"> w</w:t>
      </w:r>
      <w:r w:rsidR="008806A5" w:rsidRPr="008E7564">
        <w:rPr>
          <w:rFonts w:eastAsiaTheme="majorEastAsia" w:cs="Arial"/>
          <w:sz w:val="20"/>
          <w:szCs w:val="20"/>
        </w:rPr>
        <w:t xml:space="preserve">hich have a high profit impact and moderate supply risk </w:t>
      </w:r>
      <w:r w:rsidR="00FE6DF7" w:rsidRPr="008E7564">
        <w:rPr>
          <w:rFonts w:eastAsiaTheme="majorEastAsia" w:cs="Arial"/>
          <w:sz w:val="20"/>
          <w:szCs w:val="20"/>
        </w:rPr>
        <w:t xml:space="preserve">are leverage items requiring competitive bidding and supplier </w:t>
      </w:r>
      <w:r w:rsidR="001F4BA3" w:rsidRPr="008E7564">
        <w:rPr>
          <w:rFonts w:eastAsiaTheme="majorEastAsia" w:cs="Arial"/>
          <w:sz w:val="20"/>
          <w:szCs w:val="20"/>
        </w:rPr>
        <w:t xml:space="preserve">negotiations to optimise cost. Specialist transport services for oversized loads may be classed as bottleneck items </w:t>
      </w:r>
      <w:r w:rsidR="0066616B" w:rsidRPr="008E7564">
        <w:rPr>
          <w:rFonts w:eastAsiaTheme="majorEastAsia" w:cs="Arial"/>
          <w:sz w:val="20"/>
          <w:szCs w:val="20"/>
        </w:rPr>
        <w:t xml:space="preserve">due to limited availability, so strategies should focus on securing reliable suppliers and maintaining contingency plans. Finally, strategic items such as </w:t>
      </w:r>
      <w:r w:rsidR="008448E8" w:rsidRPr="008E7564">
        <w:rPr>
          <w:rFonts w:eastAsiaTheme="majorEastAsia" w:cs="Arial"/>
          <w:sz w:val="20"/>
          <w:szCs w:val="20"/>
        </w:rPr>
        <w:t xml:space="preserve">long term haulage contracts for core production materials which have a high supply risk </w:t>
      </w:r>
      <w:r w:rsidR="00902D3A" w:rsidRPr="008E7564">
        <w:rPr>
          <w:rFonts w:eastAsiaTheme="majorEastAsia" w:cs="Arial"/>
          <w:sz w:val="20"/>
          <w:szCs w:val="20"/>
        </w:rPr>
        <w:t>and high profit impact demand collaborative partnerships, supplier development and risk-sharing agreement</w:t>
      </w:r>
      <w:r w:rsidR="00A81FC3" w:rsidRPr="008E7564">
        <w:rPr>
          <w:rFonts w:eastAsiaTheme="majorEastAsia" w:cs="Arial"/>
          <w:sz w:val="20"/>
          <w:szCs w:val="20"/>
        </w:rPr>
        <w:t xml:space="preserve">. By applying </w:t>
      </w:r>
      <w:r w:rsidR="005A67BC" w:rsidRPr="008E7564">
        <w:rPr>
          <w:rFonts w:eastAsiaTheme="majorEastAsia" w:cs="Arial"/>
          <w:sz w:val="20"/>
          <w:szCs w:val="20"/>
        </w:rPr>
        <w:t xml:space="preserve">Kraljic’s </w:t>
      </w:r>
      <w:r w:rsidR="00A81FC3" w:rsidRPr="008E7564">
        <w:rPr>
          <w:rFonts w:eastAsiaTheme="majorEastAsia" w:cs="Arial"/>
          <w:sz w:val="20"/>
          <w:szCs w:val="20"/>
        </w:rPr>
        <w:t xml:space="preserve">matrix Tata Steel can </w:t>
      </w:r>
      <w:r w:rsidR="005A67BC" w:rsidRPr="008E7564">
        <w:rPr>
          <w:rFonts w:eastAsiaTheme="majorEastAsia" w:cs="Arial"/>
          <w:sz w:val="20"/>
          <w:szCs w:val="20"/>
        </w:rPr>
        <w:t>prioritise</w:t>
      </w:r>
      <w:r w:rsidR="00A81FC3" w:rsidRPr="008E7564">
        <w:rPr>
          <w:rFonts w:eastAsiaTheme="majorEastAsia" w:cs="Arial"/>
          <w:sz w:val="20"/>
          <w:szCs w:val="20"/>
        </w:rPr>
        <w:t xml:space="preserve"> resources</w:t>
      </w:r>
      <w:r w:rsidR="005A67BC" w:rsidRPr="008E7564">
        <w:rPr>
          <w:rFonts w:eastAsiaTheme="majorEastAsia" w:cs="Arial"/>
          <w:sz w:val="20"/>
          <w:szCs w:val="20"/>
        </w:rPr>
        <w:t>, mitigate risks and align procurement decisions and business objectives.</w:t>
      </w:r>
    </w:p>
    <w:p w14:paraId="0380F683" w14:textId="77777777" w:rsidR="00FA0A3C" w:rsidRDefault="00FA0A3C" w:rsidP="00FA0A3C">
      <w:pPr>
        <w:spacing w:line="360" w:lineRule="auto"/>
        <w:ind w:left="720"/>
        <w:rPr>
          <w:rFonts w:eastAsiaTheme="majorEastAsia" w:cs="Arial"/>
          <w:sz w:val="20"/>
          <w:szCs w:val="20"/>
        </w:rPr>
      </w:pPr>
    </w:p>
    <w:p w14:paraId="16BEAE21" w14:textId="77777777" w:rsidR="008E7564" w:rsidRPr="0069439B" w:rsidRDefault="008E7564" w:rsidP="00FA0A3C">
      <w:pPr>
        <w:spacing w:line="360" w:lineRule="auto"/>
        <w:ind w:left="720"/>
        <w:rPr>
          <w:rFonts w:eastAsiaTheme="majorEastAsia" w:cs="Arial"/>
          <w:sz w:val="20"/>
          <w:szCs w:val="20"/>
        </w:rPr>
      </w:pPr>
    </w:p>
    <w:p w14:paraId="52853292" w14:textId="621049FB" w:rsidR="0069439B" w:rsidRPr="00156001" w:rsidRDefault="0069439B" w:rsidP="00FA0A3C">
      <w:pPr>
        <w:numPr>
          <w:ilvl w:val="0"/>
          <w:numId w:val="10"/>
        </w:numPr>
        <w:spacing w:line="360" w:lineRule="auto"/>
        <w:rPr>
          <w:rFonts w:eastAsiaTheme="majorEastAsia" w:cs="Arial"/>
          <w:i/>
          <w:iCs/>
          <w:color w:val="FF0000"/>
          <w:sz w:val="20"/>
          <w:szCs w:val="20"/>
        </w:rPr>
      </w:pPr>
      <w:r w:rsidRPr="0069439B">
        <w:rPr>
          <w:rFonts w:eastAsiaTheme="majorEastAsia" w:cs="Arial"/>
          <w:i/>
          <w:iCs/>
          <w:color w:val="FF0000"/>
          <w:sz w:val="20"/>
          <w:szCs w:val="20"/>
        </w:rPr>
        <w:lastRenderedPageBreak/>
        <w:t xml:space="preserve">Explain category management and the types of categories in procurement by using your organization’s procurement practices. Outline the steps of defining categories in managing commodity procurement by using your workplace-based examples. </w:t>
      </w:r>
    </w:p>
    <w:p w14:paraId="774AD1DF" w14:textId="11A3F9AB" w:rsidR="005871A1" w:rsidRPr="008E7564" w:rsidRDefault="005871A1" w:rsidP="00FA0A3C">
      <w:pPr>
        <w:spacing w:line="360" w:lineRule="auto"/>
        <w:ind w:left="720"/>
        <w:rPr>
          <w:rFonts w:eastAsiaTheme="majorEastAsia" w:cs="Arial"/>
          <w:sz w:val="20"/>
          <w:szCs w:val="20"/>
        </w:rPr>
      </w:pPr>
      <w:r w:rsidRPr="008E7564">
        <w:rPr>
          <w:rFonts w:eastAsiaTheme="majorEastAsia" w:cs="Arial"/>
          <w:sz w:val="20"/>
          <w:szCs w:val="20"/>
        </w:rPr>
        <w:t xml:space="preserve">Category management in procurement is </w:t>
      </w:r>
      <w:r w:rsidR="0069548E" w:rsidRPr="008E7564">
        <w:rPr>
          <w:rFonts w:eastAsiaTheme="majorEastAsia" w:cs="Arial"/>
          <w:sz w:val="20"/>
          <w:szCs w:val="20"/>
        </w:rPr>
        <w:t xml:space="preserve">a strategic approach that groups similar goods or services into categories manage them collectively rather than </w:t>
      </w:r>
      <w:r w:rsidR="00FE2FD2" w:rsidRPr="008E7564">
        <w:rPr>
          <w:rFonts w:eastAsiaTheme="majorEastAsia" w:cs="Arial"/>
          <w:sz w:val="20"/>
          <w:szCs w:val="20"/>
        </w:rPr>
        <w:t xml:space="preserve">as individual purchases. This enables the organisations to leverage economies of scale, improve supplier </w:t>
      </w:r>
      <w:r w:rsidR="00960916" w:rsidRPr="008E7564">
        <w:rPr>
          <w:rFonts w:eastAsiaTheme="majorEastAsia" w:cs="Arial"/>
          <w:sz w:val="20"/>
          <w:szCs w:val="20"/>
        </w:rPr>
        <w:t xml:space="preserve">relationships and align procurement with business objectives. Categories are typically divided into types such: direct materials (core production </w:t>
      </w:r>
      <w:r w:rsidR="000B332C" w:rsidRPr="008E7564">
        <w:rPr>
          <w:rFonts w:eastAsiaTheme="majorEastAsia" w:cs="Arial"/>
          <w:sz w:val="20"/>
          <w:szCs w:val="20"/>
        </w:rPr>
        <w:t>inputs), indirect materials (maintenance, repair and operations)</w:t>
      </w:r>
      <w:r w:rsidR="002D5F14" w:rsidRPr="008E7564">
        <w:rPr>
          <w:rFonts w:eastAsiaTheme="majorEastAsia" w:cs="Arial"/>
          <w:sz w:val="20"/>
          <w:szCs w:val="20"/>
        </w:rPr>
        <w:t xml:space="preserve"> and services (IT support, transport etc.)</w:t>
      </w:r>
    </w:p>
    <w:p w14:paraId="566E78D7" w14:textId="0393FE81" w:rsidR="002D5F14" w:rsidRPr="008E7564" w:rsidRDefault="002D5F14" w:rsidP="00FA0A3C">
      <w:pPr>
        <w:spacing w:line="360" w:lineRule="auto"/>
        <w:ind w:left="720"/>
        <w:rPr>
          <w:rFonts w:eastAsiaTheme="majorEastAsia" w:cs="Arial"/>
          <w:sz w:val="20"/>
          <w:szCs w:val="20"/>
        </w:rPr>
      </w:pPr>
      <w:r w:rsidRPr="008E7564">
        <w:rPr>
          <w:rFonts w:eastAsiaTheme="majorEastAsia" w:cs="Arial"/>
          <w:sz w:val="20"/>
          <w:szCs w:val="20"/>
        </w:rPr>
        <w:t>In Tata Steel’s procurement practices</w:t>
      </w:r>
      <w:r w:rsidR="00E50286" w:rsidRPr="008E7564">
        <w:rPr>
          <w:rFonts w:eastAsiaTheme="majorEastAsia" w:cs="Arial"/>
          <w:sz w:val="20"/>
          <w:szCs w:val="20"/>
        </w:rPr>
        <w:t>, direct categories include steel coils and raw materials essential for production</w:t>
      </w:r>
      <w:r w:rsidR="008043B7" w:rsidRPr="008E7564">
        <w:rPr>
          <w:rFonts w:eastAsiaTheme="majorEastAsia" w:cs="Arial"/>
          <w:sz w:val="20"/>
          <w:szCs w:val="20"/>
        </w:rPr>
        <w:t xml:space="preserve">, while indirect categories cover items like packaging materials and PPE. Service categories include haulage contracts </w:t>
      </w:r>
      <w:r w:rsidR="000F3D59" w:rsidRPr="008E7564">
        <w:rPr>
          <w:rFonts w:eastAsiaTheme="majorEastAsia" w:cs="Arial"/>
          <w:sz w:val="20"/>
          <w:szCs w:val="20"/>
        </w:rPr>
        <w:t xml:space="preserve">and specialist transport for oversized goods. Managing these categories strategically </w:t>
      </w:r>
      <w:r w:rsidR="001A2AAE" w:rsidRPr="008E7564">
        <w:rPr>
          <w:rFonts w:eastAsiaTheme="majorEastAsia" w:cs="Arial"/>
          <w:sz w:val="20"/>
          <w:szCs w:val="20"/>
        </w:rPr>
        <w:t>allows Tata Steel to optimise cost and reduce risk.</w:t>
      </w:r>
    </w:p>
    <w:p w14:paraId="4996FD6F" w14:textId="7762B807" w:rsidR="001A2AAE" w:rsidRPr="008E7564" w:rsidRDefault="001A2AAE" w:rsidP="00FA0A3C">
      <w:pPr>
        <w:spacing w:line="360" w:lineRule="auto"/>
        <w:ind w:left="720"/>
        <w:rPr>
          <w:rFonts w:eastAsiaTheme="majorEastAsia" w:cs="Arial"/>
          <w:sz w:val="20"/>
          <w:szCs w:val="20"/>
        </w:rPr>
      </w:pPr>
      <w:r w:rsidRPr="008E7564">
        <w:rPr>
          <w:rFonts w:eastAsiaTheme="majorEastAsia" w:cs="Arial"/>
          <w:sz w:val="20"/>
          <w:szCs w:val="20"/>
        </w:rPr>
        <w:t>The steps defining category management in commodity procurement include:</w:t>
      </w:r>
    </w:p>
    <w:p w14:paraId="56F47139" w14:textId="77777777" w:rsidR="004367AE" w:rsidRPr="004367AE" w:rsidRDefault="004367AE" w:rsidP="00FA0A3C">
      <w:pPr>
        <w:numPr>
          <w:ilvl w:val="0"/>
          <w:numId w:val="13"/>
        </w:numPr>
        <w:spacing w:line="360" w:lineRule="auto"/>
        <w:rPr>
          <w:rFonts w:eastAsiaTheme="majorEastAsia" w:cs="Arial"/>
          <w:sz w:val="20"/>
          <w:szCs w:val="20"/>
        </w:rPr>
      </w:pPr>
      <w:r w:rsidRPr="004367AE">
        <w:rPr>
          <w:rFonts w:eastAsiaTheme="majorEastAsia" w:cs="Arial"/>
          <w:sz w:val="20"/>
          <w:szCs w:val="20"/>
        </w:rPr>
        <w:t>Spend Analysis – Review historical data to identify high-value commodities. For example, analysing annual spend on heavy-gauge steel coils.</w:t>
      </w:r>
    </w:p>
    <w:p w14:paraId="7AA872E4" w14:textId="77777777" w:rsidR="004367AE" w:rsidRPr="004367AE" w:rsidRDefault="004367AE" w:rsidP="00FA0A3C">
      <w:pPr>
        <w:numPr>
          <w:ilvl w:val="0"/>
          <w:numId w:val="13"/>
        </w:numPr>
        <w:spacing w:line="360" w:lineRule="auto"/>
        <w:rPr>
          <w:rFonts w:eastAsiaTheme="majorEastAsia" w:cs="Arial"/>
          <w:sz w:val="20"/>
          <w:szCs w:val="20"/>
        </w:rPr>
      </w:pPr>
      <w:r w:rsidRPr="004367AE">
        <w:rPr>
          <w:rFonts w:eastAsiaTheme="majorEastAsia" w:cs="Arial"/>
          <w:sz w:val="20"/>
          <w:szCs w:val="20"/>
        </w:rPr>
        <w:t>Market Analysis – Assess supply market conditions and risks, such as availability of specialist transport providers.</w:t>
      </w:r>
    </w:p>
    <w:p w14:paraId="2B4C9734" w14:textId="77777777" w:rsidR="004367AE" w:rsidRPr="004367AE" w:rsidRDefault="004367AE" w:rsidP="00FA0A3C">
      <w:pPr>
        <w:numPr>
          <w:ilvl w:val="0"/>
          <w:numId w:val="13"/>
        </w:numPr>
        <w:spacing w:line="360" w:lineRule="auto"/>
        <w:rPr>
          <w:rFonts w:eastAsiaTheme="majorEastAsia" w:cs="Arial"/>
          <w:sz w:val="20"/>
          <w:szCs w:val="20"/>
        </w:rPr>
      </w:pPr>
      <w:r w:rsidRPr="004367AE">
        <w:rPr>
          <w:rFonts w:eastAsiaTheme="majorEastAsia" w:cs="Arial"/>
          <w:sz w:val="20"/>
          <w:szCs w:val="20"/>
        </w:rPr>
        <w:t>Segmentation – Group commodities into logical categories (e.g., raw steel, transport services).</w:t>
      </w:r>
    </w:p>
    <w:p w14:paraId="345181D4" w14:textId="77777777" w:rsidR="004367AE" w:rsidRPr="004367AE" w:rsidRDefault="004367AE" w:rsidP="00FA0A3C">
      <w:pPr>
        <w:numPr>
          <w:ilvl w:val="0"/>
          <w:numId w:val="13"/>
        </w:numPr>
        <w:spacing w:line="360" w:lineRule="auto"/>
        <w:rPr>
          <w:rFonts w:eastAsiaTheme="majorEastAsia" w:cs="Arial"/>
          <w:sz w:val="20"/>
          <w:szCs w:val="20"/>
        </w:rPr>
      </w:pPr>
      <w:r w:rsidRPr="004367AE">
        <w:rPr>
          <w:rFonts w:eastAsiaTheme="majorEastAsia" w:cs="Arial"/>
          <w:sz w:val="20"/>
          <w:szCs w:val="20"/>
        </w:rPr>
        <w:t>Strategy Development – Define sourcing strategies for each category, such as long-term contracts for strategic steel supplies and contingency plans for bottleneck transport services.</w:t>
      </w:r>
    </w:p>
    <w:p w14:paraId="35EE76FC" w14:textId="77777777" w:rsidR="004367AE" w:rsidRPr="004367AE" w:rsidRDefault="004367AE" w:rsidP="00FA0A3C">
      <w:pPr>
        <w:numPr>
          <w:ilvl w:val="0"/>
          <w:numId w:val="13"/>
        </w:numPr>
        <w:spacing w:line="360" w:lineRule="auto"/>
        <w:rPr>
          <w:rFonts w:eastAsiaTheme="majorEastAsia" w:cs="Arial"/>
          <w:sz w:val="20"/>
          <w:szCs w:val="20"/>
        </w:rPr>
      </w:pPr>
      <w:r w:rsidRPr="004367AE">
        <w:rPr>
          <w:rFonts w:eastAsiaTheme="majorEastAsia" w:cs="Arial"/>
          <w:sz w:val="20"/>
          <w:szCs w:val="20"/>
        </w:rPr>
        <w:t>Implementation and Monitoring – Execute sourcing plans and track performance through KPIs like cost savings and supplier reliability.</w:t>
      </w:r>
    </w:p>
    <w:p w14:paraId="6E56531A" w14:textId="77777777" w:rsidR="00FA0A3C" w:rsidRPr="008E7564" w:rsidRDefault="004367AE" w:rsidP="00FA0A3C">
      <w:pPr>
        <w:spacing w:line="360" w:lineRule="auto"/>
        <w:ind w:left="720"/>
        <w:rPr>
          <w:rFonts w:eastAsiaTheme="majorEastAsia" w:cs="Arial"/>
          <w:sz w:val="20"/>
          <w:szCs w:val="20"/>
        </w:rPr>
      </w:pPr>
      <w:r w:rsidRPr="004367AE">
        <w:rPr>
          <w:rFonts w:eastAsiaTheme="majorEastAsia" w:cs="Arial"/>
          <w:sz w:val="20"/>
          <w:szCs w:val="20"/>
        </w:rPr>
        <w:t>By applying category management, Tata Steel ensures procurement decisions are structured, cost-effective, and aligned with operational priorities.</w:t>
      </w:r>
    </w:p>
    <w:p w14:paraId="048B2663" w14:textId="77777777" w:rsidR="008E7564" w:rsidRDefault="008E7564" w:rsidP="00FA0A3C">
      <w:pPr>
        <w:spacing w:line="360" w:lineRule="auto"/>
        <w:rPr>
          <w:rFonts w:cs="Arial"/>
          <w:b/>
          <w:bCs/>
          <w:sz w:val="20"/>
          <w:szCs w:val="20"/>
        </w:rPr>
      </w:pPr>
    </w:p>
    <w:p w14:paraId="31531542" w14:textId="77777777" w:rsidR="008E7564" w:rsidRDefault="008E7564" w:rsidP="00FA0A3C">
      <w:pPr>
        <w:spacing w:line="360" w:lineRule="auto"/>
        <w:rPr>
          <w:rFonts w:cs="Arial"/>
          <w:b/>
          <w:bCs/>
          <w:sz w:val="20"/>
          <w:szCs w:val="20"/>
        </w:rPr>
      </w:pPr>
    </w:p>
    <w:p w14:paraId="0C05E2F3" w14:textId="77777777" w:rsidR="008E7564" w:rsidRDefault="008E7564" w:rsidP="00FA0A3C">
      <w:pPr>
        <w:spacing w:line="360" w:lineRule="auto"/>
        <w:rPr>
          <w:rFonts w:cs="Arial"/>
          <w:b/>
          <w:bCs/>
          <w:sz w:val="20"/>
          <w:szCs w:val="20"/>
        </w:rPr>
      </w:pPr>
    </w:p>
    <w:p w14:paraId="2D06F5F1" w14:textId="77777777" w:rsidR="008E7564" w:rsidRDefault="008E7564" w:rsidP="00FA0A3C">
      <w:pPr>
        <w:spacing w:line="360" w:lineRule="auto"/>
        <w:rPr>
          <w:rFonts w:cs="Arial"/>
          <w:b/>
          <w:bCs/>
          <w:sz w:val="20"/>
          <w:szCs w:val="20"/>
        </w:rPr>
      </w:pPr>
    </w:p>
    <w:p w14:paraId="06BEFED6" w14:textId="77777777" w:rsidR="008E7564" w:rsidRDefault="008E7564" w:rsidP="00FA0A3C">
      <w:pPr>
        <w:spacing w:line="360" w:lineRule="auto"/>
        <w:rPr>
          <w:rFonts w:cs="Arial"/>
          <w:b/>
          <w:bCs/>
          <w:sz w:val="20"/>
          <w:szCs w:val="20"/>
        </w:rPr>
      </w:pPr>
    </w:p>
    <w:p w14:paraId="6CDECE5C" w14:textId="77777777" w:rsidR="008E7564" w:rsidRDefault="008E7564" w:rsidP="00FA0A3C">
      <w:pPr>
        <w:spacing w:line="360" w:lineRule="auto"/>
        <w:rPr>
          <w:rFonts w:cs="Arial"/>
          <w:b/>
          <w:bCs/>
          <w:sz w:val="20"/>
          <w:szCs w:val="20"/>
        </w:rPr>
      </w:pPr>
    </w:p>
    <w:p w14:paraId="6023AAE9" w14:textId="6842FC88" w:rsidR="003354A8" w:rsidRPr="003354A8" w:rsidRDefault="003354A8" w:rsidP="00FA0A3C">
      <w:pPr>
        <w:spacing w:line="360" w:lineRule="auto"/>
        <w:rPr>
          <w:rFonts w:eastAsiaTheme="majorEastAsia" w:cs="Arial"/>
          <w:sz w:val="20"/>
          <w:szCs w:val="20"/>
        </w:rPr>
      </w:pPr>
      <w:r w:rsidRPr="003354A8">
        <w:rPr>
          <w:rFonts w:cs="Arial"/>
          <w:b/>
          <w:bCs/>
          <w:sz w:val="20"/>
          <w:szCs w:val="20"/>
        </w:rPr>
        <w:lastRenderedPageBreak/>
        <w:t xml:space="preserve">Question 2: Purchasing Development Matrix and Outsourcing </w:t>
      </w:r>
    </w:p>
    <w:p w14:paraId="02AC07D9" w14:textId="1CB5CB54" w:rsidR="00AA6F1D" w:rsidRPr="008E7564" w:rsidRDefault="003354A8" w:rsidP="00FA0A3C">
      <w:pPr>
        <w:pStyle w:val="ListParagraph"/>
        <w:numPr>
          <w:ilvl w:val="0"/>
          <w:numId w:val="14"/>
        </w:numPr>
        <w:spacing w:line="360" w:lineRule="auto"/>
        <w:rPr>
          <w:rFonts w:cs="Arial"/>
          <w:i/>
          <w:iCs/>
          <w:color w:val="FF0000"/>
          <w:sz w:val="20"/>
          <w:szCs w:val="20"/>
        </w:rPr>
      </w:pPr>
      <w:r w:rsidRPr="008E7564">
        <w:rPr>
          <w:rFonts w:cs="Arial"/>
          <w:i/>
          <w:iCs/>
          <w:color w:val="FF0000"/>
          <w:sz w:val="20"/>
          <w:szCs w:val="20"/>
        </w:rPr>
        <w:t>Develop your organization’s purchasing profile using the purchasing development matrix.</w:t>
      </w:r>
    </w:p>
    <w:p w14:paraId="53609026" w14:textId="67B49B40" w:rsidR="003354A8" w:rsidRPr="008E7564" w:rsidRDefault="00AA6F1D" w:rsidP="00FA0A3C">
      <w:pPr>
        <w:pStyle w:val="ListParagraph"/>
        <w:spacing w:line="360" w:lineRule="auto"/>
        <w:rPr>
          <w:rFonts w:cs="Arial"/>
          <w:sz w:val="20"/>
          <w:szCs w:val="20"/>
        </w:rPr>
      </w:pPr>
      <w:r w:rsidRPr="008E7564">
        <w:rPr>
          <w:rFonts w:cs="Arial"/>
          <w:sz w:val="20"/>
          <w:szCs w:val="20"/>
        </w:rPr>
        <w:t>The Purchasing Development Matrix evaluates procurement maturity across two dimensions: the strategic importance of purchasing and the professionalism of the purchasing function. It identifies four stages: Passive, Independent, Supportive, and Integrative. Tata Steel’s logistics procurement profile sits between Supportive and Integrative. At this level, purchasing is recognised as a strategic contributor rather than a transactional activity. For example, procurement collaborates with production and logistics to secure heavy-gauge steel coils and specialist transport services, ensuring supply continuity and cost optimisation. Advanced practices such as category management and Kraljic’s matrix are applied to segment commodities and develop sourcing strategies, reflecting structured and proactive procurement. However, full integration</w:t>
      </w:r>
      <w:r w:rsidR="00175B05" w:rsidRPr="008E7564">
        <w:rPr>
          <w:rFonts w:cs="Arial"/>
          <w:sz w:val="20"/>
          <w:szCs w:val="20"/>
        </w:rPr>
        <w:t xml:space="preserve"> </w:t>
      </w:r>
      <w:r w:rsidRPr="008E7564">
        <w:rPr>
          <w:rFonts w:cs="Arial"/>
          <w:sz w:val="20"/>
          <w:szCs w:val="20"/>
        </w:rPr>
        <w:t>where procurement is embedded into corporate strategy and supported by advanced analytics and sustainability initiatives</w:t>
      </w:r>
      <w:r w:rsidR="00175B05" w:rsidRPr="008E7564">
        <w:rPr>
          <w:rFonts w:cs="Arial"/>
          <w:sz w:val="20"/>
          <w:szCs w:val="20"/>
        </w:rPr>
        <w:t xml:space="preserve"> </w:t>
      </w:r>
      <w:r w:rsidRPr="008E7564">
        <w:rPr>
          <w:rFonts w:cs="Arial"/>
          <w:sz w:val="20"/>
          <w:szCs w:val="20"/>
        </w:rPr>
        <w:t>is still evolving. This positioning demonstrates a value-driven, risk-aware procurement function aligned with organisational objectives while progressing toward complete strategic integration.</w:t>
      </w:r>
      <w:r w:rsidR="003354A8" w:rsidRPr="008E7564">
        <w:rPr>
          <w:rFonts w:cs="Arial"/>
          <w:sz w:val="20"/>
          <w:szCs w:val="20"/>
        </w:rPr>
        <w:t xml:space="preserve"> </w:t>
      </w:r>
    </w:p>
    <w:p w14:paraId="18FACC08" w14:textId="77777777" w:rsidR="008E7564" w:rsidRDefault="008E7564" w:rsidP="00FA0A3C">
      <w:pPr>
        <w:spacing w:line="360" w:lineRule="auto"/>
        <w:rPr>
          <w:rFonts w:cs="Arial"/>
          <w:i/>
          <w:iCs/>
          <w:sz w:val="20"/>
          <w:szCs w:val="20"/>
        </w:rPr>
      </w:pPr>
    </w:p>
    <w:p w14:paraId="77B5A813" w14:textId="77777777" w:rsidR="008E7564" w:rsidRDefault="008E7564" w:rsidP="00FA0A3C">
      <w:pPr>
        <w:spacing w:line="360" w:lineRule="auto"/>
        <w:rPr>
          <w:rFonts w:cs="Arial"/>
          <w:i/>
          <w:iCs/>
          <w:sz w:val="20"/>
          <w:szCs w:val="20"/>
        </w:rPr>
      </w:pPr>
    </w:p>
    <w:p w14:paraId="3A86D397" w14:textId="77777777" w:rsidR="008E7564" w:rsidRDefault="008E7564" w:rsidP="00FA0A3C">
      <w:pPr>
        <w:spacing w:line="360" w:lineRule="auto"/>
        <w:rPr>
          <w:rFonts w:cs="Arial"/>
          <w:i/>
          <w:iCs/>
          <w:sz w:val="20"/>
          <w:szCs w:val="20"/>
        </w:rPr>
      </w:pPr>
    </w:p>
    <w:p w14:paraId="264515C7" w14:textId="77777777" w:rsidR="008E7564" w:rsidRDefault="008E7564" w:rsidP="00FA0A3C">
      <w:pPr>
        <w:spacing w:line="360" w:lineRule="auto"/>
        <w:rPr>
          <w:rFonts w:cs="Arial"/>
          <w:i/>
          <w:iCs/>
          <w:sz w:val="20"/>
          <w:szCs w:val="20"/>
        </w:rPr>
      </w:pPr>
    </w:p>
    <w:p w14:paraId="03386CCD" w14:textId="77777777" w:rsidR="008E7564" w:rsidRDefault="008E7564" w:rsidP="00FA0A3C">
      <w:pPr>
        <w:spacing w:line="360" w:lineRule="auto"/>
        <w:rPr>
          <w:rFonts w:cs="Arial"/>
          <w:i/>
          <w:iCs/>
          <w:sz w:val="20"/>
          <w:szCs w:val="20"/>
        </w:rPr>
      </w:pPr>
    </w:p>
    <w:p w14:paraId="2D131BC6" w14:textId="77777777" w:rsidR="008E7564" w:rsidRDefault="008E7564" w:rsidP="00FA0A3C">
      <w:pPr>
        <w:spacing w:line="360" w:lineRule="auto"/>
        <w:rPr>
          <w:rFonts w:cs="Arial"/>
          <w:i/>
          <w:iCs/>
          <w:sz w:val="20"/>
          <w:szCs w:val="20"/>
        </w:rPr>
      </w:pPr>
    </w:p>
    <w:p w14:paraId="6C9D62FF" w14:textId="77777777" w:rsidR="008E7564" w:rsidRDefault="008E7564" w:rsidP="00FA0A3C">
      <w:pPr>
        <w:spacing w:line="360" w:lineRule="auto"/>
        <w:rPr>
          <w:rFonts w:cs="Arial"/>
          <w:i/>
          <w:iCs/>
          <w:sz w:val="20"/>
          <w:szCs w:val="20"/>
        </w:rPr>
      </w:pPr>
    </w:p>
    <w:p w14:paraId="2A75FF5C" w14:textId="77777777" w:rsidR="008E7564" w:rsidRDefault="008E7564" w:rsidP="00FA0A3C">
      <w:pPr>
        <w:spacing w:line="360" w:lineRule="auto"/>
        <w:rPr>
          <w:rFonts w:cs="Arial"/>
          <w:i/>
          <w:iCs/>
          <w:sz w:val="20"/>
          <w:szCs w:val="20"/>
        </w:rPr>
      </w:pPr>
    </w:p>
    <w:p w14:paraId="18FBB6C3" w14:textId="77777777" w:rsidR="008E7564" w:rsidRDefault="008E7564" w:rsidP="00FA0A3C">
      <w:pPr>
        <w:spacing w:line="360" w:lineRule="auto"/>
        <w:rPr>
          <w:rFonts w:cs="Arial"/>
          <w:i/>
          <w:iCs/>
          <w:sz w:val="20"/>
          <w:szCs w:val="20"/>
        </w:rPr>
      </w:pPr>
    </w:p>
    <w:p w14:paraId="70418CC0" w14:textId="77777777" w:rsidR="008E7564" w:rsidRDefault="008E7564" w:rsidP="00FA0A3C">
      <w:pPr>
        <w:spacing w:line="360" w:lineRule="auto"/>
        <w:rPr>
          <w:rFonts w:cs="Arial"/>
          <w:i/>
          <w:iCs/>
          <w:sz w:val="20"/>
          <w:szCs w:val="20"/>
        </w:rPr>
      </w:pPr>
    </w:p>
    <w:p w14:paraId="24F3C77B" w14:textId="77777777" w:rsidR="008E7564" w:rsidRDefault="008E7564" w:rsidP="00FA0A3C">
      <w:pPr>
        <w:spacing w:line="360" w:lineRule="auto"/>
        <w:rPr>
          <w:rFonts w:cs="Arial"/>
          <w:i/>
          <w:iCs/>
          <w:sz w:val="20"/>
          <w:szCs w:val="20"/>
        </w:rPr>
      </w:pPr>
    </w:p>
    <w:p w14:paraId="0D755067" w14:textId="77777777" w:rsidR="008E7564" w:rsidRDefault="008E7564" w:rsidP="00FA0A3C">
      <w:pPr>
        <w:spacing w:line="360" w:lineRule="auto"/>
        <w:rPr>
          <w:rFonts w:cs="Arial"/>
          <w:i/>
          <w:iCs/>
          <w:sz w:val="20"/>
          <w:szCs w:val="20"/>
        </w:rPr>
      </w:pPr>
    </w:p>
    <w:p w14:paraId="7F31E644" w14:textId="77777777" w:rsidR="008E7564" w:rsidRDefault="008E7564" w:rsidP="00FA0A3C">
      <w:pPr>
        <w:spacing w:line="360" w:lineRule="auto"/>
        <w:rPr>
          <w:rFonts w:cs="Arial"/>
          <w:i/>
          <w:iCs/>
          <w:sz w:val="20"/>
          <w:szCs w:val="20"/>
        </w:rPr>
      </w:pPr>
    </w:p>
    <w:p w14:paraId="2FE61C6A" w14:textId="77777777" w:rsidR="008E7564" w:rsidRDefault="008E7564" w:rsidP="00FA0A3C">
      <w:pPr>
        <w:spacing w:line="360" w:lineRule="auto"/>
        <w:rPr>
          <w:rFonts w:cs="Arial"/>
          <w:i/>
          <w:iCs/>
          <w:sz w:val="20"/>
          <w:szCs w:val="20"/>
        </w:rPr>
      </w:pPr>
    </w:p>
    <w:p w14:paraId="1A82933D" w14:textId="77777777" w:rsidR="008E7564" w:rsidRDefault="008E7564" w:rsidP="00FA0A3C">
      <w:pPr>
        <w:spacing w:line="360" w:lineRule="auto"/>
        <w:rPr>
          <w:rFonts w:cs="Arial"/>
          <w:i/>
          <w:iCs/>
          <w:sz w:val="20"/>
          <w:szCs w:val="20"/>
        </w:rPr>
      </w:pPr>
    </w:p>
    <w:p w14:paraId="17EA7846" w14:textId="77777777" w:rsidR="008E7564" w:rsidRDefault="008E7564" w:rsidP="00FA0A3C">
      <w:pPr>
        <w:spacing w:line="360" w:lineRule="auto"/>
        <w:rPr>
          <w:rFonts w:cs="Arial"/>
          <w:i/>
          <w:iCs/>
          <w:sz w:val="20"/>
          <w:szCs w:val="20"/>
        </w:rPr>
      </w:pPr>
    </w:p>
    <w:p w14:paraId="63E70C20" w14:textId="1E57587D" w:rsidR="003354A8" w:rsidRPr="003354A8" w:rsidRDefault="003354A8" w:rsidP="00FA0A3C">
      <w:pPr>
        <w:spacing w:line="360" w:lineRule="auto"/>
        <w:rPr>
          <w:rFonts w:cs="Arial"/>
          <w:i/>
          <w:iCs/>
          <w:sz w:val="20"/>
          <w:szCs w:val="20"/>
        </w:rPr>
      </w:pPr>
      <w:r w:rsidRPr="003354A8">
        <w:rPr>
          <w:rFonts w:cs="Arial"/>
          <w:i/>
          <w:iCs/>
          <w:color w:val="FF0000"/>
          <w:sz w:val="20"/>
          <w:szCs w:val="20"/>
        </w:rPr>
        <w:lastRenderedPageBreak/>
        <w:t>b) Define outsourcing and explain the key steps involved in the outsourcing process. Use your workplace-based examples</w:t>
      </w:r>
      <w:r w:rsidRPr="003354A8">
        <w:rPr>
          <w:rFonts w:cs="Arial"/>
          <w:i/>
          <w:iCs/>
          <w:sz w:val="20"/>
          <w:szCs w:val="20"/>
        </w:rPr>
        <w:t xml:space="preserve">. </w:t>
      </w:r>
    </w:p>
    <w:p w14:paraId="6F672805" w14:textId="62476577" w:rsidR="00FD29D6" w:rsidRPr="008E7564" w:rsidRDefault="00C70E21" w:rsidP="00FA0A3C">
      <w:pPr>
        <w:spacing w:line="360" w:lineRule="auto"/>
        <w:rPr>
          <w:rFonts w:cs="Arial"/>
          <w:sz w:val="20"/>
          <w:szCs w:val="20"/>
        </w:rPr>
      </w:pPr>
      <w:r w:rsidRPr="008E7564">
        <w:rPr>
          <w:rFonts w:cs="Arial"/>
          <w:sz w:val="20"/>
          <w:szCs w:val="20"/>
        </w:rPr>
        <w:t xml:space="preserve">Out sourcing is the practice of contracting external suppliers to perform </w:t>
      </w:r>
      <w:r w:rsidR="00516B7A" w:rsidRPr="008E7564">
        <w:rPr>
          <w:rFonts w:cs="Arial"/>
          <w:sz w:val="20"/>
          <w:szCs w:val="20"/>
        </w:rPr>
        <w:t>activities</w:t>
      </w:r>
      <w:r w:rsidRPr="008E7564">
        <w:rPr>
          <w:rFonts w:cs="Arial"/>
          <w:sz w:val="20"/>
          <w:szCs w:val="20"/>
        </w:rPr>
        <w:t xml:space="preserve"> or provide goods / services that were </w:t>
      </w:r>
      <w:r w:rsidR="00516B7A" w:rsidRPr="008E7564">
        <w:rPr>
          <w:rFonts w:cs="Arial"/>
          <w:sz w:val="20"/>
          <w:szCs w:val="20"/>
        </w:rPr>
        <w:t>traditionally</w:t>
      </w:r>
      <w:r w:rsidRPr="008E7564">
        <w:rPr>
          <w:rFonts w:cs="Arial"/>
          <w:sz w:val="20"/>
          <w:szCs w:val="20"/>
        </w:rPr>
        <w:t xml:space="preserve"> handled </w:t>
      </w:r>
      <w:r w:rsidR="00516B7A" w:rsidRPr="008E7564">
        <w:rPr>
          <w:rFonts w:cs="Arial"/>
          <w:sz w:val="20"/>
          <w:szCs w:val="20"/>
        </w:rPr>
        <w:t>internally, allowing organisations to focus on core competencies and reduce costs. The key steps in the outsourcing process are</w:t>
      </w:r>
      <w:r w:rsidR="0080284E" w:rsidRPr="008E7564">
        <w:rPr>
          <w:rFonts w:cs="Arial"/>
          <w:sz w:val="20"/>
          <w:szCs w:val="20"/>
        </w:rPr>
        <w:t>:</w:t>
      </w:r>
    </w:p>
    <w:p w14:paraId="50FB2920" w14:textId="62FFA82E" w:rsidR="0080284E" w:rsidRPr="0080284E" w:rsidRDefault="0080284E" w:rsidP="00FA0A3C">
      <w:pPr>
        <w:numPr>
          <w:ilvl w:val="0"/>
          <w:numId w:val="19"/>
        </w:numPr>
        <w:spacing w:line="360" w:lineRule="auto"/>
        <w:rPr>
          <w:rFonts w:cs="Arial"/>
          <w:sz w:val="20"/>
          <w:szCs w:val="20"/>
        </w:rPr>
      </w:pPr>
      <w:r w:rsidRPr="0080284E">
        <w:rPr>
          <w:rFonts w:cs="Arial"/>
          <w:sz w:val="20"/>
          <w:szCs w:val="20"/>
        </w:rPr>
        <w:t>Needs Assessment</w:t>
      </w:r>
      <w:r w:rsidRPr="008E7564">
        <w:rPr>
          <w:rFonts w:cs="Arial"/>
          <w:sz w:val="20"/>
          <w:szCs w:val="20"/>
        </w:rPr>
        <w:t xml:space="preserve"> - </w:t>
      </w:r>
      <w:r w:rsidRPr="0080284E">
        <w:rPr>
          <w:rFonts w:cs="Arial"/>
          <w:sz w:val="20"/>
          <w:szCs w:val="20"/>
        </w:rPr>
        <w:t>Identify non-core activities suitable for outsourcing. For example, Tata Steel outsources specialist haulage for oversized steel loads rather than maintaining an in-house fleet.</w:t>
      </w:r>
    </w:p>
    <w:p w14:paraId="4E659EB2" w14:textId="2E1268CB" w:rsidR="0080284E" w:rsidRPr="0080284E" w:rsidRDefault="0080284E" w:rsidP="00FA0A3C">
      <w:pPr>
        <w:numPr>
          <w:ilvl w:val="0"/>
          <w:numId w:val="19"/>
        </w:numPr>
        <w:spacing w:line="360" w:lineRule="auto"/>
        <w:rPr>
          <w:rFonts w:cs="Arial"/>
          <w:sz w:val="20"/>
          <w:szCs w:val="20"/>
        </w:rPr>
      </w:pPr>
      <w:r w:rsidRPr="0080284E">
        <w:rPr>
          <w:rFonts w:cs="Arial"/>
          <w:sz w:val="20"/>
          <w:szCs w:val="20"/>
        </w:rPr>
        <w:t>Specification Development</w:t>
      </w:r>
      <w:r w:rsidRPr="008E7564">
        <w:rPr>
          <w:rFonts w:cs="Arial"/>
          <w:sz w:val="20"/>
          <w:szCs w:val="20"/>
        </w:rPr>
        <w:t xml:space="preserve"> - </w:t>
      </w:r>
      <w:r w:rsidRPr="0080284E">
        <w:rPr>
          <w:rFonts w:cs="Arial"/>
          <w:sz w:val="20"/>
          <w:szCs w:val="20"/>
        </w:rPr>
        <w:t>Define service requirements, performance standards, and compliance needs, such as vehicle capacity, safety certifications, and delivery timelines.</w:t>
      </w:r>
    </w:p>
    <w:p w14:paraId="2B85E5FC" w14:textId="02B0B746" w:rsidR="0080284E" w:rsidRPr="0080284E" w:rsidRDefault="0080284E" w:rsidP="00FA0A3C">
      <w:pPr>
        <w:numPr>
          <w:ilvl w:val="0"/>
          <w:numId w:val="19"/>
        </w:numPr>
        <w:spacing w:line="360" w:lineRule="auto"/>
        <w:rPr>
          <w:rFonts w:cs="Arial"/>
          <w:sz w:val="20"/>
          <w:szCs w:val="20"/>
        </w:rPr>
      </w:pPr>
      <w:r w:rsidRPr="0080284E">
        <w:rPr>
          <w:rFonts w:cs="Arial"/>
          <w:sz w:val="20"/>
          <w:szCs w:val="20"/>
        </w:rPr>
        <w:t>Supplier Selection</w:t>
      </w:r>
      <w:r w:rsidRPr="008E7564">
        <w:rPr>
          <w:rFonts w:cs="Arial"/>
          <w:sz w:val="20"/>
          <w:szCs w:val="20"/>
        </w:rPr>
        <w:t xml:space="preserve"> - </w:t>
      </w:r>
      <w:r w:rsidRPr="0080284E">
        <w:rPr>
          <w:rFonts w:cs="Arial"/>
          <w:sz w:val="20"/>
          <w:szCs w:val="20"/>
        </w:rPr>
        <w:t>Conduct market analysis, issue tenders, and evaluate providers based on cost, reliability, and capability. Tata Steel uses competitive bidding for transport contracts to ensure best value.</w:t>
      </w:r>
    </w:p>
    <w:p w14:paraId="4AD4CDC9" w14:textId="61A8B1DC" w:rsidR="0080284E" w:rsidRPr="0080284E" w:rsidRDefault="0080284E" w:rsidP="00FA0A3C">
      <w:pPr>
        <w:numPr>
          <w:ilvl w:val="0"/>
          <w:numId w:val="19"/>
        </w:numPr>
        <w:spacing w:line="360" w:lineRule="auto"/>
        <w:rPr>
          <w:rFonts w:cs="Arial"/>
          <w:sz w:val="20"/>
          <w:szCs w:val="20"/>
        </w:rPr>
      </w:pPr>
      <w:r w:rsidRPr="0080284E">
        <w:rPr>
          <w:rFonts w:cs="Arial"/>
          <w:sz w:val="20"/>
          <w:szCs w:val="20"/>
        </w:rPr>
        <w:t>Contract Negotiation</w:t>
      </w:r>
      <w:r w:rsidRPr="008E7564">
        <w:rPr>
          <w:rFonts w:cs="Arial"/>
          <w:sz w:val="20"/>
          <w:szCs w:val="20"/>
        </w:rPr>
        <w:t xml:space="preserve"> - </w:t>
      </w:r>
      <w:r w:rsidRPr="0080284E">
        <w:rPr>
          <w:rFonts w:cs="Arial"/>
          <w:sz w:val="20"/>
          <w:szCs w:val="20"/>
        </w:rPr>
        <w:t>Establish terms covering pricing, service levels, penalties, and risk-sharing. For instance, long-term haulage agreements include clauses for fuel cost adjustments and contingency planning.</w:t>
      </w:r>
    </w:p>
    <w:p w14:paraId="60E77EAB" w14:textId="51A94871" w:rsidR="0080284E" w:rsidRPr="0080284E" w:rsidRDefault="0080284E" w:rsidP="00FA0A3C">
      <w:pPr>
        <w:numPr>
          <w:ilvl w:val="0"/>
          <w:numId w:val="19"/>
        </w:numPr>
        <w:spacing w:line="360" w:lineRule="auto"/>
        <w:rPr>
          <w:rFonts w:cs="Arial"/>
          <w:sz w:val="20"/>
          <w:szCs w:val="20"/>
        </w:rPr>
      </w:pPr>
      <w:r w:rsidRPr="0080284E">
        <w:rPr>
          <w:rFonts w:cs="Arial"/>
          <w:sz w:val="20"/>
          <w:szCs w:val="20"/>
        </w:rPr>
        <w:t>Implementation</w:t>
      </w:r>
      <w:r w:rsidRPr="008E7564">
        <w:rPr>
          <w:rFonts w:cs="Arial"/>
          <w:sz w:val="20"/>
          <w:szCs w:val="20"/>
        </w:rPr>
        <w:t xml:space="preserve"> - </w:t>
      </w:r>
      <w:r w:rsidRPr="0080284E">
        <w:rPr>
          <w:rFonts w:cs="Arial"/>
          <w:sz w:val="20"/>
          <w:szCs w:val="20"/>
        </w:rPr>
        <w:t>Transition responsibilities to the supplier, ensuring clear communication and operational alignment.</w:t>
      </w:r>
    </w:p>
    <w:p w14:paraId="2BF3607B" w14:textId="4C7B425B" w:rsidR="0080284E" w:rsidRPr="0080284E" w:rsidRDefault="0080284E" w:rsidP="00FA0A3C">
      <w:pPr>
        <w:numPr>
          <w:ilvl w:val="0"/>
          <w:numId w:val="19"/>
        </w:numPr>
        <w:spacing w:line="360" w:lineRule="auto"/>
        <w:rPr>
          <w:rFonts w:cs="Arial"/>
          <w:sz w:val="20"/>
          <w:szCs w:val="20"/>
        </w:rPr>
      </w:pPr>
      <w:r w:rsidRPr="0080284E">
        <w:rPr>
          <w:rFonts w:cs="Arial"/>
          <w:sz w:val="20"/>
          <w:szCs w:val="20"/>
        </w:rPr>
        <w:t>Performance Monitoring</w:t>
      </w:r>
      <w:r w:rsidRPr="008E7564">
        <w:rPr>
          <w:rFonts w:cs="Arial"/>
          <w:sz w:val="20"/>
          <w:szCs w:val="20"/>
        </w:rPr>
        <w:t xml:space="preserve"> - </w:t>
      </w:r>
      <w:r w:rsidRPr="0080284E">
        <w:rPr>
          <w:rFonts w:cs="Arial"/>
          <w:sz w:val="20"/>
          <w:szCs w:val="20"/>
        </w:rPr>
        <w:t>Track KPIs such as on-time delivery, cost efficiency, and compliance with safety standards. Tata Steel regularly reviews transport providers to maintain service quality.</w:t>
      </w:r>
    </w:p>
    <w:p w14:paraId="32C919EA" w14:textId="77777777" w:rsidR="0080284E" w:rsidRPr="0080284E" w:rsidRDefault="0080284E" w:rsidP="00FA0A3C">
      <w:pPr>
        <w:spacing w:line="360" w:lineRule="auto"/>
        <w:rPr>
          <w:rFonts w:cs="Arial"/>
          <w:sz w:val="20"/>
          <w:szCs w:val="20"/>
        </w:rPr>
      </w:pPr>
      <w:r w:rsidRPr="0080284E">
        <w:rPr>
          <w:rFonts w:cs="Arial"/>
          <w:sz w:val="20"/>
          <w:szCs w:val="20"/>
        </w:rPr>
        <w:t>By following these steps, outsourcing enables Tata Steel to optimise logistics operations, reduce capital investment, and maintain flexibility in responding to market demands.</w:t>
      </w:r>
    </w:p>
    <w:p w14:paraId="415CCF95" w14:textId="77777777" w:rsidR="00FA0A3C" w:rsidRPr="008E7564" w:rsidRDefault="00FA0A3C" w:rsidP="00FA0A3C">
      <w:pPr>
        <w:spacing w:line="360" w:lineRule="auto"/>
        <w:rPr>
          <w:rFonts w:cs="Arial"/>
          <w:b/>
          <w:bCs/>
          <w:sz w:val="20"/>
          <w:szCs w:val="20"/>
        </w:rPr>
      </w:pPr>
    </w:p>
    <w:p w14:paraId="76CC0219" w14:textId="77777777" w:rsidR="00FA0A3C" w:rsidRPr="008E7564" w:rsidRDefault="00FA0A3C" w:rsidP="00FA0A3C">
      <w:pPr>
        <w:spacing w:line="360" w:lineRule="auto"/>
        <w:rPr>
          <w:rFonts w:cs="Arial"/>
          <w:b/>
          <w:bCs/>
          <w:sz w:val="20"/>
          <w:szCs w:val="20"/>
        </w:rPr>
      </w:pPr>
    </w:p>
    <w:p w14:paraId="4FA18682" w14:textId="77777777" w:rsidR="00FA0A3C" w:rsidRPr="008E7564" w:rsidRDefault="00FA0A3C" w:rsidP="00FA0A3C">
      <w:pPr>
        <w:spacing w:line="360" w:lineRule="auto"/>
        <w:rPr>
          <w:rFonts w:cs="Arial"/>
          <w:b/>
          <w:bCs/>
          <w:sz w:val="20"/>
          <w:szCs w:val="20"/>
        </w:rPr>
      </w:pPr>
    </w:p>
    <w:p w14:paraId="02ED0C30" w14:textId="77777777" w:rsidR="00FA0A3C" w:rsidRPr="008E7564" w:rsidRDefault="00FA0A3C" w:rsidP="00FA0A3C">
      <w:pPr>
        <w:spacing w:line="360" w:lineRule="auto"/>
        <w:rPr>
          <w:rFonts w:cs="Arial"/>
          <w:b/>
          <w:bCs/>
          <w:sz w:val="20"/>
          <w:szCs w:val="20"/>
        </w:rPr>
      </w:pPr>
    </w:p>
    <w:p w14:paraId="2608A785" w14:textId="77777777" w:rsidR="00FA0A3C" w:rsidRPr="008E7564" w:rsidRDefault="00FA0A3C" w:rsidP="00FA0A3C">
      <w:pPr>
        <w:spacing w:line="360" w:lineRule="auto"/>
        <w:rPr>
          <w:rFonts w:cs="Arial"/>
          <w:b/>
          <w:bCs/>
          <w:sz w:val="20"/>
          <w:szCs w:val="20"/>
        </w:rPr>
      </w:pPr>
    </w:p>
    <w:p w14:paraId="2746D651" w14:textId="77777777" w:rsidR="00FA0A3C" w:rsidRPr="008E7564" w:rsidRDefault="00FA0A3C" w:rsidP="00FA0A3C">
      <w:pPr>
        <w:spacing w:line="360" w:lineRule="auto"/>
        <w:rPr>
          <w:rFonts w:cs="Arial"/>
          <w:b/>
          <w:bCs/>
          <w:sz w:val="20"/>
          <w:szCs w:val="20"/>
        </w:rPr>
      </w:pPr>
    </w:p>
    <w:p w14:paraId="71F0D86E" w14:textId="77777777" w:rsidR="00FA0A3C" w:rsidRPr="008E7564" w:rsidRDefault="00FA0A3C" w:rsidP="00FA0A3C">
      <w:pPr>
        <w:spacing w:line="360" w:lineRule="auto"/>
        <w:rPr>
          <w:rFonts w:cs="Arial"/>
          <w:b/>
          <w:bCs/>
          <w:sz w:val="20"/>
          <w:szCs w:val="20"/>
        </w:rPr>
      </w:pPr>
    </w:p>
    <w:p w14:paraId="3F7B66C5" w14:textId="77777777" w:rsidR="00FA0A3C" w:rsidRPr="008E7564" w:rsidRDefault="00FA0A3C" w:rsidP="00FA0A3C">
      <w:pPr>
        <w:spacing w:line="360" w:lineRule="auto"/>
        <w:rPr>
          <w:rFonts w:cs="Arial"/>
          <w:b/>
          <w:bCs/>
          <w:sz w:val="20"/>
          <w:szCs w:val="20"/>
        </w:rPr>
      </w:pPr>
    </w:p>
    <w:p w14:paraId="2614A0B6" w14:textId="77777777" w:rsidR="008E7564" w:rsidRDefault="008E7564" w:rsidP="00FA0A3C">
      <w:pPr>
        <w:spacing w:line="360" w:lineRule="auto"/>
        <w:rPr>
          <w:rFonts w:cs="Arial"/>
          <w:b/>
          <w:bCs/>
          <w:sz w:val="20"/>
          <w:szCs w:val="20"/>
        </w:rPr>
      </w:pPr>
    </w:p>
    <w:p w14:paraId="3581D8EB" w14:textId="5AB7CF37" w:rsidR="00E04C70" w:rsidRPr="00E04C70" w:rsidRDefault="00E04C70" w:rsidP="00FA0A3C">
      <w:pPr>
        <w:spacing w:line="360" w:lineRule="auto"/>
        <w:rPr>
          <w:rFonts w:cs="Arial"/>
          <w:b/>
          <w:bCs/>
          <w:sz w:val="20"/>
          <w:szCs w:val="20"/>
        </w:rPr>
      </w:pPr>
      <w:r w:rsidRPr="00E04C70">
        <w:rPr>
          <w:rFonts w:cs="Arial"/>
          <w:b/>
          <w:bCs/>
          <w:sz w:val="20"/>
          <w:szCs w:val="20"/>
        </w:rPr>
        <w:lastRenderedPageBreak/>
        <w:t xml:space="preserve">Question 3: The supplier selection and supplier relationship management </w:t>
      </w:r>
    </w:p>
    <w:p w14:paraId="516B805E" w14:textId="78637ABE" w:rsidR="00E04C70" w:rsidRPr="008E7564" w:rsidRDefault="00E04C70" w:rsidP="00FA0A3C">
      <w:pPr>
        <w:numPr>
          <w:ilvl w:val="0"/>
          <w:numId w:val="16"/>
        </w:numPr>
        <w:spacing w:line="360" w:lineRule="auto"/>
        <w:rPr>
          <w:rFonts w:cs="Arial"/>
          <w:i/>
          <w:iCs/>
          <w:color w:val="FF0000"/>
          <w:sz w:val="20"/>
          <w:szCs w:val="20"/>
        </w:rPr>
      </w:pPr>
      <w:r w:rsidRPr="00E04C70">
        <w:rPr>
          <w:rFonts w:cs="Arial"/>
          <w:i/>
          <w:iCs/>
          <w:color w:val="FF0000"/>
          <w:sz w:val="20"/>
          <w:szCs w:val="20"/>
        </w:rPr>
        <w:t xml:space="preserve">Discuss different types of supplier profiles (types of supplier profiles, segmentation by suppliers’ operational risks and responsibilities, segmentation by product lifecycle). </w:t>
      </w:r>
    </w:p>
    <w:p w14:paraId="73476F17" w14:textId="66F0E3A0" w:rsidR="00F95BC0" w:rsidRPr="008E7564" w:rsidRDefault="00F95BC0" w:rsidP="00FA0A3C">
      <w:pPr>
        <w:spacing w:line="360" w:lineRule="auto"/>
        <w:ind w:left="720"/>
        <w:rPr>
          <w:rFonts w:cs="Arial"/>
          <w:sz w:val="20"/>
          <w:szCs w:val="20"/>
        </w:rPr>
      </w:pPr>
      <w:r w:rsidRPr="008E7564">
        <w:rPr>
          <w:rFonts w:cs="Arial"/>
          <w:sz w:val="20"/>
          <w:szCs w:val="20"/>
        </w:rPr>
        <w:t>Supplier profiles can be segmented in</w:t>
      </w:r>
      <w:r w:rsidR="004B7468" w:rsidRPr="008E7564">
        <w:rPr>
          <w:rFonts w:cs="Arial"/>
          <w:sz w:val="20"/>
          <w:szCs w:val="20"/>
        </w:rPr>
        <w:t xml:space="preserve"> several ways to support effective procurement strategies:</w:t>
      </w:r>
    </w:p>
    <w:p w14:paraId="7B1E638A" w14:textId="5F910A61" w:rsidR="004B7468" w:rsidRPr="008E7564" w:rsidRDefault="00C64792" w:rsidP="00FA0A3C">
      <w:pPr>
        <w:pStyle w:val="ListParagraph"/>
        <w:spacing w:line="360" w:lineRule="auto"/>
        <w:rPr>
          <w:rFonts w:cs="Arial"/>
          <w:sz w:val="20"/>
          <w:szCs w:val="20"/>
        </w:rPr>
      </w:pPr>
      <w:r w:rsidRPr="008E7564">
        <w:rPr>
          <w:rFonts w:cs="Arial"/>
          <w:sz w:val="20"/>
          <w:szCs w:val="20"/>
        </w:rPr>
        <w:t>By relationship type</w:t>
      </w:r>
    </w:p>
    <w:p w14:paraId="68506933" w14:textId="0BF1DA10" w:rsidR="00C64792" w:rsidRPr="008E7564" w:rsidRDefault="00C64792" w:rsidP="00FA0A3C">
      <w:pPr>
        <w:pStyle w:val="ListParagraph"/>
        <w:numPr>
          <w:ilvl w:val="0"/>
          <w:numId w:val="18"/>
        </w:numPr>
        <w:spacing w:line="360" w:lineRule="auto"/>
        <w:rPr>
          <w:rFonts w:cs="Arial"/>
          <w:sz w:val="20"/>
          <w:szCs w:val="20"/>
        </w:rPr>
      </w:pPr>
      <w:r w:rsidRPr="008E7564">
        <w:rPr>
          <w:rFonts w:cs="Arial"/>
          <w:sz w:val="20"/>
          <w:szCs w:val="20"/>
        </w:rPr>
        <w:t xml:space="preserve">Transactional </w:t>
      </w:r>
      <w:r w:rsidR="00DD7BF8" w:rsidRPr="008E7564">
        <w:rPr>
          <w:rFonts w:cs="Arial"/>
          <w:sz w:val="20"/>
          <w:szCs w:val="20"/>
        </w:rPr>
        <w:t>suppliers provide standard goods / services with minimal interaction. For example, packaging material</w:t>
      </w:r>
      <w:r w:rsidR="007210DF" w:rsidRPr="008E7564">
        <w:rPr>
          <w:rFonts w:cs="Arial"/>
          <w:sz w:val="20"/>
          <w:szCs w:val="20"/>
        </w:rPr>
        <w:t xml:space="preserve"> suppliers for Tata Steel</w:t>
      </w:r>
    </w:p>
    <w:p w14:paraId="32A58132" w14:textId="170157D0" w:rsidR="007210DF" w:rsidRPr="008E7564" w:rsidRDefault="007210DF" w:rsidP="00FA0A3C">
      <w:pPr>
        <w:pStyle w:val="ListParagraph"/>
        <w:numPr>
          <w:ilvl w:val="0"/>
          <w:numId w:val="18"/>
        </w:numPr>
        <w:spacing w:line="360" w:lineRule="auto"/>
        <w:rPr>
          <w:rFonts w:cs="Arial"/>
          <w:sz w:val="20"/>
          <w:szCs w:val="20"/>
        </w:rPr>
      </w:pPr>
      <w:r w:rsidRPr="008E7564">
        <w:rPr>
          <w:rFonts w:cs="Arial"/>
          <w:sz w:val="20"/>
          <w:szCs w:val="20"/>
        </w:rPr>
        <w:t xml:space="preserve">Preferred suppliers are reliable partners for </w:t>
      </w:r>
      <w:r w:rsidR="009E781F" w:rsidRPr="008E7564">
        <w:rPr>
          <w:rFonts w:cs="Arial"/>
          <w:sz w:val="20"/>
          <w:szCs w:val="20"/>
        </w:rPr>
        <w:t xml:space="preserve">recurring needs, offering </w:t>
      </w:r>
      <w:r w:rsidR="004D41F8" w:rsidRPr="008E7564">
        <w:rPr>
          <w:rFonts w:cs="Arial"/>
          <w:sz w:val="20"/>
          <w:szCs w:val="20"/>
        </w:rPr>
        <w:t>competitive</w:t>
      </w:r>
      <w:r w:rsidR="009E781F" w:rsidRPr="008E7564">
        <w:rPr>
          <w:rFonts w:cs="Arial"/>
          <w:sz w:val="20"/>
          <w:szCs w:val="20"/>
        </w:rPr>
        <w:t xml:space="preserve"> pricing and quality. </w:t>
      </w:r>
      <w:r w:rsidR="004D41F8" w:rsidRPr="008E7564">
        <w:rPr>
          <w:rFonts w:cs="Arial"/>
          <w:sz w:val="20"/>
          <w:szCs w:val="20"/>
        </w:rPr>
        <w:t>For example regular transport providers</w:t>
      </w:r>
    </w:p>
    <w:p w14:paraId="735523D2" w14:textId="426B1188" w:rsidR="004D41F8" w:rsidRPr="008E7564" w:rsidRDefault="004D41F8" w:rsidP="00FA0A3C">
      <w:pPr>
        <w:pStyle w:val="ListParagraph"/>
        <w:numPr>
          <w:ilvl w:val="0"/>
          <w:numId w:val="18"/>
        </w:numPr>
        <w:spacing w:line="360" w:lineRule="auto"/>
        <w:rPr>
          <w:rFonts w:cs="Arial"/>
          <w:sz w:val="20"/>
          <w:szCs w:val="20"/>
        </w:rPr>
      </w:pPr>
      <w:r w:rsidRPr="008E7564">
        <w:rPr>
          <w:rFonts w:cs="Arial"/>
          <w:sz w:val="20"/>
          <w:szCs w:val="20"/>
        </w:rPr>
        <w:t>Strategic suppliers are high value</w:t>
      </w:r>
      <w:r w:rsidR="00A922F0" w:rsidRPr="008E7564">
        <w:rPr>
          <w:rFonts w:cs="Arial"/>
          <w:sz w:val="20"/>
          <w:szCs w:val="20"/>
        </w:rPr>
        <w:t>, hig</w:t>
      </w:r>
      <w:r w:rsidR="00970D93" w:rsidRPr="008E7564">
        <w:rPr>
          <w:rFonts w:cs="Arial"/>
          <w:sz w:val="20"/>
          <w:szCs w:val="20"/>
        </w:rPr>
        <w:t>h</w:t>
      </w:r>
      <w:r w:rsidR="00A922F0" w:rsidRPr="008E7564">
        <w:rPr>
          <w:rFonts w:cs="Arial"/>
          <w:sz w:val="20"/>
          <w:szCs w:val="20"/>
        </w:rPr>
        <w:t xml:space="preserve"> risk suppliers critical to operations. Example would be long term haulage contractors for oversized loads.</w:t>
      </w:r>
    </w:p>
    <w:p w14:paraId="7053D7C6" w14:textId="55D40906" w:rsidR="006A22E3" w:rsidRPr="008E7564" w:rsidRDefault="00970D93" w:rsidP="00FA0A3C">
      <w:pPr>
        <w:spacing w:line="360" w:lineRule="auto"/>
        <w:ind w:left="720"/>
        <w:rPr>
          <w:rFonts w:cs="Arial"/>
          <w:sz w:val="20"/>
          <w:szCs w:val="20"/>
        </w:rPr>
      </w:pPr>
      <w:r w:rsidRPr="008E7564">
        <w:rPr>
          <w:rFonts w:cs="Arial"/>
          <w:sz w:val="20"/>
          <w:szCs w:val="20"/>
        </w:rPr>
        <w:t xml:space="preserve">Segmentation by operational risks and responsibilities </w:t>
      </w:r>
    </w:p>
    <w:p w14:paraId="463A428A" w14:textId="012F14C1" w:rsidR="00970D93" w:rsidRPr="008E7564" w:rsidRDefault="001218F4" w:rsidP="00FA0A3C">
      <w:pPr>
        <w:pStyle w:val="ListParagraph"/>
        <w:numPr>
          <w:ilvl w:val="1"/>
          <w:numId w:val="20"/>
        </w:numPr>
        <w:spacing w:line="360" w:lineRule="auto"/>
        <w:rPr>
          <w:rFonts w:cs="Arial"/>
          <w:sz w:val="20"/>
          <w:szCs w:val="20"/>
        </w:rPr>
      </w:pPr>
      <w:r w:rsidRPr="008E7564">
        <w:rPr>
          <w:rFonts w:cs="Arial"/>
          <w:sz w:val="20"/>
          <w:szCs w:val="20"/>
        </w:rPr>
        <w:t xml:space="preserve">Low risk suppliers – easily </w:t>
      </w:r>
      <w:r w:rsidR="0022300C" w:rsidRPr="008E7564">
        <w:rPr>
          <w:rFonts w:cs="Arial"/>
          <w:sz w:val="20"/>
          <w:szCs w:val="20"/>
        </w:rPr>
        <w:t>replaceable</w:t>
      </w:r>
      <w:r w:rsidRPr="008E7564">
        <w:rPr>
          <w:rFonts w:cs="Arial"/>
          <w:sz w:val="20"/>
          <w:szCs w:val="20"/>
        </w:rPr>
        <w:t>, minimal impact on operations</w:t>
      </w:r>
    </w:p>
    <w:p w14:paraId="7D2CD9DE" w14:textId="0ACDB019" w:rsidR="001218F4" w:rsidRPr="008E7564" w:rsidRDefault="001218F4" w:rsidP="00FA0A3C">
      <w:pPr>
        <w:pStyle w:val="ListParagraph"/>
        <w:numPr>
          <w:ilvl w:val="1"/>
          <w:numId w:val="20"/>
        </w:numPr>
        <w:spacing w:line="360" w:lineRule="auto"/>
        <w:rPr>
          <w:rFonts w:cs="Arial"/>
          <w:sz w:val="20"/>
          <w:szCs w:val="20"/>
        </w:rPr>
      </w:pPr>
      <w:r w:rsidRPr="008E7564">
        <w:rPr>
          <w:rFonts w:cs="Arial"/>
          <w:sz w:val="20"/>
          <w:szCs w:val="20"/>
        </w:rPr>
        <w:t xml:space="preserve">High risk suppliers – limited market </w:t>
      </w:r>
      <w:r w:rsidR="007E375B" w:rsidRPr="008E7564">
        <w:rPr>
          <w:rFonts w:cs="Arial"/>
          <w:sz w:val="20"/>
          <w:szCs w:val="20"/>
        </w:rPr>
        <w:t xml:space="preserve">availability or specialised capability requiring close </w:t>
      </w:r>
      <w:r w:rsidR="0022300C" w:rsidRPr="008E7564">
        <w:rPr>
          <w:rFonts w:cs="Arial"/>
          <w:sz w:val="20"/>
          <w:szCs w:val="20"/>
        </w:rPr>
        <w:t>monitoring</w:t>
      </w:r>
      <w:r w:rsidR="007E375B" w:rsidRPr="008E7564">
        <w:rPr>
          <w:rFonts w:cs="Arial"/>
          <w:sz w:val="20"/>
          <w:szCs w:val="20"/>
        </w:rPr>
        <w:t>. For Tata Steel specialist transport providers fall into this category due to limited alt</w:t>
      </w:r>
      <w:r w:rsidR="0022300C" w:rsidRPr="008E7564">
        <w:rPr>
          <w:rFonts w:cs="Arial"/>
          <w:sz w:val="20"/>
          <w:szCs w:val="20"/>
        </w:rPr>
        <w:t>ernatives.</w:t>
      </w:r>
    </w:p>
    <w:p w14:paraId="3FEDA82E" w14:textId="1211F864" w:rsidR="0022300C" w:rsidRPr="008E7564" w:rsidRDefault="0022300C" w:rsidP="00FA0A3C">
      <w:pPr>
        <w:pStyle w:val="ListParagraph"/>
        <w:spacing w:line="360" w:lineRule="auto"/>
        <w:rPr>
          <w:rFonts w:cs="Arial"/>
          <w:sz w:val="20"/>
          <w:szCs w:val="20"/>
        </w:rPr>
      </w:pPr>
      <w:r w:rsidRPr="008E7564">
        <w:rPr>
          <w:rFonts w:cs="Arial"/>
          <w:sz w:val="20"/>
          <w:szCs w:val="20"/>
        </w:rPr>
        <w:t>Segmentation by product lifecycle</w:t>
      </w:r>
    </w:p>
    <w:p w14:paraId="0D4271AF" w14:textId="3E3BD320" w:rsidR="0022300C" w:rsidRPr="008E7564" w:rsidRDefault="00C51C8E" w:rsidP="00FA0A3C">
      <w:pPr>
        <w:pStyle w:val="ListParagraph"/>
        <w:numPr>
          <w:ilvl w:val="1"/>
          <w:numId w:val="21"/>
        </w:numPr>
        <w:spacing w:line="360" w:lineRule="auto"/>
        <w:rPr>
          <w:rFonts w:cs="Arial"/>
          <w:sz w:val="20"/>
          <w:szCs w:val="20"/>
        </w:rPr>
      </w:pPr>
      <w:r w:rsidRPr="008E7564">
        <w:rPr>
          <w:rFonts w:cs="Arial"/>
          <w:sz w:val="20"/>
          <w:szCs w:val="20"/>
        </w:rPr>
        <w:t xml:space="preserve">Introduction phase suppliers – innovative suppliers </w:t>
      </w:r>
      <w:r w:rsidRPr="008E7564">
        <w:rPr>
          <w:rFonts w:cs="Arial"/>
          <w:sz w:val="20"/>
          <w:szCs w:val="20"/>
        </w:rPr>
        <w:tab/>
        <w:t>for new products or processes</w:t>
      </w:r>
    </w:p>
    <w:p w14:paraId="0D62C7D4" w14:textId="65A8B3C1" w:rsidR="007F7824" w:rsidRPr="008E7564" w:rsidRDefault="00C51C8E" w:rsidP="00FA0A3C">
      <w:pPr>
        <w:pStyle w:val="ListParagraph"/>
        <w:numPr>
          <w:ilvl w:val="1"/>
          <w:numId w:val="21"/>
        </w:numPr>
        <w:spacing w:line="360" w:lineRule="auto"/>
        <w:rPr>
          <w:rFonts w:cs="Arial"/>
          <w:sz w:val="20"/>
          <w:szCs w:val="20"/>
        </w:rPr>
      </w:pPr>
      <w:r w:rsidRPr="008E7564">
        <w:rPr>
          <w:rFonts w:cs="Arial"/>
          <w:sz w:val="20"/>
          <w:szCs w:val="20"/>
        </w:rPr>
        <w:t xml:space="preserve">Growth phase suppliers – capable of scaling production </w:t>
      </w:r>
      <w:r w:rsidR="007F7824" w:rsidRPr="008E7564">
        <w:rPr>
          <w:rFonts w:cs="Arial"/>
          <w:sz w:val="20"/>
          <w:szCs w:val="20"/>
        </w:rPr>
        <w:t>to meet increasing demand.</w:t>
      </w:r>
    </w:p>
    <w:p w14:paraId="1A3CBB87" w14:textId="333830DF" w:rsidR="007F7824" w:rsidRPr="008E7564" w:rsidRDefault="007F7824" w:rsidP="00FA0A3C">
      <w:pPr>
        <w:pStyle w:val="ListParagraph"/>
        <w:numPr>
          <w:ilvl w:val="1"/>
          <w:numId w:val="21"/>
        </w:numPr>
        <w:spacing w:line="360" w:lineRule="auto"/>
        <w:rPr>
          <w:rFonts w:cs="Arial"/>
          <w:sz w:val="20"/>
          <w:szCs w:val="20"/>
        </w:rPr>
      </w:pPr>
      <w:r w:rsidRPr="008E7564">
        <w:rPr>
          <w:rFonts w:cs="Arial"/>
          <w:sz w:val="20"/>
          <w:szCs w:val="20"/>
        </w:rPr>
        <w:t>Maturity phase suppliers – focus on cost efficiency and reliability.</w:t>
      </w:r>
    </w:p>
    <w:p w14:paraId="5726F478" w14:textId="106F31F1" w:rsidR="007F7824" w:rsidRPr="008E7564" w:rsidRDefault="007F7824" w:rsidP="00FA0A3C">
      <w:pPr>
        <w:pStyle w:val="ListParagraph"/>
        <w:numPr>
          <w:ilvl w:val="1"/>
          <w:numId w:val="21"/>
        </w:numPr>
        <w:spacing w:line="360" w:lineRule="auto"/>
        <w:rPr>
          <w:rFonts w:cs="Arial"/>
          <w:sz w:val="20"/>
          <w:szCs w:val="20"/>
        </w:rPr>
      </w:pPr>
      <w:r w:rsidRPr="008E7564">
        <w:rPr>
          <w:rFonts w:cs="Arial"/>
          <w:sz w:val="20"/>
          <w:szCs w:val="20"/>
        </w:rPr>
        <w:t xml:space="preserve">Decline phase suppliers </w:t>
      </w:r>
      <w:r w:rsidR="00DC0659" w:rsidRPr="008E7564">
        <w:rPr>
          <w:rFonts w:cs="Arial"/>
          <w:sz w:val="20"/>
          <w:szCs w:val="20"/>
        </w:rPr>
        <w:t>–</w:t>
      </w:r>
      <w:r w:rsidRPr="008E7564">
        <w:rPr>
          <w:rFonts w:cs="Arial"/>
          <w:sz w:val="20"/>
          <w:szCs w:val="20"/>
        </w:rPr>
        <w:t xml:space="preserve"> </w:t>
      </w:r>
      <w:r w:rsidR="00DC0659" w:rsidRPr="008E7564">
        <w:rPr>
          <w:rFonts w:cs="Arial"/>
          <w:sz w:val="20"/>
          <w:szCs w:val="20"/>
        </w:rPr>
        <w:t>manage end of life products and disposal services.</w:t>
      </w:r>
    </w:p>
    <w:p w14:paraId="48A36BB5" w14:textId="22EAA761" w:rsidR="00DC0659" w:rsidRPr="008E7564" w:rsidRDefault="00DC0659" w:rsidP="00FA0A3C">
      <w:pPr>
        <w:spacing w:line="360" w:lineRule="auto"/>
        <w:ind w:left="720"/>
        <w:rPr>
          <w:rFonts w:cs="Arial"/>
          <w:sz w:val="20"/>
          <w:szCs w:val="20"/>
        </w:rPr>
      </w:pPr>
      <w:r w:rsidRPr="008E7564">
        <w:rPr>
          <w:rFonts w:cs="Arial"/>
          <w:sz w:val="20"/>
          <w:szCs w:val="20"/>
        </w:rPr>
        <w:t>For example Tata Steel’s raw material suppliers</w:t>
      </w:r>
      <w:r w:rsidR="00135528" w:rsidRPr="008E7564">
        <w:rPr>
          <w:rFonts w:cs="Arial"/>
          <w:sz w:val="20"/>
          <w:szCs w:val="20"/>
        </w:rPr>
        <w:t xml:space="preserve"> are in the maturity phase, while suppliers for new sustainability initiatives may be in the introductory phase.</w:t>
      </w:r>
    </w:p>
    <w:p w14:paraId="5BAA878B" w14:textId="77777777" w:rsidR="006A22E3" w:rsidRPr="008E7564" w:rsidRDefault="006A22E3" w:rsidP="00FA0A3C">
      <w:pPr>
        <w:spacing w:line="360" w:lineRule="auto"/>
        <w:rPr>
          <w:rFonts w:cs="Arial"/>
          <w:sz w:val="20"/>
          <w:szCs w:val="20"/>
        </w:rPr>
      </w:pPr>
    </w:p>
    <w:p w14:paraId="792D226F" w14:textId="77777777" w:rsidR="00FA0A3C" w:rsidRPr="008E7564" w:rsidRDefault="00FA0A3C" w:rsidP="00FA0A3C">
      <w:pPr>
        <w:spacing w:line="360" w:lineRule="auto"/>
        <w:rPr>
          <w:rFonts w:cs="Arial"/>
          <w:sz w:val="20"/>
          <w:szCs w:val="20"/>
        </w:rPr>
      </w:pPr>
    </w:p>
    <w:p w14:paraId="2DA8EDBE" w14:textId="77777777" w:rsidR="00FA0A3C" w:rsidRPr="008E7564" w:rsidRDefault="00FA0A3C" w:rsidP="00FA0A3C">
      <w:pPr>
        <w:spacing w:line="360" w:lineRule="auto"/>
        <w:rPr>
          <w:rFonts w:cs="Arial"/>
          <w:sz w:val="20"/>
          <w:szCs w:val="20"/>
        </w:rPr>
      </w:pPr>
    </w:p>
    <w:p w14:paraId="24287D8D" w14:textId="77777777" w:rsidR="00E04C70" w:rsidRDefault="00E04C70" w:rsidP="00FA0A3C">
      <w:pPr>
        <w:spacing w:line="360" w:lineRule="auto"/>
        <w:rPr>
          <w:rFonts w:cs="Arial"/>
          <w:i/>
          <w:iCs/>
          <w:sz w:val="20"/>
          <w:szCs w:val="20"/>
        </w:rPr>
      </w:pPr>
    </w:p>
    <w:p w14:paraId="6C013F12" w14:textId="77777777" w:rsidR="008E7564" w:rsidRDefault="008E7564" w:rsidP="00FA0A3C">
      <w:pPr>
        <w:spacing w:line="360" w:lineRule="auto"/>
        <w:rPr>
          <w:rFonts w:cs="Arial"/>
          <w:i/>
          <w:iCs/>
          <w:sz w:val="20"/>
          <w:szCs w:val="20"/>
        </w:rPr>
      </w:pPr>
    </w:p>
    <w:p w14:paraId="7E5BF36E" w14:textId="77777777" w:rsidR="008E7564" w:rsidRDefault="008E7564" w:rsidP="00FA0A3C">
      <w:pPr>
        <w:spacing w:line="360" w:lineRule="auto"/>
        <w:rPr>
          <w:rFonts w:cs="Arial"/>
          <w:i/>
          <w:iCs/>
          <w:sz w:val="20"/>
          <w:szCs w:val="20"/>
        </w:rPr>
      </w:pPr>
    </w:p>
    <w:p w14:paraId="7501EDD3" w14:textId="77777777" w:rsidR="008E7564" w:rsidRPr="00E04C70" w:rsidRDefault="008E7564" w:rsidP="00FA0A3C">
      <w:pPr>
        <w:spacing w:line="360" w:lineRule="auto"/>
        <w:rPr>
          <w:rFonts w:cs="Arial"/>
          <w:i/>
          <w:iCs/>
          <w:sz w:val="20"/>
          <w:szCs w:val="20"/>
        </w:rPr>
      </w:pPr>
    </w:p>
    <w:p w14:paraId="4065572D" w14:textId="66EE52B8" w:rsidR="00E04C70" w:rsidRPr="008E7564" w:rsidRDefault="00E04C70" w:rsidP="00FA0A3C">
      <w:pPr>
        <w:numPr>
          <w:ilvl w:val="0"/>
          <w:numId w:val="16"/>
        </w:numPr>
        <w:spacing w:line="360" w:lineRule="auto"/>
        <w:rPr>
          <w:rFonts w:cs="Arial"/>
          <w:i/>
          <w:iCs/>
          <w:color w:val="FF0000"/>
          <w:sz w:val="20"/>
          <w:szCs w:val="20"/>
        </w:rPr>
      </w:pPr>
      <w:r w:rsidRPr="00E04C70">
        <w:rPr>
          <w:rFonts w:cs="Arial"/>
          <w:i/>
          <w:iCs/>
          <w:color w:val="FF0000"/>
          <w:sz w:val="20"/>
          <w:szCs w:val="20"/>
        </w:rPr>
        <w:lastRenderedPageBreak/>
        <w:t xml:space="preserve">Discuss the formal qualification criteria, suitability for the procurement strategy and the qualification team and process. Use your workplace-related examples. </w:t>
      </w:r>
    </w:p>
    <w:p w14:paraId="36B3540C" w14:textId="7753301A" w:rsidR="00153627" w:rsidRPr="008E7564" w:rsidRDefault="00153627" w:rsidP="00FA0A3C">
      <w:pPr>
        <w:spacing w:line="360" w:lineRule="auto"/>
        <w:ind w:left="720"/>
        <w:rPr>
          <w:rFonts w:cs="Arial"/>
          <w:sz w:val="20"/>
          <w:szCs w:val="20"/>
        </w:rPr>
      </w:pPr>
      <w:r w:rsidRPr="008E7564">
        <w:rPr>
          <w:rFonts w:cs="Arial"/>
          <w:sz w:val="20"/>
          <w:szCs w:val="20"/>
        </w:rPr>
        <w:t xml:space="preserve">Formal qualification </w:t>
      </w:r>
      <w:r w:rsidR="00667418" w:rsidRPr="008E7564">
        <w:rPr>
          <w:rFonts w:cs="Arial"/>
          <w:sz w:val="20"/>
          <w:szCs w:val="20"/>
        </w:rPr>
        <w:t xml:space="preserve">criteria ensure suppliers meet </w:t>
      </w:r>
      <w:r w:rsidR="00B42D64" w:rsidRPr="008E7564">
        <w:rPr>
          <w:rFonts w:cs="Arial"/>
          <w:sz w:val="20"/>
          <w:szCs w:val="20"/>
        </w:rPr>
        <w:t>organisational</w:t>
      </w:r>
      <w:r w:rsidR="00667418" w:rsidRPr="008E7564">
        <w:rPr>
          <w:rFonts w:cs="Arial"/>
          <w:sz w:val="20"/>
          <w:szCs w:val="20"/>
        </w:rPr>
        <w:t xml:space="preserve"> standards before engagement</w:t>
      </w:r>
      <w:r w:rsidR="00B42D64" w:rsidRPr="008E7564">
        <w:rPr>
          <w:rFonts w:cs="Arial"/>
          <w:sz w:val="20"/>
          <w:szCs w:val="20"/>
        </w:rPr>
        <w:t>. Common criteria include:</w:t>
      </w:r>
    </w:p>
    <w:p w14:paraId="59EE36BE" w14:textId="0E2829B6" w:rsidR="00B42D64" w:rsidRPr="008E7564" w:rsidRDefault="00B42D64" w:rsidP="00FA0A3C">
      <w:pPr>
        <w:pStyle w:val="ListParagraph"/>
        <w:numPr>
          <w:ilvl w:val="1"/>
          <w:numId w:val="22"/>
        </w:numPr>
        <w:spacing w:line="360" w:lineRule="auto"/>
        <w:rPr>
          <w:rFonts w:cs="Arial"/>
          <w:sz w:val="20"/>
          <w:szCs w:val="20"/>
        </w:rPr>
      </w:pPr>
      <w:r w:rsidRPr="008E7564">
        <w:rPr>
          <w:rFonts w:cs="Arial"/>
          <w:sz w:val="20"/>
          <w:szCs w:val="20"/>
        </w:rPr>
        <w:t xml:space="preserve">Financial stability </w:t>
      </w:r>
      <w:r w:rsidR="00201AA1" w:rsidRPr="008E7564">
        <w:rPr>
          <w:rFonts w:cs="Arial"/>
          <w:sz w:val="20"/>
          <w:szCs w:val="20"/>
        </w:rPr>
        <w:t>– Ability to sustain operations and manage large contracts</w:t>
      </w:r>
    </w:p>
    <w:p w14:paraId="436653A4" w14:textId="4F8CAB8F" w:rsidR="00201AA1" w:rsidRPr="008E7564" w:rsidRDefault="00201AA1" w:rsidP="00FA0A3C">
      <w:pPr>
        <w:pStyle w:val="ListParagraph"/>
        <w:numPr>
          <w:ilvl w:val="1"/>
          <w:numId w:val="22"/>
        </w:numPr>
        <w:spacing w:line="360" w:lineRule="auto"/>
        <w:rPr>
          <w:rFonts w:cs="Arial"/>
          <w:sz w:val="20"/>
          <w:szCs w:val="20"/>
        </w:rPr>
      </w:pPr>
      <w:r w:rsidRPr="008E7564">
        <w:rPr>
          <w:rFonts w:cs="Arial"/>
          <w:sz w:val="20"/>
          <w:szCs w:val="20"/>
        </w:rPr>
        <w:t>Technical capability – compliance with specifications, certifications and safety standards</w:t>
      </w:r>
    </w:p>
    <w:p w14:paraId="74D102E9" w14:textId="2717DBC2" w:rsidR="00F44D32" w:rsidRPr="008E7564" w:rsidRDefault="00F44D32" w:rsidP="00FA0A3C">
      <w:pPr>
        <w:pStyle w:val="ListParagraph"/>
        <w:numPr>
          <w:ilvl w:val="1"/>
          <w:numId w:val="22"/>
        </w:numPr>
        <w:spacing w:line="360" w:lineRule="auto"/>
        <w:rPr>
          <w:rFonts w:cs="Arial"/>
          <w:sz w:val="20"/>
          <w:szCs w:val="20"/>
        </w:rPr>
      </w:pPr>
      <w:r w:rsidRPr="008E7564">
        <w:rPr>
          <w:rFonts w:cs="Arial"/>
          <w:sz w:val="20"/>
          <w:szCs w:val="20"/>
        </w:rPr>
        <w:t>Quality assurance – Proven track record of delivering defect free products / services</w:t>
      </w:r>
    </w:p>
    <w:p w14:paraId="0AE4228D" w14:textId="77777777" w:rsidR="005637F9" w:rsidRPr="008E7564" w:rsidRDefault="00F44D32" w:rsidP="00FA0A3C">
      <w:pPr>
        <w:pStyle w:val="ListParagraph"/>
        <w:numPr>
          <w:ilvl w:val="1"/>
          <w:numId w:val="22"/>
        </w:numPr>
        <w:spacing w:line="360" w:lineRule="auto"/>
        <w:rPr>
          <w:rFonts w:cs="Arial"/>
          <w:sz w:val="20"/>
          <w:szCs w:val="20"/>
        </w:rPr>
      </w:pPr>
      <w:r w:rsidRPr="008E7564">
        <w:rPr>
          <w:rFonts w:cs="Arial"/>
          <w:sz w:val="20"/>
          <w:szCs w:val="20"/>
        </w:rPr>
        <w:t xml:space="preserve">Compliance and ethics – Adherence to legal, environmental and ethical requirements </w:t>
      </w:r>
      <w:r w:rsidRPr="008E7564">
        <w:rPr>
          <w:rFonts w:cs="Arial"/>
          <w:sz w:val="20"/>
          <w:szCs w:val="20"/>
        </w:rPr>
        <w:tab/>
        <w:t xml:space="preserve"> </w:t>
      </w:r>
    </w:p>
    <w:p w14:paraId="44891031" w14:textId="77777777" w:rsidR="004B55DF" w:rsidRPr="008E7564" w:rsidRDefault="005637F9" w:rsidP="00FA0A3C">
      <w:pPr>
        <w:pStyle w:val="ListParagraph"/>
        <w:spacing w:line="360" w:lineRule="auto"/>
        <w:rPr>
          <w:rFonts w:cs="Arial"/>
          <w:sz w:val="20"/>
          <w:szCs w:val="20"/>
        </w:rPr>
      </w:pPr>
      <w:r w:rsidRPr="008E7564">
        <w:rPr>
          <w:rFonts w:cs="Arial"/>
          <w:sz w:val="20"/>
          <w:szCs w:val="20"/>
        </w:rPr>
        <w:t>Sustainability for procurement strategy</w:t>
      </w:r>
      <w:r w:rsidR="004B55DF" w:rsidRPr="008E7564">
        <w:rPr>
          <w:rFonts w:cs="Arial"/>
          <w:sz w:val="20"/>
          <w:szCs w:val="20"/>
        </w:rPr>
        <w:t>:</w:t>
      </w:r>
    </w:p>
    <w:p w14:paraId="68A8BFF9" w14:textId="77777777" w:rsidR="00E42256" w:rsidRPr="008E7564" w:rsidRDefault="004B55DF" w:rsidP="00FA0A3C">
      <w:pPr>
        <w:pStyle w:val="ListParagraph"/>
        <w:spacing w:line="360" w:lineRule="auto"/>
        <w:rPr>
          <w:rFonts w:cs="Arial"/>
          <w:sz w:val="20"/>
          <w:szCs w:val="20"/>
        </w:rPr>
      </w:pPr>
      <w:r w:rsidRPr="008E7564">
        <w:rPr>
          <w:rFonts w:cs="Arial"/>
          <w:sz w:val="20"/>
          <w:szCs w:val="20"/>
        </w:rPr>
        <w:t xml:space="preserve">For Tata Steel, strategic suppliers such as haulage contractors must align with long term objectives like cost efficiency, </w:t>
      </w:r>
      <w:r w:rsidR="004E0340" w:rsidRPr="008E7564">
        <w:rPr>
          <w:rFonts w:cs="Arial"/>
          <w:sz w:val="20"/>
          <w:szCs w:val="20"/>
        </w:rPr>
        <w:t>reliability and sustainability. For example transport providers are evaluated for fleet capacity</w:t>
      </w:r>
      <w:r w:rsidR="00E42256" w:rsidRPr="008E7564">
        <w:rPr>
          <w:rFonts w:cs="Arial"/>
          <w:sz w:val="20"/>
          <w:szCs w:val="20"/>
        </w:rPr>
        <w:t>, safety compliance and ability to handle oversized loads.</w:t>
      </w:r>
    </w:p>
    <w:p w14:paraId="216AB321" w14:textId="77777777" w:rsidR="008B30E4" w:rsidRPr="008E7564" w:rsidRDefault="00E42256" w:rsidP="00FA0A3C">
      <w:pPr>
        <w:pStyle w:val="ListParagraph"/>
        <w:spacing w:line="360" w:lineRule="auto"/>
        <w:rPr>
          <w:rFonts w:cs="Arial"/>
          <w:sz w:val="20"/>
          <w:szCs w:val="20"/>
        </w:rPr>
      </w:pPr>
      <w:r w:rsidRPr="008E7564">
        <w:rPr>
          <w:rFonts w:cs="Arial"/>
          <w:sz w:val="20"/>
          <w:szCs w:val="20"/>
        </w:rPr>
        <w:t>Qualification team and process</w:t>
      </w:r>
      <w:r w:rsidR="008B30E4" w:rsidRPr="008E7564">
        <w:rPr>
          <w:rFonts w:cs="Arial"/>
          <w:sz w:val="20"/>
          <w:szCs w:val="20"/>
        </w:rPr>
        <w:t>:</w:t>
      </w:r>
    </w:p>
    <w:p w14:paraId="075E39E0" w14:textId="77777777" w:rsidR="008B30E4" w:rsidRPr="008E7564" w:rsidRDefault="008B30E4" w:rsidP="00FA0A3C">
      <w:pPr>
        <w:pStyle w:val="ListParagraph"/>
        <w:spacing w:line="360" w:lineRule="auto"/>
        <w:rPr>
          <w:rFonts w:cs="Arial"/>
          <w:sz w:val="20"/>
          <w:szCs w:val="20"/>
        </w:rPr>
      </w:pPr>
      <w:r w:rsidRPr="008E7564">
        <w:rPr>
          <w:rFonts w:cs="Arial"/>
          <w:sz w:val="20"/>
          <w:szCs w:val="20"/>
        </w:rPr>
        <w:t>The process typically involves:</w:t>
      </w:r>
    </w:p>
    <w:p w14:paraId="65A325A6" w14:textId="367CE551" w:rsidR="00F44D32" w:rsidRPr="008E7564" w:rsidRDefault="003011A9" w:rsidP="00FA0A3C">
      <w:pPr>
        <w:pStyle w:val="ListParagraph"/>
        <w:numPr>
          <w:ilvl w:val="1"/>
          <w:numId w:val="23"/>
        </w:numPr>
        <w:spacing w:line="360" w:lineRule="auto"/>
        <w:rPr>
          <w:rFonts w:cs="Arial"/>
          <w:sz w:val="20"/>
          <w:szCs w:val="20"/>
        </w:rPr>
      </w:pPr>
      <w:r w:rsidRPr="008E7564">
        <w:rPr>
          <w:rFonts w:cs="Arial"/>
          <w:sz w:val="20"/>
          <w:szCs w:val="20"/>
        </w:rPr>
        <w:t xml:space="preserve">Cross functional team formation – Procurement, logistics, finance and quality assurance </w:t>
      </w:r>
      <w:r w:rsidR="00945A4A" w:rsidRPr="008E7564">
        <w:rPr>
          <w:rFonts w:cs="Arial"/>
          <w:sz w:val="20"/>
          <w:szCs w:val="20"/>
        </w:rPr>
        <w:t>collaborate.</w:t>
      </w:r>
    </w:p>
    <w:p w14:paraId="7D787F4C" w14:textId="38D5BC15" w:rsidR="00945A4A" w:rsidRPr="008E7564" w:rsidRDefault="00945A4A" w:rsidP="00FA0A3C">
      <w:pPr>
        <w:pStyle w:val="ListParagraph"/>
        <w:numPr>
          <w:ilvl w:val="1"/>
          <w:numId w:val="23"/>
        </w:numPr>
        <w:spacing w:line="360" w:lineRule="auto"/>
        <w:rPr>
          <w:rFonts w:cs="Arial"/>
          <w:sz w:val="20"/>
          <w:szCs w:val="20"/>
        </w:rPr>
      </w:pPr>
      <w:r w:rsidRPr="008E7564">
        <w:rPr>
          <w:rFonts w:cs="Arial"/>
          <w:sz w:val="20"/>
          <w:szCs w:val="20"/>
        </w:rPr>
        <w:t>Pre-qualification screening – review supplier documentation, certifications</w:t>
      </w:r>
      <w:r w:rsidR="002577B4" w:rsidRPr="008E7564">
        <w:rPr>
          <w:rFonts w:cs="Arial"/>
          <w:sz w:val="20"/>
          <w:szCs w:val="20"/>
        </w:rPr>
        <w:t xml:space="preserve"> and financial reports.</w:t>
      </w:r>
    </w:p>
    <w:p w14:paraId="7E961593" w14:textId="50644F5C" w:rsidR="002577B4" w:rsidRPr="008E7564" w:rsidRDefault="002577B4" w:rsidP="00FA0A3C">
      <w:pPr>
        <w:pStyle w:val="ListParagraph"/>
        <w:numPr>
          <w:ilvl w:val="1"/>
          <w:numId w:val="23"/>
        </w:numPr>
        <w:spacing w:line="360" w:lineRule="auto"/>
        <w:rPr>
          <w:rFonts w:cs="Arial"/>
          <w:sz w:val="20"/>
          <w:szCs w:val="20"/>
        </w:rPr>
      </w:pPr>
      <w:r w:rsidRPr="008E7564">
        <w:rPr>
          <w:rFonts w:cs="Arial"/>
          <w:sz w:val="20"/>
          <w:szCs w:val="20"/>
        </w:rPr>
        <w:t>Site audits and trials – asses operational capa</w:t>
      </w:r>
      <w:r w:rsidR="00CF4FF2" w:rsidRPr="008E7564">
        <w:rPr>
          <w:rFonts w:cs="Arial"/>
          <w:sz w:val="20"/>
          <w:szCs w:val="20"/>
        </w:rPr>
        <w:t>bility and compliance. Tata Steel conducts trail runs with new transport providers before awarding contracts.</w:t>
      </w:r>
    </w:p>
    <w:p w14:paraId="06AC12C6" w14:textId="687C3254" w:rsidR="00CF4FF2" w:rsidRPr="008E7564" w:rsidRDefault="00CF4FF2" w:rsidP="00FA0A3C">
      <w:pPr>
        <w:pStyle w:val="ListParagraph"/>
        <w:numPr>
          <w:ilvl w:val="1"/>
          <w:numId w:val="23"/>
        </w:numPr>
        <w:spacing w:line="360" w:lineRule="auto"/>
        <w:rPr>
          <w:rFonts w:cs="Arial"/>
          <w:sz w:val="20"/>
          <w:szCs w:val="20"/>
        </w:rPr>
      </w:pPr>
      <w:r w:rsidRPr="008E7564">
        <w:rPr>
          <w:rFonts w:cs="Arial"/>
          <w:sz w:val="20"/>
          <w:szCs w:val="20"/>
        </w:rPr>
        <w:t xml:space="preserve">Approval and onboarding – formal inclusion in the </w:t>
      </w:r>
      <w:r w:rsidR="00480AEF" w:rsidRPr="008E7564">
        <w:rPr>
          <w:rFonts w:cs="Arial"/>
          <w:sz w:val="20"/>
          <w:szCs w:val="20"/>
        </w:rPr>
        <w:t>approved supplier list, followed by performance monitoring.</w:t>
      </w:r>
    </w:p>
    <w:p w14:paraId="451A2790" w14:textId="4708FF55" w:rsidR="00480AEF" w:rsidRPr="008E7564" w:rsidRDefault="00510A36" w:rsidP="00FA0A3C">
      <w:pPr>
        <w:pStyle w:val="ListParagraph"/>
        <w:spacing w:line="360" w:lineRule="auto"/>
        <w:rPr>
          <w:rFonts w:cs="Arial"/>
          <w:sz w:val="20"/>
          <w:szCs w:val="20"/>
        </w:rPr>
      </w:pPr>
      <w:r w:rsidRPr="008E7564">
        <w:rPr>
          <w:rFonts w:cs="Arial"/>
          <w:sz w:val="20"/>
          <w:szCs w:val="20"/>
        </w:rPr>
        <w:t>This structured approach ensures suppliers are reliable, compliant an aligned with operational goals.</w:t>
      </w:r>
    </w:p>
    <w:p w14:paraId="4015E9F5" w14:textId="77777777" w:rsidR="0080284E" w:rsidRPr="00B42D64" w:rsidRDefault="0080284E" w:rsidP="00FD29D6"/>
    <w:p w14:paraId="47A8F998" w14:textId="57153508" w:rsidR="006630C1" w:rsidRPr="00201AA1" w:rsidRDefault="006630C1" w:rsidP="00480E9B"/>
    <w:sectPr w:rsidR="006630C1" w:rsidRPr="00201AA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894232" w14:textId="77777777" w:rsidR="009248BA" w:rsidRPr="00B42D64" w:rsidRDefault="009248BA" w:rsidP="00FA4AFB">
      <w:pPr>
        <w:spacing w:after="0" w:line="240" w:lineRule="auto"/>
      </w:pPr>
      <w:r w:rsidRPr="00B42D64">
        <w:separator/>
      </w:r>
    </w:p>
  </w:endnote>
  <w:endnote w:type="continuationSeparator" w:id="0">
    <w:p w14:paraId="0BE2AC63" w14:textId="77777777" w:rsidR="009248BA" w:rsidRPr="00B42D64" w:rsidRDefault="009248BA" w:rsidP="00FA4AFB">
      <w:pPr>
        <w:spacing w:after="0" w:line="240" w:lineRule="auto"/>
      </w:pPr>
      <w:r w:rsidRPr="00B42D6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0650832"/>
      <w:docPartObj>
        <w:docPartGallery w:val="Page Numbers (Bottom of Page)"/>
        <w:docPartUnique/>
      </w:docPartObj>
    </w:sdtPr>
    <w:sdtContent>
      <w:p w14:paraId="49AED99E" w14:textId="38D18518" w:rsidR="00FA4AFB" w:rsidRPr="00B42D64" w:rsidRDefault="00FA4AFB">
        <w:pPr>
          <w:pStyle w:val="Footer"/>
        </w:pPr>
        <w:r w:rsidRPr="00B42D64">
          <w:t xml:space="preserve">Page | </w:t>
        </w:r>
        <w:r w:rsidRPr="00B42D64">
          <w:fldChar w:fldCharType="begin"/>
        </w:r>
        <w:r w:rsidRPr="00B42D64">
          <w:instrText xml:space="preserve"> PAGE   \* MERGEFORMAT </w:instrText>
        </w:r>
        <w:r w:rsidRPr="00B42D64">
          <w:fldChar w:fldCharType="separate"/>
        </w:r>
        <w:r w:rsidRPr="00B42D64">
          <w:t>2</w:t>
        </w:r>
        <w:r w:rsidRPr="00B42D64">
          <w:fldChar w:fldCharType="end"/>
        </w:r>
      </w:p>
    </w:sdtContent>
  </w:sdt>
  <w:p w14:paraId="77E7A43A" w14:textId="77777777" w:rsidR="00FA4AFB" w:rsidRPr="00B42D64" w:rsidRDefault="00FA4A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D93C9" w14:textId="77777777" w:rsidR="009248BA" w:rsidRPr="00B42D64" w:rsidRDefault="009248BA" w:rsidP="00FA4AFB">
      <w:pPr>
        <w:spacing w:after="0" w:line="240" w:lineRule="auto"/>
      </w:pPr>
      <w:r w:rsidRPr="00B42D64">
        <w:separator/>
      </w:r>
    </w:p>
  </w:footnote>
  <w:footnote w:type="continuationSeparator" w:id="0">
    <w:p w14:paraId="0880C7F1" w14:textId="77777777" w:rsidR="009248BA" w:rsidRPr="00B42D64" w:rsidRDefault="009248BA" w:rsidP="00FA4AFB">
      <w:pPr>
        <w:spacing w:after="0" w:line="240" w:lineRule="auto"/>
      </w:pPr>
      <w:r w:rsidRPr="00B42D6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5472079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3F864408"/>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B032057"/>
    <w:multiLevelType w:val="multilevel"/>
    <w:tmpl w:val="B3EC1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FD606E"/>
    <w:multiLevelType w:val="multilevel"/>
    <w:tmpl w:val="5198B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E4757B"/>
    <w:multiLevelType w:val="hybridMultilevel"/>
    <w:tmpl w:val="A78427F2"/>
    <w:lvl w:ilvl="0" w:tplc="FFFFFFFF">
      <w:start w:val="1"/>
      <w:numFmt w:val="lowerLetter"/>
      <w:lvlText w:val="%1)"/>
      <w:lvlJc w:val="left"/>
      <w:pPr>
        <w:ind w:left="720" w:hanging="360"/>
      </w:pPr>
    </w:lvl>
    <w:lvl w:ilvl="1" w:tplc="08090019">
      <w:start w:val="1"/>
      <w:numFmt w:val="lowerLetter"/>
      <w:lvlText w:val="%2."/>
      <w:lvlJc w:val="left"/>
      <w:pPr>
        <w:ind w:left="1724" w:hanging="360"/>
      </w:pPr>
    </w:lvl>
    <w:lvl w:ilvl="2" w:tplc="0809001B">
      <w:start w:val="1"/>
      <w:numFmt w:val="lowerRoman"/>
      <w:lvlText w:val="%3."/>
      <w:lvlJc w:val="right"/>
      <w:pPr>
        <w:ind w:left="2444" w:hanging="180"/>
      </w:pPr>
    </w:lvl>
    <w:lvl w:ilvl="3" w:tplc="0809000F">
      <w:start w:val="1"/>
      <w:numFmt w:val="decimal"/>
      <w:lvlText w:val="%4."/>
      <w:lvlJc w:val="left"/>
      <w:pPr>
        <w:ind w:left="3164" w:hanging="360"/>
      </w:pPr>
    </w:lvl>
    <w:lvl w:ilvl="4" w:tplc="08090019">
      <w:start w:val="1"/>
      <w:numFmt w:val="lowerLetter"/>
      <w:lvlText w:val="%5."/>
      <w:lvlJc w:val="left"/>
      <w:pPr>
        <w:ind w:left="3884" w:hanging="360"/>
      </w:pPr>
    </w:lvl>
    <w:lvl w:ilvl="5" w:tplc="0809001B">
      <w:start w:val="1"/>
      <w:numFmt w:val="lowerRoman"/>
      <w:lvlText w:val="%6."/>
      <w:lvlJc w:val="right"/>
      <w:pPr>
        <w:ind w:left="4604" w:hanging="180"/>
      </w:pPr>
    </w:lvl>
    <w:lvl w:ilvl="6" w:tplc="0809000F">
      <w:start w:val="1"/>
      <w:numFmt w:val="decimal"/>
      <w:lvlText w:val="%7."/>
      <w:lvlJc w:val="left"/>
      <w:pPr>
        <w:ind w:left="5324" w:hanging="360"/>
      </w:pPr>
    </w:lvl>
    <w:lvl w:ilvl="7" w:tplc="08090019">
      <w:start w:val="1"/>
      <w:numFmt w:val="lowerLetter"/>
      <w:lvlText w:val="%8."/>
      <w:lvlJc w:val="left"/>
      <w:pPr>
        <w:ind w:left="6044" w:hanging="360"/>
      </w:pPr>
    </w:lvl>
    <w:lvl w:ilvl="8" w:tplc="0809001B">
      <w:start w:val="1"/>
      <w:numFmt w:val="lowerRoman"/>
      <w:lvlText w:val="%9."/>
      <w:lvlJc w:val="right"/>
      <w:pPr>
        <w:ind w:left="6764" w:hanging="180"/>
      </w:pPr>
    </w:lvl>
  </w:abstractNum>
  <w:abstractNum w:abstractNumId="5" w15:restartNumberingAfterBreak="0">
    <w:nsid w:val="237C15C5"/>
    <w:multiLevelType w:val="multilevel"/>
    <w:tmpl w:val="681A189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CA0107"/>
    <w:multiLevelType w:val="multilevel"/>
    <w:tmpl w:val="3FF4D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D16093"/>
    <w:multiLevelType w:val="hybridMultilevel"/>
    <w:tmpl w:val="FD16E9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9A22E33"/>
    <w:multiLevelType w:val="multilevel"/>
    <w:tmpl w:val="49D6E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F1128C2"/>
    <w:multiLevelType w:val="multilevel"/>
    <w:tmpl w:val="681A189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075138D"/>
    <w:multiLevelType w:val="hybridMultilevel"/>
    <w:tmpl w:val="99D042C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06515D"/>
    <w:multiLevelType w:val="multilevel"/>
    <w:tmpl w:val="65781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D250FB"/>
    <w:multiLevelType w:val="multilevel"/>
    <w:tmpl w:val="0672A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954CE5"/>
    <w:multiLevelType w:val="multilevel"/>
    <w:tmpl w:val="56183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0F77CE"/>
    <w:multiLevelType w:val="multilevel"/>
    <w:tmpl w:val="681A189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8452806"/>
    <w:multiLevelType w:val="multilevel"/>
    <w:tmpl w:val="76C62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9DF10EA"/>
    <w:multiLevelType w:val="multilevel"/>
    <w:tmpl w:val="2F808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B17966"/>
    <w:multiLevelType w:val="multilevel"/>
    <w:tmpl w:val="14927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910C74"/>
    <w:multiLevelType w:val="multilevel"/>
    <w:tmpl w:val="D2F497B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F544156"/>
    <w:multiLevelType w:val="hybridMultilevel"/>
    <w:tmpl w:val="7020D94C"/>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7B1812BC"/>
    <w:multiLevelType w:val="multilevel"/>
    <w:tmpl w:val="681A189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B1A5666"/>
    <w:multiLevelType w:val="multilevel"/>
    <w:tmpl w:val="A9F842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3006529">
    <w:abstractNumId w:val="15"/>
  </w:num>
  <w:num w:numId="2" w16cid:durableId="635064491">
    <w:abstractNumId w:val="3"/>
  </w:num>
  <w:num w:numId="3" w16cid:durableId="1620062037">
    <w:abstractNumId w:val="11"/>
  </w:num>
  <w:num w:numId="4" w16cid:durableId="83385412">
    <w:abstractNumId w:val="2"/>
  </w:num>
  <w:num w:numId="5" w16cid:durableId="1033190145">
    <w:abstractNumId w:val="16"/>
  </w:num>
  <w:num w:numId="6" w16cid:durableId="2075540976">
    <w:abstractNumId w:val="6"/>
  </w:num>
  <w:num w:numId="7" w16cid:durableId="364985765">
    <w:abstractNumId w:val="21"/>
  </w:num>
  <w:num w:numId="8" w16cid:durableId="1451048285">
    <w:abstractNumId w:val="17"/>
  </w:num>
  <w:num w:numId="9" w16cid:durableId="1153838292">
    <w:abstractNumId w:val="12"/>
  </w:num>
  <w:num w:numId="10" w16cid:durableId="39763128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59325591">
    <w:abstractNumId w:val="1"/>
  </w:num>
  <w:num w:numId="12" w16cid:durableId="1588080709">
    <w:abstractNumId w:val="0"/>
  </w:num>
  <w:num w:numId="13" w16cid:durableId="2064133279">
    <w:abstractNumId w:val="8"/>
  </w:num>
  <w:num w:numId="14" w16cid:durableId="1676608663">
    <w:abstractNumId w:val="10"/>
  </w:num>
  <w:num w:numId="15" w16cid:durableId="14506282">
    <w:abstractNumId w:val="13"/>
  </w:num>
  <w:num w:numId="16" w16cid:durableId="2737088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00422313">
    <w:abstractNumId w:val="4"/>
  </w:num>
  <w:num w:numId="18" w16cid:durableId="1316177765">
    <w:abstractNumId w:val="7"/>
  </w:num>
  <w:num w:numId="19" w16cid:durableId="1882283950">
    <w:abstractNumId w:val="18"/>
  </w:num>
  <w:num w:numId="20" w16cid:durableId="1391492244">
    <w:abstractNumId w:val="20"/>
  </w:num>
  <w:num w:numId="21" w16cid:durableId="1159273632">
    <w:abstractNumId w:val="14"/>
  </w:num>
  <w:num w:numId="22" w16cid:durableId="945577731">
    <w:abstractNumId w:val="9"/>
  </w:num>
  <w:num w:numId="23" w16cid:durableId="12784416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AFB"/>
    <w:rsid w:val="00003A6A"/>
    <w:rsid w:val="000124BB"/>
    <w:rsid w:val="0001543C"/>
    <w:rsid w:val="00016A8E"/>
    <w:rsid w:val="000218E7"/>
    <w:rsid w:val="000346FE"/>
    <w:rsid w:val="000411BC"/>
    <w:rsid w:val="00044CF1"/>
    <w:rsid w:val="00050DB2"/>
    <w:rsid w:val="00051DC5"/>
    <w:rsid w:val="000578F9"/>
    <w:rsid w:val="000632B2"/>
    <w:rsid w:val="00071590"/>
    <w:rsid w:val="00075A38"/>
    <w:rsid w:val="00080468"/>
    <w:rsid w:val="0008176E"/>
    <w:rsid w:val="0008186D"/>
    <w:rsid w:val="00083516"/>
    <w:rsid w:val="00083B1B"/>
    <w:rsid w:val="000854A3"/>
    <w:rsid w:val="000878B5"/>
    <w:rsid w:val="00091137"/>
    <w:rsid w:val="00093EF5"/>
    <w:rsid w:val="00095BC2"/>
    <w:rsid w:val="00095E78"/>
    <w:rsid w:val="000A743D"/>
    <w:rsid w:val="000B1FD7"/>
    <w:rsid w:val="000B332C"/>
    <w:rsid w:val="000B5538"/>
    <w:rsid w:val="000B6202"/>
    <w:rsid w:val="000C3AB4"/>
    <w:rsid w:val="000D03E4"/>
    <w:rsid w:val="000D26F4"/>
    <w:rsid w:val="000D37BB"/>
    <w:rsid w:val="000D3DF8"/>
    <w:rsid w:val="000D3FDA"/>
    <w:rsid w:val="000D42BA"/>
    <w:rsid w:val="000D4965"/>
    <w:rsid w:val="000D52C7"/>
    <w:rsid w:val="000E1EDC"/>
    <w:rsid w:val="000E1F2A"/>
    <w:rsid w:val="000F1F44"/>
    <w:rsid w:val="000F2A65"/>
    <w:rsid w:val="000F3D59"/>
    <w:rsid w:val="000F40F5"/>
    <w:rsid w:val="00103600"/>
    <w:rsid w:val="00103C3B"/>
    <w:rsid w:val="001061A2"/>
    <w:rsid w:val="00113E04"/>
    <w:rsid w:val="001155D2"/>
    <w:rsid w:val="001218F4"/>
    <w:rsid w:val="0012463D"/>
    <w:rsid w:val="0012648B"/>
    <w:rsid w:val="0013506F"/>
    <w:rsid w:val="00135528"/>
    <w:rsid w:val="00135E29"/>
    <w:rsid w:val="00137150"/>
    <w:rsid w:val="001432AA"/>
    <w:rsid w:val="0014532C"/>
    <w:rsid w:val="001501FE"/>
    <w:rsid w:val="00151216"/>
    <w:rsid w:val="001524E2"/>
    <w:rsid w:val="00153627"/>
    <w:rsid w:val="001559B1"/>
    <w:rsid w:val="00156001"/>
    <w:rsid w:val="0016284F"/>
    <w:rsid w:val="00165351"/>
    <w:rsid w:val="00170BD1"/>
    <w:rsid w:val="001753FC"/>
    <w:rsid w:val="00175B05"/>
    <w:rsid w:val="00177993"/>
    <w:rsid w:val="0018005C"/>
    <w:rsid w:val="00180578"/>
    <w:rsid w:val="00183A22"/>
    <w:rsid w:val="001857CA"/>
    <w:rsid w:val="0018716C"/>
    <w:rsid w:val="00190CD0"/>
    <w:rsid w:val="001931C3"/>
    <w:rsid w:val="00194943"/>
    <w:rsid w:val="00195789"/>
    <w:rsid w:val="00195E03"/>
    <w:rsid w:val="001A1668"/>
    <w:rsid w:val="001A2AAE"/>
    <w:rsid w:val="001A577E"/>
    <w:rsid w:val="001B2C18"/>
    <w:rsid w:val="001B3C0C"/>
    <w:rsid w:val="001B3F5A"/>
    <w:rsid w:val="001B5FE7"/>
    <w:rsid w:val="001C2DA4"/>
    <w:rsid w:val="001C4E6C"/>
    <w:rsid w:val="001C4E90"/>
    <w:rsid w:val="001C733A"/>
    <w:rsid w:val="001D025A"/>
    <w:rsid w:val="001D0659"/>
    <w:rsid w:val="001D239D"/>
    <w:rsid w:val="001E2FC0"/>
    <w:rsid w:val="001E59B8"/>
    <w:rsid w:val="001E700F"/>
    <w:rsid w:val="001F4BA3"/>
    <w:rsid w:val="00201AA1"/>
    <w:rsid w:val="00201ADA"/>
    <w:rsid w:val="00205E08"/>
    <w:rsid w:val="00206284"/>
    <w:rsid w:val="0020778B"/>
    <w:rsid w:val="00215946"/>
    <w:rsid w:val="00217743"/>
    <w:rsid w:val="0022081E"/>
    <w:rsid w:val="0022247D"/>
    <w:rsid w:val="00222D9A"/>
    <w:rsid w:val="0022300C"/>
    <w:rsid w:val="0022593F"/>
    <w:rsid w:val="0022777C"/>
    <w:rsid w:val="002301A5"/>
    <w:rsid w:val="0023068B"/>
    <w:rsid w:val="0023483F"/>
    <w:rsid w:val="00241B21"/>
    <w:rsid w:val="002577B4"/>
    <w:rsid w:val="00267084"/>
    <w:rsid w:val="0027479E"/>
    <w:rsid w:val="002776F9"/>
    <w:rsid w:val="00282814"/>
    <w:rsid w:val="002831BB"/>
    <w:rsid w:val="00283CFF"/>
    <w:rsid w:val="002851CC"/>
    <w:rsid w:val="002867DB"/>
    <w:rsid w:val="00286AB2"/>
    <w:rsid w:val="002913D3"/>
    <w:rsid w:val="00293CF8"/>
    <w:rsid w:val="00296C2E"/>
    <w:rsid w:val="00296ED4"/>
    <w:rsid w:val="002A4EBE"/>
    <w:rsid w:val="002B5447"/>
    <w:rsid w:val="002C0E9C"/>
    <w:rsid w:val="002C2F15"/>
    <w:rsid w:val="002C4B47"/>
    <w:rsid w:val="002C6E66"/>
    <w:rsid w:val="002C730D"/>
    <w:rsid w:val="002D5F14"/>
    <w:rsid w:val="002E3961"/>
    <w:rsid w:val="002E452C"/>
    <w:rsid w:val="002E4A8C"/>
    <w:rsid w:val="002E6D91"/>
    <w:rsid w:val="002F3CE6"/>
    <w:rsid w:val="002F5F1A"/>
    <w:rsid w:val="002F6B6F"/>
    <w:rsid w:val="002F7483"/>
    <w:rsid w:val="003011A9"/>
    <w:rsid w:val="003016C0"/>
    <w:rsid w:val="00305240"/>
    <w:rsid w:val="00311A24"/>
    <w:rsid w:val="00322F9C"/>
    <w:rsid w:val="00330405"/>
    <w:rsid w:val="003304F9"/>
    <w:rsid w:val="0033129B"/>
    <w:rsid w:val="00331AD9"/>
    <w:rsid w:val="00335381"/>
    <w:rsid w:val="003354A8"/>
    <w:rsid w:val="0033561C"/>
    <w:rsid w:val="00346BBB"/>
    <w:rsid w:val="00350514"/>
    <w:rsid w:val="00351AF7"/>
    <w:rsid w:val="00351BE9"/>
    <w:rsid w:val="003548A1"/>
    <w:rsid w:val="0035532F"/>
    <w:rsid w:val="00356B92"/>
    <w:rsid w:val="0035748C"/>
    <w:rsid w:val="00360F8E"/>
    <w:rsid w:val="00364C0B"/>
    <w:rsid w:val="003667B4"/>
    <w:rsid w:val="00373307"/>
    <w:rsid w:val="00374F51"/>
    <w:rsid w:val="0038676F"/>
    <w:rsid w:val="00387C10"/>
    <w:rsid w:val="00391214"/>
    <w:rsid w:val="003929D6"/>
    <w:rsid w:val="003A07E3"/>
    <w:rsid w:val="003A7C9B"/>
    <w:rsid w:val="003A7D75"/>
    <w:rsid w:val="003B5D89"/>
    <w:rsid w:val="003C2D05"/>
    <w:rsid w:val="003C2DDA"/>
    <w:rsid w:val="003C40F1"/>
    <w:rsid w:val="003C6761"/>
    <w:rsid w:val="003C7B06"/>
    <w:rsid w:val="003D186E"/>
    <w:rsid w:val="003D51AD"/>
    <w:rsid w:val="003E1128"/>
    <w:rsid w:val="003E15A7"/>
    <w:rsid w:val="003E549B"/>
    <w:rsid w:val="003F074B"/>
    <w:rsid w:val="003F48BA"/>
    <w:rsid w:val="003F63D0"/>
    <w:rsid w:val="003F70B9"/>
    <w:rsid w:val="00402CE6"/>
    <w:rsid w:val="004100B4"/>
    <w:rsid w:val="00431D48"/>
    <w:rsid w:val="004367AE"/>
    <w:rsid w:val="00437514"/>
    <w:rsid w:val="0044142C"/>
    <w:rsid w:val="00441D86"/>
    <w:rsid w:val="00442F77"/>
    <w:rsid w:val="00445104"/>
    <w:rsid w:val="00445E8B"/>
    <w:rsid w:val="00446FD0"/>
    <w:rsid w:val="00447136"/>
    <w:rsid w:val="00447D83"/>
    <w:rsid w:val="0045492A"/>
    <w:rsid w:val="00460636"/>
    <w:rsid w:val="00465F24"/>
    <w:rsid w:val="00480AEF"/>
    <w:rsid w:val="00480E9B"/>
    <w:rsid w:val="00491C2F"/>
    <w:rsid w:val="004A0FFB"/>
    <w:rsid w:val="004B072F"/>
    <w:rsid w:val="004B0A2F"/>
    <w:rsid w:val="004B1784"/>
    <w:rsid w:val="004B1A00"/>
    <w:rsid w:val="004B55DF"/>
    <w:rsid w:val="004B7468"/>
    <w:rsid w:val="004D36B8"/>
    <w:rsid w:val="004D41F8"/>
    <w:rsid w:val="004D5969"/>
    <w:rsid w:val="004D673E"/>
    <w:rsid w:val="004E0340"/>
    <w:rsid w:val="004E63D3"/>
    <w:rsid w:val="004F7A65"/>
    <w:rsid w:val="005002A9"/>
    <w:rsid w:val="00501201"/>
    <w:rsid w:val="00501B90"/>
    <w:rsid w:val="00506CCD"/>
    <w:rsid w:val="00507FAD"/>
    <w:rsid w:val="00510A36"/>
    <w:rsid w:val="00516657"/>
    <w:rsid w:val="00516B7A"/>
    <w:rsid w:val="0051771B"/>
    <w:rsid w:val="005205C2"/>
    <w:rsid w:val="00523FF6"/>
    <w:rsid w:val="005248B2"/>
    <w:rsid w:val="00524AA3"/>
    <w:rsid w:val="00524D7E"/>
    <w:rsid w:val="005312D8"/>
    <w:rsid w:val="00533C03"/>
    <w:rsid w:val="00535202"/>
    <w:rsid w:val="00542C94"/>
    <w:rsid w:val="005466AC"/>
    <w:rsid w:val="0055176E"/>
    <w:rsid w:val="00552B25"/>
    <w:rsid w:val="005637F9"/>
    <w:rsid w:val="00564BE5"/>
    <w:rsid w:val="00570099"/>
    <w:rsid w:val="00573618"/>
    <w:rsid w:val="0057591B"/>
    <w:rsid w:val="00583FD5"/>
    <w:rsid w:val="00584786"/>
    <w:rsid w:val="005871A1"/>
    <w:rsid w:val="00592083"/>
    <w:rsid w:val="00595173"/>
    <w:rsid w:val="00597406"/>
    <w:rsid w:val="005A0AB4"/>
    <w:rsid w:val="005A4695"/>
    <w:rsid w:val="005A5984"/>
    <w:rsid w:val="005A6643"/>
    <w:rsid w:val="005A67BC"/>
    <w:rsid w:val="005B7EDF"/>
    <w:rsid w:val="005B7FBB"/>
    <w:rsid w:val="005D3B56"/>
    <w:rsid w:val="005D471C"/>
    <w:rsid w:val="005E0C00"/>
    <w:rsid w:val="005E1F39"/>
    <w:rsid w:val="005F52FE"/>
    <w:rsid w:val="00601F46"/>
    <w:rsid w:val="00614575"/>
    <w:rsid w:val="00615FE7"/>
    <w:rsid w:val="0062110A"/>
    <w:rsid w:val="00623F82"/>
    <w:rsid w:val="00624746"/>
    <w:rsid w:val="00625290"/>
    <w:rsid w:val="00627EF5"/>
    <w:rsid w:val="006316AE"/>
    <w:rsid w:val="006345F4"/>
    <w:rsid w:val="00637B34"/>
    <w:rsid w:val="006418FA"/>
    <w:rsid w:val="00641C57"/>
    <w:rsid w:val="00641D27"/>
    <w:rsid w:val="006424E2"/>
    <w:rsid w:val="0065679A"/>
    <w:rsid w:val="006630C1"/>
    <w:rsid w:val="0066616B"/>
    <w:rsid w:val="00667418"/>
    <w:rsid w:val="006779C6"/>
    <w:rsid w:val="0068492C"/>
    <w:rsid w:val="00685428"/>
    <w:rsid w:val="00687206"/>
    <w:rsid w:val="0069439B"/>
    <w:rsid w:val="0069548E"/>
    <w:rsid w:val="0069669D"/>
    <w:rsid w:val="00696795"/>
    <w:rsid w:val="00697F09"/>
    <w:rsid w:val="006A22E3"/>
    <w:rsid w:val="006B01E0"/>
    <w:rsid w:val="006B0307"/>
    <w:rsid w:val="006B2F21"/>
    <w:rsid w:val="006B6AB6"/>
    <w:rsid w:val="006B7E07"/>
    <w:rsid w:val="006C3C83"/>
    <w:rsid w:val="006C73BB"/>
    <w:rsid w:val="006C7BC5"/>
    <w:rsid w:val="006D0762"/>
    <w:rsid w:val="006D2885"/>
    <w:rsid w:val="006D4A6B"/>
    <w:rsid w:val="006D7773"/>
    <w:rsid w:val="006E011B"/>
    <w:rsid w:val="006E05D1"/>
    <w:rsid w:val="006E15DD"/>
    <w:rsid w:val="006E2061"/>
    <w:rsid w:val="006E30E2"/>
    <w:rsid w:val="006F130B"/>
    <w:rsid w:val="006F7223"/>
    <w:rsid w:val="006F7D5E"/>
    <w:rsid w:val="007140B7"/>
    <w:rsid w:val="007168E5"/>
    <w:rsid w:val="00717A7B"/>
    <w:rsid w:val="007210DF"/>
    <w:rsid w:val="00722297"/>
    <w:rsid w:val="007229FC"/>
    <w:rsid w:val="00725339"/>
    <w:rsid w:val="00734DE8"/>
    <w:rsid w:val="007373B3"/>
    <w:rsid w:val="0075026B"/>
    <w:rsid w:val="00754791"/>
    <w:rsid w:val="0076092A"/>
    <w:rsid w:val="00761329"/>
    <w:rsid w:val="00770477"/>
    <w:rsid w:val="00770B7A"/>
    <w:rsid w:val="00773DF5"/>
    <w:rsid w:val="00775582"/>
    <w:rsid w:val="00776278"/>
    <w:rsid w:val="00776BCF"/>
    <w:rsid w:val="00793649"/>
    <w:rsid w:val="00794829"/>
    <w:rsid w:val="00796320"/>
    <w:rsid w:val="00796725"/>
    <w:rsid w:val="0079691F"/>
    <w:rsid w:val="007B18ED"/>
    <w:rsid w:val="007B3092"/>
    <w:rsid w:val="007B4374"/>
    <w:rsid w:val="007B5115"/>
    <w:rsid w:val="007C1AE1"/>
    <w:rsid w:val="007C2BF6"/>
    <w:rsid w:val="007C3115"/>
    <w:rsid w:val="007C31F1"/>
    <w:rsid w:val="007D02EE"/>
    <w:rsid w:val="007D1593"/>
    <w:rsid w:val="007D248D"/>
    <w:rsid w:val="007D2FB0"/>
    <w:rsid w:val="007D7866"/>
    <w:rsid w:val="007E356E"/>
    <w:rsid w:val="007E375B"/>
    <w:rsid w:val="007F2132"/>
    <w:rsid w:val="007F5670"/>
    <w:rsid w:val="007F5BF5"/>
    <w:rsid w:val="007F7824"/>
    <w:rsid w:val="007F7A4A"/>
    <w:rsid w:val="00801B8F"/>
    <w:rsid w:val="0080284E"/>
    <w:rsid w:val="00803382"/>
    <w:rsid w:val="008043B7"/>
    <w:rsid w:val="00805AD3"/>
    <w:rsid w:val="00805F52"/>
    <w:rsid w:val="00815E1D"/>
    <w:rsid w:val="00816F72"/>
    <w:rsid w:val="0081780C"/>
    <w:rsid w:val="00824476"/>
    <w:rsid w:val="0082757F"/>
    <w:rsid w:val="00827D35"/>
    <w:rsid w:val="0083451C"/>
    <w:rsid w:val="0083735D"/>
    <w:rsid w:val="008448E8"/>
    <w:rsid w:val="00844FED"/>
    <w:rsid w:val="00846196"/>
    <w:rsid w:val="00846634"/>
    <w:rsid w:val="008506D5"/>
    <w:rsid w:val="0085344E"/>
    <w:rsid w:val="008564E0"/>
    <w:rsid w:val="008619A5"/>
    <w:rsid w:val="00862314"/>
    <w:rsid w:val="00863F9A"/>
    <w:rsid w:val="00864AC5"/>
    <w:rsid w:val="008806A5"/>
    <w:rsid w:val="00882DA0"/>
    <w:rsid w:val="008839C8"/>
    <w:rsid w:val="0088579A"/>
    <w:rsid w:val="00885ECC"/>
    <w:rsid w:val="008930BE"/>
    <w:rsid w:val="008949C3"/>
    <w:rsid w:val="008A1305"/>
    <w:rsid w:val="008A3D61"/>
    <w:rsid w:val="008A4D84"/>
    <w:rsid w:val="008B044E"/>
    <w:rsid w:val="008B2B11"/>
    <w:rsid w:val="008B30E4"/>
    <w:rsid w:val="008B4D20"/>
    <w:rsid w:val="008B721A"/>
    <w:rsid w:val="008C6D96"/>
    <w:rsid w:val="008D08CC"/>
    <w:rsid w:val="008E060B"/>
    <w:rsid w:val="008E0ADD"/>
    <w:rsid w:val="008E2AD3"/>
    <w:rsid w:val="008E2ADB"/>
    <w:rsid w:val="008E5C04"/>
    <w:rsid w:val="008E7564"/>
    <w:rsid w:val="008F24DA"/>
    <w:rsid w:val="008F55F2"/>
    <w:rsid w:val="008F6C2F"/>
    <w:rsid w:val="008F7BC5"/>
    <w:rsid w:val="00900363"/>
    <w:rsid w:val="00902D3A"/>
    <w:rsid w:val="00910BD3"/>
    <w:rsid w:val="00910DF3"/>
    <w:rsid w:val="009126CE"/>
    <w:rsid w:val="00912F71"/>
    <w:rsid w:val="009204E3"/>
    <w:rsid w:val="00920C24"/>
    <w:rsid w:val="00921B2F"/>
    <w:rsid w:val="009221AC"/>
    <w:rsid w:val="00922A3B"/>
    <w:rsid w:val="009248BA"/>
    <w:rsid w:val="00941AA4"/>
    <w:rsid w:val="00945A4A"/>
    <w:rsid w:val="0094603E"/>
    <w:rsid w:val="00953AEE"/>
    <w:rsid w:val="00960916"/>
    <w:rsid w:val="00960ECC"/>
    <w:rsid w:val="00961414"/>
    <w:rsid w:val="00970D93"/>
    <w:rsid w:val="00987DC3"/>
    <w:rsid w:val="00990A09"/>
    <w:rsid w:val="0099308E"/>
    <w:rsid w:val="009939BC"/>
    <w:rsid w:val="009A1D62"/>
    <w:rsid w:val="009A2E78"/>
    <w:rsid w:val="009A3209"/>
    <w:rsid w:val="009A343E"/>
    <w:rsid w:val="009A732A"/>
    <w:rsid w:val="009A78A2"/>
    <w:rsid w:val="009B56CA"/>
    <w:rsid w:val="009B5B69"/>
    <w:rsid w:val="009B7134"/>
    <w:rsid w:val="009D0135"/>
    <w:rsid w:val="009D3514"/>
    <w:rsid w:val="009D68A4"/>
    <w:rsid w:val="009D755A"/>
    <w:rsid w:val="009E29BB"/>
    <w:rsid w:val="009E695F"/>
    <w:rsid w:val="009E781F"/>
    <w:rsid w:val="009F15D5"/>
    <w:rsid w:val="009F1D91"/>
    <w:rsid w:val="009F4838"/>
    <w:rsid w:val="009F5E50"/>
    <w:rsid w:val="009F69E6"/>
    <w:rsid w:val="009F6F21"/>
    <w:rsid w:val="00A04C07"/>
    <w:rsid w:val="00A04D5B"/>
    <w:rsid w:val="00A07462"/>
    <w:rsid w:val="00A12497"/>
    <w:rsid w:val="00A1261D"/>
    <w:rsid w:val="00A148B1"/>
    <w:rsid w:val="00A169E3"/>
    <w:rsid w:val="00A23039"/>
    <w:rsid w:val="00A236EC"/>
    <w:rsid w:val="00A25BAE"/>
    <w:rsid w:val="00A35355"/>
    <w:rsid w:val="00A37967"/>
    <w:rsid w:val="00A422E8"/>
    <w:rsid w:val="00A4628D"/>
    <w:rsid w:val="00A51CE6"/>
    <w:rsid w:val="00A65DD4"/>
    <w:rsid w:val="00A711E6"/>
    <w:rsid w:val="00A76DE3"/>
    <w:rsid w:val="00A814B0"/>
    <w:rsid w:val="00A81876"/>
    <w:rsid w:val="00A81FC3"/>
    <w:rsid w:val="00A8630E"/>
    <w:rsid w:val="00A90F8C"/>
    <w:rsid w:val="00A922F0"/>
    <w:rsid w:val="00AA10E6"/>
    <w:rsid w:val="00AA3E3D"/>
    <w:rsid w:val="00AA6F1D"/>
    <w:rsid w:val="00AA7B03"/>
    <w:rsid w:val="00AB7DCC"/>
    <w:rsid w:val="00AC29B9"/>
    <w:rsid w:val="00AD60B6"/>
    <w:rsid w:val="00AE01E8"/>
    <w:rsid w:val="00AE36B2"/>
    <w:rsid w:val="00AF26DF"/>
    <w:rsid w:val="00AF2DB9"/>
    <w:rsid w:val="00AF7BF5"/>
    <w:rsid w:val="00AF7F2A"/>
    <w:rsid w:val="00B05B1C"/>
    <w:rsid w:val="00B10F52"/>
    <w:rsid w:val="00B13D92"/>
    <w:rsid w:val="00B24F1B"/>
    <w:rsid w:val="00B27C07"/>
    <w:rsid w:val="00B31501"/>
    <w:rsid w:val="00B3315B"/>
    <w:rsid w:val="00B33719"/>
    <w:rsid w:val="00B36435"/>
    <w:rsid w:val="00B37DE2"/>
    <w:rsid w:val="00B42D64"/>
    <w:rsid w:val="00B46733"/>
    <w:rsid w:val="00B51978"/>
    <w:rsid w:val="00B53745"/>
    <w:rsid w:val="00B53FC6"/>
    <w:rsid w:val="00B66DAE"/>
    <w:rsid w:val="00B6711A"/>
    <w:rsid w:val="00B70D49"/>
    <w:rsid w:val="00B820F0"/>
    <w:rsid w:val="00B84122"/>
    <w:rsid w:val="00B87053"/>
    <w:rsid w:val="00B909F6"/>
    <w:rsid w:val="00B94645"/>
    <w:rsid w:val="00B97721"/>
    <w:rsid w:val="00BA1FF9"/>
    <w:rsid w:val="00BA3B0C"/>
    <w:rsid w:val="00BA789C"/>
    <w:rsid w:val="00BB4277"/>
    <w:rsid w:val="00BB4FC4"/>
    <w:rsid w:val="00BB7FBA"/>
    <w:rsid w:val="00BC5E49"/>
    <w:rsid w:val="00BC7D80"/>
    <w:rsid w:val="00BD0163"/>
    <w:rsid w:val="00BE3470"/>
    <w:rsid w:val="00BE4005"/>
    <w:rsid w:val="00BF3C06"/>
    <w:rsid w:val="00BF5FD6"/>
    <w:rsid w:val="00C03EB4"/>
    <w:rsid w:val="00C05EE6"/>
    <w:rsid w:val="00C07310"/>
    <w:rsid w:val="00C101BA"/>
    <w:rsid w:val="00C102C7"/>
    <w:rsid w:val="00C174CA"/>
    <w:rsid w:val="00C2577C"/>
    <w:rsid w:val="00C25A61"/>
    <w:rsid w:val="00C30637"/>
    <w:rsid w:val="00C30A63"/>
    <w:rsid w:val="00C31761"/>
    <w:rsid w:val="00C338CE"/>
    <w:rsid w:val="00C36A96"/>
    <w:rsid w:val="00C36B9F"/>
    <w:rsid w:val="00C37EE6"/>
    <w:rsid w:val="00C40A96"/>
    <w:rsid w:val="00C51C8E"/>
    <w:rsid w:val="00C52459"/>
    <w:rsid w:val="00C54514"/>
    <w:rsid w:val="00C547FA"/>
    <w:rsid w:val="00C566C0"/>
    <w:rsid w:val="00C57B57"/>
    <w:rsid w:val="00C612B8"/>
    <w:rsid w:val="00C61C1E"/>
    <w:rsid w:val="00C64792"/>
    <w:rsid w:val="00C703B5"/>
    <w:rsid w:val="00C70E21"/>
    <w:rsid w:val="00C726FE"/>
    <w:rsid w:val="00C75D16"/>
    <w:rsid w:val="00C77036"/>
    <w:rsid w:val="00C77EDA"/>
    <w:rsid w:val="00C80F02"/>
    <w:rsid w:val="00C83E46"/>
    <w:rsid w:val="00C8789C"/>
    <w:rsid w:val="00C90100"/>
    <w:rsid w:val="00CA4824"/>
    <w:rsid w:val="00CA671C"/>
    <w:rsid w:val="00CB10C8"/>
    <w:rsid w:val="00CC4015"/>
    <w:rsid w:val="00CC41E8"/>
    <w:rsid w:val="00CC497D"/>
    <w:rsid w:val="00CE0EE5"/>
    <w:rsid w:val="00CF1474"/>
    <w:rsid w:val="00CF1FD8"/>
    <w:rsid w:val="00CF3D3B"/>
    <w:rsid w:val="00CF4FF2"/>
    <w:rsid w:val="00D0087D"/>
    <w:rsid w:val="00D04896"/>
    <w:rsid w:val="00D050DC"/>
    <w:rsid w:val="00D11954"/>
    <w:rsid w:val="00D27797"/>
    <w:rsid w:val="00D41AD4"/>
    <w:rsid w:val="00D44347"/>
    <w:rsid w:val="00D45886"/>
    <w:rsid w:val="00D4624B"/>
    <w:rsid w:val="00D51BBD"/>
    <w:rsid w:val="00D543D3"/>
    <w:rsid w:val="00D60DBF"/>
    <w:rsid w:val="00D60DDD"/>
    <w:rsid w:val="00D66A3B"/>
    <w:rsid w:val="00D7382E"/>
    <w:rsid w:val="00D7536E"/>
    <w:rsid w:val="00D75D6C"/>
    <w:rsid w:val="00D77789"/>
    <w:rsid w:val="00D77F09"/>
    <w:rsid w:val="00D8087D"/>
    <w:rsid w:val="00D81141"/>
    <w:rsid w:val="00D83D7C"/>
    <w:rsid w:val="00D85A5B"/>
    <w:rsid w:val="00DA604E"/>
    <w:rsid w:val="00DA69C5"/>
    <w:rsid w:val="00DB26AC"/>
    <w:rsid w:val="00DB62AA"/>
    <w:rsid w:val="00DC0659"/>
    <w:rsid w:val="00DC4256"/>
    <w:rsid w:val="00DD4EF6"/>
    <w:rsid w:val="00DD5F2C"/>
    <w:rsid w:val="00DD6232"/>
    <w:rsid w:val="00DD7BF8"/>
    <w:rsid w:val="00DE00F5"/>
    <w:rsid w:val="00DE5E7B"/>
    <w:rsid w:val="00DE6002"/>
    <w:rsid w:val="00DE6407"/>
    <w:rsid w:val="00DF3745"/>
    <w:rsid w:val="00E010AC"/>
    <w:rsid w:val="00E04C70"/>
    <w:rsid w:val="00E04F11"/>
    <w:rsid w:val="00E07AD3"/>
    <w:rsid w:val="00E13D3E"/>
    <w:rsid w:val="00E172BD"/>
    <w:rsid w:val="00E20642"/>
    <w:rsid w:val="00E24131"/>
    <w:rsid w:val="00E2675B"/>
    <w:rsid w:val="00E32F34"/>
    <w:rsid w:val="00E33229"/>
    <w:rsid w:val="00E42256"/>
    <w:rsid w:val="00E428A9"/>
    <w:rsid w:val="00E45300"/>
    <w:rsid w:val="00E50286"/>
    <w:rsid w:val="00E52043"/>
    <w:rsid w:val="00E53737"/>
    <w:rsid w:val="00E54D4C"/>
    <w:rsid w:val="00E55367"/>
    <w:rsid w:val="00E63A48"/>
    <w:rsid w:val="00E662FC"/>
    <w:rsid w:val="00E71096"/>
    <w:rsid w:val="00E72748"/>
    <w:rsid w:val="00E72AA1"/>
    <w:rsid w:val="00E77E20"/>
    <w:rsid w:val="00E83C90"/>
    <w:rsid w:val="00E90851"/>
    <w:rsid w:val="00E91AD3"/>
    <w:rsid w:val="00E97753"/>
    <w:rsid w:val="00E97B0F"/>
    <w:rsid w:val="00EB2ED6"/>
    <w:rsid w:val="00EB3A72"/>
    <w:rsid w:val="00EB3DCF"/>
    <w:rsid w:val="00EC1C7F"/>
    <w:rsid w:val="00EC2C55"/>
    <w:rsid w:val="00EC358D"/>
    <w:rsid w:val="00EC71E2"/>
    <w:rsid w:val="00ED44B7"/>
    <w:rsid w:val="00EE1BFE"/>
    <w:rsid w:val="00EE2869"/>
    <w:rsid w:val="00EE77AB"/>
    <w:rsid w:val="00EF04D7"/>
    <w:rsid w:val="00EF443D"/>
    <w:rsid w:val="00EF5A16"/>
    <w:rsid w:val="00EF73A7"/>
    <w:rsid w:val="00EF7501"/>
    <w:rsid w:val="00F0209C"/>
    <w:rsid w:val="00F15BB0"/>
    <w:rsid w:val="00F20012"/>
    <w:rsid w:val="00F244EB"/>
    <w:rsid w:val="00F3548C"/>
    <w:rsid w:val="00F43CDC"/>
    <w:rsid w:val="00F4452D"/>
    <w:rsid w:val="00F44D32"/>
    <w:rsid w:val="00F46F3E"/>
    <w:rsid w:val="00F54CAB"/>
    <w:rsid w:val="00F60C3E"/>
    <w:rsid w:val="00F614DD"/>
    <w:rsid w:val="00F63DF5"/>
    <w:rsid w:val="00F67037"/>
    <w:rsid w:val="00F67287"/>
    <w:rsid w:val="00F71F4E"/>
    <w:rsid w:val="00F72169"/>
    <w:rsid w:val="00F72CDF"/>
    <w:rsid w:val="00F72DD1"/>
    <w:rsid w:val="00F73A13"/>
    <w:rsid w:val="00F76D00"/>
    <w:rsid w:val="00F83AA4"/>
    <w:rsid w:val="00F95BC0"/>
    <w:rsid w:val="00F95BD3"/>
    <w:rsid w:val="00FA0871"/>
    <w:rsid w:val="00FA0A3C"/>
    <w:rsid w:val="00FA4AFB"/>
    <w:rsid w:val="00FB35C7"/>
    <w:rsid w:val="00FB3953"/>
    <w:rsid w:val="00FB59DC"/>
    <w:rsid w:val="00FC0432"/>
    <w:rsid w:val="00FC74E1"/>
    <w:rsid w:val="00FC7786"/>
    <w:rsid w:val="00FD29D6"/>
    <w:rsid w:val="00FD31C2"/>
    <w:rsid w:val="00FD371A"/>
    <w:rsid w:val="00FE253F"/>
    <w:rsid w:val="00FE2FD2"/>
    <w:rsid w:val="00FE404C"/>
    <w:rsid w:val="00FE6D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09FAA"/>
  <w15:chartTrackingRefBased/>
  <w15:docId w15:val="{25A5C152-8B8B-4257-B302-5E15DB8D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Quote">
    <w:name w:val="Quote"/>
    <w:basedOn w:val="Normal"/>
    <w:next w:val="Normal"/>
    <w:link w:val="QuoteChar"/>
    <w:uiPriority w:val="29"/>
    <w:qFormat/>
    <w:rsid w:val="00FA4AFB"/>
    <w:pPr>
      <w:spacing w:before="160"/>
      <w:jc w:val="center"/>
    </w:pPr>
    <w:rPr>
      <w:i/>
      <w:iCs/>
      <w:color w:val="404040" w:themeColor="text1" w:themeTint="BF"/>
    </w:rPr>
  </w:style>
  <w:style w:type="character" w:customStyle="1" w:styleId="QuoteChar">
    <w:name w:val="Quote Char"/>
    <w:basedOn w:val="DefaultParagraphFont"/>
    <w:link w:val="Quote"/>
    <w:uiPriority w:val="29"/>
    <w:rsid w:val="00FA4AFB"/>
    <w:rPr>
      <w:rFonts w:ascii="Arial" w:hAnsi="Arial"/>
      <w:i/>
      <w:iCs/>
      <w:color w:val="404040" w:themeColor="text1" w:themeTint="BF"/>
    </w:rPr>
  </w:style>
  <w:style w:type="paragraph" w:styleId="Header">
    <w:name w:val="header"/>
    <w:basedOn w:val="Normal"/>
    <w:link w:val="HeaderChar"/>
    <w:uiPriority w:val="99"/>
    <w:unhideWhenUsed/>
    <w:rsid w:val="00FA4A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4AFB"/>
    <w:rPr>
      <w:rFonts w:ascii="Arial" w:hAnsi="Arial"/>
    </w:rPr>
  </w:style>
  <w:style w:type="paragraph" w:styleId="Footer">
    <w:name w:val="footer"/>
    <w:basedOn w:val="Normal"/>
    <w:link w:val="FooterChar"/>
    <w:uiPriority w:val="99"/>
    <w:unhideWhenUsed/>
    <w:rsid w:val="00FA4A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4AFB"/>
    <w:rPr>
      <w:rFonts w:ascii="Arial" w:hAnsi="Arial"/>
    </w:rPr>
  </w:style>
  <w:style w:type="paragraph" w:styleId="TOC2">
    <w:name w:val="toc 2"/>
    <w:basedOn w:val="Normal"/>
    <w:next w:val="Normal"/>
    <w:autoRedefine/>
    <w:uiPriority w:val="39"/>
    <w:unhideWhenUsed/>
    <w:rsid w:val="00FA4AFB"/>
    <w:pPr>
      <w:spacing w:after="100"/>
      <w:ind w:left="220"/>
    </w:pPr>
    <w:rPr>
      <w:rFonts w:asciiTheme="minorHAnsi" w:eastAsiaTheme="minorEastAsia" w:hAnsiTheme="minorHAnsi" w:cs="Times New Roman"/>
      <w:lang w:val="en-US"/>
    </w:rPr>
  </w:style>
  <w:style w:type="paragraph" w:styleId="TOC1">
    <w:name w:val="toc 1"/>
    <w:basedOn w:val="Normal"/>
    <w:next w:val="Normal"/>
    <w:autoRedefine/>
    <w:uiPriority w:val="39"/>
    <w:unhideWhenUsed/>
    <w:rsid w:val="0013506F"/>
    <w:pPr>
      <w:tabs>
        <w:tab w:val="right" w:leader="dot" w:pos="9016"/>
      </w:tabs>
      <w:spacing w:after="100"/>
    </w:pPr>
    <w:rPr>
      <w:rFonts w:asciiTheme="minorHAnsi" w:eastAsiaTheme="minorEastAsia" w:hAnsiTheme="minorHAnsi" w:cs="Times New Roman"/>
      <w:lang w:val="en-US"/>
    </w:rPr>
  </w:style>
  <w:style w:type="paragraph" w:styleId="TOC3">
    <w:name w:val="toc 3"/>
    <w:basedOn w:val="Normal"/>
    <w:next w:val="Normal"/>
    <w:autoRedefine/>
    <w:uiPriority w:val="39"/>
    <w:unhideWhenUsed/>
    <w:rsid w:val="00FA4AFB"/>
    <w:pPr>
      <w:spacing w:after="100"/>
      <w:ind w:left="440"/>
    </w:pPr>
    <w:rPr>
      <w:rFonts w:asciiTheme="minorHAnsi" w:eastAsiaTheme="minorEastAsia" w:hAnsiTheme="minorHAnsi" w:cs="Times New Roman"/>
      <w:lang w:val="en-US"/>
    </w:rPr>
  </w:style>
  <w:style w:type="character" w:styleId="Hyperlink">
    <w:name w:val="Hyperlink"/>
    <w:basedOn w:val="DefaultParagraphFont"/>
    <w:uiPriority w:val="99"/>
    <w:unhideWhenUsed/>
    <w:rsid w:val="00FA4AFB"/>
    <w:rPr>
      <w:color w:val="0563C1" w:themeColor="hyperlink"/>
      <w:u w:val="single"/>
    </w:rPr>
  </w:style>
  <w:style w:type="paragraph" w:styleId="ListBullet">
    <w:name w:val="List Bullet"/>
    <w:basedOn w:val="Normal"/>
    <w:uiPriority w:val="99"/>
    <w:unhideWhenUsed/>
    <w:rsid w:val="00C102C7"/>
    <w:pPr>
      <w:numPr>
        <w:numId w:val="11"/>
      </w:numPr>
      <w:spacing w:after="200" w:line="276" w:lineRule="auto"/>
      <w:contextualSpacing/>
    </w:pPr>
    <w:rPr>
      <w:rFonts w:asciiTheme="minorHAnsi" w:eastAsiaTheme="minorEastAsia" w:hAnsiTheme="minorHAnsi"/>
      <w:lang w:val="en-US"/>
    </w:rPr>
  </w:style>
  <w:style w:type="paragraph" w:styleId="ListBullet2">
    <w:name w:val="List Bullet 2"/>
    <w:basedOn w:val="Normal"/>
    <w:uiPriority w:val="99"/>
    <w:unhideWhenUsed/>
    <w:rsid w:val="00C102C7"/>
    <w:pPr>
      <w:numPr>
        <w:numId w:val="12"/>
      </w:numPr>
      <w:spacing w:after="200" w:line="276" w:lineRule="auto"/>
      <w:contextualSpacing/>
    </w:pPr>
    <w:rPr>
      <w:rFonts w:asciiTheme="minorHAnsi" w:eastAsiaTheme="minorEastAsia" w:hAnsi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023965">
      <w:bodyDiv w:val="1"/>
      <w:marLeft w:val="0"/>
      <w:marRight w:val="0"/>
      <w:marTop w:val="0"/>
      <w:marBottom w:val="0"/>
      <w:divBdr>
        <w:top w:val="none" w:sz="0" w:space="0" w:color="auto"/>
        <w:left w:val="none" w:sz="0" w:space="0" w:color="auto"/>
        <w:bottom w:val="none" w:sz="0" w:space="0" w:color="auto"/>
        <w:right w:val="none" w:sz="0" w:space="0" w:color="auto"/>
      </w:divBdr>
    </w:div>
    <w:div w:id="95715140">
      <w:bodyDiv w:val="1"/>
      <w:marLeft w:val="0"/>
      <w:marRight w:val="0"/>
      <w:marTop w:val="0"/>
      <w:marBottom w:val="0"/>
      <w:divBdr>
        <w:top w:val="none" w:sz="0" w:space="0" w:color="auto"/>
        <w:left w:val="none" w:sz="0" w:space="0" w:color="auto"/>
        <w:bottom w:val="none" w:sz="0" w:space="0" w:color="auto"/>
        <w:right w:val="none" w:sz="0" w:space="0" w:color="auto"/>
      </w:divBdr>
    </w:div>
    <w:div w:id="99110654">
      <w:bodyDiv w:val="1"/>
      <w:marLeft w:val="0"/>
      <w:marRight w:val="0"/>
      <w:marTop w:val="0"/>
      <w:marBottom w:val="0"/>
      <w:divBdr>
        <w:top w:val="none" w:sz="0" w:space="0" w:color="auto"/>
        <w:left w:val="none" w:sz="0" w:space="0" w:color="auto"/>
        <w:bottom w:val="none" w:sz="0" w:space="0" w:color="auto"/>
        <w:right w:val="none" w:sz="0" w:space="0" w:color="auto"/>
      </w:divBdr>
    </w:div>
    <w:div w:id="132602193">
      <w:bodyDiv w:val="1"/>
      <w:marLeft w:val="0"/>
      <w:marRight w:val="0"/>
      <w:marTop w:val="0"/>
      <w:marBottom w:val="0"/>
      <w:divBdr>
        <w:top w:val="none" w:sz="0" w:space="0" w:color="auto"/>
        <w:left w:val="none" w:sz="0" w:space="0" w:color="auto"/>
        <w:bottom w:val="none" w:sz="0" w:space="0" w:color="auto"/>
        <w:right w:val="none" w:sz="0" w:space="0" w:color="auto"/>
      </w:divBdr>
    </w:div>
    <w:div w:id="314408779">
      <w:bodyDiv w:val="1"/>
      <w:marLeft w:val="0"/>
      <w:marRight w:val="0"/>
      <w:marTop w:val="0"/>
      <w:marBottom w:val="0"/>
      <w:divBdr>
        <w:top w:val="none" w:sz="0" w:space="0" w:color="auto"/>
        <w:left w:val="none" w:sz="0" w:space="0" w:color="auto"/>
        <w:bottom w:val="none" w:sz="0" w:space="0" w:color="auto"/>
        <w:right w:val="none" w:sz="0" w:space="0" w:color="auto"/>
      </w:divBdr>
    </w:div>
    <w:div w:id="347366512">
      <w:bodyDiv w:val="1"/>
      <w:marLeft w:val="0"/>
      <w:marRight w:val="0"/>
      <w:marTop w:val="0"/>
      <w:marBottom w:val="0"/>
      <w:divBdr>
        <w:top w:val="none" w:sz="0" w:space="0" w:color="auto"/>
        <w:left w:val="none" w:sz="0" w:space="0" w:color="auto"/>
        <w:bottom w:val="none" w:sz="0" w:space="0" w:color="auto"/>
        <w:right w:val="none" w:sz="0" w:space="0" w:color="auto"/>
      </w:divBdr>
    </w:div>
    <w:div w:id="360859995">
      <w:bodyDiv w:val="1"/>
      <w:marLeft w:val="0"/>
      <w:marRight w:val="0"/>
      <w:marTop w:val="0"/>
      <w:marBottom w:val="0"/>
      <w:divBdr>
        <w:top w:val="none" w:sz="0" w:space="0" w:color="auto"/>
        <w:left w:val="none" w:sz="0" w:space="0" w:color="auto"/>
        <w:bottom w:val="none" w:sz="0" w:space="0" w:color="auto"/>
        <w:right w:val="none" w:sz="0" w:space="0" w:color="auto"/>
      </w:divBdr>
    </w:div>
    <w:div w:id="636840981">
      <w:bodyDiv w:val="1"/>
      <w:marLeft w:val="0"/>
      <w:marRight w:val="0"/>
      <w:marTop w:val="0"/>
      <w:marBottom w:val="0"/>
      <w:divBdr>
        <w:top w:val="none" w:sz="0" w:space="0" w:color="auto"/>
        <w:left w:val="none" w:sz="0" w:space="0" w:color="auto"/>
        <w:bottom w:val="none" w:sz="0" w:space="0" w:color="auto"/>
        <w:right w:val="none" w:sz="0" w:space="0" w:color="auto"/>
      </w:divBdr>
      <w:divsChild>
        <w:div w:id="385765422">
          <w:marLeft w:val="0"/>
          <w:marRight w:val="0"/>
          <w:marTop w:val="0"/>
          <w:marBottom w:val="0"/>
          <w:divBdr>
            <w:top w:val="none" w:sz="0" w:space="0" w:color="auto"/>
            <w:left w:val="none" w:sz="0" w:space="0" w:color="auto"/>
            <w:bottom w:val="none" w:sz="0" w:space="0" w:color="auto"/>
            <w:right w:val="none" w:sz="0" w:space="0" w:color="auto"/>
          </w:divBdr>
          <w:divsChild>
            <w:div w:id="18324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105615">
      <w:bodyDiv w:val="1"/>
      <w:marLeft w:val="0"/>
      <w:marRight w:val="0"/>
      <w:marTop w:val="0"/>
      <w:marBottom w:val="0"/>
      <w:divBdr>
        <w:top w:val="none" w:sz="0" w:space="0" w:color="auto"/>
        <w:left w:val="none" w:sz="0" w:space="0" w:color="auto"/>
        <w:bottom w:val="none" w:sz="0" w:space="0" w:color="auto"/>
        <w:right w:val="none" w:sz="0" w:space="0" w:color="auto"/>
      </w:divBdr>
    </w:div>
    <w:div w:id="803503735">
      <w:bodyDiv w:val="1"/>
      <w:marLeft w:val="0"/>
      <w:marRight w:val="0"/>
      <w:marTop w:val="0"/>
      <w:marBottom w:val="0"/>
      <w:divBdr>
        <w:top w:val="none" w:sz="0" w:space="0" w:color="auto"/>
        <w:left w:val="none" w:sz="0" w:space="0" w:color="auto"/>
        <w:bottom w:val="none" w:sz="0" w:space="0" w:color="auto"/>
        <w:right w:val="none" w:sz="0" w:space="0" w:color="auto"/>
      </w:divBdr>
    </w:div>
    <w:div w:id="915360793">
      <w:bodyDiv w:val="1"/>
      <w:marLeft w:val="0"/>
      <w:marRight w:val="0"/>
      <w:marTop w:val="0"/>
      <w:marBottom w:val="0"/>
      <w:divBdr>
        <w:top w:val="none" w:sz="0" w:space="0" w:color="auto"/>
        <w:left w:val="none" w:sz="0" w:space="0" w:color="auto"/>
        <w:bottom w:val="none" w:sz="0" w:space="0" w:color="auto"/>
        <w:right w:val="none" w:sz="0" w:space="0" w:color="auto"/>
      </w:divBdr>
    </w:div>
    <w:div w:id="1037586934">
      <w:bodyDiv w:val="1"/>
      <w:marLeft w:val="0"/>
      <w:marRight w:val="0"/>
      <w:marTop w:val="0"/>
      <w:marBottom w:val="0"/>
      <w:divBdr>
        <w:top w:val="none" w:sz="0" w:space="0" w:color="auto"/>
        <w:left w:val="none" w:sz="0" w:space="0" w:color="auto"/>
        <w:bottom w:val="none" w:sz="0" w:space="0" w:color="auto"/>
        <w:right w:val="none" w:sz="0" w:space="0" w:color="auto"/>
      </w:divBdr>
    </w:div>
    <w:div w:id="1118064542">
      <w:bodyDiv w:val="1"/>
      <w:marLeft w:val="0"/>
      <w:marRight w:val="0"/>
      <w:marTop w:val="0"/>
      <w:marBottom w:val="0"/>
      <w:divBdr>
        <w:top w:val="none" w:sz="0" w:space="0" w:color="auto"/>
        <w:left w:val="none" w:sz="0" w:space="0" w:color="auto"/>
        <w:bottom w:val="none" w:sz="0" w:space="0" w:color="auto"/>
        <w:right w:val="none" w:sz="0" w:space="0" w:color="auto"/>
      </w:divBdr>
    </w:div>
    <w:div w:id="1159343417">
      <w:bodyDiv w:val="1"/>
      <w:marLeft w:val="0"/>
      <w:marRight w:val="0"/>
      <w:marTop w:val="0"/>
      <w:marBottom w:val="0"/>
      <w:divBdr>
        <w:top w:val="none" w:sz="0" w:space="0" w:color="auto"/>
        <w:left w:val="none" w:sz="0" w:space="0" w:color="auto"/>
        <w:bottom w:val="none" w:sz="0" w:space="0" w:color="auto"/>
        <w:right w:val="none" w:sz="0" w:space="0" w:color="auto"/>
      </w:divBdr>
    </w:div>
    <w:div w:id="1196313243">
      <w:bodyDiv w:val="1"/>
      <w:marLeft w:val="0"/>
      <w:marRight w:val="0"/>
      <w:marTop w:val="0"/>
      <w:marBottom w:val="0"/>
      <w:divBdr>
        <w:top w:val="none" w:sz="0" w:space="0" w:color="auto"/>
        <w:left w:val="none" w:sz="0" w:space="0" w:color="auto"/>
        <w:bottom w:val="none" w:sz="0" w:space="0" w:color="auto"/>
        <w:right w:val="none" w:sz="0" w:space="0" w:color="auto"/>
      </w:divBdr>
    </w:div>
    <w:div w:id="1214387649">
      <w:bodyDiv w:val="1"/>
      <w:marLeft w:val="0"/>
      <w:marRight w:val="0"/>
      <w:marTop w:val="0"/>
      <w:marBottom w:val="0"/>
      <w:divBdr>
        <w:top w:val="none" w:sz="0" w:space="0" w:color="auto"/>
        <w:left w:val="none" w:sz="0" w:space="0" w:color="auto"/>
        <w:bottom w:val="none" w:sz="0" w:space="0" w:color="auto"/>
        <w:right w:val="none" w:sz="0" w:space="0" w:color="auto"/>
      </w:divBdr>
    </w:div>
    <w:div w:id="1245187985">
      <w:bodyDiv w:val="1"/>
      <w:marLeft w:val="0"/>
      <w:marRight w:val="0"/>
      <w:marTop w:val="0"/>
      <w:marBottom w:val="0"/>
      <w:divBdr>
        <w:top w:val="none" w:sz="0" w:space="0" w:color="auto"/>
        <w:left w:val="none" w:sz="0" w:space="0" w:color="auto"/>
        <w:bottom w:val="none" w:sz="0" w:space="0" w:color="auto"/>
        <w:right w:val="none" w:sz="0" w:space="0" w:color="auto"/>
      </w:divBdr>
      <w:divsChild>
        <w:div w:id="1406952872">
          <w:marLeft w:val="0"/>
          <w:marRight w:val="0"/>
          <w:marTop w:val="0"/>
          <w:marBottom w:val="0"/>
          <w:divBdr>
            <w:top w:val="none" w:sz="0" w:space="0" w:color="auto"/>
            <w:left w:val="none" w:sz="0" w:space="0" w:color="auto"/>
            <w:bottom w:val="none" w:sz="0" w:space="0" w:color="auto"/>
            <w:right w:val="none" w:sz="0" w:space="0" w:color="auto"/>
          </w:divBdr>
          <w:divsChild>
            <w:div w:id="180122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898121">
      <w:bodyDiv w:val="1"/>
      <w:marLeft w:val="0"/>
      <w:marRight w:val="0"/>
      <w:marTop w:val="0"/>
      <w:marBottom w:val="0"/>
      <w:divBdr>
        <w:top w:val="none" w:sz="0" w:space="0" w:color="auto"/>
        <w:left w:val="none" w:sz="0" w:space="0" w:color="auto"/>
        <w:bottom w:val="none" w:sz="0" w:space="0" w:color="auto"/>
        <w:right w:val="none" w:sz="0" w:space="0" w:color="auto"/>
      </w:divBdr>
    </w:div>
    <w:div w:id="1567686671">
      <w:bodyDiv w:val="1"/>
      <w:marLeft w:val="0"/>
      <w:marRight w:val="0"/>
      <w:marTop w:val="0"/>
      <w:marBottom w:val="0"/>
      <w:divBdr>
        <w:top w:val="none" w:sz="0" w:space="0" w:color="auto"/>
        <w:left w:val="none" w:sz="0" w:space="0" w:color="auto"/>
        <w:bottom w:val="none" w:sz="0" w:space="0" w:color="auto"/>
        <w:right w:val="none" w:sz="0" w:space="0" w:color="auto"/>
      </w:divBdr>
    </w:div>
    <w:div w:id="1614558647">
      <w:bodyDiv w:val="1"/>
      <w:marLeft w:val="0"/>
      <w:marRight w:val="0"/>
      <w:marTop w:val="0"/>
      <w:marBottom w:val="0"/>
      <w:divBdr>
        <w:top w:val="none" w:sz="0" w:space="0" w:color="auto"/>
        <w:left w:val="none" w:sz="0" w:space="0" w:color="auto"/>
        <w:bottom w:val="none" w:sz="0" w:space="0" w:color="auto"/>
        <w:right w:val="none" w:sz="0" w:space="0" w:color="auto"/>
      </w:divBdr>
    </w:div>
    <w:div w:id="1670983017">
      <w:bodyDiv w:val="1"/>
      <w:marLeft w:val="0"/>
      <w:marRight w:val="0"/>
      <w:marTop w:val="0"/>
      <w:marBottom w:val="0"/>
      <w:divBdr>
        <w:top w:val="none" w:sz="0" w:space="0" w:color="auto"/>
        <w:left w:val="none" w:sz="0" w:space="0" w:color="auto"/>
        <w:bottom w:val="none" w:sz="0" w:space="0" w:color="auto"/>
        <w:right w:val="none" w:sz="0" w:space="0" w:color="auto"/>
      </w:divBdr>
    </w:div>
    <w:div w:id="1854150723">
      <w:bodyDiv w:val="1"/>
      <w:marLeft w:val="0"/>
      <w:marRight w:val="0"/>
      <w:marTop w:val="0"/>
      <w:marBottom w:val="0"/>
      <w:divBdr>
        <w:top w:val="none" w:sz="0" w:space="0" w:color="auto"/>
        <w:left w:val="none" w:sz="0" w:space="0" w:color="auto"/>
        <w:bottom w:val="none" w:sz="0" w:space="0" w:color="auto"/>
        <w:right w:val="none" w:sz="0" w:space="0" w:color="auto"/>
      </w:divBdr>
    </w:div>
    <w:div w:id="1916626403">
      <w:bodyDiv w:val="1"/>
      <w:marLeft w:val="0"/>
      <w:marRight w:val="0"/>
      <w:marTop w:val="0"/>
      <w:marBottom w:val="0"/>
      <w:divBdr>
        <w:top w:val="none" w:sz="0" w:space="0" w:color="auto"/>
        <w:left w:val="none" w:sz="0" w:space="0" w:color="auto"/>
        <w:bottom w:val="none" w:sz="0" w:space="0" w:color="auto"/>
        <w:right w:val="none" w:sz="0" w:space="0" w:color="auto"/>
      </w:divBdr>
    </w:div>
    <w:div w:id="1957130221">
      <w:bodyDiv w:val="1"/>
      <w:marLeft w:val="0"/>
      <w:marRight w:val="0"/>
      <w:marTop w:val="0"/>
      <w:marBottom w:val="0"/>
      <w:divBdr>
        <w:top w:val="none" w:sz="0" w:space="0" w:color="auto"/>
        <w:left w:val="none" w:sz="0" w:space="0" w:color="auto"/>
        <w:bottom w:val="none" w:sz="0" w:space="0" w:color="auto"/>
        <w:right w:val="none" w:sz="0" w:space="0" w:color="auto"/>
      </w:divBdr>
    </w:div>
    <w:div w:id="2043045135">
      <w:bodyDiv w:val="1"/>
      <w:marLeft w:val="0"/>
      <w:marRight w:val="0"/>
      <w:marTop w:val="0"/>
      <w:marBottom w:val="0"/>
      <w:divBdr>
        <w:top w:val="none" w:sz="0" w:space="0" w:color="auto"/>
        <w:left w:val="none" w:sz="0" w:space="0" w:color="auto"/>
        <w:bottom w:val="none" w:sz="0" w:space="0" w:color="auto"/>
        <w:right w:val="none" w:sz="0" w:space="0" w:color="auto"/>
      </w:divBdr>
    </w:div>
    <w:div w:id="2056613776">
      <w:bodyDiv w:val="1"/>
      <w:marLeft w:val="0"/>
      <w:marRight w:val="0"/>
      <w:marTop w:val="0"/>
      <w:marBottom w:val="0"/>
      <w:divBdr>
        <w:top w:val="none" w:sz="0" w:space="0" w:color="auto"/>
        <w:left w:val="none" w:sz="0" w:space="0" w:color="auto"/>
        <w:bottom w:val="none" w:sz="0" w:space="0" w:color="auto"/>
        <w:right w:val="none" w:sz="0" w:space="0" w:color="auto"/>
      </w:divBdr>
    </w:div>
    <w:div w:id="2116633299">
      <w:bodyDiv w:val="1"/>
      <w:marLeft w:val="0"/>
      <w:marRight w:val="0"/>
      <w:marTop w:val="0"/>
      <w:marBottom w:val="0"/>
      <w:divBdr>
        <w:top w:val="none" w:sz="0" w:space="0" w:color="auto"/>
        <w:left w:val="none" w:sz="0" w:space="0" w:color="auto"/>
        <w:bottom w:val="none" w:sz="0" w:space="0" w:color="auto"/>
        <w:right w:val="none" w:sz="0" w:space="0" w:color="auto"/>
      </w:divBdr>
    </w:div>
    <w:div w:id="2137747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72B9BD-343A-4E5A-BAB3-480C6202AD86}">
  <ds:schemaRefs>
    <ds:schemaRef ds:uri="http://schemas.openxmlformats.org/officeDocument/2006/bibliography"/>
  </ds:schemaRefs>
</ds:datastoreItem>
</file>

<file path=docMetadata/LabelInfo.xml><?xml version="1.0" encoding="utf-8"?>
<clbl:labelList xmlns:clbl="http://schemas.microsoft.com/office/2020/mipLabelMetadata">
  <clbl:label id="{73aa366c-74b9-492b-a1b9-5472c41e7d31}" enabled="1" method="Standard" siteId="{44bbd632-fe04-42d7-933e-2649dcd22649}"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1680</Words>
  <Characters>9580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Byrne, Darrell</dc:creator>
  <cp:keywords/>
  <dc:description/>
  <cp:lastModifiedBy>Byrne, Darrell</cp:lastModifiedBy>
  <cp:revision>142</cp:revision>
  <dcterms:created xsi:type="dcterms:W3CDTF">2025-10-16T08:05:00Z</dcterms:created>
  <dcterms:modified xsi:type="dcterms:W3CDTF">2025-10-16T09:19:00Z</dcterms:modified>
</cp:coreProperties>
</file>