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9D2F38" w14:textId="26D01238" w:rsidR="71AFF94D" w:rsidRDefault="71AFF94D" w:rsidP="71AFF94D">
      <w:pPr>
        <w:spacing w:line="257" w:lineRule="auto"/>
        <w:jc w:val="center"/>
        <w:rPr>
          <w:rFonts w:ascii="Calibri" w:eastAsia="Calibri" w:hAnsi="Calibri" w:cs="Calibri"/>
          <w:sz w:val="32"/>
          <w:szCs w:val="32"/>
        </w:rPr>
      </w:pPr>
    </w:p>
    <w:p w14:paraId="48D5DA32" w14:textId="2A1F8F28" w:rsidR="4412A77D" w:rsidRDefault="4412A77D" w:rsidP="71AFF94D">
      <w:pPr>
        <w:spacing w:line="257" w:lineRule="auto"/>
        <w:jc w:val="center"/>
      </w:pPr>
      <w:r w:rsidRPr="09C0C299">
        <w:rPr>
          <w:rFonts w:ascii="Calibri" w:eastAsia="Calibri" w:hAnsi="Calibri" w:cs="Calibri"/>
          <w:sz w:val="32"/>
          <w:szCs w:val="32"/>
        </w:rPr>
        <w:t>What factors affect students’ attitude towards school on Monday morning?</w:t>
      </w:r>
    </w:p>
    <w:p w14:paraId="5362A354" w14:textId="17AE59FB" w:rsidR="4412A77D" w:rsidRDefault="4412A77D" w:rsidP="71AFF94D">
      <w:pPr>
        <w:spacing w:line="257" w:lineRule="auto"/>
      </w:pPr>
      <w:r w:rsidRPr="71AFF94D">
        <w:rPr>
          <w:rFonts w:ascii="Calibri" w:eastAsia="Calibri" w:hAnsi="Calibri" w:cs="Calibri"/>
          <w:color w:val="000000" w:themeColor="text1"/>
          <w:sz w:val="32"/>
          <w:szCs w:val="32"/>
        </w:rPr>
        <w:t xml:space="preserve"> </w:t>
      </w:r>
    </w:p>
    <w:p w14:paraId="7F521D31" w14:textId="5137F861" w:rsidR="4412A77D" w:rsidRDefault="4412A77D" w:rsidP="71AFF94D">
      <w:pPr>
        <w:spacing w:line="257" w:lineRule="auto"/>
      </w:pPr>
      <w:r w:rsidRPr="71AFF94D">
        <w:rPr>
          <w:rFonts w:ascii="Calibri" w:eastAsia="Calibri" w:hAnsi="Calibri" w:cs="Calibri"/>
          <w:color w:val="000000" w:themeColor="text1"/>
          <w:sz w:val="32"/>
          <w:szCs w:val="32"/>
        </w:rPr>
        <w:t xml:space="preserve"> </w:t>
      </w:r>
    </w:p>
    <w:p w14:paraId="46F4FC75" w14:textId="03FFD991" w:rsidR="4412A77D" w:rsidRDefault="4412A77D" w:rsidP="71AFF94D">
      <w:pPr>
        <w:spacing w:line="257" w:lineRule="auto"/>
        <w:jc w:val="center"/>
      </w:pPr>
      <w:r w:rsidRPr="71AFF94D">
        <w:rPr>
          <w:rFonts w:ascii="Calibri" w:eastAsia="Calibri" w:hAnsi="Calibri" w:cs="Calibri"/>
          <w:color w:val="000000" w:themeColor="text1"/>
          <w:sz w:val="32"/>
          <w:szCs w:val="32"/>
        </w:rPr>
        <w:t xml:space="preserve">Carys Lloyd </w:t>
      </w:r>
    </w:p>
    <w:p w14:paraId="087C9B09" w14:textId="67B4A573" w:rsidR="4412A77D" w:rsidRDefault="4412A77D" w:rsidP="71AFF94D">
      <w:pPr>
        <w:spacing w:line="257" w:lineRule="auto"/>
        <w:jc w:val="center"/>
      </w:pPr>
      <w:r w:rsidRPr="71AFF94D">
        <w:rPr>
          <w:rFonts w:ascii="Calibri" w:eastAsia="Calibri" w:hAnsi="Calibri" w:cs="Calibri"/>
          <w:color w:val="000000" w:themeColor="text1"/>
          <w:sz w:val="32"/>
          <w:szCs w:val="32"/>
        </w:rPr>
        <w:t>1701974</w:t>
      </w:r>
    </w:p>
    <w:p w14:paraId="70D0893D" w14:textId="2C9F7627" w:rsidR="4412A77D" w:rsidRDefault="4412A77D" w:rsidP="71AFF94D">
      <w:pPr>
        <w:spacing w:line="257" w:lineRule="auto"/>
      </w:pPr>
      <w:r w:rsidRPr="71AFF94D">
        <w:rPr>
          <w:rFonts w:ascii="Calibri" w:eastAsia="Calibri" w:hAnsi="Calibri" w:cs="Calibri"/>
          <w:sz w:val="32"/>
          <w:szCs w:val="32"/>
        </w:rPr>
        <w:t xml:space="preserve"> </w:t>
      </w:r>
    </w:p>
    <w:p w14:paraId="0E2D0277" w14:textId="3855BE12" w:rsidR="4412A77D" w:rsidRDefault="4412A77D" w:rsidP="71AFF94D">
      <w:pPr>
        <w:spacing w:line="257" w:lineRule="auto"/>
      </w:pPr>
      <w:r w:rsidRPr="71AFF94D">
        <w:rPr>
          <w:rFonts w:ascii="Calibri" w:eastAsia="Calibri" w:hAnsi="Calibri" w:cs="Calibri"/>
          <w:sz w:val="32"/>
          <w:szCs w:val="32"/>
        </w:rPr>
        <w:t xml:space="preserve"> </w:t>
      </w:r>
    </w:p>
    <w:p w14:paraId="23104AB9" w14:textId="26C503D6" w:rsidR="4412A77D" w:rsidRDefault="4412A77D" w:rsidP="15EF142A">
      <w:pPr>
        <w:spacing w:line="257" w:lineRule="auto"/>
        <w:jc w:val="center"/>
        <w:rPr>
          <w:rFonts w:ascii="Calibri" w:eastAsia="Calibri" w:hAnsi="Calibri" w:cs="Calibri"/>
          <w:sz w:val="32"/>
          <w:szCs w:val="32"/>
        </w:rPr>
      </w:pPr>
      <w:r w:rsidRPr="15EF142A">
        <w:rPr>
          <w:rFonts w:ascii="Calibri" w:eastAsia="Calibri" w:hAnsi="Calibri" w:cs="Calibri"/>
          <w:sz w:val="32"/>
          <w:szCs w:val="32"/>
        </w:rPr>
        <w:t xml:space="preserve">Word Count: </w:t>
      </w:r>
      <w:r w:rsidR="3C4D8212" w:rsidRPr="15EF142A">
        <w:rPr>
          <w:rFonts w:ascii="Calibri" w:eastAsia="Calibri" w:hAnsi="Calibri" w:cs="Calibri"/>
          <w:sz w:val="32"/>
          <w:szCs w:val="32"/>
        </w:rPr>
        <w:t>4,940</w:t>
      </w:r>
    </w:p>
    <w:p w14:paraId="150FC17E" w14:textId="6A9D6D94" w:rsidR="71AFF94D" w:rsidRDefault="71AFF94D" w:rsidP="71AFF94D">
      <w:pPr>
        <w:spacing w:after="0"/>
        <w:rPr>
          <w:rFonts w:ascii="Arial" w:eastAsia="Arial" w:hAnsi="Arial" w:cs="Arial"/>
          <w:sz w:val="20"/>
          <w:szCs w:val="20"/>
        </w:rPr>
      </w:pPr>
    </w:p>
    <w:p w14:paraId="7B2DF9F3" w14:textId="1FB1F4D3" w:rsidR="71AFF94D" w:rsidRDefault="71AFF94D" w:rsidP="71AFF94D">
      <w:pPr>
        <w:spacing w:after="0"/>
        <w:rPr>
          <w:rFonts w:ascii="Arial" w:eastAsia="Arial" w:hAnsi="Arial" w:cs="Arial"/>
          <w:sz w:val="20"/>
          <w:szCs w:val="20"/>
        </w:rPr>
      </w:pPr>
    </w:p>
    <w:p w14:paraId="24E80A6F" w14:textId="0A12CD21" w:rsidR="71AFF94D" w:rsidRDefault="71AFF94D" w:rsidP="71AFF94D">
      <w:pPr>
        <w:spacing w:after="0"/>
        <w:rPr>
          <w:rFonts w:ascii="Arial" w:eastAsia="Arial" w:hAnsi="Arial" w:cs="Arial"/>
          <w:sz w:val="20"/>
          <w:szCs w:val="20"/>
        </w:rPr>
      </w:pPr>
    </w:p>
    <w:p w14:paraId="64681997" w14:textId="2370B2FF" w:rsidR="71AFF94D" w:rsidRDefault="71AFF94D" w:rsidP="71AFF94D">
      <w:pPr>
        <w:spacing w:after="0"/>
        <w:rPr>
          <w:rFonts w:ascii="Arial" w:eastAsia="Arial" w:hAnsi="Arial" w:cs="Arial"/>
          <w:sz w:val="20"/>
          <w:szCs w:val="20"/>
        </w:rPr>
      </w:pPr>
    </w:p>
    <w:p w14:paraId="648FF0E6" w14:textId="390ADF18" w:rsidR="71AFF94D" w:rsidRDefault="71AFF94D" w:rsidP="71AFF94D">
      <w:pPr>
        <w:spacing w:after="0"/>
        <w:rPr>
          <w:rFonts w:ascii="Arial" w:eastAsia="Arial" w:hAnsi="Arial" w:cs="Arial"/>
          <w:sz w:val="20"/>
          <w:szCs w:val="20"/>
        </w:rPr>
      </w:pPr>
    </w:p>
    <w:p w14:paraId="03FC56F9" w14:textId="5924E596" w:rsidR="71AFF94D" w:rsidRDefault="71AFF94D" w:rsidP="71AFF94D">
      <w:pPr>
        <w:spacing w:after="0"/>
        <w:rPr>
          <w:rFonts w:ascii="Arial" w:eastAsia="Arial" w:hAnsi="Arial" w:cs="Arial"/>
          <w:sz w:val="20"/>
          <w:szCs w:val="20"/>
        </w:rPr>
      </w:pPr>
    </w:p>
    <w:p w14:paraId="42EFF84C" w14:textId="05E8E70D" w:rsidR="71AFF94D" w:rsidRDefault="71AFF94D" w:rsidP="71AFF94D">
      <w:pPr>
        <w:spacing w:after="0"/>
        <w:rPr>
          <w:rFonts w:ascii="Arial" w:eastAsia="Arial" w:hAnsi="Arial" w:cs="Arial"/>
          <w:sz w:val="20"/>
          <w:szCs w:val="20"/>
        </w:rPr>
      </w:pPr>
    </w:p>
    <w:p w14:paraId="77C7BA00" w14:textId="58529F17" w:rsidR="71AFF94D" w:rsidRDefault="71AFF94D" w:rsidP="71AFF94D">
      <w:pPr>
        <w:spacing w:after="0"/>
        <w:rPr>
          <w:rFonts w:ascii="Arial" w:eastAsia="Arial" w:hAnsi="Arial" w:cs="Arial"/>
          <w:sz w:val="20"/>
          <w:szCs w:val="20"/>
        </w:rPr>
      </w:pPr>
    </w:p>
    <w:p w14:paraId="26878C53" w14:textId="19175DF4" w:rsidR="71AFF94D" w:rsidRDefault="71AFF94D" w:rsidP="71AFF94D">
      <w:pPr>
        <w:spacing w:after="0"/>
        <w:rPr>
          <w:rFonts w:ascii="Arial" w:eastAsia="Arial" w:hAnsi="Arial" w:cs="Arial"/>
          <w:sz w:val="20"/>
          <w:szCs w:val="20"/>
        </w:rPr>
      </w:pPr>
    </w:p>
    <w:p w14:paraId="308CA135" w14:textId="2C5E4C9E" w:rsidR="71AFF94D" w:rsidRDefault="71AFF94D" w:rsidP="71AFF94D">
      <w:pPr>
        <w:spacing w:after="0"/>
        <w:rPr>
          <w:rFonts w:ascii="Arial" w:eastAsia="Arial" w:hAnsi="Arial" w:cs="Arial"/>
          <w:sz w:val="20"/>
          <w:szCs w:val="20"/>
        </w:rPr>
      </w:pPr>
    </w:p>
    <w:p w14:paraId="54B88FD2" w14:textId="08B13E26" w:rsidR="71AFF94D" w:rsidRDefault="71AFF94D" w:rsidP="71AFF94D">
      <w:pPr>
        <w:spacing w:after="0"/>
        <w:rPr>
          <w:rFonts w:ascii="Arial" w:eastAsia="Arial" w:hAnsi="Arial" w:cs="Arial"/>
          <w:sz w:val="20"/>
          <w:szCs w:val="20"/>
        </w:rPr>
      </w:pPr>
    </w:p>
    <w:p w14:paraId="3DBD369A" w14:textId="59ACA3CE" w:rsidR="71AFF94D" w:rsidRDefault="71AFF94D" w:rsidP="71AFF94D">
      <w:pPr>
        <w:spacing w:after="0"/>
        <w:rPr>
          <w:rFonts w:ascii="Arial" w:eastAsia="Arial" w:hAnsi="Arial" w:cs="Arial"/>
          <w:sz w:val="20"/>
          <w:szCs w:val="20"/>
        </w:rPr>
      </w:pPr>
    </w:p>
    <w:p w14:paraId="2A9F20D3" w14:textId="5822F656" w:rsidR="71AFF94D" w:rsidRDefault="71AFF94D" w:rsidP="71AFF94D">
      <w:pPr>
        <w:spacing w:after="0"/>
        <w:rPr>
          <w:rFonts w:ascii="Arial" w:eastAsia="Arial" w:hAnsi="Arial" w:cs="Arial"/>
          <w:sz w:val="20"/>
          <w:szCs w:val="20"/>
        </w:rPr>
      </w:pPr>
    </w:p>
    <w:p w14:paraId="5DE8DE39" w14:textId="491B51FB" w:rsidR="71AFF94D" w:rsidRDefault="71AFF94D" w:rsidP="71AFF94D">
      <w:pPr>
        <w:spacing w:after="0"/>
        <w:rPr>
          <w:rFonts w:ascii="Arial" w:eastAsia="Arial" w:hAnsi="Arial" w:cs="Arial"/>
          <w:sz w:val="20"/>
          <w:szCs w:val="20"/>
        </w:rPr>
      </w:pPr>
    </w:p>
    <w:p w14:paraId="2D9AE3EB" w14:textId="20278712" w:rsidR="71AFF94D" w:rsidRDefault="71AFF94D" w:rsidP="71AFF94D">
      <w:pPr>
        <w:spacing w:after="0"/>
        <w:rPr>
          <w:rFonts w:ascii="Arial" w:eastAsia="Arial" w:hAnsi="Arial" w:cs="Arial"/>
          <w:sz w:val="20"/>
          <w:szCs w:val="20"/>
        </w:rPr>
      </w:pPr>
    </w:p>
    <w:p w14:paraId="276A3DA7" w14:textId="471A4129" w:rsidR="71AFF94D" w:rsidRDefault="71AFF94D" w:rsidP="71AFF94D">
      <w:pPr>
        <w:spacing w:after="0"/>
        <w:rPr>
          <w:rFonts w:ascii="Arial" w:eastAsia="Arial" w:hAnsi="Arial" w:cs="Arial"/>
          <w:sz w:val="20"/>
          <w:szCs w:val="20"/>
        </w:rPr>
      </w:pPr>
    </w:p>
    <w:p w14:paraId="318D33A1" w14:textId="5CFCBCAF" w:rsidR="71AFF94D" w:rsidRDefault="71AFF94D" w:rsidP="71AFF94D">
      <w:pPr>
        <w:spacing w:after="0"/>
        <w:rPr>
          <w:rFonts w:ascii="Arial" w:eastAsia="Arial" w:hAnsi="Arial" w:cs="Arial"/>
          <w:sz w:val="20"/>
          <w:szCs w:val="20"/>
        </w:rPr>
      </w:pPr>
    </w:p>
    <w:p w14:paraId="272D59E0" w14:textId="14DA545D" w:rsidR="71AFF94D" w:rsidRDefault="71AFF94D" w:rsidP="71AFF94D">
      <w:pPr>
        <w:spacing w:after="0"/>
        <w:rPr>
          <w:rFonts w:ascii="Arial" w:eastAsia="Arial" w:hAnsi="Arial" w:cs="Arial"/>
          <w:sz w:val="20"/>
          <w:szCs w:val="20"/>
        </w:rPr>
      </w:pPr>
    </w:p>
    <w:p w14:paraId="7B7E3A39" w14:textId="793F61A8" w:rsidR="71AFF94D" w:rsidRDefault="71AFF94D" w:rsidP="71AFF94D">
      <w:pPr>
        <w:spacing w:after="0"/>
        <w:rPr>
          <w:rFonts w:ascii="Arial" w:eastAsia="Arial" w:hAnsi="Arial" w:cs="Arial"/>
          <w:sz w:val="20"/>
          <w:szCs w:val="20"/>
        </w:rPr>
      </w:pPr>
    </w:p>
    <w:p w14:paraId="29606A0A" w14:textId="5007B61F" w:rsidR="71AFF94D" w:rsidRDefault="71AFF94D" w:rsidP="71AFF94D">
      <w:pPr>
        <w:spacing w:after="0"/>
        <w:rPr>
          <w:rFonts w:ascii="Arial" w:eastAsia="Arial" w:hAnsi="Arial" w:cs="Arial"/>
          <w:sz w:val="20"/>
          <w:szCs w:val="20"/>
        </w:rPr>
      </w:pPr>
    </w:p>
    <w:p w14:paraId="1B9E3334" w14:textId="554EF27A" w:rsidR="71AFF94D" w:rsidRDefault="71AFF94D" w:rsidP="71AFF94D">
      <w:pPr>
        <w:spacing w:after="0"/>
        <w:rPr>
          <w:rFonts w:ascii="Arial" w:eastAsia="Arial" w:hAnsi="Arial" w:cs="Arial"/>
          <w:sz w:val="20"/>
          <w:szCs w:val="20"/>
        </w:rPr>
      </w:pPr>
    </w:p>
    <w:p w14:paraId="3282F9E9" w14:textId="558CAC8D" w:rsidR="71AFF94D" w:rsidRDefault="71AFF94D" w:rsidP="71AFF94D">
      <w:pPr>
        <w:spacing w:after="0"/>
        <w:rPr>
          <w:rFonts w:ascii="Arial" w:eastAsia="Arial" w:hAnsi="Arial" w:cs="Arial"/>
          <w:sz w:val="20"/>
          <w:szCs w:val="20"/>
        </w:rPr>
      </w:pPr>
    </w:p>
    <w:p w14:paraId="36BA8BD7" w14:textId="26E5A3EF" w:rsidR="71AFF94D" w:rsidRDefault="71AFF94D" w:rsidP="71AFF94D">
      <w:pPr>
        <w:spacing w:after="0"/>
        <w:rPr>
          <w:rFonts w:ascii="Arial" w:eastAsia="Arial" w:hAnsi="Arial" w:cs="Arial"/>
          <w:sz w:val="20"/>
          <w:szCs w:val="20"/>
        </w:rPr>
      </w:pPr>
    </w:p>
    <w:p w14:paraId="25569DDC" w14:textId="2FD76C62" w:rsidR="71AFF94D" w:rsidRDefault="71AFF94D" w:rsidP="71AFF94D">
      <w:pPr>
        <w:spacing w:after="0"/>
        <w:rPr>
          <w:rFonts w:ascii="Arial" w:eastAsia="Arial" w:hAnsi="Arial" w:cs="Arial"/>
          <w:sz w:val="20"/>
          <w:szCs w:val="20"/>
        </w:rPr>
      </w:pPr>
    </w:p>
    <w:p w14:paraId="21F7479A" w14:textId="263A63F8" w:rsidR="71AFF94D" w:rsidRDefault="71AFF94D" w:rsidP="71AFF94D">
      <w:pPr>
        <w:spacing w:after="0"/>
        <w:rPr>
          <w:rFonts w:ascii="Arial" w:eastAsia="Arial" w:hAnsi="Arial" w:cs="Arial"/>
          <w:sz w:val="20"/>
          <w:szCs w:val="20"/>
        </w:rPr>
      </w:pPr>
    </w:p>
    <w:p w14:paraId="643128A9" w14:textId="7036AF7A" w:rsidR="71AFF94D" w:rsidRDefault="71AFF94D" w:rsidP="71AFF94D">
      <w:pPr>
        <w:spacing w:after="0"/>
        <w:rPr>
          <w:rFonts w:ascii="Arial" w:eastAsia="Arial" w:hAnsi="Arial" w:cs="Arial"/>
          <w:sz w:val="20"/>
          <w:szCs w:val="20"/>
        </w:rPr>
      </w:pPr>
    </w:p>
    <w:p w14:paraId="77E0E42A" w14:textId="2FB65B61" w:rsidR="71AFF94D" w:rsidRDefault="71AFF94D" w:rsidP="71AFF94D">
      <w:pPr>
        <w:spacing w:after="0"/>
        <w:rPr>
          <w:rFonts w:ascii="Arial" w:eastAsia="Arial" w:hAnsi="Arial" w:cs="Arial"/>
          <w:sz w:val="20"/>
          <w:szCs w:val="20"/>
        </w:rPr>
      </w:pPr>
    </w:p>
    <w:p w14:paraId="2E4F26BA" w14:textId="1C57371C" w:rsidR="71AFF94D" w:rsidRDefault="71AFF94D" w:rsidP="71AFF94D">
      <w:pPr>
        <w:spacing w:after="0"/>
        <w:rPr>
          <w:rFonts w:ascii="Arial" w:eastAsia="Arial" w:hAnsi="Arial" w:cs="Arial"/>
          <w:sz w:val="20"/>
          <w:szCs w:val="20"/>
        </w:rPr>
      </w:pPr>
    </w:p>
    <w:p w14:paraId="220E8DCA" w14:textId="15813B20" w:rsidR="71AFF94D" w:rsidRDefault="71AFF94D" w:rsidP="71AFF94D">
      <w:pPr>
        <w:spacing w:after="0"/>
        <w:rPr>
          <w:rFonts w:ascii="Arial" w:eastAsia="Arial" w:hAnsi="Arial" w:cs="Arial"/>
          <w:sz w:val="20"/>
          <w:szCs w:val="20"/>
        </w:rPr>
      </w:pPr>
    </w:p>
    <w:p w14:paraId="30674034" w14:textId="50A51292" w:rsidR="71AFF94D" w:rsidRDefault="71AFF94D" w:rsidP="71AFF94D">
      <w:pPr>
        <w:spacing w:after="0"/>
        <w:rPr>
          <w:rFonts w:ascii="Arial" w:eastAsia="Arial" w:hAnsi="Arial" w:cs="Arial"/>
          <w:sz w:val="20"/>
          <w:szCs w:val="20"/>
        </w:rPr>
      </w:pPr>
    </w:p>
    <w:p w14:paraId="2455C5FC" w14:textId="18FB1085" w:rsidR="69138050" w:rsidRDefault="69138050" w:rsidP="6CC1BEA9">
      <w:pPr>
        <w:spacing w:after="0"/>
        <w:jc w:val="center"/>
        <w:rPr>
          <w:rFonts w:ascii="Arial" w:eastAsia="Arial" w:hAnsi="Arial" w:cs="Arial"/>
          <w:b/>
          <w:bCs/>
          <w:sz w:val="28"/>
          <w:szCs w:val="28"/>
        </w:rPr>
      </w:pPr>
      <w:r w:rsidRPr="6CC1BEA9">
        <w:rPr>
          <w:rFonts w:ascii="Arial" w:eastAsia="Arial" w:hAnsi="Arial" w:cs="Arial"/>
          <w:b/>
          <w:bCs/>
          <w:sz w:val="28"/>
          <w:szCs w:val="28"/>
        </w:rPr>
        <w:t>Targets</w:t>
      </w:r>
      <w:r w:rsidR="659676B8" w:rsidRPr="6CC1BEA9">
        <w:rPr>
          <w:rFonts w:ascii="Arial" w:eastAsia="Arial" w:hAnsi="Arial" w:cs="Arial"/>
          <w:b/>
          <w:bCs/>
          <w:sz w:val="28"/>
          <w:szCs w:val="28"/>
        </w:rPr>
        <w:t xml:space="preserve"> from previous assignment</w:t>
      </w:r>
      <w:r w:rsidRPr="6CC1BEA9">
        <w:rPr>
          <w:rFonts w:ascii="Arial" w:eastAsia="Arial" w:hAnsi="Arial" w:cs="Arial"/>
          <w:b/>
          <w:bCs/>
          <w:sz w:val="28"/>
          <w:szCs w:val="28"/>
        </w:rPr>
        <w:t>:</w:t>
      </w:r>
    </w:p>
    <w:p w14:paraId="487C3D4A" w14:textId="7533216F" w:rsidR="71AFF94D" w:rsidRDefault="71AFF94D" w:rsidP="71AFF94D">
      <w:pPr>
        <w:spacing w:after="0"/>
        <w:rPr>
          <w:rFonts w:ascii="Arial" w:eastAsia="Arial" w:hAnsi="Arial" w:cs="Arial"/>
          <w:sz w:val="28"/>
          <w:szCs w:val="28"/>
        </w:rPr>
      </w:pPr>
    </w:p>
    <w:p w14:paraId="4283BFE6" w14:textId="2E315358" w:rsidR="69138050" w:rsidRDefault="69138050" w:rsidP="71AFF94D">
      <w:pPr>
        <w:spacing w:after="0"/>
        <w:rPr>
          <w:rFonts w:ascii="Arial" w:eastAsia="Arial" w:hAnsi="Arial" w:cs="Arial"/>
          <w:sz w:val="28"/>
          <w:szCs w:val="28"/>
        </w:rPr>
      </w:pPr>
      <w:r w:rsidRPr="71AFF94D">
        <w:rPr>
          <w:rFonts w:ascii="Arial" w:eastAsia="Arial" w:hAnsi="Arial" w:cs="Arial"/>
          <w:sz w:val="28"/>
          <w:szCs w:val="28"/>
        </w:rPr>
        <w:t xml:space="preserve">1. For your future writing, aim to develop your critical thinking skills and enhance your academic tone, try to avoid being overly descriptive - see intext comments. This phrasebook can support your development </w:t>
      </w:r>
      <w:hyperlink r:id="rId5">
        <w:r w:rsidRPr="71AFF94D">
          <w:rPr>
            <w:rStyle w:val="Hyperlink"/>
            <w:rFonts w:ascii="Arial" w:eastAsia="Arial" w:hAnsi="Arial" w:cs="Arial"/>
            <w:color w:val="auto"/>
            <w:sz w:val="28"/>
            <w:szCs w:val="28"/>
          </w:rPr>
          <w:t>https://www.phrasebank.manchester.ac.uk</w:t>
        </w:r>
      </w:hyperlink>
    </w:p>
    <w:p w14:paraId="633F32C9" w14:textId="5852FD55" w:rsidR="71AFF94D" w:rsidRDefault="71AFF94D" w:rsidP="71AFF94D">
      <w:pPr>
        <w:spacing w:after="0"/>
        <w:rPr>
          <w:rFonts w:ascii="Arial" w:eastAsia="Arial" w:hAnsi="Arial" w:cs="Arial"/>
          <w:sz w:val="28"/>
          <w:szCs w:val="28"/>
        </w:rPr>
      </w:pPr>
    </w:p>
    <w:p w14:paraId="3E9A55E2" w14:textId="1D8A76A5" w:rsidR="69138050" w:rsidRDefault="69138050" w:rsidP="71AFF94D">
      <w:pPr>
        <w:spacing w:line="257" w:lineRule="auto"/>
        <w:rPr>
          <w:rFonts w:ascii="Arial" w:eastAsia="Arial" w:hAnsi="Arial" w:cs="Arial"/>
          <w:sz w:val="28"/>
          <w:szCs w:val="28"/>
        </w:rPr>
      </w:pPr>
      <w:r w:rsidRPr="71AFF94D">
        <w:rPr>
          <w:rFonts w:ascii="Arial" w:eastAsia="Arial" w:hAnsi="Arial" w:cs="Arial"/>
          <w:sz w:val="28"/>
          <w:szCs w:val="28"/>
        </w:rPr>
        <w:t xml:space="preserve">2. In terms of your professional development and the teaching standards, continue to think about how you will develop your understanding of the nature of responsibilities within schools and of the contributions individuals make towards the successful fulfilment of the school’s vision to implement </w:t>
      </w:r>
      <w:proofErr w:type="gramStart"/>
      <w:r w:rsidRPr="71AFF94D">
        <w:rPr>
          <w:rFonts w:ascii="Arial" w:eastAsia="Arial" w:hAnsi="Arial" w:cs="Arial"/>
          <w:sz w:val="28"/>
          <w:szCs w:val="28"/>
        </w:rPr>
        <w:t>a</w:t>
      </w:r>
      <w:proofErr w:type="gramEnd"/>
      <w:r w:rsidRPr="71AFF94D">
        <w:rPr>
          <w:rFonts w:ascii="Arial" w:eastAsia="Arial" w:hAnsi="Arial" w:cs="Arial"/>
          <w:sz w:val="28"/>
          <w:szCs w:val="28"/>
        </w:rPr>
        <w:t xml:space="preserve"> SDP.</w:t>
      </w:r>
    </w:p>
    <w:p w14:paraId="57D7C468" w14:textId="381C07F4" w:rsidR="71AFF94D" w:rsidRDefault="71AFF94D" w:rsidP="71AFF94D">
      <w:pPr>
        <w:spacing w:line="257" w:lineRule="auto"/>
        <w:rPr>
          <w:rFonts w:ascii="Arial" w:eastAsia="Arial" w:hAnsi="Arial" w:cs="Arial"/>
          <w:b/>
          <w:bCs/>
          <w:color w:val="000000" w:themeColor="text1"/>
          <w:sz w:val="28"/>
          <w:szCs w:val="28"/>
          <w:u w:val="single"/>
        </w:rPr>
      </w:pPr>
    </w:p>
    <w:p w14:paraId="0B980DAC" w14:textId="61F0D2CA" w:rsidR="71AFF94D" w:rsidRDefault="71AFF94D" w:rsidP="71AFF94D">
      <w:pPr>
        <w:spacing w:line="257" w:lineRule="auto"/>
        <w:rPr>
          <w:rFonts w:ascii="Arial" w:eastAsia="Arial" w:hAnsi="Arial" w:cs="Arial"/>
          <w:b/>
          <w:bCs/>
          <w:color w:val="000000" w:themeColor="text1"/>
          <w:sz w:val="28"/>
          <w:szCs w:val="28"/>
          <w:u w:val="single"/>
        </w:rPr>
      </w:pPr>
    </w:p>
    <w:p w14:paraId="4030A6A5" w14:textId="75C06684" w:rsidR="71AFF94D" w:rsidRDefault="71AFF94D" w:rsidP="71AFF94D">
      <w:pPr>
        <w:spacing w:line="257" w:lineRule="auto"/>
        <w:rPr>
          <w:rFonts w:ascii="Arial" w:eastAsia="Arial" w:hAnsi="Arial" w:cs="Arial"/>
          <w:b/>
          <w:bCs/>
          <w:color w:val="000000" w:themeColor="text1"/>
          <w:sz w:val="28"/>
          <w:szCs w:val="28"/>
          <w:u w:val="single"/>
        </w:rPr>
      </w:pPr>
    </w:p>
    <w:p w14:paraId="3201C719" w14:textId="1E4A3430" w:rsidR="71AFF94D" w:rsidRDefault="71AFF94D" w:rsidP="71AFF94D">
      <w:pPr>
        <w:spacing w:line="257" w:lineRule="auto"/>
        <w:rPr>
          <w:rFonts w:ascii="Arial" w:eastAsia="Arial" w:hAnsi="Arial" w:cs="Arial"/>
          <w:b/>
          <w:bCs/>
          <w:color w:val="000000" w:themeColor="text1"/>
          <w:sz w:val="28"/>
          <w:szCs w:val="28"/>
          <w:u w:val="single"/>
        </w:rPr>
      </w:pPr>
    </w:p>
    <w:p w14:paraId="0F5FC7DA" w14:textId="36DFE0B6" w:rsidR="71AFF94D" w:rsidRDefault="71AFF94D" w:rsidP="71AFF94D">
      <w:pPr>
        <w:spacing w:line="257" w:lineRule="auto"/>
        <w:rPr>
          <w:rFonts w:ascii="Arial" w:eastAsia="Arial" w:hAnsi="Arial" w:cs="Arial"/>
          <w:b/>
          <w:bCs/>
          <w:color w:val="000000" w:themeColor="text1"/>
          <w:sz w:val="28"/>
          <w:szCs w:val="28"/>
          <w:u w:val="single"/>
        </w:rPr>
      </w:pPr>
    </w:p>
    <w:p w14:paraId="4DAC3C19" w14:textId="50B9871C" w:rsidR="71AFF94D" w:rsidRDefault="71AFF94D" w:rsidP="71AFF94D">
      <w:pPr>
        <w:spacing w:line="257" w:lineRule="auto"/>
        <w:rPr>
          <w:rFonts w:ascii="Arial" w:eastAsia="Arial" w:hAnsi="Arial" w:cs="Arial"/>
          <w:b/>
          <w:bCs/>
          <w:color w:val="000000" w:themeColor="text1"/>
          <w:sz w:val="28"/>
          <w:szCs w:val="28"/>
          <w:u w:val="single"/>
        </w:rPr>
      </w:pPr>
    </w:p>
    <w:p w14:paraId="78EDF4A4" w14:textId="3CA76C3F" w:rsidR="71AFF94D" w:rsidRDefault="71AFF94D" w:rsidP="71AFF94D">
      <w:pPr>
        <w:spacing w:line="257" w:lineRule="auto"/>
        <w:rPr>
          <w:rFonts w:ascii="Arial" w:eastAsia="Arial" w:hAnsi="Arial" w:cs="Arial"/>
          <w:b/>
          <w:bCs/>
          <w:color w:val="000000" w:themeColor="text1"/>
          <w:sz w:val="28"/>
          <w:szCs w:val="28"/>
          <w:u w:val="single"/>
        </w:rPr>
      </w:pPr>
    </w:p>
    <w:p w14:paraId="40B22FCD" w14:textId="7B26D3F4" w:rsidR="71AFF94D" w:rsidRDefault="71AFF94D" w:rsidP="71AFF94D">
      <w:pPr>
        <w:spacing w:line="257" w:lineRule="auto"/>
        <w:rPr>
          <w:rFonts w:ascii="Arial" w:eastAsia="Arial" w:hAnsi="Arial" w:cs="Arial"/>
          <w:b/>
          <w:bCs/>
          <w:color w:val="000000" w:themeColor="text1"/>
          <w:sz w:val="28"/>
          <w:szCs w:val="28"/>
          <w:u w:val="single"/>
        </w:rPr>
      </w:pPr>
    </w:p>
    <w:p w14:paraId="33E5F71A" w14:textId="64F1849C" w:rsidR="71AFF94D" w:rsidRDefault="71AFF94D" w:rsidP="71AFF94D">
      <w:pPr>
        <w:spacing w:line="257" w:lineRule="auto"/>
        <w:rPr>
          <w:rFonts w:ascii="Arial" w:eastAsia="Arial" w:hAnsi="Arial" w:cs="Arial"/>
          <w:b/>
          <w:bCs/>
          <w:color w:val="000000" w:themeColor="text1"/>
          <w:sz w:val="28"/>
          <w:szCs w:val="28"/>
          <w:u w:val="single"/>
        </w:rPr>
      </w:pPr>
    </w:p>
    <w:p w14:paraId="74EF6C66" w14:textId="5B3D0552" w:rsidR="71AFF94D" w:rsidRDefault="71AFF94D" w:rsidP="71AFF94D">
      <w:pPr>
        <w:spacing w:line="257" w:lineRule="auto"/>
        <w:rPr>
          <w:rFonts w:ascii="Arial" w:eastAsia="Arial" w:hAnsi="Arial" w:cs="Arial"/>
          <w:b/>
          <w:bCs/>
          <w:color w:val="000000" w:themeColor="text1"/>
          <w:sz w:val="28"/>
          <w:szCs w:val="28"/>
          <w:u w:val="single"/>
        </w:rPr>
      </w:pPr>
    </w:p>
    <w:p w14:paraId="70FA0F73" w14:textId="1382E751" w:rsidR="71AFF94D" w:rsidRDefault="71AFF94D" w:rsidP="71AFF94D">
      <w:pPr>
        <w:spacing w:line="257" w:lineRule="auto"/>
        <w:rPr>
          <w:rFonts w:ascii="Arial" w:eastAsia="Arial" w:hAnsi="Arial" w:cs="Arial"/>
          <w:b/>
          <w:bCs/>
          <w:color w:val="000000" w:themeColor="text1"/>
          <w:sz w:val="28"/>
          <w:szCs w:val="28"/>
          <w:u w:val="single"/>
        </w:rPr>
      </w:pPr>
    </w:p>
    <w:p w14:paraId="7C55BCC0" w14:textId="47420097" w:rsidR="71AFF94D" w:rsidRDefault="71AFF94D" w:rsidP="71AFF94D">
      <w:pPr>
        <w:spacing w:line="257" w:lineRule="auto"/>
        <w:rPr>
          <w:rFonts w:ascii="Arial" w:eastAsia="Arial" w:hAnsi="Arial" w:cs="Arial"/>
          <w:b/>
          <w:bCs/>
          <w:color w:val="000000" w:themeColor="text1"/>
          <w:sz w:val="28"/>
          <w:szCs w:val="28"/>
          <w:u w:val="single"/>
        </w:rPr>
      </w:pPr>
    </w:p>
    <w:p w14:paraId="584537FA" w14:textId="492EF861" w:rsidR="71AFF94D" w:rsidRDefault="71AFF94D" w:rsidP="71AFF94D">
      <w:pPr>
        <w:spacing w:line="257" w:lineRule="auto"/>
        <w:rPr>
          <w:rFonts w:ascii="Arial" w:eastAsia="Arial" w:hAnsi="Arial" w:cs="Arial"/>
          <w:b/>
          <w:bCs/>
          <w:color w:val="000000" w:themeColor="text1"/>
          <w:sz w:val="28"/>
          <w:szCs w:val="28"/>
          <w:u w:val="single"/>
        </w:rPr>
      </w:pPr>
    </w:p>
    <w:p w14:paraId="6B47EF7E" w14:textId="0B7FCC3F" w:rsidR="71AFF94D" w:rsidRDefault="71AFF94D" w:rsidP="71AFF94D">
      <w:pPr>
        <w:spacing w:line="257" w:lineRule="auto"/>
        <w:rPr>
          <w:rFonts w:ascii="Arial" w:eastAsia="Arial" w:hAnsi="Arial" w:cs="Arial"/>
          <w:b/>
          <w:bCs/>
          <w:color w:val="000000" w:themeColor="text1"/>
          <w:sz w:val="28"/>
          <w:szCs w:val="28"/>
          <w:u w:val="single"/>
        </w:rPr>
      </w:pPr>
    </w:p>
    <w:p w14:paraId="1D91F58E" w14:textId="2E06BA55" w:rsidR="71AFF94D" w:rsidRDefault="71AFF94D" w:rsidP="71AFF94D">
      <w:pPr>
        <w:spacing w:line="257" w:lineRule="auto"/>
        <w:rPr>
          <w:rFonts w:ascii="Arial" w:eastAsia="Arial" w:hAnsi="Arial" w:cs="Arial"/>
          <w:b/>
          <w:bCs/>
          <w:color w:val="000000" w:themeColor="text1"/>
          <w:sz w:val="28"/>
          <w:szCs w:val="28"/>
          <w:u w:val="single"/>
        </w:rPr>
      </w:pPr>
    </w:p>
    <w:p w14:paraId="4B82197B" w14:textId="2CCF80A2" w:rsidR="71AFF94D" w:rsidRDefault="71AFF94D" w:rsidP="71AFF94D">
      <w:pPr>
        <w:spacing w:line="257" w:lineRule="auto"/>
        <w:rPr>
          <w:rFonts w:ascii="Arial" w:eastAsia="Arial" w:hAnsi="Arial" w:cs="Arial"/>
          <w:b/>
          <w:bCs/>
          <w:color w:val="000000" w:themeColor="text1"/>
          <w:sz w:val="28"/>
          <w:szCs w:val="28"/>
          <w:u w:val="single"/>
        </w:rPr>
      </w:pPr>
    </w:p>
    <w:p w14:paraId="2148656C" w14:textId="1AD2E55E" w:rsidR="71AFF94D" w:rsidRDefault="71AFF94D" w:rsidP="71AFF94D">
      <w:pPr>
        <w:spacing w:line="257" w:lineRule="auto"/>
        <w:rPr>
          <w:rFonts w:ascii="Arial" w:eastAsia="Arial" w:hAnsi="Arial" w:cs="Arial"/>
          <w:b/>
          <w:bCs/>
          <w:color w:val="000000" w:themeColor="text1"/>
          <w:sz w:val="28"/>
          <w:szCs w:val="28"/>
          <w:u w:val="single"/>
        </w:rPr>
      </w:pPr>
    </w:p>
    <w:p w14:paraId="4746DEBA" w14:textId="33E0337D" w:rsidR="00CB117D" w:rsidRDefault="36CE86B9" w:rsidP="15EF142A">
      <w:pPr>
        <w:spacing w:line="360" w:lineRule="auto"/>
        <w:rPr>
          <w:rFonts w:ascii="Arial" w:eastAsia="Arial" w:hAnsi="Arial" w:cs="Arial"/>
          <w:b/>
          <w:bCs/>
          <w:color w:val="000000" w:themeColor="text1"/>
        </w:rPr>
      </w:pPr>
      <w:r w:rsidRPr="15EF142A">
        <w:rPr>
          <w:rFonts w:ascii="Arial" w:eastAsia="Arial" w:hAnsi="Arial" w:cs="Arial"/>
          <w:b/>
          <w:bCs/>
          <w:u w:val="single"/>
        </w:rPr>
        <w:t>Introduction</w:t>
      </w:r>
    </w:p>
    <w:p w14:paraId="19D4E8BD" w14:textId="00BBA515" w:rsidR="00CB117D" w:rsidRDefault="33057A46" w:rsidP="15EF142A">
      <w:pPr>
        <w:spacing w:line="360" w:lineRule="auto"/>
        <w:rPr>
          <w:rFonts w:ascii="Arial" w:eastAsia="Arial" w:hAnsi="Arial" w:cs="Arial"/>
          <w:color w:val="000000" w:themeColor="text1"/>
        </w:rPr>
      </w:pPr>
      <w:r w:rsidRPr="15EF142A">
        <w:rPr>
          <w:rFonts w:ascii="Arial" w:eastAsia="Arial" w:hAnsi="Arial" w:cs="Arial"/>
        </w:rPr>
        <w:t>The new Curriculum for Wales was introduced to schools in September 2022 (Welsh Government</w:t>
      </w:r>
      <w:r w:rsidR="6BC2F989" w:rsidRPr="15EF142A">
        <w:rPr>
          <w:rFonts w:ascii="Arial" w:eastAsia="Arial" w:hAnsi="Arial" w:cs="Arial"/>
        </w:rPr>
        <w:t>,</w:t>
      </w:r>
      <w:r w:rsidRPr="15EF142A">
        <w:rPr>
          <w:rFonts w:ascii="Arial" w:eastAsia="Arial" w:hAnsi="Arial" w:cs="Arial"/>
        </w:rPr>
        <w:t xml:space="preserve"> 2024). Schools in Wales should ensure the mandatory four purposes are embedded into the curriculum (Welsh Government</w:t>
      </w:r>
      <w:r w:rsidR="35C74A19" w:rsidRPr="15EF142A">
        <w:rPr>
          <w:rFonts w:ascii="Arial" w:eastAsia="Arial" w:hAnsi="Arial" w:cs="Arial"/>
        </w:rPr>
        <w:t>,</w:t>
      </w:r>
      <w:r w:rsidRPr="15EF142A">
        <w:rPr>
          <w:rFonts w:ascii="Arial" w:eastAsia="Arial" w:hAnsi="Arial" w:cs="Arial"/>
        </w:rPr>
        <w:t xml:space="preserve"> 2022) and support all learners to reach their full potential by providing </w:t>
      </w:r>
      <w:r w:rsidR="00DA1442" w:rsidRPr="15EF142A">
        <w:rPr>
          <w:rFonts w:ascii="Arial" w:eastAsia="Arial" w:hAnsi="Arial" w:cs="Arial"/>
        </w:rPr>
        <w:t xml:space="preserve">them </w:t>
      </w:r>
      <w:r w:rsidRPr="15EF142A">
        <w:rPr>
          <w:rFonts w:ascii="Arial" w:eastAsia="Arial" w:hAnsi="Arial" w:cs="Arial"/>
        </w:rPr>
        <w:t>with the skills to be life-long learners (Welsh Government</w:t>
      </w:r>
      <w:r w:rsidR="282198C4" w:rsidRPr="15EF142A">
        <w:rPr>
          <w:rFonts w:ascii="Arial" w:eastAsia="Arial" w:hAnsi="Arial" w:cs="Arial"/>
        </w:rPr>
        <w:t>,</w:t>
      </w:r>
      <w:r w:rsidRPr="15EF142A">
        <w:rPr>
          <w:rFonts w:ascii="Arial" w:eastAsia="Arial" w:hAnsi="Arial" w:cs="Arial"/>
        </w:rPr>
        <w:t xml:space="preserve"> 2024). One of the four purposes is to develop healthy, confident individuals which ensures </w:t>
      </w:r>
      <w:r w:rsidR="00DA1442" w:rsidRPr="15EF142A">
        <w:rPr>
          <w:rFonts w:ascii="Arial" w:eastAsia="Arial" w:hAnsi="Arial" w:cs="Arial"/>
        </w:rPr>
        <w:t xml:space="preserve">that </w:t>
      </w:r>
      <w:r w:rsidRPr="15EF142A">
        <w:rPr>
          <w:rFonts w:ascii="Arial" w:eastAsia="Arial" w:hAnsi="Arial" w:cs="Arial"/>
        </w:rPr>
        <w:t>students develop and build on their well-being (Welsh Government</w:t>
      </w:r>
      <w:r w:rsidR="6D75917A" w:rsidRPr="15EF142A">
        <w:rPr>
          <w:rFonts w:ascii="Arial" w:eastAsia="Arial" w:hAnsi="Arial" w:cs="Arial"/>
        </w:rPr>
        <w:t>,</w:t>
      </w:r>
      <w:r w:rsidRPr="15EF142A">
        <w:rPr>
          <w:rFonts w:ascii="Arial" w:eastAsia="Arial" w:hAnsi="Arial" w:cs="Arial"/>
        </w:rPr>
        <w:t xml:space="preserve"> 2022). </w:t>
      </w:r>
      <w:r w:rsidR="0F7C5F70" w:rsidRPr="15EF142A">
        <w:rPr>
          <w:rFonts w:ascii="Arial" w:eastAsia="Arial" w:hAnsi="Arial" w:cs="Arial"/>
        </w:rPr>
        <w:t xml:space="preserve">The </w:t>
      </w:r>
      <w:r w:rsidRPr="15EF142A">
        <w:rPr>
          <w:rFonts w:ascii="Arial" w:eastAsia="Arial" w:hAnsi="Arial" w:cs="Arial"/>
        </w:rPr>
        <w:t xml:space="preserve">Curriculum for Wales has well-being at its heart and links directly to objective three in </w:t>
      </w:r>
      <w:proofErr w:type="spellStart"/>
      <w:r w:rsidRPr="15EF142A">
        <w:rPr>
          <w:rFonts w:ascii="Arial" w:eastAsia="Arial" w:hAnsi="Arial" w:cs="Arial"/>
        </w:rPr>
        <w:t>Wales’</w:t>
      </w:r>
      <w:proofErr w:type="spellEnd"/>
      <w:r w:rsidRPr="15EF142A">
        <w:rPr>
          <w:rFonts w:ascii="Arial" w:eastAsia="Arial" w:hAnsi="Arial" w:cs="Arial"/>
        </w:rPr>
        <w:t xml:space="preserve"> national mission (Welsh Government</w:t>
      </w:r>
      <w:r w:rsidR="4B572EFB" w:rsidRPr="15EF142A">
        <w:rPr>
          <w:rFonts w:ascii="Arial" w:eastAsia="Arial" w:hAnsi="Arial" w:cs="Arial"/>
        </w:rPr>
        <w:t>,</w:t>
      </w:r>
      <w:r w:rsidRPr="15EF142A">
        <w:rPr>
          <w:rFonts w:ascii="Arial" w:eastAsia="Arial" w:hAnsi="Arial" w:cs="Arial"/>
        </w:rPr>
        <w:t xml:space="preserve"> 2023) where well-being is viewed as a priority. </w:t>
      </w:r>
    </w:p>
    <w:p w14:paraId="0CF92A49" w14:textId="7A2767F0" w:rsidR="00CB117D" w:rsidRDefault="33057A46" w:rsidP="15EF142A">
      <w:pPr>
        <w:spacing w:line="360" w:lineRule="auto"/>
        <w:rPr>
          <w:rFonts w:ascii="Arial" w:eastAsia="Arial" w:hAnsi="Arial" w:cs="Arial"/>
          <w:color w:val="000000" w:themeColor="text1"/>
        </w:rPr>
      </w:pPr>
      <w:r w:rsidRPr="15EF142A">
        <w:rPr>
          <w:rFonts w:ascii="Arial" w:eastAsia="Arial" w:hAnsi="Arial" w:cs="Arial"/>
        </w:rPr>
        <w:t>Research suggests student well-being can reflect student attitudes towards school (</w:t>
      </w:r>
      <w:proofErr w:type="spellStart"/>
      <w:r w:rsidRPr="15EF142A">
        <w:rPr>
          <w:rFonts w:ascii="Arial" w:eastAsia="Arial" w:hAnsi="Arial" w:cs="Arial"/>
        </w:rPr>
        <w:t>Kpolovie</w:t>
      </w:r>
      <w:proofErr w:type="spellEnd"/>
      <w:r w:rsidRPr="15EF142A">
        <w:rPr>
          <w:rFonts w:ascii="Arial" w:eastAsia="Arial" w:hAnsi="Arial" w:cs="Arial"/>
        </w:rPr>
        <w:t xml:space="preserve">, Joe and </w:t>
      </w:r>
      <w:proofErr w:type="spellStart"/>
      <w:r w:rsidRPr="15EF142A">
        <w:rPr>
          <w:rFonts w:ascii="Arial" w:eastAsia="Arial" w:hAnsi="Arial" w:cs="Arial"/>
        </w:rPr>
        <w:t>Okoto</w:t>
      </w:r>
      <w:proofErr w:type="spellEnd"/>
      <w:r w:rsidR="41903613" w:rsidRPr="15EF142A">
        <w:rPr>
          <w:rFonts w:ascii="Arial" w:eastAsia="Arial" w:hAnsi="Arial" w:cs="Arial"/>
        </w:rPr>
        <w:t>,</w:t>
      </w:r>
      <w:r w:rsidRPr="15EF142A">
        <w:rPr>
          <w:rFonts w:ascii="Arial" w:eastAsia="Arial" w:hAnsi="Arial" w:cs="Arial"/>
        </w:rPr>
        <w:t xml:space="preserve"> 2014). Building on this idea, I aimed to explore the factors which can affect students' attitudes towards returning to school after the weekend. I </w:t>
      </w:r>
      <w:proofErr w:type="spellStart"/>
      <w:r w:rsidRPr="15EF142A">
        <w:rPr>
          <w:rFonts w:ascii="Arial" w:eastAsia="Arial" w:hAnsi="Arial" w:cs="Arial"/>
        </w:rPr>
        <w:t>recognise</w:t>
      </w:r>
      <w:r w:rsidR="068ADD44" w:rsidRPr="15EF142A">
        <w:rPr>
          <w:rFonts w:ascii="Arial" w:eastAsia="Arial" w:hAnsi="Arial" w:cs="Arial"/>
        </w:rPr>
        <w:t>d</w:t>
      </w:r>
      <w:proofErr w:type="spellEnd"/>
      <w:r w:rsidRPr="15EF142A">
        <w:rPr>
          <w:rFonts w:ascii="Arial" w:eastAsia="Arial" w:hAnsi="Arial" w:cs="Arial"/>
        </w:rPr>
        <w:t xml:space="preserve"> that measuring the impact of events which happen outside of school c</w:t>
      </w:r>
      <w:r w:rsidR="0823DAE3" w:rsidRPr="15EF142A">
        <w:rPr>
          <w:rFonts w:ascii="Arial" w:eastAsia="Arial" w:hAnsi="Arial" w:cs="Arial"/>
        </w:rPr>
        <w:t>an</w:t>
      </w:r>
      <w:r w:rsidRPr="15EF142A">
        <w:rPr>
          <w:rFonts w:ascii="Arial" w:eastAsia="Arial" w:hAnsi="Arial" w:cs="Arial"/>
        </w:rPr>
        <w:t xml:space="preserve"> be difficult to record, therefore the aim of the research essay is to better understand the attitudes of year 5 students</w:t>
      </w:r>
      <w:r w:rsidR="26F849BA" w:rsidRPr="15EF142A">
        <w:rPr>
          <w:rFonts w:ascii="Arial" w:eastAsia="Arial" w:hAnsi="Arial" w:cs="Arial"/>
        </w:rPr>
        <w:t xml:space="preserve"> </w:t>
      </w:r>
      <w:r w:rsidRPr="15EF142A">
        <w:rPr>
          <w:rFonts w:ascii="Arial" w:eastAsia="Arial" w:hAnsi="Arial" w:cs="Arial"/>
        </w:rPr>
        <w:t>towards school on Monday morning.</w:t>
      </w:r>
    </w:p>
    <w:p w14:paraId="7C654AA9" w14:textId="59328615" w:rsidR="00CB117D" w:rsidRDefault="33057A46" w:rsidP="15EF142A">
      <w:pPr>
        <w:spacing w:line="360" w:lineRule="auto"/>
        <w:rPr>
          <w:rFonts w:ascii="Arial" w:eastAsia="Arial" w:hAnsi="Arial" w:cs="Arial"/>
          <w:color w:val="000000" w:themeColor="text1"/>
        </w:rPr>
      </w:pPr>
      <w:r w:rsidRPr="15EF142A">
        <w:rPr>
          <w:rFonts w:ascii="Arial" w:eastAsia="Arial" w:hAnsi="Arial" w:cs="Arial"/>
        </w:rPr>
        <w:t xml:space="preserve">The research used two different research methods to collect data about which factors can alter students’ views towards school on Monday morning. The results of the data collection </w:t>
      </w:r>
      <w:r w:rsidR="10B113C6" w:rsidRPr="15EF142A">
        <w:rPr>
          <w:rFonts w:ascii="Arial" w:eastAsia="Arial" w:hAnsi="Arial" w:cs="Arial"/>
        </w:rPr>
        <w:t>were</w:t>
      </w:r>
      <w:r w:rsidRPr="15EF142A">
        <w:rPr>
          <w:rFonts w:ascii="Arial" w:eastAsia="Arial" w:hAnsi="Arial" w:cs="Arial"/>
        </w:rPr>
        <w:t xml:space="preserve"> </w:t>
      </w:r>
      <w:proofErr w:type="spellStart"/>
      <w:r w:rsidRPr="15EF142A">
        <w:rPr>
          <w:rFonts w:ascii="Arial" w:eastAsia="Arial" w:hAnsi="Arial" w:cs="Arial"/>
        </w:rPr>
        <w:t>synthesised</w:t>
      </w:r>
      <w:proofErr w:type="spellEnd"/>
      <w:r w:rsidRPr="15EF142A">
        <w:rPr>
          <w:rFonts w:ascii="Arial" w:eastAsia="Arial" w:hAnsi="Arial" w:cs="Arial"/>
        </w:rPr>
        <w:t xml:space="preserve"> and </w:t>
      </w:r>
      <w:proofErr w:type="spellStart"/>
      <w:r w:rsidRPr="15EF142A">
        <w:rPr>
          <w:rFonts w:ascii="Arial" w:eastAsia="Arial" w:hAnsi="Arial" w:cs="Arial"/>
        </w:rPr>
        <w:t>analysed</w:t>
      </w:r>
      <w:proofErr w:type="spellEnd"/>
      <w:r w:rsidRPr="15EF142A">
        <w:rPr>
          <w:rFonts w:ascii="Arial" w:eastAsia="Arial" w:hAnsi="Arial" w:cs="Arial"/>
        </w:rPr>
        <w:t xml:space="preserve"> to validate the findings and derive a conclusion. This research </w:t>
      </w:r>
      <w:r w:rsidR="7E591EC1" w:rsidRPr="15EF142A">
        <w:rPr>
          <w:rFonts w:ascii="Arial" w:eastAsia="Arial" w:hAnsi="Arial" w:cs="Arial"/>
        </w:rPr>
        <w:t>did not have</w:t>
      </w:r>
      <w:r w:rsidRPr="15EF142A">
        <w:rPr>
          <w:rFonts w:ascii="Arial" w:eastAsia="Arial" w:hAnsi="Arial" w:cs="Arial"/>
        </w:rPr>
        <w:t xml:space="preserve"> any pre-determined outcomes or theories </w:t>
      </w:r>
      <w:r w:rsidR="5EEBA217" w:rsidRPr="15EF142A">
        <w:rPr>
          <w:rFonts w:ascii="Arial" w:eastAsia="Arial" w:hAnsi="Arial" w:cs="Arial"/>
        </w:rPr>
        <w:t>so it</w:t>
      </w:r>
      <w:r w:rsidRPr="15EF142A">
        <w:rPr>
          <w:rFonts w:ascii="Arial" w:eastAsia="Arial" w:hAnsi="Arial" w:cs="Arial"/>
        </w:rPr>
        <w:t xml:space="preserve"> is an exploration of what factors can affect year 5 students. The school and classes used for this research remain anonymous and are referred to as school x, class x and participant A, B, C etc. This is to adhere to the BERA (2018) guidelines to ensure the research is confidential and has good ethical standards. </w:t>
      </w:r>
    </w:p>
    <w:p w14:paraId="243D96A1" w14:textId="79E773E8" w:rsidR="00CB117D" w:rsidRDefault="33057A46" w:rsidP="15EF142A">
      <w:pPr>
        <w:spacing w:line="360" w:lineRule="auto"/>
        <w:rPr>
          <w:rFonts w:ascii="Arial" w:eastAsia="Arial" w:hAnsi="Arial" w:cs="Arial"/>
          <w:color w:val="000000" w:themeColor="text1"/>
        </w:rPr>
      </w:pPr>
      <w:r w:rsidRPr="15EF142A">
        <w:rPr>
          <w:rFonts w:ascii="Arial" w:eastAsia="Arial" w:hAnsi="Arial" w:cs="Arial"/>
        </w:rPr>
        <w:t>The research took place in School x which is a large English medium primary school located in West Wales and class x was</w:t>
      </w:r>
      <w:r w:rsidRPr="15EF142A">
        <w:rPr>
          <w:rFonts w:ascii="Arial" w:eastAsia="Arial" w:hAnsi="Arial" w:cs="Arial"/>
          <w:strike/>
        </w:rPr>
        <w:t xml:space="preserve"> </w:t>
      </w:r>
      <w:r w:rsidRPr="15EF142A">
        <w:rPr>
          <w:rFonts w:ascii="Arial" w:eastAsia="Arial" w:hAnsi="Arial" w:cs="Arial"/>
        </w:rPr>
        <w:t xml:space="preserve">a year 5 class. There are 598 pupils on roll aged from 3 to 11 years, with approximately 33% of pupils eligible for free school meals which is above the national average and around 25% of pupils have additional learning needs </w:t>
      </w:r>
      <w:r w:rsidRPr="15EF142A">
        <w:rPr>
          <w:rFonts w:ascii="Arial" w:eastAsia="Arial" w:hAnsi="Arial" w:cs="Arial"/>
        </w:rPr>
        <w:lastRenderedPageBreak/>
        <w:t>(</w:t>
      </w:r>
      <w:proofErr w:type="spellStart"/>
      <w:r w:rsidRPr="15EF142A">
        <w:rPr>
          <w:rFonts w:ascii="Arial" w:eastAsia="Arial" w:hAnsi="Arial" w:cs="Arial"/>
        </w:rPr>
        <w:t>Estyn</w:t>
      </w:r>
      <w:proofErr w:type="spellEnd"/>
      <w:r w:rsidR="1D255F41" w:rsidRPr="15EF142A">
        <w:rPr>
          <w:rFonts w:ascii="Arial" w:eastAsia="Arial" w:hAnsi="Arial" w:cs="Arial"/>
        </w:rPr>
        <w:t>,</w:t>
      </w:r>
      <w:r w:rsidRPr="15EF142A">
        <w:rPr>
          <w:rFonts w:ascii="Arial" w:eastAsia="Arial" w:hAnsi="Arial" w:cs="Arial"/>
        </w:rPr>
        <w:t xml:space="preserve"> 2016). The research project's purpose is to inform teachers, as well as my own practice, about the factors which affect year 5 students' attitude towards school on Monday morning. The reason I have chosen this area to research is because class x does not have good attendance, so this research aims to explore student perceptions and potentially change teaching practice to improve the students' attendance and attitudes if required.</w:t>
      </w:r>
    </w:p>
    <w:p w14:paraId="7B6FB15D" w14:textId="1E99C593" w:rsidR="00CB117D" w:rsidRDefault="00CB117D" w:rsidP="15EF142A">
      <w:pPr>
        <w:spacing w:line="360" w:lineRule="auto"/>
        <w:rPr>
          <w:rFonts w:ascii="Arial" w:eastAsia="Arial" w:hAnsi="Arial" w:cs="Arial"/>
          <w:color w:val="000000" w:themeColor="text1"/>
        </w:rPr>
      </w:pPr>
    </w:p>
    <w:p w14:paraId="03ACCD2A" w14:textId="1D2C3B18" w:rsidR="00CB117D" w:rsidRDefault="00CB117D" w:rsidP="15EF142A">
      <w:pPr>
        <w:spacing w:line="360" w:lineRule="auto"/>
        <w:rPr>
          <w:rFonts w:ascii="Arial" w:eastAsia="Arial" w:hAnsi="Arial" w:cs="Arial"/>
          <w:b/>
          <w:bCs/>
          <w:color w:val="000000" w:themeColor="text1"/>
          <w:u w:val="single"/>
        </w:rPr>
      </w:pPr>
    </w:p>
    <w:p w14:paraId="271983DB" w14:textId="1A10AF88" w:rsidR="00CB117D" w:rsidRDefault="52380766" w:rsidP="15EF142A">
      <w:pPr>
        <w:spacing w:line="360" w:lineRule="auto"/>
        <w:rPr>
          <w:rFonts w:ascii="Arial" w:eastAsia="Arial" w:hAnsi="Arial" w:cs="Arial"/>
          <w:b/>
          <w:bCs/>
          <w:color w:val="000000" w:themeColor="text1"/>
        </w:rPr>
      </w:pPr>
      <w:r w:rsidRPr="15EF142A">
        <w:rPr>
          <w:rFonts w:ascii="Arial" w:eastAsia="Arial" w:hAnsi="Arial" w:cs="Arial"/>
          <w:b/>
          <w:bCs/>
          <w:u w:val="single"/>
        </w:rPr>
        <w:t>Literature Review</w:t>
      </w:r>
    </w:p>
    <w:p w14:paraId="4CA98C68" w14:textId="6AA43B08" w:rsidR="00CB117D" w:rsidRDefault="52380766" w:rsidP="15EF142A">
      <w:pPr>
        <w:spacing w:line="360" w:lineRule="auto"/>
        <w:rPr>
          <w:rFonts w:ascii="Arial" w:eastAsia="Arial" w:hAnsi="Arial" w:cs="Arial"/>
          <w:color w:val="000000" w:themeColor="text1"/>
        </w:rPr>
      </w:pPr>
      <w:r w:rsidRPr="15EF142A">
        <w:rPr>
          <w:rFonts w:ascii="Arial" w:eastAsia="Arial" w:hAnsi="Arial" w:cs="Arial"/>
        </w:rPr>
        <w:t>In his study, Berk (2015) suggests that human development can be divided into three categories: cognitive, physical and social and emotional, and education plays a vital role in enhancing all three categories</w:t>
      </w:r>
      <w:r w:rsidR="4C0C774B" w:rsidRPr="15EF142A">
        <w:rPr>
          <w:rFonts w:ascii="Arial" w:eastAsia="Arial" w:hAnsi="Arial" w:cs="Arial"/>
        </w:rPr>
        <w:t>.</w:t>
      </w:r>
      <w:r w:rsidRPr="15EF142A">
        <w:rPr>
          <w:rFonts w:ascii="Arial" w:eastAsia="Arial" w:hAnsi="Arial" w:cs="Arial"/>
        </w:rPr>
        <w:t xml:space="preserve"> When considering cognitive development, education plays a part </w:t>
      </w:r>
      <w:r w:rsidR="00DA1442" w:rsidRPr="15EF142A">
        <w:rPr>
          <w:rFonts w:ascii="Arial" w:eastAsia="Arial" w:hAnsi="Arial" w:cs="Arial"/>
        </w:rPr>
        <w:t xml:space="preserve">by </w:t>
      </w:r>
      <w:r w:rsidRPr="15EF142A">
        <w:rPr>
          <w:rFonts w:ascii="Arial" w:eastAsia="Arial" w:hAnsi="Arial" w:cs="Arial"/>
        </w:rPr>
        <w:t>enhancing problem solving and critical thinking skills</w:t>
      </w:r>
      <w:r w:rsidR="00DA1442" w:rsidRPr="15EF142A">
        <w:rPr>
          <w:rFonts w:ascii="Arial" w:eastAsia="Arial" w:hAnsi="Arial" w:cs="Arial"/>
        </w:rPr>
        <w:t>;</w:t>
      </w:r>
      <w:r w:rsidRPr="15EF142A">
        <w:rPr>
          <w:rFonts w:ascii="Arial" w:eastAsia="Arial" w:hAnsi="Arial" w:cs="Arial"/>
        </w:rPr>
        <w:t xml:space="preserve"> social and emotional development by providing the opportunity to form relationships with peers and physical development, by providing awareness of a healthy lifestyle and promoting students to live a healthier life (Berk</w:t>
      </w:r>
      <w:r w:rsidR="69563D56" w:rsidRPr="15EF142A">
        <w:rPr>
          <w:rFonts w:ascii="Arial" w:eastAsia="Arial" w:hAnsi="Arial" w:cs="Arial"/>
        </w:rPr>
        <w:t>,</w:t>
      </w:r>
      <w:r w:rsidRPr="15EF142A">
        <w:rPr>
          <w:rFonts w:ascii="Arial" w:eastAsia="Arial" w:hAnsi="Arial" w:cs="Arial"/>
        </w:rPr>
        <w:t xml:space="preserve"> 2015). In terms of his study, Berk (2015) used Bronfenbrenner’s (1997) ecological system theory to focus on the environment around a child during child development. The ecological system theory has five systems around the child which influence and aid human development. One of these is the microsystem, which involves the child’s everyday life, and for the purposes of this study includes school (Bronfenbrenner</w:t>
      </w:r>
      <w:r w:rsidR="54489476" w:rsidRPr="15EF142A">
        <w:rPr>
          <w:rFonts w:ascii="Arial" w:eastAsia="Arial" w:hAnsi="Arial" w:cs="Arial"/>
        </w:rPr>
        <w:t>,</w:t>
      </w:r>
      <w:r w:rsidRPr="15EF142A">
        <w:rPr>
          <w:rFonts w:ascii="Arial" w:eastAsia="Arial" w:hAnsi="Arial" w:cs="Arial"/>
        </w:rPr>
        <w:t xml:space="preserve"> </w:t>
      </w:r>
      <w:r w:rsidR="0A9630EC" w:rsidRPr="15EF142A">
        <w:rPr>
          <w:rFonts w:ascii="Arial" w:eastAsia="Arial" w:hAnsi="Arial" w:cs="Arial"/>
        </w:rPr>
        <w:t>1997).</w:t>
      </w:r>
    </w:p>
    <w:p w14:paraId="10FFA189" w14:textId="2E2B7600" w:rsidR="00CB117D" w:rsidRDefault="52380766" w:rsidP="15EF142A">
      <w:pPr>
        <w:spacing w:line="360" w:lineRule="auto"/>
        <w:rPr>
          <w:rFonts w:ascii="Arial" w:eastAsia="Arial" w:hAnsi="Arial" w:cs="Arial"/>
          <w:color w:val="000000" w:themeColor="text1"/>
        </w:rPr>
      </w:pPr>
      <w:r w:rsidRPr="15EF142A">
        <w:rPr>
          <w:rFonts w:ascii="Arial" w:eastAsia="Arial" w:hAnsi="Arial" w:cs="Arial"/>
        </w:rPr>
        <w:t xml:space="preserve">It is possible to see Bronfenbrenner’s theory (1997) reflected in the new Curriculum for Wales as it focuses on a </w:t>
      </w:r>
      <w:commentRangeStart w:id="0"/>
      <w:r w:rsidRPr="15EF142A">
        <w:rPr>
          <w:rFonts w:ascii="Arial" w:eastAsia="Arial" w:hAnsi="Arial" w:cs="Arial"/>
        </w:rPr>
        <w:t>child</w:t>
      </w:r>
      <w:r w:rsidR="2EF68C61" w:rsidRPr="15EF142A">
        <w:rPr>
          <w:rFonts w:ascii="Arial" w:eastAsia="Arial" w:hAnsi="Arial" w:cs="Arial"/>
        </w:rPr>
        <w:t>-</w:t>
      </w:r>
      <w:commentRangeEnd w:id="0"/>
      <w:proofErr w:type="spellStart"/>
      <w:r>
        <w:rPr>
          <w:rStyle w:val="CommentReference"/>
        </w:rPr>
        <w:commentReference w:id="0"/>
      </w:r>
      <w:r w:rsidRPr="15EF142A">
        <w:rPr>
          <w:rFonts w:ascii="Arial" w:eastAsia="Arial" w:hAnsi="Arial" w:cs="Arial"/>
        </w:rPr>
        <w:t>centred</w:t>
      </w:r>
      <w:proofErr w:type="spellEnd"/>
      <w:r w:rsidRPr="15EF142A">
        <w:rPr>
          <w:rFonts w:ascii="Arial" w:eastAsia="Arial" w:hAnsi="Arial" w:cs="Arial"/>
        </w:rPr>
        <w:t xml:space="preserve"> approach to ensure their safety and wellbeing (Welsh Government</w:t>
      </w:r>
      <w:r w:rsidR="652FE702" w:rsidRPr="15EF142A">
        <w:rPr>
          <w:rFonts w:ascii="Arial" w:eastAsia="Arial" w:hAnsi="Arial" w:cs="Arial"/>
        </w:rPr>
        <w:t>,</w:t>
      </w:r>
      <w:r w:rsidRPr="15EF142A">
        <w:rPr>
          <w:rFonts w:ascii="Arial" w:eastAsia="Arial" w:hAnsi="Arial" w:cs="Arial"/>
        </w:rPr>
        <w:t xml:space="preserve"> 2023). In addition, the Welsh Government (2023) has </w:t>
      </w:r>
      <w:proofErr w:type="spellStart"/>
      <w:r w:rsidRPr="15EF142A">
        <w:rPr>
          <w:rFonts w:ascii="Arial" w:eastAsia="Arial" w:hAnsi="Arial" w:cs="Arial"/>
        </w:rPr>
        <w:t>recognised</w:t>
      </w:r>
      <w:proofErr w:type="spellEnd"/>
      <w:r w:rsidRPr="15EF142A">
        <w:rPr>
          <w:rFonts w:ascii="Arial" w:eastAsia="Arial" w:hAnsi="Arial" w:cs="Arial"/>
        </w:rPr>
        <w:t xml:space="preserve"> that regular attendance at school plays a vital role in human development influencing factors such as social skills, emotional competency, and academic levels which could affect long-term human development. This view was supported by </w:t>
      </w:r>
      <w:commentRangeStart w:id="1"/>
      <w:r w:rsidRPr="15EF142A">
        <w:rPr>
          <w:rFonts w:ascii="Arial" w:eastAsia="Arial" w:hAnsi="Arial" w:cs="Arial"/>
        </w:rPr>
        <w:t>Jeremy</w:t>
      </w:r>
      <w:commentRangeEnd w:id="1"/>
      <w:r>
        <w:rPr>
          <w:rStyle w:val="CommentReference"/>
        </w:rPr>
        <w:commentReference w:id="1"/>
      </w:r>
      <w:r w:rsidRPr="15EF142A">
        <w:rPr>
          <w:rFonts w:ascii="Arial" w:eastAsia="Arial" w:hAnsi="Arial" w:cs="Arial"/>
        </w:rPr>
        <w:t xml:space="preserve"> Miles (2023)</w:t>
      </w:r>
      <w:r w:rsidR="333A1C65" w:rsidRPr="15EF142A">
        <w:rPr>
          <w:rFonts w:ascii="Arial" w:eastAsia="Arial" w:hAnsi="Arial" w:cs="Arial"/>
        </w:rPr>
        <w:t>, the former Minister for Education and the Welsh Language,</w:t>
      </w:r>
      <w:r w:rsidRPr="15EF142A">
        <w:rPr>
          <w:rFonts w:ascii="Arial" w:eastAsia="Arial" w:hAnsi="Arial" w:cs="Arial"/>
        </w:rPr>
        <w:t xml:space="preserve"> who stated that school </w:t>
      </w:r>
      <w:r w:rsidRPr="15EF142A">
        <w:rPr>
          <w:rFonts w:ascii="Arial" w:eastAsia="Arial" w:hAnsi="Arial" w:cs="Arial"/>
        </w:rPr>
        <w:lastRenderedPageBreak/>
        <w:t>attendance must be viewed as a national priority highlighting that it is paramount for children to attend school to increase the opportunity to reach their full potential.</w:t>
      </w:r>
    </w:p>
    <w:p w14:paraId="40A99F5C" w14:textId="01DCF5BF" w:rsidR="00CB117D" w:rsidRDefault="52380766" w:rsidP="15EF142A">
      <w:pPr>
        <w:spacing w:line="360" w:lineRule="auto"/>
        <w:rPr>
          <w:rFonts w:ascii="Arial" w:eastAsia="Arial" w:hAnsi="Arial" w:cs="Arial"/>
          <w:color w:val="000000" w:themeColor="text1"/>
        </w:rPr>
      </w:pPr>
      <w:r w:rsidRPr="15EF142A">
        <w:rPr>
          <w:rFonts w:ascii="Arial" w:eastAsia="Arial" w:hAnsi="Arial" w:cs="Arial"/>
        </w:rPr>
        <w:t xml:space="preserve"> Further to its impact on understanding child and social development, Bronfenbrenner’s ecological theory (1997) has influenced research methodologies. For example, both Şeker (2011) and Ma (2003) used this approach. Şeker (2011) developed a questionnaire based on students’ microsystem, which highlighted how student attitude towards school can affect academic outcomes and student well-being. This implies that a negative attitude towards school could increase student absences, which could have detrimental impacts on student well-being and academic progress. This idea was previously echoed by Ma (2003) who suggests students' self-esteem can impact their attitude towards school, as students with higher feelings of worthiness felt more comfortable in their school compared to those with lower feelings of self-worth. However, the study used a sample of participants aged 11-</w:t>
      </w:r>
      <w:commentRangeStart w:id="2"/>
      <w:r w:rsidRPr="15EF142A">
        <w:rPr>
          <w:rFonts w:ascii="Arial" w:eastAsia="Arial" w:hAnsi="Arial" w:cs="Arial"/>
        </w:rPr>
        <w:t>14</w:t>
      </w:r>
      <w:r w:rsidR="5857F3C8" w:rsidRPr="15EF142A">
        <w:rPr>
          <w:rFonts w:ascii="Arial" w:eastAsia="Arial" w:hAnsi="Arial" w:cs="Arial"/>
        </w:rPr>
        <w:t xml:space="preserve"> years </w:t>
      </w:r>
      <w:commentRangeEnd w:id="2"/>
      <w:r>
        <w:rPr>
          <w:rStyle w:val="CommentReference"/>
        </w:rPr>
        <w:commentReference w:id="2"/>
      </w:r>
      <w:r w:rsidRPr="15EF142A">
        <w:rPr>
          <w:rFonts w:ascii="Arial" w:eastAsia="Arial" w:hAnsi="Arial" w:cs="Arial"/>
        </w:rPr>
        <w:t xml:space="preserve">therefore results could differ for primary school and senior high school students. </w:t>
      </w:r>
    </w:p>
    <w:p w14:paraId="06D19DE8" w14:textId="6ADED2BC" w:rsidR="52380766" w:rsidRDefault="52380766" w:rsidP="15EF142A">
      <w:pPr>
        <w:spacing w:line="360" w:lineRule="auto"/>
        <w:rPr>
          <w:rFonts w:ascii="Arial" w:eastAsia="Arial" w:hAnsi="Arial" w:cs="Arial"/>
          <w:color w:val="000000" w:themeColor="text1"/>
        </w:rPr>
      </w:pPr>
      <w:r w:rsidRPr="15EF142A">
        <w:rPr>
          <w:rFonts w:ascii="Arial" w:eastAsia="Arial" w:hAnsi="Arial" w:cs="Arial"/>
        </w:rPr>
        <w:t xml:space="preserve">Together with attendance, a second theme to emerge from the literature relating to cognitive development is the significant relationship between well-being and self-esteem (Dogan, </w:t>
      </w:r>
      <w:proofErr w:type="spellStart"/>
      <w:r w:rsidRPr="15EF142A">
        <w:rPr>
          <w:rFonts w:ascii="Arial" w:eastAsia="Arial" w:hAnsi="Arial" w:cs="Arial"/>
        </w:rPr>
        <w:t>Totan</w:t>
      </w:r>
      <w:proofErr w:type="spellEnd"/>
      <w:r w:rsidRPr="15EF142A">
        <w:rPr>
          <w:rFonts w:ascii="Arial" w:eastAsia="Arial" w:hAnsi="Arial" w:cs="Arial"/>
        </w:rPr>
        <w:t xml:space="preserve"> and </w:t>
      </w:r>
      <w:proofErr w:type="spellStart"/>
      <w:r w:rsidRPr="15EF142A">
        <w:rPr>
          <w:rFonts w:ascii="Arial" w:eastAsia="Arial" w:hAnsi="Arial" w:cs="Arial"/>
        </w:rPr>
        <w:t>Sapmaz</w:t>
      </w:r>
      <w:proofErr w:type="spellEnd"/>
      <w:r w:rsidR="6C4C0336" w:rsidRPr="15EF142A">
        <w:rPr>
          <w:rFonts w:ascii="Arial" w:eastAsia="Arial" w:hAnsi="Arial" w:cs="Arial"/>
        </w:rPr>
        <w:t>,</w:t>
      </w:r>
      <w:r w:rsidRPr="15EF142A">
        <w:rPr>
          <w:rFonts w:ascii="Arial" w:eastAsia="Arial" w:hAnsi="Arial" w:cs="Arial"/>
        </w:rPr>
        <w:t xml:space="preserve"> 2013) and when self-esteem improves, so does well-being (</w:t>
      </w:r>
      <w:proofErr w:type="spellStart"/>
      <w:r w:rsidRPr="15EF142A">
        <w:rPr>
          <w:rFonts w:ascii="Arial" w:eastAsia="Arial" w:hAnsi="Arial" w:cs="Arial"/>
        </w:rPr>
        <w:t>Padhy</w:t>
      </w:r>
      <w:proofErr w:type="spellEnd"/>
      <w:r w:rsidRPr="15EF142A">
        <w:rPr>
          <w:rFonts w:ascii="Arial" w:eastAsia="Arial" w:hAnsi="Arial" w:cs="Arial"/>
        </w:rPr>
        <w:t>, Rana and Mishra</w:t>
      </w:r>
      <w:r w:rsidR="524C2AC4" w:rsidRPr="15EF142A">
        <w:rPr>
          <w:rFonts w:ascii="Arial" w:eastAsia="Arial" w:hAnsi="Arial" w:cs="Arial"/>
        </w:rPr>
        <w:t>,</w:t>
      </w:r>
      <w:r w:rsidRPr="15EF142A">
        <w:rPr>
          <w:rFonts w:ascii="Arial" w:eastAsia="Arial" w:hAnsi="Arial" w:cs="Arial"/>
        </w:rPr>
        <w:t xml:space="preserve"> 2011). The Welsh Government (2023) stated students are more likely to attend school if they possess a greater sense of well-being, belonging and engagement to school. This idea can be thought of in terms of Dweck’s mindset theory (2006) which is based on the mindset of students which can affect students' well-being. Dweck’s theory (2006) involves the consideration of two mindsets, growth and fixed. An example of a fixed mindset is when students think their academic abilities cannot change whereas a growth mindset is the complete reverse, where the student believes their academic abilities can change through learning (Dweck</w:t>
      </w:r>
      <w:r w:rsidR="4490978B" w:rsidRPr="15EF142A">
        <w:rPr>
          <w:rFonts w:ascii="Arial" w:eastAsia="Arial" w:hAnsi="Arial" w:cs="Arial"/>
        </w:rPr>
        <w:t xml:space="preserve">, </w:t>
      </w:r>
      <w:r w:rsidRPr="15EF142A">
        <w:rPr>
          <w:rFonts w:ascii="Arial" w:eastAsia="Arial" w:hAnsi="Arial" w:cs="Arial"/>
        </w:rPr>
        <w:t xml:space="preserve">2006). Significantly in terms of this study, a growth mindset can nurture student well-being and improve academic outcomes (Alvarado, Ontiveros and </w:t>
      </w:r>
      <w:proofErr w:type="spellStart"/>
      <w:r w:rsidRPr="15EF142A">
        <w:rPr>
          <w:rFonts w:ascii="Arial" w:eastAsia="Arial" w:hAnsi="Arial" w:cs="Arial"/>
        </w:rPr>
        <w:t>Gaytán</w:t>
      </w:r>
      <w:proofErr w:type="spellEnd"/>
      <w:r w:rsidR="4AA794F3" w:rsidRPr="15EF142A">
        <w:rPr>
          <w:rFonts w:ascii="Arial" w:eastAsia="Arial" w:hAnsi="Arial" w:cs="Arial"/>
        </w:rPr>
        <w:t>,</w:t>
      </w:r>
      <w:r w:rsidRPr="15EF142A">
        <w:rPr>
          <w:rFonts w:ascii="Arial" w:eastAsia="Arial" w:hAnsi="Arial" w:cs="Arial"/>
        </w:rPr>
        <w:t xml:space="preserve"> 2019). </w:t>
      </w:r>
    </w:p>
    <w:p w14:paraId="6B4BA43E" w14:textId="59FDB168" w:rsidR="00CB117D" w:rsidRDefault="52380766" w:rsidP="15EF142A">
      <w:pPr>
        <w:spacing w:line="360" w:lineRule="auto"/>
        <w:rPr>
          <w:rFonts w:ascii="Arial" w:eastAsia="Arial" w:hAnsi="Arial" w:cs="Arial"/>
          <w:color w:val="000000" w:themeColor="text1"/>
        </w:rPr>
      </w:pPr>
      <w:r w:rsidRPr="15EF142A">
        <w:rPr>
          <w:rFonts w:ascii="Arial" w:eastAsia="Arial" w:hAnsi="Arial" w:cs="Arial"/>
        </w:rPr>
        <w:t>A third theme that influences the context of the study concerns sleep. Sleep is essential for children to develop, grow and reach their full potential in school and life (Wolfson and Montgomery-Downs</w:t>
      </w:r>
      <w:r w:rsidR="13BF0654" w:rsidRPr="15EF142A">
        <w:rPr>
          <w:rFonts w:ascii="Arial" w:eastAsia="Arial" w:hAnsi="Arial" w:cs="Arial"/>
        </w:rPr>
        <w:t>,</w:t>
      </w:r>
      <w:r w:rsidRPr="15EF142A">
        <w:rPr>
          <w:rFonts w:ascii="Arial" w:eastAsia="Arial" w:hAnsi="Arial" w:cs="Arial"/>
        </w:rPr>
        <w:t xml:space="preserve"> 2013). Importantly, healthy sleep routines can improve overall </w:t>
      </w:r>
      <w:r w:rsidRPr="15EF142A">
        <w:rPr>
          <w:rFonts w:ascii="Arial" w:eastAsia="Arial" w:hAnsi="Arial" w:cs="Arial"/>
        </w:rPr>
        <w:lastRenderedPageBreak/>
        <w:t>well-being and functioning in children (Owens, Spirito, McGuinn and Nobile</w:t>
      </w:r>
      <w:r w:rsidR="1378B08E" w:rsidRPr="15EF142A">
        <w:rPr>
          <w:rFonts w:ascii="Arial" w:eastAsia="Arial" w:hAnsi="Arial" w:cs="Arial"/>
        </w:rPr>
        <w:t>,</w:t>
      </w:r>
      <w:r w:rsidRPr="15EF142A">
        <w:rPr>
          <w:rFonts w:ascii="Arial" w:eastAsia="Arial" w:hAnsi="Arial" w:cs="Arial"/>
        </w:rPr>
        <w:t xml:space="preserve"> 2000). However, recent concerns have arisen around the use of electronic devices and how they can negatively impact children’s sleeping routines (Buxton et al., 2015). A study indicates there has been a significant increase in time children spend on screens over the past decade (Common Sense Media</w:t>
      </w:r>
      <w:r w:rsidR="1B7A55B1" w:rsidRPr="15EF142A">
        <w:rPr>
          <w:rFonts w:ascii="Arial" w:eastAsia="Arial" w:hAnsi="Arial" w:cs="Arial"/>
        </w:rPr>
        <w:t>,</w:t>
      </w:r>
      <w:r w:rsidRPr="15EF142A">
        <w:rPr>
          <w:rFonts w:ascii="Arial" w:eastAsia="Arial" w:hAnsi="Arial" w:cs="Arial"/>
        </w:rPr>
        <w:t xml:space="preserve"> 2020). This study highlights the negative impacts of increased screen time such as attention issues and impaired social skills (Common Sense Media</w:t>
      </w:r>
      <w:r w:rsidR="37BF70F0" w:rsidRPr="15EF142A">
        <w:rPr>
          <w:rFonts w:ascii="Arial" w:eastAsia="Arial" w:hAnsi="Arial" w:cs="Arial"/>
        </w:rPr>
        <w:t>,</w:t>
      </w:r>
      <w:r w:rsidRPr="15EF142A">
        <w:rPr>
          <w:rFonts w:ascii="Arial" w:eastAsia="Arial" w:hAnsi="Arial" w:cs="Arial"/>
        </w:rPr>
        <w:t xml:space="preserve"> 2020). Another study by Cain and </w:t>
      </w:r>
      <w:proofErr w:type="spellStart"/>
      <w:r w:rsidRPr="15EF142A">
        <w:rPr>
          <w:rFonts w:ascii="Arial" w:eastAsia="Arial" w:hAnsi="Arial" w:cs="Arial"/>
        </w:rPr>
        <w:t>Gradisar</w:t>
      </w:r>
      <w:proofErr w:type="spellEnd"/>
      <w:r w:rsidRPr="15EF142A">
        <w:rPr>
          <w:rFonts w:ascii="Arial" w:eastAsia="Arial" w:hAnsi="Arial" w:cs="Arial"/>
        </w:rPr>
        <w:t xml:space="preserve"> (2010) discovered decreased sleep time and delayed bedtimes were consistently related with use of electronic devices.</w:t>
      </w:r>
    </w:p>
    <w:p w14:paraId="307CE2B5" w14:textId="2B38166C" w:rsidR="00CB117D" w:rsidRDefault="52380766" w:rsidP="15EF142A">
      <w:pPr>
        <w:spacing w:line="360" w:lineRule="auto"/>
        <w:rPr>
          <w:rFonts w:ascii="Arial" w:eastAsia="Arial" w:hAnsi="Arial" w:cs="Arial"/>
          <w:color w:val="000000" w:themeColor="text1"/>
        </w:rPr>
      </w:pPr>
      <w:r w:rsidRPr="15EF142A">
        <w:rPr>
          <w:rFonts w:ascii="Arial" w:eastAsia="Arial" w:hAnsi="Arial" w:cs="Arial"/>
        </w:rPr>
        <w:t>Finally, aspects that may impact on learners’ attitudes to school</w:t>
      </w:r>
      <w:r w:rsidR="3A6E847C" w:rsidRPr="15EF142A">
        <w:rPr>
          <w:rFonts w:ascii="Arial" w:eastAsia="Arial" w:hAnsi="Arial" w:cs="Arial"/>
        </w:rPr>
        <w:t xml:space="preserve"> should be considered</w:t>
      </w:r>
      <w:r w:rsidRPr="15EF142A">
        <w:rPr>
          <w:rFonts w:ascii="Arial" w:eastAsia="Arial" w:hAnsi="Arial" w:cs="Arial"/>
        </w:rPr>
        <w:t>. Attitude towards school can be viewed as how students value education and how students feel about school (Sa’di</w:t>
      </w:r>
      <w:r w:rsidR="03061989" w:rsidRPr="15EF142A">
        <w:rPr>
          <w:rFonts w:ascii="Arial" w:eastAsia="Arial" w:hAnsi="Arial" w:cs="Arial"/>
        </w:rPr>
        <w:t>,</w:t>
      </w:r>
      <w:r w:rsidRPr="15EF142A">
        <w:rPr>
          <w:rFonts w:ascii="Arial" w:eastAsia="Arial" w:hAnsi="Arial" w:cs="Arial"/>
        </w:rPr>
        <w:t xml:space="preserve"> 2001). This includes perceptions of the classroom learning environment as well as the whole school culture (Şeker</w:t>
      </w:r>
      <w:r w:rsidR="1AD575E7" w:rsidRPr="15EF142A">
        <w:rPr>
          <w:rFonts w:ascii="Arial" w:eastAsia="Arial" w:hAnsi="Arial" w:cs="Arial"/>
        </w:rPr>
        <w:t>,</w:t>
      </w:r>
      <w:r w:rsidRPr="15EF142A">
        <w:rPr>
          <w:rFonts w:ascii="Arial" w:eastAsia="Arial" w:hAnsi="Arial" w:cs="Arial"/>
        </w:rPr>
        <w:t xml:space="preserve"> 2011).</w:t>
      </w:r>
      <w:r w:rsidR="10A73779" w:rsidRPr="15EF142A">
        <w:rPr>
          <w:rFonts w:ascii="Arial" w:eastAsia="Arial" w:hAnsi="Arial" w:cs="Arial"/>
        </w:rPr>
        <w:t xml:space="preserve"> </w:t>
      </w:r>
      <w:commentRangeStart w:id="3"/>
      <w:r w:rsidR="10A73779" w:rsidRPr="15EF142A">
        <w:rPr>
          <w:rFonts w:ascii="Arial" w:eastAsia="Arial" w:hAnsi="Arial" w:cs="Arial"/>
        </w:rPr>
        <w:t>Gender is another aspect to consider</w:t>
      </w:r>
      <w:commentRangeEnd w:id="3"/>
      <w:r>
        <w:rPr>
          <w:rStyle w:val="CommentReference"/>
        </w:rPr>
        <w:commentReference w:id="3"/>
      </w:r>
      <w:r w:rsidRPr="15EF142A">
        <w:rPr>
          <w:rFonts w:ascii="Arial" w:eastAsia="Arial" w:hAnsi="Arial" w:cs="Arial"/>
        </w:rPr>
        <w:t xml:space="preserve"> where multiple studies have indicated girls have a positive attitude towards school compared to boys (Martínez and Gil 2019, Darom and Rich 1988, As Sabiq </w:t>
      </w:r>
      <w:r w:rsidRPr="15EF142A">
        <w:rPr>
          <w:rFonts w:ascii="Arial" w:eastAsia="Arial" w:hAnsi="Arial" w:cs="Arial"/>
          <w:i/>
          <w:iCs/>
        </w:rPr>
        <w:t>et al., 2</w:t>
      </w:r>
      <w:r w:rsidRPr="15EF142A">
        <w:rPr>
          <w:rFonts w:ascii="Arial" w:eastAsia="Arial" w:hAnsi="Arial" w:cs="Arial"/>
        </w:rPr>
        <w:t xml:space="preserve">021). These findings suggest there could be a gender difference in attitudes towards school. However, the literature about gender difference does vary. One study found no gender difference in the attitudes towards school (Arens and </w:t>
      </w:r>
      <w:proofErr w:type="spellStart"/>
      <w:r w:rsidRPr="15EF142A">
        <w:rPr>
          <w:rFonts w:ascii="Arial" w:eastAsia="Arial" w:hAnsi="Arial" w:cs="Arial"/>
        </w:rPr>
        <w:t>Niepel</w:t>
      </w:r>
      <w:proofErr w:type="spellEnd"/>
      <w:r w:rsidR="5E485649" w:rsidRPr="15EF142A">
        <w:rPr>
          <w:rFonts w:ascii="Arial" w:eastAsia="Arial" w:hAnsi="Arial" w:cs="Arial"/>
        </w:rPr>
        <w:t>,</w:t>
      </w:r>
      <w:r w:rsidRPr="15EF142A">
        <w:rPr>
          <w:rFonts w:ascii="Arial" w:eastAsia="Arial" w:hAnsi="Arial" w:cs="Arial"/>
        </w:rPr>
        <w:t xml:space="preserve"> 2019) and used over 2,300 participants and two different methods to ensure the results were valid and reliable. Interestingly, research by Darom and Rich (1988) indicated teachers view the difference in attitude between boys and girls</w:t>
      </w:r>
      <w:r w:rsidR="50847DA1" w:rsidRPr="15EF142A">
        <w:rPr>
          <w:rFonts w:ascii="Arial" w:eastAsia="Arial" w:hAnsi="Arial" w:cs="Arial"/>
        </w:rPr>
        <w:t xml:space="preserve"> to be</w:t>
      </w:r>
      <w:r w:rsidRPr="15EF142A">
        <w:rPr>
          <w:rFonts w:ascii="Arial" w:eastAsia="Arial" w:hAnsi="Arial" w:cs="Arial"/>
        </w:rPr>
        <w:t xml:space="preserve"> </w:t>
      </w:r>
      <w:commentRangeStart w:id="4"/>
      <w:r w:rsidRPr="15EF142A">
        <w:rPr>
          <w:rFonts w:ascii="Arial" w:eastAsia="Arial" w:hAnsi="Arial" w:cs="Arial"/>
        </w:rPr>
        <w:t>larger</w:t>
      </w:r>
      <w:commentRangeEnd w:id="4"/>
      <w:r>
        <w:rPr>
          <w:rStyle w:val="CommentReference"/>
        </w:rPr>
        <w:commentReference w:id="4"/>
      </w:r>
      <w:r w:rsidRPr="15EF142A">
        <w:rPr>
          <w:rFonts w:ascii="Arial" w:eastAsia="Arial" w:hAnsi="Arial" w:cs="Arial"/>
        </w:rPr>
        <w:t xml:space="preserve"> than it is. </w:t>
      </w:r>
    </w:p>
    <w:p w14:paraId="58F63FA5" w14:textId="2BBCE997" w:rsidR="00CB117D" w:rsidRDefault="52380766" w:rsidP="15EF142A">
      <w:pPr>
        <w:spacing w:line="360" w:lineRule="auto"/>
        <w:rPr>
          <w:rFonts w:ascii="Arial" w:eastAsia="Arial" w:hAnsi="Arial" w:cs="Arial"/>
          <w:color w:val="000000" w:themeColor="text1"/>
        </w:rPr>
      </w:pPr>
      <w:r w:rsidRPr="15EF142A">
        <w:rPr>
          <w:rFonts w:ascii="Arial" w:eastAsia="Arial" w:hAnsi="Arial" w:cs="Arial"/>
        </w:rPr>
        <w:t xml:space="preserve">This links to previous studies which display that the student-teacher relationship can have positive impacts upon student engagement, outcomes and attitude (Rasuli, </w:t>
      </w:r>
      <w:proofErr w:type="spellStart"/>
      <w:r w:rsidRPr="15EF142A">
        <w:rPr>
          <w:rFonts w:ascii="Arial" w:eastAsia="Arial" w:hAnsi="Arial" w:cs="Arial"/>
        </w:rPr>
        <w:t>Makhdoomzada</w:t>
      </w:r>
      <w:proofErr w:type="spellEnd"/>
      <w:r w:rsidRPr="15EF142A">
        <w:rPr>
          <w:rFonts w:ascii="Arial" w:eastAsia="Arial" w:hAnsi="Arial" w:cs="Arial"/>
        </w:rPr>
        <w:t xml:space="preserve"> and Haidari 2023, Dai 2024). In this study, the authors suggest that teachers could be a contributing factor towards students' attitudes towards school. Likewise, another study identified dispute in the teacher-student relationship can negatively impact student attitude towards school as the student requires a supportive environment to reach their full potential (Huan et al., 2012). These findings support the concept of teachers impacting student attitudes towards school. On the contrary, </w:t>
      </w:r>
      <w:r w:rsidRPr="15EF142A">
        <w:rPr>
          <w:rFonts w:ascii="Arial" w:eastAsia="Arial" w:hAnsi="Arial" w:cs="Arial"/>
        </w:rPr>
        <w:lastRenderedPageBreak/>
        <w:t>Suyatno et al., (2019) found counterpart differences between the student-teacher relationship and student attitude and revealed there was no impact at all. In conclusion, the Welsh Government (2023) takes the position that student-teacher interaction impacts students' sense of worth which can affect overall well-being and attitudes towards school.</w:t>
      </w:r>
    </w:p>
    <w:p w14:paraId="68C8B6BF" w14:textId="7ED7824F" w:rsidR="00CB117D" w:rsidRDefault="52380766" w:rsidP="15EF142A">
      <w:pPr>
        <w:spacing w:line="360" w:lineRule="auto"/>
        <w:rPr>
          <w:rFonts w:ascii="Arial" w:eastAsia="Arial" w:hAnsi="Arial" w:cs="Arial"/>
          <w:color w:val="000000" w:themeColor="text1"/>
        </w:rPr>
      </w:pPr>
      <w:commentRangeStart w:id="5"/>
      <w:r w:rsidRPr="15EF142A">
        <w:rPr>
          <w:rFonts w:ascii="Arial" w:eastAsia="Arial" w:hAnsi="Arial" w:cs="Arial"/>
        </w:rPr>
        <w:t>In</w:t>
      </w:r>
      <w:commentRangeEnd w:id="5"/>
      <w:r>
        <w:rPr>
          <w:rStyle w:val="CommentReference"/>
        </w:rPr>
        <w:commentReference w:id="5"/>
      </w:r>
      <w:r w:rsidRPr="15EF142A">
        <w:rPr>
          <w:rFonts w:ascii="Arial" w:eastAsia="Arial" w:hAnsi="Arial" w:cs="Arial"/>
        </w:rPr>
        <w:t xml:space="preserve"> the review of literature, several themes</w:t>
      </w:r>
      <w:r w:rsidR="2CB17EB5" w:rsidRPr="15EF142A">
        <w:rPr>
          <w:rFonts w:ascii="Arial" w:eastAsia="Arial" w:hAnsi="Arial" w:cs="Arial"/>
        </w:rPr>
        <w:t xml:space="preserve"> have been explored</w:t>
      </w:r>
      <w:r w:rsidRPr="15EF142A">
        <w:rPr>
          <w:rFonts w:ascii="Arial" w:eastAsia="Arial" w:hAnsi="Arial" w:cs="Arial"/>
        </w:rPr>
        <w:t xml:space="preserve"> which relate to </w:t>
      </w:r>
      <w:r w:rsidR="368E1427" w:rsidRPr="15EF142A">
        <w:rPr>
          <w:rFonts w:ascii="Arial" w:eastAsia="Arial" w:hAnsi="Arial" w:cs="Arial"/>
        </w:rPr>
        <w:t>the</w:t>
      </w:r>
      <w:r w:rsidRPr="15EF142A">
        <w:rPr>
          <w:rFonts w:ascii="Arial" w:eastAsia="Arial" w:hAnsi="Arial" w:cs="Arial"/>
        </w:rPr>
        <w:t xml:space="preserve"> research question. These include human development, well-being and self-esteem, sleep, students' attitude towards school with respect to gender differences and student-teacher relationship and informed </w:t>
      </w:r>
      <w:r w:rsidR="6C0390FA" w:rsidRPr="15EF142A">
        <w:rPr>
          <w:rFonts w:ascii="Arial" w:eastAsia="Arial" w:hAnsi="Arial" w:cs="Arial"/>
        </w:rPr>
        <w:t>the</w:t>
      </w:r>
      <w:r w:rsidRPr="15EF142A">
        <w:rPr>
          <w:rFonts w:ascii="Arial" w:eastAsia="Arial" w:hAnsi="Arial" w:cs="Arial"/>
        </w:rPr>
        <w:t xml:space="preserve"> choice of methodology and data collection.</w:t>
      </w:r>
    </w:p>
    <w:p w14:paraId="7A2622E3" w14:textId="1C216675" w:rsidR="00CB117D" w:rsidRDefault="00CB117D" w:rsidP="15EF142A">
      <w:pPr>
        <w:spacing w:line="360" w:lineRule="auto"/>
        <w:rPr>
          <w:rFonts w:ascii="Arial" w:eastAsia="Arial" w:hAnsi="Arial" w:cs="Arial"/>
          <w:color w:val="000000" w:themeColor="text1"/>
        </w:rPr>
      </w:pPr>
    </w:p>
    <w:p w14:paraId="6F051134" w14:textId="7D173B3B" w:rsidR="00CB117D" w:rsidRDefault="00CB117D" w:rsidP="15EF142A">
      <w:pPr>
        <w:spacing w:line="360" w:lineRule="auto"/>
        <w:rPr>
          <w:rFonts w:ascii="Arial" w:eastAsia="Arial" w:hAnsi="Arial" w:cs="Arial"/>
          <w:color w:val="000000" w:themeColor="text1"/>
        </w:rPr>
      </w:pPr>
    </w:p>
    <w:p w14:paraId="2F17AEB1" w14:textId="2C224070" w:rsidR="00CB117D" w:rsidRDefault="17084319" w:rsidP="15EF142A">
      <w:pPr>
        <w:spacing w:line="360" w:lineRule="auto"/>
        <w:rPr>
          <w:rFonts w:ascii="Arial" w:eastAsia="Arial" w:hAnsi="Arial" w:cs="Arial"/>
          <w:b/>
          <w:bCs/>
          <w:u w:val="single"/>
        </w:rPr>
      </w:pPr>
      <w:r w:rsidRPr="15EF142A">
        <w:rPr>
          <w:rFonts w:ascii="Arial" w:eastAsia="Arial" w:hAnsi="Arial" w:cs="Arial"/>
          <w:b/>
          <w:bCs/>
          <w:u w:val="single"/>
        </w:rPr>
        <w:t>Explanation of Case Study</w:t>
      </w:r>
    </w:p>
    <w:p w14:paraId="6497CDD0" w14:textId="20A04284" w:rsidR="00CB117D" w:rsidRDefault="17084319" w:rsidP="15EF142A">
      <w:pPr>
        <w:spacing w:line="360" w:lineRule="auto"/>
        <w:rPr>
          <w:rFonts w:ascii="Arial" w:eastAsia="Arial" w:hAnsi="Arial" w:cs="Arial"/>
        </w:rPr>
      </w:pPr>
      <w:r w:rsidRPr="15EF142A">
        <w:rPr>
          <w:rFonts w:ascii="Arial" w:eastAsia="Arial" w:hAnsi="Arial" w:cs="Arial"/>
        </w:rPr>
        <w:t>Case studies do not have one singular definition due to the</w:t>
      </w:r>
      <w:r w:rsidR="0B8DA0B8" w:rsidRPr="15EF142A">
        <w:rPr>
          <w:rFonts w:ascii="Arial" w:eastAsia="Arial" w:hAnsi="Arial" w:cs="Arial"/>
        </w:rPr>
        <w:t xml:space="preserve"> ambiguity</w:t>
      </w:r>
      <w:r w:rsidRPr="15EF142A">
        <w:rPr>
          <w:rFonts w:ascii="Arial" w:eastAsia="Arial" w:hAnsi="Arial" w:cs="Arial"/>
        </w:rPr>
        <w:t xml:space="preserve"> and complexity of what they are. Case studies are beneficial in research as they understand and explore complex processes e.g. change (Simon</w:t>
      </w:r>
      <w:r w:rsidR="281C4E07" w:rsidRPr="15EF142A">
        <w:rPr>
          <w:rFonts w:ascii="Arial" w:eastAsia="Arial" w:hAnsi="Arial" w:cs="Arial"/>
        </w:rPr>
        <w:t>,</w:t>
      </w:r>
      <w:r w:rsidRPr="15EF142A">
        <w:rPr>
          <w:rFonts w:ascii="Arial" w:eastAsia="Arial" w:hAnsi="Arial" w:cs="Arial"/>
        </w:rPr>
        <w:t xml:space="preserve"> 2009) and enable researchers to have an increased understanding of a subject (Coombs</w:t>
      </w:r>
      <w:r w:rsidR="5B8FAE72" w:rsidRPr="15EF142A">
        <w:rPr>
          <w:rFonts w:ascii="Arial" w:eastAsia="Arial" w:hAnsi="Arial" w:cs="Arial"/>
        </w:rPr>
        <w:t>,</w:t>
      </w:r>
      <w:r w:rsidRPr="15EF142A">
        <w:rPr>
          <w:rFonts w:ascii="Arial" w:eastAsia="Arial" w:hAnsi="Arial" w:cs="Arial"/>
        </w:rPr>
        <w:t xml:space="preserve"> 2022). A case study allows research of human actions to happen in its natural environment (Feagin, Orum and Sjoberg</w:t>
      </w:r>
      <w:r w:rsidR="7FD83ED8" w:rsidRPr="15EF142A">
        <w:rPr>
          <w:rFonts w:ascii="Arial" w:eastAsia="Arial" w:hAnsi="Arial" w:cs="Arial"/>
        </w:rPr>
        <w:t>,</w:t>
      </w:r>
      <w:r w:rsidRPr="15EF142A">
        <w:rPr>
          <w:rFonts w:ascii="Arial" w:eastAsia="Arial" w:hAnsi="Arial" w:cs="Arial"/>
        </w:rPr>
        <w:t xml:space="preserve"> 2016). Although research has proved case studies can be difficult to use within research due to the complexity of them, especially with students (Yadav</w:t>
      </w:r>
      <w:r w:rsidR="67A555BF" w:rsidRPr="15EF142A">
        <w:rPr>
          <w:rFonts w:ascii="Arial" w:eastAsia="Arial" w:hAnsi="Arial" w:cs="Arial"/>
        </w:rPr>
        <w:t>,</w:t>
      </w:r>
      <w:r w:rsidRPr="15EF142A">
        <w:rPr>
          <w:rFonts w:ascii="Arial" w:eastAsia="Arial" w:hAnsi="Arial" w:cs="Arial"/>
        </w:rPr>
        <w:t xml:space="preserve"> 2007).</w:t>
      </w:r>
    </w:p>
    <w:p w14:paraId="54CEA559" w14:textId="4C24B1AA" w:rsidR="17084319" w:rsidRDefault="17084319" w:rsidP="15EF142A">
      <w:pPr>
        <w:spacing w:line="360" w:lineRule="auto"/>
        <w:rPr>
          <w:rFonts w:ascii="Arial" w:eastAsia="Arial" w:hAnsi="Arial" w:cs="Arial"/>
        </w:rPr>
      </w:pPr>
      <w:r w:rsidRPr="15EF142A">
        <w:rPr>
          <w:rFonts w:ascii="Arial" w:eastAsia="Arial" w:hAnsi="Arial" w:cs="Arial"/>
        </w:rPr>
        <w:t xml:space="preserve">Case studies can be divided into three </w:t>
      </w:r>
      <w:proofErr w:type="gramStart"/>
      <w:r w:rsidRPr="15EF142A">
        <w:rPr>
          <w:rFonts w:ascii="Arial" w:eastAsia="Arial" w:hAnsi="Arial" w:cs="Arial"/>
        </w:rPr>
        <w:t>types;</w:t>
      </w:r>
      <w:proofErr w:type="gramEnd"/>
      <w:r w:rsidRPr="15EF142A">
        <w:rPr>
          <w:rFonts w:ascii="Arial" w:eastAsia="Arial" w:hAnsi="Arial" w:cs="Arial"/>
        </w:rPr>
        <w:t xml:space="preserve"> evaluative, exploratory and explanatory (Yazan</w:t>
      </w:r>
      <w:r w:rsidR="4A6B072E" w:rsidRPr="15EF142A">
        <w:rPr>
          <w:rFonts w:ascii="Arial" w:eastAsia="Arial" w:hAnsi="Arial" w:cs="Arial"/>
        </w:rPr>
        <w:t>,</w:t>
      </w:r>
      <w:r w:rsidRPr="15EF142A">
        <w:rPr>
          <w:rFonts w:ascii="Arial" w:eastAsia="Arial" w:hAnsi="Arial" w:cs="Arial"/>
        </w:rPr>
        <w:t xml:space="preserve"> 2015). Evaluative research determines the success of a project, or if the objectives of the project have been met (Simon</w:t>
      </w:r>
      <w:r w:rsidR="5FE79CCA" w:rsidRPr="15EF142A">
        <w:rPr>
          <w:rFonts w:ascii="Arial" w:eastAsia="Arial" w:hAnsi="Arial" w:cs="Arial"/>
        </w:rPr>
        <w:t>,</w:t>
      </w:r>
      <w:r w:rsidRPr="15EF142A">
        <w:rPr>
          <w:rFonts w:ascii="Arial" w:eastAsia="Arial" w:hAnsi="Arial" w:cs="Arial"/>
        </w:rPr>
        <w:t xml:space="preserve"> 2009), explanatory research provides evidence, causes and reasons to explain a prediction or theory (Boru</w:t>
      </w:r>
      <w:r w:rsidR="340C5254" w:rsidRPr="15EF142A">
        <w:rPr>
          <w:rFonts w:ascii="Arial" w:eastAsia="Arial" w:hAnsi="Arial" w:cs="Arial"/>
        </w:rPr>
        <w:t>,</w:t>
      </w:r>
      <w:r w:rsidRPr="15EF142A">
        <w:rPr>
          <w:rFonts w:ascii="Arial" w:eastAsia="Arial" w:hAnsi="Arial" w:cs="Arial"/>
        </w:rPr>
        <w:t xml:space="preserve"> 2018) and exploratory research is used to gain an overview of a topic, when there is limited information about it (Swedberg</w:t>
      </w:r>
      <w:r w:rsidR="77C5DAA2" w:rsidRPr="15EF142A">
        <w:rPr>
          <w:rFonts w:ascii="Arial" w:eastAsia="Arial" w:hAnsi="Arial" w:cs="Arial"/>
        </w:rPr>
        <w:t>,</w:t>
      </w:r>
      <w:r w:rsidRPr="15EF142A">
        <w:rPr>
          <w:rFonts w:ascii="Arial" w:eastAsia="Arial" w:hAnsi="Arial" w:cs="Arial"/>
        </w:rPr>
        <w:t xml:space="preserve"> 2020). This research is going to use an exploratory case study approach to generate a hypothesis about students’ attitude towards school on a Monday morning and provide an in-depth understanding, but exploratory research can be broad therefore it can be difficult to process (Swedberg</w:t>
      </w:r>
      <w:r w:rsidR="2E46682A" w:rsidRPr="15EF142A">
        <w:rPr>
          <w:rFonts w:ascii="Arial" w:eastAsia="Arial" w:hAnsi="Arial" w:cs="Arial"/>
        </w:rPr>
        <w:t>,</w:t>
      </w:r>
      <w:r w:rsidRPr="15EF142A">
        <w:rPr>
          <w:rFonts w:ascii="Arial" w:eastAsia="Arial" w:hAnsi="Arial" w:cs="Arial"/>
        </w:rPr>
        <w:t xml:space="preserve"> 2020).  A case study can be viewed as an in-depth investigation, from multiple perspectives, of the difficulty </w:t>
      </w:r>
      <w:r w:rsidRPr="15EF142A">
        <w:rPr>
          <w:rFonts w:ascii="Arial" w:eastAsia="Arial" w:hAnsi="Arial" w:cs="Arial"/>
        </w:rPr>
        <w:lastRenderedPageBreak/>
        <w:t>and uniqueness of a subject (Simon</w:t>
      </w:r>
      <w:r w:rsidR="4A992992" w:rsidRPr="15EF142A">
        <w:rPr>
          <w:rFonts w:ascii="Arial" w:eastAsia="Arial" w:hAnsi="Arial" w:cs="Arial"/>
        </w:rPr>
        <w:t>,</w:t>
      </w:r>
      <w:r w:rsidRPr="15EF142A">
        <w:rPr>
          <w:rFonts w:ascii="Arial" w:eastAsia="Arial" w:hAnsi="Arial" w:cs="Arial"/>
        </w:rPr>
        <w:t xml:space="preserve"> 2009). In contrast, results from one single exploratory case study may not be </w:t>
      </w:r>
      <w:proofErr w:type="spellStart"/>
      <w:r w:rsidRPr="15EF142A">
        <w:rPr>
          <w:rFonts w:ascii="Arial" w:eastAsia="Arial" w:hAnsi="Arial" w:cs="Arial"/>
        </w:rPr>
        <w:t>generalisable</w:t>
      </w:r>
      <w:proofErr w:type="spellEnd"/>
      <w:r w:rsidRPr="15EF142A">
        <w:rPr>
          <w:rFonts w:ascii="Arial" w:eastAsia="Arial" w:hAnsi="Arial" w:cs="Arial"/>
        </w:rPr>
        <w:t xml:space="preserve"> (Balmer and Liao</w:t>
      </w:r>
      <w:r w:rsidR="09244B90" w:rsidRPr="15EF142A">
        <w:rPr>
          <w:rFonts w:ascii="Arial" w:eastAsia="Arial" w:hAnsi="Arial" w:cs="Arial"/>
        </w:rPr>
        <w:t xml:space="preserve">, </w:t>
      </w:r>
      <w:r w:rsidRPr="15EF142A">
        <w:rPr>
          <w:rFonts w:ascii="Arial" w:eastAsia="Arial" w:hAnsi="Arial" w:cs="Arial"/>
        </w:rPr>
        <w:t xml:space="preserve">2007) and could only be valid for that </w:t>
      </w:r>
      <w:proofErr w:type="gramStart"/>
      <w:r w:rsidRPr="15EF142A">
        <w:rPr>
          <w:rFonts w:ascii="Arial" w:eastAsia="Arial" w:hAnsi="Arial" w:cs="Arial"/>
        </w:rPr>
        <w:t>particular study</w:t>
      </w:r>
      <w:proofErr w:type="gramEnd"/>
      <w:r w:rsidRPr="15EF142A">
        <w:rPr>
          <w:rFonts w:ascii="Arial" w:eastAsia="Arial" w:hAnsi="Arial" w:cs="Arial"/>
        </w:rPr>
        <w:t xml:space="preserve"> rather than a larger population. Exploratory case study typically uses qualitative data as this can provide rich data which can be </w:t>
      </w:r>
      <w:proofErr w:type="spellStart"/>
      <w:r w:rsidRPr="15EF142A">
        <w:rPr>
          <w:rFonts w:ascii="Arial" w:eastAsia="Arial" w:hAnsi="Arial" w:cs="Arial"/>
        </w:rPr>
        <w:t>analysed</w:t>
      </w:r>
      <w:proofErr w:type="spellEnd"/>
      <w:r w:rsidRPr="15EF142A">
        <w:rPr>
          <w:rFonts w:ascii="Arial" w:eastAsia="Arial" w:hAnsi="Arial" w:cs="Arial"/>
        </w:rPr>
        <w:t xml:space="preserve"> and </w:t>
      </w:r>
      <w:proofErr w:type="spellStart"/>
      <w:r w:rsidRPr="15EF142A">
        <w:rPr>
          <w:rFonts w:ascii="Arial" w:eastAsia="Arial" w:hAnsi="Arial" w:cs="Arial"/>
        </w:rPr>
        <w:t>synthesised</w:t>
      </w:r>
      <w:proofErr w:type="spellEnd"/>
      <w:r w:rsidRPr="15EF142A">
        <w:rPr>
          <w:rFonts w:ascii="Arial" w:eastAsia="Arial" w:hAnsi="Arial" w:cs="Arial"/>
        </w:rPr>
        <w:t xml:space="preserve"> (Stake</w:t>
      </w:r>
      <w:r w:rsidR="20F55324" w:rsidRPr="15EF142A">
        <w:rPr>
          <w:rFonts w:ascii="Arial" w:eastAsia="Arial" w:hAnsi="Arial" w:cs="Arial"/>
        </w:rPr>
        <w:t>,</w:t>
      </w:r>
      <w:r w:rsidRPr="15EF142A">
        <w:rPr>
          <w:rFonts w:ascii="Arial" w:eastAsia="Arial" w:hAnsi="Arial" w:cs="Arial"/>
        </w:rPr>
        <w:t xml:space="preserve"> 1995). </w:t>
      </w:r>
    </w:p>
    <w:p w14:paraId="166D7CAE" w14:textId="63CEE8B6" w:rsidR="00CB117D" w:rsidRDefault="17084319" w:rsidP="15EF142A">
      <w:pPr>
        <w:spacing w:line="360" w:lineRule="auto"/>
        <w:rPr>
          <w:rFonts w:ascii="Arial" w:eastAsia="Arial" w:hAnsi="Arial" w:cs="Arial"/>
        </w:rPr>
      </w:pPr>
      <w:r w:rsidRPr="15EF142A">
        <w:rPr>
          <w:rFonts w:ascii="Arial" w:eastAsia="Arial" w:hAnsi="Arial" w:cs="Arial"/>
        </w:rPr>
        <w:t>The aims of this study are to illustrate ideas and concepts around what factors affect students' attitude towards school on Mondays</w:t>
      </w:r>
      <w:r w:rsidR="18B86553" w:rsidRPr="15EF142A">
        <w:rPr>
          <w:rFonts w:ascii="Arial" w:eastAsia="Arial" w:hAnsi="Arial" w:cs="Arial"/>
        </w:rPr>
        <w:t xml:space="preserve">. </w:t>
      </w:r>
      <w:r w:rsidRPr="15EF142A">
        <w:rPr>
          <w:rFonts w:ascii="Arial" w:eastAsia="Arial" w:hAnsi="Arial" w:cs="Arial"/>
        </w:rPr>
        <w:t>The literature is rich regarding student attitude towards school, however the literature regarding students' attitude towards school on a Monday morning is</w:t>
      </w:r>
      <w:r w:rsidR="1F62A75E" w:rsidRPr="15EF142A">
        <w:rPr>
          <w:rFonts w:ascii="Arial" w:eastAsia="Arial" w:hAnsi="Arial" w:cs="Arial"/>
        </w:rPr>
        <w:t xml:space="preserve"> not so extensive </w:t>
      </w:r>
      <w:r w:rsidRPr="15EF142A">
        <w:rPr>
          <w:rFonts w:ascii="Arial" w:eastAsia="Arial" w:hAnsi="Arial" w:cs="Arial"/>
        </w:rPr>
        <w:t>or there is little.</w:t>
      </w:r>
    </w:p>
    <w:p w14:paraId="0D3689A0" w14:textId="294C722E" w:rsidR="00CB117D" w:rsidRDefault="00CB117D" w:rsidP="15EF142A">
      <w:pPr>
        <w:spacing w:line="360" w:lineRule="auto"/>
        <w:rPr>
          <w:rFonts w:ascii="Arial" w:eastAsia="Arial" w:hAnsi="Arial" w:cs="Arial"/>
          <w:color w:val="000000" w:themeColor="text1"/>
        </w:rPr>
      </w:pPr>
    </w:p>
    <w:p w14:paraId="1E8F5BC3" w14:textId="7126200B" w:rsidR="7EFD72A9" w:rsidRDefault="7EFD72A9" w:rsidP="15EF142A">
      <w:pPr>
        <w:spacing w:line="360" w:lineRule="auto"/>
        <w:rPr>
          <w:rFonts w:ascii="Arial" w:eastAsia="Arial" w:hAnsi="Arial" w:cs="Arial"/>
          <w:b/>
          <w:bCs/>
          <w:color w:val="000000" w:themeColor="text1"/>
        </w:rPr>
      </w:pPr>
    </w:p>
    <w:p w14:paraId="765911DC" w14:textId="47FC62BA" w:rsidR="41F5C9A1" w:rsidRDefault="2C4738C9" w:rsidP="15EF142A">
      <w:pPr>
        <w:spacing w:line="360" w:lineRule="auto"/>
        <w:rPr>
          <w:rFonts w:ascii="Arial" w:eastAsia="Arial" w:hAnsi="Arial" w:cs="Arial"/>
          <w:b/>
          <w:bCs/>
          <w:color w:val="000000" w:themeColor="text1"/>
        </w:rPr>
      </w:pPr>
      <w:r w:rsidRPr="15EF142A">
        <w:rPr>
          <w:rFonts w:ascii="Arial" w:eastAsia="Arial" w:hAnsi="Arial" w:cs="Arial"/>
          <w:b/>
          <w:bCs/>
          <w:u w:val="single"/>
        </w:rPr>
        <w:t>Research Methods</w:t>
      </w:r>
    </w:p>
    <w:p w14:paraId="63E86571" w14:textId="001D9D74" w:rsidR="41F5C9A1" w:rsidRDefault="2C4738C9" w:rsidP="15EF142A">
      <w:pPr>
        <w:spacing w:line="360" w:lineRule="auto"/>
        <w:rPr>
          <w:rFonts w:ascii="Arial" w:eastAsia="Arial" w:hAnsi="Arial" w:cs="Arial"/>
          <w:color w:val="000000" w:themeColor="text1"/>
        </w:rPr>
      </w:pPr>
      <w:r w:rsidRPr="15EF142A">
        <w:rPr>
          <w:rFonts w:ascii="Arial" w:eastAsia="Arial" w:hAnsi="Arial" w:cs="Arial"/>
        </w:rPr>
        <w:t xml:space="preserve">This small-scale research used multiple methods known as triangulation of methods (Carter </w:t>
      </w:r>
      <w:r w:rsidRPr="15EF142A">
        <w:rPr>
          <w:rFonts w:ascii="Arial" w:eastAsia="Arial" w:hAnsi="Arial" w:cs="Arial"/>
          <w:i/>
          <w:iCs/>
        </w:rPr>
        <w:t>et al.</w:t>
      </w:r>
      <w:r w:rsidR="4CE0AF85" w:rsidRPr="15EF142A">
        <w:rPr>
          <w:rFonts w:ascii="Arial" w:eastAsia="Arial" w:hAnsi="Arial" w:cs="Arial"/>
          <w:i/>
          <w:iCs/>
        </w:rPr>
        <w:t>,</w:t>
      </w:r>
      <w:r w:rsidRPr="15EF142A">
        <w:rPr>
          <w:rFonts w:ascii="Arial" w:eastAsia="Arial" w:hAnsi="Arial" w:cs="Arial"/>
          <w:i/>
          <w:iCs/>
        </w:rPr>
        <w:t xml:space="preserve"> </w:t>
      </w:r>
      <w:r w:rsidRPr="15EF142A">
        <w:rPr>
          <w:rFonts w:ascii="Arial" w:eastAsia="Arial" w:hAnsi="Arial" w:cs="Arial"/>
        </w:rPr>
        <w:t xml:space="preserve">2014) which allowed the research to check the reliability of the data. More than one method was used to increase the validity and reliability of the results due to information from different sources (Carter </w:t>
      </w:r>
      <w:r w:rsidRPr="15EF142A">
        <w:rPr>
          <w:rFonts w:ascii="Arial" w:eastAsia="Arial" w:hAnsi="Arial" w:cs="Arial"/>
          <w:i/>
          <w:iCs/>
        </w:rPr>
        <w:t>et al.</w:t>
      </w:r>
      <w:r w:rsidR="3E4A2D6A" w:rsidRPr="15EF142A">
        <w:rPr>
          <w:rFonts w:ascii="Arial" w:eastAsia="Arial" w:hAnsi="Arial" w:cs="Arial"/>
          <w:i/>
          <w:iCs/>
        </w:rPr>
        <w:t>,</w:t>
      </w:r>
      <w:r w:rsidRPr="15EF142A">
        <w:rPr>
          <w:rFonts w:ascii="Arial" w:eastAsia="Arial" w:hAnsi="Arial" w:cs="Arial"/>
          <w:i/>
          <w:iCs/>
        </w:rPr>
        <w:t xml:space="preserve"> </w:t>
      </w:r>
      <w:r w:rsidRPr="15EF142A">
        <w:rPr>
          <w:rFonts w:ascii="Arial" w:eastAsia="Arial" w:hAnsi="Arial" w:cs="Arial"/>
        </w:rPr>
        <w:t>2014).</w:t>
      </w:r>
    </w:p>
    <w:p w14:paraId="74999AF8" w14:textId="241ED68D" w:rsidR="00313579" w:rsidRDefault="2C4738C9" w:rsidP="15EF142A">
      <w:pPr>
        <w:spacing w:line="360" w:lineRule="auto"/>
        <w:rPr>
          <w:rFonts w:ascii="Arial" w:eastAsia="Arial" w:hAnsi="Arial" w:cs="Arial"/>
          <w:color w:val="000000" w:themeColor="text1"/>
        </w:rPr>
      </w:pPr>
      <w:r w:rsidRPr="15EF142A">
        <w:rPr>
          <w:rFonts w:ascii="Arial" w:eastAsia="Arial" w:hAnsi="Arial" w:cs="Arial"/>
        </w:rPr>
        <w:t xml:space="preserve">The research methods selected within this research were a short questionnaire (Appendix B) using a Likert scale (Appendix B), and a group interview (Appendix C). I selected a questionnaire as a data collection tool because they are easy and efficient to create and ensure </w:t>
      </w:r>
      <w:proofErr w:type="spellStart"/>
      <w:r w:rsidRPr="15EF142A">
        <w:rPr>
          <w:rFonts w:ascii="Arial" w:eastAsia="Arial" w:hAnsi="Arial" w:cs="Arial"/>
        </w:rPr>
        <w:t>standardisation</w:t>
      </w:r>
      <w:proofErr w:type="spellEnd"/>
      <w:r w:rsidRPr="15EF142A">
        <w:rPr>
          <w:rFonts w:ascii="Arial" w:eastAsia="Arial" w:hAnsi="Arial" w:cs="Arial"/>
        </w:rPr>
        <w:t xml:space="preserve"> and anonymity. There are some benefits to using a short questionnaire such as the time it takes to complete, which participants could be more inclined to volunteer as it is time efficient. Short, practical questionnaires are easy to understand and are a simple tool to measure and provide subjective information (Lohuis et al., 2013). However, there are limitations of using a short questionnaire, which include the responses are a one-time snapshot and could vary at a different time and this one-time snapshot does not allow the study to gain any further information based on the responses (Denscombe, 2014). Due to time constraints of the research, a questionnaire was deemed the best choice for this study. My second data collection method was a group interview because they can provide rich data collection where </w:t>
      </w:r>
      <w:r w:rsidRPr="15EF142A">
        <w:rPr>
          <w:rFonts w:ascii="Arial" w:eastAsia="Arial" w:hAnsi="Arial" w:cs="Arial"/>
        </w:rPr>
        <w:lastRenderedPageBreak/>
        <w:t>participants can bounce ideas off each other and create deep discussion as well as propose diverse perspectives. Also, a group interview is much more time efficient compared to individual interviews. There are many benefits to using interviews in research, for example interviews can provide rich sources of information which is beneficial for research (McLafferty</w:t>
      </w:r>
      <w:r w:rsidR="0C9F67F8" w:rsidRPr="15EF142A">
        <w:rPr>
          <w:rFonts w:ascii="Arial" w:eastAsia="Arial" w:hAnsi="Arial" w:cs="Arial"/>
        </w:rPr>
        <w:t>,</w:t>
      </w:r>
      <w:r w:rsidRPr="15EF142A">
        <w:rPr>
          <w:rFonts w:ascii="Arial" w:eastAsia="Arial" w:hAnsi="Arial" w:cs="Arial"/>
        </w:rPr>
        <w:t xml:space="preserve"> 2004). However, there is always a limitation when using interviews as participants could provide incomplete information which could hinder the validity and reliability of the results, especially in the case of teacher/pupil, the participants may wish to please the teacher or say what they think the teacher wants to hear. Using interviews in research can increase the elements of social desirability bias as the presence of others, or a group setting may deter a participant from sharing their honest thoughts, feelings and experiences (Kelly</w:t>
      </w:r>
      <w:r w:rsidR="2868A278" w:rsidRPr="15EF142A">
        <w:rPr>
          <w:rFonts w:ascii="Arial" w:eastAsia="Arial" w:hAnsi="Arial" w:cs="Arial"/>
        </w:rPr>
        <w:t>,</w:t>
      </w:r>
      <w:r w:rsidRPr="15EF142A">
        <w:rPr>
          <w:rFonts w:ascii="Arial" w:eastAsia="Arial" w:hAnsi="Arial" w:cs="Arial"/>
        </w:rPr>
        <w:t xml:space="preserve"> 2003). The group could have an impact on a participant’s opinion or feeling and this could sway their opinion to the group’s opinion, which is known as ‘Group think’ (Kelly</w:t>
      </w:r>
      <w:r w:rsidR="3291A0E4" w:rsidRPr="15EF142A">
        <w:rPr>
          <w:rFonts w:ascii="Arial" w:eastAsia="Arial" w:hAnsi="Arial" w:cs="Arial"/>
        </w:rPr>
        <w:t>,</w:t>
      </w:r>
      <w:r w:rsidRPr="15EF142A">
        <w:rPr>
          <w:rFonts w:ascii="Arial" w:eastAsia="Arial" w:hAnsi="Arial" w:cs="Arial"/>
        </w:rPr>
        <w:t xml:space="preserve"> 2003).</w:t>
      </w:r>
    </w:p>
    <w:p w14:paraId="45880E82" w14:textId="38B0764B" w:rsidR="41F5C9A1" w:rsidRDefault="2C4738C9" w:rsidP="15EF142A">
      <w:pPr>
        <w:spacing w:line="360" w:lineRule="auto"/>
        <w:rPr>
          <w:rFonts w:ascii="Arial" w:eastAsia="Arial" w:hAnsi="Arial" w:cs="Arial"/>
          <w:color w:val="000000" w:themeColor="text1"/>
        </w:rPr>
      </w:pPr>
      <w:r w:rsidRPr="15EF142A">
        <w:rPr>
          <w:rFonts w:ascii="Arial" w:eastAsia="Arial" w:hAnsi="Arial" w:cs="Arial"/>
        </w:rPr>
        <w:t>Nonetheless, a group interview can increase comfort and support for the participants, rather than an individual interview and they are more time efficient as multiple responses can be collected at once (Kelly</w:t>
      </w:r>
      <w:r w:rsidR="328CE449" w:rsidRPr="15EF142A">
        <w:rPr>
          <w:rFonts w:ascii="Arial" w:eastAsia="Arial" w:hAnsi="Arial" w:cs="Arial"/>
        </w:rPr>
        <w:t>,</w:t>
      </w:r>
      <w:r w:rsidRPr="15EF142A">
        <w:rPr>
          <w:rFonts w:ascii="Arial" w:eastAsia="Arial" w:hAnsi="Arial" w:cs="Arial"/>
        </w:rPr>
        <w:t xml:space="preserve"> 2003). However, Kelly (2003) discusses one limitation of using multiple participants in one interview which is not everyone can have an equal amount of contribution, and one or two participants could dominate the discussion and responses. Participants could also respond with what they believe the researcher would want to hear (Grimm</w:t>
      </w:r>
      <w:r w:rsidR="4FD894C3" w:rsidRPr="15EF142A">
        <w:rPr>
          <w:rFonts w:ascii="Arial" w:eastAsia="Arial" w:hAnsi="Arial" w:cs="Arial"/>
        </w:rPr>
        <w:t>,</w:t>
      </w:r>
      <w:r w:rsidRPr="15EF142A">
        <w:rPr>
          <w:rFonts w:ascii="Arial" w:eastAsia="Arial" w:hAnsi="Arial" w:cs="Arial"/>
        </w:rPr>
        <w:t xml:space="preserve"> 2010), especially participants aged 9-10</w:t>
      </w:r>
      <w:r w:rsidR="00313579" w:rsidRPr="15EF142A">
        <w:rPr>
          <w:rFonts w:ascii="Arial" w:eastAsia="Arial" w:hAnsi="Arial" w:cs="Arial"/>
        </w:rPr>
        <w:t xml:space="preserve"> y</w:t>
      </w:r>
      <w:r w:rsidR="133CD1B6" w:rsidRPr="15EF142A">
        <w:rPr>
          <w:rFonts w:ascii="Arial" w:eastAsia="Arial" w:hAnsi="Arial" w:cs="Arial"/>
        </w:rPr>
        <w:t>ea</w:t>
      </w:r>
      <w:r w:rsidR="00313579" w:rsidRPr="15EF142A">
        <w:rPr>
          <w:rFonts w:ascii="Arial" w:eastAsia="Arial" w:hAnsi="Arial" w:cs="Arial"/>
        </w:rPr>
        <w:t>rs</w:t>
      </w:r>
      <w:r w:rsidRPr="15EF142A">
        <w:rPr>
          <w:rFonts w:ascii="Arial" w:eastAsia="Arial" w:hAnsi="Arial" w:cs="Arial"/>
        </w:rPr>
        <w:t xml:space="preserve">, therefore social desirability bias could be a factor within this research. To </w:t>
      </w:r>
      <w:proofErr w:type="spellStart"/>
      <w:r w:rsidRPr="15EF142A">
        <w:rPr>
          <w:rFonts w:ascii="Arial" w:eastAsia="Arial" w:hAnsi="Arial" w:cs="Arial"/>
        </w:rPr>
        <w:t>minimise</w:t>
      </w:r>
      <w:proofErr w:type="spellEnd"/>
      <w:r w:rsidRPr="15EF142A">
        <w:rPr>
          <w:rFonts w:ascii="Arial" w:eastAsia="Arial" w:hAnsi="Arial" w:cs="Arial"/>
        </w:rPr>
        <w:t xml:space="preserve"> this limitation, participants </w:t>
      </w:r>
      <w:commentRangeStart w:id="6"/>
      <w:r w:rsidRPr="15EF142A">
        <w:rPr>
          <w:rFonts w:ascii="Arial" w:eastAsia="Arial" w:hAnsi="Arial" w:cs="Arial"/>
        </w:rPr>
        <w:t>put</w:t>
      </w:r>
      <w:r w:rsidR="021CCA5F" w:rsidRPr="15EF142A">
        <w:rPr>
          <w:rFonts w:ascii="Arial" w:eastAsia="Arial" w:hAnsi="Arial" w:cs="Arial"/>
        </w:rPr>
        <w:t xml:space="preserve"> up</w:t>
      </w:r>
      <w:r w:rsidRPr="15EF142A">
        <w:rPr>
          <w:rFonts w:ascii="Arial" w:eastAsia="Arial" w:hAnsi="Arial" w:cs="Arial"/>
        </w:rPr>
        <w:t xml:space="preserve"> their hands</w:t>
      </w:r>
      <w:r w:rsidR="09FEA570" w:rsidRPr="15EF142A">
        <w:rPr>
          <w:rFonts w:ascii="Arial" w:eastAsia="Arial" w:hAnsi="Arial" w:cs="Arial"/>
        </w:rPr>
        <w:t xml:space="preserve"> </w:t>
      </w:r>
      <w:commentRangeEnd w:id="6"/>
      <w:r>
        <w:rPr>
          <w:rStyle w:val="CommentReference"/>
        </w:rPr>
        <w:commentReference w:id="6"/>
      </w:r>
      <w:r w:rsidRPr="15EF142A">
        <w:rPr>
          <w:rFonts w:ascii="Arial" w:eastAsia="Arial" w:hAnsi="Arial" w:cs="Arial"/>
        </w:rPr>
        <w:t>which indicated they had a response to the question and all participants got to respond.</w:t>
      </w:r>
    </w:p>
    <w:p w14:paraId="7A23C813" w14:textId="6CABE86B" w:rsidR="41F5C9A1" w:rsidRDefault="2C4738C9" w:rsidP="15EF142A">
      <w:pPr>
        <w:spacing w:line="360" w:lineRule="auto"/>
        <w:rPr>
          <w:rFonts w:ascii="Arial" w:eastAsia="Arial" w:hAnsi="Arial" w:cs="Arial"/>
          <w:color w:val="000000" w:themeColor="text1"/>
        </w:rPr>
      </w:pPr>
      <w:r w:rsidRPr="15EF142A">
        <w:rPr>
          <w:rFonts w:ascii="Arial" w:eastAsia="Arial" w:hAnsi="Arial" w:cs="Arial"/>
        </w:rPr>
        <w:t xml:space="preserve">When designing the appropriate questions for both methods, the questionnaire was adapted to suit the participants and consisted of two questions. The first question used a Likert scale (Likert, 1932) which used smiley faces and numbers to indicate which number correlated with which face. The Likert scale ranged from 1-5 which provided the option for participants to maintain neutrality. This is because the research aimed to discover the general attitude of the participants, and not sway towards a positive or negative feeling or any pre-determined outcomes. The question used for the Likert scale </w:t>
      </w:r>
      <w:r w:rsidRPr="15EF142A">
        <w:rPr>
          <w:rFonts w:ascii="Arial" w:eastAsia="Arial" w:hAnsi="Arial" w:cs="Arial"/>
        </w:rPr>
        <w:lastRenderedPageBreak/>
        <w:t>was a closed question which allowed quantitative data to be collected. Closed questions can be an effective way to collect data, although closed questions provide answers which may fit the participants so that data may not be accurate (Schuman and Presser</w:t>
      </w:r>
      <w:r w:rsidR="717CA2B6" w:rsidRPr="15EF142A">
        <w:rPr>
          <w:rFonts w:ascii="Arial" w:eastAsia="Arial" w:hAnsi="Arial" w:cs="Arial"/>
        </w:rPr>
        <w:t>,</w:t>
      </w:r>
      <w:r w:rsidRPr="15EF142A">
        <w:rPr>
          <w:rFonts w:ascii="Arial" w:eastAsia="Arial" w:hAnsi="Arial" w:cs="Arial"/>
        </w:rPr>
        <w:t xml:space="preserve"> 1979). The second question was adapted into a conceptual diagram and worded to suit the participants and was age appropriate. This strengthened validity as participants could </w:t>
      </w:r>
      <w:r w:rsidR="00313579" w:rsidRPr="15EF142A">
        <w:rPr>
          <w:rFonts w:ascii="Arial" w:eastAsia="Arial" w:hAnsi="Arial" w:cs="Arial"/>
        </w:rPr>
        <w:t xml:space="preserve">better </w:t>
      </w:r>
      <w:r w:rsidRPr="15EF142A">
        <w:rPr>
          <w:rFonts w:ascii="Arial" w:eastAsia="Arial" w:hAnsi="Arial" w:cs="Arial"/>
        </w:rPr>
        <w:t>understand the question and provide a relevant response. The second question was an open question which allowed qualitative data to be collected. Open questions provide richer responses as there is complete freedom to express thoughts and opinions (Schuman and Presser</w:t>
      </w:r>
      <w:r w:rsidR="4C6AF22E" w:rsidRPr="15EF142A">
        <w:rPr>
          <w:rFonts w:ascii="Arial" w:eastAsia="Arial" w:hAnsi="Arial" w:cs="Arial"/>
        </w:rPr>
        <w:t>,</w:t>
      </w:r>
      <w:r w:rsidRPr="15EF142A">
        <w:rPr>
          <w:rFonts w:ascii="Arial" w:eastAsia="Arial" w:hAnsi="Arial" w:cs="Arial"/>
        </w:rPr>
        <w:t xml:space="preserve"> 1979) and there are no limitations or restrictions in responses. The questions for the group interview were devised from the questionnaire responses to gauge a deeper understanding of participants perceptions. Hunger was identified as a popular theme from the questionnaire, particularly regarding the morning, therefore the question “Do you think eating breakfast can affect you in school?” was</w:t>
      </w:r>
      <w:r w:rsidR="5945236F" w:rsidRPr="15EF142A">
        <w:rPr>
          <w:rFonts w:ascii="Arial" w:eastAsia="Arial" w:hAnsi="Arial" w:cs="Arial"/>
        </w:rPr>
        <w:t xml:space="preserve"> introduced as a line of enquiry into the research project.</w:t>
      </w:r>
    </w:p>
    <w:p w14:paraId="29E2A698" w14:textId="5A227F6B" w:rsidR="41F5C9A1" w:rsidRDefault="2C4738C9" w:rsidP="15EF142A">
      <w:pPr>
        <w:spacing w:line="360" w:lineRule="auto"/>
        <w:rPr>
          <w:rFonts w:ascii="Arial" w:eastAsia="Arial" w:hAnsi="Arial" w:cs="Arial"/>
          <w:color w:val="000000" w:themeColor="text1"/>
        </w:rPr>
      </w:pPr>
      <w:r w:rsidRPr="15EF142A">
        <w:rPr>
          <w:rFonts w:ascii="Arial" w:eastAsia="Arial" w:hAnsi="Arial" w:cs="Arial"/>
        </w:rPr>
        <w:t xml:space="preserve">The participants used for this research were from one year 5 class in school x. The number of participants who provided parental consent and assent was seven, therefore all figures derived from the study come from these seven participants. The study was constrained due to the small number of respondents with parental consent. Using a small sample size from one class can hinder the results of this research as this provides limited </w:t>
      </w:r>
      <w:proofErr w:type="spellStart"/>
      <w:r w:rsidRPr="15EF142A">
        <w:rPr>
          <w:rFonts w:ascii="Arial" w:eastAsia="Arial" w:hAnsi="Arial" w:cs="Arial"/>
        </w:rPr>
        <w:t>generalisability</w:t>
      </w:r>
      <w:proofErr w:type="spellEnd"/>
      <w:r w:rsidRPr="15EF142A">
        <w:rPr>
          <w:rFonts w:ascii="Arial" w:eastAsia="Arial" w:hAnsi="Arial" w:cs="Arial"/>
        </w:rPr>
        <w:t xml:space="preserve"> (Crossley </w:t>
      </w:r>
      <w:r w:rsidRPr="15EF142A">
        <w:rPr>
          <w:rFonts w:ascii="Arial" w:eastAsia="Arial" w:hAnsi="Arial" w:cs="Arial"/>
          <w:i/>
          <w:iCs/>
        </w:rPr>
        <w:t>et al.</w:t>
      </w:r>
      <w:r w:rsidR="200EE772" w:rsidRPr="15EF142A">
        <w:rPr>
          <w:rFonts w:ascii="Arial" w:eastAsia="Arial" w:hAnsi="Arial" w:cs="Arial"/>
          <w:i/>
          <w:iCs/>
        </w:rPr>
        <w:t>,</w:t>
      </w:r>
      <w:r w:rsidRPr="15EF142A">
        <w:rPr>
          <w:rFonts w:ascii="Arial" w:eastAsia="Arial" w:hAnsi="Arial" w:cs="Arial"/>
        </w:rPr>
        <w:t xml:space="preserve"> 2002) and the results may not be transferable to another class or participants who differ in age. Also, as this research is based on individual opinions and feelings, these results may not transfer to another individual as feelings and opinions can differ. All participants completed the questionnaire and participated in the group interview. However, if this research had numerous participants, the participants would have been selected using a stratified random sample (Flick</w:t>
      </w:r>
      <w:r w:rsidR="2BDC42E8" w:rsidRPr="15EF142A">
        <w:rPr>
          <w:rFonts w:ascii="Arial" w:eastAsia="Arial" w:hAnsi="Arial" w:cs="Arial"/>
        </w:rPr>
        <w:t>,</w:t>
      </w:r>
      <w:r w:rsidRPr="15EF142A">
        <w:rPr>
          <w:rFonts w:ascii="Arial" w:eastAsia="Arial" w:hAnsi="Arial" w:cs="Arial"/>
        </w:rPr>
        <w:t xml:space="preserve"> 2014) to ensure the participants were randomly selected and there was an equal number of male and females.</w:t>
      </w:r>
    </w:p>
    <w:p w14:paraId="122A752C" w14:textId="7254E684" w:rsidR="41F5C9A1" w:rsidRDefault="2C4738C9" w:rsidP="15EF142A">
      <w:pPr>
        <w:spacing w:line="360" w:lineRule="auto"/>
        <w:rPr>
          <w:rFonts w:ascii="Arial" w:eastAsia="Arial" w:hAnsi="Arial" w:cs="Arial"/>
          <w:color w:val="000000" w:themeColor="text1"/>
        </w:rPr>
      </w:pPr>
      <w:r w:rsidRPr="15EF142A">
        <w:rPr>
          <w:rFonts w:ascii="Arial" w:eastAsia="Arial" w:hAnsi="Arial" w:cs="Arial"/>
        </w:rPr>
        <w:t xml:space="preserve">An information letter about the research was sent home to parents and guardians to inform them of the study. The information letter contained the study's topic, the research methods selected and how the data collected would be securely stored and disposed of </w:t>
      </w:r>
      <w:r w:rsidRPr="15EF142A">
        <w:rPr>
          <w:rFonts w:ascii="Arial" w:eastAsia="Arial" w:hAnsi="Arial" w:cs="Arial"/>
        </w:rPr>
        <w:lastRenderedPageBreak/>
        <w:t>once used. The letter also informed parents and guardians how the research would be completely confidential and the only person to know names would be the researcher. Parents and guardians were instructed to provide their child's name, signature and date if permission was granted to participate in the research. Participants provided verbal assent at the beginning of the questionnaire and interview and were aware they could withdraw from the research at any given point. BERA (2018) guidelines were adhered to ensure the research remained confidential.</w:t>
      </w:r>
    </w:p>
    <w:p w14:paraId="0E350430" w14:textId="2092FD74" w:rsidR="1A02E99D" w:rsidRDefault="1A02E99D" w:rsidP="15EF142A">
      <w:pPr>
        <w:spacing w:line="360" w:lineRule="auto"/>
        <w:rPr>
          <w:rFonts w:ascii="Arial" w:eastAsia="Arial" w:hAnsi="Arial" w:cs="Arial"/>
          <w:b/>
          <w:bCs/>
          <w:color w:val="000000" w:themeColor="text1"/>
        </w:rPr>
      </w:pPr>
      <w:r>
        <w:br/>
      </w:r>
    </w:p>
    <w:p w14:paraId="5C8063C0" w14:textId="05CBADCF" w:rsidR="1A02E99D" w:rsidRDefault="6BB677A7" w:rsidP="15EF142A">
      <w:pPr>
        <w:spacing w:line="360" w:lineRule="auto"/>
        <w:rPr>
          <w:rFonts w:ascii="Arial" w:eastAsia="Arial" w:hAnsi="Arial" w:cs="Arial"/>
          <w:b/>
          <w:bCs/>
          <w:color w:val="000000" w:themeColor="text1"/>
        </w:rPr>
      </w:pPr>
      <w:r w:rsidRPr="15EF142A">
        <w:rPr>
          <w:rFonts w:ascii="Arial" w:eastAsia="Arial" w:hAnsi="Arial" w:cs="Arial"/>
          <w:b/>
          <w:bCs/>
          <w:u w:val="single"/>
        </w:rPr>
        <w:t>Data Presentation and Analysis Method</w:t>
      </w:r>
    </w:p>
    <w:p w14:paraId="4AD41B5E" w14:textId="0EE5DDCB" w:rsidR="1A02E99D" w:rsidRDefault="6BB677A7" w:rsidP="15EF142A">
      <w:pPr>
        <w:spacing w:line="360" w:lineRule="auto"/>
        <w:rPr>
          <w:rFonts w:ascii="Arial" w:eastAsia="Arial" w:hAnsi="Arial" w:cs="Arial"/>
          <w:color w:val="000000" w:themeColor="text1"/>
        </w:rPr>
      </w:pPr>
      <w:r w:rsidRPr="15EF142A">
        <w:rPr>
          <w:rFonts w:ascii="Arial" w:eastAsia="Arial" w:hAnsi="Arial" w:cs="Arial"/>
        </w:rPr>
        <w:t xml:space="preserve">Data analysis should meet the aims of the research (Cohen et al., 2011). This research aimed to generate themes regarding students’ attitude towards school on a Monday and provide a summary of the data. Descriptive analysis will be used to create typical value of data from the questionnaire, and graphs regarding the answers from the group interview. </w:t>
      </w:r>
    </w:p>
    <w:p w14:paraId="29A515B1" w14:textId="1F990993" w:rsidR="1A02E99D" w:rsidRDefault="6BB677A7" w:rsidP="15EF142A">
      <w:pPr>
        <w:spacing w:line="360" w:lineRule="auto"/>
        <w:rPr>
          <w:rFonts w:ascii="Arial" w:eastAsia="Arial" w:hAnsi="Arial" w:cs="Arial"/>
          <w:color w:val="000000" w:themeColor="text1"/>
        </w:rPr>
      </w:pPr>
      <w:r w:rsidRPr="15EF142A">
        <w:rPr>
          <w:rFonts w:ascii="Arial" w:eastAsia="Arial" w:hAnsi="Arial" w:cs="Arial"/>
        </w:rPr>
        <w:t xml:space="preserve">Thematic analysis is a research method used to record qualitative data which identifies patterns to </w:t>
      </w:r>
      <w:proofErr w:type="spellStart"/>
      <w:r w:rsidRPr="15EF142A">
        <w:rPr>
          <w:rFonts w:ascii="Arial" w:eastAsia="Arial" w:hAnsi="Arial" w:cs="Arial"/>
        </w:rPr>
        <w:t>synthesise</w:t>
      </w:r>
      <w:proofErr w:type="spellEnd"/>
      <w:r w:rsidRPr="15EF142A">
        <w:rPr>
          <w:rFonts w:ascii="Arial" w:eastAsia="Arial" w:hAnsi="Arial" w:cs="Arial"/>
        </w:rPr>
        <w:t xml:space="preserve"> themes (Clarke and Braun</w:t>
      </w:r>
      <w:r w:rsidR="5856B3EB" w:rsidRPr="15EF142A">
        <w:rPr>
          <w:rFonts w:ascii="Arial" w:eastAsia="Arial" w:hAnsi="Arial" w:cs="Arial"/>
        </w:rPr>
        <w:t>,</w:t>
      </w:r>
      <w:r w:rsidRPr="15EF142A">
        <w:rPr>
          <w:rFonts w:ascii="Arial" w:eastAsia="Arial" w:hAnsi="Arial" w:cs="Arial"/>
        </w:rPr>
        <w:t xml:space="preserve"> 2017) and will be used within this research. Thematic analysis is flexible, versatile and can be used across a different range of research topics and critically examine phenomena from different angles (Clarke and Braun</w:t>
      </w:r>
      <w:r w:rsidR="3FCE671A" w:rsidRPr="15EF142A">
        <w:rPr>
          <w:rFonts w:ascii="Arial" w:eastAsia="Arial" w:hAnsi="Arial" w:cs="Arial"/>
        </w:rPr>
        <w:t>,</w:t>
      </w:r>
      <w:r w:rsidRPr="15EF142A">
        <w:rPr>
          <w:rFonts w:ascii="Arial" w:eastAsia="Arial" w:hAnsi="Arial" w:cs="Arial"/>
        </w:rPr>
        <w:t xml:space="preserve"> 2016). Although, having multiple angles on research could be a hindrance as there could be too many interpretations to consider. Interpretations of research can be subjective as different interpretations can be biased (Ahmed</w:t>
      </w:r>
      <w:r w:rsidR="14E33A2F" w:rsidRPr="15EF142A">
        <w:rPr>
          <w:rFonts w:ascii="Arial" w:eastAsia="Arial" w:hAnsi="Arial" w:cs="Arial"/>
        </w:rPr>
        <w:t>,</w:t>
      </w:r>
      <w:r w:rsidRPr="15EF142A">
        <w:rPr>
          <w:rFonts w:ascii="Arial" w:eastAsia="Arial" w:hAnsi="Arial" w:cs="Arial"/>
        </w:rPr>
        <w:t xml:space="preserve"> 2024) and the researcher's interpretation can change over time which could impact the study, so it is important for the researcher to reflect on their position within the study to consider biasedness (Berger</w:t>
      </w:r>
      <w:r w:rsidR="4AA5C7B5" w:rsidRPr="15EF142A">
        <w:rPr>
          <w:rFonts w:ascii="Arial" w:eastAsia="Arial" w:hAnsi="Arial" w:cs="Arial"/>
        </w:rPr>
        <w:t>,</w:t>
      </w:r>
      <w:r w:rsidRPr="15EF142A">
        <w:rPr>
          <w:rFonts w:ascii="Arial" w:eastAsia="Arial" w:hAnsi="Arial" w:cs="Arial"/>
        </w:rPr>
        <w:t xml:space="preserve"> 2015). Reliability in qualitative research can influence future research and contribute to cumulative knowledge (Ahmed</w:t>
      </w:r>
      <w:r w:rsidR="693715C6" w:rsidRPr="15EF142A">
        <w:rPr>
          <w:rFonts w:ascii="Arial" w:eastAsia="Arial" w:hAnsi="Arial" w:cs="Arial"/>
        </w:rPr>
        <w:t>,</w:t>
      </w:r>
      <w:r w:rsidRPr="15EF142A">
        <w:rPr>
          <w:rFonts w:ascii="Arial" w:eastAsia="Arial" w:hAnsi="Arial" w:cs="Arial"/>
        </w:rPr>
        <w:t xml:space="preserve"> 2024).</w:t>
      </w:r>
    </w:p>
    <w:p w14:paraId="41138951" w14:textId="0CDB0774" w:rsidR="1A02E99D" w:rsidRDefault="6BB677A7" w:rsidP="15EF142A">
      <w:pPr>
        <w:spacing w:line="360" w:lineRule="auto"/>
        <w:rPr>
          <w:rFonts w:ascii="Arial" w:eastAsia="Arial" w:hAnsi="Arial" w:cs="Arial"/>
          <w:color w:val="000000" w:themeColor="text1"/>
        </w:rPr>
      </w:pPr>
      <w:r w:rsidRPr="15EF142A">
        <w:rPr>
          <w:rFonts w:ascii="Arial" w:eastAsia="Arial" w:hAnsi="Arial" w:cs="Arial"/>
        </w:rPr>
        <w:t xml:space="preserve">The data recorded from the questionnaire was read, coded and put into themes. </w:t>
      </w:r>
      <w:r w:rsidRPr="15EF142A">
        <w:rPr>
          <w:rFonts w:ascii="Arial" w:eastAsia="Arial" w:hAnsi="Arial" w:cs="Arial"/>
          <w:lang w:val="en-GB"/>
        </w:rPr>
        <w:t>Coding is when the data collected is grouped into themes to identify trends (Castleberry and Nolen</w:t>
      </w:r>
      <w:r w:rsidR="7FF6A7EF" w:rsidRPr="15EF142A">
        <w:rPr>
          <w:rFonts w:ascii="Arial" w:eastAsia="Arial" w:hAnsi="Arial" w:cs="Arial"/>
          <w:lang w:val="en-GB"/>
        </w:rPr>
        <w:t>,</w:t>
      </w:r>
      <w:r w:rsidRPr="15EF142A">
        <w:rPr>
          <w:rFonts w:ascii="Arial" w:eastAsia="Arial" w:hAnsi="Arial" w:cs="Arial"/>
          <w:lang w:val="en-GB"/>
        </w:rPr>
        <w:t xml:space="preserve"> 2018).</w:t>
      </w:r>
      <w:r w:rsidRPr="15EF142A">
        <w:rPr>
          <w:rFonts w:ascii="Arial" w:eastAsia="Arial" w:hAnsi="Arial" w:cs="Arial"/>
        </w:rPr>
        <w:t xml:space="preserve"> Then, the themes gathered were generated into questions for the group </w:t>
      </w:r>
      <w:r w:rsidRPr="15EF142A">
        <w:rPr>
          <w:rFonts w:ascii="Arial" w:eastAsia="Arial" w:hAnsi="Arial" w:cs="Arial"/>
        </w:rPr>
        <w:lastRenderedPageBreak/>
        <w:t xml:space="preserve">interview to explore the themes in greater depth. Descriptive analysis was used to interpret the results following the group interview. The methods chosen to </w:t>
      </w:r>
      <w:proofErr w:type="spellStart"/>
      <w:r w:rsidRPr="15EF142A">
        <w:rPr>
          <w:rFonts w:ascii="Arial" w:eastAsia="Arial" w:hAnsi="Arial" w:cs="Arial"/>
        </w:rPr>
        <w:t>analyse</w:t>
      </w:r>
      <w:proofErr w:type="spellEnd"/>
      <w:r w:rsidRPr="15EF142A">
        <w:rPr>
          <w:rFonts w:ascii="Arial" w:eastAsia="Arial" w:hAnsi="Arial" w:cs="Arial"/>
        </w:rPr>
        <w:t xml:space="preserve"> the data </w:t>
      </w:r>
      <w:proofErr w:type="gramStart"/>
      <w:r w:rsidRPr="15EF142A">
        <w:rPr>
          <w:rFonts w:ascii="Arial" w:eastAsia="Arial" w:hAnsi="Arial" w:cs="Arial"/>
        </w:rPr>
        <w:t>is</w:t>
      </w:r>
      <w:proofErr w:type="gramEnd"/>
      <w:r w:rsidRPr="15EF142A">
        <w:rPr>
          <w:rFonts w:ascii="Arial" w:eastAsia="Arial" w:hAnsi="Arial" w:cs="Arial"/>
        </w:rPr>
        <w:t xml:space="preserve"> most suited to explore the topic.</w:t>
      </w:r>
    </w:p>
    <w:p w14:paraId="14726BA0" w14:textId="0D68B4E8" w:rsidR="1A02E99D" w:rsidRDefault="1A02E99D" w:rsidP="15EF142A">
      <w:pPr>
        <w:spacing w:line="360" w:lineRule="auto"/>
        <w:rPr>
          <w:rFonts w:ascii="Arial" w:eastAsia="Arial" w:hAnsi="Arial" w:cs="Arial"/>
          <w:b/>
          <w:bCs/>
          <w:color w:val="000000" w:themeColor="text1"/>
        </w:rPr>
      </w:pPr>
    </w:p>
    <w:p w14:paraId="07A06459" w14:textId="092157CD" w:rsidR="15EF142A" w:rsidRDefault="15EF142A" w:rsidP="15EF142A">
      <w:pPr>
        <w:spacing w:line="360" w:lineRule="auto"/>
        <w:rPr>
          <w:rFonts w:ascii="Arial" w:eastAsia="Arial" w:hAnsi="Arial" w:cs="Arial"/>
          <w:b/>
          <w:bCs/>
        </w:rPr>
      </w:pPr>
    </w:p>
    <w:p w14:paraId="3FA0EE02" w14:textId="6DFC80DD" w:rsidR="1A02E99D" w:rsidRDefault="1A02E99D" w:rsidP="15EF142A">
      <w:pPr>
        <w:spacing w:line="360" w:lineRule="auto"/>
        <w:rPr>
          <w:rFonts w:ascii="Arial" w:eastAsia="Arial" w:hAnsi="Arial" w:cs="Arial"/>
          <w:b/>
          <w:bCs/>
          <w:color w:val="000000" w:themeColor="text1"/>
        </w:rPr>
      </w:pPr>
      <w:r w:rsidRPr="15EF142A">
        <w:rPr>
          <w:rFonts w:ascii="Arial" w:eastAsia="Arial" w:hAnsi="Arial" w:cs="Arial"/>
          <w:b/>
          <w:bCs/>
          <w:u w:val="single"/>
        </w:rPr>
        <w:t>Results and Discussion</w:t>
      </w:r>
    </w:p>
    <w:p w14:paraId="34F80043" w14:textId="05290C9A"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t>The questionnaire asked participants what factors can affect how they feel about school on a Monday. The general themes that emerged from the questionnaire include the weekend, seeing friends, anxiety about the upcoming week, weather, hunger and self-confidence. Then, questions for the interview were devised based</w:t>
      </w:r>
      <w:r w:rsidR="32A29A23" w:rsidRPr="15EF142A">
        <w:rPr>
          <w:rFonts w:ascii="Arial" w:eastAsia="Arial" w:hAnsi="Arial" w:cs="Arial"/>
        </w:rPr>
        <w:t xml:space="preserve"> </w:t>
      </w:r>
      <w:proofErr w:type="gramStart"/>
      <w:r w:rsidR="32A29A23" w:rsidRPr="15EF142A">
        <w:rPr>
          <w:rFonts w:ascii="Arial" w:eastAsia="Arial" w:hAnsi="Arial" w:cs="Arial"/>
        </w:rPr>
        <w:t>from</w:t>
      </w:r>
      <w:proofErr w:type="gramEnd"/>
      <w:r w:rsidRPr="15EF142A">
        <w:rPr>
          <w:rFonts w:ascii="Arial" w:eastAsia="Arial" w:hAnsi="Arial" w:cs="Arial"/>
        </w:rPr>
        <w:t xml:space="preserve"> the themes which emerged from the questionnaire. Although the weather</w:t>
      </w:r>
      <w:r w:rsidR="6C4FBBEE" w:rsidRPr="15EF142A">
        <w:rPr>
          <w:rFonts w:ascii="Arial" w:eastAsia="Arial" w:hAnsi="Arial" w:cs="Arial"/>
        </w:rPr>
        <w:t xml:space="preserve"> was not</w:t>
      </w:r>
      <w:commentRangeStart w:id="7"/>
      <w:r w:rsidRPr="15EF142A">
        <w:rPr>
          <w:rFonts w:ascii="Arial" w:eastAsia="Arial" w:hAnsi="Arial" w:cs="Arial"/>
        </w:rPr>
        <w:t xml:space="preserve"> </w:t>
      </w:r>
      <w:commentRangeEnd w:id="7"/>
      <w:r>
        <w:rPr>
          <w:rStyle w:val="CommentReference"/>
        </w:rPr>
        <w:commentReference w:id="7"/>
      </w:r>
      <w:r w:rsidRPr="15EF142A">
        <w:rPr>
          <w:rFonts w:ascii="Arial" w:eastAsia="Arial" w:hAnsi="Arial" w:cs="Arial"/>
        </w:rPr>
        <w:t>explored in the literature, it emerged as an important theme, so a question was created for the interview.</w:t>
      </w:r>
    </w:p>
    <w:p w14:paraId="6CA4BA94" w14:textId="4DCDB907" w:rsidR="02E60D76" w:rsidRDefault="02E60D76" w:rsidP="15EF142A">
      <w:pPr>
        <w:spacing w:line="360" w:lineRule="auto"/>
        <w:rPr>
          <w:rFonts w:ascii="Arial" w:eastAsia="Arial" w:hAnsi="Arial" w:cs="Arial"/>
          <w:color w:val="000000" w:themeColor="text1"/>
        </w:rPr>
      </w:pPr>
    </w:p>
    <w:p w14:paraId="39EE05E9" w14:textId="395237F7"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t xml:space="preserve">After descriptive analysis, the quantitative data has been sorted into central value. The Likert scale ranged from 1 (very bad) to 5 (very good) with the median as 3. The results from the Likert scale show the most frequent score was 3, the average score was 3. The findings signify the participants do not have a specific strong positive or negative feeling about going to school on a Monday. This could indicate the participants are not significantly affected by Monday compared to other school days. The neutral score could also indicate a balance of positive and negative feelings which offset each other, providing a neutral score. </w:t>
      </w:r>
    </w:p>
    <w:p w14:paraId="7746F45F" w14:textId="414300E8" w:rsidR="02E60D76" w:rsidRDefault="02E60D76" w:rsidP="15EF142A">
      <w:pPr>
        <w:spacing w:line="360" w:lineRule="auto"/>
        <w:rPr>
          <w:rFonts w:ascii="Arial" w:eastAsia="Arial" w:hAnsi="Arial" w:cs="Arial"/>
          <w:color w:val="000000" w:themeColor="text1"/>
        </w:rPr>
      </w:pPr>
    </w:p>
    <w:p w14:paraId="1DD013D8" w14:textId="577A383A"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t>A results table was made from findings from the group interview and converted into graphs to display the data. Results from Figure 1 show 57.14% do not look forward to going to school on a Monday, 14.29% do look forward to going to school and 28.57% sometimes look forward to going to school.</w:t>
      </w:r>
    </w:p>
    <w:p w14:paraId="10CE9106" w14:textId="5CB11218" w:rsidR="1A02E99D" w:rsidRDefault="1A02E99D" w:rsidP="15EF142A">
      <w:pPr>
        <w:spacing w:after="0" w:line="360" w:lineRule="auto"/>
        <w:rPr>
          <w:rFonts w:ascii="Arial" w:eastAsia="Arial" w:hAnsi="Arial" w:cs="Arial"/>
          <w:color w:val="000000" w:themeColor="text1"/>
        </w:rPr>
      </w:pPr>
      <w:r>
        <w:rPr>
          <w:noProof/>
        </w:rPr>
        <w:lastRenderedPageBreak/>
        <w:drawing>
          <wp:inline distT="0" distB="0" distL="0" distR="0" wp14:anchorId="3208CD16" wp14:editId="55676F62">
            <wp:extent cx="3676650" cy="2209800"/>
            <wp:effectExtent l="0" t="0" r="0" b="0"/>
            <wp:docPr id="1875775446" name="Picture 1875775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5775446"/>
                    <pic:cNvPicPr/>
                  </pic:nvPicPr>
                  <pic:blipFill>
                    <a:blip r:embed="rId10">
                      <a:extLst>
                        <a:ext uri="{28A0092B-C50C-407E-A947-70E740481C1C}">
                          <a14:useLocalDpi xmlns:a14="http://schemas.microsoft.com/office/drawing/2010/main" val="0"/>
                        </a:ext>
                      </a:extLst>
                    </a:blip>
                    <a:stretch>
                      <a:fillRect/>
                    </a:stretch>
                  </pic:blipFill>
                  <pic:spPr>
                    <a:xfrm>
                      <a:off x="0" y="0"/>
                      <a:ext cx="3676650" cy="2209800"/>
                    </a:xfrm>
                    <a:prstGeom prst="rect">
                      <a:avLst/>
                    </a:prstGeom>
                  </pic:spPr>
                </pic:pic>
              </a:graphicData>
            </a:graphic>
          </wp:inline>
        </w:drawing>
      </w:r>
    </w:p>
    <w:p w14:paraId="65D2D65E" w14:textId="37923C6B"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sz w:val="20"/>
          <w:szCs w:val="20"/>
        </w:rPr>
        <w:t>Figure 1. Question 1.</w:t>
      </w:r>
      <w:r w:rsidRPr="15EF142A">
        <w:rPr>
          <w:rFonts w:ascii="Arial" w:eastAsia="Arial" w:hAnsi="Arial" w:cs="Arial"/>
        </w:rPr>
        <w:t xml:space="preserve"> </w:t>
      </w:r>
    </w:p>
    <w:p w14:paraId="46085A82" w14:textId="7B5F5214"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 </w:t>
      </w:r>
    </w:p>
    <w:p w14:paraId="5915D83F" w14:textId="112FF519"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t xml:space="preserve">Participants discussed and explained their feelings which included events across the weekend or the morning before school can affect mood and feelings. Participant A said, “I look forward to seeing my friends and teacher and telling them about my weekend”. This finding is supported by the Welsh Government (2023) which states the student-teacher interaction can affect their attitude towards school. Interestingly, Participant D mentioned receiving rewards from parents for good school attendance. This indicates extrinsic motivation can affect how children feel towards school on a Monday morning. A study by Ryan and Deci (2000) </w:t>
      </w:r>
      <w:proofErr w:type="gramStart"/>
      <w:r w:rsidRPr="15EF142A">
        <w:rPr>
          <w:rFonts w:ascii="Arial" w:eastAsia="Arial" w:hAnsi="Arial" w:cs="Arial"/>
        </w:rPr>
        <w:t>show</w:t>
      </w:r>
      <w:proofErr w:type="gramEnd"/>
      <w:r w:rsidRPr="15EF142A">
        <w:rPr>
          <w:rFonts w:ascii="Arial" w:eastAsia="Arial" w:hAnsi="Arial" w:cs="Arial"/>
        </w:rPr>
        <w:t xml:space="preserve"> that extrinsic motivators are most effective when </w:t>
      </w:r>
      <w:r w:rsidR="2C9940B4" w:rsidRPr="15EF142A">
        <w:rPr>
          <w:rFonts w:ascii="Arial" w:eastAsia="Arial" w:hAnsi="Arial" w:cs="Arial"/>
        </w:rPr>
        <w:t xml:space="preserve">they are </w:t>
      </w:r>
      <w:r w:rsidRPr="15EF142A">
        <w:rPr>
          <w:rFonts w:ascii="Arial" w:eastAsia="Arial" w:hAnsi="Arial" w:cs="Arial"/>
        </w:rPr>
        <w:t xml:space="preserve">used by parents to support their children. However, Gottfried (1985) discovered extrinsic motivation works immediately, but only in the short term. </w:t>
      </w:r>
    </w:p>
    <w:p w14:paraId="65109CF9" w14:textId="0136F15D" w:rsidR="02E60D76" w:rsidRDefault="02E60D76" w:rsidP="15EF142A">
      <w:pPr>
        <w:spacing w:line="360" w:lineRule="auto"/>
        <w:rPr>
          <w:rFonts w:ascii="Arial" w:eastAsia="Arial" w:hAnsi="Arial" w:cs="Arial"/>
          <w:color w:val="000000" w:themeColor="text1"/>
        </w:rPr>
      </w:pPr>
    </w:p>
    <w:p w14:paraId="222B8165" w14:textId="7BFEA19F" w:rsidR="02E60D76" w:rsidRDefault="02E60D76" w:rsidP="15EF142A">
      <w:pPr>
        <w:spacing w:line="360" w:lineRule="auto"/>
        <w:rPr>
          <w:rFonts w:ascii="Arial" w:eastAsia="Arial" w:hAnsi="Arial" w:cs="Arial"/>
          <w:color w:val="000000" w:themeColor="text1"/>
        </w:rPr>
      </w:pPr>
    </w:p>
    <w:p w14:paraId="6886CB42" w14:textId="12106E3F"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t>Figure 2 shows 14.29% of participants think the weekend does not impact how they feel on a Monday morning. Whereas 85.71% believe the weekend does have an impact on how they feel on a Monday morning.</w:t>
      </w:r>
    </w:p>
    <w:p w14:paraId="40E9C5B1" w14:textId="2935E053" w:rsidR="1A02E99D" w:rsidRDefault="1A02E99D" w:rsidP="15EF142A">
      <w:pPr>
        <w:spacing w:after="0" w:line="360" w:lineRule="auto"/>
        <w:rPr>
          <w:rFonts w:ascii="Arial" w:eastAsia="Arial" w:hAnsi="Arial" w:cs="Arial"/>
          <w:color w:val="000000" w:themeColor="text1"/>
        </w:rPr>
      </w:pPr>
      <w:r>
        <w:rPr>
          <w:noProof/>
        </w:rPr>
        <w:lastRenderedPageBreak/>
        <w:drawing>
          <wp:inline distT="0" distB="0" distL="0" distR="0" wp14:anchorId="43E1F8F9" wp14:editId="05DBB195">
            <wp:extent cx="3857625" cy="2324100"/>
            <wp:effectExtent l="0" t="0" r="0" b="0"/>
            <wp:docPr id="933476449" name="Picture 933476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3476449"/>
                    <pic:cNvPicPr/>
                  </pic:nvPicPr>
                  <pic:blipFill>
                    <a:blip r:embed="rId11">
                      <a:extLst>
                        <a:ext uri="{28A0092B-C50C-407E-A947-70E740481C1C}">
                          <a14:useLocalDpi xmlns:a14="http://schemas.microsoft.com/office/drawing/2010/main" val="0"/>
                        </a:ext>
                      </a:extLst>
                    </a:blip>
                    <a:stretch>
                      <a:fillRect/>
                    </a:stretch>
                  </pic:blipFill>
                  <pic:spPr>
                    <a:xfrm>
                      <a:off x="0" y="0"/>
                      <a:ext cx="3857625" cy="2324100"/>
                    </a:xfrm>
                    <a:prstGeom prst="rect">
                      <a:avLst/>
                    </a:prstGeom>
                  </pic:spPr>
                </pic:pic>
              </a:graphicData>
            </a:graphic>
          </wp:inline>
        </w:drawing>
      </w:r>
    </w:p>
    <w:p w14:paraId="7CABD82D" w14:textId="28E7D6CD" w:rsidR="1A02E99D" w:rsidRDefault="1A02E99D" w:rsidP="15EF142A">
      <w:pPr>
        <w:spacing w:after="0" w:line="360" w:lineRule="auto"/>
        <w:rPr>
          <w:rFonts w:ascii="Arial" w:eastAsia="Arial" w:hAnsi="Arial" w:cs="Arial"/>
          <w:color w:val="000000" w:themeColor="text1"/>
          <w:sz w:val="20"/>
          <w:szCs w:val="20"/>
        </w:rPr>
      </w:pPr>
      <w:r w:rsidRPr="15EF142A">
        <w:rPr>
          <w:rFonts w:ascii="Arial" w:eastAsia="Arial" w:hAnsi="Arial" w:cs="Arial"/>
          <w:sz w:val="20"/>
          <w:szCs w:val="20"/>
        </w:rPr>
        <w:t>Figure 2. Question 2.</w:t>
      </w:r>
    </w:p>
    <w:p w14:paraId="708F5CCA" w14:textId="78BAEF25"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 </w:t>
      </w:r>
    </w:p>
    <w:p w14:paraId="3212BE3B" w14:textId="6903F83A"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 </w:t>
      </w:r>
    </w:p>
    <w:p w14:paraId="184C65EF" w14:textId="0F8F39B6"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This question brought up some interesting comments and ideas from the participants. The dynamics of a weekend differ for every individual, which could have positive and negative impacts. Participant H stated “On the weekend, I have no routine, I go to bed when I want and wake up when I want. I get to play on my computer with my friends. Then, I </w:t>
      </w:r>
      <w:proofErr w:type="gramStart"/>
      <w:r w:rsidRPr="15EF142A">
        <w:rPr>
          <w:rFonts w:ascii="Arial" w:eastAsia="Arial" w:hAnsi="Arial" w:cs="Arial"/>
        </w:rPr>
        <w:t>have to</w:t>
      </w:r>
      <w:proofErr w:type="gramEnd"/>
      <w:r w:rsidRPr="15EF142A">
        <w:rPr>
          <w:rFonts w:ascii="Arial" w:eastAsia="Arial" w:hAnsi="Arial" w:cs="Arial"/>
        </w:rPr>
        <w:t xml:space="preserve"> wake up early for school which makes me tired.” This echo</w:t>
      </w:r>
      <w:r w:rsidR="008B240A" w:rsidRPr="15EF142A">
        <w:rPr>
          <w:rFonts w:ascii="Arial" w:eastAsia="Arial" w:hAnsi="Arial" w:cs="Arial"/>
        </w:rPr>
        <w:t>e</w:t>
      </w:r>
      <w:r w:rsidRPr="15EF142A">
        <w:rPr>
          <w:rFonts w:ascii="Arial" w:eastAsia="Arial" w:hAnsi="Arial" w:cs="Arial"/>
        </w:rPr>
        <w:t xml:space="preserve">s studies by Buxton et al., (2015) and Cain and </w:t>
      </w:r>
      <w:proofErr w:type="spellStart"/>
      <w:r w:rsidRPr="15EF142A">
        <w:rPr>
          <w:rFonts w:ascii="Arial" w:eastAsia="Arial" w:hAnsi="Arial" w:cs="Arial"/>
        </w:rPr>
        <w:t>Gradisar</w:t>
      </w:r>
      <w:proofErr w:type="spellEnd"/>
      <w:r w:rsidRPr="15EF142A">
        <w:rPr>
          <w:rFonts w:ascii="Arial" w:eastAsia="Arial" w:hAnsi="Arial" w:cs="Arial"/>
        </w:rPr>
        <w:t xml:space="preserve"> (2010) which highlighted the negative effects of electronic devices on sleep in children. Participant G declared “If I have fun on the weekend, I don’t want to go to school on Monday morning.” This statement clearly denotes the participant sees a correlation between the weekend and how they feel about going to school on a Monday morning. Participant B added “Because I go to bed later on the weekend, when it gets to Sunday I can’t go to sleep early”. This indicates a lack of routine over the weekend which could develop unhealthy sleep patterns which could negatively impact the general well-being of the students (Owens, Spirito, McGuinn and Nobile</w:t>
      </w:r>
      <w:r w:rsidR="46697B2B" w:rsidRPr="15EF142A">
        <w:rPr>
          <w:rFonts w:ascii="Arial" w:eastAsia="Arial" w:hAnsi="Arial" w:cs="Arial"/>
        </w:rPr>
        <w:t>,</w:t>
      </w:r>
      <w:r w:rsidRPr="15EF142A">
        <w:rPr>
          <w:rFonts w:ascii="Arial" w:eastAsia="Arial" w:hAnsi="Arial" w:cs="Arial"/>
        </w:rPr>
        <w:t xml:space="preserve"> 2000).</w:t>
      </w:r>
    </w:p>
    <w:p w14:paraId="404F5D22" w14:textId="344212EB" w:rsidR="02E60D76" w:rsidRDefault="02E60D76" w:rsidP="15EF142A">
      <w:pPr>
        <w:spacing w:after="0" w:line="360" w:lineRule="auto"/>
        <w:rPr>
          <w:rFonts w:ascii="Arial" w:eastAsia="Arial" w:hAnsi="Arial" w:cs="Arial"/>
          <w:color w:val="000000" w:themeColor="text1"/>
        </w:rPr>
      </w:pPr>
    </w:p>
    <w:p w14:paraId="37BC69F2" w14:textId="6369F4C8" w:rsidR="02E60D76" w:rsidRDefault="02E60D76" w:rsidP="15EF142A">
      <w:pPr>
        <w:spacing w:after="0" w:line="360" w:lineRule="auto"/>
        <w:rPr>
          <w:rFonts w:ascii="Arial" w:eastAsia="Arial" w:hAnsi="Arial" w:cs="Arial"/>
          <w:color w:val="000000" w:themeColor="text1"/>
        </w:rPr>
      </w:pPr>
    </w:p>
    <w:p w14:paraId="4CC1AFCE" w14:textId="13CED7F2" w:rsidR="02E60D76" w:rsidRDefault="02E60D76" w:rsidP="15EF142A">
      <w:pPr>
        <w:spacing w:after="0" w:line="360" w:lineRule="auto"/>
        <w:rPr>
          <w:rFonts w:ascii="Arial" w:eastAsia="Arial" w:hAnsi="Arial" w:cs="Arial"/>
          <w:color w:val="000000" w:themeColor="text1"/>
        </w:rPr>
      </w:pPr>
    </w:p>
    <w:p w14:paraId="190EBEEB" w14:textId="2693488C"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Figure 3 displays 57.14% of participants sometimes feel ready to learn and 42.86% do not feel ready to learn on a Monday. </w:t>
      </w:r>
    </w:p>
    <w:p w14:paraId="198A2C07" w14:textId="7BA79CE7" w:rsidR="15EF142A" w:rsidRDefault="15EF142A" w:rsidP="15EF142A">
      <w:pPr>
        <w:spacing w:after="0" w:line="360" w:lineRule="auto"/>
        <w:rPr>
          <w:rFonts w:ascii="Arial" w:eastAsia="Arial" w:hAnsi="Arial" w:cs="Arial"/>
        </w:rPr>
      </w:pPr>
    </w:p>
    <w:p w14:paraId="112A489D" w14:textId="074DCC6B" w:rsidR="1A02E99D" w:rsidRDefault="1A02E99D" w:rsidP="15EF142A">
      <w:pPr>
        <w:spacing w:after="0" w:line="360" w:lineRule="auto"/>
        <w:rPr>
          <w:rFonts w:ascii="Arial" w:eastAsia="Arial" w:hAnsi="Arial" w:cs="Arial"/>
          <w:color w:val="000000" w:themeColor="text1"/>
        </w:rPr>
      </w:pPr>
      <w:r>
        <w:rPr>
          <w:noProof/>
        </w:rPr>
        <w:drawing>
          <wp:inline distT="0" distB="0" distL="0" distR="0" wp14:anchorId="2CF606B0" wp14:editId="59826E02">
            <wp:extent cx="4581524" cy="2752725"/>
            <wp:effectExtent l="0" t="0" r="0" b="0"/>
            <wp:docPr id="885073002" name="Picture 885073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5073002"/>
                    <pic:cNvPicPr/>
                  </pic:nvPicPr>
                  <pic:blipFill>
                    <a:blip r:embed="rId12">
                      <a:extLst>
                        <a:ext uri="{28A0092B-C50C-407E-A947-70E740481C1C}">
                          <a14:useLocalDpi xmlns:a14="http://schemas.microsoft.com/office/drawing/2010/main" val="0"/>
                        </a:ext>
                      </a:extLst>
                    </a:blip>
                    <a:stretch>
                      <a:fillRect/>
                    </a:stretch>
                  </pic:blipFill>
                  <pic:spPr>
                    <a:xfrm>
                      <a:off x="0" y="0"/>
                      <a:ext cx="4581524" cy="2752725"/>
                    </a:xfrm>
                    <a:prstGeom prst="rect">
                      <a:avLst/>
                    </a:prstGeom>
                  </pic:spPr>
                </pic:pic>
              </a:graphicData>
            </a:graphic>
          </wp:inline>
        </w:drawing>
      </w:r>
    </w:p>
    <w:p w14:paraId="5F2EA65B" w14:textId="7B1C6DAC" w:rsidR="1A02E99D" w:rsidRDefault="1A02E99D" w:rsidP="15EF142A">
      <w:pPr>
        <w:spacing w:after="0" w:line="360" w:lineRule="auto"/>
        <w:rPr>
          <w:rFonts w:ascii="Arial" w:eastAsia="Arial" w:hAnsi="Arial" w:cs="Arial"/>
          <w:color w:val="000000" w:themeColor="text1"/>
          <w:sz w:val="20"/>
          <w:szCs w:val="20"/>
        </w:rPr>
      </w:pPr>
      <w:r w:rsidRPr="15EF142A">
        <w:rPr>
          <w:rFonts w:ascii="Arial" w:eastAsia="Arial" w:hAnsi="Arial" w:cs="Arial"/>
          <w:sz w:val="20"/>
          <w:szCs w:val="20"/>
        </w:rPr>
        <w:t xml:space="preserve">Figure 3. Question 3. </w:t>
      </w:r>
    </w:p>
    <w:p w14:paraId="1227ACFC" w14:textId="1D111DC9"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t xml:space="preserve"> </w:t>
      </w:r>
    </w:p>
    <w:p w14:paraId="76B92AA8" w14:textId="2BC109A8"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t>Notably, no participants have answered that they feel ready to learn after the weekend, which reflects Seker’s (2011) study highlighting the correlation between student attitude and academic outcomes. Participant C exclaims “It depends on tiredness and what subjects I’ve got that day”. This suggests self-confidence within subjects could affect how students feel towards school. Findings by Akbari and Sahibzada (2020) reveal students’ self-confidence affects learning and especially within student participation, interest in lessons and setting goals. Also, tiredness can affect functioning in children (Owens, Spirito, McGuinn and Nobile</w:t>
      </w:r>
      <w:r w:rsidR="1F18A228" w:rsidRPr="15EF142A">
        <w:rPr>
          <w:rFonts w:ascii="Arial" w:eastAsia="Arial" w:hAnsi="Arial" w:cs="Arial"/>
        </w:rPr>
        <w:t>,</w:t>
      </w:r>
      <w:r w:rsidRPr="15EF142A">
        <w:rPr>
          <w:rFonts w:ascii="Arial" w:eastAsia="Arial" w:hAnsi="Arial" w:cs="Arial"/>
        </w:rPr>
        <w:t xml:space="preserve"> 2000) which could play a role in how ready students feel to learn. The Welsh Government identified the need to increase emotional well-being and the four purposes aim to develop healthy, confident individuals (Welsh Government</w:t>
      </w:r>
      <w:r w:rsidR="4B9D3E09" w:rsidRPr="15EF142A">
        <w:rPr>
          <w:rFonts w:ascii="Arial" w:eastAsia="Arial" w:hAnsi="Arial" w:cs="Arial"/>
        </w:rPr>
        <w:t>,</w:t>
      </w:r>
      <w:r w:rsidRPr="15EF142A">
        <w:rPr>
          <w:rFonts w:ascii="Arial" w:eastAsia="Arial" w:hAnsi="Arial" w:cs="Arial"/>
        </w:rPr>
        <w:t xml:space="preserve"> 2022). With the weekend playing a factor in how some students feel, participant E added “On weekends I stay home, chill and relax. I am like Garfield, not a fan of Monday.” This contributes to the weekend playing a role in how students feel towards a Monday.</w:t>
      </w:r>
    </w:p>
    <w:p w14:paraId="453A053B" w14:textId="17ED1873"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t xml:space="preserve"> </w:t>
      </w:r>
    </w:p>
    <w:p w14:paraId="7F53256F" w14:textId="17B126F7"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lastRenderedPageBreak/>
        <w:t xml:space="preserve">Figure 4 shows 85.71% of participants feel tired waking up on a Monday and 14.29% do not. </w:t>
      </w:r>
    </w:p>
    <w:p w14:paraId="151CDDBD" w14:textId="6F317143" w:rsidR="1A02E99D" w:rsidRDefault="1A02E99D" w:rsidP="15EF142A">
      <w:pPr>
        <w:spacing w:after="0" w:line="360" w:lineRule="auto"/>
        <w:rPr>
          <w:rFonts w:ascii="Arial" w:eastAsia="Arial" w:hAnsi="Arial" w:cs="Arial"/>
          <w:color w:val="000000" w:themeColor="text1"/>
        </w:rPr>
      </w:pPr>
      <w:r>
        <w:rPr>
          <w:noProof/>
        </w:rPr>
        <w:drawing>
          <wp:inline distT="0" distB="0" distL="0" distR="0" wp14:anchorId="2645DA17" wp14:editId="63114835">
            <wp:extent cx="4314825" cy="2600325"/>
            <wp:effectExtent l="0" t="0" r="0" b="0"/>
            <wp:docPr id="53648461" name="Picture 53648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648461"/>
                    <pic:cNvPicPr/>
                  </pic:nvPicPr>
                  <pic:blipFill>
                    <a:blip r:embed="rId13">
                      <a:extLst>
                        <a:ext uri="{28A0092B-C50C-407E-A947-70E740481C1C}">
                          <a14:useLocalDpi xmlns:a14="http://schemas.microsoft.com/office/drawing/2010/main" val="0"/>
                        </a:ext>
                      </a:extLst>
                    </a:blip>
                    <a:stretch>
                      <a:fillRect/>
                    </a:stretch>
                  </pic:blipFill>
                  <pic:spPr>
                    <a:xfrm>
                      <a:off x="0" y="0"/>
                      <a:ext cx="4314825" cy="2600325"/>
                    </a:xfrm>
                    <a:prstGeom prst="rect">
                      <a:avLst/>
                    </a:prstGeom>
                  </pic:spPr>
                </pic:pic>
              </a:graphicData>
            </a:graphic>
          </wp:inline>
        </w:drawing>
      </w:r>
    </w:p>
    <w:p w14:paraId="30B7DD6E" w14:textId="5D289E8A" w:rsidR="1A02E99D" w:rsidRDefault="1A02E99D" w:rsidP="15EF142A">
      <w:pPr>
        <w:spacing w:after="0" w:line="360" w:lineRule="auto"/>
        <w:rPr>
          <w:rFonts w:ascii="Arial" w:eastAsia="Arial" w:hAnsi="Arial" w:cs="Arial"/>
          <w:color w:val="000000" w:themeColor="text1"/>
          <w:sz w:val="20"/>
          <w:szCs w:val="20"/>
        </w:rPr>
      </w:pPr>
      <w:r w:rsidRPr="15EF142A">
        <w:rPr>
          <w:rFonts w:ascii="Arial" w:eastAsia="Arial" w:hAnsi="Arial" w:cs="Arial"/>
          <w:sz w:val="20"/>
          <w:szCs w:val="20"/>
        </w:rPr>
        <w:t xml:space="preserve">Figure 4. Question 4. </w:t>
      </w:r>
    </w:p>
    <w:p w14:paraId="5A1BFBE1" w14:textId="2374EF6A" w:rsidR="02E60D76" w:rsidRDefault="02E60D76" w:rsidP="15EF142A">
      <w:pPr>
        <w:spacing w:line="360" w:lineRule="auto"/>
        <w:rPr>
          <w:rFonts w:ascii="Arial" w:eastAsia="Arial" w:hAnsi="Arial" w:cs="Arial"/>
          <w:color w:val="000000" w:themeColor="text1"/>
        </w:rPr>
      </w:pPr>
    </w:p>
    <w:p w14:paraId="478846E1" w14:textId="3FA34F74"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The dynamics of a weekend can affect the participants as they shared multiple situations which have affected them. The factors participants mentioned include lack of sleep due to </w:t>
      </w:r>
      <w:proofErr w:type="spellStart"/>
      <w:r w:rsidRPr="15EF142A">
        <w:rPr>
          <w:rFonts w:ascii="Arial" w:eastAsia="Arial" w:hAnsi="Arial" w:cs="Arial"/>
        </w:rPr>
        <w:t>neighbours</w:t>
      </w:r>
      <w:proofErr w:type="spellEnd"/>
      <w:r w:rsidRPr="15EF142A">
        <w:rPr>
          <w:rFonts w:ascii="Arial" w:eastAsia="Arial" w:hAnsi="Arial" w:cs="Arial"/>
        </w:rPr>
        <w:t xml:space="preserve"> blasting music</w:t>
      </w:r>
      <w:r w:rsidR="23A2EED5" w:rsidRPr="15EF142A">
        <w:rPr>
          <w:rFonts w:ascii="Arial" w:eastAsia="Arial" w:hAnsi="Arial" w:cs="Arial"/>
        </w:rPr>
        <w:t xml:space="preserve"> and pets, as well as </w:t>
      </w:r>
      <w:r w:rsidR="68913160" w:rsidRPr="15EF142A">
        <w:rPr>
          <w:rFonts w:ascii="Arial" w:eastAsia="Arial" w:hAnsi="Arial" w:cs="Arial"/>
        </w:rPr>
        <w:t>their</w:t>
      </w:r>
      <w:r w:rsidR="23A2EED5" w:rsidRPr="15EF142A">
        <w:rPr>
          <w:rFonts w:ascii="Arial" w:eastAsia="Arial" w:hAnsi="Arial" w:cs="Arial"/>
        </w:rPr>
        <w:t xml:space="preserve"> own</w:t>
      </w:r>
      <w:r w:rsidRPr="15EF142A">
        <w:rPr>
          <w:rFonts w:ascii="Arial" w:eastAsia="Arial" w:hAnsi="Arial" w:cs="Arial"/>
        </w:rPr>
        <w:t xml:space="preserve"> pets disturbing their sleep. These factors over the weekend could make it difficult for students to be ready to learn at the start of the week. Participant B added “If I’m tired, sad or moody, I do not want to go to school”. Wolfson and Montgomery-Downs (2013) expressed the importance of sleep for children to reach their full potential in school. Participants B’s comment supports the research by </w:t>
      </w:r>
      <w:proofErr w:type="spellStart"/>
      <w:r w:rsidRPr="15EF142A">
        <w:rPr>
          <w:rFonts w:ascii="Arial" w:eastAsia="Arial" w:hAnsi="Arial" w:cs="Arial"/>
        </w:rPr>
        <w:t>Kpolovie</w:t>
      </w:r>
      <w:proofErr w:type="spellEnd"/>
      <w:r w:rsidRPr="15EF142A">
        <w:rPr>
          <w:rFonts w:ascii="Arial" w:eastAsia="Arial" w:hAnsi="Arial" w:cs="Arial"/>
        </w:rPr>
        <w:t xml:space="preserve">, Joe and </w:t>
      </w:r>
      <w:proofErr w:type="spellStart"/>
      <w:r w:rsidRPr="15EF142A">
        <w:rPr>
          <w:rFonts w:ascii="Arial" w:eastAsia="Arial" w:hAnsi="Arial" w:cs="Arial"/>
        </w:rPr>
        <w:t>Okoto</w:t>
      </w:r>
      <w:proofErr w:type="spellEnd"/>
      <w:r w:rsidRPr="15EF142A">
        <w:rPr>
          <w:rFonts w:ascii="Arial" w:eastAsia="Arial" w:hAnsi="Arial" w:cs="Arial"/>
        </w:rPr>
        <w:t xml:space="preserve"> (2014) which stated the relationship between student well-being and student attitudes towards school. Participate F added “I don’t sleep well on Sunday nights because I know I have school the next day”. This suggests children can experience anticipatory anxiety and research has indicated children can experience sleep related problems due to prolonged anxiety (Tomb and Hunter</w:t>
      </w:r>
      <w:r w:rsidR="031A9D58" w:rsidRPr="15EF142A">
        <w:rPr>
          <w:rFonts w:ascii="Arial" w:eastAsia="Arial" w:hAnsi="Arial" w:cs="Arial"/>
        </w:rPr>
        <w:t>,</w:t>
      </w:r>
      <w:r w:rsidRPr="15EF142A">
        <w:rPr>
          <w:rFonts w:ascii="Arial" w:eastAsia="Arial" w:hAnsi="Arial" w:cs="Arial"/>
        </w:rPr>
        <w:t xml:space="preserve"> 2004). Alternatively, participate G claimed, “I feel more tired on a Sunday from being busy on the weekend, so on Sunday night I am ready for bed and find it easy to go to sleep”. </w:t>
      </w:r>
    </w:p>
    <w:p w14:paraId="62A44731" w14:textId="12CEBF1C"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 </w:t>
      </w:r>
    </w:p>
    <w:p w14:paraId="1AAB82AA" w14:textId="40EC7966"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lastRenderedPageBreak/>
        <w:t xml:space="preserve">Weather was a recurring factor within the questionnaire results. Figure 5 shows 100% of participants feel the weather can affect their mood in the morning. </w:t>
      </w:r>
    </w:p>
    <w:p w14:paraId="4D9D8730" w14:textId="5885AFC3" w:rsidR="1A02E99D" w:rsidRDefault="1A02E99D" w:rsidP="15EF142A">
      <w:pPr>
        <w:spacing w:after="0" w:line="360" w:lineRule="auto"/>
        <w:rPr>
          <w:rFonts w:ascii="Arial" w:eastAsia="Arial" w:hAnsi="Arial" w:cs="Arial"/>
          <w:color w:val="000000" w:themeColor="text1"/>
        </w:rPr>
      </w:pPr>
      <w:r>
        <w:rPr>
          <w:noProof/>
        </w:rPr>
        <w:drawing>
          <wp:inline distT="0" distB="0" distL="0" distR="0" wp14:anchorId="63202684" wp14:editId="5C02B001">
            <wp:extent cx="4581524" cy="2752725"/>
            <wp:effectExtent l="0" t="0" r="0" b="0"/>
            <wp:docPr id="1718998781" name="Picture 1718998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8998781"/>
                    <pic:cNvPicPr/>
                  </pic:nvPicPr>
                  <pic:blipFill>
                    <a:blip r:embed="rId14">
                      <a:extLst>
                        <a:ext uri="{28A0092B-C50C-407E-A947-70E740481C1C}">
                          <a14:useLocalDpi xmlns:a14="http://schemas.microsoft.com/office/drawing/2010/main" val="0"/>
                        </a:ext>
                      </a:extLst>
                    </a:blip>
                    <a:stretch>
                      <a:fillRect/>
                    </a:stretch>
                  </pic:blipFill>
                  <pic:spPr>
                    <a:xfrm>
                      <a:off x="0" y="0"/>
                      <a:ext cx="4581524" cy="2752725"/>
                    </a:xfrm>
                    <a:prstGeom prst="rect">
                      <a:avLst/>
                    </a:prstGeom>
                  </pic:spPr>
                </pic:pic>
              </a:graphicData>
            </a:graphic>
          </wp:inline>
        </w:drawing>
      </w:r>
    </w:p>
    <w:p w14:paraId="33650E62" w14:textId="6DEF52C7" w:rsidR="1A02E99D" w:rsidRDefault="1A02E99D" w:rsidP="15EF142A">
      <w:pPr>
        <w:spacing w:after="0" w:line="360" w:lineRule="auto"/>
        <w:rPr>
          <w:rFonts w:ascii="Arial" w:eastAsia="Arial" w:hAnsi="Arial" w:cs="Arial"/>
          <w:color w:val="000000" w:themeColor="text1"/>
          <w:sz w:val="20"/>
          <w:szCs w:val="20"/>
        </w:rPr>
      </w:pPr>
      <w:r w:rsidRPr="15EF142A">
        <w:rPr>
          <w:rFonts w:ascii="Arial" w:eastAsia="Arial" w:hAnsi="Arial" w:cs="Arial"/>
          <w:sz w:val="20"/>
          <w:szCs w:val="20"/>
        </w:rPr>
        <w:t>Figure 5. Question 5.</w:t>
      </w:r>
    </w:p>
    <w:p w14:paraId="2C2803ED" w14:textId="6BF8BFB9"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 </w:t>
      </w:r>
    </w:p>
    <w:p w14:paraId="1499F66D" w14:textId="32B1FC94" w:rsidR="1A02E99D" w:rsidRDefault="1A02E99D" w:rsidP="15EF142A">
      <w:pPr>
        <w:spacing w:before="240" w:after="240" w:line="360" w:lineRule="auto"/>
        <w:rPr>
          <w:rFonts w:ascii="Arial" w:eastAsia="Arial" w:hAnsi="Arial" w:cs="Arial"/>
          <w:color w:val="000000" w:themeColor="text1"/>
          <w:highlight w:val="yellow"/>
        </w:rPr>
      </w:pPr>
      <w:commentRangeStart w:id="8"/>
      <w:r w:rsidRPr="15EF142A">
        <w:rPr>
          <w:rFonts w:ascii="Arial" w:eastAsia="Arial" w:hAnsi="Arial" w:cs="Arial"/>
        </w:rPr>
        <w:t>The</w:t>
      </w:r>
      <w:commentRangeEnd w:id="8"/>
      <w:r>
        <w:rPr>
          <w:rStyle w:val="CommentReference"/>
        </w:rPr>
        <w:commentReference w:id="8"/>
      </w:r>
      <w:r w:rsidRPr="15EF142A">
        <w:rPr>
          <w:rFonts w:ascii="Arial" w:eastAsia="Arial" w:hAnsi="Arial" w:cs="Arial"/>
        </w:rPr>
        <w:t xml:space="preserve"> participants elaborated further and provided examples of how the weather can affect attitude and mood such </w:t>
      </w:r>
      <w:proofErr w:type="gramStart"/>
      <w:r w:rsidRPr="15EF142A">
        <w:rPr>
          <w:rFonts w:ascii="Arial" w:eastAsia="Arial" w:hAnsi="Arial" w:cs="Arial"/>
        </w:rPr>
        <w:t>as;</w:t>
      </w:r>
      <w:proofErr w:type="gramEnd"/>
      <w:r w:rsidRPr="15EF142A">
        <w:rPr>
          <w:rFonts w:ascii="Arial" w:eastAsia="Arial" w:hAnsi="Arial" w:cs="Arial"/>
        </w:rPr>
        <w:t xml:space="preserve"> rain means inside play and this makes the participants feel miserable, and sunshine makes them feel happy due to being allowed to play on the field during break times. Research has shown there is a significant relationship between weather and mood (Sanders and Brizzolara</w:t>
      </w:r>
      <w:r w:rsidR="3317B3BA" w:rsidRPr="15EF142A">
        <w:rPr>
          <w:rFonts w:ascii="Arial" w:eastAsia="Arial" w:hAnsi="Arial" w:cs="Arial"/>
        </w:rPr>
        <w:t>,</w:t>
      </w:r>
      <w:r w:rsidRPr="15EF142A">
        <w:rPr>
          <w:rFonts w:ascii="Arial" w:eastAsia="Arial" w:hAnsi="Arial" w:cs="Arial"/>
        </w:rPr>
        <w:t xml:space="preserve"> 1982) and there is a recurring theme with depression and seasonal change (Melrose</w:t>
      </w:r>
      <w:r w:rsidR="148492CB" w:rsidRPr="15EF142A">
        <w:rPr>
          <w:rFonts w:ascii="Arial" w:eastAsia="Arial" w:hAnsi="Arial" w:cs="Arial"/>
        </w:rPr>
        <w:t>,</w:t>
      </w:r>
      <w:r w:rsidRPr="15EF142A">
        <w:rPr>
          <w:rFonts w:ascii="Arial" w:eastAsia="Arial" w:hAnsi="Arial" w:cs="Arial"/>
        </w:rPr>
        <w:t xml:space="preserve"> 2015). Sanders and Brizzolara (1982) identified there are differences between individuals regarding the weather and their mood whereas this study does not have any individual differences, however this could be due to the </w:t>
      </w:r>
      <w:r w:rsidR="76E6C340" w:rsidRPr="15EF142A">
        <w:rPr>
          <w:rFonts w:ascii="Arial" w:eastAsia="Arial" w:hAnsi="Arial" w:cs="Arial"/>
        </w:rPr>
        <w:t xml:space="preserve">small </w:t>
      </w:r>
      <w:r w:rsidRPr="15EF142A">
        <w:rPr>
          <w:rFonts w:ascii="Arial" w:eastAsia="Arial" w:hAnsi="Arial" w:cs="Arial"/>
        </w:rPr>
        <w:t xml:space="preserve">number of participants </w:t>
      </w:r>
      <w:r w:rsidR="19DA4EC4" w:rsidRPr="15EF142A">
        <w:rPr>
          <w:rFonts w:ascii="Arial" w:eastAsia="Arial" w:hAnsi="Arial" w:cs="Arial"/>
        </w:rPr>
        <w:t>taking part in the study.</w:t>
      </w:r>
    </w:p>
    <w:p w14:paraId="2F3A7AAA" w14:textId="0A4B1425" w:rsidR="02E60D76" w:rsidRDefault="02E60D76" w:rsidP="15EF142A">
      <w:pPr>
        <w:spacing w:before="240" w:after="240" w:line="360" w:lineRule="auto"/>
        <w:rPr>
          <w:rFonts w:ascii="Arial" w:eastAsia="Arial" w:hAnsi="Arial" w:cs="Arial"/>
          <w:color w:val="000000" w:themeColor="text1"/>
        </w:rPr>
      </w:pPr>
    </w:p>
    <w:p w14:paraId="0AE054E4" w14:textId="36B642A5" w:rsidR="1A02E99D" w:rsidRDefault="1A02E99D" w:rsidP="15EF142A">
      <w:pPr>
        <w:spacing w:before="240" w:after="240" w:line="360" w:lineRule="auto"/>
        <w:rPr>
          <w:rFonts w:ascii="Arial" w:eastAsia="Arial" w:hAnsi="Arial" w:cs="Arial"/>
          <w:color w:val="000000" w:themeColor="text1"/>
        </w:rPr>
      </w:pPr>
      <w:r w:rsidRPr="15EF142A">
        <w:rPr>
          <w:rFonts w:ascii="Arial" w:eastAsia="Arial" w:hAnsi="Arial" w:cs="Arial"/>
        </w:rPr>
        <w:t xml:space="preserve">Hunger was another recurring factor from the questionnaire. Figure 6 shows 100% of participants think breakfast can impact their performance and feelings in school. </w:t>
      </w:r>
    </w:p>
    <w:p w14:paraId="176F2336" w14:textId="1137B15A" w:rsidR="1A02E99D" w:rsidRDefault="1A02E99D" w:rsidP="15EF142A">
      <w:pPr>
        <w:spacing w:after="0" w:line="360" w:lineRule="auto"/>
        <w:rPr>
          <w:rFonts w:ascii="Arial" w:eastAsia="Arial" w:hAnsi="Arial" w:cs="Arial"/>
          <w:color w:val="000000" w:themeColor="text1"/>
        </w:rPr>
      </w:pPr>
      <w:r>
        <w:rPr>
          <w:noProof/>
        </w:rPr>
        <w:lastRenderedPageBreak/>
        <w:drawing>
          <wp:inline distT="0" distB="0" distL="0" distR="0" wp14:anchorId="65F4C685" wp14:editId="05456A24">
            <wp:extent cx="3905250" cy="2352675"/>
            <wp:effectExtent l="0" t="0" r="0" b="0"/>
            <wp:docPr id="1282384800" name="Picture 1282384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2384800"/>
                    <pic:cNvPicPr/>
                  </pic:nvPicPr>
                  <pic:blipFill>
                    <a:blip r:embed="rId15">
                      <a:extLst>
                        <a:ext uri="{28A0092B-C50C-407E-A947-70E740481C1C}">
                          <a14:useLocalDpi xmlns:a14="http://schemas.microsoft.com/office/drawing/2010/main" val="0"/>
                        </a:ext>
                      </a:extLst>
                    </a:blip>
                    <a:stretch>
                      <a:fillRect/>
                    </a:stretch>
                  </pic:blipFill>
                  <pic:spPr>
                    <a:xfrm>
                      <a:off x="0" y="0"/>
                      <a:ext cx="3905250" cy="2352675"/>
                    </a:xfrm>
                    <a:prstGeom prst="rect">
                      <a:avLst/>
                    </a:prstGeom>
                  </pic:spPr>
                </pic:pic>
              </a:graphicData>
            </a:graphic>
          </wp:inline>
        </w:drawing>
      </w:r>
    </w:p>
    <w:p w14:paraId="70831373" w14:textId="298D1FA5" w:rsidR="1A02E99D" w:rsidRDefault="1A02E99D" w:rsidP="15EF142A">
      <w:pPr>
        <w:spacing w:after="0" w:line="360" w:lineRule="auto"/>
        <w:rPr>
          <w:rFonts w:ascii="Arial" w:eastAsia="Arial" w:hAnsi="Arial" w:cs="Arial"/>
          <w:color w:val="000000" w:themeColor="text1"/>
          <w:sz w:val="20"/>
          <w:szCs w:val="20"/>
        </w:rPr>
      </w:pPr>
      <w:r w:rsidRPr="15EF142A">
        <w:rPr>
          <w:rFonts w:ascii="Arial" w:eastAsia="Arial" w:hAnsi="Arial" w:cs="Arial"/>
          <w:sz w:val="20"/>
          <w:szCs w:val="20"/>
        </w:rPr>
        <w:t>Figure 6. Question 6.</w:t>
      </w:r>
    </w:p>
    <w:p w14:paraId="01A251A6" w14:textId="41CF6A42"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 </w:t>
      </w:r>
    </w:p>
    <w:p w14:paraId="447E33FC" w14:textId="6214B3B1"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Participant A stated, “If you don’t have breakfast, you’re hungry and can’t concentrate because all you are thinking about is food”. Hunger could negatively impact students' well-being and progression in learning. Therefore, the Welsh Government </w:t>
      </w:r>
      <w:proofErr w:type="spellStart"/>
      <w:r w:rsidRPr="15EF142A">
        <w:rPr>
          <w:rFonts w:ascii="Arial" w:eastAsia="Arial" w:hAnsi="Arial" w:cs="Arial"/>
        </w:rPr>
        <w:t>recognised</w:t>
      </w:r>
      <w:proofErr w:type="spellEnd"/>
      <w:r w:rsidRPr="15EF142A">
        <w:rPr>
          <w:rFonts w:ascii="Arial" w:eastAsia="Arial" w:hAnsi="Arial" w:cs="Arial"/>
        </w:rPr>
        <w:t xml:space="preserve"> this as a major factor and provide free school meals for all pupils, to decrease child poverty and improve </w:t>
      </w:r>
      <w:proofErr w:type="spellStart"/>
      <w:r w:rsidRPr="15EF142A">
        <w:rPr>
          <w:rFonts w:ascii="Arial" w:eastAsia="Arial" w:hAnsi="Arial" w:cs="Arial"/>
        </w:rPr>
        <w:t>behaviour</w:t>
      </w:r>
      <w:proofErr w:type="spellEnd"/>
      <w:r w:rsidRPr="15EF142A">
        <w:rPr>
          <w:rFonts w:ascii="Arial" w:eastAsia="Arial" w:hAnsi="Arial" w:cs="Arial"/>
        </w:rPr>
        <w:t xml:space="preserve"> and attainment (Welsh Government</w:t>
      </w:r>
      <w:r w:rsidR="1A921B92" w:rsidRPr="15EF142A">
        <w:rPr>
          <w:rFonts w:ascii="Arial" w:eastAsia="Arial" w:hAnsi="Arial" w:cs="Arial"/>
        </w:rPr>
        <w:t>,</w:t>
      </w:r>
      <w:r w:rsidRPr="15EF142A">
        <w:rPr>
          <w:rFonts w:ascii="Arial" w:eastAsia="Arial" w:hAnsi="Arial" w:cs="Arial"/>
        </w:rPr>
        <w:t xml:space="preserve"> 2023). The Welsh Government are committed to tackling hunger issues and as a result, they also provide free breakfast in primary schools to provide fair opportunity. Research suggests children who consume a nutritious breakfast before school are more likely to reach their full potential in school (Welsh Government</w:t>
      </w:r>
      <w:r w:rsidR="2285C772" w:rsidRPr="15EF142A">
        <w:rPr>
          <w:rFonts w:ascii="Arial" w:eastAsia="Arial" w:hAnsi="Arial" w:cs="Arial"/>
        </w:rPr>
        <w:t>,</w:t>
      </w:r>
      <w:r w:rsidRPr="15EF142A">
        <w:rPr>
          <w:rFonts w:ascii="Arial" w:eastAsia="Arial" w:hAnsi="Arial" w:cs="Arial"/>
        </w:rPr>
        <w:t xml:space="preserve"> 2014). </w:t>
      </w:r>
    </w:p>
    <w:p w14:paraId="359532AE" w14:textId="05676DC0" w:rsidR="02E60D76" w:rsidRDefault="02E60D76" w:rsidP="15EF142A">
      <w:pPr>
        <w:spacing w:after="0" w:line="360" w:lineRule="auto"/>
        <w:rPr>
          <w:rFonts w:ascii="Arial" w:eastAsia="Arial" w:hAnsi="Arial" w:cs="Arial"/>
          <w:color w:val="000000" w:themeColor="text1"/>
        </w:rPr>
      </w:pPr>
    </w:p>
    <w:p w14:paraId="46813962" w14:textId="1E6DBEFD" w:rsidR="02E60D76" w:rsidRDefault="02E60D76" w:rsidP="15EF142A">
      <w:pPr>
        <w:spacing w:after="0" w:line="360" w:lineRule="auto"/>
        <w:rPr>
          <w:rFonts w:ascii="Arial" w:eastAsia="Arial" w:hAnsi="Arial" w:cs="Arial"/>
          <w:color w:val="000000" w:themeColor="text1"/>
        </w:rPr>
      </w:pPr>
    </w:p>
    <w:p w14:paraId="08951B6E" w14:textId="5303124C" w:rsidR="1A02E99D" w:rsidRDefault="1A02E99D" w:rsidP="15EF142A">
      <w:pPr>
        <w:spacing w:after="0" w:line="360" w:lineRule="auto"/>
        <w:rPr>
          <w:rFonts w:ascii="Arial" w:eastAsia="Arial" w:hAnsi="Arial" w:cs="Arial"/>
          <w:color w:val="000000" w:themeColor="text1"/>
        </w:rPr>
      </w:pPr>
      <w:r w:rsidRPr="15EF142A">
        <w:rPr>
          <w:rFonts w:ascii="Arial" w:eastAsia="Arial" w:hAnsi="Arial" w:cs="Arial"/>
        </w:rPr>
        <w:t xml:space="preserve"> </w:t>
      </w:r>
    </w:p>
    <w:p w14:paraId="3B60E4D3" w14:textId="7BC37C9B" w:rsidR="02E60D76" w:rsidRDefault="02E60D76" w:rsidP="15EF142A">
      <w:pPr>
        <w:spacing w:after="0" w:line="360" w:lineRule="auto"/>
        <w:rPr>
          <w:rFonts w:ascii="Arial" w:eastAsia="Arial" w:hAnsi="Arial" w:cs="Arial"/>
          <w:color w:val="000000" w:themeColor="text1"/>
        </w:rPr>
      </w:pPr>
    </w:p>
    <w:p w14:paraId="1A8A3AE9" w14:textId="22EB387B" w:rsidR="02E60D76" w:rsidRDefault="02E60D76" w:rsidP="15EF142A">
      <w:pPr>
        <w:spacing w:after="0" w:line="360" w:lineRule="auto"/>
        <w:rPr>
          <w:rFonts w:ascii="Arial" w:eastAsia="Arial" w:hAnsi="Arial" w:cs="Arial"/>
          <w:color w:val="000000" w:themeColor="text1"/>
        </w:rPr>
      </w:pPr>
    </w:p>
    <w:p w14:paraId="7CBBB131" w14:textId="314F252D"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t xml:space="preserve">Figure 7 </w:t>
      </w:r>
      <w:proofErr w:type="gramStart"/>
      <w:r w:rsidRPr="15EF142A">
        <w:rPr>
          <w:rFonts w:ascii="Arial" w:eastAsia="Arial" w:hAnsi="Arial" w:cs="Arial"/>
        </w:rPr>
        <w:t>presents</w:t>
      </w:r>
      <w:proofErr w:type="gramEnd"/>
      <w:r w:rsidRPr="15EF142A">
        <w:rPr>
          <w:rFonts w:ascii="Arial" w:eastAsia="Arial" w:hAnsi="Arial" w:cs="Arial"/>
        </w:rPr>
        <w:t xml:space="preserve"> 85.71% of participants look forward to school because of their friends and 14.29% of participants do not look forward to school because of friends. </w:t>
      </w:r>
    </w:p>
    <w:p w14:paraId="0FD8EA77" w14:textId="31EA67B6" w:rsidR="1A02E99D" w:rsidRDefault="1A02E99D" w:rsidP="15EF142A">
      <w:pPr>
        <w:spacing w:after="0" w:line="360" w:lineRule="auto"/>
        <w:rPr>
          <w:rFonts w:ascii="Arial" w:eastAsia="Arial" w:hAnsi="Arial" w:cs="Arial"/>
          <w:color w:val="000000" w:themeColor="text1"/>
        </w:rPr>
      </w:pPr>
      <w:r>
        <w:rPr>
          <w:noProof/>
        </w:rPr>
        <w:lastRenderedPageBreak/>
        <w:drawing>
          <wp:inline distT="0" distB="0" distL="0" distR="0" wp14:anchorId="4D99723F" wp14:editId="15D1412C">
            <wp:extent cx="5076826" cy="3057525"/>
            <wp:effectExtent l="0" t="0" r="0" b="0"/>
            <wp:docPr id="813817927" name="Picture 813817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3817927"/>
                    <pic:cNvPicPr/>
                  </pic:nvPicPr>
                  <pic:blipFill>
                    <a:blip r:embed="rId16">
                      <a:extLst>
                        <a:ext uri="{28A0092B-C50C-407E-A947-70E740481C1C}">
                          <a14:useLocalDpi xmlns:a14="http://schemas.microsoft.com/office/drawing/2010/main" val="0"/>
                        </a:ext>
                      </a:extLst>
                    </a:blip>
                    <a:stretch>
                      <a:fillRect/>
                    </a:stretch>
                  </pic:blipFill>
                  <pic:spPr>
                    <a:xfrm>
                      <a:off x="0" y="0"/>
                      <a:ext cx="5076826" cy="3057525"/>
                    </a:xfrm>
                    <a:prstGeom prst="rect">
                      <a:avLst/>
                    </a:prstGeom>
                  </pic:spPr>
                </pic:pic>
              </a:graphicData>
            </a:graphic>
          </wp:inline>
        </w:drawing>
      </w:r>
    </w:p>
    <w:p w14:paraId="10D46B0F" w14:textId="33D7F2B3" w:rsidR="1A02E99D" w:rsidRDefault="1A02E99D" w:rsidP="15EF142A">
      <w:pPr>
        <w:spacing w:line="360" w:lineRule="auto"/>
        <w:rPr>
          <w:rFonts w:ascii="Arial" w:eastAsia="Arial" w:hAnsi="Arial" w:cs="Arial"/>
          <w:color w:val="000000" w:themeColor="text1"/>
          <w:sz w:val="20"/>
          <w:szCs w:val="20"/>
        </w:rPr>
      </w:pPr>
      <w:r w:rsidRPr="15EF142A">
        <w:rPr>
          <w:rFonts w:ascii="Arial" w:eastAsia="Arial" w:hAnsi="Arial" w:cs="Arial"/>
          <w:sz w:val="20"/>
          <w:szCs w:val="20"/>
        </w:rPr>
        <w:t>Figure 7. Question 7.</w:t>
      </w:r>
    </w:p>
    <w:p w14:paraId="6345D888" w14:textId="31F73600" w:rsidR="02E60D76" w:rsidRDefault="02E60D76" w:rsidP="15EF142A">
      <w:pPr>
        <w:spacing w:line="360" w:lineRule="auto"/>
        <w:rPr>
          <w:rFonts w:ascii="Arial" w:eastAsia="Arial" w:hAnsi="Arial" w:cs="Arial"/>
          <w:color w:val="000000" w:themeColor="text1"/>
        </w:rPr>
      </w:pPr>
    </w:p>
    <w:p w14:paraId="72FBB5C7" w14:textId="20901444" w:rsidR="1A02E99D" w:rsidRDefault="1A02E99D" w:rsidP="15EF142A">
      <w:pPr>
        <w:spacing w:line="360" w:lineRule="auto"/>
        <w:rPr>
          <w:rFonts w:ascii="Arial" w:eastAsia="Arial" w:hAnsi="Arial" w:cs="Arial"/>
          <w:color w:val="000000" w:themeColor="text1"/>
        </w:rPr>
      </w:pPr>
      <w:r w:rsidRPr="15EF142A">
        <w:rPr>
          <w:rFonts w:ascii="Arial" w:eastAsia="Arial" w:hAnsi="Arial" w:cs="Arial"/>
        </w:rPr>
        <w:t>This depicts school as a positive social environment for students to see friends. The participant who answered “No” stated “I look forward to school to learn but I do like seeing my friends” so this leads to the narrative that of the seven students in the case study all saw the social side of school life, and their friends, as a positive and something to look forward to. This finding aligns with research by the Welsh Government (2023) who acknowledge school can positively enhance and develop social skills.</w:t>
      </w:r>
    </w:p>
    <w:p w14:paraId="5317ED29" w14:textId="47AB4C68" w:rsidR="61370CC3" w:rsidRDefault="61370CC3" w:rsidP="15EF142A">
      <w:pPr>
        <w:spacing w:line="360" w:lineRule="auto"/>
        <w:rPr>
          <w:rFonts w:ascii="Arial" w:eastAsia="Arial" w:hAnsi="Arial" w:cs="Arial"/>
          <w:b/>
          <w:bCs/>
        </w:rPr>
      </w:pPr>
    </w:p>
    <w:p w14:paraId="36CF9F05" w14:textId="27C04C84" w:rsidR="15EF142A" w:rsidRDefault="15EF142A" w:rsidP="15EF142A">
      <w:pPr>
        <w:spacing w:line="360" w:lineRule="auto"/>
        <w:rPr>
          <w:rFonts w:ascii="Arial" w:eastAsia="Arial" w:hAnsi="Arial" w:cs="Arial"/>
          <w:b/>
          <w:bCs/>
        </w:rPr>
      </w:pPr>
    </w:p>
    <w:p w14:paraId="4973873C" w14:textId="2D51054C" w:rsidR="15EF142A" w:rsidRDefault="15EF142A" w:rsidP="15EF142A">
      <w:pPr>
        <w:spacing w:line="360" w:lineRule="auto"/>
        <w:rPr>
          <w:rFonts w:ascii="Arial" w:eastAsia="Arial" w:hAnsi="Arial" w:cs="Arial"/>
          <w:b/>
          <w:bCs/>
        </w:rPr>
      </w:pPr>
    </w:p>
    <w:p w14:paraId="7BA3D2DE" w14:textId="2EC85691" w:rsidR="343FC123" w:rsidRDefault="343FC123" w:rsidP="15EF142A">
      <w:pPr>
        <w:spacing w:line="360" w:lineRule="auto"/>
        <w:rPr>
          <w:rFonts w:ascii="Arial" w:eastAsia="Arial" w:hAnsi="Arial" w:cs="Arial"/>
        </w:rPr>
      </w:pPr>
      <w:r w:rsidRPr="15EF142A">
        <w:rPr>
          <w:rFonts w:ascii="Arial" w:eastAsia="Arial" w:hAnsi="Arial" w:cs="Arial"/>
          <w:b/>
          <w:bCs/>
          <w:u w:val="single"/>
        </w:rPr>
        <w:t>Conclusion</w:t>
      </w:r>
    </w:p>
    <w:p w14:paraId="4D97E026" w14:textId="1D269ED4" w:rsidR="343FC123" w:rsidRDefault="343FC123" w:rsidP="15EF142A">
      <w:pPr>
        <w:spacing w:line="360" w:lineRule="auto"/>
        <w:rPr>
          <w:rFonts w:ascii="Arial" w:eastAsia="Arial" w:hAnsi="Arial" w:cs="Arial"/>
          <w:color w:val="000000" w:themeColor="text1"/>
        </w:rPr>
      </w:pPr>
      <w:r w:rsidRPr="15EF142A">
        <w:rPr>
          <w:rFonts w:ascii="Arial" w:eastAsia="Arial" w:hAnsi="Arial" w:cs="Arial"/>
        </w:rPr>
        <w:t xml:space="preserve">The findings from the results reveal several factors that can affect students’ attitude towards school on a Monday. These factors include the weekend, seeing friends and anxiety about the upcoming week. Factors such as weather, hunger and self-confidence were identified as major factors which can affect students' attitudes towards school, but not specifically for a Monday. These factors are </w:t>
      </w:r>
      <w:proofErr w:type="spellStart"/>
      <w:r w:rsidRPr="15EF142A">
        <w:rPr>
          <w:rFonts w:ascii="Arial" w:eastAsia="Arial" w:hAnsi="Arial" w:cs="Arial"/>
        </w:rPr>
        <w:t>generalisable</w:t>
      </w:r>
      <w:proofErr w:type="spellEnd"/>
      <w:r w:rsidRPr="15EF142A">
        <w:rPr>
          <w:rFonts w:ascii="Arial" w:eastAsia="Arial" w:hAnsi="Arial" w:cs="Arial"/>
        </w:rPr>
        <w:t xml:space="preserve"> to all school days. The </w:t>
      </w:r>
      <w:r w:rsidRPr="15EF142A">
        <w:rPr>
          <w:rFonts w:ascii="Arial" w:eastAsia="Arial" w:hAnsi="Arial" w:cs="Arial"/>
        </w:rPr>
        <w:lastRenderedPageBreak/>
        <w:t xml:space="preserve">sample size of participants was very small which provides limited </w:t>
      </w:r>
      <w:proofErr w:type="spellStart"/>
      <w:r w:rsidRPr="15EF142A">
        <w:rPr>
          <w:rFonts w:ascii="Arial" w:eastAsia="Arial" w:hAnsi="Arial" w:cs="Arial"/>
        </w:rPr>
        <w:t>generalisabiltiy</w:t>
      </w:r>
      <w:proofErr w:type="spellEnd"/>
      <w:r w:rsidRPr="15EF142A">
        <w:rPr>
          <w:rFonts w:ascii="Arial" w:eastAsia="Arial" w:hAnsi="Arial" w:cs="Arial"/>
        </w:rPr>
        <w:t xml:space="preserve"> of results. These findings may not represent the student population which limits the study's validity. The research question was broad which resulted in it being difficult to research what affected students on a Monday morning. This study wanted to research into areas beyond school life, which is important, but it was difficult to research.</w:t>
      </w:r>
    </w:p>
    <w:p w14:paraId="4F94CEC5" w14:textId="310560A6" w:rsidR="00CB117D" w:rsidRDefault="343FC123" w:rsidP="15EF142A">
      <w:pPr>
        <w:spacing w:line="360" w:lineRule="auto"/>
        <w:rPr>
          <w:rFonts w:ascii="Arial" w:eastAsia="Arial" w:hAnsi="Arial" w:cs="Arial"/>
        </w:rPr>
      </w:pPr>
      <w:r w:rsidRPr="15EF142A">
        <w:rPr>
          <w:rFonts w:ascii="Arial" w:eastAsia="Arial" w:hAnsi="Arial" w:cs="Arial"/>
        </w:rPr>
        <w:t>This research focused on student attitude and well-being which could affect learning outcomes, so this research is linked to pedagogy. This study has increased my awareness of the link between well-being and student attitude and the impact it can have on students. This will influence my own teaching practice as I will ensure to promote well-being in the classroom by creating a safe environment, monitoring daily check-ins for students and provide opportunity to develop well-being through physical activity due to the benefits (Fox</w:t>
      </w:r>
      <w:r w:rsidR="455A9567" w:rsidRPr="15EF142A">
        <w:rPr>
          <w:rFonts w:ascii="Arial" w:eastAsia="Arial" w:hAnsi="Arial" w:cs="Arial"/>
        </w:rPr>
        <w:t>,</w:t>
      </w:r>
      <w:r w:rsidRPr="15EF142A">
        <w:rPr>
          <w:rFonts w:ascii="Arial" w:eastAsia="Arial" w:hAnsi="Arial" w:cs="Arial"/>
        </w:rPr>
        <w:t xml:space="preserve"> 1999). </w:t>
      </w:r>
      <w:r w:rsidR="70EACE4C" w:rsidRPr="15EF142A">
        <w:rPr>
          <w:rFonts w:ascii="Arial" w:eastAsia="Arial" w:hAnsi="Arial" w:cs="Arial"/>
        </w:rPr>
        <w:t xml:space="preserve">Also, providing engaging activities during wet break and lunch times can aid with student well-being and providing opportunities to increase and develop self-confidence. </w:t>
      </w:r>
      <w:r w:rsidRPr="15EF142A">
        <w:rPr>
          <w:rFonts w:ascii="Arial" w:eastAsia="Arial" w:hAnsi="Arial" w:cs="Arial"/>
        </w:rPr>
        <w:t>The undertaking of the research project has enlightened me to the benefits of continually exploring different avenues of student learning and factors that may affect it and the importance of my own professional development.</w:t>
      </w:r>
      <w:r w:rsidR="45EB6FF3" w:rsidRPr="15EF142A">
        <w:rPr>
          <w:rFonts w:ascii="Arial" w:eastAsia="Arial" w:hAnsi="Arial" w:cs="Arial"/>
        </w:rPr>
        <w:t xml:space="preserve"> </w:t>
      </w:r>
      <w:r w:rsidRPr="15EF142A">
        <w:rPr>
          <w:rFonts w:ascii="Arial" w:eastAsia="Arial" w:hAnsi="Arial" w:cs="Arial"/>
        </w:rPr>
        <w:t xml:space="preserve">This has highlighted the importance </w:t>
      </w:r>
      <w:proofErr w:type="gramStart"/>
      <w:r w:rsidRPr="15EF142A">
        <w:rPr>
          <w:rFonts w:ascii="Arial" w:eastAsia="Arial" w:hAnsi="Arial" w:cs="Arial"/>
        </w:rPr>
        <w:t>to engage</w:t>
      </w:r>
      <w:proofErr w:type="gramEnd"/>
      <w:r w:rsidRPr="15EF142A">
        <w:rPr>
          <w:rFonts w:ascii="Arial" w:eastAsia="Arial" w:hAnsi="Arial" w:cs="Arial"/>
        </w:rPr>
        <w:t xml:space="preserve"> with previous research as well as broaden my own knowledge moving forward. As a teacher, I want my students to reach their full potential so for them to be able to do that, I need to reach my full potential by becoming a research-engaged teacher.</w:t>
      </w:r>
      <w:r w:rsidR="1AF1F278" w:rsidRPr="15EF142A">
        <w:rPr>
          <w:rFonts w:ascii="Arial" w:eastAsia="Arial" w:hAnsi="Arial" w:cs="Arial"/>
        </w:rPr>
        <w:t xml:space="preserve"> </w:t>
      </w:r>
    </w:p>
    <w:p w14:paraId="7B7CA888" w14:textId="5FD3A095" w:rsidR="00CB117D" w:rsidRDefault="343FC123" w:rsidP="15EF142A">
      <w:pPr>
        <w:spacing w:line="360" w:lineRule="auto"/>
        <w:rPr>
          <w:rFonts w:ascii="Arial" w:eastAsia="Arial" w:hAnsi="Arial" w:cs="Arial"/>
        </w:rPr>
      </w:pPr>
      <w:r w:rsidRPr="34B726C8">
        <w:rPr>
          <w:rFonts w:ascii="Arial" w:eastAsia="Arial" w:hAnsi="Arial" w:cs="Arial"/>
        </w:rPr>
        <w:t>I have developed insights into students’ attitude towards school on a Monday, but there is still ample research to be done regarding the topic</w:t>
      </w:r>
      <w:r w:rsidR="0B9F67FB" w:rsidRPr="34B726C8">
        <w:rPr>
          <w:rFonts w:ascii="Arial" w:eastAsia="Arial" w:hAnsi="Arial" w:cs="Arial"/>
        </w:rPr>
        <w:t xml:space="preserve">. </w:t>
      </w:r>
    </w:p>
    <w:p w14:paraId="6FF99069" w14:textId="77777777" w:rsidR="00475621" w:rsidRDefault="00475621" w:rsidP="15EF142A">
      <w:pPr>
        <w:spacing w:line="360" w:lineRule="auto"/>
        <w:rPr>
          <w:rFonts w:ascii="Arial" w:eastAsia="Arial" w:hAnsi="Arial" w:cs="Arial"/>
        </w:rPr>
      </w:pPr>
    </w:p>
    <w:p w14:paraId="4EEEAF88" w14:textId="77777777" w:rsidR="00475621" w:rsidRDefault="00475621" w:rsidP="15EF142A">
      <w:pPr>
        <w:spacing w:line="360" w:lineRule="auto"/>
        <w:rPr>
          <w:rFonts w:ascii="Arial" w:eastAsia="Arial" w:hAnsi="Arial" w:cs="Arial"/>
        </w:rPr>
      </w:pPr>
    </w:p>
    <w:p w14:paraId="2809271A" w14:textId="77777777" w:rsidR="00475621" w:rsidRDefault="00475621" w:rsidP="15EF142A">
      <w:pPr>
        <w:spacing w:line="360" w:lineRule="auto"/>
        <w:rPr>
          <w:rFonts w:ascii="Arial" w:eastAsia="Arial" w:hAnsi="Arial" w:cs="Arial"/>
        </w:rPr>
      </w:pPr>
    </w:p>
    <w:p w14:paraId="338DC635" w14:textId="77777777" w:rsidR="00475621" w:rsidRDefault="00475621" w:rsidP="15EF142A">
      <w:pPr>
        <w:spacing w:line="360" w:lineRule="auto"/>
        <w:rPr>
          <w:rFonts w:ascii="Arial" w:eastAsia="Arial" w:hAnsi="Arial" w:cs="Arial"/>
        </w:rPr>
      </w:pPr>
    </w:p>
    <w:p w14:paraId="62E088B3" w14:textId="77777777" w:rsidR="00475621" w:rsidRDefault="00475621" w:rsidP="15EF142A">
      <w:pPr>
        <w:spacing w:line="360" w:lineRule="auto"/>
        <w:rPr>
          <w:rFonts w:ascii="Arial" w:eastAsia="Arial" w:hAnsi="Arial" w:cs="Arial"/>
        </w:rPr>
      </w:pPr>
    </w:p>
    <w:p w14:paraId="5E488BE6" w14:textId="77777777" w:rsidR="00475621" w:rsidRDefault="00475621" w:rsidP="15EF142A">
      <w:pPr>
        <w:spacing w:line="360" w:lineRule="auto"/>
        <w:rPr>
          <w:rFonts w:ascii="Arial" w:eastAsia="Arial" w:hAnsi="Arial" w:cs="Arial"/>
          <w:color w:val="000000" w:themeColor="text1"/>
        </w:rPr>
      </w:pPr>
    </w:p>
    <w:p w14:paraId="703DD589" w14:textId="67FB8142" w:rsidR="1C878CAE" w:rsidRDefault="1C878CAE" w:rsidP="34B726C8">
      <w:pPr>
        <w:spacing w:line="360" w:lineRule="auto"/>
        <w:rPr>
          <w:rFonts w:ascii="Arial" w:eastAsia="Arial" w:hAnsi="Arial" w:cs="Arial"/>
          <w:b/>
          <w:bCs/>
          <w:u w:val="single"/>
        </w:rPr>
      </w:pPr>
      <w:r w:rsidRPr="34B726C8">
        <w:rPr>
          <w:rFonts w:ascii="Arial" w:eastAsia="Arial" w:hAnsi="Arial" w:cs="Arial"/>
          <w:b/>
          <w:bCs/>
          <w:u w:val="single"/>
        </w:rPr>
        <w:lastRenderedPageBreak/>
        <w:t>Reference</w:t>
      </w:r>
      <w:r w:rsidR="4ED26F45" w:rsidRPr="34B726C8">
        <w:rPr>
          <w:rFonts w:ascii="Arial" w:eastAsia="Arial" w:hAnsi="Arial" w:cs="Arial"/>
          <w:b/>
          <w:bCs/>
          <w:u w:val="single"/>
        </w:rPr>
        <w:t xml:space="preserve"> List</w:t>
      </w:r>
    </w:p>
    <w:p w14:paraId="3181FFDA" w14:textId="210BC01E" w:rsidR="5836BD06" w:rsidRDefault="5836BD06" w:rsidP="34B726C8">
      <w:pPr>
        <w:spacing w:line="276" w:lineRule="auto"/>
      </w:pPr>
      <w:r w:rsidRPr="34B726C8">
        <w:rPr>
          <w:rFonts w:ascii="Arial" w:eastAsia="Arial" w:hAnsi="Arial" w:cs="Arial"/>
          <w:sz w:val="20"/>
          <w:szCs w:val="20"/>
        </w:rPr>
        <w:t xml:space="preserve">Ahmed, S.K. (2024) “The pillars of trustworthiness in qualitative research,” </w:t>
      </w:r>
      <w:r w:rsidRPr="34B726C8">
        <w:rPr>
          <w:rFonts w:ascii="Arial" w:eastAsia="Arial" w:hAnsi="Arial" w:cs="Arial"/>
          <w:i/>
          <w:iCs/>
          <w:sz w:val="20"/>
          <w:szCs w:val="20"/>
        </w:rPr>
        <w:t>Journal of Medicine, Surgery, and Public Health</w:t>
      </w:r>
      <w:r w:rsidRPr="34B726C8">
        <w:rPr>
          <w:rFonts w:ascii="Arial" w:eastAsia="Arial" w:hAnsi="Arial" w:cs="Arial"/>
          <w:sz w:val="20"/>
          <w:szCs w:val="20"/>
        </w:rPr>
        <w:t xml:space="preserve">, 2, pp. 100051-. Available at: </w:t>
      </w:r>
      <w:hyperlink r:id="rId17">
        <w:r w:rsidRPr="34B726C8">
          <w:rPr>
            <w:rStyle w:val="Hyperlink"/>
            <w:rFonts w:ascii="Arial" w:eastAsia="Arial" w:hAnsi="Arial" w:cs="Arial"/>
            <w:color w:val="auto"/>
            <w:sz w:val="20"/>
            <w:szCs w:val="20"/>
          </w:rPr>
          <w:t>https://doi.org/10.1016/j.glmedi.2024.100051</w:t>
        </w:r>
      </w:hyperlink>
    </w:p>
    <w:p w14:paraId="7759E531" w14:textId="7574BFAA"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Akbari, O. and Sahibzada, J., 2020. Students’ self-confidence and its impacts on their learning process. </w:t>
      </w:r>
      <w:r w:rsidRPr="34B726C8">
        <w:rPr>
          <w:rFonts w:ascii="Arial" w:eastAsia="Arial" w:hAnsi="Arial" w:cs="Arial"/>
          <w:i/>
          <w:iCs/>
          <w:sz w:val="20"/>
          <w:szCs w:val="20"/>
        </w:rPr>
        <w:t>American International Journal of Social Science Research</w:t>
      </w:r>
      <w:r w:rsidRPr="34B726C8">
        <w:rPr>
          <w:rFonts w:ascii="Arial" w:eastAsia="Arial" w:hAnsi="Arial" w:cs="Arial"/>
          <w:sz w:val="20"/>
          <w:szCs w:val="20"/>
        </w:rPr>
        <w:t xml:space="preserve">, </w:t>
      </w:r>
      <w:r w:rsidRPr="34B726C8">
        <w:rPr>
          <w:rFonts w:ascii="Arial" w:eastAsia="Arial" w:hAnsi="Arial" w:cs="Arial"/>
          <w:i/>
          <w:iCs/>
          <w:sz w:val="20"/>
          <w:szCs w:val="20"/>
        </w:rPr>
        <w:t>5</w:t>
      </w:r>
      <w:r w:rsidRPr="34B726C8">
        <w:rPr>
          <w:rFonts w:ascii="Arial" w:eastAsia="Arial" w:hAnsi="Arial" w:cs="Arial"/>
          <w:sz w:val="20"/>
          <w:szCs w:val="20"/>
        </w:rPr>
        <w:t>(1), pp.1-15.</w:t>
      </w:r>
    </w:p>
    <w:p w14:paraId="44F6E469" w14:textId="5392B746" w:rsidR="5836BD06" w:rsidRDefault="5836BD06" w:rsidP="34B726C8">
      <w:pPr>
        <w:spacing w:line="276" w:lineRule="auto"/>
      </w:pPr>
      <w:r w:rsidRPr="34B726C8">
        <w:rPr>
          <w:rFonts w:ascii="Arial" w:eastAsia="Arial" w:hAnsi="Arial" w:cs="Arial"/>
          <w:sz w:val="20"/>
          <w:szCs w:val="20"/>
        </w:rPr>
        <w:t xml:space="preserve">Arens, A.K. and </w:t>
      </w:r>
      <w:proofErr w:type="spellStart"/>
      <w:r w:rsidRPr="34B726C8">
        <w:rPr>
          <w:rFonts w:ascii="Arial" w:eastAsia="Arial" w:hAnsi="Arial" w:cs="Arial"/>
          <w:sz w:val="20"/>
          <w:szCs w:val="20"/>
        </w:rPr>
        <w:t>Niepel</w:t>
      </w:r>
      <w:proofErr w:type="spellEnd"/>
      <w:r w:rsidRPr="34B726C8">
        <w:rPr>
          <w:rFonts w:ascii="Arial" w:eastAsia="Arial" w:hAnsi="Arial" w:cs="Arial"/>
          <w:sz w:val="20"/>
          <w:szCs w:val="20"/>
        </w:rPr>
        <w:t xml:space="preserve">, C. (2019) “School attitude and perceived teacher acceptance: Developmental trajectories, temporal relations, and gender differences,” </w:t>
      </w:r>
      <w:r w:rsidRPr="34B726C8">
        <w:rPr>
          <w:rFonts w:ascii="Arial" w:eastAsia="Arial" w:hAnsi="Arial" w:cs="Arial"/>
          <w:i/>
          <w:iCs/>
          <w:sz w:val="20"/>
          <w:szCs w:val="20"/>
        </w:rPr>
        <w:t>British journal of educational psychology</w:t>
      </w:r>
      <w:r w:rsidRPr="34B726C8">
        <w:rPr>
          <w:rFonts w:ascii="Arial" w:eastAsia="Arial" w:hAnsi="Arial" w:cs="Arial"/>
          <w:sz w:val="20"/>
          <w:szCs w:val="20"/>
        </w:rPr>
        <w:t xml:space="preserve">, 89(4), pp. 689–706. Available at: </w:t>
      </w:r>
      <w:hyperlink r:id="rId18">
        <w:r w:rsidRPr="34B726C8">
          <w:rPr>
            <w:rStyle w:val="Hyperlink"/>
            <w:rFonts w:ascii="Arial" w:eastAsia="Arial" w:hAnsi="Arial" w:cs="Arial"/>
            <w:color w:val="auto"/>
            <w:sz w:val="20"/>
            <w:szCs w:val="20"/>
          </w:rPr>
          <w:t>https://doi.org/10.1111/bjep.12252</w:t>
        </w:r>
      </w:hyperlink>
    </w:p>
    <w:p w14:paraId="0E166401" w14:textId="4CBCD88E"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As Sabiq, A.H., </w:t>
      </w:r>
      <w:proofErr w:type="spellStart"/>
      <w:r w:rsidRPr="34B726C8">
        <w:rPr>
          <w:rFonts w:ascii="Arial" w:eastAsia="Arial" w:hAnsi="Arial" w:cs="Arial"/>
          <w:sz w:val="20"/>
          <w:szCs w:val="20"/>
        </w:rPr>
        <w:t>Arwi</w:t>
      </w:r>
      <w:proofErr w:type="spellEnd"/>
      <w:r w:rsidRPr="34B726C8">
        <w:rPr>
          <w:rFonts w:ascii="Arial" w:eastAsia="Arial" w:hAnsi="Arial" w:cs="Arial"/>
          <w:sz w:val="20"/>
          <w:szCs w:val="20"/>
        </w:rPr>
        <w:t xml:space="preserve">, S.H., </w:t>
      </w:r>
      <w:proofErr w:type="spellStart"/>
      <w:r w:rsidRPr="34B726C8">
        <w:rPr>
          <w:rFonts w:ascii="Arial" w:eastAsia="Arial" w:hAnsi="Arial" w:cs="Arial"/>
          <w:sz w:val="20"/>
          <w:szCs w:val="20"/>
        </w:rPr>
        <w:t>Khusna</w:t>
      </w:r>
      <w:proofErr w:type="spellEnd"/>
      <w:r w:rsidRPr="34B726C8">
        <w:rPr>
          <w:rFonts w:ascii="Arial" w:eastAsia="Arial" w:hAnsi="Arial" w:cs="Arial"/>
          <w:sz w:val="20"/>
          <w:szCs w:val="20"/>
        </w:rPr>
        <w:t xml:space="preserve">, A., </w:t>
      </w:r>
      <w:proofErr w:type="spellStart"/>
      <w:r w:rsidRPr="34B726C8">
        <w:rPr>
          <w:rFonts w:ascii="Arial" w:eastAsia="Arial" w:hAnsi="Arial" w:cs="Arial"/>
          <w:sz w:val="20"/>
          <w:szCs w:val="20"/>
        </w:rPr>
        <w:t>Adifia</w:t>
      </w:r>
      <w:proofErr w:type="spellEnd"/>
      <w:r w:rsidRPr="34B726C8">
        <w:rPr>
          <w:rFonts w:ascii="Arial" w:eastAsia="Arial" w:hAnsi="Arial" w:cs="Arial"/>
          <w:sz w:val="20"/>
          <w:szCs w:val="20"/>
        </w:rPr>
        <w:t xml:space="preserve">, D., and Nada, D (2021) ‘Investigating gender differences on the students’ attitudes and motivation toward English learning’, </w:t>
      </w:r>
      <w:r w:rsidRPr="34B726C8">
        <w:rPr>
          <w:rFonts w:ascii="Arial" w:eastAsia="Arial" w:hAnsi="Arial" w:cs="Arial"/>
          <w:i/>
          <w:iCs/>
          <w:sz w:val="20"/>
          <w:szCs w:val="20"/>
        </w:rPr>
        <w:t xml:space="preserve">ENGLISH </w:t>
      </w:r>
      <w:proofErr w:type="gramStart"/>
      <w:r w:rsidRPr="34B726C8">
        <w:rPr>
          <w:rFonts w:ascii="Arial" w:eastAsia="Arial" w:hAnsi="Arial" w:cs="Arial"/>
          <w:i/>
          <w:iCs/>
          <w:sz w:val="20"/>
          <w:szCs w:val="20"/>
        </w:rPr>
        <w:t>FRANCA :</w:t>
      </w:r>
      <w:proofErr w:type="gramEnd"/>
      <w:r w:rsidRPr="34B726C8">
        <w:rPr>
          <w:rFonts w:ascii="Arial" w:eastAsia="Arial" w:hAnsi="Arial" w:cs="Arial"/>
          <w:i/>
          <w:iCs/>
          <w:sz w:val="20"/>
          <w:szCs w:val="20"/>
        </w:rPr>
        <w:t xml:space="preserve"> Academic Journal of English Language and Education</w:t>
      </w:r>
      <w:r w:rsidRPr="34B726C8">
        <w:rPr>
          <w:rFonts w:ascii="Arial" w:eastAsia="Arial" w:hAnsi="Arial" w:cs="Arial"/>
          <w:sz w:val="20"/>
          <w:szCs w:val="20"/>
        </w:rPr>
        <w:t>, 5(2), p. 233. doi:10.29240/</w:t>
      </w:r>
      <w:proofErr w:type="gramStart"/>
      <w:r w:rsidRPr="34B726C8">
        <w:rPr>
          <w:rFonts w:ascii="Arial" w:eastAsia="Arial" w:hAnsi="Arial" w:cs="Arial"/>
          <w:sz w:val="20"/>
          <w:szCs w:val="20"/>
        </w:rPr>
        <w:t>ef.v</w:t>
      </w:r>
      <w:proofErr w:type="gramEnd"/>
      <w:r w:rsidRPr="34B726C8">
        <w:rPr>
          <w:rFonts w:ascii="Arial" w:eastAsia="Arial" w:hAnsi="Arial" w:cs="Arial"/>
          <w:sz w:val="20"/>
          <w:szCs w:val="20"/>
        </w:rPr>
        <w:t>5i2.2704.</w:t>
      </w:r>
    </w:p>
    <w:p w14:paraId="7375CB04" w14:textId="3BC1E0DB"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Balmer, J.M. and Liao, M.N., 2007. Student corporate brand identification: an exploratory case study. </w:t>
      </w:r>
      <w:r w:rsidRPr="34B726C8">
        <w:rPr>
          <w:rFonts w:ascii="Arial" w:eastAsia="Arial" w:hAnsi="Arial" w:cs="Arial"/>
          <w:i/>
          <w:iCs/>
          <w:sz w:val="20"/>
          <w:szCs w:val="20"/>
        </w:rPr>
        <w:t>Corporate Communications: An International Journal</w:t>
      </w:r>
      <w:r w:rsidRPr="34B726C8">
        <w:rPr>
          <w:rFonts w:ascii="Arial" w:eastAsia="Arial" w:hAnsi="Arial" w:cs="Arial"/>
          <w:sz w:val="20"/>
          <w:szCs w:val="20"/>
        </w:rPr>
        <w:t xml:space="preserve">, </w:t>
      </w:r>
      <w:r w:rsidRPr="34B726C8">
        <w:rPr>
          <w:rFonts w:ascii="Arial" w:eastAsia="Arial" w:hAnsi="Arial" w:cs="Arial"/>
          <w:i/>
          <w:iCs/>
          <w:sz w:val="20"/>
          <w:szCs w:val="20"/>
        </w:rPr>
        <w:t>12</w:t>
      </w:r>
      <w:r w:rsidRPr="34B726C8">
        <w:rPr>
          <w:rFonts w:ascii="Arial" w:eastAsia="Arial" w:hAnsi="Arial" w:cs="Arial"/>
          <w:sz w:val="20"/>
          <w:szCs w:val="20"/>
        </w:rPr>
        <w:t>(4), pp.356-375.</w:t>
      </w:r>
    </w:p>
    <w:p w14:paraId="7751838A" w14:textId="1324AF48" w:rsidR="5836BD06" w:rsidRDefault="5836BD06" w:rsidP="34B726C8">
      <w:pPr>
        <w:spacing w:line="276" w:lineRule="auto"/>
      </w:pPr>
      <w:r w:rsidRPr="34B726C8">
        <w:rPr>
          <w:rFonts w:ascii="Arial" w:eastAsia="Arial" w:hAnsi="Arial" w:cs="Arial"/>
          <w:sz w:val="20"/>
          <w:szCs w:val="20"/>
        </w:rPr>
        <w:t xml:space="preserve">Berger, R. (2015) “Now I see it, now I don’t: researcher’s position and reflexivity in qualitative research,” </w:t>
      </w:r>
      <w:r w:rsidRPr="34B726C8">
        <w:rPr>
          <w:rFonts w:ascii="Arial" w:eastAsia="Arial" w:hAnsi="Arial" w:cs="Arial"/>
          <w:i/>
          <w:iCs/>
          <w:sz w:val="20"/>
          <w:szCs w:val="20"/>
        </w:rPr>
        <w:t xml:space="preserve">Qualitative </w:t>
      </w:r>
      <w:proofErr w:type="gramStart"/>
      <w:r w:rsidRPr="34B726C8">
        <w:rPr>
          <w:rFonts w:ascii="Arial" w:eastAsia="Arial" w:hAnsi="Arial" w:cs="Arial"/>
          <w:i/>
          <w:iCs/>
          <w:sz w:val="20"/>
          <w:szCs w:val="20"/>
        </w:rPr>
        <w:t>research :</w:t>
      </w:r>
      <w:proofErr w:type="gramEnd"/>
      <w:r w:rsidRPr="34B726C8">
        <w:rPr>
          <w:rFonts w:ascii="Arial" w:eastAsia="Arial" w:hAnsi="Arial" w:cs="Arial"/>
          <w:i/>
          <w:iCs/>
          <w:sz w:val="20"/>
          <w:szCs w:val="20"/>
        </w:rPr>
        <w:t xml:space="preserve"> QR</w:t>
      </w:r>
      <w:r w:rsidRPr="34B726C8">
        <w:rPr>
          <w:rFonts w:ascii="Arial" w:eastAsia="Arial" w:hAnsi="Arial" w:cs="Arial"/>
          <w:sz w:val="20"/>
          <w:szCs w:val="20"/>
        </w:rPr>
        <w:t xml:space="preserve">, 15(2), pp. 219–234. Available at: </w:t>
      </w:r>
      <w:hyperlink r:id="rId19">
        <w:r w:rsidRPr="34B726C8">
          <w:rPr>
            <w:rStyle w:val="Hyperlink"/>
            <w:rFonts w:ascii="Arial" w:eastAsia="Arial" w:hAnsi="Arial" w:cs="Arial"/>
            <w:color w:val="auto"/>
            <w:sz w:val="20"/>
            <w:szCs w:val="20"/>
          </w:rPr>
          <w:t>https://doi.org/10.1177/1468794112468475</w:t>
        </w:r>
      </w:hyperlink>
    </w:p>
    <w:p w14:paraId="3F31E3AE" w14:textId="5237946A"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Berk, L., 2015. </w:t>
      </w:r>
      <w:r w:rsidRPr="34B726C8">
        <w:rPr>
          <w:rFonts w:ascii="Arial" w:eastAsia="Arial" w:hAnsi="Arial" w:cs="Arial"/>
          <w:i/>
          <w:iCs/>
          <w:sz w:val="20"/>
          <w:szCs w:val="20"/>
        </w:rPr>
        <w:t>Child development</w:t>
      </w:r>
      <w:r w:rsidRPr="34B726C8">
        <w:rPr>
          <w:rFonts w:ascii="Arial" w:eastAsia="Arial" w:hAnsi="Arial" w:cs="Arial"/>
          <w:sz w:val="20"/>
          <w:szCs w:val="20"/>
        </w:rPr>
        <w:t>. Pearson Higher Education AU.</w:t>
      </w:r>
    </w:p>
    <w:p w14:paraId="19C40B06" w14:textId="1C5BDB87" w:rsidR="5836BD06" w:rsidRDefault="5836BD06" w:rsidP="34B726C8">
      <w:pPr>
        <w:pStyle w:val="Heading1"/>
        <w:spacing w:before="240" w:after="0" w:line="276" w:lineRule="auto"/>
        <w:rPr>
          <w:rFonts w:ascii="Arial" w:eastAsia="Arial" w:hAnsi="Arial" w:cs="Arial"/>
          <w:color w:val="auto"/>
          <w:sz w:val="20"/>
          <w:szCs w:val="20"/>
        </w:rPr>
      </w:pPr>
      <w:r w:rsidRPr="34B726C8">
        <w:rPr>
          <w:rFonts w:ascii="Arial" w:eastAsia="Arial" w:hAnsi="Arial" w:cs="Arial"/>
          <w:color w:val="auto"/>
          <w:sz w:val="20"/>
          <w:szCs w:val="20"/>
        </w:rPr>
        <w:t>Boru, T. (2018) CHAPTER FIVE RESEARCH DESIGN AND METHODOLOGY 5.1. Research Methodology; University of South Africa, PHD Thesis. 10.13140/RG.2.2.21467.62242</w:t>
      </w:r>
    </w:p>
    <w:p w14:paraId="5E29E055" w14:textId="26848B42" w:rsidR="5836BD06" w:rsidRDefault="5836BD06" w:rsidP="34B726C8">
      <w:pPr>
        <w:spacing w:line="276" w:lineRule="auto"/>
        <w:ind w:left="-20" w:right="-20"/>
      </w:pPr>
      <w:r w:rsidRPr="34B726C8">
        <w:rPr>
          <w:rFonts w:ascii="Arial" w:eastAsia="Arial" w:hAnsi="Arial" w:cs="Arial"/>
          <w:sz w:val="20"/>
          <w:szCs w:val="20"/>
        </w:rPr>
        <w:t xml:space="preserve">British Educational Research Association (BERA, 2018) Ethical Guidelines for Educational Research, fourth edition, London. Available at: </w:t>
      </w:r>
      <w:hyperlink r:id="rId20">
        <w:r w:rsidRPr="34B726C8">
          <w:rPr>
            <w:rStyle w:val="Hyperlink"/>
            <w:rFonts w:ascii="Arial" w:eastAsia="Arial" w:hAnsi="Arial" w:cs="Arial"/>
            <w:color w:val="auto"/>
            <w:sz w:val="20"/>
            <w:szCs w:val="20"/>
          </w:rPr>
          <w:t>Ethical Guidelines for Educational Research, fourth edition (2018) | BERA</w:t>
        </w:r>
      </w:hyperlink>
    </w:p>
    <w:p w14:paraId="4B5864F1" w14:textId="69B9A464"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Bronfenbrenner, U. (1977) “Toward an experimental ecology of human development,” </w:t>
      </w:r>
      <w:r w:rsidRPr="34B726C8">
        <w:rPr>
          <w:rFonts w:ascii="Arial" w:eastAsia="Arial" w:hAnsi="Arial" w:cs="Arial"/>
          <w:i/>
          <w:iCs/>
          <w:sz w:val="20"/>
          <w:szCs w:val="20"/>
        </w:rPr>
        <w:t>The American psychologist</w:t>
      </w:r>
      <w:r w:rsidRPr="34B726C8">
        <w:rPr>
          <w:rFonts w:ascii="Arial" w:eastAsia="Arial" w:hAnsi="Arial" w:cs="Arial"/>
          <w:sz w:val="20"/>
          <w:szCs w:val="20"/>
        </w:rPr>
        <w:t xml:space="preserve">, 32(7), pp. 513–531. Available at: </w:t>
      </w:r>
      <w:hyperlink r:id="rId21">
        <w:r w:rsidRPr="34B726C8">
          <w:rPr>
            <w:rStyle w:val="Hyperlink"/>
            <w:rFonts w:ascii="Arial" w:eastAsia="Arial" w:hAnsi="Arial" w:cs="Arial"/>
            <w:color w:val="auto"/>
            <w:sz w:val="20"/>
            <w:szCs w:val="20"/>
          </w:rPr>
          <w:t>https://doi.org/10.1037/0003-066X.32.7.513</w:t>
        </w:r>
      </w:hyperlink>
      <w:r w:rsidRPr="34B726C8">
        <w:rPr>
          <w:rFonts w:ascii="Arial" w:eastAsia="Arial" w:hAnsi="Arial" w:cs="Arial"/>
          <w:sz w:val="20"/>
          <w:szCs w:val="20"/>
        </w:rPr>
        <w:t>.</w:t>
      </w:r>
    </w:p>
    <w:p w14:paraId="0871D169" w14:textId="2B4C0984"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Buxton, O.M., Chang, A.M., Spilsbury, J.C., Bos, T., </w:t>
      </w:r>
      <w:proofErr w:type="spellStart"/>
      <w:r w:rsidRPr="34B726C8">
        <w:rPr>
          <w:rFonts w:ascii="Arial" w:eastAsia="Arial" w:hAnsi="Arial" w:cs="Arial"/>
          <w:sz w:val="20"/>
          <w:szCs w:val="20"/>
        </w:rPr>
        <w:t>Emsellem</w:t>
      </w:r>
      <w:proofErr w:type="spellEnd"/>
      <w:r w:rsidRPr="34B726C8">
        <w:rPr>
          <w:rFonts w:ascii="Arial" w:eastAsia="Arial" w:hAnsi="Arial" w:cs="Arial"/>
          <w:sz w:val="20"/>
          <w:szCs w:val="20"/>
        </w:rPr>
        <w:t xml:space="preserve">, H. and Knutson, K.L., 2015. Sleep in the modern family: protective family routines for child and adolescent sleep. </w:t>
      </w:r>
      <w:r w:rsidRPr="34B726C8">
        <w:rPr>
          <w:rFonts w:ascii="Arial" w:eastAsia="Arial" w:hAnsi="Arial" w:cs="Arial"/>
          <w:i/>
          <w:iCs/>
          <w:sz w:val="20"/>
          <w:szCs w:val="20"/>
        </w:rPr>
        <w:t>Sleep health</w:t>
      </w:r>
      <w:r w:rsidRPr="34B726C8">
        <w:rPr>
          <w:rFonts w:ascii="Arial" w:eastAsia="Arial" w:hAnsi="Arial" w:cs="Arial"/>
          <w:sz w:val="20"/>
          <w:szCs w:val="20"/>
        </w:rPr>
        <w:t xml:space="preserve">, </w:t>
      </w:r>
      <w:r w:rsidRPr="34B726C8">
        <w:rPr>
          <w:rFonts w:ascii="Arial" w:eastAsia="Arial" w:hAnsi="Arial" w:cs="Arial"/>
          <w:i/>
          <w:iCs/>
          <w:sz w:val="20"/>
          <w:szCs w:val="20"/>
        </w:rPr>
        <w:t>1</w:t>
      </w:r>
      <w:r w:rsidRPr="34B726C8">
        <w:rPr>
          <w:rFonts w:ascii="Arial" w:eastAsia="Arial" w:hAnsi="Arial" w:cs="Arial"/>
          <w:sz w:val="20"/>
          <w:szCs w:val="20"/>
        </w:rPr>
        <w:t>(1), pp.15-27.</w:t>
      </w:r>
    </w:p>
    <w:p w14:paraId="2C945E2F" w14:textId="67430F3F"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Cain, N. and </w:t>
      </w:r>
      <w:proofErr w:type="spellStart"/>
      <w:r w:rsidRPr="34B726C8">
        <w:rPr>
          <w:rFonts w:ascii="Arial" w:eastAsia="Arial" w:hAnsi="Arial" w:cs="Arial"/>
          <w:sz w:val="20"/>
          <w:szCs w:val="20"/>
        </w:rPr>
        <w:t>Gradisar</w:t>
      </w:r>
      <w:proofErr w:type="spellEnd"/>
      <w:r w:rsidRPr="34B726C8">
        <w:rPr>
          <w:rFonts w:ascii="Arial" w:eastAsia="Arial" w:hAnsi="Arial" w:cs="Arial"/>
          <w:sz w:val="20"/>
          <w:szCs w:val="20"/>
        </w:rPr>
        <w:t xml:space="preserve">, M. (2010) ‘Electronic media use and sleep in school-aged children and adolescents: A review’, </w:t>
      </w:r>
      <w:r w:rsidRPr="34B726C8">
        <w:rPr>
          <w:rFonts w:ascii="Arial" w:eastAsia="Arial" w:hAnsi="Arial" w:cs="Arial"/>
          <w:i/>
          <w:iCs/>
          <w:sz w:val="20"/>
          <w:szCs w:val="20"/>
        </w:rPr>
        <w:t>Sleep medicine</w:t>
      </w:r>
      <w:r w:rsidRPr="34B726C8">
        <w:rPr>
          <w:rFonts w:ascii="Arial" w:eastAsia="Arial" w:hAnsi="Arial" w:cs="Arial"/>
          <w:sz w:val="20"/>
          <w:szCs w:val="20"/>
        </w:rPr>
        <w:t xml:space="preserve">, 11(8), pp. 735–742. Available at: </w:t>
      </w:r>
      <w:hyperlink r:id="rId22">
        <w:r w:rsidRPr="34B726C8">
          <w:rPr>
            <w:rStyle w:val="Hyperlink"/>
            <w:rFonts w:ascii="Arial" w:eastAsia="Arial" w:hAnsi="Arial" w:cs="Arial"/>
            <w:color w:val="auto"/>
            <w:sz w:val="20"/>
            <w:szCs w:val="20"/>
          </w:rPr>
          <w:t>https://doi.org/10.1016/j.sleep.2010.02.006</w:t>
        </w:r>
      </w:hyperlink>
      <w:r w:rsidRPr="34B726C8">
        <w:rPr>
          <w:rFonts w:ascii="Arial" w:eastAsia="Arial" w:hAnsi="Arial" w:cs="Arial"/>
          <w:sz w:val="20"/>
          <w:szCs w:val="20"/>
        </w:rPr>
        <w:t>.</w:t>
      </w:r>
    </w:p>
    <w:p w14:paraId="42DCCB44" w14:textId="5830A441" w:rsidR="5836BD06" w:rsidRDefault="5836BD06" w:rsidP="34B726C8">
      <w:pPr>
        <w:spacing w:line="276" w:lineRule="auto"/>
      </w:pPr>
      <w:r w:rsidRPr="34B726C8">
        <w:rPr>
          <w:rFonts w:ascii="Arial" w:eastAsia="Arial" w:hAnsi="Arial" w:cs="Arial"/>
          <w:sz w:val="20"/>
          <w:szCs w:val="20"/>
          <w:lang w:val="fr"/>
        </w:rPr>
        <w:t>Carter, N., Bryant-</w:t>
      </w:r>
      <w:proofErr w:type="spellStart"/>
      <w:r w:rsidRPr="34B726C8">
        <w:rPr>
          <w:rFonts w:ascii="Arial" w:eastAsia="Arial" w:hAnsi="Arial" w:cs="Arial"/>
          <w:sz w:val="20"/>
          <w:szCs w:val="20"/>
          <w:lang w:val="fr"/>
        </w:rPr>
        <w:t>Lukosius</w:t>
      </w:r>
      <w:proofErr w:type="spellEnd"/>
      <w:r w:rsidRPr="34B726C8">
        <w:rPr>
          <w:rFonts w:ascii="Arial" w:eastAsia="Arial" w:hAnsi="Arial" w:cs="Arial"/>
          <w:sz w:val="20"/>
          <w:szCs w:val="20"/>
          <w:lang w:val="fr"/>
        </w:rPr>
        <w:t xml:space="preserve">, D., </w:t>
      </w:r>
      <w:proofErr w:type="spellStart"/>
      <w:r w:rsidRPr="34B726C8">
        <w:rPr>
          <w:rFonts w:ascii="Arial" w:eastAsia="Arial" w:hAnsi="Arial" w:cs="Arial"/>
          <w:sz w:val="20"/>
          <w:szCs w:val="20"/>
          <w:lang w:val="fr"/>
        </w:rPr>
        <w:t>DiCenso</w:t>
      </w:r>
      <w:proofErr w:type="spellEnd"/>
      <w:r w:rsidRPr="34B726C8">
        <w:rPr>
          <w:rFonts w:ascii="Arial" w:eastAsia="Arial" w:hAnsi="Arial" w:cs="Arial"/>
          <w:sz w:val="20"/>
          <w:szCs w:val="20"/>
          <w:lang w:val="fr"/>
        </w:rPr>
        <w:t xml:space="preserve">, A., </w:t>
      </w:r>
      <w:proofErr w:type="spellStart"/>
      <w:r w:rsidRPr="34B726C8">
        <w:rPr>
          <w:rFonts w:ascii="Arial" w:eastAsia="Arial" w:hAnsi="Arial" w:cs="Arial"/>
          <w:sz w:val="20"/>
          <w:szCs w:val="20"/>
          <w:lang w:val="fr"/>
        </w:rPr>
        <w:t>Blythe</w:t>
      </w:r>
      <w:proofErr w:type="spellEnd"/>
      <w:r w:rsidRPr="34B726C8">
        <w:rPr>
          <w:rFonts w:ascii="Arial" w:eastAsia="Arial" w:hAnsi="Arial" w:cs="Arial"/>
          <w:sz w:val="20"/>
          <w:szCs w:val="20"/>
          <w:lang w:val="fr"/>
        </w:rPr>
        <w:t xml:space="preserve">, J., Neville, A., </w:t>
      </w:r>
      <w:r w:rsidRPr="34B726C8">
        <w:rPr>
          <w:rFonts w:ascii="Arial" w:eastAsia="Arial" w:hAnsi="Arial" w:cs="Arial"/>
          <w:sz w:val="20"/>
          <w:szCs w:val="20"/>
        </w:rPr>
        <w:t xml:space="preserve">(2014) “The use of triangulation in qualitative research,” </w:t>
      </w:r>
      <w:r w:rsidRPr="34B726C8">
        <w:rPr>
          <w:rFonts w:ascii="Arial" w:eastAsia="Arial" w:hAnsi="Arial" w:cs="Arial"/>
          <w:i/>
          <w:iCs/>
          <w:sz w:val="20"/>
          <w:szCs w:val="20"/>
        </w:rPr>
        <w:t>Oncology nursing forum</w:t>
      </w:r>
      <w:r w:rsidRPr="34B726C8">
        <w:rPr>
          <w:rFonts w:ascii="Arial" w:eastAsia="Arial" w:hAnsi="Arial" w:cs="Arial"/>
          <w:sz w:val="20"/>
          <w:szCs w:val="20"/>
        </w:rPr>
        <w:t xml:space="preserve">, 41(5), pp. 545–547. Available at: </w:t>
      </w:r>
      <w:hyperlink r:id="rId23">
        <w:r w:rsidRPr="34B726C8">
          <w:rPr>
            <w:rStyle w:val="Hyperlink"/>
            <w:rFonts w:ascii="Arial" w:eastAsia="Arial" w:hAnsi="Arial" w:cs="Arial"/>
            <w:color w:val="auto"/>
            <w:sz w:val="20"/>
            <w:szCs w:val="20"/>
          </w:rPr>
          <w:t>https://doi.org/10.1188/14.onf.545-547</w:t>
        </w:r>
      </w:hyperlink>
    </w:p>
    <w:p w14:paraId="62A6029E" w14:textId="7735BA6E"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Castleberry, A. and Nolen, A. (2018). Thematic Analysis of Qualitative Research data: Is It as Easy as It sounds? </w:t>
      </w:r>
      <w:r w:rsidRPr="34B726C8">
        <w:rPr>
          <w:rFonts w:ascii="Arial" w:eastAsia="Arial" w:hAnsi="Arial" w:cs="Arial"/>
          <w:i/>
          <w:iCs/>
          <w:sz w:val="20"/>
          <w:szCs w:val="20"/>
        </w:rPr>
        <w:t>Currents in Pharmacy Teaching and Learning</w:t>
      </w:r>
      <w:r w:rsidRPr="34B726C8">
        <w:rPr>
          <w:rFonts w:ascii="Arial" w:eastAsia="Arial" w:hAnsi="Arial" w:cs="Arial"/>
          <w:sz w:val="20"/>
          <w:szCs w:val="20"/>
        </w:rPr>
        <w:t xml:space="preserve">, 10(6), pp.807–815. </w:t>
      </w:r>
      <w:proofErr w:type="spellStart"/>
      <w:proofErr w:type="gramStart"/>
      <w:r w:rsidRPr="34B726C8">
        <w:rPr>
          <w:rFonts w:ascii="Arial" w:eastAsia="Arial" w:hAnsi="Arial" w:cs="Arial"/>
          <w:sz w:val="20"/>
          <w:szCs w:val="20"/>
        </w:rPr>
        <w:t>doi:https</w:t>
      </w:r>
      <w:proofErr w:type="spellEnd"/>
      <w:r w:rsidRPr="34B726C8">
        <w:rPr>
          <w:rFonts w:ascii="Arial" w:eastAsia="Arial" w:hAnsi="Arial" w:cs="Arial"/>
          <w:sz w:val="20"/>
          <w:szCs w:val="20"/>
        </w:rPr>
        <w:t>://doi.org/10.1016/j.cptl.2018.03.019</w:t>
      </w:r>
      <w:proofErr w:type="gramEnd"/>
      <w:r w:rsidRPr="34B726C8">
        <w:rPr>
          <w:rFonts w:ascii="Arial" w:eastAsia="Arial" w:hAnsi="Arial" w:cs="Arial"/>
          <w:sz w:val="20"/>
          <w:szCs w:val="20"/>
        </w:rPr>
        <w:t>.</w:t>
      </w:r>
    </w:p>
    <w:p w14:paraId="34E5C548" w14:textId="579345D1"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Clarke, V. and Braun, V. (2017) “Thematic analysis,” </w:t>
      </w:r>
      <w:r w:rsidRPr="34B726C8">
        <w:rPr>
          <w:rFonts w:ascii="Arial" w:eastAsia="Arial" w:hAnsi="Arial" w:cs="Arial"/>
          <w:i/>
          <w:iCs/>
          <w:sz w:val="20"/>
          <w:szCs w:val="20"/>
        </w:rPr>
        <w:t>The journal of positive psychology</w:t>
      </w:r>
      <w:r w:rsidRPr="34B726C8">
        <w:rPr>
          <w:rFonts w:ascii="Arial" w:eastAsia="Arial" w:hAnsi="Arial" w:cs="Arial"/>
          <w:sz w:val="20"/>
          <w:szCs w:val="20"/>
        </w:rPr>
        <w:t xml:space="preserve">, 12(3), pp. 297–298. Available at: </w:t>
      </w:r>
      <w:hyperlink r:id="rId24">
        <w:r w:rsidRPr="34B726C8">
          <w:rPr>
            <w:rStyle w:val="Hyperlink"/>
            <w:rFonts w:ascii="Arial" w:eastAsia="Arial" w:hAnsi="Arial" w:cs="Arial"/>
            <w:color w:val="auto"/>
            <w:sz w:val="20"/>
            <w:szCs w:val="20"/>
          </w:rPr>
          <w:t>https://doi.org/10.1080/17439760.2016.1262613</w:t>
        </w:r>
      </w:hyperlink>
      <w:r w:rsidRPr="34B726C8">
        <w:rPr>
          <w:rFonts w:ascii="Arial" w:eastAsia="Arial" w:hAnsi="Arial" w:cs="Arial"/>
          <w:sz w:val="20"/>
          <w:szCs w:val="20"/>
        </w:rPr>
        <w:t>.</w:t>
      </w:r>
    </w:p>
    <w:p w14:paraId="2D553C69" w14:textId="709DCDB4"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Cohen, L., Manion, L. &amp; Morrison, K. (2011) Research Methods in Education. 7th Edition. London: Routledge.</w:t>
      </w:r>
    </w:p>
    <w:p w14:paraId="34CFE7D0" w14:textId="20983780" w:rsidR="5836BD06" w:rsidRDefault="5836BD06" w:rsidP="34B726C8">
      <w:pPr>
        <w:spacing w:line="276" w:lineRule="auto"/>
        <w:rPr>
          <w:rFonts w:ascii="Arial" w:eastAsia="Arial" w:hAnsi="Arial" w:cs="Arial"/>
          <w:i/>
          <w:iCs/>
          <w:sz w:val="20"/>
          <w:szCs w:val="20"/>
        </w:rPr>
      </w:pPr>
      <w:r w:rsidRPr="34B726C8">
        <w:rPr>
          <w:rFonts w:ascii="Arial" w:eastAsia="Arial" w:hAnsi="Arial" w:cs="Arial"/>
          <w:sz w:val="20"/>
          <w:szCs w:val="20"/>
        </w:rPr>
        <w:lastRenderedPageBreak/>
        <w:t xml:space="preserve">Common Sense Media. (2020). </w:t>
      </w:r>
      <w:r w:rsidRPr="34B726C8">
        <w:rPr>
          <w:rFonts w:ascii="Arial" w:eastAsia="Arial" w:hAnsi="Arial" w:cs="Arial"/>
          <w:i/>
          <w:iCs/>
          <w:sz w:val="20"/>
          <w:szCs w:val="20"/>
        </w:rPr>
        <w:t xml:space="preserve">The </w:t>
      </w:r>
      <w:proofErr w:type="gramStart"/>
      <w:r w:rsidRPr="34B726C8">
        <w:rPr>
          <w:rFonts w:ascii="Arial" w:eastAsia="Arial" w:hAnsi="Arial" w:cs="Arial"/>
          <w:i/>
          <w:iCs/>
          <w:sz w:val="20"/>
          <w:szCs w:val="20"/>
        </w:rPr>
        <w:t>Common Sense</w:t>
      </w:r>
      <w:proofErr w:type="gramEnd"/>
      <w:r w:rsidRPr="34B726C8">
        <w:rPr>
          <w:rFonts w:ascii="Arial" w:eastAsia="Arial" w:hAnsi="Arial" w:cs="Arial"/>
          <w:i/>
          <w:iCs/>
          <w:sz w:val="20"/>
          <w:szCs w:val="20"/>
        </w:rPr>
        <w:t xml:space="preserve"> Census: Media Use by Kids Age Zero to Eight</w:t>
      </w:r>
    </w:p>
    <w:p w14:paraId="23B1D416" w14:textId="538D21B7" w:rsidR="5836BD06" w:rsidRDefault="5836BD06" w:rsidP="34B726C8">
      <w:pPr>
        <w:spacing w:line="276" w:lineRule="auto"/>
        <w:rPr>
          <w:rFonts w:ascii="Arial" w:eastAsia="Arial" w:hAnsi="Arial" w:cs="Arial"/>
          <w:sz w:val="20"/>
          <w:szCs w:val="20"/>
          <w:u w:val="single"/>
        </w:rPr>
      </w:pPr>
      <w:r w:rsidRPr="34B726C8">
        <w:rPr>
          <w:rFonts w:ascii="Arial" w:eastAsia="Arial" w:hAnsi="Arial" w:cs="Arial"/>
          <w:sz w:val="20"/>
          <w:szCs w:val="20"/>
        </w:rPr>
        <w:t xml:space="preserve">Coombs (2022) </w:t>
      </w:r>
      <w:r w:rsidRPr="34B726C8">
        <w:rPr>
          <w:rFonts w:ascii="Arial" w:eastAsia="Arial" w:hAnsi="Arial" w:cs="Arial"/>
          <w:i/>
          <w:iCs/>
          <w:sz w:val="20"/>
          <w:szCs w:val="20"/>
        </w:rPr>
        <w:t xml:space="preserve">Case Study Research Defined. </w:t>
      </w:r>
      <w:proofErr w:type="spellStart"/>
      <w:proofErr w:type="gramStart"/>
      <w:r w:rsidRPr="34B726C8">
        <w:rPr>
          <w:rFonts w:ascii="Arial" w:eastAsia="Arial" w:hAnsi="Arial" w:cs="Arial"/>
          <w:sz w:val="20"/>
          <w:szCs w:val="20"/>
        </w:rPr>
        <w:t>doi</w:t>
      </w:r>
      <w:proofErr w:type="spellEnd"/>
      <w:r w:rsidRPr="34B726C8">
        <w:rPr>
          <w:rFonts w:ascii="Arial" w:eastAsia="Arial" w:hAnsi="Arial" w:cs="Arial"/>
          <w:i/>
          <w:iCs/>
          <w:sz w:val="20"/>
          <w:szCs w:val="20"/>
        </w:rPr>
        <w:t xml:space="preserve"> </w:t>
      </w:r>
      <w:r w:rsidRPr="34B726C8">
        <w:rPr>
          <w:rFonts w:ascii="Arial" w:eastAsia="Arial" w:hAnsi="Arial" w:cs="Arial"/>
          <w:sz w:val="20"/>
          <w:szCs w:val="20"/>
        </w:rPr>
        <w:t>:</w:t>
      </w:r>
      <w:proofErr w:type="gramEnd"/>
      <w:r w:rsidR="00000000">
        <w:fldChar w:fldCharType="begin"/>
      </w:r>
      <w:r w:rsidR="00000000">
        <w:instrText>HYPERLINK "http://dx.doi.org/10.5281/zenodo.7604301" \h</w:instrText>
      </w:r>
      <w:r w:rsidR="00000000">
        <w:fldChar w:fldCharType="separate"/>
      </w:r>
      <w:r w:rsidRPr="34B726C8">
        <w:rPr>
          <w:rStyle w:val="Hyperlink"/>
          <w:rFonts w:ascii="Arial" w:eastAsia="Arial" w:hAnsi="Arial" w:cs="Arial"/>
          <w:color w:val="auto"/>
          <w:sz w:val="20"/>
          <w:szCs w:val="20"/>
        </w:rPr>
        <w:t>10.5281/zenodo.7604301.</w:t>
      </w:r>
      <w:r w:rsidR="00000000">
        <w:rPr>
          <w:rStyle w:val="Hyperlink"/>
          <w:rFonts w:ascii="Arial" w:eastAsia="Arial" w:hAnsi="Arial" w:cs="Arial"/>
          <w:color w:val="auto"/>
          <w:sz w:val="20"/>
          <w:szCs w:val="20"/>
        </w:rPr>
        <w:fldChar w:fldCharType="end"/>
      </w:r>
      <w:r w:rsidRPr="34B726C8">
        <w:rPr>
          <w:rFonts w:ascii="Arial" w:eastAsia="Arial" w:hAnsi="Arial" w:cs="Arial"/>
          <w:sz w:val="20"/>
          <w:szCs w:val="20"/>
          <w:u w:val="single"/>
        </w:rPr>
        <w:t xml:space="preserve"> </w:t>
      </w:r>
    </w:p>
    <w:p w14:paraId="3994FC1F" w14:textId="0F410961" w:rsidR="5836BD06" w:rsidRDefault="5836BD06" w:rsidP="34B726C8">
      <w:pPr>
        <w:spacing w:before="240" w:after="240" w:line="276" w:lineRule="auto"/>
        <w:ind w:left="567" w:hanging="567"/>
        <w:rPr>
          <w:rFonts w:ascii="Arial" w:eastAsia="Arial" w:hAnsi="Arial" w:cs="Arial"/>
          <w:sz w:val="20"/>
          <w:szCs w:val="20"/>
        </w:rPr>
      </w:pPr>
      <w:r w:rsidRPr="34B726C8">
        <w:rPr>
          <w:rFonts w:ascii="Arial" w:eastAsia="Arial" w:hAnsi="Arial" w:cs="Arial"/>
          <w:sz w:val="20"/>
          <w:szCs w:val="20"/>
        </w:rPr>
        <w:t xml:space="preserve">Crossley, J. </w:t>
      </w:r>
      <w:r w:rsidRPr="34B726C8">
        <w:rPr>
          <w:rFonts w:ascii="Arial" w:eastAsia="Arial" w:hAnsi="Arial" w:cs="Arial"/>
          <w:i/>
          <w:iCs/>
          <w:sz w:val="20"/>
          <w:szCs w:val="20"/>
        </w:rPr>
        <w:t>et al.</w:t>
      </w:r>
      <w:r w:rsidRPr="34B726C8">
        <w:rPr>
          <w:rFonts w:ascii="Arial" w:eastAsia="Arial" w:hAnsi="Arial" w:cs="Arial"/>
          <w:sz w:val="20"/>
          <w:szCs w:val="20"/>
        </w:rPr>
        <w:t xml:space="preserve"> (2002) “</w:t>
      </w:r>
      <w:proofErr w:type="spellStart"/>
      <w:r w:rsidRPr="34B726C8">
        <w:rPr>
          <w:rFonts w:ascii="Arial" w:eastAsia="Arial" w:hAnsi="Arial" w:cs="Arial"/>
          <w:sz w:val="20"/>
          <w:szCs w:val="20"/>
        </w:rPr>
        <w:t>Generalisability</w:t>
      </w:r>
      <w:proofErr w:type="spellEnd"/>
      <w:r w:rsidRPr="34B726C8">
        <w:rPr>
          <w:rFonts w:ascii="Arial" w:eastAsia="Arial" w:hAnsi="Arial" w:cs="Arial"/>
          <w:sz w:val="20"/>
          <w:szCs w:val="20"/>
        </w:rPr>
        <w:t xml:space="preserve">: a key to unlock professional assessment,” </w:t>
      </w:r>
      <w:r w:rsidRPr="34B726C8">
        <w:rPr>
          <w:rFonts w:ascii="Arial" w:eastAsia="Arial" w:hAnsi="Arial" w:cs="Arial"/>
          <w:i/>
          <w:iCs/>
          <w:sz w:val="20"/>
          <w:szCs w:val="20"/>
        </w:rPr>
        <w:t>Medical education</w:t>
      </w:r>
      <w:r w:rsidRPr="34B726C8">
        <w:rPr>
          <w:rFonts w:ascii="Arial" w:eastAsia="Arial" w:hAnsi="Arial" w:cs="Arial"/>
          <w:sz w:val="20"/>
          <w:szCs w:val="20"/>
        </w:rPr>
        <w:t xml:space="preserve">, 36(10), pp. 972–978. Available at: </w:t>
      </w:r>
      <w:hyperlink r:id="rId25">
        <w:r w:rsidRPr="34B726C8">
          <w:rPr>
            <w:rStyle w:val="Hyperlink"/>
            <w:rFonts w:ascii="Arial" w:eastAsia="Arial" w:hAnsi="Arial" w:cs="Arial"/>
            <w:color w:val="auto"/>
            <w:sz w:val="20"/>
            <w:szCs w:val="20"/>
          </w:rPr>
          <w:t>https://doi.org/10.1046/j.1365-2923.2002.01320.x</w:t>
        </w:r>
      </w:hyperlink>
      <w:r w:rsidRPr="34B726C8">
        <w:rPr>
          <w:rFonts w:ascii="Arial" w:eastAsia="Arial" w:hAnsi="Arial" w:cs="Arial"/>
          <w:sz w:val="20"/>
          <w:szCs w:val="20"/>
        </w:rPr>
        <w:t>.</w:t>
      </w:r>
    </w:p>
    <w:p w14:paraId="1042349A" w14:textId="7C4690E1" w:rsidR="5836BD06" w:rsidRDefault="5836BD06" w:rsidP="34B726C8">
      <w:pPr>
        <w:spacing w:line="276" w:lineRule="auto"/>
      </w:pPr>
      <w:r w:rsidRPr="34B726C8">
        <w:rPr>
          <w:rFonts w:ascii="Arial" w:eastAsia="Arial" w:hAnsi="Arial" w:cs="Arial"/>
          <w:sz w:val="20"/>
          <w:szCs w:val="20"/>
        </w:rPr>
        <w:t xml:space="preserve">Dai, P. (2024) ‘The influence of teacher-student relationship on students’ learning’, </w:t>
      </w:r>
      <w:r w:rsidRPr="34B726C8">
        <w:rPr>
          <w:rFonts w:ascii="Arial" w:eastAsia="Arial" w:hAnsi="Arial" w:cs="Arial"/>
          <w:i/>
          <w:iCs/>
          <w:sz w:val="20"/>
          <w:szCs w:val="20"/>
        </w:rPr>
        <w:t>Lecture Notes in Education Psychology and Public Media</w:t>
      </w:r>
      <w:r w:rsidRPr="34B726C8">
        <w:rPr>
          <w:rFonts w:ascii="Arial" w:eastAsia="Arial" w:hAnsi="Arial" w:cs="Arial"/>
          <w:sz w:val="20"/>
          <w:szCs w:val="20"/>
        </w:rPr>
        <w:t>, 40(1), pp. 240–246. doi:10.54254/2753-7048/40/20240764.</w:t>
      </w:r>
    </w:p>
    <w:p w14:paraId="56AFBB7A" w14:textId="1ADC97BE" w:rsidR="5836BD06" w:rsidRDefault="5836BD06" w:rsidP="34B726C8">
      <w:pPr>
        <w:spacing w:line="276" w:lineRule="auto"/>
      </w:pPr>
      <w:r w:rsidRPr="34B726C8">
        <w:rPr>
          <w:rFonts w:ascii="Arial" w:eastAsia="Arial" w:hAnsi="Arial" w:cs="Arial"/>
          <w:sz w:val="20"/>
          <w:szCs w:val="20"/>
        </w:rPr>
        <w:t>Darom, E. and Rich, Y., 1988. Sex differences in attitudes toward school: Student self</w:t>
      </w:r>
      <w:r w:rsidRPr="34B726C8">
        <w:rPr>
          <w:rFonts w:ascii="Cambria Math" w:eastAsia="Cambria Math" w:hAnsi="Cambria Math" w:cs="Cambria Math"/>
          <w:sz w:val="20"/>
          <w:szCs w:val="20"/>
        </w:rPr>
        <w:t>‐</w:t>
      </w:r>
      <w:r w:rsidRPr="34B726C8">
        <w:rPr>
          <w:rFonts w:ascii="Arial" w:eastAsia="Arial" w:hAnsi="Arial" w:cs="Arial"/>
          <w:sz w:val="20"/>
          <w:szCs w:val="20"/>
        </w:rPr>
        <w:t xml:space="preserve">reports and teacher perceptions. </w:t>
      </w:r>
      <w:r w:rsidRPr="34B726C8">
        <w:rPr>
          <w:rFonts w:ascii="Arial" w:eastAsia="Arial" w:hAnsi="Arial" w:cs="Arial"/>
          <w:i/>
          <w:iCs/>
          <w:sz w:val="20"/>
          <w:szCs w:val="20"/>
        </w:rPr>
        <w:t>British Journal of Educational Psychology</w:t>
      </w:r>
      <w:r w:rsidRPr="34B726C8">
        <w:rPr>
          <w:rFonts w:ascii="Arial" w:eastAsia="Arial" w:hAnsi="Arial" w:cs="Arial"/>
          <w:sz w:val="20"/>
          <w:szCs w:val="20"/>
        </w:rPr>
        <w:t xml:space="preserve">, </w:t>
      </w:r>
      <w:r w:rsidRPr="34B726C8">
        <w:rPr>
          <w:rFonts w:ascii="Arial" w:eastAsia="Arial" w:hAnsi="Arial" w:cs="Arial"/>
          <w:i/>
          <w:iCs/>
          <w:sz w:val="20"/>
          <w:szCs w:val="20"/>
        </w:rPr>
        <w:t>58</w:t>
      </w:r>
      <w:r w:rsidRPr="34B726C8">
        <w:rPr>
          <w:rFonts w:ascii="Arial" w:eastAsia="Arial" w:hAnsi="Arial" w:cs="Arial"/>
          <w:sz w:val="20"/>
          <w:szCs w:val="20"/>
        </w:rPr>
        <w:t>(3), pp.350-355.</w:t>
      </w:r>
    </w:p>
    <w:p w14:paraId="16480FDE" w14:textId="4A99A464" w:rsidR="5836BD06" w:rsidRDefault="5836BD06" w:rsidP="34B726C8">
      <w:pPr>
        <w:spacing w:line="276" w:lineRule="auto"/>
      </w:pPr>
      <w:proofErr w:type="spellStart"/>
      <w:r w:rsidRPr="34B726C8">
        <w:rPr>
          <w:rFonts w:ascii="Arial" w:eastAsia="Arial" w:hAnsi="Arial" w:cs="Arial"/>
          <w:sz w:val="20"/>
          <w:szCs w:val="20"/>
          <w:lang w:val="fr-FR"/>
        </w:rPr>
        <w:t>Denscombe</w:t>
      </w:r>
      <w:proofErr w:type="spellEnd"/>
      <w:r w:rsidRPr="34B726C8">
        <w:rPr>
          <w:rFonts w:ascii="Arial" w:eastAsia="Arial" w:hAnsi="Arial" w:cs="Arial"/>
          <w:sz w:val="20"/>
          <w:szCs w:val="20"/>
          <w:lang w:val="fr-FR"/>
        </w:rPr>
        <w:t xml:space="preserve">, </w:t>
      </w:r>
      <w:proofErr w:type="spellStart"/>
      <w:r w:rsidRPr="34B726C8">
        <w:rPr>
          <w:rFonts w:ascii="Arial" w:eastAsia="Arial" w:hAnsi="Arial" w:cs="Arial"/>
          <w:sz w:val="20"/>
          <w:szCs w:val="20"/>
          <w:lang w:val="fr-FR"/>
        </w:rPr>
        <w:t>Martyn</w:t>
      </w:r>
      <w:proofErr w:type="spellEnd"/>
      <w:r w:rsidRPr="34B726C8">
        <w:rPr>
          <w:rFonts w:ascii="Arial" w:eastAsia="Arial" w:hAnsi="Arial" w:cs="Arial"/>
          <w:sz w:val="20"/>
          <w:szCs w:val="20"/>
          <w:lang w:val="fr-FR"/>
        </w:rPr>
        <w:t xml:space="preserve">. (2014) </w:t>
      </w:r>
      <w:r w:rsidRPr="34B726C8">
        <w:rPr>
          <w:rFonts w:ascii="Arial" w:eastAsia="Arial" w:hAnsi="Arial" w:cs="Arial"/>
          <w:i/>
          <w:iCs/>
          <w:sz w:val="20"/>
          <w:szCs w:val="20"/>
          <w:lang w:val="fr-FR"/>
        </w:rPr>
        <w:t xml:space="preserve">Good </w:t>
      </w:r>
      <w:proofErr w:type="spellStart"/>
      <w:r w:rsidRPr="34B726C8">
        <w:rPr>
          <w:rFonts w:ascii="Arial" w:eastAsia="Arial" w:hAnsi="Arial" w:cs="Arial"/>
          <w:i/>
          <w:iCs/>
          <w:sz w:val="20"/>
          <w:szCs w:val="20"/>
          <w:lang w:val="fr-FR"/>
        </w:rPr>
        <w:t>Research</w:t>
      </w:r>
      <w:proofErr w:type="spellEnd"/>
      <w:r w:rsidRPr="34B726C8">
        <w:rPr>
          <w:rFonts w:ascii="Arial" w:eastAsia="Arial" w:hAnsi="Arial" w:cs="Arial"/>
          <w:i/>
          <w:iCs/>
          <w:sz w:val="20"/>
          <w:szCs w:val="20"/>
          <w:lang w:val="fr-FR"/>
        </w:rPr>
        <w:t xml:space="preserve"> Guide For Small-</w:t>
      </w:r>
      <w:proofErr w:type="spellStart"/>
      <w:r w:rsidRPr="34B726C8">
        <w:rPr>
          <w:rFonts w:ascii="Arial" w:eastAsia="Arial" w:hAnsi="Arial" w:cs="Arial"/>
          <w:i/>
          <w:iCs/>
          <w:sz w:val="20"/>
          <w:szCs w:val="20"/>
          <w:lang w:val="fr-FR"/>
        </w:rPr>
        <w:t>Scale</w:t>
      </w:r>
      <w:proofErr w:type="spellEnd"/>
      <w:r w:rsidRPr="34B726C8">
        <w:rPr>
          <w:rFonts w:ascii="Arial" w:eastAsia="Arial" w:hAnsi="Arial" w:cs="Arial"/>
          <w:i/>
          <w:iCs/>
          <w:sz w:val="20"/>
          <w:szCs w:val="20"/>
          <w:lang w:val="fr-FR"/>
        </w:rPr>
        <w:t xml:space="preserve"> Social </w:t>
      </w:r>
      <w:proofErr w:type="spellStart"/>
      <w:r w:rsidRPr="34B726C8">
        <w:rPr>
          <w:rFonts w:ascii="Arial" w:eastAsia="Arial" w:hAnsi="Arial" w:cs="Arial"/>
          <w:i/>
          <w:iCs/>
          <w:sz w:val="20"/>
          <w:szCs w:val="20"/>
          <w:lang w:val="fr-FR"/>
        </w:rPr>
        <w:t>Research</w:t>
      </w:r>
      <w:proofErr w:type="spellEnd"/>
      <w:r w:rsidRPr="34B726C8">
        <w:rPr>
          <w:rFonts w:ascii="Arial" w:eastAsia="Arial" w:hAnsi="Arial" w:cs="Arial"/>
          <w:i/>
          <w:iCs/>
          <w:sz w:val="20"/>
          <w:szCs w:val="20"/>
          <w:lang w:val="fr-FR"/>
        </w:rPr>
        <w:t xml:space="preserve"> </w:t>
      </w:r>
      <w:proofErr w:type="spellStart"/>
      <w:r w:rsidRPr="34B726C8">
        <w:rPr>
          <w:rFonts w:ascii="Arial" w:eastAsia="Arial" w:hAnsi="Arial" w:cs="Arial"/>
          <w:i/>
          <w:iCs/>
          <w:sz w:val="20"/>
          <w:szCs w:val="20"/>
          <w:lang w:val="fr-FR"/>
        </w:rPr>
        <w:t>Projects</w:t>
      </w:r>
      <w:proofErr w:type="spellEnd"/>
      <w:r w:rsidRPr="34B726C8">
        <w:rPr>
          <w:rFonts w:ascii="Arial" w:eastAsia="Arial" w:hAnsi="Arial" w:cs="Arial"/>
          <w:sz w:val="20"/>
          <w:szCs w:val="20"/>
          <w:lang w:val="fr-FR"/>
        </w:rPr>
        <w:t xml:space="preserve">. 5th </w:t>
      </w:r>
      <w:proofErr w:type="spellStart"/>
      <w:r w:rsidRPr="34B726C8">
        <w:rPr>
          <w:rFonts w:ascii="Arial" w:eastAsia="Arial" w:hAnsi="Arial" w:cs="Arial"/>
          <w:sz w:val="20"/>
          <w:szCs w:val="20"/>
          <w:lang w:val="fr-FR"/>
        </w:rPr>
        <w:t>ed</w:t>
      </w:r>
      <w:proofErr w:type="spellEnd"/>
      <w:r w:rsidRPr="34B726C8">
        <w:rPr>
          <w:rFonts w:ascii="Arial" w:eastAsia="Arial" w:hAnsi="Arial" w:cs="Arial"/>
          <w:sz w:val="20"/>
          <w:szCs w:val="20"/>
          <w:lang w:val="fr-FR"/>
        </w:rPr>
        <w:t>. McGraw-Hill Education</w:t>
      </w:r>
    </w:p>
    <w:p w14:paraId="12C3AEBF" w14:textId="0456ECA0" w:rsidR="5836BD06" w:rsidRDefault="5836BD06" w:rsidP="34B726C8">
      <w:pPr>
        <w:spacing w:line="276" w:lineRule="auto"/>
      </w:pPr>
      <w:r w:rsidRPr="34B726C8">
        <w:rPr>
          <w:rFonts w:ascii="Arial" w:eastAsia="Arial" w:hAnsi="Arial" w:cs="Arial"/>
          <w:sz w:val="20"/>
          <w:szCs w:val="20"/>
        </w:rPr>
        <w:t xml:space="preserve">Dogan, T., </w:t>
      </w:r>
      <w:proofErr w:type="spellStart"/>
      <w:r w:rsidRPr="34B726C8">
        <w:rPr>
          <w:rFonts w:ascii="Arial" w:eastAsia="Arial" w:hAnsi="Arial" w:cs="Arial"/>
          <w:sz w:val="20"/>
          <w:szCs w:val="20"/>
        </w:rPr>
        <w:t>Totan</w:t>
      </w:r>
      <w:proofErr w:type="spellEnd"/>
      <w:r w:rsidRPr="34B726C8">
        <w:rPr>
          <w:rFonts w:ascii="Arial" w:eastAsia="Arial" w:hAnsi="Arial" w:cs="Arial"/>
          <w:sz w:val="20"/>
          <w:szCs w:val="20"/>
        </w:rPr>
        <w:t xml:space="preserve">, T. and </w:t>
      </w:r>
      <w:proofErr w:type="spellStart"/>
      <w:r w:rsidRPr="34B726C8">
        <w:rPr>
          <w:rFonts w:ascii="Arial" w:eastAsia="Arial" w:hAnsi="Arial" w:cs="Arial"/>
          <w:sz w:val="20"/>
          <w:szCs w:val="20"/>
        </w:rPr>
        <w:t>Sapmaz</w:t>
      </w:r>
      <w:proofErr w:type="spellEnd"/>
      <w:r w:rsidRPr="34B726C8">
        <w:rPr>
          <w:rFonts w:ascii="Arial" w:eastAsia="Arial" w:hAnsi="Arial" w:cs="Arial"/>
          <w:sz w:val="20"/>
          <w:szCs w:val="20"/>
        </w:rPr>
        <w:t xml:space="preserve">, F., 2013. The role of self-esteem, psychological well-being, emotional self-efficacy, and affect balance on happiness: A path model. </w:t>
      </w:r>
      <w:r w:rsidRPr="34B726C8">
        <w:rPr>
          <w:rFonts w:ascii="Arial" w:eastAsia="Arial" w:hAnsi="Arial" w:cs="Arial"/>
          <w:i/>
          <w:iCs/>
          <w:sz w:val="20"/>
          <w:szCs w:val="20"/>
        </w:rPr>
        <w:t>European Scientific Journal</w:t>
      </w:r>
      <w:r w:rsidRPr="34B726C8">
        <w:rPr>
          <w:rFonts w:ascii="Arial" w:eastAsia="Arial" w:hAnsi="Arial" w:cs="Arial"/>
          <w:sz w:val="20"/>
          <w:szCs w:val="20"/>
        </w:rPr>
        <w:t xml:space="preserve">, </w:t>
      </w:r>
      <w:r w:rsidRPr="34B726C8">
        <w:rPr>
          <w:rFonts w:ascii="Arial" w:eastAsia="Arial" w:hAnsi="Arial" w:cs="Arial"/>
          <w:i/>
          <w:iCs/>
          <w:sz w:val="20"/>
          <w:szCs w:val="20"/>
        </w:rPr>
        <w:t>9</w:t>
      </w:r>
      <w:r w:rsidRPr="34B726C8">
        <w:rPr>
          <w:rFonts w:ascii="Arial" w:eastAsia="Arial" w:hAnsi="Arial" w:cs="Arial"/>
          <w:sz w:val="20"/>
          <w:szCs w:val="20"/>
        </w:rPr>
        <w:t>(20).</w:t>
      </w:r>
    </w:p>
    <w:p w14:paraId="1190108B" w14:textId="7D4025D1" w:rsidR="5836BD06" w:rsidRDefault="5836BD06" w:rsidP="34B726C8">
      <w:pPr>
        <w:spacing w:line="276" w:lineRule="auto"/>
      </w:pPr>
      <w:r w:rsidRPr="34B726C8">
        <w:rPr>
          <w:rFonts w:ascii="Arial" w:eastAsia="Arial" w:hAnsi="Arial" w:cs="Arial"/>
          <w:sz w:val="20"/>
          <w:szCs w:val="20"/>
        </w:rPr>
        <w:t>Dweck, C, PH. D. (2006). Mindset: The new psychology of success. Ballantine books</w:t>
      </w:r>
    </w:p>
    <w:p w14:paraId="159B79B5" w14:textId="07F0B09D" w:rsidR="5836BD06" w:rsidRDefault="5836BD06" w:rsidP="34B726C8">
      <w:pPr>
        <w:spacing w:line="276" w:lineRule="auto"/>
      </w:pPr>
      <w:r w:rsidRPr="34B726C8">
        <w:rPr>
          <w:rFonts w:ascii="Arial" w:eastAsia="Arial" w:hAnsi="Arial" w:cs="Arial"/>
          <w:sz w:val="20"/>
          <w:szCs w:val="20"/>
        </w:rPr>
        <w:t xml:space="preserve">Dweck, C. and Yeager, D., 2020. A growth mindset about intelligence. </w:t>
      </w:r>
      <w:r w:rsidRPr="34B726C8">
        <w:rPr>
          <w:rFonts w:ascii="Arial" w:eastAsia="Arial" w:hAnsi="Arial" w:cs="Arial"/>
          <w:i/>
          <w:iCs/>
          <w:sz w:val="20"/>
          <w:szCs w:val="20"/>
        </w:rPr>
        <w:t>Handbook of wise interventions: How social psychology can help people change</w:t>
      </w:r>
      <w:r w:rsidRPr="34B726C8">
        <w:rPr>
          <w:rFonts w:ascii="Arial" w:eastAsia="Arial" w:hAnsi="Arial" w:cs="Arial"/>
          <w:sz w:val="20"/>
          <w:szCs w:val="20"/>
        </w:rPr>
        <w:t>, pp.9-35.</w:t>
      </w:r>
    </w:p>
    <w:p w14:paraId="0AA1A88A" w14:textId="17E1A159" w:rsidR="5836BD06" w:rsidRDefault="5836BD06" w:rsidP="34B726C8">
      <w:pPr>
        <w:spacing w:line="276" w:lineRule="auto"/>
        <w:ind w:right="-20"/>
      </w:pPr>
      <w:proofErr w:type="spellStart"/>
      <w:r w:rsidRPr="34B726C8">
        <w:rPr>
          <w:rFonts w:ascii="Arial" w:eastAsia="Arial" w:hAnsi="Arial" w:cs="Arial"/>
          <w:color w:val="000000" w:themeColor="text1"/>
          <w:sz w:val="20"/>
          <w:szCs w:val="20"/>
        </w:rPr>
        <w:t>Estyn</w:t>
      </w:r>
      <w:proofErr w:type="spellEnd"/>
      <w:r w:rsidRPr="34B726C8">
        <w:rPr>
          <w:rFonts w:ascii="Arial" w:eastAsia="Arial" w:hAnsi="Arial" w:cs="Arial"/>
          <w:color w:val="000000" w:themeColor="text1"/>
          <w:sz w:val="20"/>
          <w:szCs w:val="20"/>
        </w:rPr>
        <w:t xml:space="preserve"> (2016). A report on </w:t>
      </w:r>
      <w:r w:rsidRPr="34B726C8">
        <w:rPr>
          <w:rFonts w:ascii="Arial" w:eastAsia="Arial" w:hAnsi="Arial" w:cs="Arial"/>
          <w:color w:val="FFFFFF" w:themeColor="background1"/>
          <w:sz w:val="20"/>
          <w:szCs w:val="20"/>
        </w:rPr>
        <w:t xml:space="preserve">Pembroke Dock CP School. </w:t>
      </w:r>
      <w:r w:rsidRPr="34B726C8">
        <w:rPr>
          <w:rFonts w:ascii="Arial" w:eastAsia="Arial" w:hAnsi="Arial" w:cs="Arial"/>
          <w:sz w:val="20"/>
          <w:szCs w:val="20"/>
        </w:rPr>
        <w:t xml:space="preserve">Available at: </w:t>
      </w:r>
      <w:hyperlink r:id="rId26">
        <w:r w:rsidRPr="34B726C8">
          <w:rPr>
            <w:rStyle w:val="Hyperlink"/>
            <w:rFonts w:ascii="Arial" w:eastAsia="Arial" w:hAnsi="Arial" w:cs="Arial"/>
            <w:color w:val="auto"/>
            <w:sz w:val="20"/>
            <w:szCs w:val="20"/>
          </w:rPr>
          <w:t>Inspection Report Template (</w:t>
        </w:r>
        <w:proofErr w:type="spellStart"/>
        <w:r w:rsidRPr="34B726C8">
          <w:rPr>
            <w:rStyle w:val="Hyperlink"/>
            <w:rFonts w:ascii="Arial" w:eastAsia="Arial" w:hAnsi="Arial" w:cs="Arial"/>
            <w:color w:val="auto"/>
            <w:sz w:val="20"/>
            <w:szCs w:val="20"/>
          </w:rPr>
          <w:t>gov.wales</w:t>
        </w:r>
        <w:proofErr w:type="spellEnd"/>
        <w:r w:rsidRPr="34B726C8">
          <w:rPr>
            <w:rStyle w:val="Hyperlink"/>
            <w:rFonts w:ascii="Arial" w:eastAsia="Arial" w:hAnsi="Arial" w:cs="Arial"/>
            <w:color w:val="auto"/>
            <w:sz w:val="20"/>
            <w:szCs w:val="20"/>
          </w:rPr>
          <w:t>)</w:t>
        </w:r>
      </w:hyperlink>
    </w:p>
    <w:p w14:paraId="73B366D3" w14:textId="52FF9DC0" w:rsidR="5836BD06" w:rsidRDefault="5836BD06" w:rsidP="34B726C8">
      <w:pPr>
        <w:spacing w:line="276" w:lineRule="auto"/>
      </w:pPr>
      <w:r w:rsidRPr="34B726C8">
        <w:rPr>
          <w:rFonts w:ascii="Arial" w:eastAsia="Arial" w:hAnsi="Arial" w:cs="Arial"/>
          <w:sz w:val="20"/>
          <w:szCs w:val="20"/>
        </w:rPr>
        <w:t>Flick, U. (2014) An Introduction to Qualitative Research (5th edition). London: Sage Publications.</w:t>
      </w:r>
    </w:p>
    <w:p w14:paraId="3C9DC7E2" w14:textId="30CC90BB" w:rsidR="5836BD06" w:rsidRDefault="5836BD06" w:rsidP="34B726C8">
      <w:pPr>
        <w:spacing w:line="276" w:lineRule="auto"/>
      </w:pPr>
      <w:r w:rsidRPr="34B726C8">
        <w:rPr>
          <w:rFonts w:ascii="Arial" w:eastAsia="Arial" w:hAnsi="Arial" w:cs="Arial"/>
          <w:sz w:val="20"/>
          <w:szCs w:val="20"/>
        </w:rPr>
        <w:t xml:space="preserve">Fox, K.R., 1999. The influence of physical activity on mental well-being. </w:t>
      </w:r>
      <w:r w:rsidRPr="34B726C8">
        <w:rPr>
          <w:rFonts w:ascii="Arial" w:eastAsia="Arial" w:hAnsi="Arial" w:cs="Arial"/>
          <w:i/>
          <w:iCs/>
          <w:sz w:val="20"/>
          <w:szCs w:val="20"/>
        </w:rPr>
        <w:t>Public health nutrition</w:t>
      </w:r>
      <w:r w:rsidRPr="34B726C8">
        <w:rPr>
          <w:rFonts w:ascii="Arial" w:eastAsia="Arial" w:hAnsi="Arial" w:cs="Arial"/>
          <w:sz w:val="20"/>
          <w:szCs w:val="20"/>
        </w:rPr>
        <w:t xml:space="preserve">, </w:t>
      </w:r>
      <w:r w:rsidRPr="34B726C8">
        <w:rPr>
          <w:rFonts w:ascii="Arial" w:eastAsia="Arial" w:hAnsi="Arial" w:cs="Arial"/>
          <w:i/>
          <w:iCs/>
          <w:sz w:val="20"/>
          <w:szCs w:val="20"/>
        </w:rPr>
        <w:t>2</w:t>
      </w:r>
      <w:r w:rsidRPr="34B726C8">
        <w:rPr>
          <w:rFonts w:ascii="Arial" w:eastAsia="Arial" w:hAnsi="Arial" w:cs="Arial"/>
          <w:sz w:val="20"/>
          <w:szCs w:val="20"/>
        </w:rPr>
        <w:t>(3a), pp.411-418.</w:t>
      </w:r>
    </w:p>
    <w:p w14:paraId="64F592CC" w14:textId="32013DA3" w:rsidR="5836BD06" w:rsidRDefault="5836BD06" w:rsidP="34B726C8">
      <w:pPr>
        <w:spacing w:before="240" w:after="240" w:line="276" w:lineRule="auto"/>
        <w:ind w:left="567" w:hanging="567"/>
      </w:pPr>
      <w:r w:rsidRPr="34B726C8">
        <w:rPr>
          <w:rFonts w:ascii="Arial" w:eastAsia="Arial" w:hAnsi="Arial" w:cs="Arial"/>
          <w:sz w:val="20"/>
          <w:szCs w:val="20"/>
        </w:rPr>
        <w:t xml:space="preserve">Gottfried, A.E. (1985) ‘Academic intrinsic motivation in elementary and junior high school students.’, </w:t>
      </w:r>
      <w:r w:rsidRPr="34B726C8">
        <w:rPr>
          <w:rFonts w:ascii="Arial" w:eastAsia="Arial" w:hAnsi="Arial" w:cs="Arial"/>
          <w:i/>
          <w:iCs/>
          <w:sz w:val="20"/>
          <w:szCs w:val="20"/>
        </w:rPr>
        <w:t>Journal of Educational Psychology</w:t>
      </w:r>
      <w:r w:rsidRPr="34B726C8">
        <w:rPr>
          <w:rFonts w:ascii="Arial" w:eastAsia="Arial" w:hAnsi="Arial" w:cs="Arial"/>
          <w:sz w:val="20"/>
          <w:szCs w:val="20"/>
        </w:rPr>
        <w:t>, 77(6), pp. 631–645. doi:10.1037/0022-0663.77.6.631.</w:t>
      </w:r>
    </w:p>
    <w:p w14:paraId="220C4873" w14:textId="46CB01A3" w:rsidR="5836BD06" w:rsidRDefault="5836BD06" w:rsidP="34B726C8">
      <w:pPr>
        <w:spacing w:line="276" w:lineRule="auto"/>
      </w:pPr>
      <w:r w:rsidRPr="34B726C8">
        <w:rPr>
          <w:rFonts w:ascii="Arial" w:eastAsia="Arial" w:hAnsi="Arial" w:cs="Arial"/>
          <w:sz w:val="20"/>
          <w:szCs w:val="20"/>
        </w:rPr>
        <w:t xml:space="preserve">Grimm, P., 2010. Social desirability bias. </w:t>
      </w:r>
      <w:r w:rsidRPr="34B726C8">
        <w:rPr>
          <w:rFonts w:ascii="Arial" w:eastAsia="Arial" w:hAnsi="Arial" w:cs="Arial"/>
          <w:i/>
          <w:iCs/>
          <w:sz w:val="20"/>
          <w:szCs w:val="20"/>
        </w:rPr>
        <w:t xml:space="preserve">Wiley </w:t>
      </w:r>
      <w:proofErr w:type="gramStart"/>
      <w:r w:rsidRPr="34B726C8">
        <w:rPr>
          <w:rFonts w:ascii="Arial" w:eastAsia="Arial" w:hAnsi="Arial" w:cs="Arial"/>
          <w:i/>
          <w:iCs/>
          <w:sz w:val="20"/>
          <w:szCs w:val="20"/>
        </w:rPr>
        <w:t>international encyclopedia</w:t>
      </w:r>
      <w:proofErr w:type="gramEnd"/>
      <w:r w:rsidRPr="34B726C8">
        <w:rPr>
          <w:rFonts w:ascii="Arial" w:eastAsia="Arial" w:hAnsi="Arial" w:cs="Arial"/>
          <w:i/>
          <w:iCs/>
          <w:sz w:val="20"/>
          <w:szCs w:val="20"/>
        </w:rPr>
        <w:t xml:space="preserve"> of marketing</w:t>
      </w:r>
      <w:r w:rsidRPr="34B726C8">
        <w:rPr>
          <w:rFonts w:ascii="Arial" w:eastAsia="Arial" w:hAnsi="Arial" w:cs="Arial"/>
          <w:sz w:val="20"/>
          <w:szCs w:val="20"/>
        </w:rPr>
        <w:t>.</w:t>
      </w:r>
    </w:p>
    <w:p w14:paraId="1C2832D4" w14:textId="6E00964E" w:rsidR="5836BD06" w:rsidRDefault="5836BD06" w:rsidP="34B726C8">
      <w:pPr>
        <w:spacing w:line="276" w:lineRule="auto"/>
      </w:pPr>
      <w:r w:rsidRPr="34B726C8">
        <w:rPr>
          <w:rFonts w:ascii="Arial" w:eastAsia="Arial" w:hAnsi="Arial" w:cs="Arial"/>
          <w:sz w:val="20"/>
          <w:szCs w:val="20"/>
        </w:rPr>
        <w:t xml:space="preserve">Huan, V.S., Choon Lang Quek, G., Yeo, L.S., Ang, R.P. and Chong, W.H., 2012. How Teacher-Student Relationship Influenced Student Attitude Towards Teachers and School. </w:t>
      </w:r>
      <w:r w:rsidRPr="34B726C8">
        <w:rPr>
          <w:rFonts w:ascii="Arial" w:eastAsia="Arial" w:hAnsi="Arial" w:cs="Arial"/>
          <w:i/>
          <w:iCs/>
          <w:sz w:val="20"/>
          <w:szCs w:val="20"/>
        </w:rPr>
        <w:t>Asia-Pacific Education Researcher (De La Salle University Manila)</w:t>
      </w:r>
      <w:r w:rsidRPr="34B726C8">
        <w:rPr>
          <w:rFonts w:ascii="Arial" w:eastAsia="Arial" w:hAnsi="Arial" w:cs="Arial"/>
          <w:sz w:val="20"/>
          <w:szCs w:val="20"/>
        </w:rPr>
        <w:t xml:space="preserve">, </w:t>
      </w:r>
      <w:r w:rsidRPr="34B726C8">
        <w:rPr>
          <w:rFonts w:ascii="Arial" w:eastAsia="Arial" w:hAnsi="Arial" w:cs="Arial"/>
          <w:i/>
          <w:iCs/>
          <w:sz w:val="20"/>
          <w:szCs w:val="20"/>
        </w:rPr>
        <w:t>21</w:t>
      </w:r>
      <w:r w:rsidRPr="34B726C8">
        <w:rPr>
          <w:rFonts w:ascii="Arial" w:eastAsia="Arial" w:hAnsi="Arial" w:cs="Arial"/>
          <w:sz w:val="20"/>
          <w:szCs w:val="20"/>
        </w:rPr>
        <w:t>(1).</w:t>
      </w:r>
    </w:p>
    <w:p w14:paraId="7A2E5A96" w14:textId="241E7B3A" w:rsidR="5836BD06" w:rsidRDefault="5836BD06" w:rsidP="34B726C8">
      <w:pPr>
        <w:pStyle w:val="Heading1"/>
        <w:shd w:val="clear" w:color="auto" w:fill="FFFFFF" w:themeFill="background1"/>
        <w:spacing w:before="0" w:after="375" w:line="276" w:lineRule="auto"/>
        <w:ind w:left="-20" w:right="-20"/>
      </w:pPr>
      <w:r w:rsidRPr="34B726C8">
        <w:rPr>
          <w:rFonts w:ascii="Arial" w:eastAsia="Arial" w:hAnsi="Arial" w:cs="Arial"/>
          <w:color w:val="000000" w:themeColor="text1"/>
          <w:sz w:val="20"/>
          <w:szCs w:val="20"/>
        </w:rPr>
        <w:t xml:space="preserve">Jeremy Miles (2023) </w:t>
      </w:r>
      <w:r w:rsidRPr="34B726C8">
        <w:rPr>
          <w:rFonts w:ascii="Arial" w:eastAsia="Arial" w:hAnsi="Arial" w:cs="Arial"/>
          <w:i/>
          <w:iCs/>
          <w:color w:val="000000" w:themeColor="text1"/>
          <w:sz w:val="20"/>
          <w:szCs w:val="20"/>
        </w:rPr>
        <w:t>National effort needed to increase school attendance post pandemic – Education Minister says.</w:t>
      </w:r>
      <w:r w:rsidRPr="34B726C8">
        <w:rPr>
          <w:rFonts w:ascii="Arial" w:eastAsia="Arial" w:hAnsi="Arial" w:cs="Arial"/>
          <w:color w:val="000000" w:themeColor="text1"/>
          <w:sz w:val="20"/>
          <w:szCs w:val="20"/>
        </w:rPr>
        <w:t xml:space="preserve"> Available at: </w:t>
      </w:r>
      <w:hyperlink r:id="rId27">
        <w:r w:rsidRPr="34B726C8">
          <w:rPr>
            <w:rStyle w:val="Hyperlink"/>
            <w:rFonts w:ascii="Arial" w:eastAsia="Arial" w:hAnsi="Arial" w:cs="Arial"/>
            <w:color w:val="000000" w:themeColor="text1"/>
            <w:sz w:val="20"/>
            <w:szCs w:val="20"/>
          </w:rPr>
          <w:t>National effort needed to increase school attendance post pandemic – Education Minister says | GOV.WALES</w:t>
        </w:r>
      </w:hyperlink>
    </w:p>
    <w:p w14:paraId="3C4220F2" w14:textId="19476947" w:rsidR="5836BD06" w:rsidRDefault="5836BD06" w:rsidP="34B726C8">
      <w:pPr>
        <w:spacing w:line="276" w:lineRule="auto"/>
      </w:pPr>
      <w:r w:rsidRPr="34B726C8">
        <w:rPr>
          <w:rFonts w:ascii="Arial" w:eastAsia="Arial" w:hAnsi="Arial" w:cs="Arial"/>
          <w:sz w:val="20"/>
          <w:szCs w:val="20"/>
        </w:rPr>
        <w:t xml:space="preserve">Kelly, B.T., 2003. Focus group interviews. </w:t>
      </w:r>
      <w:r w:rsidRPr="34B726C8">
        <w:rPr>
          <w:rFonts w:ascii="Arial" w:eastAsia="Arial" w:hAnsi="Arial" w:cs="Arial"/>
          <w:i/>
          <w:iCs/>
          <w:sz w:val="20"/>
          <w:szCs w:val="20"/>
        </w:rPr>
        <w:t>Research in the college context: Approaches and methods</w:t>
      </w:r>
      <w:r w:rsidRPr="34B726C8">
        <w:rPr>
          <w:rFonts w:ascii="Arial" w:eastAsia="Arial" w:hAnsi="Arial" w:cs="Arial"/>
          <w:sz w:val="20"/>
          <w:szCs w:val="20"/>
        </w:rPr>
        <w:t>, pp.49-62.</w:t>
      </w:r>
    </w:p>
    <w:p w14:paraId="70209595" w14:textId="3B63E55C" w:rsidR="5836BD06" w:rsidRDefault="5836BD06" w:rsidP="34B726C8">
      <w:pPr>
        <w:spacing w:line="276" w:lineRule="auto"/>
      </w:pPr>
      <w:proofErr w:type="spellStart"/>
      <w:r w:rsidRPr="34B726C8">
        <w:rPr>
          <w:rFonts w:ascii="Arial" w:eastAsia="Arial" w:hAnsi="Arial" w:cs="Arial"/>
          <w:sz w:val="20"/>
          <w:szCs w:val="20"/>
        </w:rPr>
        <w:t>Kpolovie</w:t>
      </w:r>
      <w:proofErr w:type="spellEnd"/>
      <w:r w:rsidRPr="34B726C8">
        <w:rPr>
          <w:rFonts w:ascii="Arial" w:eastAsia="Arial" w:hAnsi="Arial" w:cs="Arial"/>
          <w:sz w:val="20"/>
          <w:szCs w:val="20"/>
        </w:rPr>
        <w:t xml:space="preserve">, P.J., Joe, A.I. and </w:t>
      </w:r>
      <w:proofErr w:type="spellStart"/>
      <w:r w:rsidRPr="34B726C8">
        <w:rPr>
          <w:rFonts w:ascii="Arial" w:eastAsia="Arial" w:hAnsi="Arial" w:cs="Arial"/>
          <w:sz w:val="20"/>
          <w:szCs w:val="20"/>
        </w:rPr>
        <w:t>Okoto</w:t>
      </w:r>
      <w:proofErr w:type="spellEnd"/>
      <w:r w:rsidRPr="34B726C8">
        <w:rPr>
          <w:rFonts w:ascii="Arial" w:eastAsia="Arial" w:hAnsi="Arial" w:cs="Arial"/>
          <w:sz w:val="20"/>
          <w:szCs w:val="20"/>
        </w:rPr>
        <w:t xml:space="preserve">, T., 2014. Academic achievement prediction: Role of interest in learning and attitude towards school. </w:t>
      </w:r>
      <w:r w:rsidRPr="34B726C8">
        <w:rPr>
          <w:rFonts w:ascii="Arial" w:eastAsia="Arial" w:hAnsi="Arial" w:cs="Arial"/>
          <w:i/>
          <w:iCs/>
          <w:sz w:val="20"/>
          <w:szCs w:val="20"/>
        </w:rPr>
        <w:t>International Journal of Humanities Social Sciences and Education (IJHSSE)</w:t>
      </w:r>
      <w:r w:rsidRPr="34B726C8">
        <w:rPr>
          <w:rFonts w:ascii="Arial" w:eastAsia="Arial" w:hAnsi="Arial" w:cs="Arial"/>
          <w:sz w:val="20"/>
          <w:szCs w:val="20"/>
        </w:rPr>
        <w:t xml:space="preserve">, </w:t>
      </w:r>
      <w:r w:rsidRPr="34B726C8">
        <w:rPr>
          <w:rFonts w:ascii="Arial" w:eastAsia="Arial" w:hAnsi="Arial" w:cs="Arial"/>
          <w:i/>
          <w:iCs/>
          <w:sz w:val="20"/>
          <w:szCs w:val="20"/>
        </w:rPr>
        <w:t>1</w:t>
      </w:r>
      <w:r w:rsidRPr="34B726C8">
        <w:rPr>
          <w:rFonts w:ascii="Arial" w:eastAsia="Arial" w:hAnsi="Arial" w:cs="Arial"/>
          <w:sz w:val="20"/>
          <w:szCs w:val="20"/>
        </w:rPr>
        <w:t>(11), pp.73-100.</w:t>
      </w:r>
    </w:p>
    <w:p w14:paraId="748BB0A2" w14:textId="08BC244C"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Likert, R., 1932. A technique for the measurement of attitudes. </w:t>
      </w:r>
      <w:r w:rsidRPr="34B726C8">
        <w:rPr>
          <w:rFonts w:ascii="Arial" w:eastAsia="Arial" w:hAnsi="Arial" w:cs="Arial"/>
          <w:i/>
          <w:iCs/>
          <w:sz w:val="20"/>
          <w:szCs w:val="20"/>
        </w:rPr>
        <w:t>Archives of Psychology</w:t>
      </w:r>
      <w:r w:rsidRPr="34B726C8">
        <w:rPr>
          <w:rFonts w:ascii="Arial" w:eastAsia="Arial" w:hAnsi="Arial" w:cs="Arial"/>
          <w:sz w:val="20"/>
          <w:szCs w:val="20"/>
        </w:rPr>
        <w:t>, 22(140), pp.1-55</w:t>
      </w:r>
    </w:p>
    <w:p w14:paraId="3C5E2EC5" w14:textId="221EE157"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lastRenderedPageBreak/>
        <w:t xml:space="preserve">Lohuis, P.J., Hakim, S., </w:t>
      </w:r>
      <w:proofErr w:type="spellStart"/>
      <w:r w:rsidRPr="34B726C8">
        <w:rPr>
          <w:rFonts w:ascii="Arial" w:eastAsia="Arial" w:hAnsi="Arial" w:cs="Arial"/>
          <w:sz w:val="20"/>
          <w:szCs w:val="20"/>
        </w:rPr>
        <w:t>Duivesteijn</w:t>
      </w:r>
      <w:proofErr w:type="spellEnd"/>
      <w:r w:rsidRPr="34B726C8">
        <w:rPr>
          <w:rFonts w:ascii="Arial" w:eastAsia="Arial" w:hAnsi="Arial" w:cs="Arial"/>
          <w:sz w:val="20"/>
          <w:szCs w:val="20"/>
        </w:rPr>
        <w:t xml:space="preserve">, W., Knobbe, A. and Tasman, A.J., 2013. Benefits of a short, practical questionnaire to measure subjective perception of nasal appearance after aesthetic rhinoplasty. </w:t>
      </w:r>
      <w:r w:rsidRPr="34B726C8">
        <w:rPr>
          <w:rFonts w:ascii="Arial" w:eastAsia="Arial" w:hAnsi="Arial" w:cs="Arial"/>
          <w:i/>
          <w:iCs/>
          <w:sz w:val="20"/>
          <w:szCs w:val="20"/>
        </w:rPr>
        <w:t>Plastic and reconstructive surgery</w:t>
      </w:r>
      <w:r w:rsidRPr="34B726C8">
        <w:rPr>
          <w:rFonts w:ascii="Arial" w:eastAsia="Arial" w:hAnsi="Arial" w:cs="Arial"/>
          <w:sz w:val="20"/>
          <w:szCs w:val="20"/>
        </w:rPr>
        <w:t xml:space="preserve">, </w:t>
      </w:r>
      <w:r w:rsidRPr="34B726C8">
        <w:rPr>
          <w:rFonts w:ascii="Arial" w:eastAsia="Arial" w:hAnsi="Arial" w:cs="Arial"/>
          <w:i/>
          <w:iCs/>
          <w:sz w:val="20"/>
          <w:szCs w:val="20"/>
        </w:rPr>
        <w:t>132</w:t>
      </w:r>
      <w:r w:rsidRPr="34B726C8">
        <w:rPr>
          <w:rFonts w:ascii="Arial" w:eastAsia="Arial" w:hAnsi="Arial" w:cs="Arial"/>
          <w:sz w:val="20"/>
          <w:szCs w:val="20"/>
        </w:rPr>
        <w:t>(6), pp.913e-923e.</w:t>
      </w:r>
    </w:p>
    <w:p w14:paraId="5C6637FA" w14:textId="441BD67F"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Ma, X. (2003) “Sense of Belonging to School: Can Schools Make a </w:t>
      </w:r>
      <w:proofErr w:type="gramStart"/>
      <w:r w:rsidRPr="34B726C8">
        <w:rPr>
          <w:rFonts w:ascii="Arial" w:eastAsia="Arial" w:hAnsi="Arial" w:cs="Arial"/>
          <w:sz w:val="20"/>
          <w:szCs w:val="20"/>
        </w:rPr>
        <w:t>Difference?,</w:t>
      </w:r>
      <w:proofErr w:type="gramEnd"/>
      <w:r w:rsidRPr="34B726C8">
        <w:rPr>
          <w:rFonts w:ascii="Arial" w:eastAsia="Arial" w:hAnsi="Arial" w:cs="Arial"/>
          <w:sz w:val="20"/>
          <w:szCs w:val="20"/>
        </w:rPr>
        <w:t xml:space="preserve">” </w:t>
      </w:r>
      <w:r w:rsidRPr="34B726C8">
        <w:rPr>
          <w:rFonts w:ascii="Arial" w:eastAsia="Arial" w:hAnsi="Arial" w:cs="Arial"/>
          <w:i/>
          <w:iCs/>
          <w:sz w:val="20"/>
          <w:szCs w:val="20"/>
        </w:rPr>
        <w:t>The Journal of educational research (Washington, D.C.)</w:t>
      </w:r>
      <w:r w:rsidRPr="34B726C8">
        <w:rPr>
          <w:rFonts w:ascii="Arial" w:eastAsia="Arial" w:hAnsi="Arial" w:cs="Arial"/>
          <w:sz w:val="20"/>
          <w:szCs w:val="20"/>
        </w:rPr>
        <w:t xml:space="preserve">, 96(6), pp. 340–349. Available at: </w:t>
      </w:r>
      <w:hyperlink r:id="rId28">
        <w:r w:rsidRPr="34B726C8">
          <w:rPr>
            <w:rStyle w:val="Hyperlink"/>
            <w:rFonts w:ascii="Arial" w:eastAsia="Arial" w:hAnsi="Arial" w:cs="Arial"/>
            <w:color w:val="auto"/>
            <w:sz w:val="20"/>
            <w:szCs w:val="20"/>
          </w:rPr>
          <w:t>https://doi.org/10.1080/00220670309596617</w:t>
        </w:r>
      </w:hyperlink>
      <w:r w:rsidRPr="34B726C8">
        <w:rPr>
          <w:rFonts w:ascii="Arial" w:eastAsia="Arial" w:hAnsi="Arial" w:cs="Arial"/>
          <w:sz w:val="20"/>
          <w:szCs w:val="20"/>
        </w:rPr>
        <w:t>.</w:t>
      </w:r>
    </w:p>
    <w:p w14:paraId="596EF114" w14:textId="223EE93C"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Martínez, C.R. and Gil, M.G., 2019. Gender differences in school performance and attitudes toward school. </w:t>
      </w:r>
      <w:proofErr w:type="spellStart"/>
      <w:r w:rsidRPr="34B726C8">
        <w:rPr>
          <w:rFonts w:ascii="Arial" w:eastAsia="Arial" w:hAnsi="Arial" w:cs="Arial"/>
          <w:i/>
          <w:iCs/>
          <w:sz w:val="20"/>
          <w:szCs w:val="20"/>
        </w:rPr>
        <w:t>Ensaio</w:t>
      </w:r>
      <w:proofErr w:type="spellEnd"/>
      <w:r w:rsidRPr="34B726C8">
        <w:rPr>
          <w:rFonts w:ascii="Arial" w:eastAsia="Arial" w:hAnsi="Arial" w:cs="Arial"/>
          <w:i/>
          <w:iCs/>
          <w:sz w:val="20"/>
          <w:szCs w:val="20"/>
        </w:rPr>
        <w:t xml:space="preserve">: </w:t>
      </w:r>
      <w:proofErr w:type="spellStart"/>
      <w:r w:rsidRPr="34B726C8">
        <w:rPr>
          <w:rFonts w:ascii="Arial" w:eastAsia="Arial" w:hAnsi="Arial" w:cs="Arial"/>
          <w:i/>
          <w:iCs/>
          <w:sz w:val="20"/>
          <w:szCs w:val="20"/>
        </w:rPr>
        <w:t>Avaliação</w:t>
      </w:r>
      <w:proofErr w:type="spellEnd"/>
      <w:r w:rsidRPr="34B726C8">
        <w:rPr>
          <w:rFonts w:ascii="Arial" w:eastAsia="Arial" w:hAnsi="Arial" w:cs="Arial"/>
          <w:i/>
          <w:iCs/>
          <w:sz w:val="20"/>
          <w:szCs w:val="20"/>
        </w:rPr>
        <w:t xml:space="preserve"> e </w:t>
      </w:r>
      <w:proofErr w:type="spellStart"/>
      <w:r w:rsidRPr="34B726C8">
        <w:rPr>
          <w:rFonts w:ascii="Arial" w:eastAsia="Arial" w:hAnsi="Arial" w:cs="Arial"/>
          <w:i/>
          <w:iCs/>
          <w:sz w:val="20"/>
          <w:szCs w:val="20"/>
        </w:rPr>
        <w:t>Políticas</w:t>
      </w:r>
      <w:proofErr w:type="spellEnd"/>
      <w:r w:rsidRPr="34B726C8">
        <w:rPr>
          <w:rFonts w:ascii="Arial" w:eastAsia="Arial" w:hAnsi="Arial" w:cs="Arial"/>
          <w:i/>
          <w:iCs/>
          <w:sz w:val="20"/>
          <w:szCs w:val="20"/>
        </w:rPr>
        <w:t xml:space="preserve"> </w:t>
      </w:r>
      <w:proofErr w:type="spellStart"/>
      <w:r w:rsidRPr="34B726C8">
        <w:rPr>
          <w:rFonts w:ascii="Arial" w:eastAsia="Arial" w:hAnsi="Arial" w:cs="Arial"/>
          <w:i/>
          <w:iCs/>
          <w:sz w:val="20"/>
          <w:szCs w:val="20"/>
        </w:rPr>
        <w:t>Públicas</w:t>
      </w:r>
      <w:proofErr w:type="spellEnd"/>
      <w:r w:rsidRPr="34B726C8">
        <w:rPr>
          <w:rFonts w:ascii="Arial" w:eastAsia="Arial" w:hAnsi="Arial" w:cs="Arial"/>
          <w:i/>
          <w:iCs/>
          <w:sz w:val="20"/>
          <w:szCs w:val="20"/>
        </w:rPr>
        <w:t xml:space="preserve"> </w:t>
      </w:r>
      <w:proofErr w:type="spellStart"/>
      <w:r w:rsidRPr="34B726C8">
        <w:rPr>
          <w:rFonts w:ascii="Arial" w:eastAsia="Arial" w:hAnsi="Arial" w:cs="Arial"/>
          <w:i/>
          <w:iCs/>
          <w:sz w:val="20"/>
          <w:szCs w:val="20"/>
        </w:rPr>
        <w:t>em</w:t>
      </w:r>
      <w:proofErr w:type="spellEnd"/>
      <w:r w:rsidRPr="34B726C8">
        <w:rPr>
          <w:rFonts w:ascii="Arial" w:eastAsia="Arial" w:hAnsi="Arial" w:cs="Arial"/>
          <w:i/>
          <w:iCs/>
          <w:sz w:val="20"/>
          <w:szCs w:val="20"/>
        </w:rPr>
        <w:t xml:space="preserve"> </w:t>
      </w:r>
      <w:proofErr w:type="spellStart"/>
      <w:r w:rsidRPr="34B726C8">
        <w:rPr>
          <w:rFonts w:ascii="Arial" w:eastAsia="Arial" w:hAnsi="Arial" w:cs="Arial"/>
          <w:i/>
          <w:iCs/>
          <w:sz w:val="20"/>
          <w:szCs w:val="20"/>
        </w:rPr>
        <w:t>Educação</w:t>
      </w:r>
      <w:proofErr w:type="spellEnd"/>
      <w:r w:rsidRPr="34B726C8">
        <w:rPr>
          <w:rFonts w:ascii="Arial" w:eastAsia="Arial" w:hAnsi="Arial" w:cs="Arial"/>
          <w:sz w:val="20"/>
          <w:szCs w:val="20"/>
        </w:rPr>
        <w:t xml:space="preserve">, </w:t>
      </w:r>
      <w:r w:rsidRPr="34B726C8">
        <w:rPr>
          <w:rFonts w:ascii="Arial" w:eastAsia="Arial" w:hAnsi="Arial" w:cs="Arial"/>
          <w:i/>
          <w:iCs/>
          <w:sz w:val="20"/>
          <w:szCs w:val="20"/>
        </w:rPr>
        <w:t>28</w:t>
      </w:r>
      <w:r w:rsidRPr="34B726C8">
        <w:rPr>
          <w:rFonts w:ascii="Arial" w:eastAsia="Arial" w:hAnsi="Arial" w:cs="Arial"/>
          <w:sz w:val="20"/>
          <w:szCs w:val="20"/>
        </w:rPr>
        <w:t>, pp.741-761.</w:t>
      </w:r>
    </w:p>
    <w:p w14:paraId="5FAA343D" w14:textId="278E9A4B"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McLafferty, I., 2004. Focus group interviews as a data collecting strategy. </w:t>
      </w:r>
      <w:r w:rsidRPr="34B726C8">
        <w:rPr>
          <w:rFonts w:ascii="Arial" w:eastAsia="Arial" w:hAnsi="Arial" w:cs="Arial"/>
          <w:i/>
          <w:iCs/>
          <w:sz w:val="20"/>
          <w:szCs w:val="20"/>
        </w:rPr>
        <w:t>Journal of advanced nursing</w:t>
      </w:r>
      <w:r w:rsidRPr="34B726C8">
        <w:rPr>
          <w:rFonts w:ascii="Arial" w:eastAsia="Arial" w:hAnsi="Arial" w:cs="Arial"/>
          <w:sz w:val="20"/>
          <w:szCs w:val="20"/>
        </w:rPr>
        <w:t xml:space="preserve">, </w:t>
      </w:r>
      <w:r w:rsidRPr="34B726C8">
        <w:rPr>
          <w:rFonts w:ascii="Arial" w:eastAsia="Arial" w:hAnsi="Arial" w:cs="Arial"/>
          <w:i/>
          <w:iCs/>
          <w:sz w:val="20"/>
          <w:szCs w:val="20"/>
        </w:rPr>
        <w:t>48</w:t>
      </w:r>
      <w:r w:rsidRPr="34B726C8">
        <w:rPr>
          <w:rFonts w:ascii="Arial" w:eastAsia="Arial" w:hAnsi="Arial" w:cs="Arial"/>
          <w:sz w:val="20"/>
          <w:szCs w:val="20"/>
        </w:rPr>
        <w:t>(2), pp.187-194.</w:t>
      </w:r>
    </w:p>
    <w:p w14:paraId="216236BA" w14:textId="5D252300" w:rsidR="5836BD06" w:rsidRDefault="5836BD06" w:rsidP="34B726C8">
      <w:pPr>
        <w:spacing w:before="240" w:after="240" w:line="276" w:lineRule="auto"/>
        <w:ind w:left="567" w:hanging="567"/>
        <w:rPr>
          <w:rFonts w:ascii="Arial" w:eastAsia="Arial" w:hAnsi="Arial" w:cs="Arial"/>
          <w:sz w:val="20"/>
          <w:szCs w:val="20"/>
        </w:rPr>
      </w:pPr>
      <w:r w:rsidRPr="34B726C8">
        <w:rPr>
          <w:rFonts w:ascii="Arial" w:eastAsia="Arial" w:hAnsi="Arial" w:cs="Arial"/>
          <w:sz w:val="20"/>
          <w:szCs w:val="20"/>
        </w:rPr>
        <w:t xml:space="preserve">Melrose, S. (2015) ‘Seasonal affective disorder: An overview of assessment and treatment approaches’, </w:t>
      </w:r>
      <w:r w:rsidRPr="34B726C8">
        <w:rPr>
          <w:rFonts w:ascii="Arial" w:eastAsia="Arial" w:hAnsi="Arial" w:cs="Arial"/>
          <w:i/>
          <w:iCs/>
          <w:sz w:val="20"/>
          <w:szCs w:val="20"/>
        </w:rPr>
        <w:t>Depression Research and Treatment</w:t>
      </w:r>
      <w:r w:rsidRPr="34B726C8">
        <w:rPr>
          <w:rFonts w:ascii="Arial" w:eastAsia="Arial" w:hAnsi="Arial" w:cs="Arial"/>
          <w:sz w:val="20"/>
          <w:szCs w:val="20"/>
        </w:rPr>
        <w:t>, 2015, pp. 1–6. doi:10.1155/2015/178564.</w:t>
      </w:r>
    </w:p>
    <w:p w14:paraId="5F1E5F93" w14:textId="67484D36" w:rsidR="5836BD06" w:rsidRDefault="5836BD06" w:rsidP="34B726C8">
      <w:pPr>
        <w:spacing w:line="276" w:lineRule="auto"/>
      </w:pPr>
      <w:r w:rsidRPr="34B726C8">
        <w:rPr>
          <w:rFonts w:ascii="Arial" w:eastAsia="Arial" w:hAnsi="Arial" w:cs="Arial"/>
          <w:sz w:val="20"/>
          <w:szCs w:val="20"/>
        </w:rPr>
        <w:t xml:space="preserve">OECD (2015) </w:t>
      </w:r>
      <w:r w:rsidRPr="34B726C8">
        <w:rPr>
          <w:rFonts w:ascii="Arial" w:eastAsia="Arial" w:hAnsi="Arial" w:cs="Arial"/>
          <w:i/>
          <w:iCs/>
          <w:sz w:val="20"/>
          <w:szCs w:val="20"/>
        </w:rPr>
        <w:t xml:space="preserve">The ABC of Gender Equality in Education Aptitude, </w:t>
      </w:r>
      <w:proofErr w:type="spellStart"/>
      <w:r w:rsidRPr="34B726C8">
        <w:rPr>
          <w:rFonts w:ascii="Arial" w:eastAsia="Arial" w:hAnsi="Arial" w:cs="Arial"/>
          <w:i/>
          <w:iCs/>
          <w:sz w:val="20"/>
          <w:szCs w:val="20"/>
        </w:rPr>
        <w:t>Behaviour</w:t>
      </w:r>
      <w:proofErr w:type="spellEnd"/>
      <w:r w:rsidRPr="34B726C8">
        <w:rPr>
          <w:rFonts w:ascii="Arial" w:eastAsia="Arial" w:hAnsi="Arial" w:cs="Arial"/>
          <w:i/>
          <w:iCs/>
          <w:sz w:val="20"/>
          <w:szCs w:val="20"/>
        </w:rPr>
        <w:t>, Confidence</w:t>
      </w:r>
      <w:r w:rsidRPr="34B726C8">
        <w:rPr>
          <w:rFonts w:ascii="Arial" w:eastAsia="Arial" w:hAnsi="Arial" w:cs="Arial"/>
          <w:sz w:val="20"/>
          <w:szCs w:val="20"/>
        </w:rPr>
        <w:t xml:space="preserve">. Available at: </w:t>
      </w:r>
      <w:hyperlink r:id="rId29">
        <w:r w:rsidRPr="34B726C8">
          <w:rPr>
            <w:rStyle w:val="Hyperlink"/>
            <w:rFonts w:ascii="Arial" w:eastAsia="Arial" w:hAnsi="Arial" w:cs="Arial"/>
            <w:color w:val="auto"/>
            <w:sz w:val="20"/>
            <w:szCs w:val="20"/>
          </w:rPr>
          <w:t>pisa-2012-results-gender-eng.pdf (oecd.org)</w:t>
        </w:r>
      </w:hyperlink>
    </w:p>
    <w:p w14:paraId="7EB50306" w14:textId="4150801C"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Ortiz Alvarado, N. B., Rodríguez Ontiveros, M. and Ayala </w:t>
      </w:r>
      <w:proofErr w:type="spellStart"/>
      <w:r w:rsidRPr="34B726C8">
        <w:rPr>
          <w:rFonts w:ascii="Arial" w:eastAsia="Arial" w:hAnsi="Arial" w:cs="Arial"/>
          <w:sz w:val="20"/>
          <w:szCs w:val="20"/>
        </w:rPr>
        <w:t>Gaytán</w:t>
      </w:r>
      <w:proofErr w:type="spellEnd"/>
      <w:r w:rsidRPr="34B726C8">
        <w:rPr>
          <w:rFonts w:ascii="Arial" w:eastAsia="Arial" w:hAnsi="Arial" w:cs="Arial"/>
          <w:sz w:val="20"/>
          <w:szCs w:val="20"/>
        </w:rPr>
        <w:t xml:space="preserve">, E. A. (2019) ‘Do Mindsets Shape Students’ Well-Being and Performance?’, </w:t>
      </w:r>
      <w:r w:rsidRPr="34B726C8">
        <w:rPr>
          <w:rFonts w:ascii="Arial" w:eastAsia="Arial" w:hAnsi="Arial" w:cs="Arial"/>
          <w:i/>
          <w:iCs/>
          <w:sz w:val="20"/>
          <w:szCs w:val="20"/>
        </w:rPr>
        <w:t>The Journal of Psychology</w:t>
      </w:r>
      <w:r w:rsidRPr="34B726C8">
        <w:rPr>
          <w:rFonts w:ascii="Arial" w:eastAsia="Arial" w:hAnsi="Arial" w:cs="Arial"/>
          <w:sz w:val="20"/>
          <w:szCs w:val="20"/>
        </w:rPr>
        <w:t xml:space="preserve">, 153(8), pp. 843–859. </w:t>
      </w:r>
      <w:proofErr w:type="spellStart"/>
      <w:r w:rsidRPr="34B726C8">
        <w:rPr>
          <w:rFonts w:ascii="Arial" w:eastAsia="Arial" w:hAnsi="Arial" w:cs="Arial"/>
          <w:sz w:val="20"/>
          <w:szCs w:val="20"/>
        </w:rPr>
        <w:t>doi</w:t>
      </w:r>
      <w:proofErr w:type="spellEnd"/>
      <w:r w:rsidRPr="34B726C8">
        <w:rPr>
          <w:rFonts w:ascii="Arial" w:eastAsia="Arial" w:hAnsi="Arial" w:cs="Arial"/>
          <w:sz w:val="20"/>
          <w:szCs w:val="20"/>
        </w:rPr>
        <w:t>: 10.1080/00223980.2019.1631141.</w:t>
      </w:r>
    </w:p>
    <w:p w14:paraId="3C0C2EDB" w14:textId="59A2DAD0"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Owens, J.A., Spirito, A., McGuinn, M. and Nobile, C., 2000. Sleep habits and sleep disturbance in elementary school-aged children. </w:t>
      </w:r>
      <w:r w:rsidRPr="34B726C8">
        <w:rPr>
          <w:rFonts w:ascii="Arial" w:eastAsia="Arial" w:hAnsi="Arial" w:cs="Arial"/>
          <w:i/>
          <w:iCs/>
          <w:sz w:val="20"/>
          <w:szCs w:val="20"/>
        </w:rPr>
        <w:t>Journal of Developmental and Behavioral Pediatrics</w:t>
      </w:r>
      <w:r w:rsidRPr="34B726C8">
        <w:rPr>
          <w:rFonts w:ascii="Arial" w:eastAsia="Arial" w:hAnsi="Arial" w:cs="Arial"/>
          <w:sz w:val="20"/>
          <w:szCs w:val="20"/>
        </w:rPr>
        <w:t xml:space="preserve">, </w:t>
      </w:r>
      <w:r w:rsidRPr="34B726C8">
        <w:rPr>
          <w:rFonts w:ascii="Arial" w:eastAsia="Arial" w:hAnsi="Arial" w:cs="Arial"/>
          <w:i/>
          <w:iCs/>
          <w:sz w:val="20"/>
          <w:szCs w:val="20"/>
        </w:rPr>
        <w:t>21</w:t>
      </w:r>
      <w:r w:rsidRPr="34B726C8">
        <w:rPr>
          <w:rFonts w:ascii="Arial" w:eastAsia="Arial" w:hAnsi="Arial" w:cs="Arial"/>
          <w:sz w:val="20"/>
          <w:szCs w:val="20"/>
        </w:rPr>
        <w:t>(1), pp.27-36.</w:t>
      </w:r>
    </w:p>
    <w:p w14:paraId="224EFA88" w14:textId="7817BB21" w:rsidR="5836BD06" w:rsidRDefault="5836BD06" w:rsidP="34B726C8">
      <w:pPr>
        <w:spacing w:line="276" w:lineRule="auto"/>
        <w:rPr>
          <w:rFonts w:ascii="Arial" w:eastAsia="Arial" w:hAnsi="Arial" w:cs="Arial"/>
          <w:sz w:val="20"/>
          <w:szCs w:val="20"/>
        </w:rPr>
      </w:pPr>
      <w:proofErr w:type="spellStart"/>
      <w:r w:rsidRPr="34B726C8">
        <w:rPr>
          <w:rFonts w:ascii="Arial" w:eastAsia="Arial" w:hAnsi="Arial" w:cs="Arial"/>
          <w:sz w:val="20"/>
          <w:szCs w:val="20"/>
        </w:rPr>
        <w:t>Padhy</w:t>
      </w:r>
      <w:proofErr w:type="spellEnd"/>
      <w:r w:rsidRPr="34B726C8">
        <w:rPr>
          <w:rFonts w:ascii="Arial" w:eastAsia="Arial" w:hAnsi="Arial" w:cs="Arial"/>
          <w:sz w:val="20"/>
          <w:szCs w:val="20"/>
        </w:rPr>
        <w:t xml:space="preserve">, M., Rana, S. and Mishra, M., 2011. </w:t>
      </w:r>
      <w:proofErr w:type="spellStart"/>
      <w:r w:rsidRPr="34B726C8">
        <w:rPr>
          <w:rFonts w:ascii="Arial" w:eastAsia="Arial" w:hAnsi="Arial" w:cs="Arial"/>
          <w:sz w:val="20"/>
          <w:szCs w:val="20"/>
        </w:rPr>
        <w:t>Self esteem</w:t>
      </w:r>
      <w:proofErr w:type="spellEnd"/>
      <w:r w:rsidRPr="34B726C8">
        <w:rPr>
          <w:rFonts w:ascii="Arial" w:eastAsia="Arial" w:hAnsi="Arial" w:cs="Arial"/>
          <w:sz w:val="20"/>
          <w:szCs w:val="20"/>
        </w:rPr>
        <w:t xml:space="preserve"> and subjective wellbeing: Correlates of academic achievement of students. </w:t>
      </w:r>
      <w:r w:rsidRPr="34B726C8">
        <w:rPr>
          <w:rFonts w:ascii="Arial" w:eastAsia="Arial" w:hAnsi="Arial" w:cs="Arial"/>
          <w:i/>
          <w:iCs/>
          <w:sz w:val="20"/>
          <w:szCs w:val="20"/>
        </w:rPr>
        <w:t>Research Journal of Social Science &amp; Management</w:t>
      </w:r>
      <w:r w:rsidRPr="34B726C8">
        <w:rPr>
          <w:rFonts w:ascii="Arial" w:eastAsia="Arial" w:hAnsi="Arial" w:cs="Arial"/>
          <w:sz w:val="20"/>
          <w:szCs w:val="20"/>
        </w:rPr>
        <w:t xml:space="preserve">, </w:t>
      </w:r>
      <w:r w:rsidRPr="34B726C8">
        <w:rPr>
          <w:rFonts w:ascii="Arial" w:eastAsia="Arial" w:hAnsi="Arial" w:cs="Arial"/>
          <w:i/>
          <w:iCs/>
          <w:sz w:val="20"/>
          <w:szCs w:val="20"/>
        </w:rPr>
        <w:t>1</w:t>
      </w:r>
      <w:r w:rsidRPr="34B726C8">
        <w:rPr>
          <w:rFonts w:ascii="Arial" w:eastAsia="Arial" w:hAnsi="Arial" w:cs="Arial"/>
          <w:sz w:val="20"/>
          <w:szCs w:val="20"/>
        </w:rPr>
        <w:t>(7), pp.148-156.</w:t>
      </w:r>
    </w:p>
    <w:p w14:paraId="2BA1E62D" w14:textId="79BC8E8D"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Rasuli, M.H., </w:t>
      </w:r>
      <w:proofErr w:type="spellStart"/>
      <w:r w:rsidRPr="34B726C8">
        <w:rPr>
          <w:rFonts w:ascii="Arial" w:eastAsia="Arial" w:hAnsi="Arial" w:cs="Arial"/>
          <w:sz w:val="20"/>
          <w:szCs w:val="20"/>
        </w:rPr>
        <w:t>Makhdoomzada</w:t>
      </w:r>
      <w:proofErr w:type="spellEnd"/>
      <w:r w:rsidRPr="34B726C8">
        <w:rPr>
          <w:rFonts w:ascii="Arial" w:eastAsia="Arial" w:hAnsi="Arial" w:cs="Arial"/>
          <w:sz w:val="20"/>
          <w:szCs w:val="20"/>
        </w:rPr>
        <w:t xml:space="preserve">, F.M. and Haidari, S.A. (2023) ‘Effects of teacher and student relationships to enhance the learning process’, </w:t>
      </w:r>
      <w:r w:rsidRPr="34B726C8">
        <w:rPr>
          <w:rFonts w:ascii="Arial" w:eastAsia="Arial" w:hAnsi="Arial" w:cs="Arial"/>
          <w:i/>
          <w:iCs/>
          <w:sz w:val="20"/>
          <w:szCs w:val="20"/>
        </w:rPr>
        <w:t>American Journal of Multidisciplinary Research and Innovation</w:t>
      </w:r>
      <w:r w:rsidRPr="34B726C8">
        <w:rPr>
          <w:rFonts w:ascii="Arial" w:eastAsia="Arial" w:hAnsi="Arial" w:cs="Arial"/>
          <w:sz w:val="20"/>
          <w:szCs w:val="20"/>
        </w:rPr>
        <w:t>, 2(5), pp. 65–69. doi:10.54536/</w:t>
      </w:r>
      <w:proofErr w:type="gramStart"/>
      <w:r w:rsidRPr="34B726C8">
        <w:rPr>
          <w:rFonts w:ascii="Arial" w:eastAsia="Arial" w:hAnsi="Arial" w:cs="Arial"/>
          <w:sz w:val="20"/>
          <w:szCs w:val="20"/>
        </w:rPr>
        <w:t>ajmri.v</w:t>
      </w:r>
      <w:proofErr w:type="gramEnd"/>
      <w:r w:rsidRPr="34B726C8">
        <w:rPr>
          <w:rFonts w:ascii="Arial" w:eastAsia="Arial" w:hAnsi="Arial" w:cs="Arial"/>
          <w:sz w:val="20"/>
          <w:szCs w:val="20"/>
        </w:rPr>
        <w:t>2i5.1988.</w:t>
      </w:r>
    </w:p>
    <w:p w14:paraId="1B51401D" w14:textId="0343E798" w:rsidR="5836BD06" w:rsidRDefault="5836BD06" w:rsidP="34B726C8">
      <w:pPr>
        <w:spacing w:before="240" w:after="240" w:line="276" w:lineRule="auto"/>
        <w:ind w:left="567" w:hanging="567"/>
      </w:pPr>
      <w:r w:rsidRPr="34B726C8">
        <w:rPr>
          <w:rFonts w:ascii="Arial" w:eastAsia="Arial" w:hAnsi="Arial" w:cs="Arial"/>
          <w:sz w:val="20"/>
          <w:szCs w:val="20"/>
        </w:rPr>
        <w:t xml:space="preserve">Ryan, R.M. and Deci, E.L. (2000) ‘Intrinsic and extrinsic motivations: Classic definitions and New Directions’, </w:t>
      </w:r>
      <w:r w:rsidRPr="34B726C8">
        <w:rPr>
          <w:rFonts w:ascii="Arial" w:eastAsia="Arial" w:hAnsi="Arial" w:cs="Arial"/>
          <w:i/>
          <w:iCs/>
          <w:sz w:val="20"/>
          <w:szCs w:val="20"/>
        </w:rPr>
        <w:t>Contemporary Educational Psychology</w:t>
      </w:r>
      <w:r w:rsidRPr="34B726C8">
        <w:rPr>
          <w:rFonts w:ascii="Arial" w:eastAsia="Arial" w:hAnsi="Arial" w:cs="Arial"/>
          <w:sz w:val="20"/>
          <w:szCs w:val="20"/>
        </w:rPr>
        <w:t>, 25(1), pp. 54–67. doi:10.1006/ceps.1999.1020.</w:t>
      </w:r>
    </w:p>
    <w:p w14:paraId="4871EF55" w14:textId="3AF76EFD" w:rsidR="5836BD06" w:rsidRDefault="5836BD06" w:rsidP="34B726C8">
      <w:pPr>
        <w:spacing w:before="240" w:after="240" w:line="276" w:lineRule="auto"/>
        <w:ind w:left="567" w:hanging="567"/>
      </w:pPr>
      <w:r w:rsidRPr="34B726C8">
        <w:rPr>
          <w:rFonts w:ascii="Arial" w:eastAsia="Arial" w:hAnsi="Arial" w:cs="Arial"/>
          <w:sz w:val="20"/>
          <w:szCs w:val="20"/>
        </w:rPr>
        <w:t xml:space="preserve">Sanders, J.L. and Brizzolara, M.S. (1982) ‘Relationships between weather and mood’, </w:t>
      </w:r>
      <w:r w:rsidRPr="34B726C8">
        <w:rPr>
          <w:rFonts w:ascii="Arial" w:eastAsia="Arial" w:hAnsi="Arial" w:cs="Arial"/>
          <w:i/>
          <w:iCs/>
          <w:sz w:val="20"/>
          <w:szCs w:val="20"/>
        </w:rPr>
        <w:t>The Journal of General Psychology</w:t>
      </w:r>
      <w:r w:rsidRPr="34B726C8">
        <w:rPr>
          <w:rFonts w:ascii="Arial" w:eastAsia="Arial" w:hAnsi="Arial" w:cs="Arial"/>
          <w:sz w:val="20"/>
          <w:szCs w:val="20"/>
        </w:rPr>
        <w:t>, 107(1), pp. 155–156. doi:10.1080/00221309.1982.9709917.</w:t>
      </w:r>
    </w:p>
    <w:p w14:paraId="58FA5A06" w14:textId="0A6DA8EF" w:rsidR="5836BD06" w:rsidRDefault="5836BD06" w:rsidP="34B726C8">
      <w:pPr>
        <w:spacing w:line="276" w:lineRule="auto"/>
      </w:pPr>
      <w:r w:rsidRPr="34B726C8">
        <w:rPr>
          <w:rFonts w:ascii="Arial" w:eastAsia="Arial" w:hAnsi="Arial" w:cs="Arial"/>
          <w:sz w:val="20"/>
          <w:szCs w:val="20"/>
        </w:rPr>
        <w:t xml:space="preserve">Schuman, H. and Presser, S., 1979. The open and closed question. </w:t>
      </w:r>
      <w:r w:rsidRPr="34B726C8">
        <w:rPr>
          <w:rFonts w:ascii="Arial" w:eastAsia="Arial" w:hAnsi="Arial" w:cs="Arial"/>
          <w:i/>
          <w:iCs/>
          <w:sz w:val="20"/>
          <w:szCs w:val="20"/>
        </w:rPr>
        <w:t>American sociological review</w:t>
      </w:r>
      <w:r w:rsidRPr="34B726C8">
        <w:rPr>
          <w:rFonts w:ascii="Arial" w:eastAsia="Arial" w:hAnsi="Arial" w:cs="Arial"/>
          <w:sz w:val="20"/>
          <w:szCs w:val="20"/>
        </w:rPr>
        <w:t>, pp.692-712.</w:t>
      </w:r>
    </w:p>
    <w:p w14:paraId="2BFBA4F1" w14:textId="4A261EA2" w:rsidR="5836BD06" w:rsidRDefault="5836BD06" w:rsidP="34B726C8">
      <w:pPr>
        <w:spacing w:line="276" w:lineRule="auto"/>
      </w:pPr>
      <w:r w:rsidRPr="34B726C8">
        <w:rPr>
          <w:rFonts w:ascii="Arial" w:eastAsia="Arial" w:hAnsi="Arial" w:cs="Arial"/>
          <w:sz w:val="20"/>
          <w:szCs w:val="20"/>
        </w:rPr>
        <w:t xml:space="preserve">Şeker, H., 2011. Developing a questionnaire on attitude towards school. </w:t>
      </w:r>
      <w:r w:rsidRPr="34B726C8">
        <w:rPr>
          <w:rFonts w:ascii="Arial" w:eastAsia="Arial" w:hAnsi="Arial" w:cs="Arial"/>
          <w:i/>
          <w:iCs/>
          <w:sz w:val="20"/>
          <w:szCs w:val="20"/>
        </w:rPr>
        <w:t>Learning Environments Research</w:t>
      </w:r>
      <w:r w:rsidRPr="34B726C8">
        <w:rPr>
          <w:rFonts w:ascii="Arial" w:eastAsia="Arial" w:hAnsi="Arial" w:cs="Arial"/>
          <w:sz w:val="20"/>
          <w:szCs w:val="20"/>
        </w:rPr>
        <w:t xml:space="preserve">, </w:t>
      </w:r>
      <w:r w:rsidRPr="34B726C8">
        <w:rPr>
          <w:rFonts w:ascii="Arial" w:eastAsia="Arial" w:hAnsi="Arial" w:cs="Arial"/>
          <w:i/>
          <w:iCs/>
          <w:sz w:val="20"/>
          <w:szCs w:val="20"/>
        </w:rPr>
        <w:t>14</w:t>
      </w:r>
      <w:r w:rsidRPr="34B726C8">
        <w:rPr>
          <w:rFonts w:ascii="Arial" w:eastAsia="Arial" w:hAnsi="Arial" w:cs="Arial"/>
          <w:sz w:val="20"/>
          <w:szCs w:val="20"/>
        </w:rPr>
        <w:t>, pp.241-261.</w:t>
      </w:r>
    </w:p>
    <w:p w14:paraId="370B3834" w14:textId="0FE59A60" w:rsidR="5836BD06" w:rsidRDefault="5836BD06" w:rsidP="34B726C8">
      <w:pPr>
        <w:spacing w:line="276" w:lineRule="auto"/>
      </w:pPr>
      <w:r w:rsidRPr="34B726C8">
        <w:rPr>
          <w:rFonts w:ascii="Arial" w:eastAsia="Arial" w:hAnsi="Arial" w:cs="Arial"/>
          <w:sz w:val="20"/>
          <w:szCs w:val="20"/>
        </w:rPr>
        <w:t>Simons, H. (2009) Case Study Research in Practice, London: Sage</w:t>
      </w:r>
    </w:p>
    <w:p w14:paraId="7C8BB4C3" w14:textId="1A421493" w:rsidR="5836BD06" w:rsidRDefault="5836BD06" w:rsidP="34B726C8">
      <w:pPr>
        <w:spacing w:line="276" w:lineRule="auto"/>
      </w:pPr>
      <w:r w:rsidRPr="34B726C8">
        <w:rPr>
          <w:rFonts w:ascii="Arial" w:eastAsia="Arial" w:hAnsi="Arial" w:cs="Arial"/>
          <w:sz w:val="20"/>
          <w:szCs w:val="20"/>
        </w:rPr>
        <w:t xml:space="preserve">Stake, R.E. (1995) </w:t>
      </w:r>
      <w:r w:rsidRPr="34B726C8">
        <w:rPr>
          <w:rFonts w:ascii="Arial" w:eastAsia="Arial" w:hAnsi="Arial" w:cs="Arial"/>
          <w:i/>
          <w:iCs/>
          <w:sz w:val="20"/>
          <w:szCs w:val="20"/>
        </w:rPr>
        <w:t>The art of case study research</w:t>
      </w:r>
      <w:r w:rsidRPr="34B726C8">
        <w:rPr>
          <w:rFonts w:ascii="Arial" w:eastAsia="Arial" w:hAnsi="Arial" w:cs="Arial"/>
          <w:sz w:val="20"/>
          <w:szCs w:val="20"/>
        </w:rPr>
        <w:t xml:space="preserve">. Thousand </w:t>
      </w:r>
      <w:proofErr w:type="spellStart"/>
      <w:proofErr w:type="gramStart"/>
      <w:r w:rsidRPr="34B726C8">
        <w:rPr>
          <w:rFonts w:ascii="Arial" w:eastAsia="Arial" w:hAnsi="Arial" w:cs="Arial"/>
          <w:sz w:val="20"/>
          <w:szCs w:val="20"/>
        </w:rPr>
        <w:t>Oaks,CA</w:t>
      </w:r>
      <w:proofErr w:type="spellEnd"/>
      <w:proofErr w:type="gramEnd"/>
      <w:r w:rsidRPr="34B726C8">
        <w:rPr>
          <w:rFonts w:ascii="Arial" w:eastAsia="Arial" w:hAnsi="Arial" w:cs="Arial"/>
          <w:sz w:val="20"/>
          <w:szCs w:val="20"/>
        </w:rPr>
        <w:t xml:space="preserve"> ; Sage.</w:t>
      </w:r>
    </w:p>
    <w:p w14:paraId="51504366" w14:textId="47B9EF13" w:rsidR="5836BD06" w:rsidRDefault="5836BD06" w:rsidP="34B726C8">
      <w:pPr>
        <w:spacing w:line="276" w:lineRule="auto"/>
      </w:pPr>
      <w:r w:rsidRPr="34B726C8">
        <w:rPr>
          <w:rFonts w:ascii="Arial" w:eastAsia="Arial" w:hAnsi="Arial" w:cs="Arial"/>
          <w:sz w:val="20"/>
          <w:szCs w:val="20"/>
        </w:rPr>
        <w:t xml:space="preserve">Suyatno, S., </w:t>
      </w:r>
      <w:proofErr w:type="spellStart"/>
      <w:r w:rsidRPr="34B726C8">
        <w:rPr>
          <w:rFonts w:ascii="Arial" w:eastAsia="Arial" w:hAnsi="Arial" w:cs="Arial"/>
          <w:sz w:val="20"/>
          <w:szCs w:val="20"/>
        </w:rPr>
        <w:t>Mardati</w:t>
      </w:r>
      <w:proofErr w:type="spellEnd"/>
      <w:r w:rsidRPr="34B726C8">
        <w:rPr>
          <w:rFonts w:ascii="Arial" w:eastAsia="Arial" w:hAnsi="Arial" w:cs="Arial"/>
          <w:sz w:val="20"/>
          <w:szCs w:val="20"/>
        </w:rPr>
        <w:t xml:space="preserve">, A., Wantini, W., </w:t>
      </w:r>
      <w:proofErr w:type="spellStart"/>
      <w:r w:rsidRPr="34B726C8">
        <w:rPr>
          <w:rFonts w:ascii="Arial" w:eastAsia="Arial" w:hAnsi="Arial" w:cs="Arial"/>
          <w:sz w:val="20"/>
          <w:szCs w:val="20"/>
        </w:rPr>
        <w:t>Pambudi</w:t>
      </w:r>
      <w:proofErr w:type="spellEnd"/>
      <w:r w:rsidRPr="34B726C8">
        <w:rPr>
          <w:rFonts w:ascii="Arial" w:eastAsia="Arial" w:hAnsi="Arial" w:cs="Arial"/>
          <w:sz w:val="20"/>
          <w:szCs w:val="20"/>
        </w:rPr>
        <w:t xml:space="preserve">, D.I. and </w:t>
      </w:r>
      <w:proofErr w:type="spellStart"/>
      <w:r w:rsidRPr="34B726C8">
        <w:rPr>
          <w:rFonts w:ascii="Arial" w:eastAsia="Arial" w:hAnsi="Arial" w:cs="Arial"/>
          <w:sz w:val="20"/>
          <w:szCs w:val="20"/>
        </w:rPr>
        <w:t>Amurdawati</w:t>
      </w:r>
      <w:proofErr w:type="spellEnd"/>
      <w:r w:rsidRPr="34B726C8">
        <w:rPr>
          <w:rFonts w:ascii="Arial" w:eastAsia="Arial" w:hAnsi="Arial" w:cs="Arial"/>
          <w:sz w:val="20"/>
          <w:szCs w:val="20"/>
        </w:rPr>
        <w:t xml:space="preserve">, G., 2019. The impact of teacher values, classroom atmosphere, and student-teacher relationship towards student attitude during learning process. </w:t>
      </w:r>
      <w:r w:rsidRPr="34B726C8">
        <w:rPr>
          <w:rFonts w:ascii="Arial" w:eastAsia="Arial" w:hAnsi="Arial" w:cs="Arial"/>
          <w:i/>
          <w:iCs/>
          <w:sz w:val="20"/>
          <w:szCs w:val="20"/>
        </w:rPr>
        <w:t>International Journal of Learning, Teaching and Educational Research</w:t>
      </w:r>
      <w:r w:rsidRPr="34B726C8">
        <w:rPr>
          <w:rFonts w:ascii="Arial" w:eastAsia="Arial" w:hAnsi="Arial" w:cs="Arial"/>
          <w:sz w:val="20"/>
          <w:szCs w:val="20"/>
        </w:rPr>
        <w:t xml:space="preserve">, </w:t>
      </w:r>
      <w:r w:rsidRPr="34B726C8">
        <w:rPr>
          <w:rFonts w:ascii="Arial" w:eastAsia="Arial" w:hAnsi="Arial" w:cs="Arial"/>
          <w:i/>
          <w:iCs/>
          <w:sz w:val="20"/>
          <w:szCs w:val="20"/>
        </w:rPr>
        <w:t>18</w:t>
      </w:r>
      <w:r w:rsidRPr="34B726C8">
        <w:rPr>
          <w:rFonts w:ascii="Arial" w:eastAsia="Arial" w:hAnsi="Arial" w:cs="Arial"/>
          <w:sz w:val="20"/>
          <w:szCs w:val="20"/>
        </w:rPr>
        <w:t>(8), pp.54-74.</w:t>
      </w:r>
    </w:p>
    <w:p w14:paraId="3512521F" w14:textId="389883CA" w:rsidR="5836BD06" w:rsidRDefault="5836BD06" w:rsidP="34B726C8">
      <w:pPr>
        <w:spacing w:line="276" w:lineRule="auto"/>
      </w:pPr>
      <w:r w:rsidRPr="34B726C8">
        <w:rPr>
          <w:rFonts w:ascii="Arial" w:eastAsia="Arial" w:hAnsi="Arial" w:cs="Arial"/>
          <w:sz w:val="20"/>
          <w:szCs w:val="20"/>
        </w:rPr>
        <w:lastRenderedPageBreak/>
        <w:t xml:space="preserve">Swedberg, R., 2020. Exploratory research. </w:t>
      </w:r>
      <w:r w:rsidRPr="34B726C8">
        <w:rPr>
          <w:rFonts w:ascii="Arial" w:eastAsia="Arial" w:hAnsi="Arial" w:cs="Arial"/>
          <w:i/>
          <w:iCs/>
          <w:sz w:val="20"/>
          <w:szCs w:val="20"/>
        </w:rPr>
        <w:t>The production of knowledge: Enhancing progress in social science</w:t>
      </w:r>
      <w:r w:rsidRPr="34B726C8">
        <w:rPr>
          <w:rFonts w:ascii="Arial" w:eastAsia="Arial" w:hAnsi="Arial" w:cs="Arial"/>
          <w:sz w:val="20"/>
          <w:szCs w:val="20"/>
        </w:rPr>
        <w:t>, pp.17-41.</w:t>
      </w:r>
    </w:p>
    <w:p w14:paraId="75803EDC" w14:textId="0CCCFD26" w:rsidR="5836BD06" w:rsidRDefault="5836BD06" w:rsidP="34B726C8">
      <w:pPr>
        <w:spacing w:line="276" w:lineRule="auto"/>
      </w:pPr>
      <w:r w:rsidRPr="34B726C8">
        <w:rPr>
          <w:rFonts w:ascii="Arial" w:eastAsia="Arial" w:hAnsi="Arial" w:cs="Arial"/>
          <w:sz w:val="20"/>
          <w:szCs w:val="20"/>
        </w:rPr>
        <w:t xml:space="preserve">Tomb, M. and Hunter, L., (2004). Prevention of Anxiety in Children and Adolescents in a School Setting: The Role of School-Based Practitioners. </w:t>
      </w:r>
      <w:r w:rsidRPr="34B726C8">
        <w:rPr>
          <w:rFonts w:ascii="Arial" w:eastAsia="Arial" w:hAnsi="Arial" w:cs="Arial"/>
          <w:i/>
          <w:iCs/>
          <w:sz w:val="20"/>
          <w:szCs w:val="20"/>
        </w:rPr>
        <w:t xml:space="preserve">Children &amp; Schools, </w:t>
      </w:r>
      <w:r w:rsidRPr="34B726C8">
        <w:rPr>
          <w:rFonts w:ascii="Arial" w:eastAsia="Arial" w:hAnsi="Arial" w:cs="Arial"/>
          <w:b/>
          <w:bCs/>
          <w:sz w:val="20"/>
          <w:szCs w:val="20"/>
        </w:rPr>
        <w:t>26</w:t>
      </w:r>
      <w:r w:rsidRPr="34B726C8">
        <w:rPr>
          <w:rFonts w:ascii="Arial" w:eastAsia="Arial" w:hAnsi="Arial" w:cs="Arial"/>
          <w:sz w:val="20"/>
          <w:szCs w:val="20"/>
        </w:rPr>
        <w:t xml:space="preserve">(2), pp. 87-101. DOI:10.1093/cs/26.2.87. </w:t>
      </w:r>
    </w:p>
    <w:p w14:paraId="52DFC2D5" w14:textId="284FEBFB" w:rsidR="5836BD06" w:rsidRDefault="5836BD06" w:rsidP="34B726C8">
      <w:pPr>
        <w:spacing w:line="276" w:lineRule="auto"/>
      </w:pPr>
      <w:r w:rsidRPr="34B726C8">
        <w:rPr>
          <w:rFonts w:ascii="Arial" w:eastAsia="Arial" w:hAnsi="Arial" w:cs="Arial"/>
          <w:sz w:val="20"/>
          <w:szCs w:val="20"/>
        </w:rPr>
        <w:t xml:space="preserve">Welsh Government (2014). </w:t>
      </w:r>
      <w:r w:rsidRPr="34B726C8">
        <w:rPr>
          <w:rFonts w:ascii="Arial" w:eastAsia="Arial" w:hAnsi="Arial" w:cs="Arial"/>
          <w:i/>
          <w:iCs/>
          <w:sz w:val="20"/>
          <w:szCs w:val="20"/>
        </w:rPr>
        <w:t>Free breakfast in primary schools: statutory guidance.</w:t>
      </w:r>
      <w:r w:rsidRPr="34B726C8">
        <w:rPr>
          <w:rFonts w:ascii="Arial" w:eastAsia="Arial" w:hAnsi="Arial" w:cs="Arial"/>
          <w:sz w:val="20"/>
          <w:szCs w:val="20"/>
        </w:rPr>
        <w:t xml:space="preserve"> Available at: </w:t>
      </w:r>
      <w:hyperlink r:id="rId30">
        <w:r w:rsidRPr="34B726C8">
          <w:rPr>
            <w:rStyle w:val="Hyperlink"/>
            <w:rFonts w:ascii="Arial" w:eastAsia="Arial" w:hAnsi="Arial" w:cs="Arial"/>
            <w:color w:val="auto"/>
            <w:sz w:val="20"/>
            <w:szCs w:val="20"/>
          </w:rPr>
          <w:t>Free breakfast in primary schools: statutory guidance | GOV.WALES</w:t>
        </w:r>
      </w:hyperlink>
    </w:p>
    <w:p w14:paraId="3E98518A" w14:textId="52032DBF" w:rsidR="5836BD06" w:rsidRDefault="5836BD06" w:rsidP="34B726C8">
      <w:pPr>
        <w:pStyle w:val="Heading1"/>
        <w:shd w:val="clear" w:color="auto" w:fill="FFFFFF" w:themeFill="background1"/>
        <w:spacing w:before="0" w:after="0" w:line="276" w:lineRule="auto"/>
        <w:rPr>
          <w:color w:val="auto"/>
        </w:rPr>
      </w:pPr>
      <w:r w:rsidRPr="34B726C8">
        <w:rPr>
          <w:rFonts w:ascii="Arial" w:eastAsia="Arial" w:hAnsi="Arial" w:cs="Arial"/>
          <w:color w:val="auto"/>
          <w:sz w:val="20"/>
          <w:szCs w:val="20"/>
        </w:rPr>
        <w:t xml:space="preserve">Welsh Government (2022) </w:t>
      </w:r>
      <w:r w:rsidRPr="34B726C8">
        <w:rPr>
          <w:rFonts w:ascii="Arial" w:eastAsia="Arial" w:hAnsi="Arial" w:cs="Arial"/>
          <w:i/>
          <w:iCs/>
          <w:color w:val="auto"/>
          <w:sz w:val="20"/>
          <w:szCs w:val="20"/>
        </w:rPr>
        <w:t xml:space="preserve">Developing a </w:t>
      </w:r>
      <w:proofErr w:type="spellStart"/>
      <w:r w:rsidRPr="34B726C8">
        <w:rPr>
          <w:rFonts w:ascii="Arial" w:eastAsia="Arial" w:hAnsi="Arial" w:cs="Arial"/>
          <w:i/>
          <w:iCs/>
          <w:color w:val="auto"/>
          <w:sz w:val="20"/>
          <w:szCs w:val="20"/>
        </w:rPr>
        <w:t>tvision</w:t>
      </w:r>
      <w:proofErr w:type="spellEnd"/>
      <w:r w:rsidRPr="34B726C8">
        <w:rPr>
          <w:rFonts w:ascii="Arial" w:eastAsia="Arial" w:hAnsi="Arial" w:cs="Arial"/>
          <w:i/>
          <w:iCs/>
          <w:color w:val="auto"/>
          <w:sz w:val="20"/>
          <w:szCs w:val="20"/>
        </w:rPr>
        <w:t xml:space="preserve"> for curriculum design. </w:t>
      </w:r>
      <w:r w:rsidRPr="34B726C8">
        <w:rPr>
          <w:rFonts w:ascii="Arial" w:eastAsia="Arial" w:hAnsi="Arial" w:cs="Arial"/>
          <w:color w:val="auto"/>
          <w:sz w:val="20"/>
          <w:szCs w:val="20"/>
        </w:rPr>
        <w:t>Available at</w:t>
      </w:r>
      <w:r w:rsidRPr="34B726C8">
        <w:rPr>
          <w:rFonts w:ascii="Arial" w:eastAsia="Arial" w:hAnsi="Arial" w:cs="Arial"/>
          <w:i/>
          <w:iCs/>
          <w:color w:val="auto"/>
          <w:sz w:val="20"/>
          <w:szCs w:val="20"/>
        </w:rPr>
        <w:t>:</w:t>
      </w:r>
      <w:r w:rsidRPr="34B726C8">
        <w:rPr>
          <w:rFonts w:ascii="Arial" w:eastAsia="Arial" w:hAnsi="Arial" w:cs="Arial"/>
          <w:b/>
          <w:bCs/>
          <w:color w:val="auto"/>
          <w:sz w:val="20"/>
          <w:szCs w:val="20"/>
        </w:rPr>
        <w:t xml:space="preserve"> </w:t>
      </w:r>
      <w:hyperlink r:id="rId31" w:anchor="curriculum-design-and-the-four-purposes">
        <w:r w:rsidRPr="34B726C8">
          <w:rPr>
            <w:rStyle w:val="Hyperlink"/>
            <w:rFonts w:ascii="Arial" w:eastAsia="Arial" w:hAnsi="Arial" w:cs="Arial"/>
            <w:color w:val="auto"/>
            <w:sz w:val="20"/>
            <w:szCs w:val="20"/>
          </w:rPr>
          <w:t>Developing a vision for curriculum design - Hwb (</w:t>
        </w:r>
        <w:proofErr w:type="spellStart"/>
        <w:r w:rsidRPr="34B726C8">
          <w:rPr>
            <w:rStyle w:val="Hyperlink"/>
            <w:rFonts w:ascii="Arial" w:eastAsia="Arial" w:hAnsi="Arial" w:cs="Arial"/>
            <w:color w:val="auto"/>
            <w:sz w:val="20"/>
            <w:szCs w:val="20"/>
          </w:rPr>
          <w:t>gov.wales</w:t>
        </w:r>
        <w:proofErr w:type="spellEnd"/>
        <w:r w:rsidRPr="34B726C8">
          <w:rPr>
            <w:rStyle w:val="Hyperlink"/>
            <w:rFonts w:ascii="Arial" w:eastAsia="Arial" w:hAnsi="Arial" w:cs="Arial"/>
            <w:color w:val="auto"/>
            <w:sz w:val="20"/>
            <w:szCs w:val="20"/>
          </w:rPr>
          <w:t>)</w:t>
        </w:r>
      </w:hyperlink>
    </w:p>
    <w:p w14:paraId="585C6BBB" w14:textId="4664BDAC" w:rsidR="5836BD06" w:rsidRDefault="5836BD06" w:rsidP="34B726C8">
      <w:pPr>
        <w:spacing w:line="276" w:lineRule="auto"/>
      </w:pPr>
      <w:r w:rsidRPr="34B726C8">
        <w:rPr>
          <w:rFonts w:ascii="Arial" w:eastAsia="Arial" w:hAnsi="Arial" w:cs="Arial"/>
          <w:sz w:val="20"/>
          <w:szCs w:val="20"/>
        </w:rPr>
        <w:t xml:space="preserve">Welsh Government (2023) </w:t>
      </w:r>
      <w:r w:rsidRPr="34B726C8">
        <w:rPr>
          <w:rFonts w:ascii="Arial" w:eastAsia="Arial" w:hAnsi="Arial" w:cs="Arial"/>
          <w:i/>
          <w:iCs/>
          <w:sz w:val="20"/>
          <w:szCs w:val="20"/>
        </w:rPr>
        <w:t xml:space="preserve">Belonging, engaging and participating: Guidance on improving learner engagement and attendance. </w:t>
      </w:r>
      <w:r w:rsidRPr="34B726C8">
        <w:rPr>
          <w:rFonts w:ascii="Arial" w:eastAsia="Arial" w:hAnsi="Arial" w:cs="Arial"/>
          <w:sz w:val="20"/>
          <w:szCs w:val="20"/>
        </w:rPr>
        <w:t xml:space="preserve">Available at: </w:t>
      </w:r>
      <w:hyperlink r:id="rId32">
        <w:r w:rsidRPr="34B726C8">
          <w:rPr>
            <w:rStyle w:val="Hyperlink"/>
            <w:rFonts w:ascii="Arial" w:eastAsia="Arial" w:hAnsi="Arial" w:cs="Arial"/>
            <w:color w:val="auto"/>
            <w:sz w:val="20"/>
            <w:szCs w:val="20"/>
          </w:rPr>
          <w:t>Belonging, engaging and participating: Guidance on improving learner engagement and attendance (</w:t>
        </w:r>
        <w:proofErr w:type="spellStart"/>
        <w:r w:rsidRPr="34B726C8">
          <w:rPr>
            <w:rStyle w:val="Hyperlink"/>
            <w:rFonts w:ascii="Arial" w:eastAsia="Arial" w:hAnsi="Arial" w:cs="Arial"/>
            <w:color w:val="auto"/>
            <w:sz w:val="20"/>
            <w:szCs w:val="20"/>
          </w:rPr>
          <w:t>gov.wales</w:t>
        </w:r>
        <w:proofErr w:type="spellEnd"/>
        <w:r w:rsidRPr="34B726C8">
          <w:rPr>
            <w:rStyle w:val="Hyperlink"/>
            <w:rFonts w:ascii="Arial" w:eastAsia="Arial" w:hAnsi="Arial" w:cs="Arial"/>
            <w:color w:val="auto"/>
            <w:sz w:val="20"/>
            <w:szCs w:val="20"/>
          </w:rPr>
          <w:t>)</w:t>
        </w:r>
      </w:hyperlink>
    </w:p>
    <w:p w14:paraId="5221D269" w14:textId="03F7DC37" w:rsidR="5836BD06" w:rsidRDefault="5836BD06" w:rsidP="34B726C8">
      <w:pPr>
        <w:spacing w:line="276" w:lineRule="auto"/>
      </w:pPr>
      <w:r w:rsidRPr="34B726C8">
        <w:rPr>
          <w:rFonts w:ascii="Arial" w:eastAsia="Arial" w:hAnsi="Arial" w:cs="Arial"/>
          <w:sz w:val="20"/>
          <w:szCs w:val="20"/>
        </w:rPr>
        <w:t xml:space="preserve">Welsh Government (2023). </w:t>
      </w:r>
      <w:r w:rsidRPr="34B726C8">
        <w:rPr>
          <w:rFonts w:ascii="Arial" w:eastAsia="Arial" w:hAnsi="Arial" w:cs="Arial"/>
          <w:i/>
          <w:iCs/>
          <w:sz w:val="20"/>
          <w:szCs w:val="20"/>
        </w:rPr>
        <w:t>Our National Mission</w:t>
      </w:r>
      <w:r w:rsidRPr="34B726C8">
        <w:rPr>
          <w:rFonts w:ascii="Arial" w:eastAsia="Arial" w:hAnsi="Arial" w:cs="Arial"/>
          <w:sz w:val="20"/>
          <w:szCs w:val="20"/>
        </w:rPr>
        <w:t xml:space="preserve">. Available at: </w:t>
      </w:r>
      <w:hyperlink r:id="rId33">
        <w:r w:rsidRPr="34B726C8">
          <w:rPr>
            <w:rStyle w:val="Hyperlink"/>
            <w:rFonts w:ascii="Arial" w:eastAsia="Arial" w:hAnsi="Arial" w:cs="Arial"/>
            <w:color w:val="auto"/>
            <w:sz w:val="20"/>
            <w:szCs w:val="20"/>
          </w:rPr>
          <w:t>Our national mission: high standards and aspirations for all [HTML] | GOV.WALES</w:t>
        </w:r>
      </w:hyperlink>
    </w:p>
    <w:p w14:paraId="6D2FEF6B" w14:textId="159037B5" w:rsidR="5836BD06" w:rsidRDefault="5836BD06" w:rsidP="34B726C8">
      <w:pPr>
        <w:pStyle w:val="Heading1"/>
        <w:shd w:val="clear" w:color="auto" w:fill="FFFFFF" w:themeFill="background1"/>
        <w:spacing w:before="0" w:after="375" w:line="276" w:lineRule="auto"/>
        <w:rPr>
          <w:color w:val="auto"/>
        </w:rPr>
      </w:pPr>
      <w:r w:rsidRPr="34B726C8">
        <w:rPr>
          <w:rFonts w:ascii="Arial" w:eastAsia="Arial" w:hAnsi="Arial" w:cs="Arial"/>
          <w:color w:val="auto"/>
          <w:sz w:val="20"/>
          <w:szCs w:val="20"/>
        </w:rPr>
        <w:t>Welsh Government (2023). Universal Primary Free School Meals (UPFSM).</w:t>
      </w:r>
      <w:r w:rsidRPr="34B726C8">
        <w:rPr>
          <w:rFonts w:ascii="Arial" w:eastAsia="Arial" w:hAnsi="Arial" w:cs="Arial"/>
          <w:b/>
          <w:bCs/>
          <w:color w:val="auto"/>
          <w:sz w:val="20"/>
          <w:szCs w:val="20"/>
        </w:rPr>
        <w:t xml:space="preserve"> </w:t>
      </w:r>
      <w:r w:rsidRPr="34B726C8">
        <w:rPr>
          <w:rFonts w:ascii="Arial" w:eastAsia="Arial" w:hAnsi="Arial" w:cs="Arial"/>
          <w:color w:val="auto"/>
          <w:sz w:val="20"/>
          <w:szCs w:val="20"/>
        </w:rPr>
        <w:t xml:space="preserve">Available at: </w:t>
      </w:r>
      <w:hyperlink r:id="rId34">
        <w:r w:rsidRPr="34B726C8">
          <w:rPr>
            <w:rStyle w:val="Hyperlink"/>
            <w:rFonts w:ascii="Arial" w:eastAsia="Arial" w:hAnsi="Arial" w:cs="Arial"/>
            <w:i/>
            <w:iCs/>
            <w:color w:val="auto"/>
            <w:sz w:val="20"/>
            <w:szCs w:val="20"/>
          </w:rPr>
          <w:t>Universal Primary Free School Meals (UPFSM) | GOV.WALES</w:t>
        </w:r>
      </w:hyperlink>
    </w:p>
    <w:p w14:paraId="5438DABC" w14:textId="5AF726F0"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 xml:space="preserve">Yadav, A., Lundeberg, M., DeSchryver, M., Dirkin, K., Schiller, N.A., Maier, K. and Herreid, C.F., 2007. Teaching science with case studies: A national survey of faculty perceptions of the benefits and challenges of using cases. </w:t>
      </w:r>
      <w:r w:rsidRPr="34B726C8">
        <w:rPr>
          <w:rFonts w:ascii="Arial" w:eastAsia="Arial" w:hAnsi="Arial" w:cs="Arial"/>
          <w:i/>
          <w:iCs/>
          <w:sz w:val="20"/>
          <w:szCs w:val="20"/>
        </w:rPr>
        <w:t>Journal of College Science Teaching</w:t>
      </w:r>
      <w:r w:rsidRPr="34B726C8">
        <w:rPr>
          <w:rFonts w:ascii="Arial" w:eastAsia="Arial" w:hAnsi="Arial" w:cs="Arial"/>
          <w:sz w:val="20"/>
          <w:szCs w:val="20"/>
        </w:rPr>
        <w:t xml:space="preserve">, </w:t>
      </w:r>
      <w:r w:rsidRPr="34B726C8">
        <w:rPr>
          <w:rFonts w:ascii="Arial" w:eastAsia="Arial" w:hAnsi="Arial" w:cs="Arial"/>
          <w:i/>
          <w:iCs/>
          <w:sz w:val="20"/>
          <w:szCs w:val="20"/>
        </w:rPr>
        <w:t>37</w:t>
      </w:r>
      <w:r w:rsidRPr="34B726C8">
        <w:rPr>
          <w:rFonts w:ascii="Arial" w:eastAsia="Arial" w:hAnsi="Arial" w:cs="Arial"/>
          <w:sz w:val="20"/>
          <w:szCs w:val="20"/>
        </w:rPr>
        <w:t>(1), p.34.</w:t>
      </w:r>
    </w:p>
    <w:p w14:paraId="42D346D7" w14:textId="50C6BE3E" w:rsidR="5836BD06" w:rsidRDefault="5836BD06" w:rsidP="34B726C8">
      <w:pPr>
        <w:spacing w:line="276" w:lineRule="auto"/>
        <w:rPr>
          <w:rFonts w:ascii="Arial" w:eastAsia="Arial" w:hAnsi="Arial" w:cs="Arial"/>
          <w:sz w:val="20"/>
          <w:szCs w:val="20"/>
        </w:rPr>
      </w:pPr>
      <w:r w:rsidRPr="34B726C8">
        <w:rPr>
          <w:rFonts w:ascii="Arial" w:eastAsia="Arial" w:hAnsi="Arial" w:cs="Arial"/>
          <w:sz w:val="20"/>
          <w:szCs w:val="20"/>
        </w:rPr>
        <w:t>Yazan, B. (2015) Three Approaches to Case Study Methods in Education: Yin, Merriam, and Stake, The Qualitative Report, Vol 20, pp.134-152. doi:10.46743/2160-3715/2015.2102.</w:t>
      </w:r>
    </w:p>
    <w:p w14:paraId="6DC97843" w14:textId="5F84BDB8" w:rsidR="34B726C8" w:rsidRDefault="34B726C8" w:rsidP="34B726C8">
      <w:pPr>
        <w:spacing w:line="360" w:lineRule="auto"/>
        <w:rPr>
          <w:rFonts w:ascii="Arial" w:eastAsia="Arial" w:hAnsi="Arial" w:cs="Arial"/>
        </w:rPr>
      </w:pPr>
    </w:p>
    <w:p w14:paraId="4A5A274C" w14:textId="08202CCD" w:rsidR="00CB117D" w:rsidRDefault="00CB117D" w:rsidP="7EFD72A9">
      <w:pPr>
        <w:rPr>
          <w:rFonts w:ascii="Aptos" w:eastAsia="Aptos" w:hAnsi="Aptos" w:cs="Aptos"/>
        </w:rPr>
      </w:pPr>
    </w:p>
    <w:p w14:paraId="2C078E63" w14:textId="5C5F6880" w:rsidR="00CB117D" w:rsidRDefault="00CB117D" w:rsidP="57EE3A47"/>
    <w:sectPr w:rsidR="00CB117D">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Elaine Sharpling" w:date="2024-07-22T08:45:00Z" w:initials="ES">
    <w:p w14:paraId="4A0B359B" w14:textId="77777777" w:rsidR="00DA1442" w:rsidRDefault="00DA1442" w:rsidP="00DA1442">
      <w:pPr>
        <w:pStyle w:val="CommentText"/>
      </w:pPr>
      <w:r>
        <w:rPr>
          <w:rStyle w:val="CommentReference"/>
        </w:rPr>
        <w:annotationRef/>
      </w:r>
      <w:r>
        <w:t>hyphen</w:t>
      </w:r>
    </w:p>
  </w:comment>
  <w:comment w:id="1" w:author="Elaine Sharpling" w:date="2024-07-22T08:45:00Z" w:initials="ES">
    <w:p w14:paraId="0A24C55B" w14:textId="77777777" w:rsidR="00DA1442" w:rsidRDefault="00DA1442" w:rsidP="00DA1442">
      <w:pPr>
        <w:pStyle w:val="CommentText"/>
      </w:pPr>
      <w:r>
        <w:rPr>
          <w:rStyle w:val="CommentReference"/>
        </w:rPr>
        <w:annotationRef/>
      </w:r>
      <w:r>
        <w:t>Say who he was - the former Minister for Education and the Welsh Language</w:t>
      </w:r>
    </w:p>
  </w:comment>
  <w:comment w:id="2" w:author="Elaine Sharpling" w:date="2024-07-22T08:46:00Z" w:initials="ES">
    <w:p w14:paraId="4685A7C0" w14:textId="77777777" w:rsidR="00DA1442" w:rsidRDefault="00DA1442" w:rsidP="00DA1442">
      <w:pPr>
        <w:pStyle w:val="CommentText"/>
      </w:pPr>
      <w:r>
        <w:rPr>
          <w:rStyle w:val="CommentReference"/>
        </w:rPr>
        <w:annotationRef/>
      </w:r>
      <w:r>
        <w:t>Yrs.</w:t>
      </w:r>
    </w:p>
  </w:comment>
  <w:comment w:id="3" w:author="Elaine Sharpling" w:date="2024-07-22T08:48:00Z" w:initials="ES">
    <w:p w14:paraId="1C3A821C" w14:textId="77777777" w:rsidR="00313579" w:rsidRDefault="00313579" w:rsidP="00313579">
      <w:pPr>
        <w:pStyle w:val="CommentText"/>
      </w:pPr>
      <w:r>
        <w:rPr>
          <w:rStyle w:val="CommentReference"/>
        </w:rPr>
        <w:annotationRef/>
      </w:r>
      <w:r>
        <w:t>Vary phrase - just had ‘this includes’</w:t>
      </w:r>
    </w:p>
  </w:comment>
  <w:comment w:id="4" w:author="Elaine Sharpling" w:date="2024-07-22T08:48:00Z" w:initials="ES">
    <w:p w14:paraId="4AD1E63B" w14:textId="77777777" w:rsidR="00313579" w:rsidRDefault="00313579" w:rsidP="00313579">
      <w:pPr>
        <w:pStyle w:val="CommentText"/>
      </w:pPr>
      <w:r>
        <w:rPr>
          <w:rStyle w:val="CommentReference"/>
        </w:rPr>
        <w:annotationRef/>
      </w:r>
      <w:r>
        <w:t>To be larger</w:t>
      </w:r>
    </w:p>
  </w:comment>
  <w:comment w:id="5" w:author="Elaine Sharpling" w:date="2024-07-22T08:49:00Z" w:initials="ES">
    <w:p w14:paraId="36E0039B" w14:textId="77777777" w:rsidR="00313579" w:rsidRDefault="00313579" w:rsidP="00313579">
      <w:pPr>
        <w:pStyle w:val="CommentText"/>
      </w:pPr>
      <w:r>
        <w:rPr>
          <w:rStyle w:val="CommentReference"/>
        </w:rPr>
        <w:annotationRef/>
      </w:r>
      <w:r>
        <w:t>Good!</w:t>
      </w:r>
    </w:p>
  </w:comment>
  <w:comment w:id="6" w:author="Elaine Sharpling" w:date="2024-07-22T08:53:00Z" w:initials="ES">
    <w:p w14:paraId="625AB4D7" w14:textId="77777777" w:rsidR="00313579" w:rsidRDefault="00313579" w:rsidP="00313579">
      <w:pPr>
        <w:pStyle w:val="CommentText"/>
      </w:pPr>
      <w:r>
        <w:rPr>
          <w:rStyle w:val="CommentReference"/>
        </w:rPr>
        <w:annotationRef/>
      </w:r>
      <w:r>
        <w:t>Grammar - put up their hands</w:t>
      </w:r>
    </w:p>
  </w:comment>
  <w:comment w:id="7" w:author="Elaine Sharpling" w:date="2024-07-22T08:57:00Z" w:initials="ES">
    <w:p w14:paraId="3BBB8F8A" w14:textId="77777777" w:rsidR="008B240A" w:rsidRDefault="008B240A" w:rsidP="008B240A">
      <w:pPr>
        <w:pStyle w:val="CommentText"/>
      </w:pPr>
      <w:r>
        <w:rPr>
          <w:rStyle w:val="CommentReference"/>
        </w:rPr>
        <w:annotationRef/>
      </w:r>
      <w:r>
        <w:t>No contractions ‘ was not’</w:t>
      </w:r>
    </w:p>
  </w:comment>
  <w:comment w:id="8" w:author="Elaine Sharpling" w:date="2024-07-22T09:00:00Z" w:initials="ES">
    <w:p w14:paraId="3A1DC65B" w14:textId="77777777" w:rsidR="008B240A" w:rsidRDefault="008B240A" w:rsidP="008B240A">
      <w:pPr>
        <w:pStyle w:val="CommentText"/>
      </w:pPr>
      <w:r>
        <w:rPr>
          <w:rStyle w:val="CommentReference"/>
        </w:rPr>
        <w:annotationRef/>
      </w:r>
      <w:r>
        <w:t>Check text spacing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4A0B359B" w15:done="1"/>
  <w15:commentEx w15:paraId="0A24C55B" w15:done="1"/>
  <w15:commentEx w15:paraId="4685A7C0" w15:done="1"/>
  <w15:commentEx w15:paraId="1C3A821C" w15:done="1"/>
  <w15:commentEx w15:paraId="4AD1E63B" w15:done="1"/>
  <w15:commentEx w15:paraId="36E0039B" w15:done="1"/>
  <w15:commentEx w15:paraId="625AB4D7" w15:done="1"/>
  <w15:commentEx w15:paraId="3BBB8F8A" w15:done="1"/>
  <w15:commentEx w15:paraId="3A1DC65B"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161EB0F6" w16cex:dateUtc="2024-07-22T07:45:00Z"/>
  <w16cex:commentExtensible w16cex:durableId="76F14664" w16cex:dateUtc="2024-07-22T07:45:00Z"/>
  <w16cex:commentExtensible w16cex:durableId="35A73052" w16cex:dateUtc="2024-07-22T07:46:00Z"/>
  <w16cex:commentExtensible w16cex:durableId="262965FB" w16cex:dateUtc="2024-07-22T07:48:00Z"/>
  <w16cex:commentExtensible w16cex:durableId="27E8665C" w16cex:dateUtc="2024-07-22T07:48:00Z"/>
  <w16cex:commentExtensible w16cex:durableId="423B9E63" w16cex:dateUtc="2024-07-22T07:49:00Z"/>
  <w16cex:commentExtensible w16cex:durableId="71BD9A1B" w16cex:dateUtc="2024-07-22T07:53:00Z"/>
  <w16cex:commentExtensible w16cex:durableId="3AF5CC5F" w16cex:dateUtc="2024-07-22T07:57:00Z"/>
  <w16cex:commentExtensible w16cex:durableId="051A7488" w16cex:dateUtc="2024-07-22T08: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4A0B359B" w16cid:durableId="161EB0F6"/>
  <w16cid:commentId w16cid:paraId="0A24C55B" w16cid:durableId="76F14664"/>
  <w16cid:commentId w16cid:paraId="4685A7C0" w16cid:durableId="35A73052"/>
  <w16cid:commentId w16cid:paraId="1C3A821C" w16cid:durableId="262965FB"/>
  <w16cid:commentId w16cid:paraId="4AD1E63B" w16cid:durableId="27E8665C"/>
  <w16cid:commentId w16cid:paraId="36E0039B" w16cid:durableId="423B9E63"/>
  <w16cid:commentId w16cid:paraId="625AB4D7" w16cid:durableId="71BD9A1B"/>
  <w16cid:commentId w16cid:paraId="3BBB8F8A" w16cid:durableId="3AF5CC5F"/>
  <w16cid:commentId w16cid:paraId="3A1DC65B" w16cid:durableId="051A748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2E08DD"/>
    <w:multiLevelType w:val="hybridMultilevel"/>
    <w:tmpl w:val="E796FAFA"/>
    <w:lvl w:ilvl="0" w:tplc="EE804804">
      <w:start w:val="1"/>
      <w:numFmt w:val="decimal"/>
      <w:lvlText w:val="%1."/>
      <w:lvlJc w:val="left"/>
      <w:pPr>
        <w:ind w:left="720" w:hanging="360"/>
      </w:pPr>
      <w:rPr>
        <w:rFonts w:ascii="Arial" w:hAnsi="Arial" w:hint="default"/>
      </w:rPr>
    </w:lvl>
    <w:lvl w:ilvl="1" w:tplc="43403EE4">
      <w:start w:val="1"/>
      <w:numFmt w:val="lowerLetter"/>
      <w:lvlText w:val="%2."/>
      <w:lvlJc w:val="left"/>
      <w:pPr>
        <w:ind w:left="1440" w:hanging="360"/>
      </w:pPr>
    </w:lvl>
    <w:lvl w:ilvl="2" w:tplc="01906EF4">
      <w:start w:val="1"/>
      <w:numFmt w:val="lowerRoman"/>
      <w:lvlText w:val="%3."/>
      <w:lvlJc w:val="right"/>
      <w:pPr>
        <w:ind w:left="2160" w:hanging="180"/>
      </w:pPr>
    </w:lvl>
    <w:lvl w:ilvl="3" w:tplc="23327DFC">
      <w:start w:val="1"/>
      <w:numFmt w:val="decimal"/>
      <w:lvlText w:val="%4."/>
      <w:lvlJc w:val="left"/>
      <w:pPr>
        <w:ind w:left="2880" w:hanging="360"/>
      </w:pPr>
    </w:lvl>
    <w:lvl w:ilvl="4" w:tplc="8B9C4BFA">
      <w:start w:val="1"/>
      <w:numFmt w:val="lowerLetter"/>
      <w:lvlText w:val="%5."/>
      <w:lvlJc w:val="left"/>
      <w:pPr>
        <w:ind w:left="3600" w:hanging="360"/>
      </w:pPr>
    </w:lvl>
    <w:lvl w:ilvl="5" w:tplc="423A2B44">
      <w:start w:val="1"/>
      <w:numFmt w:val="lowerRoman"/>
      <w:lvlText w:val="%6."/>
      <w:lvlJc w:val="right"/>
      <w:pPr>
        <w:ind w:left="4320" w:hanging="180"/>
      </w:pPr>
    </w:lvl>
    <w:lvl w:ilvl="6" w:tplc="3F66AD26">
      <w:start w:val="1"/>
      <w:numFmt w:val="decimal"/>
      <w:lvlText w:val="%7."/>
      <w:lvlJc w:val="left"/>
      <w:pPr>
        <w:ind w:left="5040" w:hanging="360"/>
      </w:pPr>
    </w:lvl>
    <w:lvl w:ilvl="7" w:tplc="3500BDD8">
      <w:start w:val="1"/>
      <w:numFmt w:val="lowerLetter"/>
      <w:lvlText w:val="%8."/>
      <w:lvlJc w:val="left"/>
      <w:pPr>
        <w:ind w:left="5760" w:hanging="360"/>
      </w:pPr>
    </w:lvl>
    <w:lvl w:ilvl="8" w:tplc="926A879C">
      <w:start w:val="1"/>
      <w:numFmt w:val="lowerRoman"/>
      <w:lvlText w:val="%9."/>
      <w:lvlJc w:val="right"/>
      <w:pPr>
        <w:ind w:left="6480" w:hanging="180"/>
      </w:pPr>
    </w:lvl>
  </w:abstractNum>
  <w:abstractNum w:abstractNumId="1" w15:restartNumberingAfterBreak="0">
    <w:nsid w:val="2613D2E4"/>
    <w:multiLevelType w:val="hybridMultilevel"/>
    <w:tmpl w:val="DE865A18"/>
    <w:lvl w:ilvl="0" w:tplc="C2F836E2">
      <w:start w:val="2"/>
      <w:numFmt w:val="decimal"/>
      <w:lvlText w:val="%1."/>
      <w:lvlJc w:val="left"/>
      <w:pPr>
        <w:ind w:left="720" w:hanging="360"/>
      </w:pPr>
      <w:rPr>
        <w:rFonts w:ascii="Arial" w:hAnsi="Arial" w:hint="default"/>
      </w:rPr>
    </w:lvl>
    <w:lvl w:ilvl="1" w:tplc="DA823974">
      <w:start w:val="1"/>
      <w:numFmt w:val="lowerLetter"/>
      <w:lvlText w:val="%2."/>
      <w:lvlJc w:val="left"/>
      <w:pPr>
        <w:ind w:left="1440" w:hanging="360"/>
      </w:pPr>
    </w:lvl>
    <w:lvl w:ilvl="2" w:tplc="9B26791A">
      <w:start w:val="1"/>
      <w:numFmt w:val="lowerRoman"/>
      <w:lvlText w:val="%3."/>
      <w:lvlJc w:val="right"/>
      <w:pPr>
        <w:ind w:left="2160" w:hanging="180"/>
      </w:pPr>
    </w:lvl>
    <w:lvl w:ilvl="3" w:tplc="5D24968A">
      <w:start w:val="1"/>
      <w:numFmt w:val="decimal"/>
      <w:lvlText w:val="%4."/>
      <w:lvlJc w:val="left"/>
      <w:pPr>
        <w:ind w:left="2880" w:hanging="360"/>
      </w:pPr>
    </w:lvl>
    <w:lvl w:ilvl="4" w:tplc="B4768BE2">
      <w:start w:val="1"/>
      <w:numFmt w:val="lowerLetter"/>
      <w:lvlText w:val="%5."/>
      <w:lvlJc w:val="left"/>
      <w:pPr>
        <w:ind w:left="3600" w:hanging="360"/>
      </w:pPr>
    </w:lvl>
    <w:lvl w:ilvl="5" w:tplc="E070C664">
      <w:start w:val="1"/>
      <w:numFmt w:val="lowerRoman"/>
      <w:lvlText w:val="%6."/>
      <w:lvlJc w:val="right"/>
      <w:pPr>
        <w:ind w:left="4320" w:hanging="180"/>
      </w:pPr>
    </w:lvl>
    <w:lvl w:ilvl="6" w:tplc="61102E10">
      <w:start w:val="1"/>
      <w:numFmt w:val="decimal"/>
      <w:lvlText w:val="%7."/>
      <w:lvlJc w:val="left"/>
      <w:pPr>
        <w:ind w:left="5040" w:hanging="360"/>
      </w:pPr>
    </w:lvl>
    <w:lvl w:ilvl="7" w:tplc="A18C137E">
      <w:start w:val="1"/>
      <w:numFmt w:val="lowerLetter"/>
      <w:lvlText w:val="%8."/>
      <w:lvlJc w:val="left"/>
      <w:pPr>
        <w:ind w:left="5760" w:hanging="360"/>
      </w:pPr>
    </w:lvl>
    <w:lvl w:ilvl="8" w:tplc="25E4FE0A">
      <w:start w:val="1"/>
      <w:numFmt w:val="lowerRoman"/>
      <w:lvlText w:val="%9."/>
      <w:lvlJc w:val="right"/>
      <w:pPr>
        <w:ind w:left="6480" w:hanging="180"/>
      </w:pPr>
    </w:lvl>
  </w:abstractNum>
  <w:abstractNum w:abstractNumId="2" w15:restartNumberingAfterBreak="0">
    <w:nsid w:val="34B34DFC"/>
    <w:multiLevelType w:val="hybridMultilevel"/>
    <w:tmpl w:val="5B1EE4D2"/>
    <w:lvl w:ilvl="0" w:tplc="0FC43A42">
      <w:start w:val="4"/>
      <w:numFmt w:val="decimal"/>
      <w:lvlText w:val="%1."/>
      <w:lvlJc w:val="left"/>
      <w:pPr>
        <w:ind w:left="720" w:hanging="360"/>
      </w:pPr>
      <w:rPr>
        <w:rFonts w:ascii="Arial" w:hAnsi="Arial" w:hint="default"/>
      </w:rPr>
    </w:lvl>
    <w:lvl w:ilvl="1" w:tplc="829E890E">
      <w:start w:val="1"/>
      <w:numFmt w:val="lowerLetter"/>
      <w:lvlText w:val="%2."/>
      <w:lvlJc w:val="left"/>
      <w:pPr>
        <w:ind w:left="1440" w:hanging="360"/>
      </w:pPr>
    </w:lvl>
    <w:lvl w:ilvl="2" w:tplc="4B489354">
      <w:start w:val="1"/>
      <w:numFmt w:val="lowerRoman"/>
      <w:lvlText w:val="%3."/>
      <w:lvlJc w:val="right"/>
      <w:pPr>
        <w:ind w:left="2160" w:hanging="180"/>
      </w:pPr>
    </w:lvl>
    <w:lvl w:ilvl="3" w:tplc="8A1E48A4">
      <w:start w:val="1"/>
      <w:numFmt w:val="decimal"/>
      <w:lvlText w:val="%4."/>
      <w:lvlJc w:val="left"/>
      <w:pPr>
        <w:ind w:left="2880" w:hanging="360"/>
      </w:pPr>
    </w:lvl>
    <w:lvl w:ilvl="4" w:tplc="283E59C0">
      <w:start w:val="1"/>
      <w:numFmt w:val="lowerLetter"/>
      <w:lvlText w:val="%5."/>
      <w:lvlJc w:val="left"/>
      <w:pPr>
        <w:ind w:left="3600" w:hanging="360"/>
      </w:pPr>
    </w:lvl>
    <w:lvl w:ilvl="5" w:tplc="A24A6402">
      <w:start w:val="1"/>
      <w:numFmt w:val="lowerRoman"/>
      <w:lvlText w:val="%6."/>
      <w:lvlJc w:val="right"/>
      <w:pPr>
        <w:ind w:left="4320" w:hanging="180"/>
      </w:pPr>
    </w:lvl>
    <w:lvl w:ilvl="6" w:tplc="1742BB32">
      <w:start w:val="1"/>
      <w:numFmt w:val="decimal"/>
      <w:lvlText w:val="%7."/>
      <w:lvlJc w:val="left"/>
      <w:pPr>
        <w:ind w:left="5040" w:hanging="360"/>
      </w:pPr>
    </w:lvl>
    <w:lvl w:ilvl="7" w:tplc="E68C3534">
      <w:start w:val="1"/>
      <w:numFmt w:val="lowerLetter"/>
      <w:lvlText w:val="%8."/>
      <w:lvlJc w:val="left"/>
      <w:pPr>
        <w:ind w:left="5760" w:hanging="360"/>
      </w:pPr>
    </w:lvl>
    <w:lvl w:ilvl="8" w:tplc="6CAA22A4">
      <w:start w:val="1"/>
      <w:numFmt w:val="lowerRoman"/>
      <w:lvlText w:val="%9."/>
      <w:lvlJc w:val="right"/>
      <w:pPr>
        <w:ind w:left="6480" w:hanging="180"/>
      </w:pPr>
    </w:lvl>
  </w:abstractNum>
  <w:abstractNum w:abstractNumId="3" w15:restartNumberingAfterBreak="0">
    <w:nsid w:val="4A19F54C"/>
    <w:multiLevelType w:val="hybridMultilevel"/>
    <w:tmpl w:val="8E7807EC"/>
    <w:lvl w:ilvl="0" w:tplc="6A3E599E">
      <w:start w:val="3"/>
      <w:numFmt w:val="decimal"/>
      <w:lvlText w:val="%1."/>
      <w:lvlJc w:val="left"/>
      <w:pPr>
        <w:ind w:left="720" w:hanging="360"/>
      </w:pPr>
      <w:rPr>
        <w:rFonts w:ascii="Arial" w:hAnsi="Arial" w:hint="default"/>
      </w:rPr>
    </w:lvl>
    <w:lvl w:ilvl="1" w:tplc="8CD0949A">
      <w:start w:val="1"/>
      <w:numFmt w:val="lowerLetter"/>
      <w:lvlText w:val="%2."/>
      <w:lvlJc w:val="left"/>
      <w:pPr>
        <w:ind w:left="1440" w:hanging="360"/>
      </w:pPr>
    </w:lvl>
    <w:lvl w:ilvl="2" w:tplc="6B4E000E">
      <w:start w:val="1"/>
      <w:numFmt w:val="lowerRoman"/>
      <w:lvlText w:val="%3."/>
      <w:lvlJc w:val="right"/>
      <w:pPr>
        <w:ind w:left="2160" w:hanging="180"/>
      </w:pPr>
    </w:lvl>
    <w:lvl w:ilvl="3" w:tplc="69206124">
      <w:start w:val="1"/>
      <w:numFmt w:val="decimal"/>
      <w:lvlText w:val="%4."/>
      <w:lvlJc w:val="left"/>
      <w:pPr>
        <w:ind w:left="2880" w:hanging="360"/>
      </w:pPr>
    </w:lvl>
    <w:lvl w:ilvl="4" w:tplc="2476109C">
      <w:start w:val="1"/>
      <w:numFmt w:val="lowerLetter"/>
      <w:lvlText w:val="%5."/>
      <w:lvlJc w:val="left"/>
      <w:pPr>
        <w:ind w:left="3600" w:hanging="360"/>
      </w:pPr>
    </w:lvl>
    <w:lvl w:ilvl="5" w:tplc="8A4601D4">
      <w:start w:val="1"/>
      <w:numFmt w:val="lowerRoman"/>
      <w:lvlText w:val="%6."/>
      <w:lvlJc w:val="right"/>
      <w:pPr>
        <w:ind w:left="4320" w:hanging="180"/>
      </w:pPr>
    </w:lvl>
    <w:lvl w:ilvl="6" w:tplc="7A26797C">
      <w:start w:val="1"/>
      <w:numFmt w:val="decimal"/>
      <w:lvlText w:val="%7."/>
      <w:lvlJc w:val="left"/>
      <w:pPr>
        <w:ind w:left="5040" w:hanging="360"/>
      </w:pPr>
    </w:lvl>
    <w:lvl w:ilvl="7" w:tplc="1FD0C98A">
      <w:start w:val="1"/>
      <w:numFmt w:val="lowerLetter"/>
      <w:lvlText w:val="%8."/>
      <w:lvlJc w:val="left"/>
      <w:pPr>
        <w:ind w:left="5760" w:hanging="360"/>
      </w:pPr>
    </w:lvl>
    <w:lvl w:ilvl="8" w:tplc="3D4A8B02">
      <w:start w:val="1"/>
      <w:numFmt w:val="lowerRoman"/>
      <w:lvlText w:val="%9."/>
      <w:lvlJc w:val="right"/>
      <w:pPr>
        <w:ind w:left="6480" w:hanging="180"/>
      </w:pPr>
    </w:lvl>
  </w:abstractNum>
  <w:abstractNum w:abstractNumId="4" w15:restartNumberingAfterBreak="0">
    <w:nsid w:val="4A1EB06D"/>
    <w:multiLevelType w:val="hybridMultilevel"/>
    <w:tmpl w:val="44A84C00"/>
    <w:lvl w:ilvl="0" w:tplc="2C2632AE">
      <w:start w:val="5"/>
      <w:numFmt w:val="decimal"/>
      <w:lvlText w:val="%1."/>
      <w:lvlJc w:val="left"/>
      <w:pPr>
        <w:ind w:left="720" w:hanging="360"/>
      </w:pPr>
      <w:rPr>
        <w:rFonts w:ascii="Arial" w:hAnsi="Arial" w:hint="default"/>
      </w:rPr>
    </w:lvl>
    <w:lvl w:ilvl="1" w:tplc="B7E0846C">
      <w:start w:val="1"/>
      <w:numFmt w:val="lowerLetter"/>
      <w:lvlText w:val="%2."/>
      <w:lvlJc w:val="left"/>
      <w:pPr>
        <w:ind w:left="1440" w:hanging="360"/>
      </w:pPr>
    </w:lvl>
    <w:lvl w:ilvl="2" w:tplc="C63A1188">
      <w:start w:val="1"/>
      <w:numFmt w:val="lowerRoman"/>
      <w:lvlText w:val="%3."/>
      <w:lvlJc w:val="right"/>
      <w:pPr>
        <w:ind w:left="2160" w:hanging="180"/>
      </w:pPr>
    </w:lvl>
    <w:lvl w:ilvl="3" w:tplc="FAC2A8B2">
      <w:start w:val="1"/>
      <w:numFmt w:val="decimal"/>
      <w:lvlText w:val="%4."/>
      <w:lvlJc w:val="left"/>
      <w:pPr>
        <w:ind w:left="2880" w:hanging="360"/>
      </w:pPr>
    </w:lvl>
    <w:lvl w:ilvl="4" w:tplc="4912C6B2">
      <w:start w:val="1"/>
      <w:numFmt w:val="lowerLetter"/>
      <w:lvlText w:val="%5."/>
      <w:lvlJc w:val="left"/>
      <w:pPr>
        <w:ind w:left="3600" w:hanging="360"/>
      </w:pPr>
    </w:lvl>
    <w:lvl w:ilvl="5" w:tplc="1382DABE">
      <w:start w:val="1"/>
      <w:numFmt w:val="lowerRoman"/>
      <w:lvlText w:val="%6."/>
      <w:lvlJc w:val="right"/>
      <w:pPr>
        <w:ind w:left="4320" w:hanging="180"/>
      </w:pPr>
    </w:lvl>
    <w:lvl w:ilvl="6" w:tplc="4FA8417E">
      <w:start w:val="1"/>
      <w:numFmt w:val="decimal"/>
      <w:lvlText w:val="%7."/>
      <w:lvlJc w:val="left"/>
      <w:pPr>
        <w:ind w:left="5040" w:hanging="360"/>
      </w:pPr>
    </w:lvl>
    <w:lvl w:ilvl="7" w:tplc="DBB0824C">
      <w:start w:val="1"/>
      <w:numFmt w:val="lowerLetter"/>
      <w:lvlText w:val="%8."/>
      <w:lvlJc w:val="left"/>
      <w:pPr>
        <w:ind w:left="5760" w:hanging="360"/>
      </w:pPr>
    </w:lvl>
    <w:lvl w:ilvl="8" w:tplc="2B90B0D0">
      <w:start w:val="1"/>
      <w:numFmt w:val="lowerRoman"/>
      <w:lvlText w:val="%9."/>
      <w:lvlJc w:val="right"/>
      <w:pPr>
        <w:ind w:left="6480" w:hanging="180"/>
      </w:pPr>
    </w:lvl>
  </w:abstractNum>
  <w:num w:numId="1" w16cid:durableId="30883135">
    <w:abstractNumId w:val="4"/>
  </w:num>
  <w:num w:numId="2" w16cid:durableId="1482383861">
    <w:abstractNumId w:val="2"/>
  </w:num>
  <w:num w:numId="3" w16cid:durableId="99422899">
    <w:abstractNumId w:val="3"/>
  </w:num>
  <w:num w:numId="4" w16cid:durableId="1907714616">
    <w:abstractNumId w:val="1"/>
  </w:num>
  <w:num w:numId="5" w16cid:durableId="182677399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Elaine Sharpling">
    <w15:presenceInfo w15:providerId="AD" w15:userId="S::elaine.sharpling@uwtsd.ac.uk::b6e2ce18-38cf-4309-986e-8ad8ade46d0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11DEAB"/>
    <w:rsid w:val="00313579"/>
    <w:rsid w:val="00463AE9"/>
    <w:rsid w:val="00475621"/>
    <w:rsid w:val="00730462"/>
    <w:rsid w:val="0083DCF6"/>
    <w:rsid w:val="008B240A"/>
    <w:rsid w:val="00B802E7"/>
    <w:rsid w:val="00CB117D"/>
    <w:rsid w:val="00DA1442"/>
    <w:rsid w:val="01AFF7B8"/>
    <w:rsid w:val="021CCA5F"/>
    <w:rsid w:val="02534C4C"/>
    <w:rsid w:val="02E60D76"/>
    <w:rsid w:val="03061989"/>
    <w:rsid w:val="031A9D58"/>
    <w:rsid w:val="0374FB43"/>
    <w:rsid w:val="03AF265A"/>
    <w:rsid w:val="0491A3E3"/>
    <w:rsid w:val="057B36D8"/>
    <w:rsid w:val="063153A2"/>
    <w:rsid w:val="068ADD44"/>
    <w:rsid w:val="0823DAE3"/>
    <w:rsid w:val="0853D9E2"/>
    <w:rsid w:val="09244B90"/>
    <w:rsid w:val="09C0C299"/>
    <w:rsid w:val="09FEA570"/>
    <w:rsid w:val="0A9630EC"/>
    <w:rsid w:val="0B329BE1"/>
    <w:rsid w:val="0B8DA0B8"/>
    <w:rsid w:val="0B9A230B"/>
    <w:rsid w:val="0B9F67FB"/>
    <w:rsid w:val="0BDE0AF4"/>
    <w:rsid w:val="0C9F67F8"/>
    <w:rsid w:val="0F7C5F70"/>
    <w:rsid w:val="10A73779"/>
    <w:rsid w:val="10B113C6"/>
    <w:rsid w:val="133CD1B6"/>
    <w:rsid w:val="1378B08E"/>
    <w:rsid w:val="13B2503B"/>
    <w:rsid w:val="13BF0654"/>
    <w:rsid w:val="13D18683"/>
    <w:rsid w:val="148492CB"/>
    <w:rsid w:val="14DF50FB"/>
    <w:rsid w:val="14E33A2F"/>
    <w:rsid w:val="153939BD"/>
    <w:rsid w:val="15570915"/>
    <w:rsid w:val="15EF142A"/>
    <w:rsid w:val="169A27D5"/>
    <w:rsid w:val="17084319"/>
    <w:rsid w:val="171884F2"/>
    <w:rsid w:val="174CFC6A"/>
    <w:rsid w:val="185388FF"/>
    <w:rsid w:val="188FCCFE"/>
    <w:rsid w:val="18A27F9E"/>
    <w:rsid w:val="18B86553"/>
    <w:rsid w:val="1907EE95"/>
    <w:rsid w:val="1910BFFE"/>
    <w:rsid w:val="19DA4EC4"/>
    <w:rsid w:val="1A02E99D"/>
    <w:rsid w:val="1A921B92"/>
    <w:rsid w:val="1AA0C20D"/>
    <w:rsid w:val="1AB2C960"/>
    <w:rsid w:val="1AD575E7"/>
    <w:rsid w:val="1AF1F278"/>
    <w:rsid w:val="1B7A55B1"/>
    <w:rsid w:val="1B9CC2FB"/>
    <w:rsid w:val="1C53CA87"/>
    <w:rsid w:val="1C878CAE"/>
    <w:rsid w:val="1D255F41"/>
    <w:rsid w:val="1D7B225E"/>
    <w:rsid w:val="1E1D653D"/>
    <w:rsid w:val="1F18A228"/>
    <w:rsid w:val="1F62A75E"/>
    <w:rsid w:val="1FA5D5A8"/>
    <w:rsid w:val="2000998A"/>
    <w:rsid w:val="200EE772"/>
    <w:rsid w:val="20F55324"/>
    <w:rsid w:val="212E2811"/>
    <w:rsid w:val="226C523F"/>
    <w:rsid w:val="2285C772"/>
    <w:rsid w:val="23A2EED5"/>
    <w:rsid w:val="245294DB"/>
    <w:rsid w:val="24D8E452"/>
    <w:rsid w:val="2520A565"/>
    <w:rsid w:val="261104A0"/>
    <w:rsid w:val="2651F828"/>
    <w:rsid w:val="26644DDC"/>
    <w:rsid w:val="26E55F2F"/>
    <w:rsid w:val="26F849BA"/>
    <w:rsid w:val="270BE399"/>
    <w:rsid w:val="2755D16C"/>
    <w:rsid w:val="281C4E07"/>
    <w:rsid w:val="282198C4"/>
    <w:rsid w:val="2868A278"/>
    <w:rsid w:val="2895BCAB"/>
    <w:rsid w:val="2898BCBC"/>
    <w:rsid w:val="290FFBB6"/>
    <w:rsid w:val="2911DEAB"/>
    <w:rsid w:val="2A8F5C4E"/>
    <w:rsid w:val="2ACA02D4"/>
    <w:rsid w:val="2BDC42E8"/>
    <w:rsid w:val="2C4738C9"/>
    <w:rsid w:val="2C9940B4"/>
    <w:rsid w:val="2CB17EB5"/>
    <w:rsid w:val="2DB1944B"/>
    <w:rsid w:val="2E46682A"/>
    <w:rsid w:val="2E55A7E5"/>
    <w:rsid w:val="2E6A28C0"/>
    <w:rsid w:val="2EF68C61"/>
    <w:rsid w:val="328CE449"/>
    <w:rsid w:val="3291A0E4"/>
    <w:rsid w:val="32A29A23"/>
    <w:rsid w:val="32CF59BD"/>
    <w:rsid w:val="33057A46"/>
    <w:rsid w:val="3317B3BA"/>
    <w:rsid w:val="333A1C65"/>
    <w:rsid w:val="338426CA"/>
    <w:rsid w:val="33ABAFB5"/>
    <w:rsid w:val="340C5254"/>
    <w:rsid w:val="343FC123"/>
    <w:rsid w:val="34B726C8"/>
    <w:rsid w:val="35ABDAE5"/>
    <w:rsid w:val="35C74A19"/>
    <w:rsid w:val="368E1427"/>
    <w:rsid w:val="36CE86B9"/>
    <w:rsid w:val="3739CB7F"/>
    <w:rsid w:val="377633FC"/>
    <w:rsid w:val="37BF70F0"/>
    <w:rsid w:val="387F2E8F"/>
    <w:rsid w:val="3A6E847C"/>
    <w:rsid w:val="3ADDD232"/>
    <w:rsid w:val="3B656A34"/>
    <w:rsid w:val="3BF56BAC"/>
    <w:rsid w:val="3C4D8212"/>
    <w:rsid w:val="3D63BA78"/>
    <w:rsid w:val="3E4A2D6A"/>
    <w:rsid w:val="3FCE671A"/>
    <w:rsid w:val="41903613"/>
    <w:rsid w:val="41F5C9A1"/>
    <w:rsid w:val="4215A168"/>
    <w:rsid w:val="43948C8A"/>
    <w:rsid w:val="4412A77D"/>
    <w:rsid w:val="4417E663"/>
    <w:rsid w:val="4490978B"/>
    <w:rsid w:val="44DEBACB"/>
    <w:rsid w:val="455A9567"/>
    <w:rsid w:val="45BCFBBA"/>
    <w:rsid w:val="45EB6FF3"/>
    <w:rsid w:val="46697B2B"/>
    <w:rsid w:val="47037CB1"/>
    <w:rsid w:val="491EC3B4"/>
    <w:rsid w:val="492BF316"/>
    <w:rsid w:val="49B70189"/>
    <w:rsid w:val="4A1C79A9"/>
    <w:rsid w:val="4A6B072E"/>
    <w:rsid w:val="4A992992"/>
    <w:rsid w:val="4AA5C7B5"/>
    <w:rsid w:val="4AA794F3"/>
    <w:rsid w:val="4B17D0F7"/>
    <w:rsid w:val="4B55AE70"/>
    <w:rsid w:val="4B572EFB"/>
    <w:rsid w:val="4B62C621"/>
    <w:rsid w:val="4B9D3E09"/>
    <w:rsid w:val="4BE0E4AB"/>
    <w:rsid w:val="4C0C774B"/>
    <w:rsid w:val="4C6AF22E"/>
    <w:rsid w:val="4CE0AF85"/>
    <w:rsid w:val="4E2FF013"/>
    <w:rsid w:val="4EBE1856"/>
    <w:rsid w:val="4ED26F45"/>
    <w:rsid w:val="4FD894C3"/>
    <w:rsid w:val="4FD91A6F"/>
    <w:rsid w:val="50847DA1"/>
    <w:rsid w:val="519E1607"/>
    <w:rsid w:val="52380766"/>
    <w:rsid w:val="524C2AC4"/>
    <w:rsid w:val="5262D0C4"/>
    <w:rsid w:val="5415DD9A"/>
    <w:rsid w:val="54489476"/>
    <w:rsid w:val="5479257E"/>
    <w:rsid w:val="54BF54DA"/>
    <w:rsid w:val="550AC52F"/>
    <w:rsid w:val="5557C308"/>
    <w:rsid w:val="55FB9C23"/>
    <w:rsid w:val="56BD03A0"/>
    <w:rsid w:val="56EE79A1"/>
    <w:rsid w:val="57EE3A47"/>
    <w:rsid w:val="5836BD06"/>
    <w:rsid w:val="5856B3EB"/>
    <w:rsid w:val="5857F3C8"/>
    <w:rsid w:val="58D57CEF"/>
    <w:rsid w:val="593F87E2"/>
    <w:rsid w:val="5945236F"/>
    <w:rsid w:val="5ACF6D11"/>
    <w:rsid w:val="5ADCCE92"/>
    <w:rsid w:val="5B8FAE72"/>
    <w:rsid w:val="5E485649"/>
    <w:rsid w:val="5E7346B9"/>
    <w:rsid w:val="5EEBA217"/>
    <w:rsid w:val="5F49B229"/>
    <w:rsid w:val="5FE79CCA"/>
    <w:rsid w:val="60CBB0A2"/>
    <w:rsid w:val="60FBD436"/>
    <w:rsid w:val="61370CC3"/>
    <w:rsid w:val="620016C3"/>
    <w:rsid w:val="62EA018E"/>
    <w:rsid w:val="6378D4A5"/>
    <w:rsid w:val="652FE702"/>
    <w:rsid w:val="659676B8"/>
    <w:rsid w:val="6602FE59"/>
    <w:rsid w:val="67A555BF"/>
    <w:rsid w:val="67AFD39E"/>
    <w:rsid w:val="68913160"/>
    <w:rsid w:val="69138050"/>
    <w:rsid w:val="693715C6"/>
    <w:rsid w:val="69563D56"/>
    <w:rsid w:val="6BB677A7"/>
    <w:rsid w:val="6BC2F989"/>
    <w:rsid w:val="6C0390FA"/>
    <w:rsid w:val="6C4C0336"/>
    <w:rsid w:val="6C4FBBEE"/>
    <w:rsid w:val="6C5C547A"/>
    <w:rsid w:val="6C776850"/>
    <w:rsid w:val="6CC1BEA9"/>
    <w:rsid w:val="6D75917A"/>
    <w:rsid w:val="6DCE0E93"/>
    <w:rsid w:val="6E7A8E7B"/>
    <w:rsid w:val="70EACE4C"/>
    <w:rsid w:val="70F8F649"/>
    <w:rsid w:val="717CA2B6"/>
    <w:rsid w:val="71AFF94D"/>
    <w:rsid w:val="732A8C0A"/>
    <w:rsid w:val="73D95B0B"/>
    <w:rsid w:val="74B847E4"/>
    <w:rsid w:val="74D2861B"/>
    <w:rsid w:val="76E6C340"/>
    <w:rsid w:val="770C0B24"/>
    <w:rsid w:val="77C5DAA2"/>
    <w:rsid w:val="7844CA15"/>
    <w:rsid w:val="78ACF6B1"/>
    <w:rsid w:val="79B2A094"/>
    <w:rsid w:val="7A11ACAC"/>
    <w:rsid w:val="7A277F2B"/>
    <w:rsid w:val="7CEC9544"/>
    <w:rsid w:val="7DC7CCDA"/>
    <w:rsid w:val="7E24BAFC"/>
    <w:rsid w:val="7E591EC1"/>
    <w:rsid w:val="7EFD72A9"/>
    <w:rsid w:val="7FD83ED8"/>
    <w:rsid w:val="7FF6A7E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1DEAB"/>
  <w15:chartTrackingRefBased/>
  <w15:docId w15:val="{85E08035-6E33-42E4-8C07-56C9D692F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DA1442"/>
    <w:rPr>
      <w:sz w:val="16"/>
      <w:szCs w:val="16"/>
    </w:rPr>
  </w:style>
  <w:style w:type="paragraph" w:styleId="CommentText">
    <w:name w:val="annotation text"/>
    <w:basedOn w:val="Normal"/>
    <w:link w:val="CommentTextChar"/>
    <w:uiPriority w:val="99"/>
    <w:unhideWhenUsed/>
    <w:rsid w:val="00DA1442"/>
    <w:pPr>
      <w:spacing w:line="240" w:lineRule="auto"/>
    </w:pPr>
    <w:rPr>
      <w:sz w:val="20"/>
      <w:szCs w:val="20"/>
    </w:rPr>
  </w:style>
  <w:style w:type="character" w:customStyle="1" w:styleId="CommentTextChar">
    <w:name w:val="Comment Text Char"/>
    <w:basedOn w:val="DefaultParagraphFont"/>
    <w:link w:val="CommentText"/>
    <w:uiPriority w:val="99"/>
    <w:rsid w:val="00DA1442"/>
    <w:rPr>
      <w:sz w:val="20"/>
      <w:szCs w:val="20"/>
    </w:rPr>
  </w:style>
  <w:style w:type="paragraph" w:styleId="CommentSubject">
    <w:name w:val="annotation subject"/>
    <w:basedOn w:val="CommentText"/>
    <w:next w:val="CommentText"/>
    <w:link w:val="CommentSubjectChar"/>
    <w:uiPriority w:val="99"/>
    <w:semiHidden/>
    <w:unhideWhenUsed/>
    <w:rsid w:val="00DA1442"/>
    <w:rPr>
      <w:b/>
      <w:bCs/>
    </w:rPr>
  </w:style>
  <w:style w:type="character" w:customStyle="1" w:styleId="CommentSubjectChar">
    <w:name w:val="Comment Subject Char"/>
    <w:basedOn w:val="CommentTextChar"/>
    <w:link w:val="CommentSubject"/>
    <w:uiPriority w:val="99"/>
    <w:semiHidden/>
    <w:rsid w:val="00DA144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111/bjep.12252" TargetMode="External"/><Relationship Id="rId26" Type="http://schemas.openxmlformats.org/officeDocument/2006/relationships/hyperlink" Target="https://www.estyn.gov.wales/system/files/2020-08/Pembroke%2520Dock%2520CP%2520School.pdf" TargetMode="External"/><Relationship Id="rId21" Type="http://schemas.openxmlformats.org/officeDocument/2006/relationships/hyperlink" Target="https://doi.org/10.1037/0003-066X.32.7.513" TargetMode="External"/><Relationship Id="rId34" Type="http://schemas.openxmlformats.org/officeDocument/2006/relationships/hyperlink" Target="https://www.gov.wales/universal-primary-free-school-meals-upfsm" TargetMode="External"/><Relationship Id="rId7" Type="http://schemas.microsoft.com/office/2011/relationships/commentsExtended" Target="commentsExtended.xml"/><Relationship Id="rId12" Type="http://schemas.openxmlformats.org/officeDocument/2006/relationships/image" Target="media/image3.png"/><Relationship Id="rId17" Type="http://schemas.openxmlformats.org/officeDocument/2006/relationships/hyperlink" Target="https://doi.org/10.1016/j.glmedi.2024.100051" TargetMode="External"/><Relationship Id="rId25" Type="http://schemas.openxmlformats.org/officeDocument/2006/relationships/hyperlink" Target="https://doi.org/10.1046/j.1365-2923.2002.01320.x" TargetMode="External"/><Relationship Id="rId33" Type="http://schemas.openxmlformats.org/officeDocument/2006/relationships/hyperlink" Target="https://www.gov.wales/our-national-mission-high-standards-and-aspirations-all-html"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www.bera.ac.uk/publication/ethical-guidelines-for-educational-research-2018" TargetMode="External"/><Relationship Id="rId29" Type="http://schemas.openxmlformats.org/officeDocument/2006/relationships/hyperlink" Target="https://www.oecd.org/pisa/keyfindings/pisa-2012-results-gender-eng.pdf" TargetMode="Externa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image" Target="media/image2.png"/><Relationship Id="rId24" Type="http://schemas.openxmlformats.org/officeDocument/2006/relationships/hyperlink" Target="https://doi.org/10.1080/17439760.2016.1262613" TargetMode="External"/><Relationship Id="rId32" Type="http://schemas.openxmlformats.org/officeDocument/2006/relationships/hyperlink" Target="https://www.gov.wales/sites/default/files/publications/2023-10/improving-school-attendance-guidance_0.pdf" TargetMode="External"/><Relationship Id="rId37" Type="http://schemas.openxmlformats.org/officeDocument/2006/relationships/theme" Target="theme/theme1.xml"/><Relationship Id="rId5" Type="http://schemas.openxmlformats.org/officeDocument/2006/relationships/hyperlink" Target="https://www.phrasebank.manchester.ac.uk" TargetMode="External"/><Relationship Id="rId15" Type="http://schemas.openxmlformats.org/officeDocument/2006/relationships/image" Target="media/image6.png"/><Relationship Id="rId23" Type="http://schemas.openxmlformats.org/officeDocument/2006/relationships/hyperlink" Target="https://doi.org/10.1188/14.onf.545-547" TargetMode="External"/><Relationship Id="rId28" Type="http://schemas.openxmlformats.org/officeDocument/2006/relationships/hyperlink" Target="https://doi.org/10.1080/00220670309596617" TargetMode="External"/><Relationship Id="rId36" Type="http://schemas.microsoft.com/office/2011/relationships/people" Target="people.xml"/><Relationship Id="rId10" Type="http://schemas.openxmlformats.org/officeDocument/2006/relationships/image" Target="media/image1.png"/><Relationship Id="rId19" Type="http://schemas.openxmlformats.org/officeDocument/2006/relationships/hyperlink" Target="https://doi.org/10.1177/1468794112468475" TargetMode="External"/><Relationship Id="rId31"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microsoft.com/office/2018/08/relationships/commentsExtensible" Target="commentsExtensible.xml"/><Relationship Id="rId14" Type="http://schemas.openxmlformats.org/officeDocument/2006/relationships/image" Target="media/image5.png"/><Relationship Id="rId22" Type="http://schemas.openxmlformats.org/officeDocument/2006/relationships/hyperlink" Target="https://doi.org/10.1016/j.sleep.2010.02.006" TargetMode="External"/><Relationship Id="rId27" Type="http://schemas.openxmlformats.org/officeDocument/2006/relationships/hyperlink" Target="https://www.gov.wales/national-effort-needed-increase-school-attendance-post-pandemic-education-minister-says" TargetMode="External"/><Relationship Id="rId30" Type="http://schemas.openxmlformats.org/officeDocument/2006/relationships/hyperlink" Target="https://www.gov.wales/free-breakfast-primary-schools-statutory-guidance" TargetMode="External"/><Relationship Id="rId35" Type="http://schemas.openxmlformats.org/officeDocument/2006/relationships/fontTable" Target="fontTable.xml"/><Relationship Id="rId8" Type="http://schemas.microsoft.com/office/2016/09/relationships/commentsIds" Target="commentsIds.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24</Pages>
  <Words>6683</Words>
  <Characters>38097</Characters>
  <Application>Microsoft Office Word</Application>
  <DocSecurity>0</DocSecurity>
  <Lines>317</Lines>
  <Paragraphs>89</Paragraphs>
  <ScaleCrop>false</ScaleCrop>
  <Company/>
  <LinksUpToDate>false</LinksUpToDate>
  <CharactersWithSpaces>44691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Lloyd (1701974)</dc:creator>
  <cp:keywords/>
  <dc:description/>
  <cp:lastModifiedBy>Carys Lloyd</cp:lastModifiedBy>
  <cp:revision>3</cp:revision>
  <dcterms:created xsi:type="dcterms:W3CDTF">2024-07-24T17:44:00Z</dcterms:created>
  <dcterms:modified xsi:type="dcterms:W3CDTF">2024-07-24T18:07:00Z</dcterms:modified>
</cp:coreProperties>
</file>