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AC19FC" w14:textId="77777777" w:rsidR="004D4E68" w:rsidRPr="00FA1AF6" w:rsidRDefault="004D4E68" w:rsidP="00FE69D0">
      <w:bookmarkStart w:id="0" w:name="_Hlk204267940"/>
      <w:bookmarkEnd w:id="0"/>
      <w:r w:rsidRPr="00FA1AF6">
        <w:rPr>
          <w:noProof/>
        </w:rPr>
        <w:drawing>
          <wp:inline distT="0" distB="0" distL="0" distR="0" wp14:anchorId="1C34E0BC" wp14:editId="339E5F78">
            <wp:extent cx="4122420" cy="1367269"/>
            <wp:effectExtent l="0" t="0" r="0" b="4445"/>
            <wp:docPr id="1"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0069" cy="1373122"/>
                    </a:xfrm>
                    <a:prstGeom prst="rect">
                      <a:avLst/>
                    </a:prstGeom>
                    <a:noFill/>
                  </pic:spPr>
                </pic:pic>
              </a:graphicData>
            </a:graphic>
          </wp:inline>
        </w:drawing>
      </w:r>
    </w:p>
    <w:p w14:paraId="7D3105E2" w14:textId="77777777" w:rsidR="005508F2" w:rsidRDefault="005508F2" w:rsidP="00FE69D0">
      <w:pPr>
        <w:rPr>
          <w:b/>
          <w:bCs/>
        </w:rPr>
      </w:pPr>
    </w:p>
    <w:p w14:paraId="7230D8BF" w14:textId="77777777" w:rsidR="00AF772F" w:rsidRDefault="00AF772F" w:rsidP="00FE69D0">
      <w:pPr>
        <w:rPr>
          <w:b/>
          <w:bCs/>
        </w:rPr>
      </w:pPr>
    </w:p>
    <w:p w14:paraId="5D6DB216" w14:textId="62E7D059" w:rsidR="004D4E68" w:rsidRDefault="004D4E68" w:rsidP="00FE69D0">
      <w:pPr>
        <w:rPr>
          <w:b/>
          <w:bCs/>
        </w:rPr>
      </w:pPr>
      <w:r w:rsidRPr="00FA1AF6">
        <w:rPr>
          <w:b/>
          <w:bCs/>
        </w:rPr>
        <w:t>BA (Hons) Business Management</w:t>
      </w:r>
    </w:p>
    <w:p w14:paraId="0E871C34" w14:textId="4EF5397E" w:rsidR="006728E6" w:rsidRDefault="00B4500A" w:rsidP="00FE69D0">
      <w:pPr>
        <w:rPr>
          <w:b/>
          <w:bCs/>
        </w:rPr>
      </w:pPr>
      <w:r w:rsidRPr="00B4500A">
        <w:rPr>
          <w:b/>
          <w:bCs/>
        </w:rPr>
        <w:t>International Business Communications LCBB6023</w:t>
      </w:r>
    </w:p>
    <w:p w14:paraId="47D16D7A" w14:textId="77777777" w:rsidR="00B4500A" w:rsidRDefault="00B4500A" w:rsidP="00FE69D0">
      <w:pPr>
        <w:rPr>
          <w:b/>
          <w:bCs/>
          <w:sz w:val="40"/>
          <w:szCs w:val="40"/>
        </w:rPr>
      </w:pPr>
    </w:p>
    <w:p w14:paraId="081E6888" w14:textId="77777777" w:rsidR="006728E6" w:rsidRDefault="006728E6" w:rsidP="00FE69D0">
      <w:pPr>
        <w:rPr>
          <w:b/>
          <w:bCs/>
          <w:sz w:val="40"/>
          <w:szCs w:val="40"/>
        </w:rPr>
      </w:pPr>
    </w:p>
    <w:p w14:paraId="2F4919C0" w14:textId="77777777" w:rsidR="00B4500A" w:rsidRPr="00B4500A" w:rsidRDefault="00B4500A" w:rsidP="00B4500A">
      <w:pPr>
        <w:jc w:val="center"/>
        <w:rPr>
          <w:b/>
          <w:bCs/>
          <w:sz w:val="40"/>
          <w:szCs w:val="40"/>
          <w:lang w:val="en-GB"/>
        </w:rPr>
      </w:pPr>
      <w:r w:rsidRPr="00B4500A">
        <w:rPr>
          <w:b/>
          <w:bCs/>
          <w:sz w:val="40"/>
          <w:szCs w:val="40"/>
          <w:lang w:val="en-GB"/>
        </w:rPr>
        <w:t>Evaluating Communication Differences Between British and Japanese Automotive Teams: Toyota Motor Manufacturing UK and Toyota Motor Corporation</w:t>
      </w:r>
    </w:p>
    <w:p w14:paraId="61CF35B2" w14:textId="77777777" w:rsidR="004D4E68" w:rsidRDefault="004D4E68" w:rsidP="00FE69D0">
      <w:pPr>
        <w:rPr>
          <w:b/>
          <w:bCs/>
        </w:rPr>
      </w:pPr>
    </w:p>
    <w:p w14:paraId="172359C8" w14:textId="77777777" w:rsidR="00F87641" w:rsidRDefault="00F87641" w:rsidP="00FE69D0">
      <w:pPr>
        <w:rPr>
          <w:b/>
          <w:bCs/>
        </w:rPr>
      </w:pPr>
    </w:p>
    <w:p w14:paraId="7B9E4F5A" w14:textId="77777777" w:rsidR="00F87641" w:rsidRDefault="00F87641" w:rsidP="00FE69D0">
      <w:pPr>
        <w:rPr>
          <w:b/>
          <w:bCs/>
        </w:rPr>
      </w:pPr>
    </w:p>
    <w:p w14:paraId="44BB265F" w14:textId="77777777" w:rsidR="00F87641" w:rsidRDefault="00F87641" w:rsidP="00FE69D0">
      <w:pPr>
        <w:rPr>
          <w:b/>
          <w:bCs/>
        </w:rPr>
      </w:pPr>
    </w:p>
    <w:p w14:paraId="654BDC7B" w14:textId="1160C208" w:rsidR="004D4E68" w:rsidRDefault="004D4E68" w:rsidP="00FE69D0">
      <w:pPr>
        <w:rPr>
          <w:b/>
          <w:bCs/>
        </w:rPr>
      </w:pPr>
      <w:r w:rsidRPr="00FA1AF6">
        <w:rPr>
          <w:b/>
          <w:bCs/>
        </w:rPr>
        <w:t>Student Name:</w:t>
      </w:r>
      <w:r>
        <w:rPr>
          <w:b/>
          <w:bCs/>
        </w:rPr>
        <w:t xml:space="preserve"> </w:t>
      </w:r>
      <w:r>
        <w:t>Constantin Iftimie</w:t>
      </w:r>
    </w:p>
    <w:p w14:paraId="2A564D53" w14:textId="4800707E" w:rsidR="004D4E68" w:rsidRPr="00FA1AF6" w:rsidRDefault="004D4E68" w:rsidP="00FE69D0">
      <w:pPr>
        <w:rPr>
          <w:b/>
          <w:bCs/>
        </w:rPr>
      </w:pPr>
      <w:r w:rsidRPr="00FA1AF6">
        <w:rPr>
          <w:b/>
          <w:bCs/>
        </w:rPr>
        <w:t>Student Number:</w:t>
      </w:r>
      <w:r>
        <w:rPr>
          <w:b/>
          <w:bCs/>
        </w:rPr>
        <w:t xml:space="preserve"> </w:t>
      </w:r>
      <w:r>
        <w:t>2242919</w:t>
      </w:r>
    </w:p>
    <w:p w14:paraId="4BE13F8B" w14:textId="2DE37660" w:rsidR="004D4E68" w:rsidRPr="00B4500A" w:rsidRDefault="004D4E68" w:rsidP="00FE69D0">
      <w:pPr>
        <w:rPr>
          <w:lang w:val="en-GB"/>
        </w:rPr>
      </w:pPr>
      <w:r w:rsidRPr="00FA1AF6">
        <w:rPr>
          <w:b/>
          <w:bCs/>
        </w:rPr>
        <w:t xml:space="preserve">Lecturer Name: </w:t>
      </w:r>
      <w:r w:rsidR="00B4500A" w:rsidRPr="007D3DD8">
        <w:rPr>
          <w:lang w:val="en-GB"/>
        </w:rPr>
        <w:t>Afzal Munna</w:t>
      </w:r>
    </w:p>
    <w:p w14:paraId="1B4FA1E6" w14:textId="77777777" w:rsidR="004D4E68" w:rsidRDefault="004D4E68" w:rsidP="00FE69D0">
      <w:pPr>
        <w:rPr>
          <w:b/>
          <w:bCs/>
        </w:rPr>
      </w:pPr>
    </w:p>
    <w:p w14:paraId="5902A555" w14:textId="77777777" w:rsidR="004D4E68" w:rsidRDefault="004D4E68" w:rsidP="00FE69D0">
      <w:pPr>
        <w:rPr>
          <w:b/>
          <w:bCs/>
        </w:rPr>
      </w:pPr>
    </w:p>
    <w:p w14:paraId="4745FBC7" w14:textId="77777777" w:rsidR="004D4E68" w:rsidRDefault="004D4E68" w:rsidP="00FE69D0">
      <w:pPr>
        <w:rPr>
          <w:b/>
          <w:bCs/>
        </w:rPr>
      </w:pPr>
    </w:p>
    <w:p w14:paraId="2DEB879A" w14:textId="64886486" w:rsidR="001F3245" w:rsidRDefault="004D4E68" w:rsidP="002E3D0A">
      <w:pPr>
        <w:jc w:val="center"/>
      </w:pPr>
      <w:r w:rsidRPr="00FA1AF6">
        <w:rPr>
          <w:b/>
          <w:bCs/>
        </w:rPr>
        <w:t>Session</w:t>
      </w:r>
      <w:r w:rsidRPr="00FA1AF6">
        <w:t xml:space="preserve">: </w:t>
      </w:r>
      <w:r w:rsidR="001F3245">
        <w:t>July 2026</w:t>
      </w:r>
      <w:r w:rsidRPr="00FA1AF6">
        <w:t xml:space="preserve"> T</w:t>
      </w:r>
      <w:r w:rsidR="001F3245">
        <w:t>erm 1</w:t>
      </w:r>
    </w:p>
    <w:sdt>
      <w:sdtPr>
        <w:rPr>
          <w:rFonts w:ascii="Arial" w:eastAsia="Times New Roman" w:hAnsi="Arial" w:cstheme="minorBidi"/>
          <w:color w:val="auto"/>
          <w:sz w:val="24"/>
          <w:szCs w:val="22"/>
        </w:rPr>
        <w:id w:val="1189419840"/>
        <w:docPartObj>
          <w:docPartGallery w:val="Table of Contents"/>
          <w:docPartUnique/>
        </w:docPartObj>
      </w:sdtPr>
      <w:sdtEndPr>
        <w:rPr>
          <w:b/>
          <w:bCs/>
          <w:noProof/>
        </w:rPr>
      </w:sdtEndPr>
      <w:sdtContent>
        <w:p w14:paraId="546978A3" w14:textId="0BF57C85" w:rsidR="00E719FC" w:rsidRDefault="00E719FC">
          <w:pPr>
            <w:pStyle w:val="TOCHeading"/>
          </w:pPr>
          <w:r>
            <w:t>Contents</w:t>
          </w:r>
        </w:p>
        <w:p w14:paraId="284FFB3C" w14:textId="2D847AE6" w:rsidR="007640CE" w:rsidRDefault="00E719FC">
          <w:pPr>
            <w:pStyle w:val="TOC1"/>
            <w:tabs>
              <w:tab w:val="right" w:leader="dot" w:pos="9016"/>
            </w:tabs>
            <w:rPr>
              <w:rFonts w:asciiTheme="minorHAnsi" w:eastAsiaTheme="minorEastAsia" w:hAnsiTheme="minorHAnsi"/>
              <w:noProof/>
              <w:kern w:val="2"/>
              <w:szCs w:val="24"/>
              <w:lang w:val="en-GB" w:eastAsia="en-GB"/>
              <w14:ligatures w14:val="standardContextual"/>
            </w:rPr>
          </w:pPr>
          <w:r>
            <w:fldChar w:fldCharType="begin"/>
          </w:r>
          <w:r>
            <w:instrText xml:space="preserve"> TOC \o "1-3" \h \z \u </w:instrText>
          </w:r>
          <w:r>
            <w:fldChar w:fldCharType="separate"/>
          </w:r>
          <w:hyperlink w:anchor="_Toc237776875" w:history="1">
            <w:r w:rsidR="007640CE" w:rsidRPr="00610436">
              <w:rPr>
                <w:rStyle w:val="Hyperlink"/>
                <w:noProof/>
              </w:rPr>
              <w:t>1. Introduction</w:t>
            </w:r>
            <w:r w:rsidR="007640CE">
              <w:rPr>
                <w:noProof/>
                <w:webHidden/>
              </w:rPr>
              <w:tab/>
            </w:r>
            <w:r w:rsidR="007640CE">
              <w:rPr>
                <w:noProof/>
                <w:webHidden/>
              </w:rPr>
              <w:fldChar w:fldCharType="begin"/>
            </w:r>
            <w:r w:rsidR="007640CE">
              <w:rPr>
                <w:noProof/>
                <w:webHidden/>
              </w:rPr>
              <w:instrText xml:space="preserve"> PAGEREF _Toc237776875 \h </w:instrText>
            </w:r>
            <w:r w:rsidR="007640CE">
              <w:rPr>
                <w:noProof/>
                <w:webHidden/>
              </w:rPr>
            </w:r>
            <w:r w:rsidR="007640CE">
              <w:rPr>
                <w:noProof/>
                <w:webHidden/>
              </w:rPr>
              <w:fldChar w:fldCharType="separate"/>
            </w:r>
            <w:r w:rsidR="007640CE">
              <w:rPr>
                <w:noProof/>
                <w:webHidden/>
              </w:rPr>
              <w:t>3</w:t>
            </w:r>
            <w:r w:rsidR="007640CE">
              <w:rPr>
                <w:noProof/>
                <w:webHidden/>
              </w:rPr>
              <w:fldChar w:fldCharType="end"/>
            </w:r>
          </w:hyperlink>
        </w:p>
        <w:p w14:paraId="1F65E273" w14:textId="12CFA6B6" w:rsidR="007640CE" w:rsidRDefault="007640C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7776876" w:history="1">
            <w:r w:rsidRPr="00610436">
              <w:rPr>
                <w:rStyle w:val="Hyperlink"/>
                <w:noProof/>
              </w:rPr>
              <w:t>2. Organisational and Automotive Context</w:t>
            </w:r>
            <w:r>
              <w:rPr>
                <w:noProof/>
                <w:webHidden/>
              </w:rPr>
              <w:tab/>
            </w:r>
            <w:r>
              <w:rPr>
                <w:noProof/>
                <w:webHidden/>
              </w:rPr>
              <w:fldChar w:fldCharType="begin"/>
            </w:r>
            <w:r>
              <w:rPr>
                <w:noProof/>
                <w:webHidden/>
              </w:rPr>
              <w:instrText xml:space="preserve"> PAGEREF _Toc237776876 \h </w:instrText>
            </w:r>
            <w:r>
              <w:rPr>
                <w:noProof/>
                <w:webHidden/>
              </w:rPr>
            </w:r>
            <w:r>
              <w:rPr>
                <w:noProof/>
                <w:webHidden/>
              </w:rPr>
              <w:fldChar w:fldCharType="separate"/>
            </w:r>
            <w:r>
              <w:rPr>
                <w:noProof/>
                <w:webHidden/>
              </w:rPr>
              <w:t>3</w:t>
            </w:r>
            <w:r>
              <w:rPr>
                <w:noProof/>
                <w:webHidden/>
              </w:rPr>
              <w:fldChar w:fldCharType="end"/>
            </w:r>
          </w:hyperlink>
        </w:p>
        <w:p w14:paraId="22AD0B5A" w14:textId="54E89BDF" w:rsidR="007640CE" w:rsidRDefault="007640C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7776877" w:history="1">
            <w:r w:rsidRPr="00610436">
              <w:rPr>
                <w:rStyle w:val="Hyperlink"/>
                <w:noProof/>
              </w:rPr>
              <w:t>3. Theoretical Foundations</w:t>
            </w:r>
            <w:r>
              <w:rPr>
                <w:noProof/>
                <w:webHidden/>
              </w:rPr>
              <w:tab/>
            </w:r>
            <w:r>
              <w:rPr>
                <w:noProof/>
                <w:webHidden/>
              </w:rPr>
              <w:fldChar w:fldCharType="begin"/>
            </w:r>
            <w:r>
              <w:rPr>
                <w:noProof/>
                <w:webHidden/>
              </w:rPr>
              <w:instrText xml:space="preserve"> PAGEREF _Toc237776877 \h </w:instrText>
            </w:r>
            <w:r>
              <w:rPr>
                <w:noProof/>
                <w:webHidden/>
              </w:rPr>
            </w:r>
            <w:r>
              <w:rPr>
                <w:noProof/>
                <w:webHidden/>
              </w:rPr>
              <w:fldChar w:fldCharType="separate"/>
            </w:r>
            <w:r>
              <w:rPr>
                <w:noProof/>
                <w:webHidden/>
              </w:rPr>
              <w:t>4</w:t>
            </w:r>
            <w:r>
              <w:rPr>
                <w:noProof/>
                <w:webHidden/>
              </w:rPr>
              <w:fldChar w:fldCharType="end"/>
            </w:r>
          </w:hyperlink>
        </w:p>
        <w:p w14:paraId="639950AA" w14:textId="6507CE23" w:rsidR="007640CE" w:rsidRDefault="007640C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7776878" w:history="1">
            <w:r w:rsidRPr="00610436">
              <w:rPr>
                <w:rStyle w:val="Hyperlink"/>
                <w:noProof/>
                <w:lang w:val="en-GB"/>
              </w:rPr>
              <w:t>3.1 Hall’s High-Context and Low-Context Theory</w:t>
            </w:r>
            <w:r>
              <w:rPr>
                <w:noProof/>
                <w:webHidden/>
              </w:rPr>
              <w:tab/>
            </w:r>
            <w:r>
              <w:rPr>
                <w:noProof/>
                <w:webHidden/>
              </w:rPr>
              <w:fldChar w:fldCharType="begin"/>
            </w:r>
            <w:r>
              <w:rPr>
                <w:noProof/>
                <w:webHidden/>
              </w:rPr>
              <w:instrText xml:space="preserve"> PAGEREF _Toc237776878 \h </w:instrText>
            </w:r>
            <w:r>
              <w:rPr>
                <w:noProof/>
                <w:webHidden/>
              </w:rPr>
            </w:r>
            <w:r>
              <w:rPr>
                <w:noProof/>
                <w:webHidden/>
              </w:rPr>
              <w:fldChar w:fldCharType="separate"/>
            </w:r>
            <w:r>
              <w:rPr>
                <w:noProof/>
                <w:webHidden/>
              </w:rPr>
              <w:t>4</w:t>
            </w:r>
            <w:r>
              <w:rPr>
                <w:noProof/>
                <w:webHidden/>
              </w:rPr>
              <w:fldChar w:fldCharType="end"/>
            </w:r>
          </w:hyperlink>
        </w:p>
        <w:p w14:paraId="0BB862DA" w14:textId="6DEAD0A9" w:rsidR="007640CE" w:rsidRDefault="007640C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7776879" w:history="1">
            <w:r w:rsidRPr="00610436">
              <w:rPr>
                <w:rStyle w:val="Hyperlink"/>
                <w:noProof/>
                <w:lang w:val="en-GB"/>
              </w:rPr>
              <w:t>3.2 Hofstede’s Cultural Dimensions</w:t>
            </w:r>
            <w:r>
              <w:rPr>
                <w:noProof/>
                <w:webHidden/>
              </w:rPr>
              <w:tab/>
            </w:r>
            <w:r>
              <w:rPr>
                <w:noProof/>
                <w:webHidden/>
              </w:rPr>
              <w:fldChar w:fldCharType="begin"/>
            </w:r>
            <w:r>
              <w:rPr>
                <w:noProof/>
                <w:webHidden/>
              </w:rPr>
              <w:instrText xml:space="preserve"> PAGEREF _Toc237776879 \h </w:instrText>
            </w:r>
            <w:r>
              <w:rPr>
                <w:noProof/>
                <w:webHidden/>
              </w:rPr>
            </w:r>
            <w:r>
              <w:rPr>
                <w:noProof/>
                <w:webHidden/>
              </w:rPr>
              <w:fldChar w:fldCharType="separate"/>
            </w:r>
            <w:r>
              <w:rPr>
                <w:noProof/>
                <w:webHidden/>
              </w:rPr>
              <w:t>5</w:t>
            </w:r>
            <w:r>
              <w:rPr>
                <w:noProof/>
                <w:webHidden/>
              </w:rPr>
              <w:fldChar w:fldCharType="end"/>
            </w:r>
          </w:hyperlink>
        </w:p>
        <w:p w14:paraId="3BB4F78C" w14:textId="014F3655" w:rsidR="007640CE" w:rsidRDefault="007640C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7776880" w:history="1">
            <w:r w:rsidRPr="00610436">
              <w:rPr>
                <w:rStyle w:val="Hyperlink"/>
                <w:noProof/>
                <w:lang w:val="en-GB"/>
              </w:rPr>
              <w:t>3.3 Critical Limitations</w:t>
            </w:r>
            <w:r>
              <w:rPr>
                <w:noProof/>
                <w:webHidden/>
              </w:rPr>
              <w:tab/>
            </w:r>
            <w:r>
              <w:rPr>
                <w:noProof/>
                <w:webHidden/>
              </w:rPr>
              <w:fldChar w:fldCharType="begin"/>
            </w:r>
            <w:r>
              <w:rPr>
                <w:noProof/>
                <w:webHidden/>
              </w:rPr>
              <w:instrText xml:space="preserve"> PAGEREF _Toc237776880 \h </w:instrText>
            </w:r>
            <w:r>
              <w:rPr>
                <w:noProof/>
                <w:webHidden/>
              </w:rPr>
            </w:r>
            <w:r>
              <w:rPr>
                <w:noProof/>
                <w:webHidden/>
              </w:rPr>
              <w:fldChar w:fldCharType="separate"/>
            </w:r>
            <w:r>
              <w:rPr>
                <w:noProof/>
                <w:webHidden/>
              </w:rPr>
              <w:t>5</w:t>
            </w:r>
            <w:r>
              <w:rPr>
                <w:noProof/>
                <w:webHidden/>
              </w:rPr>
              <w:fldChar w:fldCharType="end"/>
            </w:r>
          </w:hyperlink>
        </w:p>
        <w:p w14:paraId="28899219" w14:textId="07019F7C" w:rsidR="007640CE" w:rsidRDefault="007640C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7776881" w:history="1">
            <w:r w:rsidRPr="00610436">
              <w:rPr>
                <w:rStyle w:val="Hyperlink"/>
                <w:noProof/>
              </w:rPr>
              <w:t>4. Evaluation of Communication Differences</w:t>
            </w:r>
            <w:r>
              <w:rPr>
                <w:noProof/>
                <w:webHidden/>
              </w:rPr>
              <w:tab/>
            </w:r>
            <w:r>
              <w:rPr>
                <w:noProof/>
                <w:webHidden/>
              </w:rPr>
              <w:fldChar w:fldCharType="begin"/>
            </w:r>
            <w:r>
              <w:rPr>
                <w:noProof/>
                <w:webHidden/>
              </w:rPr>
              <w:instrText xml:space="preserve"> PAGEREF _Toc237776881 \h </w:instrText>
            </w:r>
            <w:r>
              <w:rPr>
                <w:noProof/>
                <w:webHidden/>
              </w:rPr>
            </w:r>
            <w:r>
              <w:rPr>
                <w:noProof/>
                <w:webHidden/>
              </w:rPr>
              <w:fldChar w:fldCharType="separate"/>
            </w:r>
            <w:r>
              <w:rPr>
                <w:noProof/>
                <w:webHidden/>
              </w:rPr>
              <w:t>6</w:t>
            </w:r>
            <w:r>
              <w:rPr>
                <w:noProof/>
                <w:webHidden/>
              </w:rPr>
              <w:fldChar w:fldCharType="end"/>
            </w:r>
          </w:hyperlink>
        </w:p>
        <w:p w14:paraId="40B69390" w14:textId="6D80A93B" w:rsidR="007640CE" w:rsidRDefault="007640C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7776882" w:history="1">
            <w:r w:rsidRPr="00610436">
              <w:rPr>
                <w:rStyle w:val="Hyperlink"/>
                <w:noProof/>
                <w:lang w:val="en-GB"/>
              </w:rPr>
              <w:t>4.1 Direct and Indirect Communication</w:t>
            </w:r>
            <w:r>
              <w:rPr>
                <w:noProof/>
                <w:webHidden/>
              </w:rPr>
              <w:tab/>
            </w:r>
            <w:r>
              <w:rPr>
                <w:noProof/>
                <w:webHidden/>
              </w:rPr>
              <w:fldChar w:fldCharType="begin"/>
            </w:r>
            <w:r>
              <w:rPr>
                <w:noProof/>
                <w:webHidden/>
              </w:rPr>
              <w:instrText xml:space="preserve"> PAGEREF _Toc237776882 \h </w:instrText>
            </w:r>
            <w:r>
              <w:rPr>
                <w:noProof/>
                <w:webHidden/>
              </w:rPr>
            </w:r>
            <w:r>
              <w:rPr>
                <w:noProof/>
                <w:webHidden/>
              </w:rPr>
              <w:fldChar w:fldCharType="separate"/>
            </w:r>
            <w:r>
              <w:rPr>
                <w:noProof/>
                <w:webHidden/>
              </w:rPr>
              <w:t>6</w:t>
            </w:r>
            <w:r>
              <w:rPr>
                <w:noProof/>
                <w:webHidden/>
              </w:rPr>
              <w:fldChar w:fldCharType="end"/>
            </w:r>
          </w:hyperlink>
        </w:p>
        <w:p w14:paraId="3747C3EB" w14:textId="393EBF36" w:rsidR="007640CE" w:rsidRDefault="007640C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7776883" w:history="1">
            <w:r w:rsidRPr="00610436">
              <w:rPr>
                <w:rStyle w:val="Hyperlink"/>
                <w:noProof/>
                <w:lang w:val="en-GB"/>
              </w:rPr>
              <w:t>4.2 Silence and Non-Verbal Communication</w:t>
            </w:r>
            <w:r>
              <w:rPr>
                <w:noProof/>
                <w:webHidden/>
              </w:rPr>
              <w:tab/>
            </w:r>
            <w:r>
              <w:rPr>
                <w:noProof/>
                <w:webHidden/>
              </w:rPr>
              <w:fldChar w:fldCharType="begin"/>
            </w:r>
            <w:r>
              <w:rPr>
                <w:noProof/>
                <w:webHidden/>
              </w:rPr>
              <w:instrText xml:space="preserve"> PAGEREF _Toc237776883 \h </w:instrText>
            </w:r>
            <w:r>
              <w:rPr>
                <w:noProof/>
                <w:webHidden/>
              </w:rPr>
            </w:r>
            <w:r>
              <w:rPr>
                <w:noProof/>
                <w:webHidden/>
              </w:rPr>
              <w:fldChar w:fldCharType="separate"/>
            </w:r>
            <w:r>
              <w:rPr>
                <w:noProof/>
                <w:webHidden/>
              </w:rPr>
              <w:t>6</w:t>
            </w:r>
            <w:r>
              <w:rPr>
                <w:noProof/>
                <w:webHidden/>
              </w:rPr>
              <w:fldChar w:fldCharType="end"/>
            </w:r>
          </w:hyperlink>
        </w:p>
        <w:p w14:paraId="5733E895" w14:textId="514E7AA0" w:rsidR="007640CE" w:rsidRDefault="007640C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7776884" w:history="1">
            <w:r w:rsidRPr="00610436">
              <w:rPr>
                <w:rStyle w:val="Hyperlink"/>
                <w:noProof/>
                <w:lang w:val="en-GB"/>
              </w:rPr>
              <w:t>4.3 Hierarchy and Employee Participation</w:t>
            </w:r>
            <w:r>
              <w:rPr>
                <w:noProof/>
                <w:webHidden/>
              </w:rPr>
              <w:tab/>
            </w:r>
            <w:r>
              <w:rPr>
                <w:noProof/>
                <w:webHidden/>
              </w:rPr>
              <w:fldChar w:fldCharType="begin"/>
            </w:r>
            <w:r>
              <w:rPr>
                <w:noProof/>
                <w:webHidden/>
              </w:rPr>
              <w:instrText xml:space="preserve"> PAGEREF _Toc237776884 \h </w:instrText>
            </w:r>
            <w:r>
              <w:rPr>
                <w:noProof/>
                <w:webHidden/>
              </w:rPr>
            </w:r>
            <w:r>
              <w:rPr>
                <w:noProof/>
                <w:webHidden/>
              </w:rPr>
              <w:fldChar w:fldCharType="separate"/>
            </w:r>
            <w:r>
              <w:rPr>
                <w:noProof/>
                <w:webHidden/>
              </w:rPr>
              <w:t>7</w:t>
            </w:r>
            <w:r>
              <w:rPr>
                <w:noProof/>
                <w:webHidden/>
              </w:rPr>
              <w:fldChar w:fldCharType="end"/>
            </w:r>
          </w:hyperlink>
        </w:p>
        <w:p w14:paraId="7D6E90A4" w14:textId="3F265D47" w:rsidR="007640CE" w:rsidRDefault="007640C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7776885" w:history="1">
            <w:r w:rsidRPr="00610436">
              <w:rPr>
                <w:rStyle w:val="Hyperlink"/>
                <w:noProof/>
                <w:lang w:val="en-GB"/>
              </w:rPr>
              <w:t>4.4 Consensus and Decision-Making</w:t>
            </w:r>
            <w:r>
              <w:rPr>
                <w:noProof/>
                <w:webHidden/>
              </w:rPr>
              <w:tab/>
            </w:r>
            <w:r>
              <w:rPr>
                <w:noProof/>
                <w:webHidden/>
              </w:rPr>
              <w:fldChar w:fldCharType="begin"/>
            </w:r>
            <w:r>
              <w:rPr>
                <w:noProof/>
                <w:webHidden/>
              </w:rPr>
              <w:instrText xml:space="preserve"> PAGEREF _Toc237776885 \h </w:instrText>
            </w:r>
            <w:r>
              <w:rPr>
                <w:noProof/>
                <w:webHidden/>
              </w:rPr>
            </w:r>
            <w:r>
              <w:rPr>
                <w:noProof/>
                <w:webHidden/>
              </w:rPr>
              <w:fldChar w:fldCharType="separate"/>
            </w:r>
            <w:r>
              <w:rPr>
                <w:noProof/>
                <w:webHidden/>
              </w:rPr>
              <w:t>7</w:t>
            </w:r>
            <w:r>
              <w:rPr>
                <w:noProof/>
                <w:webHidden/>
              </w:rPr>
              <w:fldChar w:fldCharType="end"/>
            </w:r>
          </w:hyperlink>
        </w:p>
        <w:p w14:paraId="15AFCEBA" w14:textId="390691E8" w:rsidR="007640CE" w:rsidRDefault="007640C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7776886" w:history="1">
            <w:r w:rsidRPr="00610436">
              <w:rPr>
                <w:rStyle w:val="Hyperlink"/>
                <w:noProof/>
                <w:lang w:val="en-GB"/>
              </w:rPr>
              <w:t>4.5 Feedback and Professional Dignity</w:t>
            </w:r>
            <w:r>
              <w:rPr>
                <w:noProof/>
                <w:webHidden/>
              </w:rPr>
              <w:tab/>
            </w:r>
            <w:r>
              <w:rPr>
                <w:noProof/>
                <w:webHidden/>
              </w:rPr>
              <w:fldChar w:fldCharType="begin"/>
            </w:r>
            <w:r>
              <w:rPr>
                <w:noProof/>
                <w:webHidden/>
              </w:rPr>
              <w:instrText xml:space="preserve"> PAGEREF _Toc237776886 \h </w:instrText>
            </w:r>
            <w:r>
              <w:rPr>
                <w:noProof/>
                <w:webHidden/>
              </w:rPr>
            </w:r>
            <w:r>
              <w:rPr>
                <w:noProof/>
                <w:webHidden/>
              </w:rPr>
              <w:fldChar w:fldCharType="separate"/>
            </w:r>
            <w:r>
              <w:rPr>
                <w:noProof/>
                <w:webHidden/>
              </w:rPr>
              <w:t>8</w:t>
            </w:r>
            <w:r>
              <w:rPr>
                <w:noProof/>
                <w:webHidden/>
              </w:rPr>
              <w:fldChar w:fldCharType="end"/>
            </w:r>
          </w:hyperlink>
        </w:p>
        <w:p w14:paraId="149A85D2" w14:textId="57D09AEB" w:rsidR="007640CE" w:rsidRDefault="007640C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7776887" w:history="1">
            <w:r w:rsidRPr="00610436">
              <w:rPr>
                <w:rStyle w:val="Hyperlink"/>
                <w:noProof/>
                <w:lang w:val="en-GB"/>
              </w:rPr>
              <w:t>4.6 Engineering-Change and Quality Communication</w:t>
            </w:r>
            <w:r>
              <w:rPr>
                <w:noProof/>
                <w:webHidden/>
              </w:rPr>
              <w:tab/>
            </w:r>
            <w:r>
              <w:rPr>
                <w:noProof/>
                <w:webHidden/>
              </w:rPr>
              <w:fldChar w:fldCharType="begin"/>
            </w:r>
            <w:r>
              <w:rPr>
                <w:noProof/>
                <w:webHidden/>
              </w:rPr>
              <w:instrText xml:space="preserve"> PAGEREF _Toc237776887 \h </w:instrText>
            </w:r>
            <w:r>
              <w:rPr>
                <w:noProof/>
                <w:webHidden/>
              </w:rPr>
            </w:r>
            <w:r>
              <w:rPr>
                <w:noProof/>
                <w:webHidden/>
              </w:rPr>
              <w:fldChar w:fldCharType="separate"/>
            </w:r>
            <w:r>
              <w:rPr>
                <w:noProof/>
                <w:webHidden/>
              </w:rPr>
              <w:t>8</w:t>
            </w:r>
            <w:r>
              <w:rPr>
                <w:noProof/>
                <w:webHidden/>
              </w:rPr>
              <w:fldChar w:fldCharType="end"/>
            </w:r>
          </w:hyperlink>
        </w:p>
        <w:p w14:paraId="070C9160" w14:textId="7CA25136" w:rsidR="007640CE" w:rsidRDefault="007640CE">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237776888" w:history="1">
            <w:r w:rsidRPr="00610436">
              <w:rPr>
                <w:rStyle w:val="Hyperlink"/>
                <w:noProof/>
                <w:lang w:val="en-GB"/>
              </w:rPr>
              <w:t>4.7 Virtual and Written Communication</w:t>
            </w:r>
            <w:r>
              <w:rPr>
                <w:noProof/>
                <w:webHidden/>
              </w:rPr>
              <w:tab/>
            </w:r>
            <w:r>
              <w:rPr>
                <w:noProof/>
                <w:webHidden/>
              </w:rPr>
              <w:fldChar w:fldCharType="begin"/>
            </w:r>
            <w:r>
              <w:rPr>
                <w:noProof/>
                <w:webHidden/>
              </w:rPr>
              <w:instrText xml:space="preserve"> PAGEREF _Toc237776888 \h </w:instrText>
            </w:r>
            <w:r>
              <w:rPr>
                <w:noProof/>
                <w:webHidden/>
              </w:rPr>
            </w:r>
            <w:r>
              <w:rPr>
                <w:noProof/>
                <w:webHidden/>
              </w:rPr>
              <w:fldChar w:fldCharType="separate"/>
            </w:r>
            <w:r>
              <w:rPr>
                <w:noProof/>
                <w:webHidden/>
              </w:rPr>
              <w:t>8</w:t>
            </w:r>
            <w:r>
              <w:rPr>
                <w:noProof/>
                <w:webHidden/>
              </w:rPr>
              <w:fldChar w:fldCharType="end"/>
            </w:r>
          </w:hyperlink>
        </w:p>
        <w:p w14:paraId="0831B950" w14:textId="32DD4547" w:rsidR="007640CE" w:rsidRDefault="007640C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7776889" w:history="1">
            <w:r w:rsidRPr="00610436">
              <w:rPr>
                <w:rStyle w:val="Hyperlink"/>
                <w:noProof/>
              </w:rPr>
              <w:t>5. Strategies for Effective Cultural Integration</w:t>
            </w:r>
            <w:r>
              <w:rPr>
                <w:noProof/>
                <w:webHidden/>
              </w:rPr>
              <w:tab/>
            </w:r>
            <w:r>
              <w:rPr>
                <w:noProof/>
                <w:webHidden/>
              </w:rPr>
              <w:fldChar w:fldCharType="begin"/>
            </w:r>
            <w:r>
              <w:rPr>
                <w:noProof/>
                <w:webHidden/>
              </w:rPr>
              <w:instrText xml:space="preserve"> PAGEREF _Toc237776889 \h </w:instrText>
            </w:r>
            <w:r>
              <w:rPr>
                <w:noProof/>
                <w:webHidden/>
              </w:rPr>
            </w:r>
            <w:r>
              <w:rPr>
                <w:noProof/>
                <w:webHidden/>
              </w:rPr>
              <w:fldChar w:fldCharType="separate"/>
            </w:r>
            <w:r>
              <w:rPr>
                <w:noProof/>
                <w:webHidden/>
              </w:rPr>
              <w:t>9</w:t>
            </w:r>
            <w:r>
              <w:rPr>
                <w:noProof/>
                <w:webHidden/>
              </w:rPr>
              <w:fldChar w:fldCharType="end"/>
            </w:r>
          </w:hyperlink>
        </w:p>
        <w:p w14:paraId="769EF6B2" w14:textId="36FBA21C" w:rsidR="007640CE" w:rsidRDefault="007640C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7776890" w:history="1">
            <w:r w:rsidRPr="00610436">
              <w:rPr>
                <w:rStyle w:val="Hyperlink"/>
                <w:noProof/>
              </w:rPr>
              <w:t>6. Conclusion</w:t>
            </w:r>
            <w:r>
              <w:rPr>
                <w:noProof/>
                <w:webHidden/>
              </w:rPr>
              <w:tab/>
            </w:r>
            <w:r>
              <w:rPr>
                <w:noProof/>
                <w:webHidden/>
              </w:rPr>
              <w:fldChar w:fldCharType="begin"/>
            </w:r>
            <w:r>
              <w:rPr>
                <w:noProof/>
                <w:webHidden/>
              </w:rPr>
              <w:instrText xml:space="preserve"> PAGEREF _Toc237776890 \h </w:instrText>
            </w:r>
            <w:r>
              <w:rPr>
                <w:noProof/>
                <w:webHidden/>
              </w:rPr>
            </w:r>
            <w:r>
              <w:rPr>
                <w:noProof/>
                <w:webHidden/>
              </w:rPr>
              <w:fldChar w:fldCharType="separate"/>
            </w:r>
            <w:r>
              <w:rPr>
                <w:noProof/>
                <w:webHidden/>
              </w:rPr>
              <w:t>9</w:t>
            </w:r>
            <w:r>
              <w:rPr>
                <w:noProof/>
                <w:webHidden/>
              </w:rPr>
              <w:fldChar w:fldCharType="end"/>
            </w:r>
          </w:hyperlink>
        </w:p>
        <w:p w14:paraId="4B6AF330" w14:textId="465B67F9" w:rsidR="007640CE" w:rsidRDefault="007640CE">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237776891" w:history="1">
            <w:r w:rsidRPr="00610436">
              <w:rPr>
                <w:rStyle w:val="Hyperlink"/>
                <w:noProof/>
              </w:rPr>
              <w:t>7. Reference List</w:t>
            </w:r>
            <w:r>
              <w:rPr>
                <w:noProof/>
                <w:webHidden/>
              </w:rPr>
              <w:tab/>
            </w:r>
            <w:r>
              <w:rPr>
                <w:noProof/>
                <w:webHidden/>
              </w:rPr>
              <w:fldChar w:fldCharType="begin"/>
            </w:r>
            <w:r>
              <w:rPr>
                <w:noProof/>
                <w:webHidden/>
              </w:rPr>
              <w:instrText xml:space="preserve"> PAGEREF _Toc237776891 \h </w:instrText>
            </w:r>
            <w:r>
              <w:rPr>
                <w:noProof/>
                <w:webHidden/>
              </w:rPr>
            </w:r>
            <w:r>
              <w:rPr>
                <w:noProof/>
                <w:webHidden/>
              </w:rPr>
              <w:fldChar w:fldCharType="separate"/>
            </w:r>
            <w:r>
              <w:rPr>
                <w:noProof/>
                <w:webHidden/>
              </w:rPr>
              <w:t>11</w:t>
            </w:r>
            <w:r>
              <w:rPr>
                <w:noProof/>
                <w:webHidden/>
              </w:rPr>
              <w:fldChar w:fldCharType="end"/>
            </w:r>
          </w:hyperlink>
        </w:p>
        <w:p w14:paraId="6D45E5DF" w14:textId="61006143" w:rsidR="00E719FC" w:rsidRDefault="00E719FC">
          <w:r>
            <w:rPr>
              <w:b/>
              <w:bCs/>
              <w:noProof/>
            </w:rPr>
            <w:fldChar w:fldCharType="end"/>
          </w:r>
        </w:p>
      </w:sdtContent>
    </w:sdt>
    <w:p w14:paraId="61A3E05E" w14:textId="77777777" w:rsidR="00714F8C" w:rsidRDefault="00714F8C">
      <w:pPr>
        <w:spacing w:after="0"/>
        <w:rPr>
          <w:lang w:val="en-GB"/>
        </w:rPr>
      </w:pPr>
      <w:r>
        <w:rPr>
          <w:lang w:val="en-GB"/>
        </w:rPr>
        <w:br w:type="page"/>
      </w:r>
    </w:p>
    <w:p w14:paraId="45270C7C" w14:textId="77777777" w:rsidR="00940BAC" w:rsidRPr="00940BAC" w:rsidRDefault="00940BAC" w:rsidP="00A15167">
      <w:pPr>
        <w:pStyle w:val="Heading1"/>
      </w:pPr>
      <w:bookmarkStart w:id="1" w:name="_Toc237776875"/>
      <w:r w:rsidRPr="00940BAC">
        <w:lastRenderedPageBreak/>
        <w:t>1. Introduction</w:t>
      </w:r>
      <w:bookmarkEnd w:id="1"/>
    </w:p>
    <w:p w14:paraId="347717B9" w14:textId="70FEF90B" w:rsidR="00940BAC" w:rsidRDefault="00C5334F" w:rsidP="00940BAC">
      <w:pPr>
        <w:spacing w:after="0"/>
        <w:rPr>
          <w:lang w:val="en-GB"/>
        </w:rPr>
      </w:pPr>
      <w:r>
        <w:rPr>
          <w:lang w:val="en-GB"/>
        </w:rPr>
        <w:t xml:space="preserve">International automotive manufacturing involves coordination across design, engineering, procurement, software, manufacturing, logistics, quality, and commercial teams. Multinational operations blend technical expertise with regional knowledge, but cultural differences can influence how employees interpret words, silence, criticism, deadlines, and authority. Poor management of these differences can lead to delays, defects, disruptions, and strained relationships. This essay, from the perspective of the Toyota UK Country Director leading a British-Japanese team, examines the development of a next-gen electric vehicle for Europe. Toyota UK, established in 1989, has a £2.75 billion investment, employs 3,000 staff across its Burnaston and Deeside facilities, and specialises in </w:t>
      </w:r>
      <w:r w:rsidR="003B683A">
        <w:rPr>
          <w:lang w:val="en-GB"/>
        </w:rPr>
        <w:t>a range of</w:t>
      </w:r>
      <w:r>
        <w:rPr>
          <w:lang w:val="en-GB"/>
        </w:rPr>
        <w:t xml:space="preserve"> manufacturing processes. Despite TMUK being a subsidiary, the cross-border collaboration reflects a shared development and manufacturing context. </w:t>
      </w:r>
      <w:r w:rsidR="003B683A">
        <w:rPr>
          <w:lang w:val="en-GB"/>
        </w:rPr>
        <w:t xml:space="preserve">The essay employs Hall’s high- and low-context theory along with Hofstede’s cultural dimensions to analyse differences in directness, silence, hierarchy, and decision-making.  It highlights that cultural models are tools for understanding rather than stereotypes, and that </w:t>
      </w:r>
      <w:r>
        <w:rPr>
          <w:lang w:val="en-GB"/>
        </w:rPr>
        <w:t>effective leadership requires combining Japanese long-term focus and consensus with British clarity, accountability, and timeliness.</w:t>
      </w:r>
    </w:p>
    <w:p w14:paraId="57D5DE3C" w14:textId="77777777" w:rsidR="00940BAC" w:rsidRPr="00940BAC" w:rsidRDefault="00940BAC" w:rsidP="00A15167">
      <w:pPr>
        <w:pStyle w:val="Heading1"/>
      </w:pPr>
      <w:bookmarkStart w:id="2" w:name="_Toc237776876"/>
      <w:r w:rsidRPr="00940BAC">
        <w:t>2. Organisational and Automotive Context</w:t>
      </w:r>
      <w:bookmarkEnd w:id="2"/>
    </w:p>
    <w:p w14:paraId="42BB8F52" w14:textId="77777777" w:rsidR="00940BAC" w:rsidRPr="00940BAC" w:rsidRDefault="00940BAC" w:rsidP="00940BAC">
      <w:pPr>
        <w:spacing w:after="0"/>
        <w:rPr>
          <w:lang w:val="en-GB"/>
        </w:rPr>
      </w:pPr>
      <w:r w:rsidRPr="00940BAC">
        <w:rPr>
          <w:lang w:val="en-GB"/>
        </w:rPr>
        <w:t>Toyota Motor Corporation is a Japanese multinational automotive manufacturer operating across international markets. Production at Burnaston began in 1992, and the plant has manufactured models including the Carina E, Avensis, Auris and Corolla. Deeside supplies engines to Toyota operations in Britain, Europe and other markets and became the first Toyota facility outside Japan to manufacture hybrid-system engines (Toyota Motor Manufacturing UK, n.d.).</w:t>
      </w:r>
    </w:p>
    <w:p w14:paraId="3076095E" w14:textId="77777777" w:rsidR="00940BAC" w:rsidRPr="00940BAC" w:rsidRDefault="00940BAC" w:rsidP="00940BAC">
      <w:pPr>
        <w:spacing w:after="0"/>
        <w:rPr>
          <w:lang w:val="en-GB"/>
        </w:rPr>
      </w:pPr>
      <w:r w:rsidRPr="00940BAC">
        <w:rPr>
          <w:lang w:val="en-GB"/>
        </w:rPr>
        <w:t>An electrified-vehicle programme requires British and Japanese teams to coordinate vehicle specifications, tooling, sourcing, software, manufacturing processes, quality requirements and launch timing. Miscommunication could lead to incorrect components, obsolete inventory, tooling delays, rework or production stoppages. Communication is therefore an operational capability, not merely an interpersonal skill.</w:t>
      </w:r>
    </w:p>
    <w:p w14:paraId="3B52270D" w14:textId="51D16C10" w:rsidR="00940BAC" w:rsidRPr="00940BAC" w:rsidRDefault="00940BAC" w:rsidP="00940BAC">
      <w:pPr>
        <w:spacing w:after="0"/>
        <w:rPr>
          <w:lang w:val="en-GB"/>
        </w:rPr>
      </w:pPr>
      <w:r w:rsidRPr="00940BAC">
        <w:rPr>
          <w:lang w:val="en-GB"/>
        </w:rPr>
        <w:t xml:space="preserve">Toyota’s organisational culture also affects communication. The Toyota Production System is based on </w:t>
      </w:r>
      <w:r w:rsidRPr="00940BAC">
        <w:rPr>
          <w:i/>
          <w:iCs/>
          <w:lang w:val="en-GB"/>
        </w:rPr>
        <w:t>jidoka</w:t>
      </w:r>
      <w:r w:rsidRPr="00940BAC">
        <w:rPr>
          <w:lang w:val="en-GB"/>
        </w:rPr>
        <w:t xml:space="preserve"> and Just-in-Time production. </w:t>
      </w:r>
      <w:r w:rsidRPr="00940BAC">
        <w:rPr>
          <w:i/>
          <w:iCs/>
          <w:lang w:val="en-GB"/>
        </w:rPr>
        <w:t>Jidoka</w:t>
      </w:r>
      <w:r w:rsidRPr="00940BAC">
        <w:rPr>
          <w:lang w:val="en-GB"/>
        </w:rPr>
        <w:t xml:space="preserve"> requires </w:t>
      </w:r>
      <w:r w:rsidR="00C5334F">
        <w:rPr>
          <w:lang w:val="en-GB"/>
        </w:rPr>
        <w:t xml:space="preserve">detecting </w:t>
      </w:r>
      <w:r w:rsidR="00C5334F">
        <w:rPr>
          <w:lang w:val="en-GB"/>
        </w:rPr>
        <w:lastRenderedPageBreak/>
        <w:t>abnormalities and stopping processes before defective products move forward</w:t>
      </w:r>
      <w:r w:rsidRPr="00940BAC">
        <w:rPr>
          <w:lang w:val="en-GB"/>
        </w:rPr>
        <w:t xml:space="preserve">. Just-in-Time aims to produce only what is required, when it is required and in the required quantity. Both are supported by continuous improvement, or </w:t>
      </w:r>
      <w:r w:rsidRPr="00940BAC">
        <w:rPr>
          <w:i/>
          <w:iCs/>
          <w:lang w:val="en-GB"/>
        </w:rPr>
        <w:t>kaizen</w:t>
      </w:r>
      <w:r w:rsidRPr="00940BAC">
        <w:rPr>
          <w:lang w:val="en-GB"/>
        </w:rPr>
        <w:t xml:space="preserve"> (Toyota Motor Corporation, n.d.).</w:t>
      </w:r>
    </w:p>
    <w:p w14:paraId="59B0F7A3" w14:textId="77777777" w:rsidR="00940BAC" w:rsidRPr="00940BAC" w:rsidRDefault="00940BAC" w:rsidP="00940BAC">
      <w:pPr>
        <w:spacing w:after="0"/>
        <w:rPr>
          <w:lang w:val="en-GB"/>
        </w:rPr>
      </w:pPr>
      <w:r w:rsidRPr="00940BAC">
        <w:rPr>
          <w:lang w:val="en-GB"/>
        </w:rPr>
        <w:t>These principles depend on employees identifying problems and participating in corrective action. Liker (2004) argues that Toyota’s performance reflects long-term thinking, employee development, standardisation and continuing learning. Takeuchi, Osono and Shimizu (2008) similarly suggest that Toyota combines formal operating systems with experimentation and organisational learning.</w:t>
      </w:r>
    </w:p>
    <w:p w14:paraId="751900DA" w14:textId="77777777" w:rsidR="00940BAC" w:rsidRDefault="00940BAC" w:rsidP="00940BAC">
      <w:pPr>
        <w:spacing w:after="0"/>
        <w:rPr>
          <w:lang w:val="en-GB"/>
        </w:rPr>
      </w:pPr>
      <w:r w:rsidRPr="00940BAC">
        <w:rPr>
          <w:lang w:val="en-GB"/>
        </w:rPr>
        <w:t>Toyota’s corporate culture provides shared principles for British and Japanese employees, but common processes cannot eliminate every cultural difference. The same procedure may be interpreted differently because of contrasting attitudes towards authority, disagreement and uncertainty. The Country Director must therefore integrate national, professional and organisational cultures rather than rely solely on formal systems.</w:t>
      </w:r>
    </w:p>
    <w:p w14:paraId="5B42A6D3" w14:textId="77777777" w:rsidR="00940BAC" w:rsidRPr="00940BAC" w:rsidRDefault="00940BAC" w:rsidP="00A15167">
      <w:pPr>
        <w:pStyle w:val="Heading1"/>
      </w:pPr>
      <w:bookmarkStart w:id="3" w:name="_Toc237776877"/>
      <w:r w:rsidRPr="00940BAC">
        <w:t>3. Theoretical Foundations</w:t>
      </w:r>
      <w:bookmarkEnd w:id="3"/>
    </w:p>
    <w:p w14:paraId="2706E1C4" w14:textId="77777777" w:rsidR="00940BAC" w:rsidRPr="00940BAC" w:rsidRDefault="00940BAC" w:rsidP="00A15167">
      <w:pPr>
        <w:pStyle w:val="Heading2"/>
        <w:rPr>
          <w:lang w:val="en-GB"/>
        </w:rPr>
      </w:pPr>
      <w:bookmarkStart w:id="4" w:name="_Toc237776878"/>
      <w:r w:rsidRPr="00940BAC">
        <w:rPr>
          <w:lang w:val="en-GB"/>
        </w:rPr>
        <w:t>3.1 Hall’s High-Context and Low-Context Theory</w:t>
      </w:r>
      <w:bookmarkEnd w:id="4"/>
    </w:p>
    <w:p w14:paraId="4E0FF25F" w14:textId="7BD26EDF" w:rsidR="00940BAC" w:rsidRPr="00940BAC" w:rsidRDefault="00940BAC" w:rsidP="00940BAC">
      <w:pPr>
        <w:spacing w:after="0"/>
        <w:rPr>
          <w:lang w:val="en-GB"/>
        </w:rPr>
      </w:pPr>
      <w:r w:rsidRPr="00940BAC">
        <w:rPr>
          <w:lang w:val="en-GB"/>
        </w:rPr>
        <w:t xml:space="preserve">Hall (1976) distinguishes between high-context and low-context communication. </w:t>
      </w:r>
      <w:r w:rsidR="001A3FC4">
        <w:rPr>
          <w:lang w:val="en-GB"/>
        </w:rPr>
        <w:t>Low-context</w:t>
      </w:r>
      <w:r w:rsidRPr="00940BAC">
        <w:rPr>
          <w:lang w:val="en-GB"/>
        </w:rPr>
        <w:t xml:space="preserve"> communication relies mainly on explicit language, written information and clearly stated responsibilities. Higher-context communication depends more heavily on relationships, shared knowledge, organisational status, tone, silence and the surrounding situation.</w:t>
      </w:r>
    </w:p>
    <w:p w14:paraId="54D1FC01" w14:textId="23670D26" w:rsidR="00940BAC" w:rsidRPr="00940BAC" w:rsidRDefault="00940BAC" w:rsidP="00940BAC">
      <w:pPr>
        <w:spacing w:after="0"/>
        <w:rPr>
          <w:lang w:val="en-GB"/>
        </w:rPr>
      </w:pPr>
      <w:r w:rsidRPr="00940BAC">
        <w:rPr>
          <w:lang w:val="en-GB"/>
        </w:rPr>
        <w:t xml:space="preserve">British business communication is generally considered comparatively lower context. British employees may expect a message to identify the issue, </w:t>
      </w:r>
      <w:r w:rsidR="00C5334F">
        <w:rPr>
          <w:lang w:val="en-GB"/>
        </w:rPr>
        <w:t xml:space="preserve">the responsible person, the required action, and the </w:t>
      </w:r>
      <w:r w:rsidRPr="00940BAC">
        <w:rPr>
          <w:lang w:val="en-GB"/>
        </w:rPr>
        <w:t>deadline. Direct questions and technical disagreement may be considered efficient and professionally appropriate.</w:t>
      </w:r>
    </w:p>
    <w:p w14:paraId="16BD95DF" w14:textId="7B949B07" w:rsidR="00940BAC" w:rsidRPr="00940BAC" w:rsidRDefault="002E6E03" w:rsidP="00940BAC">
      <w:pPr>
        <w:spacing w:after="0"/>
        <w:rPr>
          <w:lang w:val="en-GB"/>
        </w:rPr>
      </w:pPr>
      <w:r w:rsidRPr="002E6E03">
        <w:rPr>
          <w:lang w:val="en-GB"/>
        </w:rPr>
        <w:t xml:space="preserve">Japanese communication is comparatively higher context. Relationships, status and circumstances may contribute substantially to meaning. Employees may express disagreement through hesitation, qualified language or silence rather than direct refusal. Research comparing high- and low-context communication has also identified greater indirectness in Japanese communication (Hall, 1976; Broeder, 2021; Meyer, </w:t>
      </w:r>
      <w:r w:rsidRPr="002E6E03">
        <w:rPr>
          <w:lang w:val="en-GB"/>
        </w:rPr>
        <w:lastRenderedPageBreak/>
        <w:t xml:space="preserve">2014). Nakano and Tanaka (2022) found that international participants in Japan </w:t>
      </w:r>
      <w:r>
        <w:rPr>
          <w:lang w:val="en-GB"/>
        </w:rPr>
        <w:t>had difficulty interpreting indirect language, ambiguity,</w:t>
      </w:r>
      <w:r w:rsidRPr="002E6E03">
        <w:rPr>
          <w:lang w:val="en-GB"/>
        </w:rPr>
        <w:t xml:space="preserve"> and silence.</w:t>
      </w:r>
    </w:p>
    <w:p w14:paraId="022B47E2" w14:textId="77777777" w:rsidR="00940BAC" w:rsidRPr="00940BAC" w:rsidRDefault="00940BAC" w:rsidP="00940BAC">
      <w:pPr>
        <w:spacing w:after="0"/>
        <w:rPr>
          <w:lang w:val="en-GB"/>
        </w:rPr>
      </w:pPr>
      <w:r w:rsidRPr="00940BAC">
        <w:rPr>
          <w:lang w:val="en-GB"/>
        </w:rPr>
        <w:t>This distinction is important in automotive operations. If a Japanese engineer states that a tooling change “may be difficult”, a British colleague might interpret this as a manageable concern. The intended meaning, however, could be that the proposal faces serious opposition. Conversely, direct British criticism intended to resolve a technical problem may appear confrontational.</w:t>
      </w:r>
    </w:p>
    <w:p w14:paraId="51716199" w14:textId="77777777" w:rsidR="00940BAC" w:rsidRPr="00940BAC" w:rsidRDefault="00940BAC" w:rsidP="00940BAC">
      <w:pPr>
        <w:spacing w:after="0"/>
        <w:rPr>
          <w:lang w:val="en-GB"/>
        </w:rPr>
      </w:pPr>
      <w:r w:rsidRPr="00940BAC">
        <w:rPr>
          <w:lang w:val="en-GB"/>
        </w:rPr>
        <w:t>Hall’s framework explains how employees can use a shared language while assigning different meanings to a conversation. However, it outlines broad tendencies and must not be applied rigidly. Communication is also influenced by professional specialism, organisational position, language confidence and international experience.</w:t>
      </w:r>
    </w:p>
    <w:p w14:paraId="05BA02C7" w14:textId="77777777" w:rsidR="00940BAC" w:rsidRPr="00940BAC" w:rsidRDefault="00940BAC" w:rsidP="00A15167">
      <w:pPr>
        <w:pStyle w:val="Heading2"/>
        <w:rPr>
          <w:lang w:val="en-GB"/>
        </w:rPr>
      </w:pPr>
      <w:bookmarkStart w:id="5" w:name="_Toc237776879"/>
      <w:r w:rsidRPr="00940BAC">
        <w:rPr>
          <w:lang w:val="en-GB"/>
        </w:rPr>
        <w:t>3.2 Hofstede’s Cultural Dimensions</w:t>
      </w:r>
      <w:bookmarkEnd w:id="5"/>
    </w:p>
    <w:p w14:paraId="6D51E354" w14:textId="5FAE80E1" w:rsidR="00940BAC" w:rsidRPr="00940BAC" w:rsidRDefault="00C5334F" w:rsidP="00940BAC">
      <w:pPr>
        <w:spacing w:after="0"/>
        <w:rPr>
          <w:lang w:val="en-GB"/>
        </w:rPr>
      </w:pPr>
      <w:r>
        <w:rPr>
          <w:lang w:val="en-GB"/>
        </w:rPr>
        <w:t>Hofstede compares cultures across power distance, individualism, uncertainty avoidance, and long-term orientation. These are relevant to Toyota. The UK is more individualistic and values personal accountability and initiative. In contrast, Japan emphasises group affiliation and collective responsibility. Japan also shows stronger uncertainty avoidance, preferring detailed preparation and structured decision-making, which can delay British colleagues. Japan also has a long-term focus, assessing decisions by future quality and reputation, while British teams prioritise milestones and budgets. These differences highlight tendencies, not individual traits, helping managers anticipate misunderstandings and guide questions for better cross-cultural interactions.</w:t>
      </w:r>
    </w:p>
    <w:p w14:paraId="798AEFBE" w14:textId="77777777" w:rsidR="00940BAC" w:rsidRPr="00940BAC" w:rsidRDefault="00940BAC" w:rsidP="00A15167">
      <w:pPr>
        <w:pStyle w:val="Heading2"/>
        <w:rPr>
          <w:lang w:val="en-GB"/>
        </w:rPr>
      </w:pPr>
      <w:bookmarkStart w:id="6" w:name="_Toc237776880"/>
      <w:r w:rsidRPr="00940BAC">
        <w:rPr>
          <w:lang w:val="en-GB"/>
        </w:rPr>
        <w:t>3.3 Critical Limitations</w:t>
      </w:r>
      <w:bookmarkEnd w:id="6"/>
    </w:p>
    <w:p w14:paraId="621C5152" w14:textId="77777777" w:rsidR="00940BAC" w:rsidRPr="00940BAC" w:rsidRDefault="00940BAC" w:rsidP="00940BAC">
      <w:pPr>
        <w:spacing w:after="0"/>
        <w:rPr>
          <w:lang w:val="en-GB"/>
        </w:rPr>
      </w:pPr>
      <w:r w:rsidRPr="00940BAC">
        <w:rPr>
          <w:lang w:val="en-GB"/>
        </w:rPr>
        <w:t>Applying national averages directly to individuals can be misleading. McSweeney (2002) criticises Hofstede’s assumption that national cultures are stable and internally uniform. He also questions whether national influences can be separated adequately from organisational and occupational cultures.</w:t>
      </w:r>
    </w:p>
    <w:p w14:paraId="73689605" w14:textId="5A32BFA2" w:rsidR="00940BAC" w:rsidRDefault="00940BAC" w:rsidP="00940BAC">
      <w:pPr>
        <w:spacing w:after="0"/>
        <w:rPr>
          <w:lang w:val="en-GB"/>
        </w:rPr>
      </w:pPr>
      <w:r w:rsidRPr="00940BAC">
        <w:rPr>
          <w:lang w:val="en-GB"/>
        </w:rPr>
        <w:t xml:space="preserve">This criticism is relevant because British and Japanese Toyota engineers may share a professional culture based on evidence, quality, standardisation and structured problem-solving. </w:t>
      </w:r>
      <w:r w:rsidR="00C5334F">
        <w:rPr>
          <w:lang w:val="en-GB"/>
        </w:rPr>
        <w:t>Toyota’s organisational values also influence employees in both countries</w:t>
      </w:r>
      <w:r w:rsidRPr="00940BAC">
        <w:rPr>
          <w:lang w:val="en-GB"/>
        </w:rPr>
        <w:t xml:space="preserve">. These </w:t>
      </w:r>
      <w:r w:rsidR="00C5334F">
        <w:rPr>
          <w:lang w:val="en-GB"/>
        </w:rPr>
        <w:t xml:space="preserve">shared principles may sometimes matter more </w:t>
      </w:r>
      <w:r w:rsidRPr="00940BAC">
        <w:rPr>
          <w:lang w:val="en-GB"/>
        </w:rPr>
        <w:t>than nationality.</w:t>
      </w:r>
    </w:p>
    <w:p w14:paraId="3ECD57C6" w14:textId="4C73BC47" w:rsidR="002E6E03" w:rsidRDefault="002E6E03" w:rsidP="00940BAC">
      <w:pPr>
        <w:spacing w:after="0"/>
        <w:rPr>
          <w:lang w:val="en-GB"/>
        </w:rPr>
      </w:pPr>
      <w:r w:rsidRPr="002E6E03">
        <w:rPr>
          <w:lang w:val="en-GB"/>
        </w:rPr>
        <w:lastRenderedPageBreak/>
        <w:t xml:space="preserve">Cultural behaviour also changes over time. Younger employees, internationally experienced managers and people accustomed to multicultural teams may not reflect traditional expectations. Cultural frameworks should therefore support international management decisions </w:t>
      </w:r>
      <w:r>
        <w:rPr>
          <w:lang w:val="en-GB"/>
        </w:rPr>
        <w:t>rather than be</w:t>
      </w:r>
      <w:r w:rsidRPr="002E6E03">
        <w:rPr>
          <w:lang w:val="en-GB"/>
        </w:rPr>
        <w:t xml:space="preserve"> treated as fixed descriptions of individuals (Deresky, 2017). </w:t>
      </w:r>
      <w:r>
        <w:rPr>
          <w:lang w:val="en-GB"/>
        </w:rPr>
        <w:t xml:space="preserve">Use Hall and Hofstede </w:t>
      </w:r>
      <w:r w:rsidRPr="002E6E03">
        <w:rPr>
          <w:lang w:val="en-GB"/>
        </w:rPr>
        <w:t xml:space="preserve">as diagnostic frameworks rather than predictive rules. Cultural intelligence requires managers to recognise unfamiliar behaviour, question assumptions and adapt to the situation (Earley and Ang, 2003; Thomas </w:t>
      </w:r>
      <w:r w:rsidRPr="002E6E03">
        <w:rPr>
          <w:i/>
          <w:iCs/>
          <w:lang w:val="en-GB"/>
        </w:rPr>
        <w:t>et al</w:t>
      </w:r>
      <w:r w:rsidRPr="002E6E03">
        <w:rPr>
          <w:lang w:val="en-GB"/>
        </w:rPr>
        <w:t>., 2008).</w:t>
      </w:r>
    </w:p>
    <w:p w14:paraId="36A1C090" w14:textId="77777777" w:rsidR="00940BAC" w:rsidRPr="00940BAC" w:rsidRDefault="00940BAC" w:rsidP="00A15167">
      <w:pPr>
        <w:pStyle w:val="Heading1"/>
      </w:pPr>
      <w:bookmarkStart w:id="7" w:name="_Toc237776881"/>
      <w:r w:rsidRPr="00940BAC">
        <w:t>4. Evaluation of Communication Differences</w:t>
      </w:r>
      <w:bookmarkEnd w:id="7"/>
    </w:p>
    <w:p w14:paraId="76652515" w14:textId="77777777" w:rsidR="00940BAC" w:rsidRPr="00940BAC" w:rsidRDefault="00940BAC" w:rsidP="00A15167">
      <w:pPr>
        <w:pStyle w:val="Heading2"/>
        <w:rPr>
          <w:lang w:val="en-GB"/>
        </w:rPr>
      </w:pPr>
      <w:bookmarkStart w:id="8" w:name="_Toc237776882"/>
      <w:r w:rsidRPr="00940BAC">
        <w:rPr>
          <w:lang w:val="en-GB"/>
        </w:rPr>
        <w:t>4.1 Direct and Indirect Communication</w:t>
      </w:r>
      <w:bookmarkEnd w:id="8"/>
    </w:p>
    <w:p w14:paraId="214C8F7E" w14:textId="46473791" w:rsidR="00940BAC" w:rsidRPr="00940BAC" w:rsidRDefault="00940BAC" w:rsidP="00940BAC">
      <w:pPr>
        <w:spacing w:after="0"/>
        <w:rPr>
          <w:lang w:val="en-GB"/>
        </w:rPr>
      </w:pPr>
      <w:r w:rsidRPr="00940BAC">
        <w:rPr>
          <w:lang w:val="en-GB"/>
        </w:rPr>
        <w:t xml:space="preserve">A significant difference concerns </w:t>
      </w:r>
      <w:r w:rsidR="00C5334F">
        <w:rPr>
          <w:lang w:val="en-GB"/>
        </w:rPr>
        <w:t>how they express</w:t>
      </w:r>
      <w:r w:rsidRPr="00940BAC">
        <w:rPr>
          <w:lang w:val="en-GB"/>
        </w:rPr>
        <w:t xml:space="preserve"> disagreement. British engineers may state directly that a proposal is technically unsuitable or that a deadline cannot be achieved. This may be intended as an objective evaluation rather than personal criticism.</w:t>
      </w:r>
    </w:p>
    <w:p w14:paraId="112987CE" w14:textId="77777777" w:rsidR="00940BAC" w:rsidRPr="00940BAC" w:rsidRDefault="00940BAC" w:rsidP="00940BAC">
      <w:pPr>
        <w:spacing w:after="0"/>
        <w:rPr>
          <w:lang w:val="en-GB"/>
        </w:rPr>
      </w:pPr>
      <w:r w:rsidRPr="00940BAC">
        <w:rPr>
          <w:lang w:val="en-GB"/>
        </w:rPr>
        <w:t>Japanese employees may express similar concerns indirectly to preserve harmony and avoid embarrassing colleagues or superiors. They may use hesitation or phrases such as “further consideration may be required”. During an engineering-change review, a British manager could interpret this as conditional acceptance, although the Japanese representative intended to communicate serious reservations. Direct British criticism might also damage trust and discourage later contributions.</w:t>
      </w:r>
    </w:p>
    <w:p w14:paraId="014B91B4" w14:textId="77777777" w:rsidR="00940BAC" w:rsidRPr="00940BAC" w:rsidRDefault="00940BAC" w:rsidP="00940BAC">
      <w:pPr>
        <w:spacing w:after="0"/>
        <w:rPr>
          <w:lang w:val="en-GB"/>
        </w:rPr>
      </w:pPr>
      <w:r w:rsidRPr="00940BAC">
        <w:rPr>
          <w:lang w:val="en-GB"/>
        </w:rPr>
        <w:t>The Country Director should introduce a shared decision vocabulary. Proposals should be classified as approved, approved with conditions, rejected or pending further evidence. Meeting records should identify decisions, unresolved issues, authority and deadlines. This approach protects working relationships while ensuring operational clarity.</w:t>
      </w:r>
    </w:p>
    <w:p w14:paraId="4B214BC8" w14:textId="77777777" w:rsidR="00940BAC" w:rsidRPr="00940BAC" w:rsidRDefault="00940BAC" w:rsidP="00A15167">
      <w:pPr>
        <w:pStyle w:val="Heading2"/>
        <w:rPr>
          <w:lang w:val="en-GB"/>
        </w:rPr>
      </w:pPr>
      <w:bookmarkStart w:id="9" w:name="_Toc237776883"/>
      <w:r w:rsidRPr="00940BAC">
        <w:rPr>
          <w:lang w:val="en-GB"/>
        </w:rPr>
        <w:t>4.2 Silence and Non-Verbal Communication</w:t>
      </w:r>
      <w:bookmarkEnd w:id="9"/>
    </w:p>
    <w:p w14:paraId="576503A2" w14:textId="77777777" w:rsidR="00940BAC" w:rsidRPr="00940BAC" w:rsidRDefault="00940BAC" w:rsidP="00940BAC">
      <w:pPr>
        <w:spacing w:after="0"/>
        <w:rPr>
          <w:lang w:val="en-GB"/>
        </w:rPr>
      </w:pPr>
      <w:r w:rsidRPr="00940BAC">
        <w:rPr>
          <w:lang w:val="en-GB"/>
        </w:rPr>
        <w:t>British employees may interpret silence as uncertainty, disengagement or implied agreement and attempt to fill it quickly. Japanese employees may use silence to reflect, demonstrate respect or avoid expressing an opinion before completing internal consultation (Nakano and Tanaka, 2022).</w:t>
      </w:r>
    </w:p>
    <w:p w14:paraId="59494A32" w14:textId="31267A2C" w:rsidR="00940BAC" w:rsidRPr="00940BAC" w:rsidRDefault="00940BAC" w:rsidP="00940BAC">
      <w:pPr>
        <w:spacing w:after="0"/>
        <w:rPr>
          <w:lang w:val="en-GB"/>
        </w:rPr>
      </w:pPr>
      <w:r w:rsidRPr="00940BAC">
        <w:rPr>
          <w:lang w:val="en-GB"/>
        </w:rPr>
        <w:lastRenderedPageBreak/>
        <w:t>A nod or brief acknowledgement may indicate that a message has been heard</w:t>
      </w:r>
      <w:r w:rsidR="00C5334F">
        <w:rPr>
          <w:lang w:val="en-GB"/>
        </w:rPr>
        <w:t>, not</w:t>
      </w:r>
      <w:r w:rsidRPr="00940BAC">
        <w:rPr>
          <w:lang w:val="en-GB"/>
        </w:rPr>
        <w:t xml:space="preserve"> accepted. If British managers treat active-listening behaviour as approval, they may proceed without genuine agreement, creating particular risk in safety and quality discussions.</w:t>
      </w:r>
    </w:p>
    <w:p w14:paraId="6BB05307" w14:textId="608FCAC2" w:rsidR="00940BAC" w:rsidRPr="00940BAC" w:rsidRDefault="00940BAC" w:rsidP="00940BAC">
      <w:pPr>
        <w:spacing w:after="0"/>
        <w:rPr>
          <w:lang w:val="en-GB"/>
        </w:rPr>
      </w:pPr>
      <w:r w:rsidRPr="00940BAC">
        <w:rPr>
          <w:lang w:val="en-GB"/>
        </w:rPr>
        <w:t xml:space="preserve">Meeting chairs should </w:t>
      </w:r>
      <w:r w:rsidR="00C5334F">
        <w:rPr>
          <w:lang w:val="en-GB"/>
        </w:rPr>
        <w:t>allow time to reflect and ask neutral questions about whether further evidence or consultation is needed</w:t>
      </w:r>
      <w:r w:rsidRPr="00940BAC">
        <w:rPr>
          <w:lang w:val="en-GB"/>
        </w:rPr>
        <w:t xml:space="preserve">. </w:t>
      </w:r>
      <w:r w:rsidR="00C5334F">
        <w:rPr>
          <w:lang w:val="en-GB"/>
        </w:rPr>
        <w:t>Confirm final decisions in writing rather than inferring them</w:t>
      </w:r>
      <w:r w:rsidRPr="00940BAC">
        <w:rPr>
          <w:lang w:val="en-GB"/>
        </w:rPr>
        <w:t xml:space="preserve"> from silence. However, managers should not explain every silent response through culture. Silence might also reflect limited knowledge, language confidence, disagreement or fear of speaking.</w:t>
      </w:r>
    </w:p>
    <w:p w14:paraId="666E1ED7" w14:textId="77777777" w:rsidR="00940BAC" w:rsidRPr="00940BAC" w:rsidRDefault="00940BAC" w:rsidP="00A15167">
      <w:pPr>
        <w:pStyle w:val="Heading2"/>
        <w:rPr>
          <w:lang w:val="en-GB"/>
        </w:rPr>
      </w:pPr>
      <w:bookmarkStart w:id="10" w:name="_Toc237776884"/>
      <w:r w:rsidRPr="00940BAC">
        <w:rPr>
          <w:lang w:val="en-GB"/>
        </w:rPr>
        <w:t>4.3 Hierarchy and Employee Participation</w:t>
      </w:r>
      <w:bookmarkEnd w:id="10"/>
    </w:p>
    <w:p w14:paraId="71030DC2" w14:textId="3C884C27" w:rsidR="00940BAC" w:rsidRPr="00940BAC" w:rsidRDefault="00C5334F" w:rsidP="00940BAC">
      <w:pPr>
        <w:spacing w:after="0"/>
        <w:rPr>
          <w:lang w:val="en-GB"/>
        </w:rPr>
      </w:pPr>
      <w:r>
        <w:rPr>
          <w:lang w:val="en-GB"/>
        </w:rPr>
        <w:t>British workplace communication is informal; employees use first names, and specialists may challenge senior managers with evidence. Japanese communication emphasises seniority, role, and group membership. Nakane (1970) highlights vertical relationships; Yoshimura and Anderson (1997) note how organisational context and insider–outsider ties influence Japanese conduct. Hierarchy can discourage juniors from publicly challenging seniors. A British manager might see silence as agreement, even if technical concerns exist, while British informality or public disagreement with a Japanese senior may seem disrespectful. This matters because jidoka requires employees to report issues and stop defective work (Toyota, n.d.). The Country Director should balance respect for roles with safe channels for participation, such as written assessments, engineering reviews, and confidential escalation routes. Hierarchy influences communication but shouldn't prevent reporting safety or quality issues.</w:t>
      </w:r>
    </w:p>
    <w:p w14:paraId="1D33AEAF" w14:textId="77777777" w:rsidR="00940BAC" w:rsidRPr="00940BAC" w:rsidRDefault="00940BAC" w:rsidP="00A15167">
      <w:pPr>
        <w:pStyle w:val="Heading2"/>
        <w:rPr>
          <w:lang w:val="en-GB"/>
        </w:rPr>
      </w:pPr>
      <w:bookmarkStart w:id="11" w:name="_Toc237776885"/>
      <w:r w:rsidRPr="00940BAC">
        <w:rPr>
          <w:lang w:val="en-GB"/>
        </w:rPr>
        <w:t>4.4 Consensus and Decision-Making</w:t>
      </w:r>
      <w:bookmarkEnd w:id="11"/>
    </w:p>
    <w:p w14:paraId="662B05F3" w14:textId="10E02AB6" w:rsidR="00940BAC" w:rsidRPr="00940BAC" w:rsidRDefault="00C5334F" w:rsidP="00940BAC">
      <w:pPr>
        <w:spacing w:after="0"/>
        <w:rPr>
          <w:lang w:val="en-GB"/>
        </w:rPr>
      </w:pPr>
      <w:r>
        <w:rPr>
          <w:lang w:val="en-GB"/>
        </w:rPr>
        <w:t xml:space="preserve">British managers expect proposals to be debated in formal meetings, while Japanese organisations undertake extensive pre-consultation. Nemawashi involves informal discussions to evaluate proposals and build support, with the ringi process circulating written proposals for review and endorsement. British employees see this as slow because formal meetings do not always lead to immediate decisions, whereas Japanese employees view pressure for instant approval as overlooking risks and stakeholders. Changing vehicle components can impact testing, tooling, procurement, inventory, software, and regulatory approval. Early consultation can identify </w:t>
      </w:r>
      <w:r>
        <w:rPr>
          <w:lang w:val="en-GB"/>
        </w:rPr>
        <w:lastRenderedPageBreak/>
        <w:t>consequences and improve implementation. Liker (2004) associates Toyota with consensus-based decision-making followed by rapid execution. However, consensus may delay progress when ownership and deadlines are unclear. Therefore, schedule consultation in advance, circulate proposals early, identify stakeholders, set review deadlines, and keep records of informal support, technical recommendations, and final approval to maintain nemawashi's value without indefinite delays.</w:t>
      </w:r>
    </w:p>
    <w:p w14:paraId="1B90284D" w14:textId="77777777" w:rsidR="00940BAC" w:rsidRPr="00940BAC" w:rsidRDefault="00940BAC" w:rsidP="00A15167">
      <w:pPr>
        <w:pStyle w:val="Heading2"/>
        <w:rPr>
          <w:lang w:val="en-GB"/>
        </w:rPr>
      </w:pPr>
      <w:bookmarkStart w:id="12" w:name="_Toc237776886"/>
      <w:r w:rsidRPr="00940BAC">
        <w:rPr>
          <w:lang w:val="en-GB"/>
        </w:rPr>
        <w:t>4.5 Feedback and Professional Dignity</w:t>
      </w:r>
      <w:bookmarkEnd w:id="12"/>
    </w:p>
    <w:p w14:paraId="3D0BFCA7" w14:textId="4017EA2E" w:rsidR="00940BAC" w:rsidRPr="00940BAC" w:rsidRDefault="00C5334F" w:rsidP="00940BAC">
      <w:pPr>
        <w:spacing w:after="0"/>
        <w:rPr>
          <w:lang w:val="en-GB"/>
        </w:rPr>
      </w:pPr>
      <w:r>
        <w:rPr>
          <w:lang w:val="en-GB"/>
        </w:rPr>
        <w:t xml:space="preserve">British managers often see direct corrective feedback as effective, especially for technical problems. In contrast, Japanese employees emphasise the setting and social implications of criticism. Publicly pointing out errors may cause embarrassment and hinder cooperation. Automotive problem-solving needs transparency, but this doesn’t mean blame should be public. Quality discussions should focus on evidence, processes, and root causes. Sensitive feedback is best given privately, while positive contributions can be celebrated openly. Toyota’s philosophy of continuous improvement supports this, as abnormalities should lead to learning, not hiding. According to Takeuchi, Osono, and Shimizu (2008), Toyota’s success hinges on formal systems and a culture that tackles challenges. However, cultural adaptation has limits: safety risks, falsified data, or violations require immediate escalation. Cultural awareness influences how issues are communicated, not </w:t>
      </w:r>
      <w:r w:rsidR="00643A1B">
        <w:rPr>
          <w:lang w:val="en-GB"/>
        </w:rPr>
        <w:t>whether</w:t>
      </w:r>
      <w:r>
        <w:rPr>
          <w:lang w:val="en-GB"/>
        </w:rPr>
        <w:t xml:space="preserve"> they are addressed.</w:t>
      </w:r>
    </w:p>
    <w:p w14:paraId="0FE871D5" w14:textId="77777777" w:rsidR="00940BAC" w:rsidRPr="00940BAC" w:rsidRDefault="00940BAC" w:rsidP="00A15167">
      <w:pPr>
        <w:pStyle w:val="Heading2"/>
        <w:rPr>
          <w:lang w:val="en-GB"/>
        </w:rPr>
      </w:pPr>
      <w:bookmarkStart w:id="13" w:name="_Toc237776887"/>
      <w:r w:rsidRPr="00940BAC">
        <w:rPr>
          <w:lang w:val="en-GB"/>
        </w:rPr>
        <w:t>4.6 Engineering-Change and Quality Communication</w:t>
      </w:r>
      <w:bookmarkEnd w:id="13"/>
    </w:p>
    <w:p w14:paraId="2BCD288A" w14:textId="47293CCF" w:rsidR="00940BAC" w:rsidRPr="00940BAC" w:rsidRDefault="00C5334F" w:rsidP="00940BAC">
      <w:pPr>
        <w:spacing w:after="0"/>
        <w:rPr>
          <w:lang w:val="en-GB"/>
        </w:rPr>
      </w:pPr>
      <w:r>
        <w:rPr>
          <w:lang w:val="en-GB"/>
        </w:rPr>
        <w:t>Engineering-change control shows how communication differences impact automotive performance. Design changes affect components, tooling, supplier orders, inventory, bills of materials, and dates. British employees might implement changes prematurely if they see tentative discussions as approval. Waiting for undocumented consensus could delay production. The change process should include proposal, review, assessment, approval, and implementation. Each change needs an owner, affected parts, evidence, inventory effects, date, approval, and status. Bilingual descriptions prevent translation issues, and a central record keeps revisions consistent. Standardised documentation fosters a shared language, blending Japanese quality focus with British responsibility and deadlines.</w:t>
      </w:r>
    </w:p>
    <w:p w14:paraId="7898EE1A" w14:textId="77777777" w:rsidR="00940BAC" w:rsidRPr="00940BAC" w:rsidRDefault="00940BAC" w:rsidP="007640CE">
      <w:pPr>
        <w:pStyle w:val="Heading2"/>
        <w:rPr>
          <w:lang w:val="en-GB"/>
        </w:rPr>
      </w:pPr>
      <w:bookmarkStart w:id="14" w:name="_Toc237776888"/>
      <w:r w:rsidRPr="00940BAC">
        <w:rPr>
          <w:lang w:val="en-GB"/>
        </w:rPr>
        <w:lastRenderedPageBreak/>
        <w:t>4.7 Virtual and Written Communication</w:t>
      </w:r>
      <w:bookmarkEnd w:id="14"/>
    </w:p>
    <w:p w14:paraId="4928378E" w14:textId="16D6754A" w:rsidR="00940BAC" w:rsidRPr="00940BAC" w:rsidRDefault="00C5334F" w:rsidP="00940BAC">
      <w:pPr>
        <w:spacing w:after="0"/>
        <w:rPr>
          <w:lang w:val="en-GB"/>
        </w:rPr>
      </w:pPr>
      <w:r>
        <w:rPr>
          <w:lang w:val="en-GB"/>
        </w:rPr>
        <w:t xml:space="preserve">Communication between Britain and Japan often uses email, online meetings, and shared systems, but virtual interactions lack non-verbal cues and informal talk, making context tricky. Time zones can cause unequal participation. British emails may include idioms, </w:t>
      </w:r>
      <w:r w:rsidR="00643A1B">
        <w:rPr>
          <w:lang w:val="en-GB"/>
        </w:rPr>
        <w:t>humour</w:t>
      </w:r>
      <w:r>
        <w:rPr>
          <w:lang w:val="en-GB"/>
        </w:rPr>
        <w:t>, or implied urgency that Japanese workers might interpret literally. Japanese messages may seem overly cautious to Brits. Teams should use plain international English</w:t>
      </w:r>
      <w:r w:rsidR="00643A1B">
        <w:rPr>
          <w:lang w:val="en-GB"/>
        </w:rPr>
        <w:t xml:space="preserve"> and avoid colloquialisms, unexplained abbreviations, and culture-specific humour</w:t>
      </w:r>
      <w:r>
        <w:rPr>
          <w:lang w:val="en-GB"/>
        </w:rPr>
        <w:t>. Key messages should state their purpose, actions needed, responsible person, deadline, approval status, and unresolved issues. A shared glossary should define technical terms, and documents should be circulated early for translation and review. Important decisions should be stored centrally.</w:t>
      </w:r>
    </w:p>
    <w:p w14:paraId="26E818FB" w14:textId="77777777" w:rsidR="00940BAC" w:rsidRDefault="00940BAC" w:rsidP="00940BAC">
      <w:pPr>
        <w:spacing w:after="0"/>
        <w:rPr>
          <w:lang w:val="en-GB"/>
        </w:rPr>
      </w:pPr>
      <w:r w:rsidRPr="00940BAC">
        <w:rPr>
          <w:lang w:val="en-GB"/>
        </w:rPr>
        <w:t>Cross-cultural adaptation can also affect employees’ sense of authenticity and competence. Training should explain why adaptation is necessary rather than encouraging employees merely to imitate unfamiliar behaviour (Molinsky, 2007).</w:t>
      </w:r>
    </w:p>
    <w:p w14:paraId="31131938" w14:textId="77777777" w:rsidR="00940BAC" w:rsidRPr="00940BAC" w:rsidRDefault="00940BAC" w:rsidP="00A15167">
      <w:pPr>
        <w:pStyle w:val="Heading1"/>
      </w:pPr>
      <w:bookmarkStart w:id="15" w:name="_Toc237776889"/>
      <w:r w:rsidRPr="00940BAC">
        <w:t>5. Strategies for Effective Cultural Integration</w:t>
      </w:r>
      <w:bookmarkEnd w:id="15"/>
    </w:p>
    <w:p w14:paraId="127CD7CA" w14:textId="451E89B7" w:rsidR="00940BAC" w:rsidRDefault="00C5334F" w:rsidP="00940BAC">
      <w:pPr>
        <w:spacing w:after="0"/>
        <w:rPr>
          <w:lang w:val="en-GB"/>
        </w:rPr>
      </w:pPr>
      <w:r>
        <w:rPr>
          <w:lang w:val="en-GB"/>
        </w:rPr>
        <w:t xml:space="preserve">The Country Director should establish a shared communication system based on mutual adaptation, including a joint charter for meeting conduct, response times, document ownership, escalation, and decision authority. Key decisions should </w:t>
      </w:r>
      <w:r w:rsidR="00643A1B">
        <w:rPr>
          <w:lang w:val="en-GB"/>
        </w:rPr>
        <w:t>move through three stages: circulate proposals and consult stakeholders before meetings; hold exploratory and technical discussions during meetings; and document decisions, unresolved issues, owners, and deadlines after meetings</w:t>
      </w:r>
      <w:r>
        <w:rPr>
          <w:lang w:val="en-GB"/>
        </w:rPr>
        <w:t>. Employees should have multiple ways to raise concerns</w:t>
      </w:r>
      <w:r w:rsidR="00517874">
        <w:rPr>
          <w:lang w:val="en-GB"/>
        </w:rPr>
        <w:t>-</w:t>
      </w:r>
      <w:r>
        <w:rPr>
          <w:lang w:val="en-GB"/>
        </w:rPr>
        <w:t>meetings, written reviews, private talks, or confidential systems</w:t>
      </w:r>
      <w:r w:rsidR="00517874">
        <w:rPr>
          <w:lang w:val="en-GB"/>
        </w:rPr>
        <w:t>-</w:t>
      </w:r>
      <w:r>
        <w:rPr>
          <w:lang w:val="en-GB"/>
        </w:rPr>
        <w:t xml:space="preserve">especially if they’re uncomfortable speaking publicly. Reciprocal cultural training is essential: British staff should understand context, silence, hierarchy, and pre-meeting discussions; Japanese staff should </w:t>
      </w:r>
      <w:r w:rsidR="00643A1B">
        <w:rPr>
          <w:lang w:val="en-GB"/>
        </w:rPr>
        <w:t>understand British expectations around explicit instructions, ownership, and debate, with neither group</w:t>
      </w:r>
      <w:r>
        <w:rPr>
          <w:lang w:val="en-GB"/>
        </w:rPr>
        <w:t xml:space="preserve"> viewed as superior (Earley and Ang, 2003; Thomas et al., 2008). </w:t>
      </w:r>
      <w:r w:rsidR="00643A1B">
        <w:rPr>
          <w:lang w:val="en-GB"/>
        </w:rPr>
        <w:t>Assess effectiveness through</w:t>
      </w:r>
      <w:r>
        <w:rPr>
          <w:lang w:val="en-GB"/>
        </w:rPr>
        <w:t xml:space="preserve"> decision times, reopened decisions, rework, overdue actions, escalation speed, and employee perceptions. </w:t>
      </w:r>
      <w:r w:rsidR="00643A1B">
        <w:rPr>
          <w:lang w:val="en-GB"/>
        </w:rPr>
        <w:t>Review these through kaizen, and managers should analyse misunderstandings to determine whether they stem from</w:t>
      </w:r>
      <w:r>
        <w:rPr>
          <w:lang w:val="en-GB"/>
        </w:rPr>
        <w:t xml:space="preserve"> culture, terminology, professional differences, unclear authority, or process flaws.</w:t>
      </w:r>
    </w:p>
    <w:p w14:paraId="5A6F12E2" w14:textId="77777777" w:rsidR="00940BAC" w:rsidRPr="00940BAC" w:rsidRDefault="00940BAC" w:rsidP="00A15167">
      <w:pPr>
        <w:pStyle w:val="Heading1"/>
      </w:pPr>
      <w:bookmarkStart w:id="16" w:name="_Toc237776890"/>
      <w:r w:rsidRPr="00940BAC">
        <w:lastRenderedPageBreak/>
        <w:t>6. Conclusion</w:t>
      </w:r>
      <w:bookmarkEnd w:id="16"/>
    </w:p>
    <w:p w14:paraId="72345246" w14:textId="77777777" w:rsidR="00940BAC" w:rsidRPr="00940BAC" w:rsidRDefault="00940BAC" w:rsidP="00940BAC">
      <w:pPr>
        <w:spacing w:after="0"/>
        <w:rPr>
          <w:lang w:val="en-GB"/>
        </w:rPr>
      </w:pPr>
      <w:r w:rsidRPr="00940BAC">
        <w:rPr>
          <w:lang w:val="en-GB"/>
        </w:rPr>
        <w:t>Communication differences between British and Japanese Toyota teams could significantly affect an electrified-vehicle programme. British communication is generally more explicit, informal and focused on individual accountability. Japanese communication can be more contextual, indirect, status-aware and consensus-oriented. These tendencies may create false agreement, misunderstood silence and delayed engineering decisions.</w:t>
      </w:r>
    </w:p>
    <w:p w14:paraId="5C453007" w14:textId="77777777" w:rsidR="00940BAC" w:rsidRPr="00940BAC" w:rsidRDefault="00940BAC" w:rsidP="00940BAC">
      <w:pPr>
        <w:spacing w:after="0"/>
        <w:rPr>
          <w:lang w:val="en-GB"/>
        </w:rPr>
      </w:pPr>
      <w:r w:rsidRPr="00940BAC">
        <w:rPr>
          <w:lang w:val="en-GB"/>
        </w:rPr>
        <w:t>Hall’s theory explains differences between explicit and contextual meaning, while Hofstede provides insights into individualism, uncertainty avoidance and long-term orientation. However, these models describe tendencies rather than individual behaviour. Professional identity, organisational culture and international experience also influence communication.</w:t>
      </w:r>
    </w:p>
    <w:p w14:paraId="65506C42" w14:textId="77777777" w:rsidR="00940BAC" w:rsidRPr="00940BAC" w:rsidRDefault="00940BAC" w:rsidP="00940BAC">
      <w:pPr>
        <w:spacing w:after="0"/>
        <w:rPr>
          <w:lang w:val="en-GB"/>
        </w:rPr>
      </w:pPr>
      <w:r w:rsidRPr="00940BAC">
        <w:rPr>
          <w:lang w:val="en-GB"/>
        </w:rPr>
        <w:t>The Country Director should create a shared system combining Japanese consultation and long-term quality orientation with British directness and accountability. Pre-meeting consultation, protected employee voice, plain international English, documented approvals and clear escalation routes can integrate these strengths.</w:t>
      </w:r>
    </w:p>
    <w:p w14:paraId="59765410" w14:textId="2F4D2C4B" w:rsidR="007D3DD8" w:rsidRDefault="00940BAC">
      <w:pPr>
        <w:spacing w:after="0"/>
        <w:rPr>
          <w:lang w:val="en-GB"/>
        </w:rPr>
      </w:pPr>
      <w:r w:rsidRPr="00940BAC">
        <w:rPr>
          <w:lang w:val="en-GB"/>
        </w:rPr>
        <w:t xml:space="preserve">Effective cultural integration does not require British and Japanese employees to communicate </w:t>
      </w:r>
      <w:r w:rsidR="00C5334F">
        <w:rPr>
          <w:lang w:val="en-GB"/>
        </w:rPr>
        <w:t>the same way</w:t>
      </w:r>
      <w:r w:rsidRPr="00940BAC">
        <w:rPr>
          <w:lang w:val="en-GB"/>
        </w:rPr>
        <w:t>. It requires a working environment in which different communication styles support better decisions without creating avoidable operational risk.</w:t>
      </w:r>
      <w:r w:rsidR="007D3DD8">
        <w:rPr>
          <w:lang w:val="en-GB"/>
        </w:rPr>
        <w:br w:type="page"/>
      </w:r>
    </w:p>
    <w:p w14:paraId="2B83CBF8" w14:textId="7DB0D754" w:rsidR="007D3DD8" w:rsidRPr="007D3DD8" w:rsidRDefault="00342EB5" w:rsidP="00A15167">
      <w:pPr>
        <w:pStyle w:val="Heading1"/>
      </w:pPr>
      <w:bookmarkStart w:id="17" w:name="_Toc237776891"/>
      <w:r>
        <w:lastRenderedPageBreak/>
        <w:t xml:space="preserve">7. </w:t>
      </w:r>
      <w:r w:rsidR="007D3DD8" w:rsidRPr="007D3DD8">
        <w:t>Reference List</w:t>
      </w:r>
      <w:bookmarkEnd w:id="17"/>
    </w:p>
    <w:p w14:paraId="40B1999A" w14:textId="77777777" w:rsidR="00D82F1E" w:rsidRPr="007D3DD8" w:rsidRDefault="00D82F1E" w:rsidP="00D82F1E">
      <w:pPr>
        <w:ind w:left="720" w:hanging="720"/>
        <w:rPr>
          <w:lang w:val="en-GB"/>
        </w:rPr>
      </w:pPr>
      <w:r w:rsidRPr="007D3DD8">
        <w:rPr>
          <w:lang w:val="en-GB"/>
        </w:rPr>
        <w:t xml:space="preserve">Broeder, P. (2021) ‘Informed communication in high-context and low-context cultures’, </w:t>
      </w:r>
      <w:r w:rsidRPr="007D3DD8">
        <w:rPr>
          <w:i/>
          <w:iCs/>
          <w:lang w:val="en-GB"/>
        </w:rPr>
        <w:t>Journal of Education, Innovation and Communication</w:t>
      </w:r>
      <w:r w:rsidRPr="007D3DD8">
        <w:rPr>
          <w:lang w:val="en-GB"/>
        </w:rPr>
        <w:t>, 3(1), pp. 13–24.</w:t>
      </w:r>
    </w:p>
    <w:p w14:paraId="785E90A5" w14:textId="77777777" w:rsidR="00D82F1E" w:rsidRPr="007D3DD8" w:rsidRDefault="00D82F1E" w:rsidP="00D82F1E">
      <w:pPr>
        <w:ind w:left="720" w:hanging="720"/>
        <w:rPr>
          <w:lang w:val="en-GB"/>
        </w:rPr>
      </w:pPr>
      <w:r w:rsidRPr="007D3DD8">
        <w:rPr>
          <w:lang w:val="en-GB"/>
        </w:rPr>
        <w:t xml:space="preserve">Deresky, H. (2017) </w:t>
      </w:r>
      <w:r w:rsidRPr="007D3DD8">
        <w:rPr>
          <w:i/>
          <w:iCs/>
          <w:lang w:val="en-GB"/>
        </w:rPr>
        <w:t>International management: Managing across borders and cultures: Text and cases</w:t>
      </w:r>
      <w:r w:rsidRPr="007D3DD8">
        <w:rPr>
          <w:lang w:val="en-GB"/>
        </w:rPr>
        <w:t>. 9th global edn. Harlow: Pearson.</w:t>
      </w:r>
    </w:p>
    <w:p w14:paraId="5EDFF2C4" w14:textId="77777777" w:rsidR="00D82F1E" w:rsidRPr="007D3DD8" w:rsidRDefault="00D82F1E" w:rsidP="00D82F1E">
      <w:pPr>
        <w:ind w:left="720" w:hanging="720"/>
        <w:rPr>
          <w:lang w:val="en-GB"/>
        </w:rPr>
      </w:pPr>
      <w:r w:rsidRPr="007D3DD8">
        <w:rPr>
          <w:lang w:val="en-GB"/>
        </w:rPr>
        <w:t xml:space="preserve">Earley, P.C. and Ang, S. (2003) </w:t>
      </w:r>
      <w:r w:rsidRPr="007D3DD8">
        <w:rPr>
          <w:i/>
          <w:iCs/>
          <w:lang w:val="en-GB"/>
        </w:rPr>
        <w:t>Cultural intelligence: Individual interactions across cultures</w:t>
      </w:r>
      <w:r w:rsidRPr="007D3DD8">
        <w:rPr>
          <w:lang w:val="en-GB"/>
        </w:rPr>
        <w:t>. Stanford, CA: Stanford University Press.</w:t>
      </w:r>
    </w:p>
    <w:p w14:paraId="5071278A" w14:textId="77777777" w:rsidR="00D82F1E" w:rsidRPr="007D3DD8" w:rsidRDefault="00D82F1E" w:rsidP="00D82F1E">
      <w:pPr>
        <w:ind w:left="720" w:hanging="720"/>
        <w:rPr>
          <w:lang w:val="en-GB"/>
        </w:rPr>
      </w:pPr>
      <w:r w:rsidRPr="007D3DD8">
        <w:rPr>
          <w:lang w:val="en-GB"/>
        </w:rPr>
        <w:t xml:space="preserve">Hall, E.T. (1976) </w:t>
      </w:r>
      <w:r w:rsidRPr="007D3DD8">
        <w:rPr>
          <w:i/>
          <w:iCs/>
          <w:lang w:val="en-GB"/>
        </w:rPr>
        <w:t>Beyond culture</w:t>
      </w:r>
      <w:r w:rsidRPr="007D3DD8">
        <w:rPr>
          <w:lang w:val="en-GB"/>
        </w:rPr>
        <w:t>. Garden City, NY: Anchor Press.</w:t>
      </w:r>
    </w:p>
    <w:p w14:paraId="2006A6E9" w14:textId="77777777" w:rsidR="00D82F1E" w:rsidRPr="007D3DD8" w:rsidRDefault="00D82F1E" w:rsidP="00D82F1E">
      <w:pPr>
        <w:ind w:left="720" w:hanging="720"/>
        <w:rPr>
          <w:lang w:val="en-GB"/>
        </w:rPr>
      </w:pPr>
      <w:r w:rsidRPr="007D3DD8">
        <w:rPr>
          <w:lang w:val="en-GB"/>
        </w:rPr>
        <w:t xml:space="preserve">Hofstede, G. (2011) ‘Dimensionalizing cultures: The Hofstede model in context’, </w:t>
      </w:r>
      <w:r w:rsidRPr="007D3DD8">
        <w:rPr>
          <w:i/>
          <w:iCs/>
          <w:lang w:val="en-GB"/>
        </w:rPr>
        <w:t>Online Readings in Psychology and Culture</w:t>
      </w:r>
      <w:r w:rsidRPr="007D3DD8">
        <w:rPr>
          <w:lang w:val="en-GB"/>
        </w:rPr>
        <w:t>, 2(1). doi: 10.9707/2307-0919.1014.</w:t>
      </w:r>
    </w:p>
    <w:p w14:paraId="3A3E00F3" w14:textId="77777777" w:rsidR="00D82F1E" w:rsidRPr="007D3DD8" w:rsidRDefault="00D82F1E" w:rsidP="00D82F1E">
      <w:pPr>
        <w:ind w:left="720" w:hanging="720"/>
        <w:rPr>
          <w:lang w:val="en-GB"/>
        </w:rPr>
      </w:pPr>
      <w:r w:rsidRPr="007D3DD8">
        <w:rPr>
          <w:lang w:val="en-GB"/>
        </w:rPr>
        <w:t xml:space="preserve">Hofstede, G., Hofstede, G.J. and Minkov, M. (2010) </w:t>
      </w:r>
      <w:r w:rsidRPr="007D3DD8">
        <w:rPr>
          <w:i/>
          <w:iCs/>
          <w:lang w:val="en-GB"/>
        </w:rPr>
        <w:t>Cultures and organizations: Software of the mind</w:t>
      </w:r>
      <w:r w:rsidRPr="007D3DD8">
        <w:rPr>
          <w:lang w:val="en-GB"/>
        </w:rPr>
        <w:t>. 3rd edn. New York: McGraw-Hill.</w:t>
      </w:r>
    </w:p>
    <w:p w14:paraId="77B74EFA" w14:textId="77777777" w:rsidR="00D82F1E" w:rsidRPr="007D3DD8" w:rsidRDefault="00D82F1E" w:rsidP="00D82F1E">
      <w:pPr>
        <w:ind w:left="720" w:hanging="720"/>
        <w:rPr>
          <w:lang w:val="en-GB"/>
        </w:rPr>
      </w:pPr>
      <w:r w:rsidRPr="007D3DD8">
        <w:rPr>
          <w:lang w:val="en-GB"/>
        </w:rPr>
        <w:t xml:space="preserve">Liker, J.K. (2004) </w:t>
      </w:r>
      <w:r w:rsidRPr="007D3DD8">
        <w:rPr>
          <w:i/>
          <w:iCs/>
          <w:lang w:val="en-GB"/>
        </w:rPr>
        <w:t>The Toyota way: 14 management principles from the world’s greatest manufacturer</w:t>
      </w:r>
      <w:r w:rsidRPr="007D3DD8">
        <w:rPr>
          <w:lang w:val="en-GB"/>
        </w:rPr>
        <w:t>. New York: McGraw-Hill.</w:t>
      </w:r>
    </w:p>
    <w:p w14:paraId="4E5DD1D1" w14:textId="77777777" w:rsidR="00D82F1E" w:rsidRPr="007D3DD8" w:rsidRDefault="00D82F1E" w:rsidP="00D82F1E">
      <w:pPr>
        <w:ind w:left="720" w:hanging="720"/>
        <w:rPr>
          <w:lang w:val="en-GB"/>
        </w:rPr>
      </w:pPr>
      <w:r w:rsidRPr="007D3DD8">
        <w:rPr>
          <w:lang w:val="en-GB"/>
        </w:rPr>
        <w:t xml:space="preserve">McSweeney, B. (2002) ‘Hofstede’s model of national cultural differences and their consequences: A triumph of faith, a failure of analysis’, </w:t>
      </w:r>
      <w:r w:rsidRPr="007D3DD8">
        <w:rPr>
          <w:i/>
          <w:iCs/>
          <w:lang w:val="en-GB"/>
        </w:rPr>
        <w:t>Human Relations</w:t>
      </w:r>
      <w:r w:rsidRPr="007D3DD8">
        <w:rPr>
          <w:lang w:val="en-GB"/>
        </w:rPr>
        <w:t>, 55(1), pp. 89–118. doi: 10.1177/0018726702055001602.</w:t>
      </w:r>
    </w:p>
    <w:p w14:paraId="004728A7" w14:textId="77777777" w:rsidR="00D82F1E" w:rsidRPr="007D3DD8" w:rsidRDefault="00D82F1E" w:rsidP="00D82F1E">
      <w:pPr>
        <w:ind w:left="720" w:hanging="720"/>
        <w:rPr>
          <w:lang w:val="en-GB"/>
        </w:rPr>
      </w:pPr>
      <w:r w:rsidRPr="007D3DD8">
        <w:rPr>
          <w:lang w:val="en-GB"/>
        </w:rPr>
        <w:t xml:space="preserve">Meyer, E. (2014) </w:t>
      </w:r>
      <w:r w:rsidRPr="007D3DD8">
        <w:rPr>
          <w:i/>
          <w:iCs/>
          <w:lang w:val="en-GB"/>
        </w:rPr>
        <w:t>The culture map: Breaking through the invisible boundaries of global business</w:t>
      </w:r>
      <w:r w:rsidRPr="007D3DD8">
        <w:rPr>
          <w:lang w:val="en-GB"/>
        </w:rPr>
        <w:t>. New York: PublicAffairs.</w:t>
      </w:r>
    </w:p>
    <w:p w14:paraId="44EF4D75" w14:textId="77777777" w:rsidR="00D82F1E" w:rsidRPr="007D3DD8" w:rsidRDefault="00D82F1E" w:rsidP="00D82F1E">
      <w:pPr>
        <w:ind w:left="720" w:hanging="720"/>
        <w:rPr>
          <w:lang w:val="en-GB"/>
        </w:rPr>
      </w:pPr>
      <w:r w:rsidRPr="007D3DD8">
        <w:rPr>
          <w:lang w:val="en-GB"/>
        </w:rPr>
        <w:t xml:space="preserve">Molinsky, A. (2007) ‘Cross-cultural code-switching: The psychological challenges of adapting behaviour in foreign cultural interactions’, </w:t>
      </w:r>
      <w:r w:rsidRPr="007D3DD8">
        <w:rPr>
          <w:i/>
          <w:iCs/>
          <w:lang w:val="en-GB"/>
        </w:rPr>
        <w:t>Academy of Management Review</w:t>
      </w:r>
      <w:r w:rsidRPr="007D3DD8">
        <w:rPr>
          <w:lang w:val="en-GB"/>
        </w:rPr>
        <w:t>, 32(2), pp. 622–640. doi: 10.5465/amr.2007.24351878.</w:t>
      </w:r>
    </w:p>
    <w:p w14:paraId="2B7B6397" w14:textId="77777777" w:rsidR="00D82F1E" w:rsidRPr="007D3DD8" w:rsidRDefault="00D82F1E" w:rsidP="00D82F1E">
      <w:pPr>
        <w:ind w:left="720" w:hanging="720"/>
        <w:rPr>
          <w:lang w:val="en-GB"/>
        </w:rPr>
      </w:pPr>
      <w:r w:rsidRPr="007D3DD8">
        <w:rPr>
          <w:lang w:val="en-GB"/>
        </w:rPr>
        <w:t xml:space="preserve">Nakane, C. (1970) </w:t>
      </w:r>
      <w:r w:rsidRPr="007D3DD8">
        <w:rPr>
          <w:i/>
          <w:iCs/>
          <w:lang w:val="en-GB"/>
        </w:rPr>
        <w:t>Japanese society</w:t>
      </w:r>
      <w:r w:rsidRPr="007D3DD8">
        <w:rPr>
          <w:lang w:val="en-GB"/>
        </w:rPr>
        <w:t>. Berkeley, CA: University of California Press.</w:t>
      </w:r>
    </w:p>
    <w:p w14:paraId="37A850CD" w14:textId="77777777" w:rsidR="00D82F1E" w:rsidRPr="007D3DD8" w:rsidRDefault="00D82F1E" w:rsidP="00D82F1E">
      <w:pPr>
        <w:ind w:left="720" w:hanging="720"/>
        <w:rPr>
          <w:lang w:val="en-GB"/>
        </w:rPr>
      </w:pPr>
      <w:r w:rsidRPr="007D3DD8">
        <w:rPr>
          <w:lang w:val="en-GB"/>
        </w:rPr>
        <w:t xml:space="preserve">Nakano, S. and Tanaka, T. (2022) ‘Cross-cultural social skills instruction and indirect expressions: Psychoeducation in Japan’s high-context culture’, </w:t>
      </w:r>
      <w:r w:rsidRPr="007D3DD8">
        <w:rPr>
          <w:i/>
          <w:iCs/>
          <w:lang w:val="en-GB"/>
        </w:rPr>
        <w:t>IAFOR Journal of Psychology and the Behavioral Sciences</w:t>
      </w:r>
      <w:r w:rsidRPr="007D3DD8">
        <w:rPr>
          <w:lang w:val="en-GB"/>
        </w:rPr>
        <w:t>, 8(2), pp. 19–38.</w:t>
      </w:r>
    </w:p>
    <w:p w14:paraId="4F30A41C" w14:textId="77777777" w:rsidR="00D82F1E" w:rsidRPr="007D3DD8" w:rsidRDefault="00D82F1E" w:rsidP="00D82F1E">
      <w:pPr>
        <w:ind w:left="720" w:hanging="720"/>
        <w:rPr>
          <w:lang w:val="en-GB"/>
        </w:rPr>
      </w:pPr>
      <w:r w:rsidRPr="007D3DD8">
        <w:rPr>
          <w:lang w:val="en-GB"/>
        </w:rPr>
        <w:t xml:space="preserve">Takeuchi, H., Osono, E. and Shimizu, N. (2008) ‘The contradictions that drive Toyota’s success’, </w:t>
      </w:r>
      <w:r w:rsidRPr="007D3DD8">
        <w:rPr>
          <w:i/>
          <w:iCs/>
          <w:lang w:val="en-GB"/>
        </w:rPr>
        <w:t>Harvard Business Review</w:t>
      </w:r>
      <w:r w:rsidRPr="007D3DD8">
        <w:rPr>
          <w:lang w:val="en-GB"/>
        </w:rPr>
        <w:t>, 86(6), pp. 96–104.</w:t>
      </w:r>
    </w:p>
    <w:p w14:paraId="1814A5A2" w14:textId="530F3261" w:rsidR="00D82F1E" w:rsidRPr="007D3DD8" w:rsidRDefault="00D82F1E" w:rsidP="00D82F1E">
      <w:pPr>
        <w:ind w:left="720" w:hanging="720"/>
        <w:rPr>
          <w:lang w:val="en-GB"/>
        </w:rPr>
      </w:pPr>
      <w:r w:rsidRPr="007D3DD8">
        <w:rPr>
          <w:lang w:val="en-GB"/>
        </w:rPr>
        <w:t xml:space="preserve">Thomas, D.C., Elron, E., Stahl, G., Ekelund, B.Z., Ravlin, E.C., Cerdin, J.L., Poelmans, S., Brislin, R., Pekerti, A., Aycan, Z., Maznevski, M., Au, K. and Lazarova, M.B. </w:t>
      </w:r>
      <w:r w:rsidRPr="007D3DD8">
        <w:rPr>
          <w:lang w:val="en-GB"/>
        </w:rPr>
        <w:lastRenderedPageBreak/>
        <w:t xml:space="preserve">(2008) ‘Cultural intelligence: Domain and assessment’, </w:t>
      </w:r>
      <w:r w:rsidRPr="007D3DD8">
        <w:rPr>
          <w:i/>
          <w:iCs/>
          <w:lang w:val="en-GB"/>
        </w:rPr>
        <w:t xml:space="preserve">International Journal of </w:t>
      </w:r>
      <w:r w:rsidR="00C117AE" w:rsidRPr="007D3DD8">
        <w:rPr>
          <w:i/>
          <w:iCs/>
          <w:lang w:val="en-GB"/>
        </w:rPr>
        <w:t>Cross</w:t>
      </w:r>
      <w:r w:rsidR="00C117AE">
        <w:rPr>
          <w:i/>
          <w:iCs/>
          <w:lang w:val="en-GB"/>
        </w:rPr>
        <w:t>-Cultural</w:t>
      </w:r>
      <w:r w:rsidRPr="007D3DD8">
        <w:rPr>
          <w:i/>
          <w:iCs/>
          <w:lang w:val="en-GB"/>
        </w:rPr>
        <w:t xml:space="preserve"> Management</w:t>
      </w:r>
      <w:r w:rsidRPr="007D3DD8">
        <w:rPr>
          <w:lang w:val="en-GB"/>
        </w:rPr>
        <w:t>, 8(2), pp. 123–143. doi: 10.1177/1470595808091787.</w:t>
      </w:r>
    </w:p>
    <w:p w14:paraId="6B22FB0F" w14:textId="77777777" w:rsidR="00D82F1E" w:rsidRPr="007D3DD8" w:rsidRDefault="00D82F1E" w:rsidP="00D82F1E">
      <w:pPr>
        <w:ind w:left="720" w:hanging="720"/>
        <w:rPr>
          <w:lang w:val="en-GB"/>
        </w:rPr>
      </w:pPr>
      <w:r w:rsidRPr="007D3DD8">
        <w:rPr>
          <w:lang w:val="en-GB"/>
        </w:rPr>
        <w:t xml:space="preserve">Toyota Motor Corporation (n.d.) ‘Toyota Production System’, </w:t>
      </w:r>
      <w:r w:rsidRPr="007D3DD8">
        <w:rPr>
          <w:i/>
          <w:iCs/>
          <w:lang w:val="en-GB"/>
        </w:rPr>
        <w:t>Toyota Motor Corporation</w:t>
      </w:r>
      <w:r w:rsidRPr="007D3DD8">
        <w:rPr>
          <w:lang w:val="en-GB"/>
        </w:rPr>
        <w:t>. Available at: https://global.toyota/en/company/vision-and-philosophy/production-system/ (Accessed: 16 August 2026).</w:t>
      </w:r>
    </w:p>
    <w:p w14:paraId="38066C08" w14:textId="77777777" w:rsidR="00D82F1E" w:rsidRPr="007D3DD8" w:rsidRDefault="00D82F1E" w:rsidP="00D82F1E">
      <w:pPr>
        <w:ind w:left="720" w:hanging="720"/>
        <w:rPr>
          <w:lang w:val="en-GB"/>
        </w:rPr>
      </w:pPr>
      <w:r w:rsidRPr="007D3DD8">
        <w:rPr>
          <w:lang w:val="en-GB"/>
        </w:rPr>
        <w:t xml:space="preserve">Toyota Motor Manufacturing UK (n.d.) ‘Toyota Motor Manufacturing UK’, </w:t>
      </w:r>
      <w:r w:rsidRPr="007D3DD8">
        <w:rPr>
          <w:i/>
          <w:iCs/>
          <w:lang w:val="en-GB"/>
        </w:rPr>
        <w:t>Toyota Motor Manufacturing UK</w:t>
      </w:r>
      <w:r w:rsidRPr="007D3DD8">
        <w:rPr>
          <w:lang w:val="en-GB"/>
        </w:rPr>
        <w:t>. Available at: https://www.toyotauk.com/ (Accessed: 16 August 2026).</w:t>
      </w:r>
    </w:p>
    <w:p w14:paraId="696B32DD" w14:textId="77777777" w:rsidR="00D82F1E" w:rsidRPr="007D3DD8" w:rsidRDefault="00D82F1E" w:rsidP="00D82F1E">
      <w:pPr>
        <w:ind w:left="720" w:hanging="720"/>
        <w:rPr>
          <w:lang w:val="en-GB"/>
        </w:rPr>
      </w:pPr>
      <w:r w:rsidRPr="007D3DD8">
        <w:rPr>
          <w:lang w:val="en-GB"/>
        </w:rPr>
        <w:t xml:space="preserve">Yoshimura, N. and Anderson, P. (1997) </w:t>
      </w:r>
      <w:r w:rsidRPr="007D3DD8">
        <w:rPr>
          <w:i/>
          <w:iCs/>
          <w:lang w:val="en-GB"/>
        </w:rPr>
        <w:t>Inside the kaisha: Demystifying Japanese business behavior</w:t>
      </w:r>
      <w:r w:rsidRPr="007D3DD8">
        <w:rPr>
          <w:lang w:val="en-GB"/>
        </w:rPr>
        <w:t>. Boston, MA: Harvard Business School Press.</w:t>
      </w:r>
    </w:p>
    <w:p w14:paraId="2A6DE997" w14:textId="77777777" w:rsidR="00C76781" w:rsidRDefault="00C76781" w:rsidP="00FE69D0"/>
    <w:p w14:paraId="03479194" w14:textId="77777777" w:rsidR="00C76781" w:rsidRDefault="00C76781" w:rsidP="00FE69D0"/>
    <w:p w14:paraId="3CB90E73" w14:textId="77777777" w:rsidR="00C76781" w:rsidRDefault="00C76781" w:rsidP="00FE69D0"/>
    <w:p w14:paraId="54B6C666" w14:textId="77777777" w:rsidR="002F2881" w:rsidRDefault="002F2881" w:rsidP="00FE69D0"/>
    <w:sectPr w:rsidR="002F288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ADECD7" w14:textId="77777777" w:rsidR="00996271" w:rsidRDefault="00996271" w:rsidP="004D4E68">
      <w:pPr>
        <w:spacing w:after="0" w:line="240" w:lineRule="auto"/>
      </w:pPr>
      <w:r>
        <w:separator/>
      </w:r>
    </w:p>
  </w:endnote>
  <w:endnote w:type="continuationSeparator" w:id="0">
    <w:p w14:paraId="49EE6B69" w14:textId="77777777" w:rsidR="00996271" w:rsidRDefault="00996271" w:rsidP="004D4E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8252188"/>
      <w:docPartObj>
        <w:docPartGallery w:val="Page Numbers (Bottom of Page)"/>
        <w:docPartUnique/>
      </w:docPartObj>
    </w:sdtPr>
    <w:sdtEndPr>
      <w:rPr>
        <w:noProof/>
      </w:rPr>
    </w:sdtEndPr>
    <w:sdtContent>
      <w:p w14:paraId="5261B213" w14:textId="3A1A121E" w:rsidR="004D4E68" w:rsidRDefault="004D4E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139988" w14:textId="77777777" w:rsidR="004D4E68" w:rsidRDefault="004D4E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041EDC" w14:textId="77777777" w:rsidR="00996271" w:rsidRDefault="00996271" w:rsidP="004D4E68">
      <w:pPr>
        <w:spacing w:after="0" w:line="240" w:lineRule="auto"/>
      </w:pPr>
      <w:r>
        <w:separator/>
      </w:r>
    </w:p>
  </w:footnote>
  <w:footnote w:type="continuationSeparator" w:id="0">
    <w:p w14:paraId="2B5903F6" w14:textId="77777777" w:rsidR="00996271" w:rsidRDefault="00996271" w:rsidP="004D4E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731D72"/>
    <w:multiLevelType w:val="multilevel"/>
    <w:tmpl w:val="C26AF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C77976"/>
    <w:multiLevelType w:val="multilevel"/>
    <w:tmpl w:val="12DCD7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6AD5172"/>
    <w:multiLevelType w:val="hybridMultilevel"/>
    <w:tmpl w:val="4B320E40"/>
    <w:lvl w:ilvl="0" w:tplc="0F242E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4C2365"/>
    <w:multiLevelType w:val="multilevel"/>
    <w:tmpl w:val="262A8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ED65BE4"/>
    <w:multiLevelType w:val="multilevel"/>
    <w:tmpl w:val="E2F45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8B729EC"/>
    <w:multiLevelType w:val="multilevel"/>
    <w:tmpl w:val="FDDED6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25518E3"/>
    <w:multiLevelType w:val="multilevel"/>
    <w:tmpl w:val="F2E0F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5863BD"/>
    <w:multiLevelType w:val="multilevel"/>
    <w:tmpl w:val="4476D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D525CE"/>
    <w:multiLevelType w:val="hybridMultilevel"/>
    <w:tmpl w:val="1CFC70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2795D68"/>
    <w:multiLevelType w:val="multilevel"/>
    <w:tmpl w:val="6B2E3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6216622">
    <w:abstractNumId w:val="2"/>
  </w:num>
  <w:num w:numId="2" w16cid:durableId="614945210">
    <w:abstractNumId w:val="8"/>
  </w:num>
  <w:num w:numId="3" w16cid:durableId="1873616278">
    <w:abstractNumId w:val="4"/>
  </w:num>
  <w:num w:numId="4" w16cid:durableId="699281265">
    <w:abstractNumId w:val="1"/>
  </w:num>
  <w:num w:numId="5" w16cid:durableId="744766234">
    <w:abstractNumId w:val="3"/>
  </w:num>
  <w:num w:numId="6" w16cid:durableId="1121459156">
    <w:abstractNumId w:val="0"/>
  </w:num>
  <w:num w:numId="7" w16cid:durableId="1519002405">
    <w:abstractNumId w:val="5"/>
  </w:num>
  <w:num w:numId="8" w16cid:durableId="1658993503">
    <w:abstractNumId w:val="7"/>
  </w:num>
  <w:num w:numId="9" w16cid:durableId="1915583348">
    <w:abstractNumId w:val="6"/>
  </w:num>
  <w:num w:numId="10" w16cid:durableId="152274218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E68"/>
    <w:rsid w:val="00013AC4"/>
    <w:rsid w:val="00023DB2"/>
    <w:rsid w:val="00026D30"/>
    <w:rsid w:val="000407FD"/>
    <w:rsid w:val="00063860"/>
    <w:rsid w:val="00063CF1"/>
    <w:rsid w:val="0006560A"/>
    <w:rsid w:val="000D0B65"/>
    <w:rsid w:val="00162559"/>
    <w:rsid w:val="00180F4A"/>
    <w:rsid w:val="00193CA5"/>
    <w:rsid w:val="001A2B2A"/>
    <w:rsid w:val="001A3FC4"/>
    <w:rsid w:val="001A7A4A"/>
    <w:rsid w:val="001C183F"/>
    <w:rsid w:val="001C5102"/>
    <w:rsid w:val="001D3914"/>
    <w:rsid w:val="001E3BE1"/>
    <w:rsid w:val="001F038D"/>
    <w:rsid w:val="001F3245"/>
    <w:rsid w:val="002C13DA"/>
    <w:rsid w:val="002D1201"/>
    <w:rsid w:val="002D70F3"/>
    <w:rsid w:val="002E3D0A"/>
    <w:rsid w:val="002E4C2F"/>
    <w:rsid w:val="002E6E03"/>
    <w:rsid w:val="002F2881"/>
    <w:rsid w:val="00322D0B"/>
    <w:rsid w:val="00342EB5"/>
    <w:rsid w:val="00375682"/>
    <w:rsid w:val="003832A0"/>
    <w:rsid w:val="003B683A"/>
    <w:rsid w:val="00457C48"/>
    <w:rsid w:val="00463C22"/>
    <w:rsid w:val="00484C0A"/>
    <w:rsid w:val="004D11D8"/>
    <w:rsid w:val="004D4E68"/>
    <w:rsid w:val="00517874"/>
    <w:rsid w:val="005508F2"/>
    <w:rsid w:val="0057379C"/>
    <w:rsid w:val="00583F24"/>
    <w:rsid w:val="00592956"/>
    <w:rsid w:val="005C7FD7"/>
    <w:rsid w:val="006052FB"/>
    <w:rsid w:val="006243EB"/>
    <w:rsid w:val="00643A1B"/>
    <w:rsid w:val="006728E6"/>
    <w:rsid w:val="006D7719"/>
    <w:rsid w:val="006F5A2D"/>
    <w:rsid w:val="006F6A71"/>
    <w:rsid w:val="00714F8C"/>
    <w:rsid w:val="007178F4"/>
    <w:rsid w:val="00724715"/>
    <w:rsid w:val="007451FE"/>
    <w:rsid w:val="007640CE"/>
    <w:rsid w:val="0079362E"/>
    <w:rsid w:val="007D300B"/>
    <w:rsid w:val="007D3DD8"/>
    <w:rsid w:val="00822368"/>
    <w:rsid w:val="00855389"/>
    <w:rsid w:val="00874D99"/>
    <w:rsid w:val="008754C7"/>
    <w:rsid w:val="00892CF2"/>
    <w:rsid w:val="00896D79"/>
    <w:rsid w:val="008A62D6"/>
    <w:rsid w:val="008D1536"/>
    <w:rsid w:val="008E27EC"/>
    <w:rsid w:val="008F42B8"/>
    <w:rsid w:val="008F552E"/>
    <w:rsid w:val="00940BAC"/>
    <w:rsid w:val="00952D90"/>
    <w:rsid w:val="00963220"/>
    <w:rsid w:val="00996271"/>
    <w:rsid w:val="009A2939"/>
    <w:rsid w:val="009E5D84"/>
    <w:rsid w:val="00A15167"/>
    <w:rsid w:val="00A36D4E"/>
    <w:rsid w:val="00A42B1F"/>
    <w:rsid w:val="00A475B8"/>
    <w:rsid w:val="00A650C1"/>
    <w:rsid w:val="00AA2366"/>
    <w:rsid w:val="00AB1523"/>
    <w:rsid w:val="00AD122C"/>
    <w:rsid w:val="00AF772F"/>
    <w:rsid w:val="00B30D25"/>
    <w:rsid w:val="00B4500A"/>
    <w:rsid w:val="00B67883"/>
    <w:rsid w:val="00B7189A"/>
    <w:rsid w:val="00BA129A"/>
    <w:rsid w:val="00BB01A5"/>
    <w:rsid w:val="00BF517C"/>
    <w:rsid w:val="00BF5CCE"/>
    <w:rsid w:val="00C03492"/>
    <w:rsid w:val="00C117AE"/>
    <w:rsid w:val="00C5334F"/>
    <w:rsid w:val="00C63927"/>
    <w:rsid w:val="00C76781"/>
    <w:rsid w:val="00C85D58"/>
    <w:rsid w:val="00C97922"/>
    <w:rsid w:val="00D238F3"/>
    <w:rsid w:val="00D24C22"/>
    <w:rsid w:val="00D82F1E"/>
    <w:rsid w:val="00DB2E0A"/>
    <w:rsid w:val="00DD3CF2"/>
    <w:rsid w:val="00DE6EE0"/>
    <w:rsid w:val="00E07036"/>
    <w:rsid w:val="00E50D82"/>
    <w:rsid w:val="00E53EBC"/>
    <w:rsid w:val="00E719FC"/>
    <w:rsid w:val="00E94DEC"/>
    <w:rsid w:val="00EB26E7"/>
    <w:rsid w:val="00EF18B4"/>
    <w:rsid w:val="00EF6F1A"/>
    <w:rsid w:val="00F06214"/>
    <w:rsid w:val="00F16AE4"/>
    <w:rsid w:val="00F403F3"/>
    <w:rsid w:val="00F46089"/>
    <w:rsid w:val="00F87641"/>
    <w:rsid w:val="00FD71C2"/>
    <w:rsid w:val="00FE69D0"/>
    <w:rsid w:val="00FF047A"/>
    <w:rsid w:val="00FF3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2B6F8"/>
  <w15:chartTrackingRefBased/>
  <w15:docId w15:val="{7606E6E0-AC2E-4308-8996-DD6A4A3561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389"/>
    <w:pPr>
      <w:spacing w:after="80"/>
    </w:pPr>
    <w:rPr>
      <w:rFonts w:ascii="Arial" w:hAnsi="Arial"/>
      <w:sz w:val="24"/>
      <w:lang w:val="en-US"/>
    </w:rPr>
  </w:style>
  <w:style w:type="paragraph" w:styleId="Heading1">
    <w:name w:val="heading 1"/>
    <w:basedOn w:val="Normal"/>
    <w:next w:val="Normal"/>
    <w:link w:val="Heading1Char"/>
    <w:autoRedefine/>
    <w:uiPriority w:val="9"/>
    <w:qFormat/>
    <w:rsid w:val="009E5D84"/>
    <w:pPr>
      <w:keepNext/>
      <w:keepLines/>
      <w:spacing w:before="480" w:after="0"/>
      <w:outlineLvl w:val="0"/>
    </w:pPr>
    <w:rPr>
      <w:rFonts w:eastAsiaTheme="majorEastAsia" w:cstheme="majorBidi"/>
      <w:b/>
      <w:bCs/>
      <w:szCs w:val="28"/>
      <w:lang w:val="en-GB"/>
    </w:rPr>
  </w:style>
  <w:style w:type="paragraph" w:styleId="Heading2">
    <w:name w:val="heading 2"/>
    <w:basedOn w:val="Normal"/>
    <w:next w:val="Normal"/>
    <w:link w:val="Heading2Char"/>
    <w:autoRedefine/>
    <w:uiPriority w:val="9"/>
    <w:unhideWhenUsed/>
    <w:qFormat/>
    <w:rsid w:val="007178F4"/>
    <w:pPr>
      <w:keepNext/>
      <w:keepLines/>
      <w:spacing w:before="160"/>
      <w:outlineLvl w:val="1"/>
    </w:pPr>
    <w:rPr>
      <w:rFonts w:eastAsiaTheme="majorEastAsia" w:cstheme="majorBidi"/>
      <w:b/>
      <w:szCs w:val="32"/>
    </w:rPr>
  </w:style>
  <w:style w:type="paragraph" w:styleId="Heading3">
    <w:name w:val="heading 3"/>
    <w:basedOn w:val="Normal"/>
    <w:next w:val="Normal"/>
    <w:link w:val="Heading3Char"/>
    <w:autoRedefine/>
    <w:uiPriority w:val="9"/>
    <w:unhideWhenUsed/>
    <w:qFormat/>
    <w:rsid w:val="00193CA5"/>
    <w:pPr>
      <w:keepNext/>
      <w:keepLines/>
      <w:spacing w:before="160"/>
      <w:outlineLvl w:val="2"/>
    </w:pPr>
    <w:rPr>
      <w:rFonts w:eastAsiaTheme="majorEastAsia" w:cstheme="majorBidi"/>
      <w:szCs w:val="28"/>
    </w:rPr>
  </w:style>
  <w:style w:type="paragraph" w:styleId="Heading4">
    <w:name w:val="heading 4"/>
    <w:basedOn w:val="Normal"/>
    <w:next w:val="Normal"/>
    <w:link w:val="Heading4Char"/>
    <w:uiPriority w:val="9"/>
    <w:semiHidden/>
    <w:unhideWhenUsed/>
    <w:qFormat/>
    <w:rsid w:val="004D4E6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D4E6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D4E6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4E6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4E6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4E6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193CA5"/>
    <w:rPr>
      <w:rFonts w:ascii="Arial" w:eastAsiaTheme="majorEastAsia" w:hAnsi="Arial" w:cstheme="majorBidi"/>
      <w:sz w:val="24"/>
      <w:szCs w:val="28"/>
    </w:rPr>
  </w:style>
  <w:style w:type="character" w:customStyle="1" w:styleId="Heading1Char">
    <w:name w:val="Heading 1 Char"/>
    <w:basedOn w:val="DefaultParagraphFont"/>
    <w:link w:val="Heading1"/>
    <w:uiPriority w:val="9"/>
    <w:rsid w:val="009E5D84"/>
    <w:rPr>
      <w:rFonts w:ascii="Arial" w:eastAsiaTheme="majorEastAsia" w:hAnsi="Arial" w:cstheme="majorBidi"/>
      <w:b/>
      <w:bCs/>
      <w:sz w:val="24"/>
      <w:szCs w:val="28"/>
    </w:rPr>
  </w:style>
  <w:style w:type="character" w:customStyle="1" w:styleId="Heading2Char">
    <w:name w:val="Heading 2 Char"/>
    <w:basedOn w:val="DefaultParagraphFont"/>
    <w:link w:val="Heading2"/>
    <w:uiPriority w:val="9"/>
    <w:rsid w:val="007178F4"/>
    <w:rPr>
      <w:rFonts w:ascii="Arial" w:eastAsiaTheme="majorEastAsia" w:hAnsi="Arial" w:cstheme="majorBidi"/>
      <w:b/>
      <w:sz w:val="24"/>
      <w:szCs w:val="32"/>
    </w:rPr>
  </w:style>
  <w:style w:type="character" w:customStyle="1" w:styleId="Heading4Char">
    <w:name w:val="Heading 4 Char"/>
    <w:basedOn w:val="DefaultParagraphFont"/>
    <w:link w:val="Heading4"/>
    <w:uiPriority w:val="9"/>
    <w:semiHidden/>
    <w:rsid w:val="004D4E68"/>
    <w:rPr>
      <w:rFonts w:eastAsiaTheme="majorEastAsia" w:cstheme="majorBidi"/>
      <w:i/>
      <w:iCs/>
      <w:color w:val="0F4761" w:themeColor="accent1" w:themeShade="BF"/>
      <w:sz w:val="24"/>
      <w:lang w:val="en-US"/>
    </w:rPr>
  </w:style>
  <w:style w:type="character" w:customStyle="1" w:styleId="Heading5Char">
    <w:name w:val="Heading 5 Char"/>
    <w:basedOn w:val="DefaultParagraphFont"/>
    <w:link w:val="Heading5"/>
    <w:uiPriority w:val="9"/>
    <w:semiHidden/>
    <w:rsid w:val="004D4E68"/>
    <w:rPr>
      <w:rFonts w:eastAsiaTheme="majorEastAsia" w:cstheme="majorBidi"/>
      <w:color w:val="0F4761" w:themeColor="accent1" w:themeShade="BF"/>
      <w:sz w:val="24"/>
      <w:lang w:val="en-US"/>
    </w:rPr>
  </w:style>
  <w:style w:type="character" w:customStyle="1" w:styleId="Heading6Char">
    <w:name w:val="Heading 6 Char"/>
    <w:basedOn w:val="DefaultParagraphFont"/>
    <w:link w:val="Heading6"/>
    <w:uiPriority w:val="9"/>
    <w:semiHidden/>
    <w:rsid w:val="004D4E68"/>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4D4E68"/>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4D4E68"/>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4D4E68"/>
    <w:rPr>
      <w:rFonts w:eastAsiaTheme="majorEastAsia" w:cstheme="majorBidi"/>
      <w:color w:val="272727" w:themeColor="text1" w:themeTint="D8"/>
      <w:sz w:val="24"/>
      <w:lang w:val="en-US"/>
    </w:rPr>
  </w:style>
  <w:style w:type="paragraph" w:styleId="Title">
    <w:name w:val="Title"/>
    <w:basedOn w:val="Normal"/>
    <w:next w:val="Normal"/>
    <w:link w:val="TitleChar"/>
    <w:uiPriority w:val="10"/>
    <w:qFormat/>
    <w:rsid w:val="004D4E68"/>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4E68"/>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4D4E6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4E68"/>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4D4E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D4E68"/>
    <w:rPr>
      <w:rFonts w:ascii="Arial" w:hAnsi="Arial"/>
      <w:i/>
      <w:iCs/>
      <w:color w:val="404040" w:themeColor="text1" w:themeTint="BF"/>
      <w:sz w:val="24"/>
      <w:lang w:val="en-US"/>
    </w:rPr>
  </w:style>
  <w:style w:type="paragraph" w:styleId="ListParagraph">
    <w:name w:val="List Paragraph"/>
    <w:basedOn w:val="Normal"/>
    <w:uiPriority w:val="34"/>
    <w:qFormat/>
    <w:rsid w:val="004D4E68"/>
    <w:pPr>
      <w:ind w:left="720"/>
      <w:contextualSpacing/>
    </w:pPr>
  </w:style>
  <w:style w:type="character" w:styleId="IntenseEmphasis">
    <w:name w:val="Intense Emphasis"/>
    <w:basedOn w:val="DefaultParagraphFont"/>
    <w:uiPriority w:val="21"/>
    <w:qFormat/>
    <w:rsid w:val="004D4E68"/>
    <w:rPr>
      <w:i/>
      <w:iCs/>
      <w:color w:val="0F4761" w:themeColor="accent1" w:themeShade="BF"/>
    </w:rPr>
  </w:style>
  <w:style w:type="paragraph" w:styleId="IntenseQuote">
    <w:name w:val="Intense Quote"/>
    <w:basedOn w:val="Normal"/>
    <w:next w:val="Normal"/>
    <w:link w:val="IntenseQuoteChar"/>
    <w:uiPriority w:val="30"/>
    <w:qFormat/>
    <w:rsid w:val="004D4E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4E68"/>
    <w:rPr>
      <w:rFonts w:ascii="Arial" w:hAnsi="Arial"/>
      <w:i/>
      <w:iCs/>
      <w:color w:val="0F4761" w:themeColor="accent1" w:themeShade="BF"/>
      <w:sz w:val="24"/>
      <w:lang w:val="en-US"/>
    </w:rPr>
  </w:style>
  <w:style w:type="character" w:styleId="IntenseReference">
    <w:name w:val="Intense Reference"/>
    <w:basedOn w:val="DefaultParagraphFont"/>
    <w:uiPriority w:val="32"/>
    <w:qFormat/>
    <w:rsid w:val="004D4E68"/>
    <w:rPr>
      <w:b/>
      <w:bCs/>
      <w:smallCaps/>
      <w:color w:val="0F4761" w:themeColor="accent1" w:themeShade="BF"/>
      <w:spacing w:val="5"/>
    </w:rPr>
  </w:style>
  <w:style w:type="paragraph" w:styleId="Header">
    <w:name w:val="header"/>
    <w:basedOn w:val="Normal"/>
    <w:link w:val="HeaderChar"/>
    <w:uiPriority w:val="99"/>
    <w:unhideWhenUsed/>
    <w:rsid w:val="004D4E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4E68"/>
    <w:rPr>
      <w:rFonts w:ascii="Arial" w:hAnsi="Arial"/>
      <w:sz w:val="24"/>
      <w:lang w:val="en-US"/>
    </w:rPr>
  </w:style>
  <w:style w:type="paragraph" w:styleId="Footer">
    <w:name w:val="footer"/>
    <w:basedOn w:val="Normal"/>
    <w:link w:val="FooterChar"/>
    <w:uiPriority w:val="99"/>
    <w:unhideWhenUsed/>
    <w:rsid w:val="004D4E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4E68"/>
    <w:rPr>
      <w:rFonts w:ascii="Arial" w:hAnsi="Arial"/>
      <w:sz w:val="24"/>
      <w:lang w:val="en-US"/>
    </w:rPr>
  </w:style>
  <w:style w:type="character" w:styleId="Hyperlink">
    <w:name w:val="Hyperlink"/>
    <w:basedOn w:val="DefaultParagraphFont"/>
    <w:uiPriority w:val="99"/>
    <w:unhideWhenUsed/>
    <w:rsid w:val="00C97922"/>
    <w:rPr>
      <w:color w:val="467886" w:themeColor="hyperlink"/>
      <w:u w:val="single"/>
    </w:rPr>
  </w:style>
  <w:style w:type="character" w:styleId="UnresolvedMention">
    <w:name w:val="Unresolved Mention"/>
    <w:basedOn w:val="DefaultParagraphFont"/>
    <w:uiPriority w:val="99"/>
    <w:semiHidden/>
    <w:unhideWhenUsed/>
    <w:rsid w:val="00C97922"/>
    <w:rPr>
      <w:color w:val="605E5C"/>
      <w:shd w:val="clear" w:color="auto" w:fill="E1DFDD"/>
    </w:rPr>
  </w:style>
  <w:style w:type="paragraph" w:styleId="TOCHeading">
    <w:name w:val="TOC Heading"/>
    <w:basedOn w:val="Heading1"/>
    <w:next w:val="Normal"/>
    <w:uiPriority w:val="39"/>
    <w:unhideWhenUsed/>
    <w:qFormat/>
    <w:rsid w:val="006D7719"/>
    <w:pPr>
      <w:spacing w:before="240" w:line="259" w:lineRule="auto"/>
      <w:jc w:val="left"/>
      <w:outlineLvl w:val="9"/>
    </w:pPr>
    <w:rPr>
      <w:rFonts w:asciiTheme="majorHAnsi" w:hAnsiTheme="majorHAnsi"/>
      <w:b w:val="0"/>
      <w:bCs w:val="0"/>
      <w:color w:val="0F4761" w:themeColor="accent1" w:themeShade="BF"/>
      <w:sz w:val="32"/>
      <w:szCs w:val="32"/>
      <w:lang w:val="en-US"/>
    </w:rPr>
  </w:style>
  <w:style w:type="paragraph" w:styleId="TOC1">
    <w:name w:val="toc 1"/>
    <w:basedOn w:val="Normal"/>
    <w:next w:val="Normal"/>
    <w:autoRedefine/>
    <w:uiPriority w:val="39"/>
    <w:unhideWhenUsed/>
    <w:rsid w:val="006D7719"/>
    <w:pPr>
      <w:spacing w:after="100"/>
    </w:pPr>
  </w:style>
  <w:style w:type="table" w:styleId="TableGrid">
    <w:name w:val="Table Grid"/>
    <w:basedOn w:val="TableNormal"/>
    <w:uiPriority w:val="39"/>
    <w:rsid w:val="00C63927"/>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D300B"/>
    <w:rPr>
      <w:color w:val="96607D" w:themeColor="followedHyperlink"/>
      <w:u w:val="single"/>
    </w:rPr>
  </w:style>
  <w:style w:type="paragraph" w:styleId="NormalWeb">
    <w:name w:val="Normal (Web)"/>
    <w:basedOn w:val="Normal"/>
    <w:uiPriority w:val="99"/>
    <w:semiHidden/>
    <w:unhideWhenUsed/>
    <w:rsid w:val="00B4500A"/>
    <w:pPr>
      <w:spacing w:before="100" w:beforeAutospacing="1" w:after="100" w:afterAutospacing="1" w:line="240" w:lineRule="auto"/>
      <w:jc w:val="left"/>
    </w:pPr>
    <w:rPr>
      <w:rFonts w:ascii="Times New Roman" w:hAnsi="Times New Roman" w:cs="Times New Roman"/>
      <w:szCs w:val="24"/>
      <w:lang w:val="en-GB" w:eastAsia="en-GB"/>
    </w:rPr>
  </w:style>
  <w:style w:type="paragraph" w:styleId="TOC2">
    <w:name w:val="toc 2"/>
    <w:basedOn w:val="Normal"/>
    <w:next w:val="Normal"/>
    <w:autoRedefine/>
    <w:uiPriority w:val="39"/>
    <w:unhideWhenUsed/>
    <w:rsid w:val="00E719F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7E15AB5-AED8-4B20-8628-4D90F13A55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TotalTime>
  <Pages>12</Pages>
  <Words>3340</Words>
  <Characters>19038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 Antal-Berbecaru (2242917)</dc:creator>
  <cp:keywords/>
  <dc:description/>
  <cp:lastModifiedBy>Constantin Iftimie</cp:lastModifiedBy>
  <cp:revision>19</cp:revision>
  <dcterms:created xsi:type="dcterms:W3CDTF">2026-08-16T10:31:00Z</dcterms:created>
  <dcterms:modified xsi:type="dcterms:W3CDTF">2026-08-16T21:19:00Z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152eda54-5d11-4350-86e7-39b835d46cb6</vt:lpwstr>
  </property>
</Properties>
</file>