
<file path=[Content_Types].xml><?xml version="1.0" encoding="utf-8"?>
<Types xmlns="http://schemas.openxmlformats.org/package/2006/content-types">
  <Default Extension="bin" ContentType="application/vnd.openxmlformats-officedocument.oleObject"/>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497B1C" w14:textId="4DA4B491" w:rsidR="00A22DB1" w:rsidRDefault="006D01BC" w:rsidP="00A22DB1">
      <w:pPr>
        <w:jc w:val="center"/>
      </w:pPr>
      <w:r>
        <w:rPr>
          <w:noProof/>
        </w:rPr>
        <w:drawing>
          <wp:inline distT="0" distB="0" distL="0" distR="0" wp14:anchorId="42AFF1D9" wp14:editId="37A1C344">
            <wp:extent cx="1981199" cy="792480"/>
            <wp:effectExtent l="0" t="0" r="63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984647" cy="793859"/>
                    </a:xfrm>
                    <a:prstGeom prst="rect">
                      <a:avLst/>
                    </a:prstGeom>
                  </pic:spPr>
                </pic:pic>
              </a:graphicData>
            </a:graphic>
          </wp:inline>
        </w:drawing>
      </w:r>
    </w:p>
    <w:p w14:paraId="4C855BC1" w14:textId="77777777" w:rsidR="00A22DB1" w:rsidRDefault="00A22DB1" w:rsidP="00A22DB1">
      <w:pPr>
        <w:jc w:val="center"/>
      </w:pPr>
    </w:p>
    <w:p w14:paraId="17435993" w14:textId="24551E31" w:rsidR="00A22DB1" w:rsidRPr="004A5CF8" w:rsidRDefault="00C34DD0" w:rsidP="00A22DB1">
      <w:pPr>
        <w:spacing w:after="360" w:line="360" w:lineRule="auto"/>
        <w:jc w:val="center"/>
      </w:pPr>
      <w:r w:rsidRPr="00C34DD0">
        <w:rPr>
          <w:sz w:val="36"/>
          <w:szCs w:val="36"/>
        </w:rPr>
        <w:t>Dissertation Title:</w:t>
      </w:r>
      <w:r>
        <w:rPr>
          <w:b/>
          <w:bCs/>
          <w:sz w:val="36"/>
          <w:szCs w:val="36"/>
        </w:rPr>
        <w:t xml:space="preserve"> </w:t>
      </w:r>
      <w:r w:rsidR="00A22DB1" w:rsidRPr="00C34DD0">
        <w:rPr>
          <w:b/>
          <w:bCs/>
          <w:sz w:val="32"/>
          <w:szCs w:val="32"/>
        </w:rPr>
        <w:t xml:space="preserve">The Influence of Greenwashing Scepticism on Consumer Trust and Sustainable Purchase Intentions in the UK </w:t>
      </w:r>
      <w:bookmarkStart w:id="0" w:name="_Hlk241181873"/>
      <w:r w:rsidR="00A22DB1" w:rsidRPr="00C34DD0">
        <w:rPr>
          <w:b/>
          <w:bCs/>
          <w:sz w:val="32"/>
          <w:szCs w:val="32"/>
        </w:rPr>
        <w:t>Fast Fashion Industry</w:t>
      </w:r>
      <w:r>
        <w:rPr>
          <w:b/>
          <w:bCs/>
          <w:sz w:val="32"/>
          <w:szCs w:val="32"/>
        </w:rPr>
        <w:t>.</w:t>
      </w:r>
    </w:p>
    <w:bookmarkEnd w:id="0"/>
    <w:p w14:paraId="326C9EA7" w14:textId="77777777" w:rsidR="00ED0A28" w:rsidRDefault="00ED0A28" w:rsidP="00ED0A28">
      <w:pPr>
        <w:jc w:val="center"/>
        <w:rPr>
          <w:lang w:bidi="bn-BD"/>
        </w:rPr>
      </w:pPr>
    </w:p>
    <w:p w14:paraId="0C0F2983" w14:textId="77777777" w:rsidR="00ED0A28" w:rsidRPr="006D01BC" w:rsidRDefault="00ED0A28" w:rsidP="00ED0A28">
      <w:pPr>
        <w:jc w:val="center"/>
        <w:rPr>
          <w:b/>
          <w:bCs/>
          <w:sz w:val="28"/>
          <w:szCs w:val="28"/>
          <w:lang w:bidi="bn-BD"/>
        </w:rPr>
      </w:pPr>
      <w:r w:rsidRPr="006D01BC">
        <w:rPr>
          <w:b/>
          <w:bCs/>
          <w:sz w:val="28"/>
          <w:szCs w:val="28"/>
          <w:lang w:bidi="bn-BD"/>
        </w:rPr>
        <w:t>Prepared for:</w:t>
      </w:r>
    </w:p>
    <w:p w14:paraId="3CB84CF3" w14:textId="6A7A1274" w:rsidR="00ED0A28" w:rsidRPr="006D01BC" w:rsidRDefault="00ED0A28" w:rsidP="00ED0A28">
      <w:pPr>
        <w:jc w:val="center"/>
        <w:rPr>
          <w:sz w:val="28"/>
          <w:szCs w:val="28"/>
          <w:lang w:bidi="bn-BD"/>
        </w:rPr>
      </w:pPr>
      <w:r w:rsidRPr="006D01BC">
        <w:rPr>
          <w:b/>
          <w:bCs/>
          <w:sz w:val="28"/>
          <w:szCs w:val="28"/>
          <w:lang w:bidi="bn-BD"/>
        </w:rPr>
        <w:t>Department:</w:t>
      </w:r>
      <w:r w:rsidRPr="006D01BC">
        <w:rPr>
          <w:sz w:val="28"/>
          <w:szCs w:val="28"/>
          <w:lang w:bidi="bn-BD"/>
        </w:rPr>
        <w:t xml:space="preserve"> Masters of Business Administration (MBA)</w:t>
      </w:r>
      <w:r w:rsidR="006D01BC" w:rsidRPr="006D01BC">
        <w:rPr>
          <w:sz w:val="28"/>
          <w:szCs w:val="28"/>
          <w:lang w:bidi="bn-BD"/>
        </w:rPr>
        <w:t xml:space="preserve"> 2025/2026</w:t>
      </w:r>
    </w:p>
    <w:p w14:paraId="056CCF43" w14:textId="266BB976" w:rsidR="00ED0A28" w:rsidRPr="006D01BC" w:rsidRDefault="00ED0A28" w:rsidP="00ED0A28">
      <w:pPr>
        <w:contextualSpacing/>
        <w:jc w:val="center"/>
        <w:rPr>
          <w:sz w:val="32"/>
          <w:szCs w:val="32"/>
        </w:rPr>
      </w:pPr>
      <w:r w:rsidRPr="006D01BC">
        <w:rPr>
          <w:b/>
          <w:bCs/>
          <w:sz w:val="28"/>
          <w:szCs w:val="28"/>
          <w:lang w:bidi="bn-BD"/>
        </w:rPr>
        <w:t>Course:</w:t>
      </w:r>
      <w:r w:rsidR="006D01BC" w:rsidRPr="006D01BC">
        <w:rPr>
          <w:b/>
          <w:bCs/>
          <w:sz w:val="28"/>
          <w:szCs w:val="28"/>
          <w:lang w:bidi="bn-BD"/>
        </w:rPr>
        <w:t xml:space="preserve"> </w:t>
      </w:r>
      <w:r w:rsidR="006D01BC" w:rsidRPr="006D01BC">
        <w:rPr>
          <w:sz w:val="28"/>
          <w:szCs w:val="32"/>
        </w:rPr>
        <w:t>Dissertation</w:t>
      </w:r>
      <w:r w:rsidRPr="006D01BC">
        <w:rPr>
          <w:sz w:val="28"/>
          <w:szCs w:val="28"/>
          <w:lang w:bidi="bn-BD"/>
        </w:rPr>
        <w:t xml:space="preserve"> </w:t>
      </w:r>
      <w:r w:rsidR="006D01BC" w:rsidRPr="006D01BC">
        <w:rPr>
          <w:sz w:val="28"/>
          <w:szCs w:val="28"/>
          <w:lang w:bidi="bn-BD"/>
        </w:rPr>
        <w:t>(</w:t>
      </w:r>
      <w:proofErr w:type="spellStart"/>
      <w:r w:rsidR="006D01BC" w:rsidRPr="006D01BC">
        <w:rPr>
          <w:sz w:val="28"/>
          <w:szCs w:val="32"/>
        </w:rPr>
        <w:t>BMMB7003</w:t>
      </w:r>
      <w:proofErr w:type="spellEnd"/>
      <w:r w:rsidR="006D01BC">
        <w:rPr>
          <w:sz w:val="28"/>
          <w:szCs w:val="32"/>
        </w:rPr>
        <w:t>)</w:t>
      </w:r>
    </w:p>
    <w:p w14:paraId="3A57EDAB" w14:textId="77777777" w:rsidR="00ED0A28" w:rsidRPr="006D01BC" w:rsidRDefault="00ED0A28" w:rsidP="00ED0A28">
      <w:pPr>
        <w:jc w:val="center"/>
        <w:rPr>
          <w:sz w:val="28"/>
          <w:szCs w:val="28"/>
          <w:lang w:bidi="bn-BD"/>
        </w:rPr>
      </w:pPr>
      <w:r w:rsidRPr="006D01BC">
        <w:rPr>
          <w:b/>
          <w:bCs/>
          <w:sz w:val="28"/>
          <w:szCs w:val="28"/>
          <w:lang w:bidi="bn-BD"/>
        </w:rPr>
        <w:t>Institute:</w:t>
      </w:r>
      <w:r w:rsidRPr="006D01BC">
        <w:rPr>
          <w:sz w:val="28"/>
          <w:szCs w:val="28"/>
          <w:lang w:bidi="bn-BD"/>
        </w:rPr>
        <w:t xml:space="preserve"> University of Wales Trinity Saint David, Swansea</w:t>
      </w:r>
    </w:p>
    <w:p w14:paraId="3B0C8E90" w14:textId="659472A9" w:rsidR="00ED0A28" w:rsidRPr="006D01BC" w:rsidRDefault="006D01BC" w:rsidP="00ED0A28">
      <w:pPr>
        <w:jc w:val="center"/>
        <w:rPr>
          <w:sz w:val="28"/>
          <w:szCs w:val="28"/>
        </w:rPr>
      </w:pPr>
      <w:r w:rsidRPr="006D01BC">
        <w:rPr>
          <w:sz w:val="28"/>
          <w:szCs w:val="32"/>
        </w:rPr>
        <w:t>Supervisor: Gwyneth Jones</w:t>
      </w:r>
    </w:p>
    <w:p w14:paraId="6BC60F2A" w14:textId="77777777" w:rsidR="00ED0A28" w:rsidRPr="006D01BC" w:rsidRDefault="00ED0A28" w:rsidP="00ED0A28">
      <w:pPr>
        <w:jc w:val="center"/>
        <w:rPr>
          <w:sz w:val="28"/>
          <w:szCs w:val="28"/>
        </w:rPr>
      </w:pPr>
    </w:p>
    <w:p w14:paraId="2840AAD5" w14:textId="77777777" w:rsidR="00ED0A28" w:rsidRPr="006D01BC" w:rsidRDefault="00ED0A28" w:rsidP="00ED0A28">
      <w:pPr>
        <w:jc w:val="center"/>
        <w:rPr>
          <w:b/>
          <w:bCs/>
          <w:sz w:val="28"/>
          <w:szCs w:val="28"/>
          <w:lang w:bidi="bn-BD"/>
        </w:rPr>
      </w:pPr>
      <w:r w:rsidRPr="006D01BC">
        <w:rPr>
          <w:b/>
          <w:bCs/>
          <w:sz w:val="28"/>
          <w:szCs w:val="28"/>
          <w:lang w:bidi="bn-BD"/>
        </w:rPr>
        <w:t>Prepared by:</w:t>
      </w:r>
    </w:p>
    <w:p w14:paraId="53E6687F" w14:textId="77777777" w:rsidR="00ED0A28" w:rsidRPr="006D01BC" w:rsidRDefault="00ED0A28" w:rsidP="00ED0A28">
      <w:pPr>
        <w:contextualSpacing/>
        <w:jc w:val="center"/>
        <w:rPr>
          <w:sz w:val="28"/>
          <w:szCs w:val="28"/>
        </w:rPr>
      </w:pPr>
      <w:r w:rsidRPr="006D01BC">
        <w:rPr>
          <w:sz w:val="28"/>
          <w:szCs w:val="28"/>
        </w:rPr>
        <w:t xml:space="preserve">Md Rakib Mia </w:t>
      </w:r>
    </w:p>
    <w:p w14:paraId="5E412C8F" w14:textId="215C2A59" w:rsidR="00ED0A28" w:rsidRPr="006D01BC" w:rsidRDefault="00ED0A28" w:rsidP="006D01BC">
      <w:pPr>
        <w:contextualSpacing/>
        <w:jc w:val="center"/>
        <w:rPr>
          <w:sz w:val="28"/>
          <w:szCs w:val="28"/>
        </w:rPr>
      </w:pPr>
      <w:r w:rsidRPr="006D01BC">
        <w:rPr>
          <w:sz w:val="28"/>
          <w:szCs w:val="28"/>
        </w:rPr>
        <w:t>Student ID: 2513201</w:t>
      </w:r>
    </w:p>
    <w:p w14:paraId="05574E22" w14:textId="77777777" w:rsidR="00ED0A28" w:rsidRPr="006D01BC" w:rsidRDefault="00ED0A28" w:rsidP="00ED0A28">
      <w:pPr>
        <w:contextualSpacing/>
        <w:jc w:val="center"/>
        <w:rPr>
          <w:b/>
          <w:bCs/>
          <w:sz w:val="28"/>
          <w:szCs w:val="28"/>
        </w:rPr>
      </w:pPr>
    </w:p>
    <w:p w14:paraId="015D1C36" w14:textId="77777777" w:rsidR="00ED0A28" w:rsidRPr="006D01BC" w:rsidRDefault="00ED0A28" w:rsidP="00ED0A28">
      <w:pPr>
        <w:jc w:val="center"/>
        <w:rPr>
          <w:b/>
          <w:bCs/>
          <w:szCs w:val="24"/>
          <w:lang w:bidi="bn-BD"/>
        </w:rPr>
      </w:pPr>
      <w:r w:rsidRPr="006D01BC">
        <w:rPr>
          <w:b/>
          <w:bCs/>
          <w:szCs w:val="24"/>
          <w:lang w:bidi="bn-BD"/>
        </w:rPr>
        <w:t>Date:</w:t>
      </w:r>
    </w:p>
    <w:p w14:paraId="1D11A8B3" w14:textId="0A0949AD" w:rsidR="00A22DB1" w:rsidRPr="006D01BC" w:rsidRDefault="006D01BC" w:rsidP="00ED0A28">
      <w:pPr>
        <w:contextualSpacing/>
        <w:jc w:val="center"/>
        <w:rPr>
          <w:sz w:val="28"/>
          <w:szCs w:val="28"/>
        </w:rPr>
      </w:pPr>
      <w:r w:rsidRPr="006D01BC">
        <w:rPr>
          <w:sz w:val="28"/>
          <w:szCs w:val="28"/>
        </w:rPr>
        <w:t>24 September</w:t>
      </w:r>
      <w:r w:rsidR="00ED0A28" w:rsidRPr="006D01BC">
        <w:rPr>
          <w:sz w:val="28"/>
          <w:szCs w:val="28"/>
        </w:rPr>
        <w:t xml:space="preserve"> 2026</w:t>
      </w:r>
    </w:p>
    <w:p w14:paraId="0B1757CC" w14:textId="4B14CC2F" w:rsidR="00BF7607" w:rsidRPr="00DC500E" w:rsidRDefault="00BF7607" w:rsidP="002A413E">
      <w:r w:rsidRPr="00DC500E">
        <w:br w:type="page"/>
      </w:r>
    </w:p>
    <w:p w14:paraId="198FE143" w14:textId="259F39EC" w:rsidR="002A413E" w:rsidRPr="00DC500E" w:rsidRDefault="002A413E" w:rsidP="002A413E">
      <w:pPr>
        <w:pStyle w:val="Heading1"/>
        <w:spacing w:before="240" w:after="140" w:line="360" w:lineRule="auto"/>
      </w:pPr>
      <w:bookmarkStart w:id="1" w:name="_Toc239961450"/>
      <w:bookmarkStart w:id="2" w:name="_Toc239978158"/>
      <w:bookmarkStart w:id="3" w:name="_Toc241147152"/>
      <w:r w:rsidRPr="00DC500E">
        <w:rPr>
          <w:bCs/>
          <w:color w:val="000000"/>
        </w:rPr>
        <w:lastRenderedPageBreak/>
        <w:t>Declaration and Statements</w:t>
      </w:r>
      <w:bookmarkEnd w:id="1"/>
      <w:bookmarkEnd w:id="2"/>
      <w:bookmarkEnd w:id="3"/>
    </w:p>
    <w:p w14:paraId="3FC18B00" w14:textId="77777777" w:rsidR="002A413E" w:rsidRPr="00DC500E" w:rsidRDefault="002A413E" w:rsidP="002A413E">
      <w:pPr>
        <w:spacing w:after="200" w:line="360" w:lineRule="auto"/>
      </w:pPr>
      <w:r w:rsidRPr="00DC500E">
        <w:rPr>
          <w:b/>
          <w:bCs/>
        </w:rPr>
        <w:t>DECLARATION</w:t>
      </w:r>
    </w:p>
    <w:p w14:paraId="7EFE59A9" w14:textId="77777777" w:rsidR="002A413E" w:rsidRPr="00DC500E" w:rsidRDefault="002A413E" w:rsidP="002A413E">
      <w:pPr>
        <w:spacing w:after="200" w:line="360" w:lineRule="auto"/>
      </w:pPr>
      <w:r w:rsidRPr="00DC500E">
        <w:t>This work has not previously been accepted in substance for any degree and is not being concurrently submitted in candidature for any degree.</w:t>
      </w:r>
    </w:p>
    <w:p w14:paraId="7EC2A05A" w14:textId="2F40EAE1" w:rsidR="002A413E" w:rsidRPr="00DC500E" w:rsidRDefault="002A413E" w:rsidP="008F33FD">
      <w:pPr>
        <w:spacing w:after="60" w:line="360" w:lineRule="auto"/>
      </w:pPr>
      <w:r w:rsidRPr="00DC500E">
        <w:t>Signed .........................</w:t>
      </w:r>
      <w:r w:rsidR="008F33FD" w:rsidRPr="008F33FD">
        <w:rPr>
          <w:b/>
          <w:bCs/>
          <w:sz w:val="28"/>
          <w:szCs w:val="28"/>
        </w:rPr>
        <w:t xml:space="preserve"> </w:t>
      </w:r>
      <w:r w:rsidR="008F33FD" w:rsidRPr="00A22DB1">
        <w:rPr>
          <w:b/>
          <w:bCs/>
          <w:sz w:val="28"/>
          <w:szCs w:val="28"/>
        </w:rPr>
        <w:t>Md Rakib Mia</w:t>
      </w:r>
      <w:r w:rsidRPr="00DC500E">
        <w:t>............................................. (candidate)</w:t>
      </w:r>
    </w:p>
    <w:p w14:paraId="0B8E958F" w14:textId="0586C4D5" w:rsidR="002A413E" w:rsidRDefault="002A413E" w:rsidP="002A413E">
      <w:pPr>
        <w:spacing w:after="200" w:line="360" w:lineRule="auto"/>
      </w:pPr>
      <w:r w:rsidRPr="00DC500E">
        <w:t>Date ..........................</w:t>
      </w:r>
      <w:r w:rsidR="008F33FD">
        <w:t>24/09/2026</w:t>
      </w:r>
      <w:r w:rsidRPr="00DC500E">
        <w:t>..............................................</w:t>
      </w:r>
    </w:p>
    <w:p w14:paraId="1E39E07E" w14:textId="77777777" w:rsidR="008F33FD" w:rsidRPr="00DC500E" w:rsidRDefault="008F33FD" w:rsidP="002A413E">
      <w:pPr>
        <w:spacing w:after="200" w:line="360" w:lineRule="auto"/>
      </w:pPr>
    </w:p>
    <w:p w14:paraId="780C41F9" w14:textId="77777777" w:rsidR="002A413E" w:rsidRPr="00DC500E" w:rsidRDefault="002A413E" w:rsidP="002A413E">
      <w:pPr>
        <w:spacing w:after="200" w:line="360" w:lineRule="auto"/>
      </w:pPr>
      <w:r w:rsidRPr="00DC500E">
        <w:rPr>
          <w:b/>
          <w:bCs/>
        </w:rPr>
        <w:t>STATEMENT 1</w:t>
      </w:r>
    </w:p>
    <w:p w14:paraId="094BE20D" w14:textId="77777777" w:rsidR="002A413E" w:rsidRPr="00DC500E" w:rsidRDefault="002A413E" w:rsidP="002A413E">
      <w:pPr>
        <w:spacing w:after="200" w:line="360" w:lineRule="auto"/>
      </w:pPr>
      <w:r w:rsidRPr="00DC500E">
        <w:t>This work is the result of my own investigations, except where otherwise stated. Other sources are acknowledged by footnotes giving explicit references. A bibliography is appended.</w:t>
      </w:r>
    </w:p>
    <w:p w14:paraId="344A8EBA" w14:textId="77777777" w:rsidR="008F33FD" w:rsidRPr="00DC500E" w:rsidRDefault="008F33FD" w:rsidP="008F33FD">
      <w:pPr>
        <w:spacing w:after="60" w:line="360" w:lineRule="auto"/>
      </w:pPr>
      <w:r w:rsidRPr="00DC500E">
        <w:t>Signed .........................</w:t>
      </w:r>
      <w:r w:rsidRPr="008F33FD">
        <w:rPr>
          <w:b/>
          <w:bCs/>
          <w:sz w:val="28"/>
          <w:szCs w:val="28"/>
        </w:rPr>
        <w:t xml:space="preserve"> </w:t>
      </w:r>
      <w:r w:rsidRPr="00A22DB1">
        <w:rPr>
          <w:b/>
          <w:bCs/>
          <w:sz w:val="28"/>
          <w:szCs w:val="28"/>
        </w:rPr>
        <w:t>Md Rakib Mia</w:t>
      </w:r>
      <w:r w:rsidRPr="00DC500E">
        <w:t>............................................. (candidate)</w:t>
      </w:r>
    </w:p>
    <w:p w14:paraId="2B52373F" w14:textId="77777777" w:rsidR="008F33FD" w:rsidRDefault="008F33FD" w:rsidP="008F33FD">
      <w:pPr>
        <w:spacing w:after="200" w:line="360" w:lineRule="auto"/>
      </w:pPr>
      <w:r w:rsidRPr="00DC500E">
        <w:t>Date ..........................</w:t>
      </w:r>
      <w:r>
        <w:t>24/09/2026</w:t>
      </w:r>
      <w:r w:rsidRPr="00DC500E">
        <w:t>..............................................</w:t>
      </w:r>
    </w:p>
    <w:p w14:paraId="1898ADA7" w14:textId="77777777" w:rsidR="008F33FD" w:rsidRPr="00DC500E" w:rsidRDefault="008F33FD" w:rsidP="002A413E">
      <w:pPr>
        <w:spacing w:after="200" w:line="360" w:lineRule="auto"/>
      </w:pPr>
    </w:p>
    <w:p w14:paraId="256B5879" w14:textId="77777777" w:rsidR="002A413E" w:rsidRPr="00DC500E" w:rsidRDefault="002A413E" w:rsidP="002A413E">
      <w:pPr>
        <w:spacing w:after="200" w:line="360" w:lineRule="auto"/>
      </w:pPr>
      <w:r w:rsidRPr="00DC500E">
        <w:rPr>
          <w:b/>
          <w:bCs/>
        </w:rPr>
        <w:t>STATEMENT 2</w:t>
      </w:r>
    </w:p>
    <w:p w14:paraId="222DEE7A" w14:textId="77777777" w:rsidR="002A413E" w:rsidRPr="00DC500E" w:rsidRDefault="002A413E" w:rsidP="002A413E">
      <w:pPr>
        <w:spacing w:after="200" w:line="360" w:lineRule="auto"/>
      </w:pPr>
      <w:r w:rsidRPr="00DC500E">
        <w:t>I hereby give consent for my work, if accepted, to be available for photocopying and for inter-library loan, and for the title and summary to be made available to outside organisations.</w:t>
      </w:r>
    </w:p>
    <w:p w14:paraId="345F5250" w14:textId="77777777" w:rsidR="008F33FD" w:rsidRPr="00DC500E" w:rsidRDefault="008F33FD" w:rsidP="008F33FD">
      <w:pPr>
        <w:spacing w:after="60" w:line="360" w:lineRule="auto"/>
      </w:pPr>
      <w:r w:rsidRPr="00DC500E">
        <w:t>Signed .........................</w:t>
      </w:r>
      <w:r w:rsidRPr="008F33FD">
        <w:rPr>
          <w:b/>
          <w:bCs/>
          <w:sz w:val="28"/>
          <w:szCs w:val="28"/>
        </w:rPr>
        <w:t xml:space="preserve"> </w:t>
      </w:r>
      <w:r w:rsidRPr="00A22DB1">
        <w:rPr>
          <w:b/>
          <w:bCs/>
          <w:sz w:val="28"/>
          <w:szCs w:val="28"/>
        </w:rPr>
        <w:t>Md Rakib Mia</w:t>
      </w:r>
      <w:r w:rsidRPr="00DC500E">
        <w:t>............................................. (candidate)</w:t>
      </w:r>
    </w:p>
    <w:p w14:paraId="47E58B8C" w14:textId="77777777" w:rsidR="008F33FD" w:rsidRDefault="008F33FD" w:rsidP="008F33FD">
      <w:pPr>
        <w:spacing w:after="200" w:line="360" w:lineRule="auto"/>
      </w:pPr>
      <w:r w:rsidRPr="00DC500E">
        <w:t>Date ..........................</w:t>
      </w:r>
      <w:r>
        <w:t>24/09/2026</w:t>
      </w:r>
      <w:r w:rsidRPr="00DC500E">
        <w:t>..............................................</w:t>
      </w:r>
    </w:p>
    <w:p w14:paraId="5E711C80" w14:textId="77777777" w:rsidR="008F33FD" w:rsidRPr="00DC500E" w:rsidRDefault="008F33FD" w:rsidP="002A413E">
      <w:pPr>
        <w:spacing w:after="200" w:line="360" w:lineRule="auto"/>
      </w:pPr>
    </w:p>
    <w:p w14:paraId="7E84202F" w14:textId="77777777" w:rsidR="002A413E" w:rsidRPr="00DC500E" w:rsidRDefault="002A413E" w:rsidP="002A413E">
      <w:r w:rsidRPr="00DC500E">
        <w:br w:type="page"/>
      </w:r>
    </w:p>
    <w:p w14:paraId="15A82805" w14:textId="6E17ACD8" w:rsidR="00F01882" w:rsidRPr="008F33FD" w:rsidRDefault="002A413E" w:rsidP="008F33FD">
      <w:pPr>
        <w:pStyle w:val="Heading1"/>
      </w:pPr>
      <w:bookmarkStart w:id="4" w:name="_Toc241147153"/>
      <w:r w:rsidRPr="00F01882">
        <w:rPr>
          <w:lang w:eastAsia="en-GB" w:bidi="hi-IN"/>
        </w:rPr>
        <w:lastRenderedPageBreak/>
        <w:t>Acknowledgements</w:t>
      </w:r>
      <w:bookmarkEnd w:id="4"/>
    </w:p>
    <w:p w14:paraId="2D3BEA82" w14:textId="79451285" w:rsidR="002A413E" w:rsidRDefault="00F01882" w:rsidP="00F01882">
      <w:pPr>
        <w:rPr>
          <w:lang w:eastAsia="en-GB" w:bidi="hi-IN"/>
        </w:rPr>
      </w:pPr>
      <w:r>
        <w:rPr>
          <w:lang w:eastAsia="en-GB" w:bidi="hi-IN"/>
        </w:rPr>
        <w:t>I would like to acknowledge the valuable guidance, rigorous critiques, and dedicated support provided by my dissertation supervisor, Swansea Business School, University of Wales Trinity Saint David. I give my sincere thanks to all 157 participants who took their time to complete the survey, which forms the base of this study. Lastly, I would like to express my deepest gratitude to my family and friends for their unwavering support and understanding throughout this challenging academic journey.</w:t>
      </w:r>
    </w:p>
    <w:p w14:paraId="69E482C8" w14:textId="7E7A2644" w:rsidR="008F33FD" w:rsidRDefault="008F33FD" w:rsidP="00F01882">
      <w:pPr>
        <w:rPr>
          <w:lang w:eastAsia="en-GB" w:bidi="hi-IN"/>
        </w:rPr>
      </w:pPr>
    </w:p>
    <w:p w14:paraId="2F1B0952" w14:textId="77777777" w:rsidR="008F33FD" w:rsidRPr="00DC500E" w:rsidRDefault="008F33FD" w:rsidP="00F01882">
      <w:pPr>
        <w:rPr>
          <w:lang w:eastAsia="en-GB" w:bidi="hi-IN"/>
        </w:rPr>
      </w:pPr>
    </w:p>
    <w:p w14:paraId="6EA04C33" w14:textId="77777777" w:rsidR="002A413E" w:rsidRPr="00DC500E" w:rsidRDefault="002A413E">
      <w:pPr>
        <w:spacing w:line="240" w:lineRule="auto"/>
        <w:jc w:val="left"/>
      </w:pPr>
      <w:r w:rsidRPr="00DC500E">
        <w:br w:type="page"/>
      </w:r>
    </w:p>
    <w:p w14:paraId="16982B9A" w14:textId="77777777" w:rsidR="002A413E" w:rsidRPr="008F33FD" w:rsidRDefault="002A413E" w:rsidP="008F33FD">
      <w:pPr>
        <w:pStyle w:val="Heading1"/>
      </w:pPr>
      <w:bookmarkStart w:id="5" w:name="_Toc241147154"/>
      <w:r w:rsidRPr="00DC500E">
        <w:lastRenderedPageBreak/>
        <w:t>Abstract</w:t>
      </w:r>
      <w:bookmarkEnd w:id="5"/>
    </w:p>
    <w:p w14:paraId="66CD7C26" w14:textId="3B416A21" w:rsidR="002A413E" w:rsidRDefault="00DC500E" w:rsidP="002A413E">
      <w:pPr>
        <w:rPr>
          <w:lang w:eastAsia="en-GB" w:bidi="hi-IN"/>
        </w:rPr>
      </w:pPr>
      <w:r w:rsidRPr="00DC500E">
        <w:rPr>
          <w:lang w:eastAsia="en-GB" w:bidi="hi-IN"/>
        </w:rPr>
        <w:t xml:space="preserve">The fast fashion sector in the UK is under a significant credibility crisis as a result of rampant </w:t>
      </w:r>
      <w:r w:rsidR="00A22DB1">
        <w:rPr>
          <w:lang w:eastAsia="en-GB" w:bidi="hi-IN"/>
        </w:rPr>
        <w:t>‘</w:t>
      </w:r>
      <w:r w:rsidRPr="00DC500E">
        <w:rPr>
          <w:lang w:eastAsia="en-GB" w:bidi="hi-IN"/>
        </w:rPr>
        <w:t>greenwashing</w:t>
      </w:r>
      <w:r w:rsidR="00A22DB1">
        <w:rPr>
          <w:lang w:eastAsia="en-GB" w:bidi="hi-IN"/>
        </w:rPr>
        <w:t>’</w:t>
      </w:r>
      <w:r w:rsidRPr="00DC500E">
        <w:rPr>
          <w:lang w:eastAsia="en-GB" w:bidi="hi-IN"/>
        </w:rPr>
        <w:t>. This study aims to examine how consumers</w:t>
      </w:r>
      <w:r w:rsidR="00A22DB1">
        <w:rPr>
          <w:lang w:eastAsia="en-GB" w:bidi="hi-IN"/>
        </w:rPr>
        <w:t>’</w:t>
      </w:r>
      <w:r w:rsidRPr="00DC500E">
        <w:rPr>
          <w:lang w:eastAsia="en-GB" w:bidi="hi-IN"/>
        </w:rPr>
        <w:t xml:space="preserve"> greenwashing scepticism affects their trust in greenwashing and sustainable purchasing intention for UK adults. Based on </w:t>
      </w:r>
      <w:r w:rsidR="00A22DB1">
        <w:rPr>
          <w:lang w:eastAsia="en-GB" w:bidi="hi-IN"/>
        </w:rPr>
        <w:t>the</w:t>
      </w:r>
      <w:r w:rsidRPr="00DC500E">
        <w:rPr>
          <w:lang w:eastAsia="en-GB" w:bidi="hi-IN"/>
        </w:rPr>
        <w:t xml:space="preserve"> extended Theory of Planned Behaviour, the research suggests a trust-mediation model in order to explain cognitive doubt paralysis of eco-consumption. A quantitative, mono-method approach was used to analy</w:t>
      </w:r>
      <w:r w:rsidR="00A22DB1">
        <w:rPr>
          <w:lang w:eastAsia="en-GB" w:bidi="hi-IN"/>
        </w:rPr>
        <w:t>s</w:t>
      </w:r>
      <w:r w:rsidRPr="00DC500E">
        <w:rPr>
          <w:lang w:eastAsia="en-GB" w:bidi="hi-IN"/>
        </w:rPr>
        <w:t xml:space="preserve">e primary data gathered using a self-administered online survey of a purposive sample of 157 consumers of fast fashion in the UK. PLS-SEM technique was used to test the conceptual framework. The findings indicate that </w:t>
      </w:r>
      <w:r w:rsidR="00A22DB1">
        <w:rPr>
          <w:lang w:eastAsia="en-GB" w:bidi="hi-IN"/>
        </w:rPr>
        <w:t>“</w:t>
      </w:r>
      <w:r w:rsidRPr="00DC500E">
        <w:rPr>
          <w:lang w:eastAsia="en-GB" w:bidi="hi-IN"/>
        </w:rPr>
        <w:t>greenwashing scepticism</w:t>
      </w:r>
      <w:r w:rsidR="00A22DB1">
        <w:rPr>
          <w:lang w:eastAsia="en-GB" w:bidi="hi-IN"/>
        </w:rPr>
        <w:t>”</w:t>
      </w:r>
      <w:r w:rsidRPr="00DC500E">
        <w:rPr>
          <w:lang w:eastAsia="en-GB" w:bidi="hi-IN"/>
        </w:rPr>
        <w:t xml:space="preserve"> has a</w:t>
      </w:r>
      <w:r w:rsidR="00A22DB1">
        <w:rPr>
          <w:lang w:eastAsia="en-GB" w:bidi="hi-IN"/>
        </w:rPr>
        <w:t xml:space="preserve"> significant</w:t>
      </w:r>
      <w:r w:rsidRPr="00DC500E">
        <w:rPr>
          <w:lang w:eastAsia="en-GB" w:bidi="hi-IN"/>
        </w:rPr>
        <w:t xml:space="preserve"> negative effect on environmental consumer trust. This is thus an erosion of trust in itself, which systematically breaks down the intentions to make sustainable purchases. The mediation from cognitive doubt to behavioural avoidance is carefully tested through a structural analysis and is robustly proven to be the mediating mechanism. The study shows that positive environmental attitudes are not enough to move </w:t>
      </w:r>
      <w:r w:rsidR="00A22DB1">
        <w:rPr>
          <w:lang w:eastAsia="en-GB" w:bidi="hi-IN"/>
        </w:rPr>
        <w:t xml:space="preserve">in </w:t>
      </w:r>
      <w:r w:rsidRPr="00DC500E">
        <w:rPr>
          <w:lang w:eastAsia="en-GB" w:bidi="hi-IN"/>
        </w:rPr>
        <w:t>a commercial direction without institutional credibility, and suggests that the retail marketing industry should stop investing in ambiguous eco-marketing and move toward transparency verified by third parties, to re-establish market viability in a definitive way.</w:t>
      </w:r>
    </w:p>
    <w:p w14:paraId="57913793" w14:textId="77777777" w:rsidR="008F33FD" w:rsidRPr="00DC500E" w:rsidRDefault="008F33FD" w:rsidP="002A413E">
      <w:pPr>
        <w:rPr>
          <w:lang w:eastAsia="en-GB" w:bidi="hi-IN"/>
        </w:rPr>
      </w:pPr>
    </w:p>
    <w:p w14:paraId="7420A966" w14:textId="72D50B9B" w:rsidR="002A413E" w:rsidRPr="00DC500E" w:rsidRDefault="002A413E" w:rsidP="002A413E">
      <w:pPr>
        <w:rPr>
          <w:lang w:eastAsia="en-GB" w:bidi="hi-IN"/>
        </w:rPr>
      </w:pPr>
      <w:r w:rsidRPr="00DC500E">
        <w:rPr>
          <w:b/>
          <w:bCs/>
          <w:lang w:eastAsia="en-GB" w:bidi="hi-IN"/>
        </w:rPr>
        <w:t>Keywords</w:t>
      </w:r>
      <w:r w:rsidR="00492F89" w:rsidRPr="00DC500E">
        <w:rPr>
          <w:lang w:eastAsia="en-GB" w:bidi="hi-IN"/>
        </w:rPr>
        <w:t xml:space="preserve">: </w:t>
      </w:r>
      <w:r w:rsidRPr="00DC500E">
        <w:rPr>
          <w:lang w:eastAsia="en-GB" w:bidi="hi-IN"/>
        </w:rPr>
        <w:t>Greenwashing Scepticism, Consumer Trust, Sustainable Purchase Intention, PLS-SEM, Fast Fashion</w:t>
      </w:r>
    </w:p>
    <w:p w14:paraId="240FA7F7" w14:textId="77777777" w:rsidR="002A413E" w:rsidRPr="00DC500E" w:rsidRDefault="002A413E" w:rsidP="002A413E"/>
    <w:p w14:paraId="07AB7697" w14:textId="77777777" w:rsidR="002A413E" w:rsidRPr="00DC500E" w:rsidRDefault="002A413E" w:rsidP="002A413E">
      <w:r w:rsidRPr="00DC500E">
        <w:br w:type="page"/>
      </w:r>
    </w:p>
    <w:bookmarkStart w:id="6" w:name="_Toc241147155" w:displacedByCustomXml="next"/>
    <w:sdt>
      <w:sdtPr>
        <w:rPr>
          <w:b w:val="0"/>
          <w:bCs/>
          <w:sz w:val="24"/>
        </w:rPr>
        <w:id w:val="843507775"/>
        <w:docPartObj>
          <w:docPartGallery w:val="Table of Contents"/>
          <w:docPartUnique/>
        </w:docPartObj>
      </w:sdtPr>
      <w:sdtEndPr>
        <w:rPr>
          <w:rFonts w:cs="Times New Roman"/>
          <w:bCs w:val="0"/>
          <w:noProof/>
        </w:rPr>
      </w:sdtEndPr>
      <w:sdtContent>
        <w:p w14:paraId="57F139BF" w14:textId="77777777" w:rsidR="002A413E" w:rsidRPr="00970609" w:rsidRDefault="002A413E" w:rsidP="008F33FD">
          <w:pPr>
            <w:pStyle w:val="Heading1"/>
          </w:pPr>
          <w:r w:rsidRPr="00970609">
            <w:t>Table of Contents</w:t>
          </w:r>
          <w:bookmarkEnd w:id="6"/>
        </w:p>
        <w:p w14:paraId="6F813409" w14:textId="2141912C" w:rsidR="008F33FD" w:rsidRPr="008F33FD" w:rsidRDefault="002A413E" w:rsidP="008F33FD">
          <w:pPr>
            <w:pStyle w:val="TOC1"/>
            <w:tabs>
              <w:tab w:val="right" w:leader="dot" w:pos="9016"/>
            </w:tabs>
            <w:spacing w:before="0" w:after="120" w:line="360" w:lineRule="auto"/>
            <w:rPr>
              <w:rFonts w:eastAsiaTheme="minorEastAsia" w:cs="Times New Roman"/>
              <w:b w:val="0"/>
              <w:bCs w:val="0"/>
              <w:i w:val="0"/>
              <w:iCs w:val="0"/>
              <w:noProof/>
              <w:color w:val="auto"/>
              <w:kern w:val="0"/>
              <w:lang w:eastAsia="en-GB" w:bidi="ar-SA"/>
              <w14:ligatures w14:val="none"/>
            </w:rPr>
          </w:pPr>
          <w:r w:rsidRPr="00970609">
            <w:rPr>
              <w:rFonts w:cs="Times New Roman"/>
              <w:b w:val="0"/>
              <w:bCs w:val="0"/>
            </w:rPr>
            <w:fldChar w:fldCharType="begin"/>
          </w:r>
          <w:r w:rsidRPr="00970609">
            <w:rPr>
              <w:rFonts w:cs="Times New Roman"/>
            </w:rPr>
            <w:instrText xml:space="preserve"> TOC \o "1-3" \h \z \u </w:instrText>
          </w:r>
          <w:r w:rsidRPr="00970609">
            <w:rPr>
              <w:rFonts w:cs="Times New Roman"/>
              <w:b w:val="0"/>
              <w:bCs w:val="0"/>
            </w:rPr>
            <w:fldChar w:fldCharType="separate"/>
          </w:r>
          <w:hyperlink w:anchor="_Toc241147152" w:history="1">
            <w:r w:rsidR="008F33FD" w:rsidRPr="008F33FD">
              <w:rPr>
                <w:rStyle w:val="Hyperlink"/>
                <w:rFonts w:cs="Times New Roman"/>
                <w:b w:val="0"/>
                <w:bCs w:val="0"/>
                <w:i w:val="0"/>
                <w:iCs w:val="0"/>
                <w:noProof/>
              </w:rPr>
              <w:t>Declaration and Statements</w:t>
            </w:r>
            <w:r w:rsidR="008F33FD" w:rsidRPr="008F33FD">
              <w:rPr>
                <w:rFonts w:cs="Times New Roman"/>
                <w:b w:val="0"/>
                <w:bCs w:val="0"/>
                <w:i w:val="0"/>
                <w:iCs w:val="0"/>
                <w:noProof/>
                <w:webHidden/>
              </w:rPr>
              <w:tab/>
            </w:r>
            <w:r w:rsidR="008F33FD" w:rsidRPr="008F33FD">
              <w:rPr>
                <w:rFonts w:cs="Times New Roman"/>
                <w:b w:val="0"/>
                <w:bCs w:val="0"/>
                <w:i w:val="0"/>
                <w:iCs w:val="0"/>
                <w:noProof/>
                <w:webHidden/>
              </w:rPr>
              <w:fldChar w:fldCharType="begin"/>
            </w:r>
            <w:r w:rsidR="008F33FD" w:rsidRPr="008F33FD">
              <w:rPr>
                <w:rFonts w:cs="Times New Roman"/>
                <w:b w:val="0"/>
                <w:bCs w:val="0"/>
                <w:i w:val="0"/>
                <w:iCs w:val="0"/>
                <w:noProof/>
                <w:webHidden/>
              </w:rPr>
              <w:instrText xml:space="preserve"> PAGEREF _Toc241147152 \h </w:instrText>
            </w:r>
            <w:r w:rsidR="008F33FD" w:rsidRPr="008F33FD">
              <w:rPr>
                <w:rFonts w:cs="Times New Roman"/>
                <w:b w:val="0"/>
                <w:bCs w:val="0"/>
                <w:i w:val="0"/>
                <w:iCs w:val="0"/>
                <w:noProof/>
                <w:webHidden/>
              </w:rPr>
            </w:r>
            <w:r w:rsidR="008F33FD" w:rsidRPr="008F33FD">
              <w:rPr>
                <w:rFonts w:cs="Times New Roman"/>
                <w:b w:val="0"/>
                <w:bCs w:val="0"/>
                <w:i w:val="0"/>
                <w:iCs w:val="0"/>
                <w:noProof/>
                <w:webHidden/>
              </w:rPr>
              <w:fldChar w:fldCharType="separate"/>
            </w:r>
            <w:r w:rsidR="00603018">
              <w:rPr>
                <w:rFonts w:cs="Times New Roman"/>
                <w:b w:val="0"/>
                <w:bCs w:val="0"/>
                <w:i w:val="0"/>
                <w:iCs w:val="0"/>
                <w:noProof/>
                <w:webHidden/>
              </w:rPr>
              <w:t>2</w:t>
            </w:r>
            <w:r w:rsidR="008F33FD" w:rsidRPr="008F33FD">
              <w:rPr>
                <w:rFonts w:cs="Times New Roman"/>
                <w:b w:val="0"/>
                <w:bCs w:val="0"/>
                <w:i w:val="0"/>
                <w:iCs w:val="0"/>
                <w:noProof/>
                <w:webHidden/>
              </w:rPr>
              <w:fldChar w:fldCharType="end"/>
            </w:r>
          </w:hyperlink>
        </w:p>
        <w:p w14:paraId="4AB62C8A" w14:textId="5393747B" w:rsidR="008F33FD" w:rsidRPr="008F33FD" w:rsidRDefault="009B233B" w:rsidP="008F33FD">
          <w:pPr>
            <w:pStyle w:val="TOC1"/>
            <w:tabs>
              <w:tab w:val="right" w:leader="dot" w:pos="9016"/>
            </w:tabs>
            <w:spacing w:before="0" w:after="120" w:line="360" w:lineRule="auto"/>
            <w:rPr>
              <w:rFonts w:eastAsiaTheme="minorEastAsia" w:cs="Times New Roman"/>
              <w:b w:val="0"/>
              <w:bCs w:val="0"/>
              <w:i w:val="0"/>
              <w:iCs w:val="0"/>
              <w:noProof/>
              <w:color w:val="auto"/>
              <w:kern w:val="0"/>
              <w:lang w:eastAsia="en-GB" w:bidi="ar-SA"/>
              <w14:ligatures w14:val="none"/>
            </w:rPr>
          </w:pPr>
          <w:hyperlink w:anchor="_Toc241147153" w:history="1">
            <w:r w:rsidR="008F33FD" w:rsidRPr="008F33FD">
              <w:rPr>
                <w:rStyle w:val="Hyperlink"/>
                <w:rFonts w:cs="Times New Roman"/>
                <w:b w:val="0"/>
                <w:bCs w:val="0"/>
                <w:i w:val="0"/>
                <w:iCs w:val="0"/>
                <w:noProof/>
                <w:lang w:eastAsia="en-GB" w:bidi="hi-IN"/>
              </w:rPr>
              <w:t>Acknowledgements</w:t>
            </w:r>
            <w:r w:rsidR="008F33FD" w:rsidRPr="008F33FD">
              <w:rPr>
                <w:rFonts w:cs="Times New Roman"/>
                <w:b w:val="0"/>
                <w:bCs w:val="0"/>
                <w:i w:val="0"/>
                <w:iCs w:val="0"/>
                <w:noProof/>
                <w:webHidden/>
              </w:rPr>
              <w:tab/>
            </w:r>
            <w:r w:rsidR="008F33FD" w:rsidRPr="008F33FD">
              <w:rPr>
                <w:rFonts w:cs="Times New Roman"/>
                <w:b w:val="0"/>
                <w:bCs w:val="0"/>
                <w:i w:val="0"/>
                <w:iCs w:val="0"/>
                <w:noProof/>
                <w:webHidden/>
              </w:rPr>
              <w:fldChar w:fldCharType="begin"/>
            </w:r>
            <w:r w:rsidR="008F33FD" w:rsidRPr="008F33FD">
              <w:rPr>
                <w:rFonts w:cs="Times New Roman"/>
                <w:b w:val="0"/>
                <w:bCs w:val="0"/>
                <w:i w:val="0"/>
                <w:iCs w:val="0"/>
                <w:noProof/>
                <w:webHidden/>
              </w:rPr>
              <w:instrText xml:space="preserve"> PAGEREF _Toc241147153 \h </w:instrText>
            </w:r>
            <w:r w:rsidR="008F33FD" w:rsidRPr="008F33FD">
              <w:rPr>
                <w:rFonts w:cs="Times New Roman"/>
                <w:b w:val="0"/>
                <w:bCs w:val="0"/>
                <w:i w:val="0"/>
                <w:iCs w:val="0"/>
                <w:noProof/>
                <w:webHidden/>
              </w:rPr>
            </w:r>
            <w:r w:rsidR="008F33FD" w:rsidRPr="008F33FD">
              <w:rPr>
                <w:rFonts w:cs="Times New Roman"/>
                <w:b w:val="0"/>
                <w:bCs w:val="0"/>
                <w:i w:val="0"/>
                <w:iCs w:val="0"/>
                <w:noProof/>
                <w:webHidden/>
              </w:rPr>
              <w:fldChar w:fldCharType="separate"/>
            </w:r>
            <w:r w:rsidR="00603018">
              <w:rPr>
                <w:rFonts w:cs="Times New Roman"/>
                <w:b w:val="0"/>
                <w:bCs w:val="0"/>
                <w:i w:val="0"/>
                <w:iCs w:val="0"/>
                <w:noProof/>
                <w:webHidden/>
              </w:rPr>
              <w:t>2</w:t>
            </w:r>
            <w:r w:rsidR="008F33FD" w:rsidRPr="008F33FD">
              <w:rPr>
                <w:rFonts w:cs="Times New Roman"/>
                <w:b w:val="0"/>
                <w:bCs w:val="0"/>
                <w:i w:val="0"/>
                <w:iCs w:val="0"/>
                <w:noProof/>
                <w:webHidden/>
              </w:rPr>
              <w:fldChar w:fldCharType="end"/>
            </w:r>
          </w:hyperlink>
        </w:p>
        <w:p w14:paraId="49D790DC" w14:textId="230DD18B" w:rsidR="008F33FD" w:rsidRPr="008F33FD" w:rsidRDefault="009B233B" w:rsidP="008F33FD">
          <w:pPr>
            <w:pStyle w:val="TOC1"/>
            <w:tabs>
              <w:tab w:val="right" w:leader="dot" w:pos="9016"/>
            </w:tabs>
            <w:spacing w:before="0" w:after="120" w:line="360" w:lineRule="auto"/>
            <w:rPr>
              <w:rFonts w:eastAsiaTheme="minorEastAsia" w:cs="Times New Roman"/>
              <w:b w:val="0"/>
              <w:bCs w:val="0"/>
              <w:i w:val="0"/>
              <w:iCs w:val="0"/>
              <w:noProof/>
              <w:color w:val="auto"/>
              <w:kern w:val="0"/>
              <w:lang w:eastAsia="en-GB" w:bidi="ar-SA"/>
              <w14:ligatures w14:val="none"/>
            </w:rPr>
          </w:pPr>
          <w:hyperlink w:anchor="_Toc241147154" w:history="1">
            <w:r w:rsidR="008F33FD" w:rsidRPr="008F33FD">
              <w:rPr>
                <w:rStyle w:val="Hyperlink"/>
                <w:rFonts w:cs="Times New Roman"/>
                <w:b w:val="0"/>
                <w:bCs w:val="0"/>
                <w:i w:val="0"/>
                <w:iCs w:val="0"/>
                <w:noProof/>
              </w:rPr>
              <w:t>Abstract</w:t>
            </w:r>
            <w:r w:rsidR="008F33FD" w:rsidRPr="008F33FD">
              <w:rPr>
                <w:rFonts w:cs="Times New Roman"/>
                <w:b w:val="0"/>
                <w:bCs w:val="0"/>
                <w:i w:val="0"/>
                <w:iCs w:val="0"/>
                <w:noProof/>
                <w:webHidden/>
              </w:rPr>
              <w:tab/>
            </w:r>
            <w:r w:rsidR="008F33FD" w:rsidRPr="008F33FD">
              <w:rPr>
                <w:rFonts w:cs="Times New Roman"/>
                <w:b w:val="0"/>
                <w:bCs w:val="0"/>
                <w:i w:val="0"/>
                <w:iCs w:val="0"/>
                <w:noProof/>
                <w:webHidden/>
              </w:rPr>
              <w:fldChar w:fldCharType="begin"/>
            </w:r>
            <w:r w:rsidR="008F33FD" w:rsidRPr="008F33FD">
              <w:rPr>
                <w:rFonts w:cs="Times New Roman"/>
                <w:b w:val="0"/>
                <w:bCs w:val="0"/>
                <w:i w:val="0"/>
                <w:iCs w:val="0"/>
                <w:noProof/>
                <w:webHidden/>
              </w:rPr>
              <w:instrText xml:space="preserve"> PAGEREF _Toc241147154 \h </w:instrText>
            </w:r>
            <w:r w:rsidR="008F33FD" w:rsidRPr="008F33FD">
              <w:rPr>
                <w:rFonts w:cs="Times New Roman"/>
                <w:b w:val="0"/>
                <w:bCs w:val="0"/>
                <w:i w:val="0"/>
                <w:iCs w:val="0"/>
                <w:noProof/>
                <w:webHidden/>
              </w:rPr>
            </w:r>
            <w:r w:rsidR="008F33FD" w:rsidRPr="008F33FD">
              <w:rPr>
                <w:rFonts w:cs="Times New Roman"/>
                <w:b w:val="0"/>
                <w:bCs w:val="0"/>
                <w:i w:val="0"/>
                <w:iCs w:val="0"/>
                <w:noProof/>
                <w:webHidden/>
              </w:rPr>
              <w:fldChar w:fldCharType="separate"/>
            </w:r>
            <w:r w:rsidR="00603018">
              <w:rPr>
                <w:rFonts w:cs="Times New Roman"/>
                <w:b w:val="0"/>
                <w:bCs w:val="0"/>
                <w:i w:val="0"/>
                <w:iCs w:val="0"/>
                <w:noProof/>
                <w:webHidden/>
              </w:rPr>
              <w:t>2</w:t>
            </w:r>
            <w:r w:rsidR="008F33FD" w:rsidRPr="008F33FD">
              <w:rPr>
                <w:rFonts w:cs="Times New Roman"/>
                <w:b w:val="0"/>
                <w:bCs w:val="0"/>
                <w:i w:val="0"/>
                <w:iCs w:val="0"/>
                <w:noProof/>
                <w:webHidden/>
              </w:rPr>
              <w:fldChar w:fldCharType="end"/>
            </w:r>
          </w:hyperlink>
        </w:p>
        <w:p w14:paraId="6DDD22E2" w14:textId="18B2C494" w:rsidR="008F33FD" w:rsidRPr="008F33FD" w:rsidRDefault="009B233B" w:rsidP="008F33FD">
          <w:pPr>
            <w:pStyle w:val="TOC1"/>
            <w:tabs>
              <w:tab w:val="right" w:leader="dot" w:pos="9016"/>
            </w:tabs>
            <w:spacing w:before="0" w:after="120" w:line="360" w:lineRule="auto"/>
            <w:rPr>
              <w:rFonts w:eastAsiaTheme="minorEastAsia" w:cs="Times New Roman"/>
              <w:b w:val="0"/>
              <w:bCs w:val="0"/>
              <w:i w:val="0"/>
              <w:iCs w:val="0"/>
              <w:noProof/>
              <w:color w:val="auto"/>
              <w:kern w:val="0"/>
              <w:lang w:eastAsia="en-GB" w:bidi="ar-SA"/>
              <w14:ligatures w14:val="none"/>
            </w:rPr>
          </w:pPr>
          <w:hyperlink w:anchor="_Toc241147155" w:history="1">
            <w:r w:rsidR="008F33FD" w:rsidRPr="008F33FD">
              <w:rPr>
                <w:rStyle w:val="Hyperlink"/>
                <w:rFonts w:cs="Times New Roman"/>
                <w:b w:val="0"/>
                <w:bCs w:val="0"/>
                <w:i w:val="0"/>
                <w:iCs w:val="0"/>
                <w:noProof/>
              </w:rPr>
              <w:t>Table of Contents</w:t>
            </w:r>
            <w:r w:rsidR="008F33FD" w:rsidRPr="008F33FD">
              <w:rPr>
                <w:rFonts w:cs="Times New Roman"/>
                <w:b w:val="0"/>
                <w:bCs w:val="0"/>
                <w:i w:val="0"/>
                <w:iCs w:val="0"/>
                <w:noProof/>
                <w:webHidden/>
              </w:rPr>
              <w:tab/>
            </w:r>
            <w:r w:rsidR="008F33FD" w:rsidRPr="008F33FD">
              <w:rPr>
                <w:rFonts w:cs="Times New Roman"/>
                <w:b w:val="0"/>
                <w:bCs w:val="0"/>
                <w:i w:val="0"/>
                <w:iCs w:val="0"/>
                <w:noProof/>
                <w:webHidden/>
              </w:rPr>
              <w:fldChar w:fldCharType="begin"/>
            </w:r>
            <w:r w:rsidR="008F33FD" w:rsidRPr="008F33FD">
              <w:rPr>
                <w:rFonts w:cs="Times New Roman"/>
                <w:b w:val="0"/>
                <w:bCs w:val="0"/>
                <w:i w:val="0"/>
                <w:iCs w:val="0"/>
                <w:noProof/>
                <w:webHidden/>
              </w:rPr>
              <w:instrText xml:space="preserve"> PAGEREF _Toc241147155 \h </w:instrText>
            </w:r>
            <w:r w:rsidR="008F33FD" w:rsidRPr="008F33FD">
              <w:rPr>
                <w:rFonts w:cs="Times New Roman"/>
                <w:b w:val="0"/>
                <w:bCs w:val="0"/>
                <w:i w:val="0"/>
                <w:iCs w:val="0"/>
                <w:noProof/>
                <w:webHidden/>
              </w:rPr>
            </w:r>
            <w:r w:rsidR="008F33FD" w:rsidRPr="008F33FD">
              <w:rPr>
                <w:rFonts w:cs="Times New Roman"/>
                <w:b w:val="0"/>
                <w:bCs w:val="0"/>
                <w:i w:val="0"/>
                <w:iCs w:val="0"/>
                <w:noProof/>
                <w:webHidden/>
              </w:rPr>
              <w:fldChar w:fldCharType="separate"/>
            </w:r>
            <w:r w:rsidR="00603018">
              <w:rPr>
                <w:rFonts w:cs="Times New Roman"/>
                <w:b w:val="0"/>
                <w:bCs w:val="0"/>
                <w:i w:val="0"/>
                <w:iCs w:val="0"/>
                <w:noProof/>
                <w:webHidden/>
              </w:rPr>
              <w:t>2</w:t>
            </w:r>
            <w:r w:rsidR="008F33FD" w:rsidRPr="008F33FD">
              <w:rPr>
                <w:rFonts w:cs="Times New Roman"/>
                <w:b w:val="0"/>
                <w:bCs w:val="0"/>
                <w:i w:val="0"/>
                <w:iCs w:val="0"/>
                <w:noProof/>
                <w:webHidden/>
              </w:rPr>
              <w:fldChar w:fldCharType="end"/>
            </w:r>
          </w:hyperlink>
        </w:p>
        <w:p w14:paraId="57902592" w14:textId="433CCEE6" w:rsidR="008F33FD" w:rsidRPr="008F33FD" w:rsidRDefault="009B233B" w:rsidP="008F33FD">
          <w:pPr>
            <w:pStyle w:val="TOC1"/>
            <w:tabs>
              <w:tab w:val="right" w:leader="dot" w:pos="9016"/>
            </w:tabs>
            <w:spacing w:before="0" w:after="120" w:line="360" w:lineRule="auto"/>
            <w:rPr>
              <w:rFonts w:eastAsiaTheme="minorEastAsia" w:cs="Times New Roman"/>
              <w:b w:val="0"/>
              <w:bCs w:val="0"/>
              <w:i w:val="0"/>
              <w:iCs w:val="0"/>
              <w:noProof/>
              <w:color w:val="auto"/>
              <w:kern w:val="0"/>
              <w:lang w:eastAsia="en-GB" w:bidi="ar-SA"/>
              <w14:ligatures w14:val="none"/>
            </w:rPr>
          </w:pPr>
          <w:hyperlink w:anchor="_Toc241147156" w:history="1">
            <w:r w:rsidR="008F33FD" w:rsidRPr="008F33FD">
              <w:rPr>
                <w:rStyle w:val="Hyperlink"/>
                <w:rFonts w:cs="Times New Roman"/>
                <w:b w:val="0"/>
                <w:bCs w:val="0"/>
                <w:i w:val="0"/>
                <w:iCs w:val="0"/>
                <w:noProof/>
              </w:rPr>
              <w:t>List of Figures</w:t>
            </w:r>
            <w:r w:rsidR="008F33FD" w:rsidRPr="008F33FD">
              <w:rPr>
                <w:rFonts w:cs="Times New Roman"/>
                <w:b w:val="0"/>
                <w:bCs w:val="0"/>
                <w:i w:val="0"/>
                <w:iCs w:val="0"/>
                <w:noProof/>
                <w:webHidden/>
              </w:rPr>
              <w:tab/>
            </w:r>
            <w:r w:rsidR="008F33FD" w:rsidRPr="008F33FD">
              <w:rPr>
                <w:rFonts w:cs="Times New Roman"/>
                <w:b w:val="0"/>
                <w:bCs w:val="0"/>
                <w:i w:val="0"/>
                <w:iCs w:val="0"/>
                <w:noProof/>
                <w:webHidden/>
              </w:rPr>
              <w:fldChar w:fldCharType="begin"/>
            </w:r>
            <w:r w:rsidR="008F33FD" w:rsidRPr="008F33FD">
              <w:rPr>
                <w:rFonts w:cs="Times New Roman"/>
                <w:b w:val="0"/>
                <w:bCs w:val="0"/>
                <w:i w:val="0"/>
                <w:iCs w:val="0"/>
                <w:noProof/>
                <w:webHidden/>
              </w:rPr>
              <w:instrText xml:space="preserve"> PAGEREF _Toc241147156 \h </w:instrText>
            </w:r>
            <w:r w:rsidR="008F33FD" w:rsidRPr="008F33FD">
              <w:rPr>
                <w:rFonts w:cs="Times New Roman"/>
                <w:b w:val="0"/>
                <w:bCs w:val="0"/>
                <w:i w:val="0"/>
                <w:iCs w:val="0"/>
                <w:noProof/>
                <w:webHidden/>
              </w:rPr>
            </w:r>
            <w:r w:rsidR="008F33FD" w:rsidRPr="008F33FD">
              <w:rPr>
                <w:rFonts w:cs="Times New Roman"/>
                <w:b w:val="0"/>
                <w:bCs w:val="0"/>
                <w:i w:val="0"/>
                <w:iCs w:val="0"/>
                <w:noProof/>
                <w:webHidden/>
              </w:rPr>
              <w:fldChar w:fldCharType="separate"/>
            </w:r>
            <w:r w:rsidR="00603018">
              <w:rPr>
                <w:rFonts w:cs="Times New Roman"/>
                <w:b w:val="0"/>
                <w:bCs w:val="0"/>
                <w:i w:val="0"/>
                <w:iCs w:val="0"/>
                <w:noProof/>
                <w:webHidden/>
              </w:rPr>
              <w:t>2</w:t>
            </w:r>
            <w:r w:rsidR="008F33FD" w:rsidRPr="008F33FD">
              <w:rPr>
                <w:rFonts w:cs="Times New Roman"/>
                <w:b w:val="0"/>
                <w:bCs w:val="0"/>
                <w:i w:val="0"/>
                <w:iCs w:val="0"/>
                <w:noProof/>
                <w:webHidden/>
              </w:rPr>
              <w:fldChar w:fldCharType="end"/>
            </w:r>
          </w:hyperlink>
        </w:p>
        <w:p w14:paraId="4FFE3A6A" w14:textId="5F743E66" w:rsidR="008F33FD" w:rsidRPr="008F33FD" w:rsidRDefault="009B233B" w:rsidP="008F33FD">
          <w:pPr>
            <w:pStyle w:val="TOC1"/>
            <w:tabs>
              <w:tab w:val="right" w:leader="dot" w:pos="9016"/>
            </w:tabs>
            <w:spacing w:before="0" w:after="120" w:line="360" w:lineRule="auto"/>
            <w:rPr>
              <w:rFonts w:eastAsiaTheme="minorEastAsia" w:cs="Times New Roman"/>
              <w:b w:val="0"/>
              <w:bCs w:val="0"/>
              <w:i w:val="0"/>
              <w:iCs w:val="0"/>
              <w:noProof/>
              <w:color w:val="auto"/>
              <w:kern w:val="0"/>
              <w:lang w:eastAsia="en-GB" w:bidi="ar-SA"/>
              <w14:ligatures w14:val="none"/>
            </w:rPr>
          </w:pPr>
          <w:hyperlink w:anchor="_Toc241147157" w:history="1">
            <w:r w:rsidR="008F33FD" w:rsidRPr="008F33FD">
              <w:rPr>
                <w:rStyle w:val="Hyperlink"/>
                <w:rFonts w:cs="Times New Roman"/>
                <w:b w:val="0"/>
                <w:bCs w:val="0"/>
                <w:i w:val="0"/>
                <w:iCs w:val="0"/>
                <w:noProof/>
              </w:rPr>
              <w:t>List of Tables</w:t>
            </w:r>
            <w:r w:rsidR="008F33FD" w:rsidRPr="008F33FD">
              <w:rPr>
                <w:rFonts w:cs="Times New Roman"/>
                <w:b w:val="0"/>
                <w:bCs w:val="0"/>
                <w:i w:val="0"/>
                <w:iCs w:val="0"/>
                <w:noProof/>
                <w:webHidden/>
              </w:rPr>
              <w:tab/>
            </w:r>
            <w:r w:rsidR="008F33FD" w:rsidRPr="008F33FD">
              <w:rPr>
                <w:rFonts w:cs="Times New Roman"/>
                <w:b w:val="0"/>
                <w:bCs w:val="0"/>
                <w:i w:val="0"/>
                <w:iCs w:val="0"/>
                <w:noProof/>
                <w:webHidden/>
              </w:rPr>
              <w:fldChar w:fldCharType="begin"/>
            </w:r>
            <w:r w:rsidR="008F33FD" w:rsidRPr="008F33FD">
              <w:rPr>
                <w:rFonts w:cs="Times New Roman"/>
                <w:b w:val="0"/>
                <w:bCs w:val="0"/>
                <w:i w:val="0"/>
                <w:iCs w:val="0"/>
                <w:noProof/>
                <w:webHidden/>
              </w:rPr>
              <w:instrText xml:space="preserve"> PAGEREF _Toc241147157 \h </w:instrText>
            </w:r>
            <w:r w:rsidR="008F33FD" w:rsidRPr="008F33FD">
              <w:rPr>
                <w:rFonts w:cs="Times New Roman"/>
                <w:b w:val="0"/>
                <w:bCs w:val="0"/>
                <w:i w:val="0"/>
                <w:iCs w:val="0"/>
                <w:noProof/>
                <w:webHidden/>
              </w:rPr>
            </w:r>
            <w:r w:rsidR="008F33FD" w:rsidRPr="008F33FD">
              <w:rPr>
                <w:rFonts w:cs="Times New Roman"/>
                <w:b w:val="0"/>
                <w:bCs w:val="0"/>
                <w:i w:val="0"/>
                <w:iCs w:val="0"/>
                <w:noProof/>
                <w:webHidden/>
              </w:rPr>
              <w:fldChar w:fldCharType="separate"/>
            </w:r>
            <w:r w:rsidR="00603018">
              <w:rPr>
                <w:rFonts w:cs="Times New Roman"/>
                <w:b w:val="0"/>
                <w:bCs w:val="0"/>
                <w:i w:val="0"/>
                <w:iCs w:val="0"/>
                <w:noProof/>
                <w:webHidden/>
              </w:rPr>
              <w:t>2</w:t>
            </w:r>
            <w:r w:rsidR="008F33FD" w:rsidRPr="008F33FD">
              <w:rPr>
                <w:rFonts w:cs="Times New Roman"/>
                <w:b w:val="0"/>
                <w:bCs w:val="0"/>
                <w:i w:val="0"/>
                <w:iCs w:val="0"/>
                <w:noProof/>
                <w:webHidden/>
              </w:rPr>
              <w:fldChar w:fldCharType="end"/>
            </w:r>
          </w:hyperlink>
        </w:p>
        <w:p w14:paraId="6713CF52" w14:textId="2BEAB7E9" w:rsidR="008F33FD" w:rsidRPr="008F33FD" w:rsidRDefault="009B233B" w:rsidP="008F33FD">
          <w:pPr>
            <w:pStyle w:val="TOC1"/>
            <w:tabs>
              <w:tab w:val="right" w:leader="dot" w:pos="9016"/>
            </w:tabs>
            <w:spacing w:before="0" w:after="120" w:line="360" w:lineRule="auto"/>
            <w:rPr>
              <w:rFonts w:eastAsiaTheme="minorEastAsia" w:cs="Times New Roman"/>
              <w:b w:val="0"/>
              <w:bCs w:val="0"/>
              <w:i w:val="0"/>
              <w:iCs w:val="0"/>
              <w:noProof/>
              <w:color w:val="auto"/>
              <w:kern w:val="0"/>
              <w:lang w:eastAsia="en-GB" w:bidi="ar-SA"/>
              <w14:ligatures w14:val="none"/>
            </w:rPr>
          </w:pPr>
          <w:hyperlink w:anchor="_Toc241147158" w:history="1">
            <w:r w:rsidR="008F33FD" w:rsidRPr="008F33FD">
              <w:rPr>
                <w:rStyle w:val="Hyperlink"/>
                <w:rFonts w:cs="Times New Roman"/>
                <w:b w:val="0"/>
                <w:bCs w:val="0"/>
                <w:i w:val="0"/>
                <w:iCs w:val="0"/>
                <w:noProof/>
                <w:lang w:eastAsia="en-GB" w:bidi="hi-IN"/>
              </w:rPr>
              <w:t>Chapter One: Introduction</w:t>
            </w:r>
            <w:r w:rsidR="008F33FD" w:rsidRPr="008F33FD">
              <w:rPr>
                <w:rFonts w:cs="Times New Roman"/>
                <w:b w:val="0"/>
                <w:bCs w:val="0"/>
                <w:i w:val="0"/>
                <w:iCs w:val="0"/>
                <w:noProof/>
                <w:webHidden/>
              </w:rPr>
              <w:tab/>
            </w:r>
            <w:r w:rsidR="008F33FD" w:rsidRPr="008F33FD">
              <w:rPr>
                <w:rFonts w:cs="Times New Roman"/>
                <w:b w:val="0"/>
                <w:bCs w:val="0"/>
                <w:i w:val="0"/>
                <w:iCs w:val="0"/>
                <w:noProof/>
                <w:webHidden/>
              </w:rPr>
              <w:fldChar w:fldCharType="begin"/>
            </w:r>
            <w:r w:rsidR="008F33FD" w:rsidRPr="008F33FD">
              <w:rPr>
                <w:rFonts w:cs="Times New Roman"/>
                <w:b w:val="0"/>
                <w:bCs w:val="0"/>
                <w:i w:val="0"/>
                <w:iCs w:val="0"/>
                <w:noProof/>
                <w:webHidden/>
              </w:rPr>
              <w:instrText xml:space="preserve"> PAGEREF _Toc241147158 \h </w:instrText>
            </w:r>
            <w:r w:rsidR="008F33FD" w:rsidRPr="008F33FD">
              <w:rPr>
                <w:rFonts w:cs="Times New Roman"/>
                <w:b w:val="0"/>
                <w:bCs w:val="0"/>
                <w:i w:val="0"/>
                <w:iCs w:val="0"/>
                <w:noProof/>
                <w:webHidden/>
              </w:rPr>
            </w:r>
            <w:r w:rsidR="008F33FD" w:rsidRPr="008F33FD">
              <w:rPr>
                <w:rFonts w:cs="Times New Roman"/>
                <w:b w:val="0"/>
                <w:bCs w:val="0"/>
                <w:i w:val="0"/>
                <w:iCs w:val="0"/>
                <w:noProof/>
                <w:webHidden/>
              </w:rPr>
              <w:fldChar w:fldCharType="separate"/>
            </w:r>
            <w:r w:rsidR="00603018">
              <w:rPr>
                <w:rFonts w:cs="Times New Roman"/>
                <w:b w:val="0"/>
                <w:bCs w:val="0"/>
                <w:i w:val="0"/>
                <w:iCs w:val="0"/>
                <w:noProof/>
                <w:webHidden/>
              </w:rPr>
              <w:t>2</w:t>
            </w:r>
            <w:r w:rsidR="008F33FD" w:rsidRPr="008F33FD">
              <w:rPr>
                <w:rFonts w:cs="Times New Roman"/>
                <w:b w:val="0"/>
                <w:bCs w:val="0"/>
                <w:i w:val="0"/>
                <w:iCs w:val="0"/>
                <w:noProof/>
                <w:webHidden/>
              </w:rPr>
              <w:fldChar w:fldCharType="end"/>
            </w:r>
          </w:hyperlink>
        </w:p>
        <w:p w14:paraId="7E055C52" w14:textId="5E07DFF6"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59" w:history="1">
            <w:r w:rsidR="008F33FD" w:rsidRPr="008F33FD">
              <w:rPr>
                <w:rStyle w:val="Hyperlink"/>
                <w:rFonts w:cs="Times New Roman"/>
                <w:b w:val="0"/>
                <w:bCs w:val="0"/>
                <w:noProof/>
                <w:sz w:val="24"/>
                <w:szCs w:val="24"/>
                <w:lang w:eastAsia="en-GB" w:bidi="hi-IN"/>
              </w:rPr>
              <w:t>1.1 Background of the study</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_Toc241147159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2EB3A655" w14:textId="64CB7625"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60" w:history="1">
            <w:r w:rsidR="008F33FD" w:rsidRPr="008F33FD">
              <w:rPr>
                <w:rStyle w:val="Hyperlink"/>
                <w:rFonts w:cs="Times New Roman"/>
                <w:b w:val="0"/>
                <w:bCs w:val="0"/>
                <w:noProof/>
                <w:sz w:val="24"/>
                <w:szCs w:val="24"/>
                <w:lang w:eastAsia="en-GB" w:bidi="hi-IN"/>
              </w:rPr>
              <w:t>1.2 Problem Statement</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_Toc241147160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3D00DE20" w14:textId="120ED6E6"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61" w:history="1">
            <w:r w:rsidR="008F33FD" w:rsidRPr="008F33FD">
              <w:rPr>
                <w:rStyle w:val="Hyperlink"/>
                <w:rFonts w:cs="Times New Roman"/>
                <w:b w:val="0"/>
                <w:bCs w:val="0"/>
                <w:noProof/>
                <w:sz w:val="24"/>
                <w:szCs w:val="24"/>
                <w:lang w:eastAsia="en-GB" w:bidi="hi-IN"/>
              </w:rPr>
              <w:t>1.3 Research Rationale</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_Toc241147161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655643E5" w14:textId="4600378C"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62" w:history="1">
            <w:r w:rsidR="008F33FD" w:rsidRPr="008F33FD">
              <w:rPr>
                <w:rStyle w:val="Hyperlink"/>
                <w:rFonts w:cs="Times New Roman"/>
                <w:b w:val="0"/>
                <w:bCs w:val="0"/>
                <w:noProof/>
                <w:sz w:val="24"/>
                <w:szCs w:val="24"/>
                <w:lang w:eastAsia="en-GB" w:bidi="hi-IN"/>
              </w:rPr>
              <w:t>1.4 Research Aim</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_Toc241147162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397792F7" w14:textId="215432DC"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63" w:history="1">
            <w:r w:rsidR="008F33FD" w:rsidRPr="008F33FD">
              <w:rPr>
                <w:rStyle w:val="Hyperlink"/>
                <w:rFonts w:cs="Times New Roman"/>
                <w:b w:val="0"/>
                <w:bCs w:val="0"/>
                <w:noProof/>
                <w:sz w:val="24"/>
                <w:szCs w:val="24"/>
                <w:lang w:eastAsia="en-GB" w:bidi="hi-IN"/>
              </w:rPr>
              <w:t>1.5 Research Objectives</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_Toc241147163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3B4DE15A" w14:textId="673F5783"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64" w:history="1">
            <w:r w:rsidR="008F33FD" w:rsidRPr="008F33FD">
              <w:rPr>
                <w:rStyle w:val="Hyperlink"/>
                <w:rFonts w:cs="Times New Roman"/>
                <w:b w:val="0"/>
                <w:bCs w:val="0"/>
                <w:noProof/>
                <w:sz w:val="24"/>
                <w:szCs w:val="24"/>
                <w:lang w:eastAsia="en-GB" w:bidi="hi-IN"/>
              </w:rPr>
              <w:t>1.6 Research Question</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_Toc241147164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35CB0872" w14:textId="0A5DCF5F"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65" w:history="1">
            <w:r w:rsidR="008F33FD" w:rsidRPr="008F33FD">
              <w:rPr>
                <w:rStyle w:val="Hyperlink"/>
                <w:rFonts w:cs="Times New Roman"/>
                <w:b w:val="0"/>
                <w:bCs w:val="0"/>
                <w:noProof/>
                <w:sz w:val="24"/>
                <w:szCs w:val="24"/>
                <w:lang w:eastAsia="en-GB" w:bidi="hi-IN"/>
              </w:rPr>
              <w:t>1.7 Summary of Research Methodology</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_Toc241147165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490FD395" w14:textId="49889A3D" w:rsidR="008F33FD" w:rsidRPr="008F33FD" w:rsidRDefault="009B233B" w:rsidP="008F33FD">
          <w:pPr>
            <w:pStyle w:val="TOC1"/>
            <w:tabs>
              <w:tab w:val="right" w:leader="dot" w:pos="9016"/>
            </w:tabs>
            <w:spacing w:before="0" w:after="120" w:line="360" w:lineRule="auto"/>
            <w:rPr>
              <w:rFonts w:eastAsiaTheme="minorEastAsia" w:cs="Times New Roman"/>
              <w:b w:val="0"/>
              <w:bCs w:val="0"/>
              <w:i w:val="0"/>
              <w:iCs w:val="0"/>
              <w:noProof/>
              <w:color w:val="auto"/>
              <w:kern w:val="0"/>
              <w:lang w:eastAsia="en-GB" w:bidi="ar-SA"/>
              <w14:ligatures w14:val="none"/>
            </w:rPr>
          </w:pPr>
          <w:hyperlink w:anchor="_Toc241147166" w:history="1">
            <w:r w:rsidR="008F33FD" w:rsidRPr="008F33FD">
              <w:rPr>
                <w:rStyle w:val="Hyperlink"/>
                <w:rFonts w:cs="Times New Roman"/>
                <w:b w:val="0"/>
                <w:bCs w:val="0"/>
                <w:i w:val="0"/>
                <w:iCs w:val="0"/>
                <w:noProof/>
              </w:rPr>
              <w:t>Chapter Two: Literature Review</w:t>
            </w:r>
            <w:r w:rsidR="008F33FD" w:rsidRPr="008F33FD">
              <w:rPr>
                <w:rFonts w:cs="Times New Roman"/>
                <w:b w:val="0"/>
                <w:bCs w:val="0"/>
                <w:i w:val="0"/>
                <w:iCs w:val="0"/>
                <w:noProof/>
                <w:webHidden/>
              </w:rPr>
              <w:tab/>
            </w:r>
            <w:r w:rsidR="008F33FD" w:rsidRPr="008F33FD">
              <w:rPr>
                <w:rFonts w:cs="Times New Roman"/>
                <w:b w:val="0"/>
                <w:bCs w:val="0"/>
                <w:i w:val="0"/>
                <w:iCs w:val="0"/>
                <w:noProof/>
                <w:webHidden/>
              </w:rPr>
              <w:fldChar w:fldCharType="begin"/>
            </w:r>
            <w:r w:rsidR="008F33FD" w:rsidRPr="008F33FD">
              <w:rPr>
                <w:rFonts w:cs="Times New Roman"/>
                <w:b w:val="0"/>
                <w:bCs w:val="0"/>
                <w:i w:val="0"/>
                <w:iCs w:val="0"/>
                <w:noProof/>
                <w:webHidden/>
              </w:rPr>
              <w:instrText xml:space="preserve"> PAGEREF _Toc241147166 \h </w:instrText>
            </w:r>
            <w:r w:rsidR="008F33FD" w:rsidRPr="008F33FD">
              <w:rPr>
                <w:rFonts w:cs="Times New Roman"/>
                <w:b w:val="0"/>
                <w:bCs w:val="0"/>
                <w:i w:val="0"/>
                <w:iCs w:val="0"/>
                <w:noProof/>
                <w:webHidden/>
              </w:rPr>
            </w:r>
            <w:r w:rsidR="008F33FD" w:rsidRPr="008F33FD">
              <w:rPr>
                <w:rFonts w:cs="Times New Roman"/>
                <w:b w:val="0"/>
                <w:bCs w:val="0"/>
                <w:i w:val="0"/>
                <w:iCs w:val="0"/>
                <w:noProof/>
                <w:webHidden/>
              </w:rPr>
              <w:fldChar w:fldCharType="separate"/>
            </w:r>
            <w:r w:rsidR="00603018">
              <w:rPr>
                <w:rFonts w:cs="Times New Roman"/>
                <w:b w:val="0"/>
                <w:bCs w:val="0"/>
                <w:i w:val="0"/>
                <w:iCs w:val="0"/>
                <w:noProof/>
                <w:webHidden/>
              </w:rPr>
              <w:t>2</w:t>
            </w:r>
            <w:r w:rsidR="008F33FD" w:rsidRPr="008F33FD">
              <w:rPr>
                <w:rFonts w:cs="Times New Roman"/>
                <w:b w:val="0"/>
                <w:bCs w:val="0"/>
                <w:i w:val="0"/>
                <w:iCs w:val="0"/>
                <w:noProof/>
                <w:webHidden/>
              </w:rPr>
              <w:fldChar w:fldCharType="end"/>
            </w:r>
          </w:hyperlink>
        </w:p>
        <w:p w14:paraId="7F34D09E" w14:textId="30DC4B3E"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67" w:history="1">
            <w:r w:rsidR="008F33FD" w:rsidRPr="008F33FD">
              <w:rPr>
                <w:rStyle w:val="Hyperlink"/>
                <w:rFonts w:cs="Times New Roman"/>
                <w:b w:val="0"/>
                <w:bCs w:val="0"/>
                <w:noProof/>
                <w:sz w:val="24"/>
                <w:szCs w:val="24"/>
              </w:rPr>
              <w:t>2.1 Introduction</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_Toc241147167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28344745" w14:textId="3077BC99"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68" w:history="1">
            <w:r w:rsidR="008F33FD" w:rsidRPr="008F33FD">
              <w:rPr>
                <w:rStyle w:val="Hyperlink"/>
                <w:rFonts w:cs="Times New Roman"/>
                <w:b w:val="0"/>
                <w:bCs w:val="0"/>
                <w:noProof/>
                <w:sz w:val="24"/>
                <w:szCs w:val="24"/>
              </w:rPr>
              <w:t>2.2 Theoretical Frameworks Underpinning Sustainable Consumption</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_Toc241147168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789EDDEE" w14:textId="7B27CDED"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169" w:history="1">
            <w:r w:rsidR="008F33FD" w:rsidRPr="008F33FD">
              <w:rPr>
                <w:rStyle w:val="Hyperlink"/>
                <w:rFonts w:ascii="Times New Roman" w:hAnsi="Times New Roman" w:cs="Times New Roman"/>
                <w:noProof/>
                <w:sz w:val="24"/>
                <w:szCs w:val="24"/>
              </w:rPr>
              <w:t>2.2.1 The Classical Theory of Planned Behaviour (TPB)</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_Toc241147169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01B4F8B0" w14:textId="3470E12C"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170" w:history="1">
            <w:r w:rsidR="008F33FD" w:rsidRPr="008F33FD">
              <w:rPr>
                <w:rStyle w:val="Hyperlink"/>
                <w:rFonts w:ascii="Times New Roman" w:hAnsi="Times New Roman" w:cs="Times New Roman"/>
                <w:noProof/>
                <w:sz w:val="24"/>
                <w:szCs w:val="24"/>
              </w:rPr>
              <w:t>2.2.2 Extending the TPB: Perceived Risk and Environmental Concern</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_Toc241147170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16B529EB" w14:textId="349DD363"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171" w:history="1">
            <w:r w:rsidR="008F33FD" w:rsidRPr="008F33FD">
              <w:rPr>
                <w:rStyle w:val="Hyperlink"/>
                <w:rFonts w:ascii="Times New Roman" w:hAnsi="Times New Roman" w:cs="Times New Roman"/>
                <w:noProof/>
                <w:sz w:val="24"/>
                <w:szCs w:val="24"/>
              </w:rPr>
              <w:t>2.2.3 The Imperative of a Trust-Mediation Model</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_Toc241147171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3F15D5C5" w14:textId="50F7593E"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72" w:history="1">
            <w:r w:rsidR="008F33FD" w:rsidRPr="008F33FD">
              <w:rPr>
                <w:rStyle w:val="Hyperlink"/>
                <w:rFonts w:cs="Times New Roman"/>
                <w:b w:val="0"/>
                <w:bCs w:val="0"/>
                <w:noProof/>
                <w:sz w:val="24"/>
                <w:szCs w:val="24"/>
              </w:rPr>
              <w:t>2.3 Dimensions and Drivers of Greenwashing Scepticism</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_Toc241147172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43B6B64A" w14:textId="50DADCCB"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173" w:history="1">
            <w:r w:rsidR="008F33FD" w:rsidRPr="008F33FD">
              <w:rPr>
                <w:rStyle w:val="Hyperlink"/>
                <w:rFonts w:ascii="Times New Roman" w:hAnsi="Times New Roman" w:cs="Times New Roman"/>
                <w:noProof/>
                <w:sz w:val="24"/>
                <w:szCs w:val="24"/>
              </w:rPr>
              <w:t>2.3.1 Critical Conceptualisation of Greenwashing and Cognitive Dissonance</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_Toc241147173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537C18E9" w14:textId="1BCEE87C"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174" w:history="1">
            <w:r w:rsidR="008F33FD" w:rsidRPr="008F33FD">
              <w:rPr>
                <w:rStyle w:val="Hyperlink"/>
                <w:rFonts w:ascii="Times New Roman" w:hAnsi="Times New Roman" w:cs="Times New Roman"/>
                <w:noProof/>
                <w:sz w:val="24"/>
                <w:szCs w:val="24"/>
              </w:rPr>
              <w:t>2.3.2 The Detection of Deception and the Cultivation of Scepticism</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_Toc241147174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5AD48F4A" w14:textId="49ADAD8F"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175" w:history="1">
            <w:r w:rsidR="008F33FD" w:rsidRPr="008F33FD">
              <w:rPr>
                <w:rStyle w:val="Hyperlink"/>
                <w:rFonts w:ascii="Times New Roman" w:hAnsi="Times New Roman" w:cs="Times New Roman"/>
                <w:noProof/>
                <w:sz w:val="24"/>
                <w:szCs w:val="24"/>
              </w:rPr>
              <w:t>2.3.3 Theoretical Conflicts: Brand-Specific vs. Industry-Wide Spillover</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_Toc241147175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2789F242" w14:textId="3072CBC0"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176" w:history="1">
            <w:r w:rsidR="008F33FD" w:rsidRPr="008F33FD">
              <w:rPr>
                <w:rStyle w:val="Hyperlink"/>
                <w:rFonts w:ascii="Times New Roman" w:hAnsi="Times New Roman" w:cs="Times New Roman"/>
                <w:noProof/>
                <w:sz w:val="24"/>
                <w:szCs w:val="24"/>
              </w:rPr>
              <w:t>2.3.4 Contextualising Scepticism within the UK Fast Fashion Reality</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_Toc241147176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721FA8C9" w14:textId="611F8F1A"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77" w:history="1">
            <w:r w:rsidR="008F33FD" w:rsidRPr="008F33FD">
              <w:rPr>
                <w:rStyle w:val="Hyperlink"/>
                <w:rFonts w:cs="Times New Roman"/>
                <w:b w:val="0"/>
                <w:bCs w:val="0"/>
                <w:noProof/>
                <w:sz w:val="24"/>
                <w:szCs w:val="24"/>
              </w:rPr>
              <w:t>2.4 The Impact of Greenwashing Scepticism on Consumer Trust</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_Toc241147177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439B2CEB" w14:textId="2DB8D6FC"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178" w:history="1">
            <w:r w:rsidR="008F33FD" w:rsidRPr="008F33FD">
              <w:rPr>
                <w:rStyle w:val="Hyperlink"/>
                <w:rFonts w:ascii="Times New Roman" w:hAnsi="Times New Roman" w:cs="Times New Roman"/>
                <w:noProof/>
                <w:sz w:val="24"/>
                <w:szCs w:val="24"/>
              </w:rPr>
              <w:t>2.4.1 Defining Consumer Trust in the Green Marketing Paradigm</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_Toc241147178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3316FDA0" w14:textId="024D2049"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179" w:history="1">
            <w:r w:rsidR="008F33FD" w:rsidRPr="008F33FD">
              <w:rPr>
                <w:rStyle w:val="Hyperlink"/>
                <w:rFonts w:ascii="Times New Roman" w:hAnsi="Times New Roman" w:cs="Times New Roman"/>
                <w:noProof/>
                <w:sz w:val="24"/>
                <w:szCs w:val="24"/>
              </w:rPr>
              <w:t>2.4.2 The Destructive Mechanics: Scepticism and Belief Disconfirmation</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_Toc241147179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140CBD31" w14:textId="11BC7B40"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180" w:history="1">
            <w:r w:rsidR="008F33FD" w:rsidRPr="008F33FD">
              <w:rPr>
                <w:rStyle w:val="Hyperlink"/>
                <w:rFonts w:ascii="Times New Roman" w:hAnsi="Times New Roman" w:cs="Times New Roman"/>
                <w:noProof/>
                <w:sz w:val="24"/>
                <w:szCs w:val="24"/>
              </w:rPr>
              <w:t>2.4.3 Theoretical Gaps: The Quantification of Environmental Trust in the UK Demographic</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_Toc241147180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47C2C104" w14:textId="18D59415"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81" w:history="1">
            <w:r w:rsidR="008F33FD" w:rsidRPr="008F33FD">
              <w:rPr>
                <w:rStyle w:val="Hyperlink"/>
                <w:rFonts w:cs="Times New Roman"/>
                <w:b w:val="0"/>
                <w:bCs w:val="0"/>
                <w:noProof/>
                <w:sz w:val="24"/>
                <w:szCs w:val="24"/>
              </w:rPr>
              <w:t>2.5 Consumer Trust and Sustainable Purchase Intentions</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_Toc241147181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1573837B" w14:textId="66C3E689"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182" w:history="1">
            <w:r w:rsidR="008F33FD" w:rsidRPr="008F33FD">
              <w:rPr>
                <w:rStyle w:val="Hyperlink"/>
                <w:rFonts w:ascii="Times New Roman" w:hAnsi="Times New Roman" w:cs="Times New Roman"/>
                <w:noProof/>
                <w:sz w:val="24"/>
                <w:szCs w:val="24"/>
              </w:rPr>
              <w:t>2.5.1 The Attitude-Behaviour Gap in Sustainable Consumption</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_Toc241147182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0B87D509" w14:textId="57E5C736"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183" w:history="1">
            <w:r w:rsidR="008F33FD" w:rsidRPr="008F33FD">
              <w:rPr>
                <w:rStyle w:val="Hyperlink"/>
                <w:rFonts w:ascii="Times New Roman" w:hAnsi="Times New Roman" w:cs="Times New Roman"/>
                <w:noProof/>
                <w:sz w:val="24"/>
                <w:szCs w:val="24"/>
              </w:rPr>
              <w:t>2.5.2 Trust as the Primary Mechanism for Risk Mitigation</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_Toc241147183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75047B74" w14:textId="2D97C8E5"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184" w:history="1">
            <w:r w:rsidR="008F33FD" w:rsidRPr="008F33FD">
              <w:rPr>
                <w:rStyle w:val="Hyperlink"/>
                <w:rFonts w:ascii="Times New Roman" w:hAnsi="Times New Roman" w:cs="Times New Roman"/>
                <w:noProof/>
                <w:sz w:val="24"/>
                <w:szCs w:val="24"/>
              </w:rPr>
              <w:t>2.5.3 Critiquing the Fast Fashion Paradox: Sustainable vs. General Purchase Intention</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_Toc241147184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48011264" w14:textId="0A0E3DA1"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85" w:history="1">
            <w:r w:rsidR="008F33FD" w:rsidRPr="008F33FD">
              <w:rPr>
                <w:rStyle w:val="Hyperlink"/>
                <w:rFonts w:cs="Times New Roman"/>
                <w:b w:val="0"/>
                <w:bCs w:val="0"/>
                <w:noProof/>
                <w:sz w:val="24"/>
                <w:szCs w:val="24"/>
              </w:rPr>
              <w:t>2.6 Conceptual Framework and Hypotheses Development</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_Toc241147185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6C2B6CE7" w14:textId="5D545C49" w:rsidR="008F33FD" w:rsidRPr="008F33FD" w:rsidRDefault="009B233B" w:rsidP="008F33FD">
          <w:pPr>
            <w:pStyle w:val="TOC1"/>
            <w:tabs>
              <w:tab w:val="right" w:leader="dot" w:pos="9016"/>
            </w:tabs>
            <w:spacing w:before="0" w:after="120" w:line="360" w:lineRule="auto"/>
            <w:rPr>
              <w:rFonts w:eastAsiaTheme="minorEastAsia" w:cs="Times New Roman"/>
              <w:b w:val="0"/>
              <w:bCs w:val="0"/>
              <w:i w:val="0"/>
              <w:iCs w:val="0"/>
              <w:noProof/>
              <w:color w:val="auto"/>
              <w:kern w:val="0"/>
              <w:lang w:eastAsia="en-GB" w:bidi="ar-SA"/>
              <w14:ligatures w14:val="none"/>
            </w:rPr>
          </w:pPr>
          <w:hyperlink w:anchor="_Toc241147186" w:history="1">
            <w:r w:rsidR="008F33FD" w:rsidRPr="008F33FD">
              <w:rPr>
                <w:rStyle w:val="Hyperlink"/>
                <w:rFonts w:cs="Times New Roman"/>
                <w:b w:val="0"/>
                <w:bCs w:val="0"/>
                <w:i w:val="0"/>
                <w:iCs w:val="0"/>
                <w:noProof/>
              </w:rPr>
              <w:t>Chapter Three: Research Methodology</w:t>
            </w:r>
            <w:r w:rsidR="008F33FD" w:rsidRPr="008F33FD">
              <w:rPr>
                <w:rFonts w:cs="Times New Roman"/>
                <w:b w:val="0"/>
                <w:bCs w:val="0"/>
                <w:i w:val="0"/>
                <w:iCs w:val="0"/>
                <w:noProof/>
                <w:webHidden/>
              </w:rPr>
              <w:tab/>
            </w:r>
            <w:r w:rsidR="008F33FD" w:rsidRPr="008F33FD">
              <w:rPr>
                <w:rFonts w:cs="Times New Roman"/>
                <w:b w:val="0"/>
                <w:bCs w:val="0"/>
                <w:i w:val="0"/>
                <w:iCs w:val="0"/>
                <w:noProof/>
                <w:webHidden/>
              </w:rPr>
              <w:fldChar w:fldCharType="begin"/>
            </w:r>
            <w:r w:rsidR="008F33FD" w:rsidRPr="008F33FD">
              <w:rPr>
                <w:rFonts w:cs="Times New Roman"/>
                <w:b w:val="0"/>
                <w:bCs w:val="0"/>
                <w:i w:val="0"/>
                <w:iCs w:val="0"/>
                <w:noProof/>
                <w:webHidden/>
              </w:rPr>
              <w:instrText xml:space="preserve"> PAGEREF _Toc241147186 \h </w:instrText>
            </w:r>
            <w:r w:rsidR="008F33FD" w:rsidRPr="008F33FD">
              <w:rPr>
                <w:rFonts w:cs="Times New Roman"/>
                <w:b w:val="0"/>
                <w:bCs w:val="0"/>
                <w:i w:val="0"/>
                <w:iCs w:val="0"/>
                <w:noProof/>
                <w:webHidden/>
              </w:rPr>
            </w:r>
            <w:r w:rsidR="008F33FD" w:rsidRPr="008F33FD">
              <w:rPr>
                <w:rFonts w:cs="Times New Roman"/>
                <w:b w:val="0"/>
                <w:bCs w:val="0"/>
                <w:i w:val="0"/>
                <w:iCs w:val="0"/>
                <w:noProof/>
                <w:webHidden/>
              </w:rPr>
              <w:fldChar w:fldCharType="separate"/>
            </w:r>
            <w:r w:rsidR="00603018">
              <w:rPr>
                <w:rFonts w:cs="Times New Roman"/>
                <w:b w:val="0"/>
                <w:bCs w:val="0"/>
                <w:i w:val="0"/>
                <w:iCs w:val="0"/>
                <w:noProof/>
                <w:webHidden/>
              </w:rPr>
              <w:t>2</w:t>
            </w:r>
            <w:r w:rsidR="008F33FD" w:rsidRPr="008F33FD">
              <w:rPr>
                <w:rFonts w:cs="Times New Roman"/>
                <w:b w:val="0"/>
                <w:bCs w:val="0"/>
                <w:i w:val="0"/>
                <w:iCs w:val="0"/>
                <w:noProof/>
                <w:webHidden/>
              </w:rPr>
              <w:fldChar w:fldCharType="end"/>
            </w:r>
          </w:hyperlink>
        </w:p>
        <w:p w14:paraId="58FDCD4E" w14:textId="2ECC0E9F"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87" w:history="1">
            <w:r w:rsidR="008F33FD" w:rsidRPr="008F33FD">
              <w:rPr>
                <w:rStyle w:val="Hyperlink"/>
                <w:rFonts w:cs="Times New Roman"/>
                <w:b w:val="0"/>
                <w:bCs w:val="0"/>
                <w:noProof/>
                <w:sz w:val="24"/>
                <w:szCs w:val="24"/>
              </w:rPr>
              <w:t>3.1 Introduction</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_Toc241147187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1BBA1F0D" w14:textId="3B988BD2"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88" w:history="1">
            <w:r w:rsidR="008F33FD" w:rsidRPr="008F33FD">
              <w:rPr>
                <w:rStyle w:val="Hyperlink"/>
                <w:rFonts w:cs="Times New Roman"/>
                <w:b w:val="0"/>
                <w:bCs w:val="0"/>
                <w:noProof/>
                <w:sz w:val="24"/>
                <w:szCs w:val="24"/>
              </w:rPr>
              <w:t>3.2 Research Paradigm and Philosophy</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_Toc241147188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4E45F6E9" w14:textId="2DDE039A"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89" w:history="1">
            <w:r w:rsidR="008F33FD" w:rsidRPr="008F33FD">
              <w:rPr>
                <w:rStyle w:val="Hyperlink"/>
                <w:rFonts w:cs="Times New Roman"/>
                <w:b w:val="0"/>
                <w:bCs w:val="0"/>
                <w:noProof/>
                <w:sz w:val="24"/>
                <w:szCs w:val="24"/>
              </w:rPr>
              <w:t>3.3 Research Design and Strategy</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_Toc241147189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6D1E2388" w14:textId="6FF9BDB9"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90" w:history="1">
            <w:r w:rsidR="008F33FD" w:rsidRPr="008F33FD">
              <w:rPr>
                <w:rStyle w:val="Hyperlink"/>
                <w:rFonts w:cs="Times New Roman"/>
                <w:b w:val="0"/>
                <w:bCs w:val="0"/>
                <w:noProof/>
                <w:sz w:val="24"/>
                <w:szCs w:val="24"/>
              </w:rPr>
              <w:t>3.4 Data Collection</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_Toc241147190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3845FEE9" w14:textId="4F50321B"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91" w:history="1">
            <w:r w:rsidR="008F33FD" w:rsidRPr="008F33FD">
              <w:rPr>
                <w:rStyle w:val="Hyperlink"/>
                <w:rFonts w:cs="Times New Roman"/>
                <w:b w:val="0"/>
                <w:bCs w:val="0"/>
                <w:noProof/>
                <w:sz w:val="24"/>
                <w:szCs w:val="24"/>
              </w:rPr>
              <w:t>3.5 Population and Sample</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_Toc241147191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7050F6B3" w14:textId="3BD1BD59"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92" w:history="1">
            <w:r w:rsidR="008F33FD" w:rsidRPr="008F33FD">
              <w:rPr>
                <w:rStyle w:val="Hyperlink"/>
                <w:rFonts w:cs="Times New Roman"/>
                <w:b w:val="0"/>
                <w:bCs w:val="0"/>
                <w:noProof/>
                <w:sz w:val="24"/>
                <w:szCs w:val="24"/>
              </w:rPr>
              <w:t>3.6 Data and Analysis</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_Toc241147192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6D152ADC" w14:textId="27EAB5CF"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93" w:history="1">
            <w:r w:rsidR="008F33FD" w:rsidRPr="008F33FD">
              <w:rPr>
                <w:rStyle w:val="Hyperlink"/>
                <w:rFonts w:cs="Times New Roman"/>
                <w:b w:val="0"/>
                <w:bCs w:val="0"/>
                <w:noProof/>
                <w:sz w:val="24"/>
                <w:szCs w:val="24"/>
              </w:rPr>
              <w:t>3.7 Reliability and Validity</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_Toc241147193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601A213F" w14:textId="2283A50A"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94" w:history="1">
            <w:r w:rsidR="008F33FD" w:rsidRPr="008F33FD">
              <w:rPr>
                <w:rStyle w:val="Hyperlink"/>
                <w:rFonts w:cs="Times New Roman"/>
                <w:b w:val="0"/>
                <w:bCs w:val="0"/>
                <w:noProof/>
                <w:sz w:val="24"/>
                <w:szCs w:val="24"/>
              </w:rPr>
              <w:t>3.8 Limitations of the Research</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_Toc241147194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657A5A4E" w14:textId="6FBF9A6D"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95" w:history="1">
            <w:r w:rsidR="008F33FD" w:rsidRPr="008F33FD">
              <w:rPr>
                <w:rStyle w:val="Hyperlink"/>
                <w:rFonts w:cs="Times New Roman"/>
                <w:b w:val="0"/>
                <w:bCs w:val="0"/>
                <w:noProof/>
                <w:sz w:val="24"/>
                <w:szCs w:val="24"/>
              </w:rPr>
              <w:t>3.9 Research Ethics</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_Toc241147195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21E75C2C" w14:textId="685C8C2A" w:rsidR="008F33FD" w:rsidRPr="008F33FD" w:rsidRDefault="009B233B" w:rsidP="008F33FD">
          <w:pPr>
            <w:pStyle w:val="TOC1"/>
            <w:tabs>
              <w:tab w:val="right" w:leader="dot" w:pos="9016"/>
            </w:tabs>
            <w:spacing w:before="0" w:after="120" w:line="360" w:lineRule="auto"/>
            <w:rPr>
              <w:rFonts w:eastAsiaTheme="minorEastAsia" w:cs="Times New Roman"/>
              <w:b w:val="0"/>
              <w:bCs w:val="0"/>
              <w:i w:val="0"/>
              <w:iCs w:val="0"/>
              <w:noProof/>
              <w:color w:val="auto"/>
              <w:kern w:val="0"/>
              <w:lang w:eastAsia="en-GB" w:bidi="ar-SA"/>
              <w14:ligatures w14:val="none"/>
            </w:rPr>
          </w:pPr>
          <w:hyperlink w:anchor="_Toc241147196" w:history="1">
            <w:r w:rsidR="008F33FD" w:rsidRPr="008F33FD">
              <w:rPr>
                <w:rStyle w:val="Hyperlink"/>
                <w:rFonts w:cs="Times New Roman"/>
                <w:b w:val="0"/>
                <w:bCs w:val="0"/>
                <w:i w:val="0"/>
                <w:iCs w:val="0"/>
                <w:noProof/>
              </w:rPr>
              <w:t>Chapter Four: Data Analysis and Discussion</w:t>
            </w:r>
            <w:r w:rsidR="008F33FD" w:rsidRPr="008F33FD">
              <w:rPr>
                <w:rFonts w:cs="Times New Roman"/>
                <w:b w:val="0"/>
                <w:bCs w:val="0"/>
                <w:i w:val="0"/>
                <w:iCs w:val="0"/>
                <w:noProof/>
                <w:webHidden/>
              </w:rPr>
              <w:tab/>
            </w:r>
            <w:r w:rsidR="008F33FD" w:rsidRPr="008F33FD">
              <w:rPr>
                <w:rFonts w:cs="Times New Roman"/>
                <w:b w:val="0"/>
                <w:bCs w:val="0"/>
                <w:i w:val="0"/>
                <w:iCs w:val="0"/>
                <w:noProof/>
                <w:webHidden/>
              </w:rPr>
              <w:fldChar w:fldCharType="begin"/>
            </w:r>
            <w:r w:rsidR="008F33FD" w:rsidRPr="008F33FD">
              <w:rPr>
                <w:rFonts w:cs="Times New Roman"/>
                <w:b w:val="0"/>
                <w:bCs w:val="0"/>
                <w:i w:val="0"/>
                <w:iCs w:val="0"/>
                <w:noProof/>
                <w:webHidden/>
              </w:rPr>
              <w:instrText xml:space="preserve"> PAGEREF _Toc241147196 \h </w:instrText>
            </w:r>
            <w:r w:rsidR="008F33FD" w:rsidRPr="008F33FD">
              <w:rPr>
                <w:rFonts w:cs="Times New Roman"/>
                <w:b w:val="0"/>
                <w:bCs w:val="0"/>
                <w:i w:val="0"/>
                <w:iCs w:val="0"/>
                <w:noProof/>
                <w:webHidden/>
              </w:rPr>
            </w:r>
            <w:r w:rsidR="008F33FD" w:rsidRPr="008F33FD">
              <w:rPr>
                <w:rFonts w:cs="Times New Roman"/>
                <w:b w:val="0"/>
                <w:bCs w:val="0"/>
                <w:i w:val="0"/>
                <w:iCs w:val="0"/>
                <w:noProof/>
                <w:webHidden/>
              </w:rPr>
              <w:fldChar w:fldCharType="separate"/>
            </w:r>
            <w:r w:rsidR="00603018">
              <w:rPr>
                <w:rFonts w:cs="Times New Roman"/>
                <w:b w:val="0"/>
                <w:bCs w:val="0"/>
                <w:i w:val="0"/>
                <w:iCs w:val="0"/>
                <w:noProof/>
                <w:webHidden/>
              </w:rPr>
              <w:t>2</w:t>
            </w:r>
            <w:r w:rsidR="008F33FD" w:rsidRPr="008F33FD">
              <w:rPr>
                <w:rFonts w:cs="Times New Roman"/>
                <w:b w:val="0"/>
                <w:bCs w:val="0"/>
                <w:i w:val="0"/>
                <w:iCs w:val="0"/>
                <w:noProof/>
                <w:webHidden/>
              </w:rPr>
              <w:fldChar w:fldCharType="end"/>
            </w:r>
          </w:hyperlink>
        </w:p>
        <w:p w14:paraId="43C7C4CC" w14:textId="044622B1"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97" w:history="1">
            <w:r w:rsidR="008F33FD" w:rsidRPr="008F33FD">
              <w:rPr>
                <w:rStyle w:val="Hyperlink"/>
                <w:rFonts w:cs="Times New Roman"/>
                <w:b w:val="0"/>
                <w:bCs w:val="0"/>
                <w:noProof/>
                <w:sz w:val="24"/>
                <w:szCs w:val="24"/>
              </w:rPr>
              <w:t>4.1 Introduction</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_Toc241147197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61D5A484" w14:textId="4C4A1C9C"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198" w:history="1">
            <w:r w:rsidR="008F33FD" w:rsidRPr="008F33FD">
              <w:rPr>
                <w:rStyle w:val="Hyperlink"/>
                <w:rFonts w:cs="Times New Roman"/>
                <w:b w:val="0"/>
                <w:bCs w:val="0"/>
                <w:noProof/>
                <w:sz w:val="24"/>
                <w:szCs w:val="24"/>
              </w:rPr>
              <w:t>4.2 Data Analysis</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_Toc241147198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5C15570F" w14:textId="59205CFE"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199" w:history="1">
            <w:r w:rsidR="008F33FD" w:rsidRPr="008F33FD">
              <w:rPr>
                <w:rStyle w:val="Hyperlink"/>
                <w:rFonts w:ascii="Times New Roman" w:hAnsi="Times New Roman" w:cs="Times New Roman"/>
                <w:noProof/>
                <w:sz w:val="24"/>
                <w:szCs w:val="24"/>
              </w:rPr>
              <w:t>4.2.1 Demographic Analysis</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_Toc241147199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39B9C4FF" w14:textId="102CEADA"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200" w:history="1">
            <w:r w:rsidR="008F33FD" w:rsidRPr="008F33FD">
              <w:rPr>
                <w:rStyle w:val="Hyperlink"/>
                <w:rFonts w:ascii="Times New Roman" w:hAnsi="Times New Roman" w:cs="Times New Roman"/>
                <w:noProof/>
                <w:sz w:val="24"/>
                <w:szCs w:val="24"/>
              </w:rPr>
              <w:t>4.2.2 Descriptive Analysis</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_Toc241147200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26C74FB8" w14:textId="2C13B032"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201" w:history="1">
            <w:r w:rsidR="008F33FD" w:rsidRPr="008F33FD">
              <w:rPr>
                <w:rStyle w:val="Hyperlink"/>
                <w:rFonts w:ascii="Times New Roman" w:hAnsi="Times New Roman" w:cs="Times New Roman"/>
                <w:noProof/>
                <w:sz w:val="24"/>
                <w:szCs w:val="24"/>
              </w:rPr>
              <w:t>4.2.3 Measurement Model Assessment</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_Toc241147201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4749FA98" w14:textId="69B84D9D"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202" w:history="1">
            <w:r w:rsidR="008F33FD" w:rsidRPr="008F33FD">
              <w:rPr>
                <w:rStyle w:val="Hyperlink"/>
                <w:rFonts w:ascii="Times New Roman" w:hAnsi="Times New Roman" w:cs="Times New Roman"/>
                <w:noProof/>
                <w:sz w:val="24"/>
                <w:szCs w:val="24"/>
              </w:rPr>
              <w:t>4.2.4 Structural Model Assessment and Hypothesis Testing</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_Toc241147202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7C1F6E42" w14:textId="64BC8654"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203" w:history="1">
            <w:r w:rsidR="008F33FD" w:rsidRPr="008F33FD">
              <w:rPr>
                <w:rStyle w:val="Hyperlink"/>
                <w:rFonts w:cs="Times New Roman"/>
                <w:b w:val="0"/>
                <w:bCs w:val="0"/>
                <w:noProof/>
                <w:sz w:val="24"/>
                <w:szCs w:val="24"/>
              </w:rPr>
              <w:t>4.3 Discussion</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_Toc241147203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5CD5E066" w14:textId="7C7AE8C0"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204" w:history="1">
            <w:r w:rsidR="008F33FD" w:rsidRPr="008F33FD">
              <w:rPr>
                <w:rStyle w:val="Hyperlink"/>
                <w:rFonts w:ascii="Times New Roman" w:hAnsi="Times New Roman" w:cs="Times New Roman"/>
                <w:noProof/>
                <w:sz w:val="24"/>
                <w:szCs w:val="24"/>
              </w:rPr>
              <w:t>4.3.1 The Pervasiveness of Greenwashing Scepticism</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_Toc241147204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140E7DCD" w14:textId="3EB77790"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205" w:history="1">
            <w:r w:rsidR="008F33FD" w:rsidRPr="008F33FD">
              <w:rPr>
                <w:rStyle w:val="Hyperlink"/>
                <w:rFonts w:ascii="Times New Roman" w:hAnsi="Times New Roman" w:cs="Times New Roman"/>
                <w:noProof/>
                <w:sz w:val="24"/>
                <w:szCs w:val="24"/>
              </w:rPr>
              <w:t>4.3.2 The Destructive Impact of Scepticism on Consumer Trust</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_Toc241147205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0AFCE5A9" w14:textId="0C153740"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206" w:history="1">
            <w:r w:rsidR="008F33FD" w:rsidRPr="008F33FD">
              <w:rPr>
                <w:rStyle w:val="Hyperlink"/>
                <w:rFonts w:ascii="Times New Roman" w:hAnsi="Times New Roman" w:cs="Times New Roman"/>
                <w:noProof/>
                <w:sz w:val="24"/>
                <w:szCs w:val="24"/>
              </w:rPr>
              <w:t>4.3.3 Consumer Trust as a Catalyst for Sustainable Purchase Intention</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_Toc241147206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2303431D" w14:textId="7055A42E" w:rsidR="008F33FD" w:rsidRPr="008F33FD" w:rsidRDefault="009B233B" w:rsidP="008F33FD">
          <w:pPr>
            <w:pStyle w:val="TOC3"/>
            <w:tabs>
              <w:tab w:val="right" w:leader="dot" w:pos="9016"/>
            </w:tabs>
            <w:spacing w:after="120" w:line="360" w:lineRule="auto"/>
            <w:rPr>
              <w:rFonts w:ascii="Times New Roman" w:eastAsiaTheme="minorEastAsia" w:hAnsi="Times New Roman" w:cs="Times New Roman"/>
              <w:noProof/>
              <w:color w:val="auto"/>
              <w:kern w:val="0"/>
              <w:sz w:val="24"/>
              <w:szCs w:val="24"/>
              <w:lang w:eastAsia="en-GB" w:bidi="ar-SA"/>
              <w14:ligatures w14:val="none"/>
            </w:rPr>
          </w:pPr>
          <w:hyperlink w:anchor="_Toc241147207" w:history="1">
            <w:r w:rsidR="008F33FD" w:rsidRPr="008F33FD">
              <w:rPr>
                <w:rStyle w:val="Hyperlink"/>
                <w:rFonts w:ascii="Times New Roman" w:hAnsi="Times New Roman" w:cs="Times New Roman"/>
                <w:noProof/>
                <w:sz w:val="24"/>
                <w:szCs w:val="24"/>
              </w:rPr>
              <w:t>4.3.4 The Mediating Role of Consumer Trust</w:t>
            </w:r>
            <w:r w:rsidR="008F33FD" w:rsidRPr="008F33FD">
              <w:rPr>
                <w:rFonts w:ascii="Times New Roman" w:hAnsi="Times New Roman" w:cs="Times New Roman"/>
                <w:noProof/>
                <w:webHidden/>
                <w:sz w:val="24"/>
                <w:szCs w:val="24"/>
              </w:rPr>
              <w:tab/>
            </w:r>
            <w:r w:rsidR="008F33FD" w:rsidRPr="008F33FD">
              <w:rPr>
                <w:rFonts w:ascii="Times New Roman" w:hAnsi="Times New Roman" w:cs="Times New Roman"/>
                <w:noProof/>
                <w:webHidden/>
                <w:sz w:val="24"/>
                <w:szCs w:val="24"/>
              </w:rPr>
              <w:fldChar w:fldCharType="begin"/>
            </w:r>
            <w:r w:rsidR="008F33FD" w:rsidRPr="008F33FD">
              <w:rPr>
                <w:rFonts w:ascii="Times New Roman" w:hAnsi="Times New Roman" w:cs="Times New Roman"/>
                <w:noProof/>
                <w:webHidden/>
                <w:sz w:val="24"/>
                <w:szCs w:val="24"/>
              </w:rPr>
              <w:instrText xml:space="preserve"> PAGEREF _Toc241147207 \h </w:instrText>
            </w:r>
            <w:r w:rsidR="008F33FD" w:rsidRPr="008F33FD">
              <w:rPr>
                <w:rFonts w:ascii="Times New Roman" w:hAnsi="Times New Roman" w:cs="Times New Roman"/>
                <w:noProof/>
                <w:webHidden/>
                <w:sz w:val="24"/>
                <w:szCs w:val="24"/>
              </w:rPr>
            </w:r>
            <w:r w:rsidR="008F33FD" w:rsidRPr="008F33FD">
              <w:rPr>
                <w:rFonts w:ascii="Times New Roman" w:hAnsi="Times New Roman" w:cs="Times New Roman"/>
                <w:noProof/>
                <w:webHidden/>
                <w:sz w:val="24"/>
                <w:szCs w:val="24"/>
              </w:rPr>
              <w:fldChar w:fldCharType="separate"/>
            </w:r>
            <w:r w:rsidR="00603018">
              <w:rPr>
                <w:rFonts w:ascii="Times New Roman" w:hAnsi="Times New Roman" w:cs="Times New Roman"/>
                <w:noProof/>
                <w:webHidden/>
                <w:sz w:val="24"/>
                <w:szCs w:val="24"/>
              </w:rPr>
              <w:t>2</w:t>
            </w:r>
            <w:r w:rsidR="008F33FD" w:rsidRPr="008F33FD">
              <w:rPr>
                <w:rFonts w:ascii="Times New Roman" w:hAnsi="Times New Roman" w:cs="Times New Roman"/>
                <w:noProof/>
                <w:webHidden/>
                <w:sz w:val="24"/>
                <w:szCs w:val="24"/>
              </w:rPr>
              <w:fldChar w:fldCharType="end"/>
            </w:r>
          </w:hyperlink>
        </w:p>
        <w:p w14:paraId="4F326449" w14:textId="2C463558" w:rsidR="008F33FD" w:rsidRPr="008F33FD" w:rsidRDefault="009B233B" w:rsidP="008F33FD">
          <w:pPr>
            <w:pStyle w:val="TOC1"/>
            <w:tabs>
              <w:tab w:val="right" w:leader="dot" w:pos="9016"/>
            </w:tabs>
            <w:spacing w:before="0" w:after="120" w:line="360" w:lineRule="auto"/>
            <w:rPr>
              <w:rFonts w:eastAsiaTheme="minorEastAsia" w:cs="Times New Roman"/>
              <w:b w:val="0"/>
              <w:bCs w:val="0"/>
              <w:i w:val="0"/>
              <w:iCs w:val="0"/>
              <w:noProof/>
              <w:color w:val="auto"/>
              <w:kern w:val="0"/>
              <w:lang w:eastAsia="en-GB" w:bidi="ar-SA"/>
              <w14:ligatures w14:val="none"/>
            </w:rPr>
          </w:pPr>
          <w:hyperlink w:anchor="_Toc241147208" w:history="1">
            <w:r w:rsidR="008F33FD" w:rsidRPr="008F33FD">
              <w:rPr>
                <w:rStyle w:val="Hyperlink"/>
                <w:rFonts w:cs="Times New Roman"/>
                <w:b w:val="0"/>
                <w:bCs w:val="0"/>
                <w:i w:val="0"/>
                <w:iCs w:val="0"/>
                <w:noProof/>
              </w:rPr>
              <w:t>Chapter Five: Conclusions and Recommendations</w:t>
            </w:r>
            <w:r w:rsidR="008F33FD" w:rsidRPr="008F33FD">
              <w:rPr>
                <w:rFonts w:cs="Times New Roman"/>
                <w:b w:val="0"/>
                <w:bCs w:val="0"/>
                <w:i w:val="0"/>
                <w:iCs w:val="0"/>
                <w:noProof/>
                <w:webHidden/>
              </w:rPr>
              <w:tab/>
            </w:r>
            <w:r w:rsidR="008F33FD" w:rsidRPr="008F33FD">
              <w:rPr>
                <w:rFonts w:cs="Times New Roman"/>
                <w:b w:val="0"/>
                <w:bCs w:val="0"/>
                <w:i w:val="0"/>
                <w:iCs w:val="0"/>
                <w:noProof/>
                <w:webHidden/>
              </w:rPr>
              <w:fldChar w:fldCharType="begin"/>
            </w:r>
            <w:r w:rsidR="008F33FD" w:rsidRPr="008F33FD">
              <w:rPr>
                <w:rFonts w:cs="Times New Roman"/>
                <w:b w:val="0"/>
                <w:bCs w:val="0"/>
                <w:i w:val="0"/>
                <w:iCs w:val="0"/>
                <w:noProof/>
                <w:webHidden/>
              </w:rPr>
              <w:instrText xml:space="preserve"> PAGEREF _Toc241147208 \h </w:instrText>
            </w:r>
            <w:r w:rsidR="008F33FD" w:rsidRPr="008F33FD">
              <w:rPr>
                <w:rFonts w:cs="Times New Roman"/>
                <w:b w:val="0"/>
                <w:bCs w:val="0"/>
                <w:i w:val="0"/>
                <w:iCs w:val="0"/>
                <w:noProof/>
                <w:webHidden/>
              </w:rPr>
            </w:r>
            <w:r w:rsidR="008F33FD" w:rsidRPr="008F33FD">
              <w:rPr>
                <w:rFonts w:cs="Times New Roman"/>
                <w:b w:val="0"/>
                <w:bCs w:val="0"/>
                <w:i w:val="0"/>
                <w:iCs w:val="0"/>
                <w:noProof/>
                <w:webHidden/>
              </w:rPr>
              <w:fldChar w:fldCharType="separate"/>
            </w:r>
            <w:r w:rsidR="00603018">
              <w:rPr>
                <w:rFonts w:cs="Times New Roman"/>
                <w:b w:val="0"/>
                <w:bCs w:val="0"/>
                <w:i w:val="0"/>
                <w:iCs w:val="0"/>
                <w:noProof/>
                <w:webHidden/>
              </w:rPr>
              <w:t>2</w:t>
            </w:r>
            <w:r w:rsidR="008F33FD" w:rsidRPr="008F33FD">
              <w:rPr>
                <w:rFonts w:cs="Times New Roman"/>
                <w:b w:val="0"/>
                <w:bCs w:val="0"/>
                <w:i w:val="0"/>
                <w:iCs w:val="0"/>
                <w:noProof/>
                <w:webHidden/>
              </w:rPr>
              <w:fldChar w:fldCharType="end"/>
            </w:r>
          </w:hyperlink>
        </w:p>
        <w:p w14:paraId="5B3E1990" w14:textId="709D0262"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209" w:history="1">
            <w:r w:rsidR="008F33FD" w:rsidRPr="008F33FD">
              <w:rPr>
                <w:rStyle w:val="Hyperlink"/>
                <w:rFonts w:cs="Times New Roman"/>
                <w:b w:val="0"/>
                <w:bCs w:val="0"/>
                <w:noProof/>
                <w:sz w:val="24"/>
                <w:szCs w:val="24"/>
              </w:rPr>
              <w:t>5.1 Introduction</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_Toc241147209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7867895E" w14:textId="60E9D88E"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210" w:history="1">
            <w:r w:rsidR="008F33FD" w:rsidRPr="008F33FD">
              <w:rPr>
                <w:rStyle w:val="Hyperlink"/>
                <w:rFonts w:cs="Times New Roman"/>
                <w:b w:val="0"/>
                <w:bCs w:val="0"/>
                <w:noProof/>
                <w:sz w:val="24"/>
                <w:szCs w:val="24"/>
              </w:rPr>
              <w:t>5.2 Summary of Conclusions</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_Toc241147210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370DD61B" w14:textId="6C0E55AC"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211" w:history="1">
            <w:r w:rsidR="008F33FD" w:rsidRPr="008F33FD">
              <w:rPr>
                <w:rStyle w:val="Hyperlink"/>
                <w:rFonts w:cs="Times New Roman"/>
                <w:b w:val="0"/>
                <w:bCs w:val="0"/>
                <w:noProof/>
                <w:sz w:val="24"/>
                <w:szCs w:val="24"/>
              </w:rPr>
              <w:t>5.3 Achievement of the Research Objectives</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_Toc241147211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28DBA67F" w14:textId="0DD15D13"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212" w:history="1">
            <w:r w:rsidR="008F33FD" w:rsidRPr="008F33FD">
              <w:rPr>
                <w:rStyle w:val="Hyperlink"/>
                <w:rFonts w:cs="Times New Roman"/>
                <w:b w:val="0"/>
                <w:bCs w:val="0"/>
                <w:noProof/>
                <w:sz w:val="24"/>
                <w:szCs w:val="24"/>
              </w:rPr>
              <w:t>5.4 Recommendations for Managerial Practice.</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_Toc241147212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0D8F2411" w14:textId="0C4F3F04"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213" w:history="1">
            <w:r w:rsidR="008F33FD" w:rsidRPr="008F33FD">
              <w:rPr>
                <w:rStyle w:val="Hyperlink"/>
                <w:rFonts w:cs="Times New Roman"/>
                <w:b w:val="0"/>
                <w:bCs w:val="0"/>
                <w:noProof/>
                <w:sz w:val="24"/>
                <w:szCs w:val="24"/>
              </w:rPr>
              <w:t>5.5 Contributions to Theory</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_Toc241147213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4767500E" w14:textId="184A29A2"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214" w:history="1">
            <w:r w:rsidR="008F33FD" w:rsidRPr="008F33FD">
              <w:rPr>
                <w:rStyle w:val="Hyperlink"/>
                <w:rFonts w:cs="Times New Roman"/>
                <w:b w:val="0"/>
                <w:bCs w:val="0"/>
                <w:noProof/>
                <w:sz w:val="24"/>
                <w:szCs w:val="24"/>
              </w:rPr>
              <w:t>5.6 Future directions for Research</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_Toc241147214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6177058C" w14:textId="5D31F60D"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215" w:history="1">
            <w:r w:rsidR="008F33FD" w:rsidRPr="008F33FD">
              <w:rPr>
                <w:rStyle w:val="Hyperlink"/>
                <w:rFonts w:cs="Times New Roman"/>
                <w:b w:val="0"/>
                <w:bCs w:val="0"/>
                <w:noProof/>
                <w:sz w:val="24"/>
                <w:szCs w:val="24"/>
              </w:rPr>
              <w:t>5.7 Concluding Remarks</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_Toc241147215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2E1CAB3F" w14:textId="3AB9A6F3" w:rsidR="008F33FD" w:rsidRPr="008F33FD" w:rsidRDefault="009B233B" w:rsidP="008F33FD">
          <w:pPr>
            <w:pStyle w:val="TOC1"/>
            <w:tabs>
              <w:tab w:val="right" w:leader="dot" w:pos="9016"/>
            </w:tabs>
            <w:spacing w:before="0" w:after="120" w:line="360" w:lineRule="auto"/>
            <w:rPr>
              <w:rFonts w:eastAsiaTheme="minorEastAsia" w:cs="Times New Roman"/>
              <w:b w:val="0"/>
              <w:bCs w:val="0"/>
              <w:i w:val="0"/>
              <w:iCs w:val="0"/>
              <w:noProof/>
              <w:color w:val="auto"/>
              <w:kern w:val="0"/>
              <w:lang w:eastAsia="en-GB" w:bidi="ar-SA"/>
              <w14:ligatures w14:val="none"/>
            </w:rPr>
          </w:pPr>
          <w:hyperlink w:anchor="_Toc241147216" w:history="1">
            <w:r w:rsidR="008F33FD" w:rsidRPr="008F33FD">
              <w:rPr>
                <w:rStyle w:val="Hyperlink"/>
                <w:rFonts w:cs="Times New Roman"/>
                <w:b w:val="0"/>
                <w:bCs w:val="0"/>
                <w:i w:val="0"/>
                <w:iCs w:val="0"/>
                <w:noProof/>
              </w:rPr>
              <w:t>Reference list</w:t>
            </w:r>
            <w:r w:rsidR="008F33FD" w:rsidRPr="008F33FD">
              <w:rPr>
                <w:rFonts w:cs="Times New Roman"/>
                <w:b w:val="0"/>
                <w:bCs w:val="0"/>
                <w:i w:val="0"/>
                <w:iCs w:val="0"/>
                <w:noProof/>
                <w:webHidden/>
              </w:rPr>
              <w:tab/>
            </w:r>
            <w:r w:rsidR="008F33FD" w:rsidRPr="008F33FD">
              <w:rPr>
                <w:rFonts w:cs="Times New Roman"/>
                <w:b w:val="0"/>
                <w:bCs w:val="0"/>
                <w:i w:val="0"/>
                <w:iCs w:val="0"/>
                <w:noProof/>
                <w:webHidden/>
              </w:rPr>
              <w:fldChar w:fldCharType="begin"/>
            </w:r>
            <w:r w:rsidR="008F33FD" w:rsidRPr="008F33FD">
              <w:rPr>
                <w:rFonts w:cs="Times New Roman"/>
                <w:b w:val="0"/>
                <w:bCs w:val="0"/>
                <w:i w:val="0"/>
                <w:iCs w:val="0"/>
                <w:noProof/>
                <w:webHidden/>
              </w:rPr>
              <w:instrText xml:space="preserve"> PAGEREF _Toc241147216 \h </w:instrText>
            </w:r>
            <w:r w:rsidR="008F33FD" w:rsidRPr="008F33FD">
              <w:rPr>
                <w:rFonts w:cs="Times New Roman"/>
                <w:b w:val="0"/>
                <w:bCs w:val="0"/>
                <w:i w:val="0"/>
                <w:iCs w:val="0"/>
                <w:noProof/>
                <w:webHidden/>
              </w:rPr>
            </w:r>
            <w:r w:rsidR="008F33FD" w:rsidRPr="008F33FD">
              <w:rPr>
                <w:rFonts w:cs="Times New Roman"/>
                <w:b w:val="0"/>
                <w:bCs w:val="0"/>
                <w:i w:val="0"/>
                <w:iCs w:val="0"/>
                <w:noProof/>
                <w:webHidden/>
              </w:rPr>
              <w:fldChar w:fldCharType="separate"/>
            </w:r>
            <w:r w:rsidR="00603018">
              <w:rPr>
                <w:rFonts w:cs="Times New Roman"/>
                <w:b w:val="0"/>
                <w:bCs w:val="0"/>
                <w:i w:val="0"/>
                <w:iCs w:val="0"/>
                <w:noProof/>
                <w:webHidden/>
              </w:rPr>
              <w:t>2</w:t>
            </w:r>
            <w:r w:rsidR="008F33FD" w:rsidRPr="008F33FD">
              <w:rPr>
                <w:rFonts w:cs="Times New Roman"/>
                <w:b w:val="0"/>
                <w:bCs w:val="0"/>
                <w:i w:val="0"/>
                <w:iCs w:val="0"/>
                <w:noProof/>
                <w:webHidden/>
              </w:rPr>
              <w:fldChar w:fldCharType="end"/>
            </w:r>
          </w:hyperlink>
        </w:p>
        <w:p w14:paraId="1CE24C22" w14:textId="521E1209" w:rsidR="008F33FD" w:rsidRPr="008F33FD" w:rsidRDefault="009B233B" w:rsidP="008F33FD">
          <w:pPr>
            <w:pStyle w:val="TOC1"/>
            <w:tabs>
              <w:tab w:val="right" w:leader="dot" w:pos="9016"/>
            </w:tabs>
            <w:spacing w:before="0" w:after="120" w:line="360" w:lineRule="auto"/>
            <w:rPr>
              <w:rFonts w:eastAsiaTheme="minorEastAsia" w:cs="Times New Roman"/>
              <w:b w:val="0"/>
              <w:bCs w:val="0"/>
              <w:i w:val="0"/>
              <w:iCs w:val="0"/>
              <w:noProof/>
              <w:color w:val="auto"/>
              <w:kern w:val="0"/>
              <w:lang w:eastAsia="en-GB" w:bidi="ar-SA"/>
              <w14:ligatures w14:val="none"/>
            </w:rPr>
          </w:pPr>
          <w:hyperlink w:anchor="_Toc241147217" w:history="1">
            <w:r w:rsidR="008F33FD" w:rsidRPr="008F33FD">
              <w:rPr>
                <w:rStyle w:val="Hyperlink"/>
                <w:rFonts w:cs="Times New Roman"/>
                <w:b w:val="0"/>
                <w:bCs w:val="0"/>
                <w:i w:val="0"/>
                <w:iCs w:val="0"/>
                <w:noProof/>
              </w:rPr>
              <w:t>Appendices</w:t>
            </w:r>
            <w:r w:rsidR="008F33FD" w:rsidRPr="008F33FD">
              <w:rPr>
                <w:rFonts w:cs="Times New Roman"/>
                <w:b w:val="0"/>
                <w:bCs w:val="0"/>
                <w:i w:val="0"/>
                <w:iCs w:val="0"/>
                <w:noProof/>
                <w:webHidden/>
              </w:rPr>
              <w:tab/>
            </w:r>
            <w:r w:rsidR="008F33FD" w:rsidRPr="008F33FD">
              <w:rPr>
                <w:rFonts w:cs="Times New Roman"/>
                <w:b w:val="0"/>
                <w:bCs w:val="0"/>
                <w:i w:val="0"/>
                <w:iCs w:val="0"/>
                <w:noProof/>
                <w:webHidden/>
              </w:rPr>
              <w:fldChar w:fldCharType="begin"/>
            </w:r>
            <w:r w:rsidR="008F33FD" w:rsidRPr="008F33FD">
              <w:rPr>
                <w:rFonts w:cs="Times New Roman"/>
                <w:b w:val="0"/>
                <w:bCs w:val="0"/>
                <w:i w:val="0"/>
                <w:iCs w:val="0"/>
                <w:noProof/>
                <w:webHidden/>
              </w:rPr>
              <w:instrText xml:space="preserve"> PAGEREF _Toc241147217 \h </w:instrText>
            </w:r>
            <w:r w:rsidR="008F33FD" w:rsidRPr="008F33FD">
              <w:rPr>
                <w:rFonts w:cs="Times New Roman"/>
                <w:b w:val="0"/>
                <w:bCs w:val="0"/>
                <w:i w:val="0"/>
                <w:iCs w:val="0"/>
                <w:noProof/>
                <w:webHidden/>
              </w:rPr>
            </w:r>
            <w:r w:rsidR="008F33FD" w:rsidRPr="008F33FD">
              <w:rPr>
                <w:rFonts w:cs="Times New Roman"/>
                <w:b w:val="0"/>
                <w:bCs w:val="0"/>
                <w:i w:val="0"/>
                <w:iCs w:val="0"/>
                <w:noProof/>
                <w:webHidden/>
              </w:rPr>
              <w:fldChar w:fldCharType="separate"/>
            </w:r>
            <w:r w:rsidR="00603018">
              <w:rPr>
                <w:rFonts w:cs="Times New Roman"/>
                <w:b w:val="0"/>
                <w:bCs w:val="0"/>
                <w:i w:val="0"/>
                <w:iCs w:val="0"/>
                <w:noProof/>
                <w:webHidden/>
              </w:rPr>
              <w:t>2</w:t>
            </w:r>
            <w:r w:rsidR="008F33FD" w:rsidRPr="008F33FD">
              <w:rPr>
                <w:rFonts w:cs="Times New Roman"/>
                <w:b w:val="0"/>
                <w:bCs w:val="0"/>
                <w:i w:val="0"/>
                <w:iCs w:val="0"/>
                <w:noProof/>
                <w:webHidden/>
              </w:rPr>
              <w:fldChar w:fldCharType="end"/>
            </w:r>
          </w:hyperlink>
        </w:p>
        <w:p w14:paraId="308F6954" w14:textId="251C3392"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218" w:history="1">
            <w:r w:rsidR="008F33FD" w:rsidRPr="008F33FD">
              <w:rPr>
                <w:rStyle w:val="Hyperlink"/>
                <w:rFonts w:cs="Times New Roman"/>
                <w:b w:val="0"/>
                <w:bCs w:val="0"/>
                <w:noProof/>
                <w:sz w:val="24"/>
                <w:szCs w:val="24"/>
              </w:rPr>
              <w:t>Appendix A: Survey Questions</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_Toc241147218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08C87F1B" w14:textId="1DC0829B"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219" w:history="1">
            <w:r w:rsidR="008F33FD" w:rsidRPr="008F33FD">
              <w:rPr>
                <w:rStyle w:val="Hyperlink"/>
                <w:rFonts w:cs="Times New Roman"/>
                <w:b w:val="0"/>
                <w:bCs w:val="0"/>
                <w:noProof/>
                <w:sz w:val="24"/>
                <w:szCs w:val="24"/>
              </w:rPr>
              <w:t>Appendix B: Data Summary</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_Toc241147219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0EC0DC25" w14:textId="48DC00CB" w:rsidR="008F33FD" w:rsidRPr="008F33FD" w:rsidRDefault="009B233B" w:rsidP="008F33FD">
          <w:pPr>
            <w:pStyle w:val="TOC2"/>
            <w:tabs>
              <w:tab w:val="right" w:leader="dot" w:pos="9016"/>
            </w:tabs>
            <w:spacing w:before="0" w:after="120" w:line="360" w:lineRule="auto"/>
            <w:rPr>
              <w:rFonts w:eastAsiaTheme="minorEastAsia" w:cs="Times New Roman"/>
              <w:b w:val="0"/>
              <w:bCs w:val="0"/>
              <w:noProof/>
              <w:color w:val="auto"/>
              <w:kern w:val="0"/>
              <w:sz w:val="24"/>
              <w:szCs w:val="24"/>
              <w:lang w:eastAsia="en-GB" w:bidi="ar-SA"/>
              <w14:ligatures w14:val="none"/>
            </w:rPr>
          </w:pPr>
          <w:hyperlink w:anchor="_Toc241147220" w:history="1">
            <w:r w:rsidR="008F33FD" w:rsidRPr="008F33FD">
              <w:rPr>
                <w:rStyle w:val="Hyperlink"/>
                <w:rFonts w:cs="Times New Roman"/>
                <w:b w:val="0"/>
                <w:bCs w:val="0"/>
                <w:noProof/>
                <w:sz w:val="24"/>
                <w:szCs w:val="24"/>
              </w:rPr>
              <w:t>Appendix C: Ethics Form</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_Toc241147220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17CA26CD" w14:textId="04CFF472" w:rsidR="008F33FD" w:rsidRDefault="009B233B" w:rsidP="008F33FD">
          <w:pPr>
            <w:pStyle w:val="TOC2"/>
            <w:tabs>
              <w:tab w:val="right" w:leader="dot" w:pos="9016"/>
            </w:tabs>
            <w:spacing w:before="0" w:after="120" w:line="360" w:lineRule="auto"/>
            <w:rPr>
              <w:rFonts w:asciiTheme="minorHAnsi" w:eastAsiaTheme="minorEastAsia" w:hAnsiTheme="minorHAnsi" w:cstheme="minorBidi"/>
              <w:b w:val="0"/>
              <w:bCs w:val="0"/>
              <w:noProof/>
              <w:color w:val="auto"/>
              <w:kern w:val="0"/>
              <w:lang w:eastAsia="en-GB" w:bidi="ar-SA"/>
              <w14:ligatures w14:val="none"/>
            </w:rPr>
          </w:pPr>
          <w:hyperlink w:anchor="_Toc241147221" w:history="1">
            <w:r w:rsidR="008F33FD" w:rsidRPr="008F33FD">
              <w:rPr>
                <w:rStyle w:val="Hyperlink"/>
                <w:rFonts w:cs="Times New Roman"/>
                <w:b w:val="0"/>
                <w:bCs w:val="0"/>
                <w:noProof/>
                <w:sz w:val="24"/>
                <w:szCs w:val="24"/>
              </w:rPr>
              <w:t>Appendix D: Collected Data &amp; SPSS File</w:t>
            </w:r>
            <w:r w:rsidR="008F33FD" w:rsidRPr="008F33FD">
              <w:rPr>
                <w:rFonts w:cs="Times New Roman"/>
                <w:b w:val="0"/>
                <w:bCs w:val="0"/>
                <w:noProof/>
                <w:webHidden/>
                <w:sz w:val="24"/>
                <w:szCs w:val="24"/>
              </w:rPr>
              <w:tab/>
            </w:r>
            <w:r w:rsidR="008F33FD" w:rsidRPr="008F33FD">
              <w:rPr>
                <w:rFonts w:cs="Times New Roman"/>
                <w:b w:val="0"/>
                <w:bCs w:val="0"/>
                <w:noProof/>
                <w:webHidden/>
                <w:sz w:val="24"/>
                <w:szCs w:val="24"/>
              </w:rPr>
              <w:fldChar w:fldCharType="begin"/>
            </w:r>
            <w:r w:rsidR="008F33FD" w:rsidRPr="008F33FD">
              <w:rPr>
                <w:rFonts w:cs="Times New Roman"/>
                <w:b w:val="0"/>
                <w:bCs w:val="0"/>
                <w:noProof/>
                <w:webHidden/>
                <w:sz w:val="24"/>
                <w:szCs w:val="24"/>
              </w:rPr>
              <w:instrText xml:space="preserve"> PAGEREF _Toc241147221 \h </w:instrText>
            </w:r>
            <w:r w:rsidR="008F33FD" w:rsidRPr="008F33FD">
              <w:rPr>
                <w:rFonts w:cs="Times New Roman"/>
                <w:b w:val="0"/>
                <w:bCs w:val="0"/>
                <w:noProof/>
                <w:webHidden/>
                <w:sz w:val="24"/>
                <w:szCs w:val="24"/>
              </w:rPr>
            </w:r>
            <w:r w:rsidR="008F33FD" w:rsidRPr="008F33FD">
              <w:rPr>
                <w:rFonts w:cs="Times New Roman"/>
                <w:b w:val="0"/>
                <w:bCs w:val="0"/>
                <w:noProof/>
                <w:webHidden/>
                <w:sz w:val="24"/>
                <w:szCs w:val="24"/>
              </w:rPr>
              <w:fldChar w:fldCharType="separate"/>
            </w:r>
            <w:r w:rsidR="00603018">
              <w:rPr>
                <w:rFonts w:cs="Times New Roman"/>
                <w:b w:val="0"/>
                <w:bCs w:val="0"/>
                <w:noProof/>
                <w:webHidden/>
                <w:sz w:val="24"/>
                <w:szCs w:val="24"/>
              </w:rPr>
              <w:t>2</w:t>
            </w:r>
            <w:r w:rsidR="008F33FD" w:rsidRPr="008F33FD">
              <w:rPr>
                <w:rFonts w:cs="Times New Roman"/>
                <w:b w:val="0"/>
                <w:bCs w:val="0"/>
                <w:noProof/>
                <w:webHidden/>
                <w:sz w:val="24"/>
                <w:szCs w:val="24"/>
              </w:rPr>
              <w:fldChar w:fldCharType="end"/>
            </w:r>
          </w:hyperlink>
        </w:p>
        <w:p w14:paraId="5EFA4097" w14:textId="413F3228" w:rsidR="002A413E" w:rsidRPr="00970609" w:rsidRDefault="002A413E">
          <w:pPr>
            <w:rPr>
              <w:rFonts w:cs="Times New Roman"/>
            </w:rPr>
          </w:pPr>
          <w:r w:rsidRPr="00970609">
            <w:rPr>
              <w:rFonts w:cs="Times New Roman"/>
              <w:b/>
              <w:bCs/>
              <w:noProof/>
            </w:rPr>
            <w:fldChar w:fldCharType="end"/>
          </w:r>
        </w:p>
      </w:sdtContent>
    </w:sdt>
    <w:p w14:paraId="3E62E80E" w14:textId="77777777" w:rsidR="00DC500E" w:rsidRPr="00970609" w:rsidRDefault="00DC500E">
      <w:pPr>
        <w:spacing w:line="240" w:lineRule="auto"/>
        <w:jc w:val="left"/>
        <w:rPr>
          <w:rFonts w:cs="Times New Roman"/>
        </w:rPr>
      </w:pPr>
      <w:r w:rsidRPr="00970609">
        <w:rPr>
          <w:rFonts w:cs="Times New Roman"/>
        </w:rPr>
        <w:br w:type="page"/>
      </w:r>
    </w:p>
    <w:p w14:paraId="66DB7150" w14:textId="77777777" w:rsidR="00DC500E" w:rsidRPr="00DC500E" w:rsidRDefault="00DC500E" w:rsidP="008F33FD">
      <w:pPr>
        <w:pStyle w:val="Heading1"/>
      </w:pPr>
      <w:bookmarkStart w:id="7" w:name="_Toc241147156"/>
      <w:r w:rsidRPr="00DC500E">
        <w:lastRenderedPageBreak/>
        <w:t>List of Figures</w:t>
      </w:r>
      <w:bookmarkEnd w:id="7"/>
    </w:p>
    <w:p w14:paraId="694202F1" w14:textId="6B4C968D" w:rsidR="00970609" w:rsidRDefault="00DC500E">
      <w:pPr>
        <w:pStyle w:val="TableofFigures"/>
        <w:tabs>
          <w:tab w:val="right" w:leader="dot" w:pos="9016"/>
        </w:tabs>
        <w:rPr>
          <w:rFonts w:asciiTheme="minorHAnsi" w:eastAsiaTheme="minorEastAsia" w:hAnsiTheme="minorHAnsi" w:cs="Mangal"/>
          <w:noProof/>
          <w:color w:val="auto"/>
          <w:szCs w:val="21"/>
          <w:lang w:eastAsia="en-GB" w:bidi="hi-IN"/>
        </w:rPr>
      </w:pPr>
      <w:r>
        <w:fldChar w:fldCharType="begin"/>
      </w:r>
      <w:r>
        <w:instrText xml:space="preserve"> TOC \h \z \c "Figure" </w:instrText>
      </w:r>
      <w:r>
        <w:fldChar w:fldCharType="separate"/>
      </w:r>
      <w:hyperlink w:anchor="_Toc241078121" w:history="1">
        <w:r w:rsidR="00970609" w:rsidRPr="00FE22A8">
          <w:rPr>
            <w:rStyle w:val="Hyperlink"/>
            <w:noProof/>
          </w:rPr>
          <w:t xml:space="preserve">Figure 1: </w:t>
        </w:r>
        <w:r w:rsidR="00970609" w:rsidRPr="00FE22A8">
          <w:rPr>
            <w:rStyle w:val="Hyperlink"/>
            <w:rFonts w:cs="Times New Roman"/>
            <w:noProof/>
          </w:rPr>
          <w:t>Theory of Planned Behaviour (TPB) by Ajzen, (1991)</w:t>
        </w:r>
        <w:r w:rsidR="00970609">
          <w:rPr>
            <w:noProof/>
            <w:webHidden/>
          </w:rPr>
          <w:tab/>
        </w:r>
        <w:r w:rsidR="00970609">
          <w:rPr>
            <w:noProof/>
            <w:webHidden/>
          </w:rPr>
          <w:fldChar w:fldCharType="begin"/>
        </w:r>
        <w:r w:rsidR="00970609">
          <w:rPr>
            <w:noProof/>
            <w:webHidden/>
          </w:rPr>
          <w:instrText xml:space="preserve"> PAGEREF _Toc241078121 \h </w:instrText>
        </w:r>
        <w:r w:rsidR="00970609">
          <w:rPr>
            <w:noProof/>
            <w:webHidden/>
          </w:rPr>
        </w:r>
        <w:r w:rsidR="00970609">
          <w:rPr>
            <w:noProof/>
            <w:webHidden/>
          </w:rPr>
          <w:fldChar w:fldCharType="separate"/>
        </w:r>
        <w:r w:rsidR="00603018">
          <w:rPr>
            <w:noProof/>
            <w:webHidden/>
          </w:rPr>
          <w:t>2</w:t>
        </w:r>
        <w:r w:rsidR="00970609">
          <w:rPr>
            <w:noProof/>
            <w:webHidden/>
          </w:rPr>
          <w:fldChar w:fldCharType="end"/>
        </w:r>
      </w:hyperlink>
    </w:p>
    <w:p w14:paraId="2477C82C" w14:textId="3732996B" w:rsidR="00970609" w:rsidRDefault="009B233B">
      <w:pPr>
        <w:pStyle w:val="TableofFigures"/>
        <w:tabs>
          <w:tab w:val="right" w:leader="dot" w:pos="9016"/>
        </w:tabs>
        <w:rPr>
          <w:rFonts w:asciiTheme="minorHAnsi" w:eastAsiaTheme="minorEastAsia" w:hAnsiTheme="minorHAnsi" w:cs="Mangal"/>
          <w:noProof/>
          <w:color w:val="auto"/>
          <w:szCs w:val="21"/>
          <w:lang w:eastAsia="en-GB" w:bidi="hi-IN"/>
        </w:rPr>
      </w:pPr>
      <w:hyperlink w:anchor="_Toc241078122" w:history="1">
        <w:r w:rsidR="00970609" w:rsidRPr="00FE22A8">
          <w:rPr>
            <w:rStyle w:val="Hyperlink"/>
            <w:noProof/>
          </w:rPr>
          <w:t>Figure 2: Conceptual Framework</w:t>
        </w:r>
        <w:r w:rsidR="00970609">
          <w:rPr>
            <w:noProof/>
            <w:webHidden/>
          </w:rPr>
          <w:tab/>
        </w:r>
        <w:r w:rsidR="00970609">
          <w:rPr>
            <w:noProof/>
            <w:webHidden/>
          </w:rPr>
          <w:fldChar w:fldCharType="begin"/>
        </w:r>
        <w:r w:rsidR="00970609">
          <w:rPr>
            <w:noProof/>
            <w:webHidden/>
          </w:rPr>
          <w:instrText xml:space="preserve"> PAGEREF _Toc241078122 \h </w:instrText>
        </w:r>
        <w:r w:rsidR="00970609">
          <w:rPr>
            <w:noProof/>
            <w:webHidden/>
          </w:rPr>
        </w:r>
        <w:r w:rsidR="00970609">
          <w:rPr>
            <w:noProof/>
            <w:webHidden/>
          </w:rPr>
          <w:fldChar w:fldCharType="separate"/>
        </w:r>
        <w:r w:rsidR="00603018">
          <w:rPr>
            <w:noProof/>
            <w:webHidden/>
          </w:rPr>
          <w:t>2</w:t>
        </w:r>
        <w:r w:rsidR="00970609">
          <w:rPr>
            <w:noProof/>
            <w:webHidden/>
          </w:rPr>
          <w:fldChar w:fldCharType="end"/>
        </w:r>
      </w:hyperlink>
    </w:p>
    <w:p w14:paraId="2246F3B0" w14:textId="1873C0B0" w:rsidR="00970609" w:rsidRDefault="009B233B">
      <w:pPr>
        <w:pStyle w:val="TableofFigures"/>
        <w:tabs>
          <w:tab w:val="right" w:leader="dot" w:pos="9016"/>
        </w:tabs>
        <w:rPr>
          <w:rFonts w:asciiTheme="minorHAnsi" w:eastAsiaTheme="minorEastAsia" w:hAnsiTheme="minorHAnsi" w:cs="Mangal"/>
          <w:noProof/>
          <w:color w:val="auto"/>
          <w:szCs w:val="21"/>
          <w:lang w:eastAsia="en-GB" w:bidi="hi-IN"/>
        </w:rPr>
      </w:pPr>
      <w:hyperlink w:anchor="_Toc241078123" w:history="1">
        <w:r w:rsidR="00970609" w:rsidRPr="00FE22A8">
          <w:rPr>
            <w:rStyle w:val="Hyperlink"/>
            <w:noProof/>
          </w:rPr>
          <w:t>Figure 3: Age of the participants</w:t>
        </w:r>
        <w:r w:rsidR="00970609">
          <w:rPr>
            <w:noProof/>
            <w:webHidden/>
          </w:rPr>
          <w:tab/>
        </w:r>
        <w:r w:rsidR="00970609">
          <w:rPr>
            <w:noProof/>
            <w:webHidden/>
          </w:rPr>
          <w:fldChar w:fldCharType="begin"/>
        </w:r>
        <w:r w:rsidR="00970609">
          <w:rPr>
            <w:noProof/>
            <w:webHidden/>
          </w:rPr>
          <w:instrText xml:space="preserve"> PAGEREF _Toc241078123 \h </w:instrText>
        </w:r>
        <w:r w:rsidR="00970609">
          <w:rPr>
            <w:noProof/>
            <w:webHidden/>
          </w:rPr>
        </w:r>
        <w:r w:rsidR="00970609">
          <w:rPr>
            <w:noProof/>
            <w:webHidden/>
          </w:rPr>
          <w:fldChar w:fldCharType="separate"/>
        </w:r>
        <w:r w:rsidR="00603018">
          <w:rPr>
            <w:noProof/>
            <w:webHidden/>
          </w:rPr>
          <w:t>2</w:t>
        </w:r>
        <w:r w:rsidR="00970609">
          <w:rPr>
            <w:noProof/>
            <w:webHidden/>
          </w:rPr>
          <w:fldChar w:fldCharType="end"/>
        </w:r>
      </w:hyperlink>
    </w:p>
    <w:p w14:paraId="16FF6727" w14:textId="2C779E8B" w:rsidR="00970609" w:rsidRDefault="009B233B">
      <w:pPr>
        <w:pStyle w:val="TableofFigures"/>
        <w:tabs>
          <w:tab w:val="right" w:leader="dot" w:pos="9016"/>
        </w:tabs>
        <w:rPr>
          <w:rFonts w:asciiTheme="minorHAnsi" w:eastAsiaTheme="minorEastAsia" w:hAnsiTheme="minorHAnsi" w:cs="Mangal"/>
          <w:noProof/>
          <w:color w:val="auto"/>
          <w:szCs w:val="21"/>
          <w:lang w:eastAsia="en-GB" w:bidi="hi-IN"/>
        </w:rPr>
      </w:pPr>
      <w:hyperlink w:anchor="_Toc241078124" w:history="1">
        <w:r w:rsidR="00970609" w:rsidRPr="00FE22A8">
          <w:rPr>
            <w:rStyle w:val="Hyperlink"/>
            <w:noProof/>
          </w:rPr>
          <w:t>Figure 4: Gender of the participants</w:t>
        </w:r>
        <w:r w:rsidR="00970609">
          <w:rPr>
            <w:noProof/>
            <w:webHidden/>
          </w:rPr>
          <w:tab/>
        </w:r>
        <w:r w:rsidR="00970609">
          <w:rPr>
            <w:noProof/>
            <w:webHidden/>
          </w:rPr>
          <w:fldChar w:fldCharType="begin"/>
        </w:r>
        <w:r w:rsidR="00970609">
          <w:rPr>
            <w:noProof/>
            <w:webHidden/>
          </w:rPr>
          <w:instrText xml:space="preserve"> PAGEREF _Toc241078124 \h </w:instrText>
        </w:r>
        <w:r w:rsidR="00970609">
          <w:rPr>
            <w:noProof/>
            <w:webHidden/>
          </w:rPr>
        </w:r>
        <w:r w:rsidR="00970609">
          <w:rPr>
            <w:noProof/>
            <w:webHidden/>
          </w:rPr>
          <w:fldChar w:fldCharType="separate"/>
        </w:r>
        <w:r w:rsidR="00603018">
          <w:rPr>
            <w:noProof/>
            <w:webHidden/>
          </w:rPr>
          <w:t>2</w:t>
        </w:r>
        <w:r w:rsidR="00970609">
          <w:rPr>
            <w:noProof/>
            <w:webHidden/>
          </w:rPr>
          <w:fldChar w:fldCharType="end"/>
        </w:r>
      </w:hyperlink>
    </w:p>
    <w:p w14:paraId="5F251031" w14:textId="10790767" w:rsidR="00970609" w:rsidRDefault="009B233B">
      <w:pPr>
        <w:pStyle w:val="TableofFigures"/>
        <w:tabs>
          <w:tab w:val="right" w:leader="dot" w:pos="9016"/>
        </w:tabs>
        <w:rPr>
          <w:rFonts w:asciiTheme="minorHAnsi" w:eastAsiaTheme="minorEastAsia" w:hAnsiTheme="minorHAnsi" w:cs="Mangal"/>
          <w:noProof/>
          <w:color w:val="auto"/>
          <w:szCs w:val="21"/>
          <w:lang w:eastAsia="en-GB" w:bidi="hi-IN"/>
        </w:rPr>
      </w:pPr>
      <w:hyperlink w:anchor="_Toc241078125" w:history="1">
        <w:r w:rsidR="00970609" w:rsidRPr="00FE22A8">
          <w:rPr>
            <w:rStyle w:val="Hyperlink"/>
            <w:noProof/>
          </w:rPr>
          <w:t>Figure 5: Annual household income of the participants</w:t>
        </w:r>
        <w:r w:rsidR="00970609">
          <w:rPr>
            <w:noProof/>
            <w:webHidden/>
          </w:rPr>
          <w:tab/>
        </w:r>
        <w:r w:rsidR="00970609">
          <w:rPr>
            <w:noProof/>
            <w:webHidden/>
          </w:rPr>
          <w:fldChar w:fldCharType="begin"/>
        </w:r>
        <w:r w:rsidR="00970609">
          <w:rPr>
            <w:noProof/>
            <w:webHidden/>
          </w:rPr>
          <w:instrText xml:space="preserve"> PAGEREF _Toc241078125 \h </w:instrText>
        </w:r>
        <w:r w:rsidR="00970609">
          <w:rPr>
            <w:noProof/>
            <w:webHidden/>
          </w:rPr>
        </w:r>
        <w:r w:rsidR="00970609">
          <w:rPr>
            <w:noProof/>
            <w:webHidden/>
          </w:rPr>
          <w:fldChar w:fldCharType="separate"/>
        </w:r>
        <w:r w:rsidR="00603018">
          <w:rPr>
            <w:noProof/>
            <w:webHidden/>
          </w:rPr>
          <w:t>2</w:t>
        </w:r>
        <w:r w:rsidR="00970609">
          <w:rPr>
            <w:noProof/>
            <w:webHidden/>
          </w:rPr>
          <w:fldChar w:fldCharType="end"/>
        </w:r>
      </w:hyperlink>
    </w:p>
    <w:p w14:paraId="2BEB1D84" w14:textId="23C1BA92" w:rsidR="00970609" w:rsidRDefault="009B233B">
      <w:pPr>
        <w:pStyle w:val="TableofFigures"/>
        <w:tabs>
          <w:tab w:val="right" w:leader="dot" w:pos="9016"/>
        </w:tabs>
        <w:rPr>
          <w:rFonts w:asciiTheme="minorHAnsi" w:eastAsiaTheme="minorEastAsia" w:hAnsiTheme="minorHAnsi" w:cs="Mangal"/>
          <w:noProof/>
          <w:color w:val="auto"/>
          <w:szCs w:val="21"/>
          <w:lang w:eastAsia="en-GB" w:bidi="hi-IN"/>
        </w:rPr>
      </w:pPr>
      <w:hyperlink w:anchor="_Toc241078126" w:history="1">
        <w:r w:rsidR="00970609" w:rsidRPr="00FE22A8">
          <w:rPr>
            <w:rStyle w:val="Hyperlink"/>
            <w:noProof/>
          </w:rPr>
          <w:t>Figure 6: Frequency of purchasing fast fashion apparel</w:t>
        </w:r>
        <w:r w:rsidR="00970609">
          <w:rPr>
            <w:noProof/>
            <w:webHidden/>
          </w:rPr>
          <w:tab/>
        </w:r>
        <w:r w:rsidR="00970609">
          <w:rPr>
            <w:noProof/>
            <w:webHidden/>
          </w:rPr>
          <w:fldChar w:fldCharType="begin"/>
        </w:r>
        <w:r w:rsidR="00970609">
          <w:rPr>
            <w:noProof/>
            <w:webHidden/>
          </w:rPr>
          <w:instrText xml:space="preserve"> PAGEREF _Toc241078126 \h </w:instrText>
        </w:r>
        <w:r w:rsidR="00970609">
          <w:rPr>
            <w:noProof/>
            <w:webHidden/>
          </w:rPr>
        </w:r>
        <w:r w:rsidR="00970609">
          <w:rPr>
            <w:noProof/>
            <w:webHidden/>
          </w:rPr>
          <w:fldChar w:fldCharType="separate"/>
        </w:r>
        <w:r w:rsidR="00603018">
          <w:rPr>
            <w:noProof/>
            <w:webHidden/>
          </w:rPr>
          <w:t>2</w:t>
        </w:r>
        <w:r w:rsidR="00970609">
          <w:rPr>
            <w:noProof/>
            <w:webHidden/>
          </w:rPr>
          <w:fldChar w:fldCharType="end"/>
        </w:r>
      </w:hyperlink>
    </w:p>
    <w:p w14:paraId="75D81223" w14:textId="7D56AB19" w:rsidR="00970609" w:rsidRDefault="009B233B">
      <w:pPr>
        <w:pStyle w:val="TableofFigures"/>
        <w:tabs>
          <w:tab w:val="right" w:leader="dot" w:pos="9016"/>
        </w:tabs>
        <w:rPr>
          <w:rFonts w:asciiTheme="minorHAnsi" w:eastAsiaTheme="minorEastAsia" w:hAnsiTheme="minorHAnsi" w:cs="Mangal"/>
          <w:noProof/>
          <w:color w:val="auto"/>
          <w:szCs w:val="21"/>
          <w:lang w:eastAsia="en-GB" w:bidi="hi-IN"/>
        </w:rPr>
      </w:pPr>
      <w:hyperlink w:anchor="_Toc241078127" w:history="1">
        <w:r w:rsidR="00970609" w:rsidRPr="00FE22A8">
          <w:rPr>
            <w:rStyle w:val="Hyperlink"/>
            <w:noProof/>
          </w:rPr>
          <w:t>Figure 7: Structural Equation Model Showing Path Coefficients (β), t-Values, and Variance Explained (R</w:t>
        </w:r>
        <w:r w:rsidR="00970609" w:rsidRPr="00FE22A8">
          <w:rPr>
            <w:rStyle w:val="Hyperlink"/>
            <w:noProof/>
            <w:vertAlign w:val="superscript"/>
          </w:rPr>
          <w:t>2</w:t>
        </w:r>
        <w:r w:rsidR="00970609" w:rsidRPr="00FE22A8">
          <w:rPr>
            <w:rStyle w:val="Hyperlink"/>
            <w:noProof/>
          </w:rPr>
          <w:t>)</w:t>
        </w:r>
        <w:r w:rsidR="00970609">
          <w:rPr>
            <w:noProof/>
            <w:webHidden/>
          </w:rPr>
          <w:tab/>
        </w:r>
        <w:r w:rsidR="00970609">
          <w:rPr>
            <w:noProof/>
            <w:webHidden/>
          </w:rPr>
          <w:fldChar w:fldCharType="begin"/>
        </w:r>
        <w:r w:rsidR="00970609">
          <w:rPr>
            <w:noProof/>
            <w:webHidden/>
          </w:rPr>
          <w:instrText xml:space="preserve"> PAGEREF _Toc241078127 \h </w:instrText>
        </w:r>
        <w:r w:rsidR="00970609">
          <w:rPr>
            <w:noProof/>
            <w:webHidden/>
          </w:rPr>
        </w:r>
        <w:r w:rsidR="00970609">
          <w:rPr>
            <w:noProof/>
            <w:webHidden/>
          </w:rPr>
          <w:fldChar w:fldCharType="separate"/>
        </w:r>
        <w:r w:rsidR="00603018">
          <w:rPr>
            <w:noProof/>
            <w:webHidden/>
          </w:rPr>
          <w:t>2</w:t>
        </w:r>
        <w:r w:rsidR="00970609">
          <w:rPr>
            <w:noProof/>
            <w:webHidden/>
          </w:rPr>
          <w:fldChar w:fldCharType="end"/>
        </w:r>
      </w:hyperlink>
    </w:p>
    <w:p w14:paraId="69B6225B" w14:textId="7D3CC9F6" w:rsidR="00DC500E" w:rsidRDefault="00DC500E" w:rsidP="002A413E">
      <w:r>
        <w:fldChar w:fldCharType="end"/>
      </w:r>
    </w:p>
    <w:p w14:paraId="080C855B" w14:textId="77777777" w:rsidR="001E6B0A" w:rsidRDefault="001E6B0A">
      <w:pPr>
        <w:spacing w:line="240" w:lineRule="auto"/>
        <w:jc w:val="left"/>
        <w:rPr>
          <w:b/>
          <w:bCs/>
        </w:rPr>
      </w:pPr>
      <w:r>
        <w:rPr>
          <w:b/>
          <w:bCs/>
        </w:rPr>
        <w:br w:type="page"/>
      </w:r>
    </w:p>
    <w:p w14:paraId="62B547BA" w14:textId="771BFED7" w:rsidR="00DC500E" w:rsidRPr="00DC500E" w:rsidRDefault="00DC500E" w:rsidP="008F33FD">
      <w:pPr>
        <w:pStyle w:val="Heading1"/>
      </w:pPr>
      <w:bookmarkStart w:id="8" w:name="_Toc241147157"/>
      <w:r w:rsidRPr="00DC500E">
        <w:lastRenderedPageBreak/>
        <w:t>List of Tables</w:t>
      </w:r>
      <w:bookmarkEnd w:id="8"/>
    </w:p>
    <w:p w14:paraId="627FBA01" w14:textId="652EBB25" w:rsidR="001E6B0A" w:rsidRDefault="00DC500E">
      <w:pPr>
        <w:pStyle w:val="TableofFigures"/>
        <w:tabs>
          <w:tab w:val="right" w:leader="dot" w:pos="9016"/>
        </w:tabs>
        <w:rPr>
          <w:rFonts w:asciiTheme="minorHAnsi" w:eastAsiaTheme="minorEastAsia" w:hAnsiTheme="minorHAnsi" w:cs="Mangal"/>
          <w:noProof/>
          <w:color w:val="auto"/>
          <w:szCs w:val="21"/>
          <w:lang w:eastAsia="en-GB" w:bidi="hi-IN"/>
        </w:rPr>
      </w:pPr>
      <w:r>
        <w:fldChar w:fldCharType="begin"/>
      </w:r>
      <w:r>
        <w:instrText xml:space="preserve"> TOC \h \z \c "Table" </w:instrText>
      </w:r>
      <w:r>
        <w:fldChar w:fldCharType="separate"/>
      </w:r>
      <w:hyperlink w:anchor="_Toc241053199" w:history="1">
        <w:r w:rsidR="001E6B0A" w:rsidRPr="00EC55B0">
          <w:rPr>
            <w:rStyle w:val="Hyperlink"/>
            <w:noProof/>
          </w:rPr>
          <w:t>Table 1: Greenwashing Scepticism (GWS)</w:t>
        </w:r>
        <w:r w:rsidR="001E6B0A">
          <w:rPr>
            <w:noProof/>
            <w:webHidden/>
          </w:rPr>
          <w:tab/>
        </w:r>
        <w:r w:rsidR="001E6B0A">
          <w:rPr>
            <w:noProof/>
            <w:webHidden/>
          </w:rPr>
          <w:fldChar w:fldCharType="begin"/>
        </w:r>
        <w:r w:rsidR="001E6B0A">
          <w:rPr>
            <w:noProof/>
            <w:webHidden/>
          </w:rPr>
          <w:instrText xml:space="preserve"> PAGEREF _Toc241053199 \h </w:instrText>
        </w:r>
        <w:r w:rsidR="001E6B0A">
          <w:rPr>
            <w:noProof/>
            <w:webHidden/>
          </w:rPr>
        </w:r>
        <w:r w:rsidR="001E6B0A">
          <w:rPr>
            <w:noProof/>
            <w:webHidden/>
          </w:rPr>
          <w:fldChar w:fldCharType="separate"/>
        </w:r>
        <w:r w:rsidR="00603018">
          <w:rPr>
            <w:noProof/>
            <w:webHidden/>
          </w:rPr>
          <w:t>2</w:t>
        </w:r>
        <w:r w:rsidR="001E6B0A">
          <w:rPr>
            <w:noProof/>
            <w:webHidden/>
          </w:rPr>
          <w:fldChar w:fldCharType="end"/>
        </w:r>
      </w:hyperlink>
    </w:p>
    <w:p w14:paraId="590FACF3" w14:textId="276C52C7" w:rsidR="001E6B0A" w:rsidRDefault="009B233B">
      <w:pPr>
        <w:pStyle w:val="TableofFigures"/>
        <w:tabs>
          <w:tab w:val="right" w:leader="dot" w:pos="9016"/>
        </w:tabs>
        <w:rPr>
          <w:rFonts w:asciiTheme="minorHAnsi" w:eastAsiaTheme="minorEastAsia" w:hAnsiTheme="minorHAnsi" w:cs="Mangal"/>
          <w:noProof/>
          <w:color w:val="auto"/>
          <w:szCs w:val="21"/>
          <w:lang w:eastAsia="en-GB" w:bidi="hi-IN"/>
        </w:rPr>
      </w:pPr>
      <w:hyperlink w:anchor="_Toc241053200" w:history="1">
        <w:r w:rsidR="001E6B0A" w:rsidRPr="00EC55B0">
          <w:rPr>
            <w:rStyle w:val="Hyperlink"/>
            <w:noProof/>
          </w:rPr>
          <w:t>Table 2: Consumer Trust (CT)</w:t>
        </w:r>
        <w:r w:rsidR="001E6B0A">
          <w:rPr>
            <w:noProof/>
            <w:webHidden/>
          </w:rPr>
          <w:tab/>
        </w:r>
        <w:r w:rsidR="001E6B0A">
          <w:rPr>
            <w:noProof/>
            <w:webHidden/>
          </w:rPr>
          <w:fldChar w:fldCharType="begin"/>
        </w:r>
        <w:r w:rsidR="001E6B0A">
          <w:rPr>
            <w:noProof/>
            <w:webHidden/>
          </w:rPr>
          <w:instrText xml:space="preserve"> PAGEREF _Toc241053200 \h </w:instrText>
        </w:r>
        <w:r w:rsidR="001E6B0A">
          <w:rPr>
            <w:noProof/>
            <w:webHidden/>
          </w:rPr>
        </w:r>
        <w:r w:rsidR="001E6B0A">
          <w:rPr>
            <w:noProof/>
            <w:webHidden/>
          </w:rPr>
          <w:fldChar w:fldCharType="separate"/>
        </w:r>
        <w:r w:rsidR="00603018">
          <w:rPr>
            <w:noProof/>
            <w:webHidden/>
          </w:rPr>
          <w:t>2</w:t>
        </w:r>
        <w:r w:rsidR="001E6B0A">
          <w:rPr>
            <w:noProof/>
            <w:webHidden/>
          </w:rPr>
          <w:fldChar w:fldCharType="end"/>
        </w:r>
      </w:hyperlink>
    </w:p>
    <w:p w14:paraId="496AD865" w14:textId="68BF52E2" w:rsidR="001E6B0A" w:rsidRDefault="009B233B">
      <w:pPr>
        <w:pStyle w:val="TableofFigures"/>
        <w:tabs>
          <w:tab w:val="right" w:leader="dot" w:pos="9016"/>
        </w:tabs>
        <w:rPr>
          <w:rFonts w:asciiTheme="minorHAnsi" w:eastAsiaTheme="minorEastAsia" w:hAnsiTheme="minorHAnsi" w:cs="Mangal"/>
          <w:noProof/>
          <w:color w:val="auto"/>
          <w:szCs w:val="21"/>
          <w:lang w:eastAsia="en-GB" w:bidi="hi-IN"/>
        </w:rPr>
      </w:pPr>
      <w:hyperlink w:anchor="_Toc241053201" w:history="1">
        <w:r w:rsidR="001E6B0A" w:rsidRPr="00EC55B0">
          <w:rPr>
            <w:rStyle w:val="Hyperlink"/>
            <w:noProof/>
          </w:rPr>
          <w:t>Table 3: Purchase Intention (SPI)</w:t>
        </w:r>
        <w:r w:rsidR="001E6B0A">
          <w:rPr>
            <w:noProof/>
            <w:webHidden/>
          </w:rPr>
          <w:tab/>
        </w:r>
        <w:r w:rsidR="001E6B0A">
          <w:rPr>
            <w:noProof/>
            <w:webHidden/>
          </w:rPr>
          <w:fldChar w:fldCharType="begin"/>
        </w:r>
        <w:r w:rsidR="001E6B0A">
          <w:rPr>
            <w:noProof/>
            <w:webHidden/>
          </w:rPr>
          <w:instrText xml:space="preserve"> PAGEREF _Toc241053201 \h </w:instrText>
        </w:r>
        <w:r w:rsidR="001E6B0A">
          <w:rPr>
            <w:noProof/>
            <w:webHidden/>
          </w:rPr>
        </w:r>
        <w:r w:rsidR="001E6B0A">
          <w:rPr>
            <w:noProof/>
            <w:webHidden/>
          </w:rPr>
          <w:fldChar w:fldCharType="separate"/>
        </w:r>
        <w:r w:rsidR="00603018">
          <w:rPr>
            <w:noProof/>
            <w:webHidden/>
          </w:rPr>
          <w:t>2</w:t>
        </w:r>
        <w:r w:rsidR="001E6B0A">
          <w:rPr>
            <w:noProof/>
            <w:webHidden/>
          </w:rPr>
          <w:fldChar w:fldCharType="end"/>
        </w:r>
      </w:hyperlink>
    </w:p>
    <w:p w14:paraId="22FC66AC" w14:textId="1BE5E03D" w:rsidR="001E6B0A" w:rsidRDefault="009B233B">
      <w:pPr>
        <w:pStyle w:val="TableofFigures"/>
        <w:tabs>
          <w:tab w:val="right" w:leader="dot" w:pos="9016"/>
        </w:tabs>
        <w:rPr>
          <w:rFonts w:asciiTheme="minorHAnsi" w:eastAsiaTheme="minorEastAsia" w:hAnsiTheme="minorHAnsi" w:cs="Mangal"/>
          <w:noProof/>
          <w:color w:val="auto"/>
          <w:szCs w:val="21"/>
          <w:lang w:eastAsia="en-GB" w:bidi="hi-IN"/>
        </w:rPr>
      </w:pPr>
      <w:hyperlink w:anchor="_Toc241053202" w:history="1">
        <w:r w:rsidR="001E6B0A" w:rsidRPr="00EC55B0">
          <w:rPr>
            <w:rStyle w:val="Hyperlink"/>
            <w:noProof/>
          </w:rPr>
          <w:t>Table 4: Construct Reliability and Convergent Validity</w:t>
        </w:r>
        <w:r w:rsidR="001E6B0A">
          <w:rPr>
            <w:noProof/>
            <w:webHidden/>
          </w:rPr>
          <w:tab/>
        </w:r>
        <w:r w:rsidR="001E6B0A">
          <w:rPr>
            <w:noProof/>
            <w:webHidden/>
          </w:rPr>
          <w:fldChar w:fldCharType="begin"/>
        </w:r>
        <w:r w:rsidR="001E6B0A">
          <w:rPr>
            <w:noProof/>
            <w:webHidden/>
          </w:rPr>
          <w:instrText xml:space="preserve"> PAGEREF _Toc241053202 \h </w:instrText>
        </w:r>
        <w:r w:rsidR="001E6B0A">
          <w:rPr>
            <w:noProof/>
            <w:webHidden/>
          </w:rPr>
        </w:r>
        <w:r w:rsidR="001E6B0A">
          <w:rPr>
            <w:noProof/>
            <w:webHidden/>
          </w:rPr>
          <w:fldChar w:fldCharType="separate"/>
        </w:r>
        <w:r w:rsidR="00603018">
          <w:rPr>
            <w:noProof/>
            <w:webHidden/>
          </w:rPr>
          <w:t>2</w:t>
        </w:r>
        <w:r w:rsidR="001E6B0A">
          <w:rPr>
            <w:noProof/>
            <w:webHidden/>
          </w:rPr>
          <w:fldChar w:fldCharType="end"/>
        </w:r>
      </w:hyperlink>
    </w:p>
    <w:p w14:paraId="47FB8F01" w14:textId="6E7952C5" w:rsidR="001E6B0A" w:rsidRDefault="009B233B">
      <w:pPr>
        <w:pStyle w:val="TableofFigures"/>
        <w:tabs>
          <w:tab w:val="right" w:leader="dot" w:pos="9016"/>
        </w:tabs>
        <w:rPr>
          <w:rFonts w:asciiTheme="minorHAnsi" w:eastAsiaTheme="minorEastAsia" w:hAnsiTheme="minorHAnsi" w:cs="Mangal"/>
          <w:noProof/>
          <w:color w:val="auto"/>
          <w:szCs w:val="21"/>
          <w:lang w:eastAsia="en-GB" w:bidi="hi-IN"/>
        </w:rPr>
      </w:pPr>
      <w:hyperlink w:anchor="_Toc241053203" w:history="1">
        <w:r w:rsidR="001E6B0A" w:rsidRPr="00EC55B0">
          <w:rPr>
            <w:rStyle w:val="Hyperlink"/>
            <w:noProof/>
          </w:rPr>
          <w:t>Table 5: Discriminant Validity (Heterotrait-Monotrait Ratio - HTMT)</w:t>
        </w:r>
        <w:r w:rsidR="001E6B0A">
          <w:rPr>
            <w:noProof/>
            <w:webHidden/>
          </w:rPr>
          <w:tab/>
        </w:r>
        <w:r w:rsidR="001E6B0A">
          <w:rPr>
            <w:noProof/>
            <w:webHidden/>
          </w:rPr>
          <w:fldChar w:fldCharType="begin"/>
        </w:r>
        <w:r w:rsidR="001E6B0A">
          <w:rPr>
            <w:noProof/>
            <w:webHidden/>
          </w:rPr>
          <w:instrText xml:space="preserve"> PAGEREF _Toc241053203 \h </w:instrText>
        </w:r>
        <w:r w:rsidR="001E6B0A">
          <w:rPr>
            <w:noProof/>
            <w:webHidden/>
          </w:rPr>
        </w:r>
        <w:r w:rsidR="001E6B0A">
          <w:rPr>
            <w:noProof/>
            <w:webHidden/>
          </w:rPr>
          <w:fldChar w:fldCharType="separate"/>
        </w:r>
        <w:r w:rsidR="00603018">
          <w:rPr>
            <w:noProof/>
            <w:webHidden/>
          </w:rPr>
          <w:t>2</w:t>
        </w:r>
        <w:r w:rsidR="001E6B0A">
          <w:rPr>
            <w:noProof/>
            <w:webHidden/>
          </w:rPr>
          <w:fldChar w:fldCharType="end"/>
        </w:r>
      </w:hyperlink>
    </w:p>
    <w:p w14:paraId="18A9EDE3" w14:textId="469BE4F0" w:rsidR="001E6B0A" w:rsidRDefault="009B233B">
      <w:pPr>
        <w:pStyle w:val="TableofFigures"/>
        <w:tabs>
          <w:tab w:val="right" w:leader="dot" w:pos="9016"/>
        </w:tabs>
        <w:rPr>
          <w:rFonts w:asciiTheme="minorHAnsi" w:eastAsiaTheme="minorEastAsia" w:hAnsiTheme="minorHAnsi" w:cs="Mangal"/>
          <w:noProof/>
          <w:color w:val="auto"/>
          <w:szCs w:val="21"/>
          <w:lang w:eastAsia="en-GB" w:bidi="hi-IN"/>
        </w:rPr>
      </w:pPr>
      <w:hyperlink w:anchor="_Toc241053204" w:history="1">
        <w:r w:rsidR="001E6B0A" w:rsidRPr="00EC55B0">
          <w:rPr>
            <w:rStyle w:val="Hyperlink"/>
            <w:noProof/>
          </w:rPr>
          <w:t>Table 6: Model Fit Summary</w:t>
        </w:r>
        <w:r w:rsidR="001E6B0A">
          <w:rPr>
            <w:noProof/>
            <w:webHidden/>
          </w:rPr>
          <w:tab/>
        </w:r>
        <w:r w:rsidR="001E6B0A">
          <w:rPr>
            <w:noProof/>
            <w:webHidden/>
          </w:rPr>
          <w:fldChar w:fldCharType="begin"/>
        </w:r>
        <w:r w:rsidR="001E6B0A">
          <w:rPr>
            <w:noProof/>
            <w:webHidden/>
          </w:rPr>
          <w:instrText xml:space="preserve"> PAGEREF _Toc241053204 \h </w:instrText>
        </w:r>
        <w:r w:rsidR="001E6B0A">
          <w:rPr>
            <w:noProof/>
            <w:webHidden/>
          </w:rPr>
        </w:r>
        <w:r w:rsidR="001E6B0A">
          <w:rPr>
            <w:noProof/>
            <w:webHidden/>
          </w:rPr>
          <w:fldChar w:fldCharType="separate"/>
        </w:r>
        <w:r w:rsidR="00603018">
          <w:rPr>
            <w:noProof/>
            <w:webHidden/>
          </w:rPr>
          <w:t>2</w:t>
        </w:r>
        <w:r w:rsidR="001E6B0A">
          <w:rPr>
            <w:noProof/>
            <w:webHidden/>
          </w:rPr>
          <w:fldChar w:fldCharType="end"/>
        </w:r>
      </w:hyperlink>
    </w:p>
    <w:p w14:paraId="4A17CCBF" w14:textId="5C258AC3" w:rsidR="001E6B0A" w:rsidRDefault="009B233B">
      <w:pPr>
        <w:pStyle w:val="TableofFigures"/>
        <w:tabs>
          <w:tab w:val="right" w:leader="dot" w:pos="9016"/>
        </w:tabs>
        <w:rPr>
          <w:rFonts w:asciiTheme="minorHAnsi" w:eastAsiaTheme="minorEastAsia" w:hAnsiTheme="minorHAnsi" w:cs="Mangal"/>
          <w:noProof/>
          <w:color w:val="auto"/>
          <w:szCs w:val="21"/>
          <w:lang w:eastAsia="en-GB" w:bidi="hi-IN"/>
        </w:rPr>
      </w:pPr>
      <w:hyperlink w:anchor="_Toc241053205" w:history="1">
        <w:r w:rsidR="001E6B0A" w:rsidRPr="00EC55B0">
          <w:rPr>
            <w:rStyle w:val="Hyperlink"/>
            <w:noProof/>
          </w:rPr>
          <w:t>Table 7: Coefficient of Determination (R</w:t>
        </w:r>
        <w:r w:rsidR="001E6B0A" w:rsidRPr="00EC55B0">
          <w:rPr>
            <w:rStyle w:val="Hyperlink"/>
            <w:noProof/>
            <w:vertAlign w:val="superscript"/>
          </w:rPr>
          <w:t>2</w:t>
        </w:r>
        <w:r w:rsidR="001E6B0A" w:rsidRPr="00EC55B0">
          <w:rPr>
            <w:rStyle w:val="Hyperlink"/>
            <w:noProof/>
          </w:rPr>
          <w:t>)</w:t>
        </w:r>
        <w:r w:rsidR="001E6B0A">
          <w:rPr>
            <w:noProof/>
            <w:webHidden/>
          </w:rPr>
          <w:tab/>
        </w:r>
        <w:r w:rsidR="001E6B0A">
          <w:rPr>
            <w:noProof/>
            <w:webHidden/>
          </w:rPr>
          <w:fldChar w:fldCharType="begin"/>
        </w:r>
        <w:r w:rsidR="001E6B0A">
          <w:rPr>
            <w:noProof/>
            <w:webHidden/>
          </w:rPr>
          <w:instrText xml:space="preserve"> PAGEREF _Toc241053205 \h </w:instrText>
        </w:r>
        <w:r w:rsidR="001E6B0A">
          <w:rPr>
            <w:noProof/>
            <w:webHidden/>
          </w:rPr>
        </w:r>
        <w:r w:rsidR="001E6B0A">
          <w:rPr>
            <w:noProof/>
            <w:webHidden/>
          </w:rPr>
          <w:fldChar w:fldCharType="separate"/>
        </w:r>
        <w:r w:rsidR="00603018">
          <w:rPr>
            <w:noProof/>
            <w:webHidden/>
          </w:rPr>
          <w:t>2</w:t>
        </w:r>
        <w:r w:rsidR="001E6B0A">
          <w:rPr>
            <w:noProof/>
            <w:webHidden/>
          </w:rPr>
          <w:fldChar w:fldCharType="end"/>
        </w:r>
      </w:hyperlink>
    </w:p>
    <w:p w14:paraId="0E168678" w14:textId="3DB6318C" w:rsidR="001E6B0A" w:rsidRDefault="009B233B">
      <w:pPr>
        <w:pStyle w:val="TableofFigures"/>
        <w:tabs>
          <w:tab w:val="right" w:leader="dot" w:pos="9016"/>
        </w:tabs>
        <w:rPr>
          <w:rFonts w:asciiTheme="minorHAnsi" w:eastAsiaTheme="minorEastAsia" w:hAnsiTheme="minorHAnsi" w:cs="Mangal"/>
          <w:noProof/>
          <w:color w:val="auto"/>
          <w:szCs w:val="21"/>
          <w:lang w:eastAsia="en-GB" w:bidi="hi-IN"/>
        </w:rPr>
      </w:pPr>
      <w:hyperlink w:anchor="_Toc241053206" w:history="1">
        <w:r w:rsidR="001E6B0A" w:rsidRPr="00EC55B0">
          <w:rPr>
            <w:rStyle w:val="Hyperlink"/>
            <w:noProof/>
          </w:rPr>
          <w:t>Table 8: Structural Path Coefficients and Direct Hypothesis Testing</w:t>
        </w:r>
        <w:r w:rsidR="001E6B0A">
          <w:rPr>
            <w:noProof/>
            <w:webHidden/>
          </w:rPr>
          <w:tab/>
        </w:r>
        <w:r w:rsidR="001E6B0A">
          <w:rPr>
            <w:noProof/>
            <w:webHidden/>
          </w:rPr>
          <w:fldChar w:fldCharType="begin"/>
        </w:r>
        <w:r w:rsidR="001E6B0A">
          <w:rPr>
            <w:noProof/>
            <w:webHidden/>
          </w:rPr>
          <w:instrText xml:space="preserve"> PAGEREF _Toc241053206 \h </w:instrText>
        </w:r>
        <w:r w:rsidR="001E6B0A">
          <w:rPr>
            <w:noProof/>
            <w:webHidden/>
          </w:rPr>
        </w:r>
        <w:r w:rsidR="001E6B0A">
          <w:rPr>
            <w:noProof/>
            <w:webHidden/>
          </w:rPr>
          <w:fldChar w:fldCharType="separate"/>
        </w:r>
        <w:r w:rsidR="00603018">
          <w:rPr>
            <w:noProof/>
            <w:webHidden/>
          </w:rPr>
          <w:t>2</w:t>
        </w:r>
        <w:r w:rsidR="001E6B0A">
          <w:rPr>
            <w:noProof/>
            <w:webHidden/>
          </w:rPr>
          <w:fldChar w:fldCharType="end"/>
        </w:r>
      </w:hyperlink>
    </w:p>
    <w:p w14:paraId="11315D39" w14:textId="0234356B" w:rsidR="001E6B0A" w:rsidRDefault="009B233B">
      <w:pPr>
        <w:pStyle w:val="TableofFigures"/>
        <w:tabs>
          <w:tab w:val="right" w:leader="dot" w:pos="9016"/>
        </w:tabs>
        <w:rPr>
          <w:rFonts w:asciiTheme="minorHAnsi" w:eastAsiaTheme="minorEastAsia" w:hAnsiTheme="minorHAnsi" w:cs="Mangal"/>
          <w:noProof/>
          <w:color w:val="auto"/>
          <w:szCs w:val="21"/>
          <w:lang w:eastAsia="en-GB" w:bidi="hi-IN"/>
        </w:rPr>
      </w:pPr>
      <w:hyperlink w:anchor="_Toc241053207" w:history="1">
        <w:r w:rsidR="001E6B0A" w:rsidRPr="00EC55B0">
          <w:rPr>
            <w:rStyle w:val="Hyperlink"/>
            <w:noProof/>
          </w:rPr>
          <w:t>Table 9: Specific Indirect Effects (Mediation Analysis)</w:t>
        </w:r>
        <w:r w:rsidR="001E6B0A">
          <w:rPr>
            <w:noProof/>
            <w:webHidden/>
          </w:rPr>
          <w:tab/>
        </w:r>
        <w:r w:rsidR="001E6B0A">
          <w:rPr>
            <w:noProof/>
            <w:webHidden/>
          </w:rPr>
          <w:fldChar w:fldCharType="begin"/>
        </w:r>
        <w:r w:rsidR="001E6B0A">
          <w:rPr>
            <w:noProof/>
            <w:webHidden/>
          </w:rPr>
          <w:instrText xml:space="preserve"> PAGEREF _Toc241053207 \h </w:instrText>
        </w:r>
        <w:r w:rsidR="001E6B0A">
          <w:rPr>
            <w:noProof/>
            <w:webHidden/>
          </w:rPr>
        </w:r>
        <w:r w:rsidR="001E6B0A">
          <w:rPr>
            <w:noProof/>
            <w:webHidden/>
          </w:rPr>
          <w:fldChar w:fldCharType="separate"/>
        </w:r>
        <w:r w:rsidR="00603018">
          <w:rPr>
            <w:noProof/>
            <w:webHidden/>
          </w:rPr>
          <w:t>2</w:t>
        </w:r>
        <w:r w:rsidR="001E6B0A">
          <w:rPr>
            <w:noProof/>
            <w:webHidden/>
          </w:rPr>
          <w:fldChar w:fldCharType="end"/>
        </w:r>
      </w:hyperlink>
    </w:p>
    <w:p w14:paraId="418CC017" w14:textId="2DD20CF4" w:rsidR="00BF7607" w:rsidRPr="00DC500E" w:rsidRDefault="00DC500E" w:rsidP="002A413E">
      <w:r>
        <w:fldChar w:fldCharType="end"/>
      </w:r>
      <w:r w:rsidR="00BF7607" w:rsidRPr="00DC500E">
        <w:br w:type="page"/>
      </w:r>
    </w:p>
    <w:p w14:paraId="4FB20706" w14:textId="77777777" w:rsidR="00BF7607" w:rsidRPr="00DC500E" w:rsidRDefault="00BF7607" w:rsidP="00BF7607">
      <w:pPr>
        <w:pStyle w:val="Heading1"/>
        <w:rPr>
          <w:rFonts w:cs="Times New Roman"/>
          <w:lang w:eastAsia="en-GB" w:bidi="hi-IN"/>
        </w:rPr>
      </w:pPr>
      <w:bookmarkStart w:id="9" w:name="_Toc241147158"/>
      <w:r w:rsidRPr="00DC500E">
        <w:rPr>
          <w:rFonts w:cs="Times New Roman"/>
          <w:lang w:eastAsia="en-GB" w:bidi="hi-IN"/>
        </w:rPr>
        <w:lastRenderedPageBreak/>
        <w:t>Chapter One: Introduction</w:t>
      </w:r>
      <w:bookmarkEnd w:id="9"/>
    </w:p>
    <w:p w14:paraId="6A5CE901" w14:textId="17E5EAE9" w:rsidR="00492F89" w:rsidRPr="00DC500E" w:rsidRDefault="00BF7607" w:rsidP="00DC500E">
      <w:pPr>
        <w:pStyle w:val="Heading2"/>
        <w:rPr>
          <w:rFonts w:cs="Times New Roman"/>
          <w:lang w:eastAsia="en-GB" w:bidi="hi-IN"/>
        </w:rPr>
      </w:pPr>
      <w:bookmarkStart w:id="10" w:name="_Toc241147159"/>
      <w:r w:rsidRPr="00DC500E">
        <w:rPr>
          <w:rFonts w:cs="Times New Roman"/>
          <w:lang w:eastAsia="en-GB" w:bidi="hi-IN"/>
        </w:rPr>
        <w:t>1.1 Background of the study</w:t>
      </w:r>
      <w:bookmarkEnd w:id="10"/>
    </w:p>
    <w:p w14:paraId="0963B9BC" w14:textId="6794394E" w:rsidR="00492F89" w:rsidRPr="00DC500E" w:rsidRDefault="00492F89" w:rsidP="00492F89">
      <w:pPr>
        <w:rPr>
          <w:rFonts w:cs="Times New Roman"/>
        </w:rPr>
      </w:pPr>
      <w:r w:rsidRPr="00DC500E">
        <w:rPr>
          <w:rFonts w:cs="Times New Roman"/>
        </w:rPr>
        <w:t>The fast fashion industry is a linear industry, with a high turnover rate in production, and a negative environmental impact that is very strong (</w:t>
      </w:r>
      <w:proofErr w:type="spellStart"/>
      <w:r w:rsidRPr="00DC500E">
        <w:rPr>
          <w:rFonts w:cs="Times New Roman"/>
        </w:rPr>
        <w:t>Centobelli</w:t>
      </w:r>
      <w:proofErr w:type="spellEnd"/>
      <w:r w:rsidRPr="00DC500E">
        <w:rPr>
          <w:rFonts w:cs="Times New Roman"/>
        </w:rPr>
        <w:t xml:space="preserve"> et al., 2022). The intensive textile industry is one of the most polluting industrial sectors that contributes significantly to freshwater usage, unprecedented CO emissions from anthropogenic activities, and high microplastic pollution </w:t>
      </w:r>
      <w:r w:rsidR="00A22DB1">
        <w:rPr>
          <w:rFonts w:cs="Times New Roman"/>
        </w:rPr>
        <w:t>in</w:t>
      </w:r>
      <w:r w:rsidRPr="00DC500E">
        <w:rPr>
          <w:rFonts w:cs="Times New Roman"/>
        </w:rPr>
        <w:t xml:space="preserve"> all marine systems (Filho et al., 2022). At the same time, a new mindset among consumers has developed, with the number of people who actively </w:t>
      </w:r>
      <w:r w:rsidR="00A22DB1">
        <w:rPr>
          <w:rFonts w:cs="Times New Roman"/>
        </w:rPr>
        <w:t>“</w:t>
      </w:r>
      <w:r w:rsidRPr="00DC500E">
        <w:rPr>
          <w:rFonts w:cs="Times New Roman"/>
        </w:rPr>
        <w:t>consume with morals</w:t>
      </w:r>
      <w:r w:rsidR="00A22DB1">
        <w:rPr>
          <w:rFonts w:cs="Times New Roman"/>
        </w:rPr>
        <w:t>”</w:t>
      </w:r>
      <w:r w:rsidRPr="00DC500E">
        <w:rPr>
          <w:rFonts w:cs="Times New Roman"/>
        </w:rPr>
        <w:t xml:space="preserve"> and consider environmental sustainability to be a top priority rapidly increasing (Deloitte UK, 2024). Therefore, it is crucial for fast fashion companies to be more flexible and change their strategies and supply chain</w:t>
      </w:r>
      <w:r w:rsidR="00A22DB1">
        <w:rPr>
          <w:rFonts w:cs="Times New Roman"/>
        </w:rPr>
        <w:t>s</w:t>
      </w:r>
      <w:r w:rsidRPr="00DC500E">
        <w:rPr>
          <w:rFonts w:cs="Times New Roman"/>
        </w:rPr>
        <w:t xml:space="preserve"> to be more sustainable to avoid being outperformed by other companies in the market </w:t>
      </w:r>
      <w:r w:rsidR="00A22DB1">
        <w:rPr>
          <w:rFonts w:cs="Times New Roman"/>
        </w:rPr>
        <w:t>(</w:t>
      </w:r>
      <w:proofErr w:type="spellStart"/>
      <w:r w:rsidRPr="00DC500E">
        <w:rPr>
          <w:rFonts w:cs="Times New Roman"/>
        </w:rPr>
        <w:t>Corboș</w:t>
      </w:r>
      <w:proofErr w:type="spellEnd"/>
      <w:r w:rsidRPr="00DC500E">
        <w:rPr>
          <w:rFonts w:cs="Times New Roman"/>
        </w:rPr>
        <w:t xml:space="preserve"> et al., 2023;</w:t>
      </w:r>
    </w:p>
    <w:p w14:paraId="51D92A20" w14:textId="1EF3E664" w:rsidR="00492F89" w:rsidRPr="00DC500E" w:rsidRDefault="00492F89" w:rsidP="00492F89">
      <w:pPr>
        <w:rPr>
          <w:rFonts w:cs="Times New Roman"/>
        </w:rPr>
      </w:pPr>
      <w:r w:rsidRPr="00DC500E">
        <w:rPr>
          <w:rFonts w:cs="Times New Roman"/>
        </w:rPr>
        <w:t>To take advantage of this hugely lucrative green, environmentally friendly market opportunity, multinationals in the fashion space have been going all in</w:t>
      </w:r>
      <w:r w:rsidR="00A22DB1">
        <w:rPr>
          <w:rFonts w:cs="Times New Roman"/>
        </w:rPr>
        <w:t xml:space="preserve"> (</w:t>
      </w:r>
      <w:r w:rsidR="00A22DB1" w:rsidRPr="00DC500E">
        <w:rPr>
          <w:rFonts w:cs="Times New Roman"/>
        </w:rPr>
        <w:t>Olamide, 2025</w:t>
      </w:r>
      <w:r w:rsidR="00A22DB1">
        <w:rPr>
          <w:rFonts w:cs="Times New Roman"/>
        </w:rPr>
        <w:t>).</w:t>
      </w:r>
      <w:r w:rsidRPr="00DC500E">
        <w:rPr>
          <w:rFonts w:cs="Times New Roman"/>
        </w:rPr>
        <w:t xml:space="preserve"> </w:t>
      </w:r>
      <w:r w:rsidR="00A22DB1">
        <w:rPr>
          <w:rFonts w:cs="Times New Roman"/>
        </w:rPr>
        <w:t>P</w:t>
      </w:r>
      <w:r w:rsidRPr="00DC500E">
        <w:rPr>
          <w:rFonts w:cs="Times New Roman"/>
        </w:rPr>
        <w:t>roduction of green communication is believed to have surged across every digital medium</w:t>
      </w:r>
      <w:r w:rsidR="00A22DB1">
        <w:rPr>
          <w:rFonts w:cs="Times New Roman"/>
        </w:rPr>
        <w:t xml:space="preserve"> (</w:t>
      </w:r>
      <w:r w:rsidR="00A22DB1" w:rsidRPr="00A22DB1">
        <w:rPr>
          <w:rFonts w:cs="Times New Roman"/>
        </w:rPr>
        <w:t>Andika et al., 2026</w:t>
      </w:r>
      <w:r w:rsidR="00A22DB1">
        <w:rPr>
          <w:rFonts w:cs="Times New Roman"/>
        </w:rPr>
        <w:t>)</w:t>
      </w:r>
      <w:r w:rsidRPr="00DC500E">
        <w:rPr>
          <w:rFonts w:cs="Times New Roman"/>
        </w:rPr>
        <w:t xml:space="preserve">. Nevertheless, as more companies engage in greater proliferation, there has been a general increase in </w:t>
      </w:r>
      <w:r w:rsidR="00A22DB1">
        <w:rPr>
          <w:rFonts w:cs="Times New Roman"/>
        </w:rPr>
        <w:t>“</w:t>
      </w:r>
      <w:r w:rsidRPr="00DC500E">
        <w:rPr>
          <w:rFonts w:cs="Times New Roman"/>
        </w:rPr>
        <w:t>Greenwashing</w:t>
      </w:r>
      <w:r w:rsidR="00A22DB1">
        <w:rPr>
          <w:rFonts w:cs="Times New Roman"/>
        </w:rPr>
        <w:t>”</w:t>
      </w:r>
      <w:r w:rsidRPr="00DC500E">
        <w:rPr>
          <w:rFonts w:cs="Times New Roman"/>
        </w:rPr>
        <w:t>, the act of misleadingly presenting the environmental performance of a firm (Eze, 2025). In the UK, the amount of greenwashing has led to dramatic institutional action. The Green Claims Code (2021) was launched by the Competition and Markets Authority (CMA) to provide clear consumer limits for retailers</w:t>
      </w:r>
      <w:r w:rsidR="00A22DB1">
        <w:rPr>
          <w:rFonts w:cs="Times New Roman"/>
        </w:rPr>
        <w:t>’</w:t>
      </w:r>
      <w:r w:rsidRPr="00DC500E">
        <w:rPr>
          <w:rFonts w:cs="Times New Roman"/>
        </w:rPr>
        <w:t xml:space="preserve"> green claims and highlights the fact that there is a credibility crisis in the retail sector </w:t>
      </w:r>
      <w:r w:rsidR="00A22DB1">
        <w:rPr>
          <w:rFonts w:cs="Times New Roman"/>
        </w:rPr>
        <w:t>(</w:t>
      </w:r>
      <w:r w:rsidRPr="00DC500E">
        <w:rPr>
          <w:rFonts w:cs="Times New Roman"/>
        </w:rPr>
        <w:t>CMA, 2021). Despite all these solid institutional foundations, deceptive marketing still exists, and it is constantly evolving, creating a highly volatile commercial environment in which corporate marketing communication is, in general, delusional in relation to corporate reality.</w:t>
      </w:r>
    </w:p>
    <w:p w14:paraId="1331FCBF" w14:textId="616D1747" w:rsidR="00492F89" w:rsidRPr="00DC500E" w:rsidRDefault="00492F89" w:rsidP="00492F89">
      <w:pPr>
        <w:rPr>
          <w:rFonts w:cs="Times New Roman"/>
        </w:rPr>
      </w:pPr>
      <w:r w:rsidRPr="00DC500E">
        <w:rPr>
          <w:rFonts w:cs="Times New Roman"/>
        </w:rPr>
        <w:lastRenderedPageBreak/>
        <w:t>Greenwashing has been so prevalent in the UK that there has been a significant reaction amongst the public on a psychological level. Constant and inaudible blending of environmental facts often results in high levels of cognitive dissonance</w:t>
      </w:r>
      <w:r w:rsidR="00A22DB1">
        <w:rPr>
          <w:rFonts w:cs="Times New Roman"/>
        </w:rPr>
        <w:t>,</w:t>
      </w:r>
      <w:r w:rsidRPr="00DC500E">
        <w:rPr>
          <w:rFonts w:cs="Times New Roman"/>
        </w:rPr>
        <w:t xml:space="preserve"> and the spontaneous rise of </w:t>
      </w:r>
      <w:r w:rsidR="00A22DB1">
        <w:rPr>
          <w:rFonts w:cs="Times New Roman"/>
        </w:rPr>
        <w:t>“</w:t>
      </w:r>
      <w:r w:rsidRPr="00DC500E">
        <w:rPr>
          <w:rFonts w:cs="Times New Roman"/>
        </w:rPr>
        <w:t>greenwashing scepticism</w:t>
      </w:r>
      <w:r w:rsidR="00A22DB1">
        <w:rPr>
          <w:rFonts w:cs="Times New Roman"/>
        </w:rPr>
        <w:t xml:space="preserve">” </w:t>
      </w:r>
      <w:r w:rsidR="00A22DB1" w:rsidRPr="00DC500E">
        <w:rPr>
          <w:rFonts w:cs="Times New Roman"/>
        </w:rPr>
        <w:t>arises</w:t>
      </w:r>
      <w:r w:rsidRPr="00DC500E">
        <w:rPr>
          <w:rFonts w:cs="Times New Roman"/>
        </w:rPr>
        <w:t xml:space="preserve"> (Fella and </w:t>
      </w:r>
      <w:proofErr w:type="spellStart"/>
      <w:r w:rsidRPr="00DC500E">
        <w:rPr>
          <w:rFonts w:cs="Times New Roman"/>
        </w:rPr>
        <w:t>Bausa</w:t>
      </w:r>
      <w:proofErr w:type="spellEnd"/>
      <w:r w:rsidRPr="00DC500E">
        <w:rPr>
          <w:rFonts w:cs="Times New Roman"/>
        </w:rPr>
        <w:t xml:space="preserve">, 2024). This scepticism can cause consumers to not just doubt it in terms of a specific product but to turn to brand scepticism in general, as the overall family attitude can spill over to the brand. As shown by </w:t>
      </w:r>
      <w:r w:rsidR="00A22DB1" w:rsidRPr="00DC500E">
        <w:rPr>
          <w:rFonts w:cs="Times New Roman"/>
        </w:rPr>
        <w:t xml:space="preserve">Daou et al. </w:t>
      </w:r>
      <w:r w:rsidR="00A22DB1">
        <w:rPr>
          <w:rFonts w:cs="Times New Roman"/>
        </w:rPr>
        <w:t>(</w:t>
      </w:r>
      <w:r w:rsidR="00A22DB1" w:rsidRPr="00DC500E">
        <w:rPr>
          <w:rFonts w:cs="Times New Roman"/>
        </w:rPr>
        <w:t>2025</w:t>
      </w:r>
      <w:r w:rsidR="00A22DB1">
        <w:rPr>
          <w:rFonts w:cs="Times New Roman"/>
        </w:rPr>
        <w:t>)</w:t>
      </w:r>
      <w:r w:rsidRPr="00DC500E">
        <w:rPr>
          <w:rFonts w:cs="Times New Roman"/>
        </w:rPr>
        <w:t xml:space="preserve">, trust in sustainability logos is currently held by less than a fraction of the British population, and most people are </w:t>
      </w:r>
      <w:proofErr w:type="spellStart"/>
      <w:r w:rsidRPr="00DC500E">
        <w:rPr>
          <w:rFonts w:cs="Times New Roman"/>
        </w:rPr>
        <w:t>skeptical</w:t>
      </w:r>
      <w:proofErr w:type="spellEnd"/>
      <w:r w:rsidRPr="00DC500E">
        <w:rPr>
          <w:rFonts w:cs="Times New Roman"/>
        </w:rPr>
        <w:t xml:space="preserve"> of corporate environmental claims. Consumer trust, as an underlying precondition to diminish perceived purchasing risk, is an important barrier to sustainable market transitions</w:t>
      </w:r>
      <w:r w:rsidR="00A22DB1">
        <w:rPr>
          <w:rFonts w:cs="Times New Roman"/>
        </w:rPr>
        <w:t xml:space="preserve"> </w:t>
      </w:r>
      <w:r w:rsidR="00A22DB1" w:rsidRPr="00DC500E">
        <w:rPr>
          <w:rFonts w:cs="Times New Roman"/>
        </w:rPr>
        <w:t>(</w:t>
      </w:r>
      <w:proofErr w:type="spellStart"/>
      <w:r w:rsidR="00A22DB1" w:rsidRPr="00DC500E">
        <w:rPr>
          <w:rFonts w:cs="Times New Roman"/>
        </w:rPr>
        <w:t>Ruangkanjanases</w:t>
      </w:r>
      <w:proofErr w:type="spellEnd"/>
      <w:r w:rsidR="00A22DB1" w:rsidRPr="00DC500E">
        <w:rPr>
          <w:rFonts w:cs="Times New Roman"/>
        </w:rPr>
        <w:t xml:space="preserve"> et al., 2020)</w:t>
      </w:r>
      <w:r w:rsidRPr="00DC500E">
        <w:rPr>
          <w:rFonts w:cs="Times New Roman"/>
        </w:rPr>
        <w:t>.</w:t>
      </w:r>
    </w:p>
    <w:p w14:paraId="5E91EEE6" w14:textId="59ABDC5F" w:rsidR="00BF7607" w:rsidRPr="00DC500E" w:rsidRDefault="00492F89" w:rsidP="00492F89">
      <w:pPr>
        <w:rPr>
          <w:rFonts w:cs="Times New Roman"/>
        </w:rPr>
      </w:pPr>
      <w:r w:rsidRPr="00DC500E">
        <w:rPr>
          <w:rFonts w:cs="Times New Roman"/>
        </w:rPr>
        <w:t xml:space="preserve">The paralysing psychological effect of deceptive marketing is not inherent in the typical pathway of human purchasing intention, as captured by classical theoretical bases such as the theory of planned behaviour (Ajzen, 1991). </w:t>
      </w:r>
      <w:proofErr w:type="spellStart"/>
      <w:r w:rsidR="00A22DB1" w:rsidRPr="00DC500E">
        <w:rPr>
          <w:rFonts w:cs="Times New Roman"/>
        </w:rPr>
        <w:t>Khandai</w:t>
      </w:r>
      <w:proofErr w:type="spellEnd"/>
      <w:r w:rsidR="00A22DB1" w:rsidRPr="00DC500E">
        <w:rPr>
          <w:rFonts w:cs="Times New Roman"/>
        </w:rPr>
        <w:t xml:space="preserve"> et al. </w:t>
      </w:r>
      <w:r w:rsidR="00A22DB1">
        <w:rPr>
          <w:rFonts w:cs="Times New Roman"/>
        </w:rPr>
        <w:t>(</w:t>
      </w:r>
      <w:r w:rsidR="00A22DB1" w:rsidRPr="00DC500E">
        <w:rPr>
          <w:rFonts w:cs="Times New Roman"/>
        </w:rPr>
        <w:t>2025</w:t>
      </w:r>
      <w:r w:rsidR="00A22DB1">
        <w:rPr>
          <w:rFonts w:cs="Times New Roman"/>
        </w:rPr>
        <w:t>)</w:t>
      </w:r>
      <w:r w:rsidRPr="00DC500E">
        <w:rPr>
          <w:rFonts w:cs="Times New Roman"/>
        </w:rPr>
        <w:t xml:space="preserve"> use structural equation modelling and confirm the important role of greenwashing in reducing customers</w:t>
      </w:r>
      <w:r w:rsidR="00A22DB1">
        <w:rPr>
          <w:rFonts w:cs="Times New Roman"/>
        </w:rPr>
        <w:t>’</w:t>
      </w:r>
      <w:r w:rsidRPr="00DC500E">
        <w:rPr>
          <w:rFonts w:cs="Times New Roman"/>
        </w:rPr>
        <w:t xml:space="preserve"> purchase intentions via increasing the perceived risk. However, less is known about how greenwashing scepticism reduces consumers</w:t>
      </w:r>
      <w:r w:rsidR="00A22DB1">
        <w:rPr>
          <w:rFonts w:cs="Times New Roman"/>
        </w:rPr>
        <w:t>’</w:t>
      </w:r>
      <w:r w:rsidRPr="00DC500E">
        <w:rPr>
          <w:rFonts w:cs="Times New Roman"/>
        </w:rPr>
        <w:t xml:space="preserve"> trust and thus prevents them from purchasing a product sustainably, as in the case of the fast fashion sector in the UK (Mathew and Spinelli, 2025). Understanding this phenomenon (which is complex and mediated by different levels of trust) is important because if this eventuality comes to pass, consumers may forget to engage in their green behaviours or drop them completely because they do not trust the institution.</w:t>
      </w:r>
    </w:p>
    <w:p w14:paraId="1F86CE37" w14:textId="77777777" w:rsidR="00BE3490" w:rsidRPr="00DC500E" w:rsidRDefault="00BF7607" w:rsidP="00BE3490">
      <w:pPr>
        <w:pStyle w:val="Heading2"/>
        <w:rPr>
          <w:rFonts w:cs="Times New Roman"/>
          <w:lang w:eastAsia="en-GB" w:bidi="hi-IN"/>
        </w:rPr>
      </w:pPr>
      <w:bookmarkStart w:id="11" w:name="_Toc241147160"/>
      <w:r w:rsidRPr="00DC500E">
        <w:rPr>
          <w:rFonts w:cs="Times New Roman"/>
          <w:lang w:eastAsia="en-GB" w:bidi="hi-IN"/>
        </w:rPr>
        <w:t>1.2 Problem Statement</w:t>
      </w:r>
      <w:bookmarkEnd w:id="11"/>
    </w:p>
    <w:p w14:paraId="5AE8E156" w14:textId="6775B256" w:rsidR="00492F89" w:rsidRPr="00DC500E" w:rsidRDefault="00492F89" w:rsidP="00492F89">
      <w:pPr>
        <w:rPr>
          <w:rFonts w:cs="Times New Roman"/>
        </w:rPr>
      </w:pPr>
      <w:r w:rsidRPr="00DC500E">
        <w:rPr>
          <w:rFonts w:cs="Times New Roman"/>
        </w:rPr>
        <w:t xml:space="preserve">Trust is arguably the greatest problem in the fast fashion industry in the UK, as consumers are deceiving themselves into believing their sustainable fashion is really making a difference, and this space of deception also limits the market, which should be doing better. The industry is under immense pressure to become more sustainable, but many fashion brands have been using </w:t>
      </w:r>
      <w:r w:rsidRPr="00DC500E">
        <w:rPr>
          <w:rFonts w:cs="Times New Roman"/>
        </w:rPr>
        <w:lastRenderedPageBreak/>
        <w:t xml:space="preserve">claims and labels, exaggerating or making unverifiable claims, known as </w:t>
      </w:r>
      <w:r w:rsidR="00A22DB1">
        <w:rPr>
          <w:rFonts w:cs="Times New Roman"/>
        </w:rPr>
        <w:t>“</w:t>
      </w:r>
      <w:r w:rsidRPr="00DC500E">
        <w:rPr>
          <w:rFonts w:cs="Times New Roman"/>
        </w:rPr>
        <w:t>eco-marketing</w:t>
      </w:r>
      <w:r w:rsidR="00A22DB1">
        <w:rPr>
          <w:rFonts w:cs="Times New Roman"/>
        </w:rPr>
        <w:t>” (</w:t>
      </w:r>
      <w:r w:rsidR="00A22DB1" w:rsidRPr="00DC500E">
        <w:rPr>
          <w:rFonts w:cs="Times New Roman"/>
        </w:rPr>
        <w:t>Liang and Gao, 2025</w:t>
      </w:r>
      <w:r w:rsidR="00A22DB1">
        <w:rPr>
          <w:rFonts w:cs="Times New Roman"/>
        </w:rPr>
        <w:t>)</w:t>
      </w:r>
      <w:r w:rsidRPr="00DC500E">
        <w:rPr>
          <w:rFonts w:cs="Times New Roman"/>
        </w:rPr>
        <w:t>. It is an extreme example of greenwashing where misinformation has resulted in a large credibility problem, and therefore in constitutionally strong regulations such as the CMA Green</w:t>
      </w:r>
      <w:r w:rsidR="00A22DB1">
        <w:rPr>
          <w:rFonts w:cs="Times New Roman"/>
        </w:rPr>
        <w:t xml:space="preserve"> </w:t>
      </w:r>
      <w:r w:rsidRPr="00DC500E">
        <w:rPr>
          <w:rFonts w:cs="Times New Roman"/>
        </w:rPr>
        <w:t>Claims Code (2021). Despite all these institutional countermeasures, misleading communication has misled the UK retail scene, which is leaving a growing number of increasingly concerned and conscious consumers of goods.</w:t>
      </w:r>
    </w:p>
    <w:p w14:paraId="33199428" w14:textId="380F4446" w:rsidR="00492F89" w:rsidRPr="00DC500E" w:rsidRDefault="00492F89" w:rsidP="00492F89">
      <w:pPr>
        <w:rPr>
          <w:rFonts w:cs="Times New Roman"/>
        </w:rPr>
      </w:pPr>
      <w:r w:rsidRPr="00DC500E">
        <w:rPr>
          <w:rFonts w:cs="Times New Roman"/>
        </w:rPr>
        <w:t xml:space="preserve">This has made consumers very wary of greenwashing issues, as they have been confronted with them on a very regular basis (Fella and </w:t>
      </w:r>
      <w:proofErr w:type="spellStart"/>
      <w:r w:rsidRPr="00DC500E">
        <w:rPr>
          <w:rFonts w:cs="Times New Roman"/>
        </w:rPr>
        <w:t>Bausa</w:t>
      </w:r>
      <w:proofErr w:type="spellEnd"/>
      <w:r w:rsidRPr="00DC500E">
        <w:rPr>
          <w:rFonts w:cs="Times New Roman"/>
        </w:rPr>
        <w:t xml:space="preserve">, 2024). This </w:t>
      </w:r>
      <w:proofErr w:type="spellStart"/>
      <w:r w:rsidRPr="00DC500E">
        <w:rPr>
          <w:rFonts w:cs="Times New Roman"/>
        </w:rPr>
        <w:t>skepticism</w:t>
      </w:r>
      <w:proofErr w:type="spellEnd"/>
      <w:r w:rsidRPr="00DC500E">
        <w:rPr>
          <w:rFonts w:cs="Times New Roman"/>
        </w:rPr>
        <w:t xml:space="preserve"> is a significant issue for commercialization</w:t>
      </w:r>
      <w:r w:rsidR="00A22DB1">
        <w:rPr>
          <w:rFonts w:cs="Times New Roman"/>
        </w:rPr>
        <w:t>,</w:t>
      </w:r>
      <w:r w:rsidRPr="00DC500E">
        <w:rPr>
          <w:rFonts w:cs="Times New Roman"/>
        </w:rPr>
        <w:t xml:space="preserve"> as it is not just about individual products but also undermines overall trust in the brand of institutions (</w:t>
      </w:r>
      <w:proofErr w:type="spellStart"/>
      <w:r w:rsidRPr="00DC500E">
        <w:rPr>
          <w:rFonts w:cs="Times New Roman"/>
        </w:rPr>
        <w:t>Areethai</w:t>
      </w:r>
      <w:proofErr w:type="spellEnd"/>
      <w:r w:rsidRPr="00DC500E">
        <w:rPr>
          <w:rFonts w:cs="Times New Roman"/>
        </w:rPr>
        <w:t xml:space="preserve"> et al., 2025). But market information now reveals exactly how vast this chasm is, as most British shoppers now actively distrust claims by brands about sustainability</w:t>
      </w:r>
      <w:r w:rsidR="00A22DB1">
        <w:rPr>
          <w:rFonts w:cs="Times New Roman"/>
        </w:rPr>
        <w:t xml:space="preserve"> (</w:t>
      </w:r>
      <w:r w:rsidR="00A22DB1" w:rsidRPr="00DC500E">
        <w:rPr>
          <w:rFonts w:cs="Times New Roman"/>
        </w:rPr>
        <w:t>Vidal-</w:t>
      </w:r>
      <w:proofErr w:type="spellStart"/>
      <w:r w:rsidR="00A22DB1" w:rsidRPr="00DC500E">
        <w:rPr>
          <w:rFonts w:cs="Times New Roman"/>
        </w:rPr>
        <w:t>Buitano</w:t>
      </w:r>
      <w:proofErr w:type="spellEnd"/>
      <w:r w:rsidR="00A22DB1" w:rsidRPr="00DC500E">
        <w:rPr>
          <w:rFonts w:cs="Times New Roman"/>
        </w:rPr>
        <w:t xml:space="preserve"> et al., 2026</w:t>
      </w:r>
      <w:r w:rsidR="00A22DB1">
        <w:rPr>
          <w:rFonts w:cs="Times New Roman"/>
        </w:rPr>
        <w:t>)</w:t>
      </w:r>
      <w:r w:rsidRPr="00DC500E">
        <w:rPr>
          <w:rFonts w:cs="Times New Roman"/>
        </w:rPr>
        <w:t>. A lot of efforts have been made to reduce the perceived financial and performance risks of premium sustainable offers, which results in easier green consumption, but in the case of destroying consumer trust, it will directly block green consumption (Pan et al., 2026</w:t>
      </w:r>
      <w:r w:rsidR="00A22DB1">
        <w:rPr>
          <w:rFonts w:cs="Times New Roman"/>
        </w:rPr>
        <w:t>)</w:t>
      </w:r>
    </w:p>
    <w:p w14:paraId="77559C4B" w14:textId="79891EF1" w:rsidR="00492F89" w:rsidRPr="00DC500E" w:rsidRDefault="00492F89" w:rsidP="00492F89">
      <w:pPr>
        <w:rPr>
          <w:rFonts w:cs="Times New Roman"/>
        </w:rPr>
      </w:pPr>
      <w:r w:rsidRPr="00DC500E">
        <w:rPr>
          <w:rFonts w:cs="Times New Roman"/>
        </w:rPr>
        <w:t>There</w:t>
      </w:r>
      <w:r w:rsidR="00A22DB1">
        <w:rPr>
          <w:rFonts w:cs="Times New Roman"/>
        </w:rPr>
        <w:t>’</w:t>
      </w:r>
      <w:r w:rsidRPr="00DC500E">
        <w:rPr>
          <w:rFonts w:cs="Times New Roman"/>
        </w:rPr>
        <w:t xml:space="preserve">s definitely an empirical gap, academically, in terms of what these mechanisms are in the structure. Although there is an underlying link between attitude and purchase intent as is revealed in traditional behavioural models (e.g., Ajzen, 1991), these models fail to consider the exogenous shock caused by the deceptive marketing activities exerted by sellers, as noted by </w:t>
      </w:r>
      <w:r w:rsidR="00A22DB1">
        <w:rPr>
          <w:rFonts w:cs="Times New Roman"/>
        </w:rPr>
        <w:t>(</w:t>
      </w:r>
      <w:proofErr w:type="spellStart"/>
      <w:r w:rsidRPr="00DC500E">
        <w:rPr>
          <w:rFonts w:cs="Times New Roman"/>
        </w:rPr>
        <w:t>Kasasbeh</w:t>
      </w:r>
      <w:proofErr w:type="spellEnd"/>
      <w:r w:rsidR="00A22DB1">
        <w:rPr>
          <w:rFonts w:cs="Times New Roman"/>
        </w:rPr>
        <w:t>,</w:t>
      </w:r>
      <w:r w:rsidRPr="00DC500E">
        <w:rPr>
          <w:rFonts w:cs="Times New Roman"/>
        </w:rPr>
        <w:t xml:space="preserve"> 2024). In contemporary research in the area of SEM, its impact on purchase intention has been firmly established through the boosted perception of risk, despite reporting mixed results regarding the exact mediation role of trust (</w:t>
      </w:r>
      <w:proofErr w:type="spellStart"/>
      <w:r w:rsidRPr="00DC500E">
        <w:rPr>
          <w:rFonts w:cs="Times New Roman"/>
        </w:rPr>
        <w:t>Khandai</w:t>
      </w:r>
      <w:proofErr w:type="spellEnd"/>
      <w:r w:rsidRPr="00DC500E">
        <w:rPr>
          <w:rFonts w:cs="Times New Roman"/>
        </w:rPr>
        <w:t xml:space="preserve"> et al., 2025). In particular, it is well under-researched if and how greenwashing scepticism leads to loss of consumer trust and if this loss of consumer trust in turn leads to loss of sustainable purchasing intentions in a highly sceptical group: the UK fast fashion group (Neumann et al., 2020).</w:t>
      </w:r>
    </w:p>
    <w:p w14:paraId="09E349BD" w14:textId="4359C467" w:rsidR="00872E18" w:rsidRPr="00DC500E" w:rsidRDefault="00492F89" w:rsidP="00492F89">
      <w:pPr>
        <w:rPr>
          <w:rFonts w:cs="Times New Roman"/>
        </w:rPr>
      </w:pPr>
      <w:r w:rsidRPr="00DC500E">
        <w:rPr>
          <w:rFonts w:cs="Times New Roman"/>
        </w:rPr>
        <w:lastRenderedPageBreak/>
        <w:t>Therefore, the main research question is whether or not this mediational pathway is capable of being empirically measured. Understanding the impact of the trust process on cognitive scepticism and behavioural intention would be of great importance to understand the way to re-establish and ensure marketing credibility and more sustainable consumer consumption</w:t>
      </w:r>
      <w:r w:rsidR="00A22DB1">
        <w:rPr>
          <w:rFonts w:cs="Times New Roman"/>
        </w:rPr>
        <w:t xml:space="preserve"> (</w:t>
      </w:r>
      <w:r w:rsidR="00A22DB1" w:rsidRPr="00DC500E">
        <w:rPr>
          <w:rFonts w:cs="Times New Roman"/>
        </w:rPr>
        <w:t>Welch and Galvan, 2024</w:t>
      </w:r>
      <w:r w:rsidR="00A22DB1">
        <w:rPr>
          <w:rFonts w:cs="Times New Roman"/>
        </w:rPr>
        <w:t>)</w:t>
      </w:r>
      <w:r w:rsidRPr="00DC500E">
        <w:rPr>
          <w:rFonts w:cs="Times New Roman"/>
        </w:rPr>
        <w:t xml:space="preserve">. Thus, it is essential to understand </w:t>
      </w:r>
      <w:r w:rsidR="00A22DB1">
        <w:rPr>
          <w:rFonts w:cs="Times New Roman"/>
        </w:rPr>
        <w:t>w</w:t>
      </w:r>
      <w:r w:rsidRPr="00DC500E">
        <w:rPr>
          <w:rFonts w:cs="Times New Roman"/>
        </w:rPr>
        <w:t>hat happens between consumers</w:t>
      </w:r>
      <w:r w:rsidR="00A22DB1">
        <w:rPr>
          <w:rFonts w:cs="Times New Roman"/>
        </w:rPr>
        <w:t>’</w:t>
      </w:r>
      <w:r w:rsidRPr="00DC500E">
        <w:rPr>
          <w:rFonts w:cs="Times New Roman"/>
        </w:rPr>
        <w:t xml:space="preserve"> cognitive scepticism and their behavioural intentions for the marketing offer: trust (Zhou and </w:t>
      </w:r>
      <w:proofErr w:type="spellStart"/>
      <w:r w:rsidRPr="00DC500E">
        <w:rPr>
          <w:rFonts w:cs="Times New Roman"/>
        </w:rPr>
        <w:t>Seo</w:t>
      </w:r>
      <w:proofErr w:type="spellEnd"/>
      <w:r w:rsidRPr="00DC500E">
        <w:rPr>
          <w:rFonts w:cs="Times New Roman"/>
        </w:rPr>
        <w:t>, 2026).</w:t>
      </w:r>
    </w:p>
    <w:p w14:paraId="6F908224" w14:textId="77777777" w:rsidR="00BF7607" w:rsidRPr="00DC500E" w:rsidRDefault="00BF7607" w:rsidP="00BF7607">
      <w:pPr>
        <w:pStyle w:val="Heading2"/>
        <w:rPr>
          <w:rFonts w:cs="Times New Roman"/>
          <w:lang w:eastAsia="en-GB" w:bidi="hi-IN"/>
        </w:rPr>
      </w:pPr>
      <w:bookmarkStart w:id="12" w:name="_Toc241147161"/>
      <w:r w:rsidRPr="00DC500E">
        <w:rPr>
          <w:rFonts w:cs="Times New Roman"/>
          <w:lang w:eastAsia="en-GB" w:bidi="hi-IN"/>
        </w:rPr>
        <w:t>1.3 Research Rationale</w:t>
      </w:r>
      <w:bookmarkEnd w:id="12"/>
    </w:p>
    <w:p w14:paraId="68512234" w14:textId="5A047AC0" w:rsidR="00492F89" w:rsidRPr="00DC500E" w:rsidRDefault="00492F89" w:rsidP="00492F89">
      <w:pPr>
        <w:rPr>
          <w:rFonts w:cs="Times New Roman"/>
        </w:rPr>
      </w:pPr>
      <w:r w:rsidRPr="00DC500E">
        <w:rPr>
          <w:rFonts w:cs="Times New Roman"/>
        </w:rPr>
        <w:t>This study is grounded in the need to return to the fundamental principles of theoretical behavioural models in practice following the loss of trust by marketers in green marketing. The Theory of Planned Behaviour (</w:t>
      </w:r>
      <w:proofErr w:type="spellStart"/>
      <w:r w:rsidRPr="00DC500E">
        <w:rPr>
          <w:rFonts w:cs="Times New Roman"/>
        </w:rPr>
        <w:t>TPB</w:t>
      </w:r>
      <w:proofErr w:type="spellEnd"/>
      <w:r w:rsidRPr="00DC500E">
        <w:rPr>
          <w:rFonts w:cs="Times New Roman"/>
        </w:rPr>
        <w:t xml:space="preserve">) (Ajzen, 1991) theoretically has a solid base in understanding the effect of attitudes on purchase intentions. However, in the presence of deceptive communication, the </w:t>
      </w:r>
      <w:proofErr w:type="spellStart"/>
      <w:r w:rsidRPr="00DC500E">
        <w:rPr>
          <w:rFonts w:cs="Times New Roman"/>
        </w:rPr>
        <w:t>TPB</w:t>
      </w:r>
      <w:proofErr w:type="spellEnd"/>
      <w:r w:rsidRPr="00DC500E">
        <w:rPr>
          <w:rFonts w:cs="Times New Roman"/>
        </w:rPr>
        <w:t xml:space="preserve"> fails to be comprehensible, which</w:t>
      </w:r>
      <w:r w:rsidR="00A22DB1">
        <w:rPr>
          <w:rFonts w:cs="Times New Roman"/>
        </w:rPr>
        <w:t>,</w:t>
      </w:r>
      <w:r w:rsidRPr="00DC500E">
        <w:rPr>
          <w:rFonts w:cs="Times New Roman"/>
        </w:rPr>
        <w:t xml:space="preserve"> in turn</w:t>
      </w:r>
      <w:r w:rsidR="00A22DB1">
        <w:rPr>
          <w:rFonts w:cs="Times New Roman"/>
        </w:rPr>
        <w:t>,</w:t>
      </w:r>
      <w:r w:rsidRPr="00DC500E">
        <w:rPr>
          <w:rFonts w:cs="Times New Roman"/>
        </w:rPr>
        <w:t xml:space="preserve"> hints at broader temporal settings</w:t>
      </w:r>
      <w:r w:rsidR="00A22DB1">
        <w:rPr>
          <w:rFonts w:cs="Times New Roman"/>
        </w:rPr>
        <w:t>;</w:t>
      </w:r>
      <w:r w:rsidRPr="00DC500E">
        <w:rPr>
          <w:rFonts w:cs="Times New Roman"/>
        </w:rPr>
        <w:t xml:space="preserve"> it needs to consider out-of-line occurrences (Pillo et al., 2025). </w:t>
      </w:r>
      <w:proofErr w:type="spellStart"/>
      <w:r w:rsidR="00A22DB1" w:rsidRPr="00DC500E">
        <w:rPr>
          <w:rFonts w:cs="Times New Roman"/>
          <w:kern w:val="0"/>
          <w14:ligatures w14:val="none"/>
        </w:rPr>
        <w:t>Ruangkulnorwun</w:t>
      </w:r>
      <w:proofErr w:type="spellEnd"/>
      <w:r w:rsidR="00A22DB1" w:rsidRPr="00DC500E">
        <w:rPr>
          <w:rFonts w:cs="Times New Roman"/>
          <w:kern w:val="0"/>
          <w14:ligatures w14:val="none"/>
        </w:rPr>
        <w:t xml:space="preserve"> et al. </w:t>
      </w:r>
      <w:r w:rsidR="00A22DB1">
        <w:rPr>
          <w:rFonts w:cs="Times New Roman"/>
          <w:kern w:val="0"/>
          <w14:ligatures w14:val="none"/>
        </w:rPr>
        <w:t>(</w:t>
      </w:r>
      <w:r w:rsidR="00A22DB1" w:rsidRPr="00DC500E">
        <w:rPr>
          <w:rFonts w:cs="Times New Roman"/>
          <w:kern w:val="0"/>
          <w14:ligatures w14:val="none"/>
        </w:rPr>
        <w:t>2020</w:t>
      </w:r>
      <w:r w:rsidR="00A22DB1">
        <w:rPr>
          <w:rFonts w:cs="Times New Roman"/>
          <w:kern w:val="0"/>
          <w14:ligatures w14:val="none"/>
        </w:rPr>
        <w:t>)</w:t>
      </w:r>
      <w:r w:rsidRPr="00DC500E">
        <w:rPr>
          <w:rFonts w:cs="Times New Roman"/>
          <w:kern w:val="0"/>
          <w14:ligatures w14:val="none"/>
        </w:rPr>
        <w:t xml:space="preserve"> added trust as an additional variable in </w:t>
      </w:r>
      <w:proofErr w:type="spellStart"/>
      <w:r w:rsidRPr="00DC500E">
        <w:rPr>
          <w:rFonts w:cs="Times New Roman"/>
          <w:kern w:val="0"/>
          <w14:ligatures w14:val="none"/>
        </w:rPr>
        <w:t>TPB</w:t>
      </w:r>
      <w:proofErr w:type="spellEnd"/>
      <w:r w:rsidRPr="00DC500E">
        <w:rPr>
          <w:rFonts w:cs="Times New Roman"/>
          <w:kern w:val="0"/>
          <w14:ligatures w14:val="none"/>
        </w:rPr>
        <w:t xml:space="preserve"> to explain green consumption</w:t>
      </w:r>
      <w:r w:rsidR="00A22DB1">
        <w:rPr>
          <w:rFonts w:cs="Times New Roman"/>
          <w:kern w:val="0"/>
          <w14:ligatures w14:val="none"/>
        </w:rPr>
        <w:t>.</w:t>
      </w:r>
      <w:r w:rsidRPr="00DC500E">
        <w:rPr>
          <w:rFonts w:cs="Times New Roman"/>
          <w:kern w:val="0"/>
          <w14:ligatures w14:val="none"/>
        </w:rPr>
        <w:t xml:space="preserve"> </w:t>
      </w:r>
      <w:r w:rsidR="00A22DB1">
        <w:rPr>
          <w:rFonts w:cs="Times New Roman"/>
          <w:kern w:val="0"/>
          <w14:ligatures w14:val="none"/>
        </w:rPr>
        <w:t>B</w:t>
      </w:r>
      <w:r w:rsidRPr="00DC500E">
        <w:rPr>
          <w:rFonts w:cs="Times New Roman"/>
          <w:kern w:val="0"/>
          <w14:ligatures w14:val="none"/>
        </w:rPr>
        <w:t>ut</w:t>
      </w:r>
      <w:r w:rsidR="00A22DB1">
        <w:rPr>
          <w:rFonts w:cs="Times New Roman"/>
          <w:kern w:val="0"/>
          <w14:ligatures w14:val="none"/>
        </w:rPr>
        <w:t xml:space="preserve"> </w:t>
      </w:r>
      <w:proofErr w:type="spellStart"/>
      <w:r w:rsidR="00A22DB1" w:rsidRPr="00DC500E">
        <w:rPr>
          <w:rFonts w:cs="Times New Roman"/>
        </w:rPr>
        <w:t>Khandai</w:t>
      </w:r>
      <w:proofErr w:type="spellEnd"/>
      <w:r w:rsidR="00A22DB1" w:rsidRPr="00DC500E">
        <w:rPr>
          <w:rFonts w:cs="Times New Roman"/>
        </w:rPr>
        <w:t xml:space="preserve"> et al., </w:t>
      </w:r>
      <w:r w:rsidR="00A22DB1">
        <w:rPr>
          <w:rFonts w:cs="Times New Roman"/>
        </w:rPr>
        <w:t>(</w:t>
      </w:r>
      <w:r w:rsidR="00A22DB1" w:rsidRPr="00DC500E">
        <w:rPr>
          <w:rFonts w:cs="Times New Roman"/>
        </w:rPr>
        <w:t>2025</w:t>
      </w:r>
      <w:r w:rsidR="00A22DB1">
        <w:rPr>
          <w:rFonts w:cs="Times New Roman"/>
        </w:rPr>
        <w:t>) shows</w:t>
      </w:r>
      <w:r w:rsidRPr="00DC500E">
        <w:rPr>
          <w:rFonts w:cs="Times New Roman"/>
          <w:kern w:val="0"/>
          <w14:ligatures w14:val="none"/>
        </w:rPr>
        <w:t xml:space="preserve"> there is still no theoretical explanation for diminishing</w:t>
      </w:r>
      <w:r w:rsidRPr="00DC500E">
        <w:rPr>
          <w:rFonts w:cs="Times New Roman"/>
        </w:rPr>
        <w:t xml:space="preserve"> trust. While there is an indication of greenwashing leading to cognitive dissonance in Lu et al., </w:t>
      </w:r>
      <w:r w:rsidR="00A22DB1">
        <w:rPr>
          <w:rFonts w:cs="Times New Roman"/>
        </w:rPr>
        <w:t>(</w:t>
      </w:r>
      <w:r w:rsidRPr="00DC500E">
        <w:rPr>
          <w:rFonts w:cs="Times New Roman"/>
        </w:rPr>
        <w:t>2022)</w:t>
      </w:r>
      <w:r w:rsidR="00A22DB1">
        <w:rPr>
          <w:rFonts w:cs="Times New Roman"/>
        </w:rPr>
        <w:t>.</w:t>
      </w:r>
      <w:r w:rsidRPr="00DC500E">
        <w:rPr>
          <w:rFonts w:cs="Times New Roman"/>
        </w:rPr>
        <w:t xml:space="preserve"> </w:t>
      </w:r>
      <w:r w:rsidR="00A22DB1">
        <w:rPr>
          <w:rFonts w:cs="Times New Roman"/>
        </w:rPr>
        <w:t>T</w:t>
      </w:r>
      <w:r w:rsidRPr="00DC500E">
        <w:rPr>
          <w:rFonts w:cs="Times New Roman"/>
        </w:rPr>
        <w:t>hey are inclined to consider scepticism immediately as an obstacle in purchase making and have not thought of how it may lead to the cognitive imbalance sequentially</w:t>
      </w:r>
      <w:r w:rsidR="00A22DB1">
        <w:rPr>
          <w:rFonts w:cs="Times New Roman"/>
        </w:rPr>
        <w:t xml:space="preserve"> (</w:t>
      </w:r>
      <w:r w:rsidR="00A22DB1" w:rsidRPr="00DC500E">
        <w:rPr>
          <w:rFonts w:cs="Times New Roman"/>
        </w:rPr>
        <w:t>Pillo et al., 2025)</w:t>
      </w:r>
      <w:r w:rsidRPr="00DC500E">
        <w:rPr>
          <w:rFonts w:cs="Times New Roman"/>
        </w:rPr>
        <w:t>. This study makes a significant contribution to the theory by explicitly inserting consumer trust as the key mediator between greenwashing scepticism and sustainable purchase intention, extending this sophisticated theory of actions, which accurately reflects the current mindset of consumers (</w:t>
      </w:r>
      <w:proofErr w:type="spellStart"/>
      <w:r w:rsidRPr="00DC500E">
        <w:rPr>
          <w:rFonts w:cs="Times New Roman"/>
        </w:rPr>
        <w:t>Margariti</w:t>
      </w:r>
      <w:proofErr w:type="spellEnd"/>
      <w:r w:rsidRPr="00DC500E">
        <w:rPr>
          <w:rFonts w:cs="Times New Roman"/>
        </w:rPr>
        <w:t xml:space="preserve"> et al., 2024</w:t>
      </w:r>
      <w:r w:rsidR="00A22DB1">
        <w:rPr>
          <w:rFonts w:cs="Times New Roman"/>
        </w:rPr>
        <w:t>)</w:t>
      </w:r>
    </w:p>
    <w:p w14:paraId="0B9A13AE" w14:textId="7D885434" w:rsidR="00492F89" w:rsidRPr="00DC500E" w:rsidRDefault="00492F89" w:rsidP="00492F89">
      <w:pPr>
        <w:rPr>
          <w:rFonts w:cs="Times New Roman"/>
        </w:rPr>
      </w:pPr>
      <w:r w:rsidRPr="00DC500E">
        <w:rPr>
          <w:rFonts w:cs="Times New Roman"/>
        </w:rPr>
        <w:t xml:space="preserve">This work is situated in a much-needed geographically and contextually based research area. A UK-specific strand of problems associated with the world of fast fashion is regulation, as the </w:t>
      </w:r>
      <w:r w:rsidRPr="00DC500E">
        <w:rPr>
          <w:rFonts w:cs="Times New Roman"/>
        </w:rPr>
        <w:lastRenderedPageBreak/>
        <w:t xml:space="preserve">CMA Green Claims Code sheds light on the subject and consumer fatigue, as stated by Deloitte (2024). This institutional context is acute, but </w:t>
      </w:r>
      <w:r w:rsidR="0055244E">
        <w:rPr>
          <w:rFonts w:cs="Times New Roman"/>
        </w:rPr>
        <w:t xml:space="preserve">it </w:t>
      </w:r>
      <w:r w:rsidRPr="00DC500E">
        <w:rPr>
          <w:rFonts w:cs="Times New Roman"/>
        </w:rPr>
        <w:t>is predominantly Asian and</w:t>
      </w:r>
      <w:r w:rsidR="00A22DB1">
        <w:rPr>
          <w:rFonts w:cs="Times New Roman"/>
        </w:rPr>
        <w:t xml:space="preserve"> </w:t>
      </w:r>
      <w:r w:rsidRPr="00DC500E">
        <w:rPr>
          <w:rFonts w:cs="Times New Roman"/>
        </w:rPr>
        <w:t>North American, and knowledge on the behaviour of highly sceptical British consumers is limited. This study is an empirical study and aims to strongly validate Green Marketing through the analysis of a UK nationally representative sample employing PLS-SEM.</w:t>
      </w:r>
    </w:p>
    <w:p w14:paraId="36CC72B2" w14:textId="37FCF95A" w:rsidR="00BE3490" w:rsidRPr="00DC500E" w:rsidRDefault="00492F89" w:rsidP="00492F89">
      <w:pPr>
        <w:rPr>
          <w:rFonts w:cs="Times New Roman"/>
        </w:rPr>
      </w:pPr>
      <w:r w:rsidRPr="00DC500E">
        <w:rPr>
          <w:rFonts w:cs="Times New Roman"/>
        </w:rPr>
        <w:t>From a practical perspective, it is about how to restore markets to integrity, and it</w:t>
      </w:r>
      <w:r w:rsidR="00A22DB1">
        <w:rPr>
          <w:rFonts w:cs="Times New Roman"/>
        </w:rPr>
        <w:t>’</w:t>
      </w:r>
      <w:r w:rsidRPr="00DC500E">
        <w:rPr>
          <w:rFonts w:cs="Times New Roman"/>
        </w:rPr>
        <w:t>s a commercial imperative</w:t>
      </w:r>
      <w:r w:rsidR="00A22DB1">
        <w:rPr>
          <w:rFonts w:cs="Times New Roman"/>
        </w:rPr>
        <w:t xml:space="preserve">” </w:t>
      </w:r>
      <w:r w:rsidR="00A22DB1" w:rsidRPr="00DC500E">
        <w:rPr>
          <w:rFonts w:cs="Times New Roman"/>
        </w:rPr>
        <w:t>(Daou et al., 2025)</w:t>
      </w:r>
      <w:r w:rsidR="00A22DB1">
        <w:rPr>
          <w:rFonts w:cs="Times New Roman"/>
        </w:rPr>
        <w:t>.</w:t>
      </w:r>
      <w:r w:rsidRPr="00DC500E">
        <w:rPr>
          <w:rFonts w:cs="Times New Roman"/>
        </w:rPr>
        <w:t xml:space="preserve"> But there are no data-based frameworks in place to help fast fashion brands deal with the lack of consumer trust and regain institutional credibility in a highly regulated sector (Bodor et al., 2021). For the practitioners, this integration can provide some insight as to how scepticism can impact trust and thus derail sustainable sales as measured by some forms of quantification (Farooq and </w:t>
      </w:r>
      <w:proofErr w:type="spellStart"/>
      <w:r w:rsidRPr="00DC500E">
        <w:rPr>
          <w:rFonts w:cs="Times New Roman"/>
        </w:rPr>
        <w:t>Wicaksono</w:t>
      </w:r>
      <w:proofErr w:type="spellEnd"/>
      <w:r w:rsidRPr="00DC500E">
        <w:rPr>
          <w:rFonts w:cs="Times New Roman"/>
        </w:rPr>
        <w:t>, 2021). Eventually, the outcomes will help shape responsible and legally sound sustainable communication efforts that will counteract perceived risk, increase consumer trust and facilitate the sector</w:t>
      </w:r>
      <w:r w:rsidR="00A22DB1">
        <w:rPr>
          <w:rFonts w:cs="Times New Roman"/>
        </w:rPr>
        <w:t>’</w:t>
      </w:r>
      <w:r w:rsidRPr="00DC500E">
        <w:rPr>
          <w:rFonts w:cs="Times New Roman"/>
        </w:rPr>
        <w:t>s much-needed transition to more sustainable consumption (</w:t>
      </w:r>
      <w:proofErr w:type="spellStart"/>
      <w:r w:rsidRPr="00DC500E">
        <w:rPr>
          <w:rFonts w:cs="Times New Roman"/>
        </w:rPr>
        <w:t>Avrami</w:t>
      </w:r>
      <w:proofErr w:type="spellEnd"/>
      <w:r w:rsidRPr="00DC500E">
        <w:rPr>
          <w:rFonts w:cs="Times New Roman"/>
        </w:rPr>
        <w:t xml:space="preserve"> et al., 2024).</w:t>
      </w:r>
    </w:p>
    <w:p w14:paraId="5C58DAEC" w14:textId="77777777" w:rsidR="00BF7607" w:rsidRPr="00DC500E" w:rsidRDefault="00BF7607" w:rsidP="00BF7607">
      <w:pPr>
        <w:pStyle w:val="Heading2"/>
        <w:rPr>
          <w:rFonts w:cs="Times New Roman"/>
          <w:lang w:eastAsia="en-GB" w:bidi="hi-IN"/>
        </w:rPr>
      </w:pPr>
      <w:bookmarkStart w:id="13" w:name="_Toc241147162"/>
      <w:r w:rsidRPr="00DC500E">
        <w:rPr>
          <w:rFonts w:cs="Times New Roman"/>
          <w:lang w:eastAsia="en-GB" w:bidi="hi-IN"/>
        </w:rPr>
        <w:t>1.4 Research Aim</w:t>
      </w:r>
      <w:bookmarkEnd w:id="13"/>
    </w:p>
    <w:p w14:paraId="57D37BC8" w14:textId="06DE15A7" w:rsidR="00B435A2" w:rsidRPr="00DC500E" w:rsidRDefault="00B435A2" w:rsidP="00B435A2">
      <w:pPr>
        <w:rPr>
          <w:rFonts w:cs="Times New Roman"/>
          <w:lang w:eastAsia="en-GB" w:bidi="hi-IN"/>
        </w:rPr>
      </w:pPr>
      <w:r w:rsidRPr="00DC500E">
        <w:rPr>
          <w:rFonts w:cs="Times New Roman"/>
        </w:rPr>
        <w:t>This study aims to examine how greenwashing scepticism among UK consumers shapes their trust in brands</w:t>
      </w:r>
      <w:r w:rsidR="00A22DB1">
        <w:rPr>
          <w:rFonts w:cs="Times New Roman"/>
        </w:rPr>
        <w:t>’</w:t>
      </w:r>
      <w:r w:rsidRPr="00DC500E">
        <w:rPr>
          <w:rFonts w:cs="Times New Roman"/>
        </w:rPr>
        <w:t xml:space="preserve"> sustainability claims and their subsequent intention to purchase sustainably in the fast-fashion sector.</w:t>
      </w:r>
    </w:p>
    <w:p w14:paraId="67407EA5" w14:textId="77777777" w:rsidR="00BF7607" w:rsidRPr="00DC500E" w:rsidRDefault="00BF7607" w:rsidP="00BF7607">
      <w:pPr>
        <w:pStyle w:val="Heading2"/>
        <w:rPr>
          <w:rFonts w:cs="Times New Roman"/>
          <w:lang w:eastAsia="en-GB" w:bidi="hi-IN"/>
        </w:rPr>
      </w:pPr>
      <w:bookmarkStart w:id="14" w:name="_Toc241147163"/>
      <w:r w:rsidRPr="00DC500E">
        <w:rPr>
          <w:rFonts w:cs="Times New Roman"/>
          <w:lang w:eastAsia="en-GB" w:bidi="hi-IN"/>
        </w:rPr>
        <w:t>1.5 Research Objectives</w:t>
      </w:r>
      <w:bookmarkEnd w:id="14"/>
    </w:p>
    <w:p w14:paraId="30477BB9" w14:textId="5D91D0F0" w:rsidR="00B435A2" w:rsidRPr="00DC500E" w:rsidRDefault="00B435A2" w:rsidP="00B435A2">
      <w:pPr>
        <w:rPr>
          <w:rFonts w:cs="Times New Roman"/>
        </w:rPr>
      </w:pPr>
      <w:r w:rsidRPr="00DC500E">
        <w:rPr>
          <w:rFonts w:cs="Times New Roman"/>
        </w:rPr>
        <w:t xml:space="preserve">The research is structured around </w:t>
      </w:r>
      <w:r w:rsidR="00A22DB1">
        <w:rPr>
          <w:rFonts w:cs="Times New Roman"/>
        </w:rPr>
        <w:t>the</w:t>
      </w:r>
      <w:r w:rsidRPr="00DC500E">
        <w:rPr>
          <w:rFonts w:cs="Times New Roman"/>
        </w:rPr>
        <w:t xml:space="preserve"> objectives: </w:t>
      </w:r>
    </w:p>
    <w:p w14:paraId="416244BE" w14:textId="6F0B5774" w:rsidR="00B435A2" w:rsidRPr="00DC500E" w:rsidRDefault="00970609" w:rsidP="00B435A2">
      <w:pPr>
        <w:pStyle w:val="ListParagraph"/>
        <w:numPr>
          <w:ilvl w:val="0"/>
          <w:numId w:val="1"/>
        </w:numPr>
        <w:rPr>
          <w:rFonts w:cs="Times New Roman"/>
        </w:rPr>
      </w:pPr>
      <w:r w:rsidRPr="00970609">
        <w:rPr>
          <w:rFonts w:cs="Times New Roman"/>
        </w:rPr>
        <w:t>To evaluate the underlying dimensions of greenwashing scepticism among UK fast-fashion consumers</w:t>
      </w:r>
      <w:r>
        <w:rPr>
          <w:rFonts w:cs="Times New Roman"/>
        </w:rPr>
        <w:t>.</w:t>
      </w:r>
    </w:p>
    <w:p w14:paraId="71F4135F" w14:textId="1B1E7CB3" w:rsidR="00B435A2" w:rsidRPr="00DC500E" w:rsidRDefault="00970609" w:rsidP="00B435A2">
      <w:pPr>
        <w:pStyle w:val="ListParagraph"/>
        <w:numPr>
          <w:ilvl w:val="0"/>
          <w:numId w:val="1"/>
        </w:numPr>
        <w:rPr>
          <w:rFonts w:cs="Times New Roman"/>
        </w:rPr>
      </w:pPr>
      <w:r w:rsidRPr="00970609">
        <w:rPr>
          <w:rFonts w:cs="Times New Roman"/>
        </w:rPr>
        <w:t xml:space="preserve">To examine the impact of greenwashing scepticism on consumer trust in brand sustainability claims. </w:t>
      </w:r>
      <w:r w:rsidR="00B435A2" w:rsidRPr="00DC500E">
        <w:rPr>
          <w:rFonts w:cs="Times New Roman"/>
        </w:rPr>
        <w:t xml:space="preserve"> </w:t>
      </w:r>
    </w:p>
    <w:p w14:paraId="3B98285C" w14:textId="77777777" w:rsidR="00B435A2" w:rsidRPr="00DC500E" w:rsidRDefault="00B435A2" w:rsidP="00B435A2">
      <w:pPr>
        <w:pStyle w:val="ListParagraph"/>
        <w:numPr>
          <w:ilvl w:val="0"/>
          <w:numId w:val="1"/>
        </w:numPr>
        <w:rPr>
          <w:rFonts w:cs="Times New Roman"/>
        </w:rPr>
      </w:pPr>
      <w:r w:rsidRPr="00DC500E">
        <w:rPr>
          <w:rFonts w:cs="Times New Roman"/>
        </w:rPr>
        <w:lastRenderedPageBreak/>
        <w:t xml:space="preserve">To analyse the effect of consumer trust on sustainable purchase intention. </w:t>
      </w:r>
    </w:p>
    <w:p w14:paraId="57512D35" w14:textId="77777777" w:rsidR="00B435A2" w:rsidRPr="00DC500E" w:rsidRDefault="00B435A2" w:rsidP="00B435A2">
      <w:pPr>
        <w:pStyle w:val="ListParagraph"/>
        <w:numPr>
          <w:ilvl w:val="0"/>
          <w:numId w:val="1"/>
        </w:numPr>
        <w:rPr>
          <w:rFonts w:cs="Times New Roman"/>
        </w:rPr>
      </w:pPr>
      <w:r w:rsidRPr="00DC500E">
        <w:rPr>
          <w:rFonts w:cs="Times New Roman"/>
        </w:rPr>
        <w:t xml:space="preserve">To evaluate the mediating role of consumer trust in the relationship between greenwashing scepticism and purchase intention. </w:t>
      </w:r>
    </w:p>
    <w:p w14:paraId="604037A6" w14:textId="55992BEA" w:rsidR="00B435A2" w:rsidRPr="00DC500E" w:rsidRDefault="00B435A2" w:rsidP="00B435A2">
      <w:pPr>
        <w:pStyle w:val="ListParagraph"/>
        <w:numPr>
          <w:ilvl w:val="0"/>
          <w:numId w:val="1"/>
        </w:numPr>
        <w:rPr>
          <w:rFonts w:cs="Times New Roman"/>
          <w:lang w:eastAsia="en-GB" w:bidi="hi-IN"/>
        </w:rPr>
      </w:pPr>
      <w:r w:rsidRPr="00DC500E">
        <w:rPr>
          <w:rFonts w:cs="Times New Roman"/>
        </w:rPr>
        <w:t>To propose strategic</w:t>
      </w:r>
      <w:r w:rsidR="00970609">
        <w:rPr>
          <w:rFonts w:cs="Times New Roman"/>
        </w:rPr>
        <w:t xml:space="preserve"> marketing</w:t>
      </w:r>
      <w:r w:rsidRPr="00DC500E">
        <w:rPr>
          <w:rFonts w:cs="Times New Roman"/>
        </w:rPr>
        <w:t xml:space="preserve"> and regulatory recommendations for reducing consumer scepticism towards green marketing claims.</w:t>
      </w:r>
    </w:p>
    <w:p w14:paraId="1AA3BCA4" w14:textId="77777777" w:rsidR="00BF7607" w:rsidRPr="00DC500E" w:rsidRDefault="00BF7607" w:rsidP="00BF7607">
      <w:pPr>
        <w:pStyle w:val="Heading2"/>
        <w:rPr>
          <w:rFonts w:cs="Times New Roman"/>
          <w:lang w:eastAsia="en-GB" w:bidi="hi-IN"/>
        </w:rPr>
      </w:pPr>
      <w:bookmarkStart w:id="15" w:name="_Toc241147164"/>
      <w:r w:rsidRPr="00DC500E">
        <w:rPr>
          <w:rFonts w:cs="Times New Roman"/>
          <w:lang w:eastAsia="en-GB" w:bidi="hi-IN"/>
        </w:rPr>
        <w:t>1.6 Research Question</w:t>
      </w:r>
      <w:bookmarkEnd w:id="15"/>
    </w:p>
    <w:p w14:paraId="1688912F" w14:textId="77777777" w:rsidR="00B435A2" w:rsidRPr="00DC500E" w:rsidRDefault="00B435A2" w:rsidP="00B435A2">
      <w:pPr>
        <w:rPr>
          <w:rFonts w:cs="Times New Roman"/>
          <w:lang w:eastAsia="en-GB" w:bidi="hi-IN"/>
        </w:rPr>
      </w:pPr>
      <w:r w:rsidRPr="00DC500E">
        <w:rPr>
          <w:rFonts w:cs="Times New Roman"/>
        </w:rPr>
        <w:t>To what extent does greenwashing scepticism influence the sustainable purchase intentions of UK fast fashion consumers, and how does consumer trust mediate this relationship?</w:t>
      </w:r>
    </w:p>
    <w:p w14:paraId="103674FF" w14:textId="77777777" w:rsidR="00BF7607" w:rsidRPr="00DC500E" w:rsidRDefault="00BF7607" w:rsidP="00BF7607">
      <w:pPr>
        <w:pStyle w:val="Heading2"/>
        <w:rPr>
          <w:rFonts w:cs="Times New Roman"/>
          <w:lang w:eastAsia="en-GB" w:bidi="hi-IN"/>
        </w:rPr>
      </w:pPr>
      <w:bookmarkStart w:id="16" w:name="_Toc241147165"/>
      <w:r w:rsidRPr="00DC500E">
        <w:rPr>
          <w:rFonts w:cs="Times New Roman"/>
          <w:lang w:eastAsia="en-GB" w:bidi="hi-IN"/>
        </w:rPr>
        <w:t>1.7 Summary of Research Methodology</w:t>
      </w:r>
      <w:bookmarkEnd w:id="16"/>
    </w:p>
    <w:p w14:paraId="1433019A" w14:textId="72134640" w:rsidR="00156E38" w:rsidRPr="00DC500E" w:rsidRDefault="00E37ECD" w:rsidP="00156E38">
      <w:r w:rsidRPr="00DC500E">
        <w:t xml:space="preserve">This research uses the positivism paradigm as the epistemological paradigm and a purely deductive approach as </w:t>
      </w:r>
      <w:r w:rsidR="00A22DB1">
        <w:t xml:space="preserve">the </w:t>
      </w:r>
      <w:r w:rsidRPr="00DC500E">
        <w:t xml:space="preserve">research method in order to empirically assess the trust mediation model of the problem. Using a quantitative, mono-method approach, the research rigorously captures and quantifies the causal associations among the variables of this study, namely greenwashing scepticism, consumer trust and sustainable purchase intentions. Primary data will be collected efficiently by using a self-administered online structured questionnaire that is based on 5-point Likert scales derived using pre-validated measures. This instrument guarantees strong construct validity and will reduce measurement error. A sampling plan will be used that will include at least 200 adult members of the United Kingdom who have bought fast fashion products in the past year. Since there is no proper national database, a non-probability purposive convenience sampling technique will be used in recruiting participants, and the same will be spread through a digital platform. The data would be cleaned following a rigorous process, and the analytical protocol follows a very accurate two-step process. The first set of descriptive profiles of the demographic sample will be created with IBM SPSS Statistics. Next, inferential hypothesis testing will be performed with the program </w:t>
      </w:r>
      <w:proofErr w:type="spellStart"/>
      <w:r w:rsidRPr="00DC500E">
        <w:t>SmartPLS</w:t>
      </w:r>
      <w:proofErr w:type="spellEnd"/>
      <w:r w:rsidRPr="00DC500E">
        <w:t xml:space="preserve">, which is based on Partial Least Squares Structural Equation </w:t>
      </w:r>
      <w:proofErr w:type="spellStart"/>
      <w:r w:rsidRPr="00DC500E">
        <w:t>Modeling</w:t>
      </w:r>
      <w:proofErr w:type="spellEnd"/>
      <w:r w:rsidRPr="00DC500E">
        <w:t xml:space="preserve"> (PLS-SEM). This structural </w:t>
      </w:r>
      <w:r w:rsidRPr="00DC500E">
        <w:lastRenderedPageBreak/>
        <w:t>modelling of effects allows both for isolating the specific indirect effect and for quantifying and testing the mediation mechanism of consumer trust, to create the necessary statistical power.</w:t>
      </w:r>
    </w:p>
    <w:p w14:paraId="03D135CF" w14:textId="77777777" w:rsidR="00BF7607" w:rsidRPr="00DC500E" w:rsidRDefault="00BF7607">
      <w:pPr>
        <w:rPr>
          <w:rFonts w:cs="Times New Roman"/>
        </w:rPr>
      </w:pPr>
    </w:p>
    <w:p w14:paraId="0C09F6E8" w14:textId="77777777" w:rsidR="00B435A2" w:rsidRPr="00DC500E" w:rsidRDefault="00B435A2">
      <w:pPr>
        <w:spacing w:line="240" w:lineRule="auto"/>
        <w:jc w:val="left"/>
        <w:rPr>
          <w:rFonts w:cs="Times New Roman"/>
        </w:rPr>
      </w:pPr>
      <w:r w:rsidRPr="00DC500E">
        <w:rPr>
          <w:rFonts w:cs="Times New Roman"/>
        </w:rPr>
        <w:br w:type="page"/>
      </w:r>
    </w:p>
    <w:p w14:paraId="7551D84D" w14:textId="77777777" w:rsidR="00B435A2" w:rsidRPr="00DC500E" w:rsidRDefault="00337F4E" w:rsidP="00337F4E">
      <w:pPr>
        <w:pStyle w:val="Heading1"/>
        <w:rPr>
          <w:rFonts w:cs="Times New Roman"/>
        </w:rPr>
      </w:pPr>
      <w:bookmarkStart w:id="17" w:name="_Toc241147166"/>
      <w:r w:rsidRPr="00DC500E">
        <w:rPr>
          <w:rFonts w:cs="Times New Roman"/>
        </w:rPr>
        <w:lastRenderedPageBreak/>
        <w:t>Chapter Two: Literature Review</w:t>
      </w:r>
      <w:bookmarkEnd w:id="17"/>
    </w:p>
    <w:p w14:paraId="5FE400C0" w14:textId="77777777" w:rsidR="00337F4E" w:rsidRPr="00DC500E" w:rsidRDefault="00337F4E" w:rsidP="00337F4E">
      <w:pPr>
        <w:pStyle w:val="Heading2"/>
        <w:rPr>
          <w:rFonts w:cs="Times New Roman"/>
        </w:rPr>
      </w:pPr>
      <w:bookmarkStart w:id="18" w:name="_Toc241147167"/>
      <w:r w:rsidRPr="00DC500E">
        <w:rPr>
          <w:rFonts w:cs="Times New Roman"/>
        </w:rPr>
        <w:t>2.1 Introduction</w:t>
      </w:r>
      <w:bookmarkEnd w:id="18"/>
    </w:p>
    <w:p w14:paraId="48FDAC7A" w14:textId="5E5CED1F" w:rsidR="00337F4E" w:rsidRPr="00DC500E" w:rsidRDefault="00E37ECD" w:rsidP="00337F4E">
      <w:pPr>
        <w:rPr>
          <w:rFonts w:cs="Times New Roman"/>
        </w:rPr>
      </w:pPr>
      <w:r w:rsidRPr="00DC500E">
        <w:rPr>
          <w:rFonts w:cs="Times New Roman"/>
        </w:rPr>
        <w:t xml:space="preserve">This chapter offers a critical and synthetic approach to build the conceptual framework to understand consumer response to deceptive fast fashion marketing in light of the latest literature in green marketing and behavioural theory. </w:t>
      </w:r>
      <w:r w:rsidR="00A22DB1">
        <w:rPr>
          <w:rFonts w:cs="Times New Roman"/>
        </w:rPr>
        <w:t>It</w:t>
      </w:r>
      <w:r w:rsidRPr="00DC500E">
        <w:rPr>
          <w:rFonts w:cs="Times New Roman"/>
        </w:rPr>
        <w:t xml:space="preserve"> guides </w:t>
      </w:r>
      <w:r w:rsidR="00A22DB1">
        <w:rPr>
          <w:rFonts w:cs="Times New Roman"/>
        </w:rPr>
        <w:t xml:space="preserve">the reader </w:t>
      </w:r>
      <w:r w:rsidRPr="00DC500E">
        <w:rPr>
          <w:rFonts w:cs="Times New Roman"/>
        </w:rPr>
        <w:t xml:space="preserve">with a logical funnel method to the key arguments supporting this investigation. Starting by considering macro-theoretical frameworks on how sustainable consumption can be achieved, it then focuses on the micro level by examining empirical variables. In particular, this story attempts to dissect the multi-faceted nature and drivers of Greenwashing Scepticism and assess the psychological consequences of scepticism on </w:t>
      </w:r>
      <w:r w:rsidR="00A22DB1">
        <w:rPr>
          <w:rFonts w:cs="Times New Roman"/>
        </w:rPr>
        <w:t>‘</w:t>
      </w:r>
      <w:r w:rsidRPr="00DC500E">
        <w:rPr>
          <w:rFonts w:cs="Times New Roman"/>
        </w:rPr>
        <w:t>Environmental Consumer Trust</w:t>
      </w:r>
      <w:r w:rsidR="00A22DB1">
        <w:rPr>
          <w:rFonts w:cs="Times New Roman"/>
        </w:rPr>
        <w:t>’</w:t>
      </w:r>
      <w:r w:rsidRPr="00DC500E">
        <w:rPr>
          <w:rFonts w:cs="Times New Roman"/>
        </w:rPr>
        <w:t>, as well as its impact on Sustainable Purchase Intentions. Finally, this systematic review brings these thematic streams together in the creation of a unique conceptual framework and testable hypotheses which emphasize the empirical gaps worthy of this quantitative research.</w:t>
      </w:r>
    </w:p>
    <w:p w14:paraId="46CE9F48" w14:textId="77777777" w:rsidR="003772B5" w:rsidRPr="00DC500E" w:rsidRDefault="003772B5" w:rsidP="003772B5">
      <w:pPr>
        <w:pStyle w:val="Heading2"/>
        <w:rPr>
          <w:rFonts w:cs="Times New Roman"/>
        </w:rPr>
      </w:pPr>
      <w:bookmarkStart w:id="19" w:name="_Toc241147168"/>
      <w:r w:rsidRPr="00DC500E">
        <w:rPr>
          <w:rFonts w:cs="Times New Roman"/>
        </w:rPr>
        <w:t>2.2 Theoretical Frameworks Underpinning Sustainable Consumption</w:t>
      </w:r>
      <w:bookmarkEnd w:id="19"/>
    </w:p>
    <w:p w14:paraId="7FC17A9F" w14:textId="77777777" w:rsidR="003772B5" w:rsidRPr="00DC500E" w:rsidRDefault="003772B5" w:rsidP="003772B5">
      <w:pPr>
        <w:pStyle w:val="Heading3"/>
        <w:rPr>
          <w:rFonts w:cs="Times New Roman"/>
        </w:rPr>
      </w:pPr>
      <w:bookmarkStart w:id="20" w:name="_Toc241147169"/>
      <w:r w:rsidRPr="00DC500E">
        <w:rPr>
          <w:rFonts w:cs="Times New Roman"/>
        </w:rPr>
        <w:t>2.2.1 The Classical Theory of Planned Behaviour (</w:t>
      </w:r>
      <w:proofErr w:type="spellStart"/>
      <w:r w:rsidRPr="00DC500E">
        <w:rPr>
          <w:rFonts w:cs="Times New Roman"/>
        </w:rPr>
        <w:t>TPB</w:t>
      </w:r>
      <w:proofErr w:type="spellEnd"/>
      <w:r w:rsidRPr="00DC500E">
        <w:rPr>
          <w:rFonts w:cs="Times New Roman"/>
        </w:rPr>
        <w:t>)</w:t>
      </w:r>
      <w:bookmarkEnd w:id="20"/>
    </w:p>
    <w:p w14:paraId="3C8A346D" w14:textId="123C53A4" w:rsidR="00E37ECD" w:rsidRDefault="00E37ECD" w:rsidP="00E37ECD">
      <w:pPr>
        <w:rPr>
          <w:rFonts w:cs="Times New Roman"/>
        </w:rPr>
      </w:pPr>
      <w:r w:rsidRPr="00DC500E">
        <w:rPr>
          <w:rFonts w:cs="Times New Roman"/>
        </w:rPr>
        <w:t>The seminal cognitive model for predicting consumer decision-making has traditionally been the Theory of Planned Behaviour (</w:t>
      </w:r>
      <w:proofErr w:type="spellStart"/>
      <w:r w:rsidRPr="00DC500E">
        <w:rPr>
          <w:rFonts w:cs="Times New Roman"/>
        </w:rPr>
        <w:t>TPB</w:t>
      </w:r>
      <w:proofErr w:type="spellEnd"/>
      <w:r w:rsidRPr="00DC500E">
        <w:rPr>
          <w:rFonts w:cs="Times New Roman"/>
        </w:rPr>
        <w:t xml:space="preserve">) (Ajzen, 1991). According to the classical </w:t>
      </w:r>
      <w:proofErr w:type="spellStart"/>
      <w:r w:rsidRPr="00DC500E">
        <w:rPr>
          <w:rFonts w:cs="Times New Roman"/>
        </w:rPr>
        <w:t>TPB</w:t>
      </w:r>
      <w:proofErr w:type="spellEnd"/>
      <w:r w:rsidRPr="00DC500E">
        <w:rPr>
          <w:rFonts w:cs="Times New Roman"/>
        </w:rPr>
        <w:t xml:space="preserve">, intention to perform a particular behaviour is determined by three main </w:t>
      </w:r>
      <w:r w:rsidR="00A22DB1">
        <w:rPr>
          <w:rFonts w:cs="Times New Roman"/>
        </w:rPr>
        <w:t>“</w:t>
      </w:r>
      <w:r w:rsidRPr="00DC500E">
        <w:rPr>
          <w:rFonts w:cs="Times New Roman"/>
        </w:rPr>
        <w:t>antecedents</w:t>
      </w:r>
      <w:r w:rsidR="00A22DB1">
        <w:rPr>
          <w:rFonts w:cs="Times New Roman"/>
        </w:rPr>
        <w:t>”</w:t>
      </w:r>
      <w:r w:rsidRPr="00DC500E">
        <w:rPr>
          <w:rFonts w:cs="Times New Roman"/>
        </w:rPr>
        <w:t xml:space="preserve"> which are: Attitude towards the behaviour, Subjective Norms, and Perceived Behavioural Control (</w:t>
      </w:r>
      <w:proofErr w:type="spellStart"/>
      <w:r w:rsidRPr="00DC500E">
        <w:rPr>
          <w:rFonts w:cs="Times New Roman"/>
        </w:rPr>
        <w:t>PBC</w:t>
      </w:r>
      <w:proofErr w:type="spellEnd"/>
      <w:r w:rsidRPr="00DC500E">
        <w:rPr>
          <w:rFonts w:cs="Times New Roman"/>
        </w:rPr>
        <w:t>) (Ajzen 1991). This basic model is suitable for linking attitudes towards the environment and the intention to purchase products related to the green environment within the scope of the green marketing paradigm (</w:t>
      </w:r>
      <w:proofErr w:type="spellStart"/>
      <w:r w:rsidRPr="00DC500E">
        <w:rPr>
          <w:rFonts w:cs="Times New Roman"/>
        </w:rPr>
        <w:t>Meliniasari</w:t>
      </w:r>
      <w:proofErr w:type="spellEnd"/>
      <w:r w:rsidRPr="00DC500E">
        <w:rPr>
          <w:rFonts w:cs="Times New Roman"/>
        </w:rPr>
        <w:t xml:space="preserve"> and </w:t>
      </w:r>
      <w:proofErr w:type="spellStart"/>
      <w:r w:rsidRPr="00DC500E">
        <w:rPr>
          <w:rFonts w:cs="Times New Roman"/>
        </w:rPr>
        <w:t>Mas</w:t>
      </w:r>
      <w:r w:rsidR="00A22DB1">
        <w:rPr>
          <w:rFonts w:cs="Times New Roman"/>
        </w:rPr>
        <w:t>’</w:t>
      </w:r>
      <w:r w:rsidRPr="00DC500E">
        <w:rPr>
          <w:rFonts w:cs="Times New Roman"/>
        </w:rPr>
        <w:t>od</w:t>
      </w:r>
      <w:proofErr w:type="spellEnd"/>
      <w:r w:rsidRPr="00DC500E">
        <w:rPr>
          <w:rFonts w:cs="Times New Roman"/>
        </w:rPr>
        <w:t>, 2024). For eco-friendly products to be purchased, it is believed that there is a relationship between attitude and social norms</w:t>
      </w:r>
      <w:r w:rsidR="00A22DB1">
        <w:rPr>
          <w:rFonts w:cs="Times New Roman"/>
        </w:rPr>
        <w:t xml:space="preserve"> (</w:t>
      </w:r>
      <w:r w:rsidR="00A22DB1" w:rsidRPr="00DC500E">
        <w:rPr>
          <w:rFonts w:cs="Times New Roman"/>
        </w:rPr>
        <w:t>Hong et al., 2024</w:t>
      </w:r>
      <w:r w:rsidR="00A22DB1">
        <w:rPr>
          <w:rFonts w:cs="Times New Roman"/>
        </w:rPr>
        <w:t>)</w:t>
      </w:r>
      <w:r w:rsidRPr="00DC500E">
        <w:rPr>
          <w:rFonts w:cs="Times New Roman"/>
        </w:rPr>
        <w:t xml:space="preserve">. Theoretical consensus indicates that, if attitude towards environmental products is </w:t>
      </w:r>
      <w:r w:rsidRPr="00DC500E">
        <w:rPr>
          <w:rFonts w:cs="Times New Roman"/>
        </w:rPr>
        <w:lastRenderedPageBreak/>
        <w:t>positive and social pressure is to act in an environmentally responsible way, the initial level of intention for environmental products would be increased (Zamil et al., 2024).</w:t>
      </w:r>
    </w:p>
    <w:p w14:paraId="7443BB9C" w14:textId="4D1C1D9E" w:rsidR="00970609" w:rsidRDefault="00970609" w:rsidP="00E37ECD">
      <w:r>
        <w:fldChar w:fldCharType="begin"/>
      </w:r>
      <w:r>
        <w:instrText xml:space="preserve"> INCLUDEPICTURE "/Users/fahimhassan/Library/Group Containers/UBF8T346G9.ms/WebArchiveCopyPasteTempFiles/com.microsoft.Word/Theory_of_planned_behavior.png?utm_source=en.wikipedia.org&amp;utm_campaign=index&amp;utm_content=original" \* MERGEFORMATINET </w:instrText>
      </w:r>
      <w:r>
        <w:fldChar w:fldCharType="separate"/>
      </w:r>
      <w:r>
        <w:rPr>
          <w:noProof/>
        </w:rPr>
        <w:drawing>
          <wp:inline distT="0" distB="0" distL="0" distR="0" wp14:anchorId="215ED038" wp14:editId="6FEBEEFD">
            <wp:extent cx="5731510" cy="3404870"/>
            <wp:effectExtent l="0" t="0" r="0" b="0"/>
            <wp:docPr id="557884283" name="Picture 1" descr="Theory of planned behavio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ory of planned behavior - Wikipedia"/>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404870"/>
                    </a:xfrm>
                    <a:prstGeom prst="rect">
                      <a:avLst/>
                    </a:prstGeom>
                    <a:noFill/>
                    <a:ln>
                      <a:noFill/>
                    </a:ln>
                  </pic:spPr>
                </pic:pic>
              </a:graphicData>
            </a:graphic>
          </wp:inline>
        </w:drawing>
      </w:r>
      <w:r>
        <w:fldChar w:fldCharType="end"/>
      </w:r>
    </w:p>
    <w:p w14:paraId="79A4D78C" w14:textId="3D8B6821" w:rsidR="00970609" w:rsidRPr="00970609" w:rsidRDefault="00970609" w:rsidP="00970609">
      <w:pPr>
        <w:pStyle w:val="Caption"/>
        <w:rPr>
          <w:rFonts w:cs="Times New Roman"/>
        </w:rPr>
      </w:pPr>
      <w:bookmarkStart w:id="21" w:name="_Toc241078121"/>
      <w:r>
        <w:t xml:space="preserve">Figure </w:t>
      </w:r>
      <w:r>
        <w:fldChar w:fldCharType="begin"/>
      </w:r>
      <w:r>
        <w:instrText xml:space="preserve"> SEQ Figure \* ARABIC </w:instrText>
      </w:r>
      <w:r>
        <w:fldChar w:fldCharType="separate"/>
      </w:r>
      <w:r w:rsidR="00603018">
        <w:rPr>
          <w:noProof/>
        </w:rPr>
        <w:t>1</w:t>
      </w:r>
      <w:r>
        <w:fldChar w:fldCharType="end"/>
      </w:r>
      <w:r>
        <w:t xml:space="preserve">: </w:t>
      </w:r>
      <w:r w:rsidRPr="00DC500E">
        <w:rPr>
          <w:rFonts w:cs="Times New Roman"/>
        </w:rPr>
        <w:t>Theory of Planned Behaviour (</w:t>
      </w:r>
      <w:proofErr w:type="spellStart"/>
      <w:r w:rsidRPr="00DC500E">
        <w:rPr>
          <w:rFonts w:cs="Times New Roman"/>
        </w:rPr>
        <w:t>TPB</w:t>
      </w:r>
      <w:proofErr w:type="spellEnd"/>
      <w:r w:rsidRPr="00DC500E">
        <w:rPr>
          <w:rFonts w:cs="Times New Roman"/>
        </w:rPr>
        <w:t xml:space="preserve">) </w:t>
      </w:r>
      <w:r>
        <w:rPr>
          <w:rFonts w:cs="Times New Roman"/>
        </w:rPr>
        <w:t xml:space="preserve">by </w:t>
      </w:r>
      <w:r w:rsidRPr="00DC500E">
        <w:rPr>
          <w:rFonts w:cs="Times New Roman"/>
        </w:rPr>
        <w:t xml:space="preserve">Ajzen, </w:t>
      </w:r>
      <w:r>
        <w:rPr>
          <w:rFonts w:cs="Times New Roman"/>
        </w:rPr>
        <w:t>(</w:t>
      </w:r>
      <w:r w:rsidRPr="00DC500E">
        <w:rPr>
          <w:rFonts w:cs="Times New Roman"/>
        </w:rPr>
        <w:t>1991</w:t>
      </w:r>
      <w:r>
        <w:rPr>
          <w:rFonts w:cs="Times New Roman"/>
        </w:rPr>
        <w:t>)</w:t>
      </w:r>
      <w:bookmarkEnd w:id="21"/>
    </w:p>
    <w:p w14:paraId="1D0A0D72" w14:textId="40CE1757" w:rsidR="003772B5" w:rsidRPr="00DC500E" w:rsidRDefault="00E37ECD" w:rsidP="00E37ECD">
      <w:pPr>
        <w:rPr>
          <w:rFonts w:cs="Times New Roman"/>
        </w:rPr>
      </w:pPr>
      <w:r w:rsidRPr="00DC500E">
        <w:rPr>
          <w:rFonts w:cs="Times New Roman"/>
        </w:rPr>
        <w:t xml:space="preserve">Nevertheless, the classical </w:t>
      </w:r>
      <w:proofErr w:type="spellStart"/>
      <w:r w:rsidRPr="00DC500E">
        <w:rPr>
          <w:rFonts w:cs="Times New Roman"/>
        </w:rPr>
        <w:t>TPB</w:t>
      </w:r>
      <w:proofErr w:type="spellEnd"/>
      <w:r w:rsidRPr="00DC500E">
        <w:rPr>
          <w:rFonts w:cs="Times New Roman"/>
        </w:rPr>
        <w:t xml:space="preserve"> has significant limitations from a structural point of view when it comes to the current fast fashion issue. One of its main theoretical flaws is the underlying assumption of a frictionless market with transparency, no confusion created by deceptive marketing, and generally corporations that behave in an honest manner, which is not always the case (Nalle and Ismail, 2024). One strong assumption that the </w:t>
      </w:r>
      <w:proofErr w:type="spellStart"/>
      <w:r w:rsidRPr="00DC500E">
        <w:rPr>
          <w:rFonts w:cs="Times New Roman"/>
        </w:rPr>
        <w:t>TPB</w:t>
      </w:r>
      <w:proofErr w:type="spellEnd"/>
      <w:r w:rsidRPr="00DC500E">
        <w:rPr>
          <w:rFonts w:cs="Times New Roman"/>
        </w:rPr>
        <w:t xml:space="preserve"> theory makes is that consumers</w:t>
      </w:r>
      <w:r w:rsidR="00A22DB1">
        <w:rPr>
          <w:rFonts w:cs="Times New Roman"/>
        </w:rPr>
        <w:t>’</w:t>
      </w:r>
      <w:r w:rsidRPr="00DC500E">
        <w:rPr>
          <w:rFonts w:cs="Times New Roman"/>
        </w:rPr>
        <w:t xml:space="preserve"> pro-environmental attitudes will automatically lead them to pro-environmental purchase intention (Ajzen, 1991). However, the picture of this linear idea of transition completely changes when greenwashing enters the picture, adding a lot of cognitive dissonance and high risk and uncertainty (Fella and </w:t>
      </w:r>
      <w:proofErr w:type="spellStart"/>
      <w:r w:rsidRPr="00DC500E">
        <w:rPr>
          <w:rFonts w:cs="Times New Roman"/>
        </w:rPr>
        <w:t>Bausa</w:t>
      </w:r>
      <w:proofErr w:type="spellEnd"/>
      <w:r w:rsidRPr="00DC500E">
        <w:rPr>
          <w:rFonts w:cs="Times New Roman"/>
        </w:rPr>
        <w:t>, 2024). In risky retail use cases where opportunity knocks and there is an abundance of misleading information, internal attitudes can be easily superseded by external risk factors that pop up from market to market, from day to day (</w:t>
      </w:r>
      <w:proofErr w:type="spellStart"/>
      <w:r w:rsidRPr="00DC500E">
        <w:rPr>
          <w:rFonts w:cs="Times New Roman"/>
        </w:rPr>
        <w:t>Persakis</w:t>
      </w:r>
      <w:proofErr w:type="spellEnd"/>
      <w:r w:rsidRPr="00DC500E">
        <w:rPr>
          <w:rFonts w:cs="Times New Roman"/>
        </w:rPr>
        <w:t xml:space="preserve"> et al., 2025). </w:t>
      </w:r>
      <w:r w:rsidRPr="00DC500E">
        <w:rPr>
          <w:rFonts w:cs="Times New Roman"/>
          <w:kern w:val="0"/>
          <w14:ligatures w14:val="none"/>
        </w:rPr>
        <w:t xml:space="preserve">Thus, solely on the basis of the classical </w:t>
      </w:r>
      <w:proofErr w:type="spellStart"/>
      <w:r w:rsidRPr="00DC500E">
        <w:rPr>
          <w:rFonts w:cs="Times New Roman"/>
          <w:kern w:val="0"/>
          <w14:ligatures w14:val="none"/>
        </w:rPr>
        <w:t>TPB</w:t>
      </w:r>
      <w:proofErr w:type="spellEnd"/>
      <w:r w:rsidRPr="00DC500E">
        <w:rPr>
          <w:rFonts w:cs="Times New Roman"/>
          <w:kern w:val="0"/>
          <w14:ligatures w14:val="none"/>
        </w:rPr>
        <w:t xml:space="preserve">, it becomes </w:t>
      </w:r>
      <w:r w:rsidRPr="00DC500E">
        <w:rPr>
          <w:rFonts w:cs="Times New Roman"/>
          <w:kern w:val="0"/>
          <w14:ligatures w14:val="none"/>
        </w:rPr>
        <w:lastRenderedPageBreak/>
        <w:t>insufficient to explain the active avoidance of eco-consumers of sustainable fast fashion products if their</w:t>
      </w:r>
      <w:r w:rsidRPr="00DC500E">
        <w:rPr>
          <w:rFonts w:cs="Times New Roman"/>
        </w:rPr>
        <w:t xml:space="preserve"> motivation is very high</w:t>
      </w:r>
      <w:r w:rsidR="00A22DB1">
        <w:rPr>
          <w:rFonts w:cs="Times New Roman"/>
        </w:rPr>
        <w:t xml:space="preserve"> (</w:t>
      </w:r>
      <w:r w:rsidR="00A22DB1" w:rsidRPr="00DC500E">
        <w:rPr>
          <w:rFonts w:cs="Times New Roman"/>
        </w:rPr>
        <w:t xml:space="preserve">Marko and </w:t>
      </w:r>
      <w:proofErr w:type="spellStart"/>
      <w:r w:rsidR="00A22DB1" w:rsidRPr="00DC500E">
        <w:rPr>
          <w:rFonts w:cs="Times New Roman"/>
        </w:rPr>
        <w:t>Kusá</w:t>
      </w:r>
      <w:proofErr w:type="spellEnd"/>
      <w:r w:rsidR="00A22DB1" w:rsidRPr="00DC500E">
        <w:rPr>
          <w:rFonts w:cs="Times New Roman"/>
        </w:rPr>
        <w:t>, 2023</w:t>
      </w:r>
      <w:r w:rsidR="00A22DB1">
        <w:rPr>
          <w:rFonts w:cs="Times New Roman"/>
        </w:rPr>
        <w:t>)</w:t>
      </w:r>
      <w:r w:rsidRPr="00DC500E">
        <w:rPr>
          <w:rFonts w:cs="Times New Roman"/>
        </w:rPr>
        <w:t xml:space="preserve">. The core </w:t>
      </w:r>
      <w:proofErr w:type="spellStart"/>
      <w:r w:rsidRPr="00DC500E">
        <w:rPr>
          <w:rFonts w:cs="Times New Roman"/>
        </w:rPr>
        <w:t>TPB</w:t>
      </w:r>
      <w:proofErr w:type="spellEnd"/>
      <w:r w:rsidRPr="00DC500E">
        <w:rPr>
          <w:rFonts w:cs="Times New Roman"/>
        </w:rPr>
        <w:t xml:space="preserve"> framework carries with it a number of limitations when it comes to analysing the prevalent greenwashing conundrum without employing some kind of measure of deception by the organizations that drive that deception.</w:t>
      </w:r>
    </w:p>
    <w:p w14:paraId="25B28BB5" w14:textId="77777777" w:rsidR="003772B5" w:rsidRPr="00DC500E" w:rsidRDefault="003772B5" w:rsidP="003772B5">
      <w:pPr>
        <w:pStyle w:val="Heading3"/>
        <w:rPr>
          <w:rFonts w:cs="Times New Roman"/>
        </w:rPr>
      </w:pPr>
      <w:bookmarkStart w:id="22" w:name="_Toc241147170"/>
      <w:r w:rsidRPr="00DC500E">
        <w:rPr>
          <w:rFonts w:cs="Times New Roman"/>
        </w:rPr>
        <w:t xml:space="preserve">2.2.2 Extending the </w:t>
      </w:r>
      <w:proofErr w:type="spellStart"/>
      <w:r w:rsidRPr="00DC500E">
        <w:rPr>
          <w:rFonts w:cs="Times New Roman"/>
        </w:rPr>
        <w:t>TPB</w:t>
      </w:r>
      <w:proofErr w:type="spellEnd"/>
      <w:r w:rsidRPr="00DC500E">
        <w:rPr>
          <w:rFonts w:cs="Times New Roman"/>
        </w:rPr>
        <w:t>: Perceived Risk and Environmental Concern</w:t>
      </w:r>
      <w:bookmarkEnd w:id="22"/>
    </w:p>
    <w:p w14:paraId="4DA6688F" w14:textId="177F8637" w:rsidR="00E37ECD" w:rsidRPr="00DC500E" w:rsidRDefault="00E37ECD" w:rsidP="00E37ECD">
      <w:pPr>
        <w:rPr>
          <w:rFonts w:cs="Times New Roman"/>
        </w:rPr>
      </w:pPr>
      <w:r w:rsidRPr="00DC500E">
        <w:rPr>
          <w:rFonts w:cs="Times New Roman"/>
        </w:rPr>
        <w:t xml:space="preserve">Recent studies have tried to aggressively expand and modify the </w:t>
      </w:r>
      <w:proofErr w:type="spellStart"/>
      <w:r w:rsidRPr="00DC500E">
        <w:rPr>
          <w:rFonts w:cs="Times New Roman"/>
        </w:rPr>
        <w:t>TPB</w:t>
      </w:r>
      <w:proofErr w:type="spellEnd"/>
      <w:r w:rsidRPr="00DC500E">
        <w:rPr>
          <w:rFonts w:cs="Times New Roman"/>
        </w:rPr>
        <w:t>, including some important exogenous market forces that should compensate for the theory</w:t>
      </w:r>
      <w:r w:rsidR="00A22DB1">
        <w:rPr>
          <w:rFonts w:cs="Times New Roman"/>
        </w:rPr>
        <w:t>’</w:t>
      </w:r>
      <w:r w:rsidRPr="00DC500E">
        <w:rPr>
          <w:rFonts w:cs="Times New Roman"/>
        </w:rPr>
        <w:t>s predictive limitations; these market forces have mostly been perceived risk and environmental concern (</w:t>
      </w:r>
      <w:proofErr w:type="spellStart"/>
      <w:r w:rsidRPr="00DC500E">
        <w:rPr>
          <w:rFonts w:cs="Times New Roman"/>
        </w:rPr>
        <w:t>Ruangkanjanases</w:t>
      </w:r>
      <w:proofErr w:type="spellEnd"/>
      <w:r w:rsidRPr="00DC500E">
        <w:rPr>
          <w:rFonts w:cs="Times New Roman"/>
        </w:rPr>
        <w:t xml:space="preserve"> et al., 2020). When the target consumer is </w:t>
      </w:r>
      <w:r w:rsidR="00A22DB1">
        <w:rPr>
          <w:rFonts w:cs="Times New Roman"/>
        </w:rPr>
        <w:t>“</w:t>
      </w:r>
      <w:r w:rsidRPr="00DC500E">
        <w:rPr>
          <w:rFonts w:cs="Times New Roman"/>
        </w:rPr>
        <w:t>environmentally concerned</w:t>
      </w:r>
      <w:r w:rsidR="00A22DB1">
        <w:rPr>
          <w:rFonts w:cs="Times New Roman"/>
        </w:rPr>
        <w:t>”</w:t>
      </w:r>
      <w:r w:rsidRPr="00DC500E">
        <w:rPr>
          <w:rFonts w:cs="Times New Roman"/>
        </w:rPr>
        <w:t xml:space="preserve"> it serves as a psychological cue that increases the target consumer</w:t>
      </w:r>
      <w:r w:rsidR="00A22DB1">
        <w:rPr>
          <w:rFonts w:cs="Times New Roman"/>
        </w:rPr>
        <w:t>’</w:t>
      </w:r>
      <w:r w:rsidRPr="00DC500E">
        <w:rPr>
          <w:rFonts w:cs="Times New Roman"/>
        </w:rPr>
        <w:t xml:space="preserve">s </w:t>
      </w:r>
      <w:r w:rsidR="00A22DB1">
        <w:rPr>
          <w:rFonts w:cs="Times New Roman"/>
        </w:rPr>
        <w:t>“</w:t>
      </w:r>
      <w:r w:rsidRPr="00DC500E">
        <w:rPr>
          <w:rFonts w:cs="Times New Roman"/>
        </w:rPr>
        <w:t>cognitive vigilance</w:t>
      </w:r>
      <w:r w:rsidR="00A22DB1">
        <w:rPr>
          <w:rFonts w:cs="Times New Roman"/>
        </w:rPr>
        <w:t>”</w:t>
      </w:r>
      <w:r w:rsidRPr="00DC500E">
        <w:rPr>
          <w:rFonts w:cs="Times New Roman"/>
        </w:rPr>
        <w:t xml:space="preserve"> to the company</w:t>
      </w:r>
      <w:r w:rsidR="00A22DB1">
        <w:rPr>
          <w:rFonts w:cs="Times New Roman"/>
        </w:rPr>
        <w:t>’</w:t>
      </w:r>
      <w:r w:rsidRPr="00DC500E">
        <w:rPr>
          <w:rFonts w:cs="Times New Roman"/>
        </w:rPr>
        <w:t>s sustainability claims (Kaur et al., 2023). Perceived risk, on the other hand, is a pivotal and immobilizing resistance factor: the subjective probability of economic, social or environmental harm when an environmental claim of a purchased product fails to be achieved is perceived as a risk (</w:t>
      </w:r>
      <w:proofErr w:type="spellStart"/>
      <w:r w:rsidRPr="00DC500E">
        <w:rPr>
          <w:rFonts w:cs="Times New Roman"/>
        </w:rPr>
        <w:t>Rasu</w:t>
      </w:r>
      <w:proofErr w:type="spellEnd"/>
      <w:r w:rsidRPr="00DC500E">
        <w:rPr>
          <w:rFonts w:cs="Times New Roman"/>
        </w:rPr>
        <w:t xml:space="preserve"> et al., 2025).</w:t>
      </w:r>
    </w:p>
    <w:p w14:paraId="04060C92" w14:textId="60760862" w:rsidR="003772B5" w:rsidRPr="00DC500E" w:rsidRDefault="00E37ECD" w:rsidP="00E37ECD">
      <w:pPr>
        <w:rPr>
          <w:rFonts w:cs="Times New Roman"/>
        </w:rPr>
      </w:pPr>
      <w:r w:rsidRPr="00DC500E">
        <w:rPr>
          <w:rFonts w:cs="Times New Roman"/>
        </w:rPr>
        <w:t>Overall,</w:t>
      </w:r>
      <w:r w:rsidR="00A22DB1">
        <w:rPr>
          <w:rFonts w:cs="Times New Roman"/>
        </w:rPr>
        <w:t xml:space="preserve"> the</w:t>
      </w:r>
      <w:r w:rsidRPr="00DC500E">
        <w:rPr>
          <w:rFonts w:cs="Times New Roman"/>
        </w:rPr>
        <w:t xml:space="preserve"> evidence of the application of the extended </w:t>
      </w:r>
      <w:proofErr w:type="spellStart"/>
      <w:r w:rsidRPr="00DC500E">
        <w:rPr>
          <w:rFonts w:cs="Times New Roman"/>
        </w:rPr>
        <w:t>TPB</w:t>
      </w:r>
      <w:proofErr w:type="spellEnd"/>
      <w:r w:rsidRPr="00DC500E">
        <w:rPr>
          <w:rFonts w:cs="Times New Roman"/>
        </w:rPr>
        <w:t xml:space="preserve"> shows that greenwashing affects </w:t>
      </w:r>
      <w:r w:rsidRPr="00DC500E">
        <w:rPr>
          <w:rFonts w:cs="Times New Roman"/>
          <w:kern w:val="0"/>
          <w14:ligatures w14:val="none"/>
        </w:rPr>
        <w:t>consumers</w:t>
      </w:r>
      <w:r w:rsidR="00A22DB1">
        <w:rPr>
          <w:rFonts w:cs="Times New Roman"/>
          <w:kern w:val="0"/>
          <w14:ligatures w14:val="none"/>
        </w:rPr>
        <w:t>’</w:t>
      </w:r>
      <w:r w:rsidRPr="00DC500E">
        <w:rPr>
          <w:rFonts w:cs="Times New Roman"/>
          <w:kern w:val="0"/>
          <w14:ligatures w14:val="none"/>
        </w:rPr>
        <w:t xml:space="preserve"> sustainable purchase intentions directly and indirectly by increasing the perceived green risk</w:t>
      </w:r>
      <w:r w:rsidR="00A22DB1">
        <w:rPr>
          <w:rFonts w:cs="Times New Roman"/>
          <w:kern w:val="0"/>
          <w14:ligatures w14:val="none"/>
        </w:rPr>
        <w:t xml:space="preserve"> (</w:t>
      </w:r>
      <w:proofErr w:type="spellStart"/>
      <w:r w:rsidR="00A22DB1" w:rsidRPr="00DC500E">
        <w:rPr>
          <w:rFonts w:cs="Times New Roman"/>
        </w:rPr>
        <w:t>Szaban</w:t>
      </w:r>
      <w:proofErr w:type="spellEnd"/>
      <w:r w:rsidR="00A22DB1" w:rsidRPr="00DC500E">
        <w:rPr>
          <w:rFonts w:cs="Times New Roman"/>
        </w:rPr>
        <w:t xml:space="preserve"> et al., 2025</w:t>
      </w:r>
      <w:r w:rsidR="00A22DB1">
        <w:rPr>
          <w:rFonts w:cs="Times New Roman"/>
        </w:rPr>
        <w:t>)</w:t>
      </w:r>
      <w:r w:rsidR="00A22DB1">
        <w:rPr>
          <w:rFonts w:cs="Times New Roman"/>
          <w:kern w:val="0"/>
          <w14:ligatures w14:val="none"/>
        </w:rPr>
        <w:t>.</w:t>
      </w:r>
      <w:r w:rsidRPr="00DC500E">
        <w:rPr>
          <w:rFonts w:cs="Times New Roman"/>
          <w:kern w:val="0"/>
          <w14:ligatures w14:val="none"/>
        </w:rPr>
        <w:t xml:space="preserve"> </w:t>
      </w:r>
      <w:r w:rsidR="00A22DB1">
        <w:rPr>
          <w:rFonts w:cs="Times New Roman"/>
          <w:kern w:val="0"/>
          <w14:ligatures w14:val="none"/>
        </w:rPr>
        <w:t>This</w:t>
      </w:r>
      <w:r w:rsidRPr="00DC500E">
        <w:rPr>
          <w:rFonts w:cs="Times New Roman"/>
          <w:kern w:val="0"/>
          <w14:ligatures w14:val="none"/>
        </w:rPr>
        <w:t xml:space="preserve"> consequently reduces sustainable purchase intentions in various</w:t>
      </w:r>
      <w:r w:rsidRPr="00DC500E">
        <w:rPr>
          <w:rFonts w:cs="Times New Roman"/>
        </w:rPr>
        <w:t xml:space="preserve"> consumer markets (Lu et al., 2022). Critically, when multinational fast fashion brands play with environmental metrics to show a false sense of eco-friendliness, the consumer is given an acute psychological and financial risk when buying clothes, claiming that they are </w:t>
      </w:r>
      <w:r w:rsidR="00A22DB1">
        <w:rPr>
          <w:rFonts w:cs="Times New Roman"/>
        </w:rPr>
        <w:t>buy</w:t>
      </w:r>
      <w:r w:rsidRPr="00DC500E">
        <w:rPr>
          <w:rFonts w:cs="Times New Roman"/>
        </w:rPr>
        <w:t>ing extra environment</w:t>
      </w:r>
      <w:r w:rsidR="00A22DB1">
        <w:rPr>
          <w:rFonts w:cs="Times New Roman"/>
        </w:rPr>
        <w:t xml:space="preserve">ally </w:t>
      </w:r>
      <w:r w:rsidRPr="00DC500E">
        <w:rPr>
          <w:rFonts w:cs="Times New Roman"/>
        </w:rPr>
        <w:t>friendly clothes at a higher price point (</w:t>
      </w:r>
      <w:proofErr w:type="spellStart"/>
      <w:r w:rsidRPr="00DC500E">
        <w:rPr>
          <w:rFonts w:cs="Times New Roman"/>
        </w:rPr>
        <w:t>Akkala</w:t>
      </w:r>
      <w:proofErr w:type="spellEnd"/>
      <w:r w:rsidRPr="00DC500E">
        <w:rPr>
          <w:rFonts w:cs="Times New Roman"/>
        </w:rPr>
        <w:t xml:space="preserve"> et al., 2026). This feeling of increased risk perception actively cuts the already existing psychological link between a consumer</w:t>
      </w:r>
      <w:r w:rsidR="00A22DB1">
        <w:rPr>
          <w:rFonts w:cs="Times New Roman"/>
        </w:rPr>
        <w:t>’</w:t>
      </w:r>
      <w:r w:rsidRPr="00DC500E">
        <w:rPr>
          <w:rFonts w:cs="Times New Roman"/>
        </w:rPr>
        <w:t>s green attitude and purchase behaviour</w:t>
      </w:r>
      <w:r w:rsidR="00A22DB1">
        <w:rPr>
          <w:rFonts w:cs="Times New Roman"/>
        </w:rPr>
        <w:t xml:space="preserve"> (</w:t>
      </w:r>
      <w:r w:rsidR="00A22DB1" w:rsidRPr="00DC500E">
        <w:rPr>
          <w:rFonts w:cs="Times New Roman"/>
        </w:rPr>
        <w:t>Dangelico et al., 2022</w:t>
      </w:r>
      <w:r w:rsidR="00A22DB1">
        <w:rPr>
          <w:rFonts w:cs="Times New Roman"/>
        </w:rPr>
        <w:t>).</w:t>
      </w:r>
      <w:r w:rsidRPr="00DC500E">
        <w:rPr>
          <w:rFonts w:cs="Times New Roman"/>
        </w:rPr>
        <w:t xml:space="preserve"> </w:t>
      </w:r>
      <w:proofErr w:type="spellStart"/>
      <w:r w:rsidR="00A22DB1" w:rsidRPr="00DC500E">
        <w:rPr>
          <w:rFonts w:cs="Times New Roman"/>
        </w:rPr>
        <w:t>Kamalanon</w:t>
      </w:r>
      <w:proofErr w:type="spellEnd"/>
      <w:r w:rsidR="00A22DB1" w:rsidRPr="00DC500E">
        <w:rPr>
          <w:rFonts w:cs="Times New Roman"/>
        </w:rPr>
        <w:t xml:space="preserve"> et al. </w:t>
      </w:r>
      <w:r w:rsidR="00A22DB1">
        <w:rPr>
          <w:rFonts w:cs="Times New Roman"/>
        </w:rPr>
        <w:t>(</w:t>
      </w:r>
      <w:r w:rsidR="00A22DB1" w:rsidRPr="00DC500E">
        <w:rPr>
          <w:rFonts w:cs="Times New Roman"/>
        </w:rPr>
        <w:t>2022</w:t>
      </w:r>
      <w:r w:rsidR="00A22DB1">
        <w:rPr>
          <w:rFonts w:cs="Times New Roman"/>
        </w:rPr>
        <w:t>)</w:t>
      </w:r>
      <w:r w:rsidRPr="00DC500E">
        <w:rPr>
          <w:rFonts w:cs="Times New Roman"/>
        </w:rPr>
        <w:t xml:space="preserve"> suggest that the extended </w:t>
      </w:r>
      <w:proofErr w:type="spellStart"/>
      <w:r w:rsidRPr="00DC500E">
        <w:rPr>
          <w:rFonts w:cs="Times New Roman"/>
        </w:rPr>
        <w:t>TPB</w:t>
      </w:r>
      <w:proofErr w:type="spellEnd"/>
      <w:r w:rsidRPr="00DC500E">
        <w:rPr>
          <w:rFonts w:cs="Times New Roman"/>
        </w:rPr>
        <w:t xml:space="preserve"> offers a much more comprehensive, </w:t>
      </w:r>
      <w:r w:rsidRPr="00DC500E">
        <w:rPr>
          <w:rFonts w:cs="Times New Roman"/>
        </w:rPr>
        <w:lastRenderedPageBreak/>
        <w:t>fine-grained and highly explanatory tool for model</w:t>
      </w:r>
      <w:r w:rsidR="00A22DB1">
        <w:rPr>
          <w:rFonts w:cs="Times New Roman"/>
        </w:rPr>
        <w:t>l</w:t>
      </w:r>
      <w:r w:rsidRPr="00DC500E">
        <w:rPr>
          <w:rFonts w:cs="Times New Roman"/>
        </w:rPr>
        <w:t>ing the connections between consumers</w:t>
      </w:r>
      <w:r w:rsidR="00A22DB1">
        <w:rPr>
          <w:rFonts w:cs="Times New Roman"/>
        </w:rPr>
        <w:t>’</w:t>
      </w:r>
      <w:r w:rsidRPr="00DC500E">
        <w:rPr>
          <w:rFonts w:cs="Times New Roman"/>
        </w:rPr>
        <w:t xml:space="preserve"> perceptions and behaviour in volatile eco-markets, as opposed to Ajzen</w:t>
      </w:r>
      <w:r w:rsidR="00A22DB1">
        <w:rPr>
          <w:rFonts w:cs="Times New Roman"/>
        </w:rPr>
        <w:t>’</w:t>
      </w:r>
      <w:r w:rsidRPr="00DC500E">
        <w:rPr>
          <w:rFonts w:cs="Times New Roman"/>
        </w:rPr>
        <w:t>s original model.</w:t>
      </w:r>
    </w:p>
    <w:p w14:paraId="771CEF9D" w14:textId="77777777" w:rsidR="003772B5" w:rsidRPr="00DC500E" w:rsidRDefault="003772B5" w:rsidP="003772B5">
      <w:pPr>
        <w:pStyle w:val="Heading3"/>
        <w:rPr>
          <w:rFonts w:cs="Times New Roman"/>
        </w:rPr>
      </w:pPr>
      <w:bookmarkStart w:id="23" w:name="_Toc241147171"/>
      <w:r w:rsidRPr="00DC500E">
        <w:rPr>
          <w:rFonts w:cs="Times New Roman"/>
        </w:rPr>
        <w:t>2.2.3 The Imperative of a Trust-Mediation Model</w:t>
      </w:r>
      <w:bookmarkEnd w:id="23"/>
    </w:p>
    <w:p w14:paraId="2C214B2E" w14:textId="14106111" w:rsidR="00E37ECD" w:rsidRPr="00DC500E" w:rsidRDefault="00A22DB1" w:rsidP="00E37ECD">
      <w:pPr>
        <w:rPr>
          <w:rFonts w:cs="Times New Roman"/>
        </w:rPr>
      </w:pPr>
      <w:proofErr w:type="spellStart"/>
      <w:r w:rsidRPr="00DC500E">
        <w:rPr>
          <w:rFonts w:cs="Times New Roman"/>
        </w:rPr>
        <w:t>Dempere</w:t>
      </w:r>
      <w:proofErr w:type="spellEnd"/>
      <w:r w:rsidRPr="00DC500E">
        <w:rPr>
          <w:rFonts w:cs="Times New Roman"/>
        </w:rPr>
        <w:t xml:space="preserve"> et al. </w:t>
      </w:r>
      <w:r>
        <w:rPr>
          <w:rFonts w:cs="Times New Roman"/>
        </w:rPr>
        <w:t>(</w:t>
      </w:r>
      <w:r w:rsidRPr="00DC500E">
        <w:rPr>
          <w:rFonts w:cs="Times New Roman"/>
        </w:rPr>
        <w:t>2024</w:t>
      </w:r>
      <w:r>
        <w:rPr>
          <w:rFonts w:cs="Times New Roman"/>
        </w:rPr>
        <w:t>) found</w:t>
      </w:r>
      <w:r w:rsidR="00E37ECD" w:rsidRPr="00DC500E">
        <w:rPr>
          <w:rFonts w:cs="Times New Roman"/>
        </w:rPr>
        <w:t xml:space="preserve"> that perceived risk can</w:t>
      </w:r>
      <w:r>
        <w:rPr>
          <w:rFonts w:cs="Times New Roman"/>
        </w:rPr>
        <w:t>’</w:t>
      </w:r>
      <w:r w:rsidR="00E37ECD" w:rsidRPr="00DC500E">
        <w:rPr>
          <w:rFonts w:cs="Times New Roman"/>
        </w:rPr>
        <w:t xml:space="preserve">t account for systematic greenwashing, which can have far-reaching psychological consequences. If the </w:t>
      </w:r>
      <w:proofErr w:type="spellStart"/>
      <w:r w:rsidR="00E37ECD" w:rsidRPr="00DC500E">
        <w:rPr>
          <w:rFonts w:cs="Times New Roman"/>
        </w:rPr>
        <w:t>TPB</w:t>
      </w:r>
      <w:proofErr w:type="spellEnd"/>
      <w:r w:rsidR="00E37ECD" w:rsidRPr="00DC500E">
        <w:rPr>
          <w:rFonts w:cs="Times New Roman"/>
        </w:rPr>
        <w:t xml:space="preserve"> is to be valid in explaining actual pro-environmental behaviour, the aspect of risk must be integrated</w:t>
      </w:r>
      <w:r>
        <w:rPr>
          <w:rFonts w:cs="Times New Roman"/>
        </w:rPr>
        <w:t xml:space="preserve"> (</w:t>
      </w:r>
      <w:r w:rsidRPr="00DC500E">
        <w:rPr>
          <w:rFonts w:cs="Times New Roman"/>
        </w:rPr>
        <w:t>Montgomery et al., 2023</w:t>
      </w:r>
      <w:r>
        <w:rPr>
          <w:rFonts w:cs="Times New Roman"/>
        </w:rPr>
        <w:t>)</w:t>
      </w:r>
      <w:r w:rsidR="00E37ECD" w:rsidRPr="00DC500E">
        <w:rPr>
          <w:rFonts w:cs="Times New Roman"/>
        </w:rPr>
        <w:t xml:space="preserve">. Rather, the final-end mediation for eco-consumption is another dimension encapsulated under the notion of verified consumer trust (Daou et al., 2025). The word </w:t>
      </w:r>
      <w:r>
        <w:rPr>
          <w:rFonts w:cs="Times New Roman"/>
        </w:rPr>
        <w:t>‘</w:t>
      </w:r>
      <w:r w:rsidR="00E37ECD" w:rsidRPr="00DC500E">
        <w:rPr>
          <w:rFonts w:cs="Times New Roman"/>
        </w:rPr>
        <w:t>trust</w:t>
      </w:r>
      <w:r>
        <w:rPr>
          <w:rFonts w:cs="Times New Roman"/>
        </w:rPr>
        <w:t>’</w:t>
      </w:r>
      <w:r w:rsidR="00E37ECD" w:rsidRPr="00DC500E">
        <w:rPr>
          <w:rFonts w:cs="Times New Roman"/>
        </w:rPr>
        <w:t xml:space="preserve"> does seem to serve as the absolute psychological prerequisite for risk reduction</w:t>
      </w:r>
      <w:r>
        <w:rPr>
          <w:rFonts w:cs="Times New Roman"/>
        </w:rPr>
        <w:t>;</w:t>
      </w:r>
      <w:r w:rsidR="00E37ECD" w:rsidRPr="00DC500E">
        <w:rPr>
          <w:rFonts w:cs="Times New Roman"/>
        </w:rPr>
        <w:t xml:space="preserve"> without basic trust in the </w:t>
      </w:r>
      <w:r w:rsidR="00970609">
        <w:rPr>
          <w:rFonts w:cs="Times New Roman"/>
        </w:rPr>
        <w:t xml:space="preserve">brand’s </w:t>
      </w:r>
      <w:r w:rsidR="00E37ECD" w:rsidRPr="00DC500E">
        <w:rPr>
          <w:rFonts w:cs="Times New Roman"/>
        </w:rPr>
        <w:t>sustainability communication</w:t>
      </w:r>
      <w:r>
        <w:rPr>
          <w:rFonts w:cs="Times New Roman"/>
        </w:rPr>
        <w:t xml:space="preserve"> (</w:t>
      </w:r>
      <w:r w:rsidRPr="00DC500E">
        <w:rPr>
          <w:rFonts w:cs="Times New Roman"/>
        </w:rPr>
        <w:t>Lin et al., 2025</w:t>
      </w:r>
      <w:r>
        <w:rPr>
          <w:rFonts w:cs="Times New Roman"/>
        </w:rPr>
        <w:t>).</w:t>
      </w:r>
      <w:r w:rsidR="00E37ECD" w:rsidRPr="00DC500E">
        <w:rPr>
          <w:rFonts w:cs="Times New Roman"/>
        </w:rPr>
        <w:t xml:space="preserve"> </w:t>
      </w:r>
      <w:r>
        <w:rPr>
          <w:rFonts w:cs="Times New Roman"/>
        </w:rPr>
        <w:t>I</w:t>
      </w:r>
      <w:r w:rsidR="00E37ECD" w:rsidRPr="00DC500E">
        <w:rPr>
          <w:rFonts w:cs="Times New Roman"/>
        </w:rPr>
        <w:t xml:space="preserve">n the </w:t>
      </w:r>
      <w:r>
        <w:rPr>
          <w:rFonts w:cs="Times New Roman"/>
        </w:rPr>
        <w:t>context</w:t>
      </w:r>
      <w:r w:rsidR="00E37ECD" w:rsidRPr="00DC500E">
        <w:rPr>
          <w:rFonts w:cs="Times New Roman"/>
        </w:rPr>
        <w:t xml:space="preserve"> of the company</w:t>
      </w:r>
      <w:r>
        <w:rPr>
          <w:rFonts w:cs="Times New Roman"/>
        </w:rPr>
        <w:t>'s motives</w:t>
      </w:r>
      <w:r w:rsidR="00E37ECD" w:rsidRPr="00DC500E">
        <w:rPr>
          <w:rFonts w:cs="Times New Roman"/>
        </w:rPr>
        <w:t>, a consumer cannot even possibly reduce the perceived risk when purchasing a fast fashion product (</w:t>
      </w:r>
      <w:proofErr w:type="spellStart"/>
      <w:r w:rsidR="00E37ECD" w:rsidRPr="00DC500E">
        <w:rPr>
          <w:rFonts w:cs="Times New Roman"/>
        </w:rPr>
        <w:t>Ruangkanjanases</w:t>
      </w:r>
      <w:proofErr w:type="spellEnd"/>
      <w:r w:rsidR="00E37ECD" w:rsidRPr="00DC500E">
        <w:rPr>
          <w:rFonts w:cs="Times New Roman"/>
        </w:rPr>
        <w:t xml:space="preserve"> et al., 2020).</w:t>
      </w:r>
    </w:p>
    <w:p w14:paraId="144DE1FB" w14:textId="536885DE" w:rsidR="003772B5" w:rsidRPr="00DC500E" w:rsidRDefault="00A22DB1" w:rsidP="00E37ECD">
      <w:pPr>
        <w:rPr>
          <w:rFonts w:cs="Times New Roman"/>
        </w:rPr>
      </w:pPr>
      <w:r w:rsidRPr="00DC500E">
        <w:rPr>
          <w:rFonts w:cs="Times New Roman"/>
        </w:rPr>
        <w:t xml:space="preserve">Srivastava </w:t>
      </w:r>
      <w:r>
        <w:rPr>
          <w:rFonts w:cs="Times New Roman"/>
        </w:rPr>
        <w:t>(</w:t>
      </w:r>
      <w:r w:rsidRPr="00DC500E">
        <w:rPr>
          <w:rFonts w:cs="Times New Roman"/>
        </w:rPr>
        <w:t>2025</w:t>
      </w:r>
      <w:r>
        <w:rPr>
          <w:rFonts w:cs="Times New Roman"/>
        </w:rPr>
        <w:t xml:space="preserve">) </w:t>
      </w:r>
      <w:r w:rsidR="00E37ECD" w:rsidRPr="00DC500E">
        <w:rPr>
          <w:rFonts w:cs="Times New Roman"/>
        </w:rPr>
        <w:t>highlights that greenwashing does not simply create increased perceived risk</w:t>
      </w:r>
      <w:r>
        <w:rPr>
          <w:rFonts w:cs="Times New Roman"/>
        </w:rPr>
        <w:t>.</w:t>
      </w:r>
      <w:r w:rsidR="00E37ECD" w:rsidRPr="00DC500E">
        <w:rPr>
          <w:rFonts w:cs="Times New Roman"/>
        </w:rPr>
        <w:t xml:space="preserve"> </w:t>
      </w:r>
      <w:r>
        <w:rPr>
          <w:rFonts w:cs="Times New Roman"/>
        </w:rPr>
        <w:t>B</w:t>
      </w:r>
      <w:r w:rsidR="00E37ECD" w:rsidRPr="00DC500E">
        <w:rPr>
          <w:rFonts w:cs="Times New Roman"/>
        </w:rPr>
        <w:t xml:space="preserve">ut fundamentally undermines the </w:t>
      </w:r>
      <w:r>
        <w:rPr>
          <w:rFonts w:cs="Times New Roman"/>
        </w:rPr>
        <w:t>‘</w:t>
      </w:r>
      <w:r w:rsidR="00E37ECD" w:rsidRPr="00DC500E">
        <w:rPr>
          <w:rFonts w:cs="Times New Roman"/>
        </w:rPr>
        <w:t>backbone</w:t>
      </w:r>
      <w:r>
        <w:rPr>
          <w:rFonts w:cs="Times New Roman"/>
        </w:rPr>
        <w:t>’</w:t>
      </w:r>
      <w:r w:rsidR="00E37ECD" w:rsidRPr="00DC500E">
        <w:rPr>
          <w:rFonts w:cs="Times New Roman"/>
        </w:rPr>
        <w:t xml:space="preserve"> of institutional trust</w:t>
      </w:r>
      <w:r w:rsidR="00970609">
        <w:rPr>
          <w:rFonts w:cs="Times New Roman"/>
        </w:rPr>
        <w:t>,</w:t>
      </w:r>
      <w:r w:rsidR="00E37ECD" w:rsidRPr="00DC500E">
        <w:rPr>
          <w:rFonts w:cs="Times New Roman"/>
        </w:rPr>
        <w:t xml:space="preserve"> which, in the end, leads to </w:t>
      </w:r>
      <w:r>
        <w:rPr>
          <w:rFonts w:cs="Times New Roman"/>
        </w:rPr>
        <w:t>“</w:t>
      </w:r>
      <w:r w:rsidR="00E37ECD" w:rsidRPr="00DC500E">
        <w:rPr>
          <w:rFonts w:cs="Times New Roman"/>
        </w:rPr>
        <w:t>greenwashing scepticism</w:t>
      </w:r>
      <w:r>
        <w:rPr>
          <w:rFonts w:cs="Times New Roman"/>
        </w:rPr>
        <w:t>”</w:t>
      </w:r>
      <w:r w:rsidR="00E37ECD" w:rsidRPr="00DC500E">
        <w:rPr>
          <w:rFonts w:cs="Times New Roman"/>
        </w:rPr>
        <w:t xml:space="preserve"> that is pervasive across the industry (</w:t>
      </w:r>
      <w:proofErr w:type="spellStart"/>
      <w:r w:rsidR="00E37ECD" w:rsidRPr="00DC500E">
        <w:rPr>
          <w:rFonts w:cs="Times New Roman"/>
        </w:rPr>
        <w:t>Khandai</w:t>
      </w:r>
      <w:proofErr w:type="spellEnd"/>
      <w:r w:rsidR="00E37ECD" w:rsidRPr="00DC500E">
        <w:rPr>
          <w:rFonts w:cs="Times New Roman"/>
        </w:rPr>
        <w:t xml:space="preserve"> et al., 2025). This step-by-step loss of trust, expressed in numbers, is the exact, measurable transmission mechanism at work that translates cognitive doubt into a continuous pattern of behavioural avoidance (Mathew and Spinelli, 2025). Hence, it is clear that the classical </w:t>
      </w:r>
      <w:proofErr w:type="spellStart"/>
      <w:r w:rsidR="00E37ECD" w:rsidRPr="00DC500E">
        <w:rPr>
          <w:rFonts w:cs="Times New Roman"/>
        </w:rPr>
        <w:t>TPB</w:t>
      </w:r>
      <w:proofErr w:type="spellEnd"/>
      <w:r w:rsidR="00E37ECD" w:rsidRPr="00DC500E">
        <w:rPr>
          <w:rFonts w:cs="Times New Roman"/>
        </w:rPr>
        <w:t xml:space="preserve"> model fails totally on the above-mentioned highly sceptical fast fashion segment in the United Kingdom, as there is no specific and structural consideration of a trust mediation model</w:t>
      </w:r>
      <w:r>
        <w:rPr>
          <w:rFonts w:cs="Times New Roman"/>
        </w:rPr>
        <w:t xml:space="preserve"> (</w:t>
      </w:r>
      <w:r w:rsidRPr="00DC500E">
        <w:rPr>
          <w:rFonts w:cs="Times New Roman"/>
        </w:rPr>
        <w:t>Abdusalam et al., 2024</w:t>
      </w:r>
      <w:r>
        <w:rPr>
          <w:rFonts w:cs="Times New Roman"/>
        </w:rPr>
        <w:t>)</w:t>
      </w:r>
      <w:r w:rsidR="00E37ECD" w:rsidRPr="00DC500E">
        <w:rPr>
          <w:rFonts w:cs="Times New Roman"/>
        </w:rPr>
        <w:t>. This amended theoretical framework helps to fill the gap between the deception done by the companies and the lack of intentions with consumers by making consumer trust the focal point, which is a robust, empirical, and extensive theory supporting this entire study (Rashid et al., 2023).</w:t>
      </w:r>
    </w:p>
    <w:p w14:paraId="0AE30B7D" w14:textId="77777777" w:rsidR="005E4486" w:rsidRPr="00DC500E" w:rsidRDefault="005E4486" w:rsidP="005E4486">
      <w:pPr>
        <w:pStyle w:val="Heading2"/>
        <w:rPr>
          <w:rFonts w:cs="Times New Roman"/>
        </w:rPr>
      </w:pPr>
      <w:bookmarkStart w:id="24" w:name="_Toc241147172"/>
      <w:r w:rsidRPr="00DC500E">
        <w:rPr>
          <w:rFonts w:cs="Times New Roman"/>
        </w:rPr>
        <w:lastRenderedPageBreak/>
        <w:t>2.3 Dimensions and Drivers of Greenwashing Scepticism</w:t>
      </w:r>
      <w:bookmarkEnd w:id="24"/>
    </w:p>
    <w:p w14:paraId="433C81D1" w14:textId="77777777" w:rsidR="005E4486" w:rsidRPr="00DC500E" w:rsidRDefault="005E4486" w:rsidP="005E4486">
      <w:pPr>
        <w:pStyle w:val="Heading3"/>
        <w:rPr>
          <w:rFonts w:cs="Times New Roman"/>
        </w:rPr>
      </w:pPr>
      <w:bookmarkStart w:id="25" w:name="_Toc241147173"/>
      <w:r w:rsidRPr="00DC500E">
        <w:rPr>
          <w:rFonts w:cs="Times New Roman"/>
        </w:rPr>
        <w:t>2.3.1 Critical Conceptualisation of Greenwashing and Cognitive Dissonance</w:t>
      </w:r>
      <w:bookmarkEnd w:id="25"/>
    </w:p>
    <w:p w14:paraId="034D0CBD" w14:textId="4EE6A206" w:rsidR="005E4486" w:rsidRPr="00DC500E" w:rsidRDefault="00C02CEA" w:rsidP="005E4486">
      <w:pPr>
        <w:rPr>
          <w:rFonts w:cs="Times New Roman"/>
        </w:rPr>
      </w:pPr>
      <w:r w:rsidRPr="00DC500E">
        <w:rPr>
          <w:rFonts w:cs="Times New Roman"/>
        </w:rPr>
        <w:t xml:space="preserve">Consumer scepticism can only be fully understood if one looks beyond the superficial conceptualisation of greenwashing as false advertising. Greenwashing is therefore known in </w:t>
      </w:r>
      <w:r w:rsidR="00A22DB1" w:rsidRPr="00DC500E">
        <w:rPr>
          <w:rFonts w:cs="Times New Roman"/>
        </w:rPr>
        <w:t xml:space="preserve">Farooq and </w:t>
      </w:r>
      <w:proofErr w:type="spellStart"/>
      <w:r w:rsidR="00A22DB1" w:rsidRPr="00DC500E">
        <w:rPr>
          <w:rFonts w:cs="Times New Roman"/>
        </w:rPr>
        <w:t>Wicaksono</w:t>
      </w:r>
      <w:proofErr w:type="spellEnd"/>
      <w:r w:rsidR="00A22DB1" w:rsidRPr="00DC500E">
        <w:rPr>
          <w:rFonts w:cs="Times New Roman"/>
        </w:rPr>
        <w:t xml:space="preserve"> </w:t>
      </w:r>
      <w:r w:rsidR="00A22DB1">
        <w:rPr>
          <w:rFonts w:cs="Times New Roman"/>
        </w:rPr>
        <w:t>(</w:t>
      </w:r>
      <w:r w:rsidR="00A22DB1" w:rsidRPr="00DC500E">
        <w:rPr>
          <w:rFonts w:cs="Times New Roman"/>
        </w:rPr>
        <w:t>2021</w:t>
      </w:r>
      <w:r w:rsidR="00A22DB1">
        <w:rPr>
          <w:rFonts w:cs="Times New Roman"/>
        </w:rPr>
        <w:t>)</w:t>
      </w:r>
      <w:r w:rsidRPr="00DC500E">
        <w:rPr>
          <w:rFonts w:cs="Times New Roman"/>
        </w:rPr>
        <w:t xml:space="preserve"> as an intentional corporate marketing action to deceive or make a claim that leaves environmental claims unconfirmed due to unsustainable corporate operations. Yet, the actual issue concerning greenwashing is its effect on the consumer psychologically</w:t>
      </w:r>
      <w:r w:rsidR="00A22DB1">
        <w:rPr>
          <w:rFonts w:cs="Times New Roman"/>
        </w:rPr>
        <w:t xml:space="preserve"> (</w:t>
      </w:r>
      <w:r w:rsidR="00A22DB1" w:rsidRPr="00DC500E">
        <w:rPr>
          <w:rFonts w:cs="Times New Roman"/>
        </w:rPr>
        <w:t>Villarino and Font, 2015</w:t>
      </w:r>
      <w:r w:rsidR="00A22DB1">
        <w:rPr>
          <w:rFonts w:cs="Times New Roman"/>
        </w:rPr>
        <w:t>)</w:t>
      </w:r>
      <w:r w:rsidRPr="00DC500E">
        <w:rPr>
          <w:rFonts w:cs="Times New Roman"/>
        </w:rPr>
        <w:t xml:space="preserve">. An eco-conscious consumer who sees one brand claiming to be </w:t>
      </w:r>
      <w:r w:rsidR="00A22DB1">
        <w:rPr>
          <w:rFonts w:cs="Times New Roman"/>
        </w:rPr>
        <w:t>“</w:t>
      </w:r>
      <w:r w:rsidRPr="00DC500E">
        <w:rPr>
          <w:rFonts w:cs="Times New Roman"/>
        </w:rPr>
        <w:t>conscious</w:t>
      </w:r>
      <w:r w:rsidR="00A22DB1">
        <w:rPr>
          <w:rFonts w:cs="Times New Roman"/>
        </w:rPr>
        <w:t>”</w:t>
      </w:r>
      <w:r w:rsidRPr="00DC500E">
        <w:rPr>
          <w:rFonts w:cs="Times New Roman"/>
        </w:rPr>
        <w:t xml:space="preserve"> while promoting such large-scale overproduction for fast fashion has been the target of acute cognitive dissonance (Fella and </w:t>
      </w:r>
      <w:proofErr w:type="spellStart"/>
      <w:r w:rsidRPr="00DC500E">
        <w:rPr>
          <w:rFonts w:cs="Times New Roman"/>
        </w:rPr>
        <w:t>Bausa</w:t>
      </w:r>
      <w:proofErr w:type="spellEnd"/>
      <w:r w:rsidRPr="00DC500E">
        <w:rPr>
          <w:rFonts w:cs="Times New Roman"/>
        </w:rPr>
        <w:t>, 2024). This dissonance is a psychological state that is characteri</w:t>
      </w:r>
      <w:r w:rsidR="00A22DB1">
        <w:rPr>
          <w:rFonts w:cs="Times New Roman"/>
        </w:rPr>
        <w:t>s</w:t>
      </w:r>
      <w:r w:rsidRPr="00DC500E">
        <w:rPr>
          <w:rFonts w:cs="Times New Roman"/>
        </w:rPr>
        <w:t xml:space="preserve">ed by high discomfort and refers to the direct mismatch between the expectations of pro-environmental consumers and the true reality of companies (Sharma et al., 2023). To diminish this inner conflict, the consumer </w:t>
      </w:r>
      <w:r w:rsidRPr="00DC500E">
        <w:rPr>
          <w:rFonts w:cs="Times New Roman"/>
          <w:kern w:val="0"/>
          <w14:ligatures w14:val="none"/>
        </w:rPr>
        <w:t xml:space="preserve">needs to modify the cognitive schema, and this usually involves a quick withdrawal of positive brand attributes as well as the onset of </w:t>
      </w:r>
      <w:r w:rsidR="00A22DB1">
        <w:rPr>
          <w:rFonts w:cs="Times New Roman"/>
          <w:kern w:val="0"/>
          <w14:ligatures w14:val="none"/>
        </w:rPr>
        <w:t>‘</w:t>
      </w:r>
      <w:r w:rsidRPr="00DC500E">
        <w:rPr>
          <w:rFonts w:cs="Times New Roman"/>
          <w:kern w:val="0"/>
          <w14:ligatures w14:val="none"/>
        </w:rPr>
        <w:t>defensive scepticism</w:t>
      </w:r>
      <w:r w:rsidR="00A22DB1">
        <w:rPr>
          <w:rFonts w:cs="Times New Roman"/>
          <w:kern w:val="0"/>
          <w14:ligatures w14:val="none"/>
        </w:rPr>
        <w:t>’</w:t>
      </w:r>
      <w:r w:rsidRPr="00DC500E">
        <w:rPr>
          <w:rFonts w:cs="Times New Roman"/>
        </w:rPr>
        <w:t xml:space="preserve"> (Daou et al., 2025). Hence, greenwashing goes beyond a marketing mistake, as it serves as an active psychological trigger that actively changes an active sustainable consumer to a very </w:t>
      </w:r>
      <w:proofErr w:type="spellStart"/>
      <w:r w:rsidRPr="00DC500E">
        <w:rPr>
          <w:rFonts w:cs="Times New Roman"/>
        </w:rPr>
        <w:t>skeptical</w:t>
      </w:r>
      <w:proofErr w:type="spellEnd"/>
      <w:r w:rsidRPr="00DC500E">
        <w:rPr>
          <w:rFonts w:cs="Times New Roman"/>
        </w:rPr>
        <w:t xml:space="preserve"> market player (</w:t>
      </w:r>
      <w:proofErr w:type="spellStart"/>
      <w:r w:rsidRPr="00DC500E">
        <w:rPr>
          <w:rFonts w:cs="Times New Roman"/>
        </w:rPr>
        <w:t>Panigyraki</w:t>
      </w:r>
      <w:proofErr w:type="spellEnd"/>
      <w:r w:rsidRPr="00DC500E">
        <w:rPr>
          <w:rFonts w:cs="Times New Roman"/>
        </w:rPr>
        <w:t xml:space="preserve"> and </w:t>
      </w:r>
      <w:proofErr w:type="spellStart"/>
      <w:r w:rsidRPr="00DC500E">
        <w:rPr>
          <w:rFonts w:cs="Times New Roman"/>
        </w:rPr>
        <w:t>Polyportis</w:t>
      </w:r>
      <w:proofErr w:type="spellEnd"/>
      <w:r w:rsidRPr="00DC500E">
        <w:rPr>
          <w:rFonts w:cs="Times New Roman"/>
        </w:rPr>
        <w:t>, 2024).</w:t>
      </w:r>
    </w:p>
    <w:p w14:paraId="3DEE7205" w14:textId="77777777" w:rsidR="005E4486" w:rsidRPr="00DC500E" w:rsidRDefault="005E4486" w:rsidP="005E4486">
      <w:pPr>
        <w:pStyle w:val="Heading3"/>
        <w:rPr>
          <w:rFonts w:cs="Times New Roman"/>
        </w:rPr>
      </w:pPr>
      <w:bookmarkStart w:id="26" w:name="_Toc241147174"/>
      <w:r w:rsidRPr="00DC500E">
        <w:rPr>
          <w:rFonts w:cs="Times New Roman"/>
        </w:rPr>
        <w:t>2.3.2 The Detection of Deception and the Cultivation of Scepticism</w:t>
      </w:r>
      <w:bookmarkEnd w:id="26"/>
    </w:p>
    <w:p w14:paraId="7F990EF8" w14:textId="28476352" w:rsidR="005E4486" w:rsidRPr="00DC500E" w:rsidRDefault="00C02CEA" w:rsidP="005E4486">
      <w:pPr>
        <w:rPr>
          <w:rFonts w:cs="Times New Roman"/>
        </w:rPr>
      </w:pPr>
      <w:r w:rsidRPr="00DC500E">
        <w:rPr>
          <w:rFonts w:cs="Times New Roman"/>
        </w:rPr>
        <w:t>The consumer</w:t>
      </w:r>
      <w:r w:rsidR="00A22DB1">
        <w:rPr>
          <w:rFonts w:cs="Times New Roman"/>
        </w:rPr>
        <w:t>’</w:t>
      </w:r>
      <w:r w:rsidRPr="00DC500E">
        <w:rPr>
          <w:rFonts w:cs="Times New Roman"/>
        </w:rPr>
        <w:t>s shift from cognitive dissonance to formalised greenwash scepticism w</w:t>
      </w:r>
      <w:r w:rsidR="00970609">
        <w:rPr>
          <w:rFonts w:cs="Times New Roman"/>
        </w:rPr>
        <w:t>ould</w:t>
      </w:r>
      <w:r w:rsidRPr="00DC500E">
        <w:rPr>
          <w:rFonts w:cs="Times New Roman"/>
        </w:rPr>
        <w:t xml:space="preserve"> be triggered by their discovery of certain deceptive dimensions</w:t>
      </w:r>
      <w:r w:rsidR="00A22DB1">
        <w:rPr>
          <w:rFonts w:cs="Times New Roman"/>
        </w:rPr>
        <w:t xml:space="preserve"> (</w:t>
      </w:r>
      <w:r w:rsidR="00A22DB1" w:rsidRPr="00DC500E">
        <w:rPr>
          <w:rFonts w:cs="Times New Roman"/>
        </w:rPr>
        <w:t>Rossi and Rivetti, 2022</w:t>
      </w:r>
      <w:r w:rsidR="00A22DB1">
        <w:rPr>
          <w:rFonts w:cs="Times New Roman"/>
        </w:rPr>
        <w:t>)</w:t>
      </w:r>
      <w:r w:rsidRPr="00DC500E">
        <w:rPr>
          <w:rFonts w:cs="Times New Roman"/>
        </w:rPr>
        <w:t xml:space="preserve">. The research shows that nowadays consumers are highly aware of greenwashing </w:t>
      </w:r>
      <w:r w:rsidR="00A22DB1">
        <w:rPr>
          <w:rFonts w:cs="Times New Roman"/>
        </w:rPr>
        <w:t>“</w:t>
      </w:r>
      <w:r w:rsidRPr="00DC500E">
        <w:rPr>
          <w:rFonts w:cs="Times New Roman"/>
        </w:rPr>
        <w:t>sins</w:t>
      </w:r>
      <w:r w:rsidR="00A22DB1">
        <w:rPr>
          <w:rFonts w:cs="Times New Roman"/>
        </w:rPr>
        <w:t>”</w:t>
      </w:r>
      <w:r w:rsidRPr="00DC500E">
        <w:rPr>
          <w:rFonts w:cs="Times New Roman"/>
        </w:rPr>
        <w:t xml:space="preserve">, including a lack of clear, verifiable supply chain information, using inexplicit green labels and using ambiguous green words (e.g., planet positive or eco-friendly) (Lu et al., 2022). In addition, a sole </w:t>
      </w:r>
      <w:r w:rsidR="00A22DB1">
        <w:rPr>
          <w:rFonts w:cs="Times New Roman"/>
        </w:rPr>
        <w:t>“</w:t>
      </w:r>
      <w:r w:rsidRPr="00DC500E">
        <w:rPr>
          <w:rFonts w:cs="Times New Roman"/>
        </w:rPr>
        <w:t>conscious</w:t>
      </w:r>
      <w:r w:rsidR="00A22DB1">
        <w:rPr>
          <w:rFonts w:cs="Times New Roman"/>
        </w:rPr>
        <w:t>”</w:t>
      </w:r>
      <w:r w:rsidRPr="00DC500E">
        <w:rPr>
          <w:rFonts w:cs="Times New Roman"/>
        </w:rPr>
        <w:t xml:space="preserve"> limited-edition capsule line obscures the fact that the brand</w:t>
      </w:r>
      <w:r w:rsidR="00A22DB1">
        <w:rPr>
          <w:rFonts w:cs="Times New Roman"/>
        </w:rPr>
        <w:t>’</w:t>
      </w:r>
      <w:r w:rsidRPr="00DC500E">
        <w:rPr>
          <w:rFonts w:cs="Times New Roman"/>
        </w:rPr>
        <w:t xml:space="preserve">s environmental </w:t>
      </w:r>
      <w:r w:rsidRPr="00DC500E">
        <w:rPr>
          <w:rFonts w:cs="Times New Roman"/>
        </w:rPr>
        <w:lastRenderedPageBreak/>
        <w:t>impact is significantly larger and gives consumers easy information to catch on to. Without third-party endorsement, consumers feel that these statements convey self-serving intentions of the business rather than ecological concerns (Darshini and Aishwarya, 2025). Such a negative attribution is directly a form of greenwashing scepticism (</w:t>
      </w:r>
      <w:proofErr w:type="spellStart"/>
      <w:r w:rsidRPr="00DC500E">
        <w:rPr>
          <w:rFonts w:cs="Times New Roman"/>
        </w:rPr>
        <w:t>Khandai</w:t>
      </w:r>
      <w:proofErr w:type="spellEnd"/>
      <w:r w:rsidRPr="00DC500E">
        <w:rPr>
          <w:rFonts w:cs="Times New Roman"/>
        </w:rPr>
        <w:t xml:space="preserve"> et al., 2025). </w:t>
      </w:r>
      <w:r w:rsidR="00A22DB1" w:rsidRPr="00DC500E">
        <w:rPr>
          <w:rFonts w:cs="Times New Roman"/>
        </w:rPr>
        <w:t xml:space="preserve">Spanò et al. </w:t>
      </w:r>
      <w:r w:rsidR="00A22DB1">
        <w:rPr>
          <w:rFonts w:cs="Times New Roman"/>
        </w:rPr>
        <w:t>(</w:t>
      </w:r>
      <w:r w:rsidR="00A22DB1" w:rsidRPr="00DC500E">
        <w:rPr>
          <w:rFonts w:cs="Times New Roman"/>
        </w:rPr>
        <w:t>2025</w:t>
      </w:r>
      <w:r w:rsidR="00A22DB1">
        <w:rPr>
          <w:rFonts w:cs="Times New Roman"/>
        </w:rPr>
        <w:t xml:space="preserve">) </w:t>
      </w:r>
      <w:r w:rsidRPr="00DC500E">
        <w:rPr>
          <w:rFonts w:cs="Times New Roman"/>
        </w:rPr>
        <w:t xml:space="preserve">revealed that scepticism is not passive ignorance, but an active and largely cognitive </w:t>
      </w:r>
      <w:proofErr w:type="spellStart"/>
      <w:r w:rsidRPr="00DC500E">
        <w:rPr>
          <w:rFonts w:cs="Times New Roman"/>
        </w:rPr>
        <w:t>defense</w:t>
      </w:r>
      <w:proofErr w:type="spellEnd"/>
      <w:r w:rsidRPr="00DC500E">
        <w:rPr>
          <w:rFonts w:cs="Times New Roman"/>
        </w:rPr>
        <w:t>. Consumers are applying caution to prevent themselves from being seen to be financially or morally vulnerable to supporting unsustainable activities (</w:t>
      </w:r>
      <w:proofErr w:type="spellStart"/>
      <w:r w:rsidRPr="00DC500E">
        <w:rPr>
          <w:rFonts w:cs="Times New Roman"/>
        </w:rPr>
        <w:t>Khattri</w:t>
      </w:r>
      <w:proofErr w:type="spellEnd"/>
      <w:r w:rsidRPr="00DC500E">
        <w:rPr>
          <w:rFonts w:cs="Times New Roman"/>
        </w:rPr>
        <w:t xml:space="preserve"> and Tomar, 2024). This means that as consumers</w:t>
      </w:r>
      <w:r w:rsidR="00A22DB1">
        <w:rPr>
          <w:rFonts w:cs="Times New Roman"/>
        </w:rPr>
        <w:t>’</w:t>
      </w:r>
      <w:r w:rsidRPr="00DC500E">
        <w:rPr>
          <w:rFonts w:cs="Times New Roman"/>
        </w:rPr>
        <w:t xml:space="preserve"> awareness of the environment becomes more and more sophisticated, their awareness of the unsubstantiated claims increases accordingly, thereby compromising the brand-consumer relationship (Fella and </w:t>
      </w:r>
      <w:proofErr w:type="spellStart"/>
      <w:r w:rsidRPr="00DC500E">
        <w:rPr>
          <w:rFonts w:cs="Times New Roman"/>
        </w:rPr>
        <w:t>Bausa</w:t>
      </w:r>
      <w:proofErr w:type="spellEnd"/>
      <w:r w:rsidRPr="00DC500E">
        <w:rPr>
          <w:rFonts w:cs="Times New Roman"/>
        </w:rPr>
        <w:t>, 2024).</w:t>
      </w:r>
    </w:p>
    <w:p w14:paraId="2DE0392E" w14:textId="77777777" w:rsidR="005E4486" w:rsidRPr="00DC500E" w:rsidRDefault="005E4486" w:rsidP="005E4486">
      <w:pPr>
        <w:pStyle w:val="Heading3"/>
        <w:rPr>
          <w:rFonts w:cs="Times New Roman"/>
        </w:rPr>
      </w:pPr>
      <w:bookmarkStart w:id="27" w:name="_Toc241147175"/>
      <w:r w:rsidRPr="00DC500E">
        <w:rPr>
          <w:rFonts w:cs="Times New Roman"/>
        </w:rPr>
        <w:t xml:space="preserve">2.3.3 Theoretical Conflicts: Brand-Specific vs. Industry-Wide </w:t>
      </w:r>
      <w:proofErr w:type="spellStart"/>
      <w:r w:rsidRPr="00DC500E">
        <w:rPr>
          <w:rFonts w:cs="Times New Roman"/>
        </w:rPr>
        <w:t>Spillover</w:t>
      </w:r>
      <w:bookmarkEnd w:id="27"/>
      <w:proofErr w:type="spellEnd"/>
    </w:p>
    <w:p w14:paraId="0DFE6192" w14:textId="490A151A" w:rsidR="00C02CEA" w:rsidRPr="00DC500E" w:rsidRDefault="00C02CEA" w:rsidP="00C02CEA">
      <w:pPr>
        <w:rPr>
          <w:rFonts w:cs="Times New Roman"/>
        </w:rPr>
      </w:pPr>
      <w:r w:rsidRPr="00DC500E">
        <w:rPr>
          <w:rFonts w:cs="Times New Roman"/>
        </w:rPr>
        <w:t xml:space="preserve">A vast theoretical debate exists around the ultimate direction and extent of greenwashing scepticism in the Academic literature. </w:t>
      </w:r>
      <w:r w:rsidR="00A22DB1" w:rsidRPr="00DC500E">
        <w:rPr>
          <w:rFonts w:cs="Times New Roman"/>
        </w:rPr>
        <w:t xml:space="preserve">Senan et al. </w:t>
      </w:r>
      <w:r w:rsidR="00A22DB1">
        <w:rPr>
          <w:rFonts w:cs="Times New Roman"/>
        </w:rPr>
        <w:t>(</w:t>
      </w:r>
      <w:r w:rsidR="00A22DB1" w:rsidRPr="00DC500E">
        <w:rPr>
          <w:rFonts w:cs="Times New Roman"/>
        </w:rPr>
        <w:t>2025</w:t>
      </w:r>
      <w:r w:rsidR="00A22DB1">
        <w:rPr>
          <w:rFonts w:cs="Times New Roman"/>
        </w:rPr>
        <w:t xml:space="preserve">) </w:t>
      </w:r>
      <w:r w:rsidRPr="00DC500E">
        <w:rPr>
          <w:rFonts w:cs="Times New Roman"/>
        </w:rPr>
        <w:t xml:space="preserve">debated whether consumers channel their scepticism only at the particular brand involved, or whether such a deceit produces a </w:t>
      </w:r>
      <w:r w:rsidR="00A22DB1">
        <w:rPr>
          <w:rFonts w:cs="Times New Roman"/>
        </w:rPr>
        <w:t>“</w:t>
      </w:r>
      <w:proofErr w:type="spellStart"/>
      <w:r w:rsidRPr="00DC500E">
        <w:rPr>
          <w:rFonts w:cs="Times New Roman"/>
        </w:rPr>
        <w:t>spillover</w:t>
      </w:r>
      <w:proofErr w:type="spellEnd"/>
      <w:r w:rsidRPr="00DC500E">
        <w:rPr>
          <w:rFonts w:cs="Times New Roman"/>
        </w:rPr>
        <w:t xml:space="preserve"> effect</w:t>
      </w:r>
      <w:r w:rsidR="00A22DB1">
        <w:rPr>
          <w:rFonts w:cs="Times New Roman"/>
        </w:rPr>
        <w:t>”</w:t>
      </w:r>
      <w:r w:rsidRPr="00DC500E">
        <w:rPr>
          <w:rFonts w:cs="Times New Roman"/>
        </w:rPr>
        <w:t>, tainting the whole retail industry. Greenwashing was seen to create, mainly, targeted brand avoidance, hate and embarrassment (</w:t>
      </w:r>
      <w:proofErr w:type="spellStart"/>
      <w:r w:rsidRPr="00DC500E">
        <w:rPr>
          <w:rFonts w:cs="Times New Roman"/>
        </w:rPr>
        <w:t>Khandai</w:t>
      </w:r>
      <w:proofErr w:type="spellEnd"/>
      <w:r w:rsidRPr="00DC500E">
        <w:rPr>
          <w:rFonts w:cs="Times New Roman"/>
        </w:rPr>
        <w:t xml:space="preserve"> et al., 2025). In this perspective, the buyers hold the shrewd entity culpable but, at the same time, they are not reluctant to buy from other brands that are truly sustainable.</w:t>
      </w:r>
    </w:p>
    <w:p w14:paraId="72F1D8EE" w14:textId="03F1BD67" w:rsidR="005E4486" w:rsidRPr="00DC500E" w:rsidRDefault="0055244E" w:rsidP="00C02CEA">
      <w:pPr>
        <w:rPr>
          <w:rFonts w:cs="Times New Roman"/>
        </w:rPr>
      </w:pPr>
      <w:proofErr w:type="spellStart"/>
      <w:r w:rsidRPr="00DC500E">
        <w:rPr>
          <w:rFonts w:cs="Times New Roman"/>
        </w:rPr>
        <w:t>Şenyapar</w:t>
      </w:r>
      <w:proofErr w:type="spellEnd"/>
      <w:r w:rsidRPr="00DC500E">
        <w:rPr>
          <w:rFonts w:cs="Times New Roman"/>
        </w:rPr>
        <w:t xml:space="preserve"> </w:t>
      </w:r>
      <w:r>
        <w:rPr>
          <w:rFonts w:cs="Times New Roman"/>
        </w:rPr>
        <w:t>(</w:t>
      </w:r>
      <w:r w:rsidRPr="00DC500E">
        <w:rPr>
          <w:rFonts w:cs="Times New Roman"/>
        </w:rPr>
        <w:t>2024)</w:t>
      </w:r>
      <w:r w:rsidR="00C02CEA" w:rsidRPr="00DC500E">
        <w:rPr>
          <w:rFonts w:cs="Times New Roman"/>
        </w:rPr>
        <w:t xml:space="preserve"> has emerged in the era of greenwashing in the contemporary retail environment, showing that there is a non-controllable </w:t>
      </w:r>
      <w:proofErr w:type="spellStart"/>
      <w:r w:rsidR="00C02CEA" w:rsidRPr="00DC500E">
        <w:rPr>
          <w:rFonts w:cs="Times New Roman"/>
        </w:rPr>
        <w:t>spillover</w:t>
      </w:r>
      <w:proofErr w:type="spellEnd"/>
      <w:r w:rsidR="00C02CEA" w:rsidRPr="00DC500E">
        <w:rPr>
          <w:rFonts w:cs="Times New Roman"/>
        </w:rPr>
        <w:t xml:space="preserve"> effect. Fast fashion represents a very integrated and notoriously opaque global value chain, making it difficult for consumers to tell the difference between the real deal and marketing trickery</w:t>
      </w:r>
      <w:r w:rsidR="00A22DB1">
        <w:rPr>
          <w:rFonts w:cs="Times New Roman"/>
        </w:rPr>
        <w:t xml:space="preserve"> (</w:t>
      </w:r>
      <w:r w:rsidR="00A22DB1" w:rsidRPr="00DC500E">
        <w:rPr>
          <w:rFonts w:cs="Times New Roman"/>
        </w:rPr>
        <w:t>Saroja, 2025</w:t>
      </w:r>
      <w:r w:rsidR="00A22DB1">
        <w:rPr>
          <w:rFonts w:cs="Times New Roman"/>
        </w:rPr>
        <w:t>)</w:t>
      </w:r>
      <w:r w:rsidR="00C02CEA" w:rsidRPr="00DC500E">
        <w:rPr>
          <w:rFonts w:cs="Times New Roman"/>
        </w:rPr>
        <w:t xml:space="preserve">. As a result, </w:t>
      </w:r>
      <w:r w:rsidR="00A22DB1">
        <w:rPr>
          <w:rFonts w:cs="Times New Roman"/>
        </w:rPr>
        <w:t>‘</w:t>
      </w:r>
      <w:r w:rsidR="00C02CEA" w:rsidRPr="00DC500E">
        <w:rPr>
          <w:rFonts w:cs="Times New Roman"/>
        </w:rPr>
        <w:t>anti-greenwash</w:t>
      </w:r>
      <w:r w:rsidR="00A22DB1">
        <w:rPr>
          <w:rFonts w:cs="Times New Roman"/>
        </w:rPr>
        <w:t>’</w:t>
      </w:r>
      <w:r w:rsidR="00C02CEA" w:rsidRPr="00DC500E">
        <w:rPr>
          <w:rFonts w:cs="Times New Roman"/>
        </w:rPr>
        <w:t xml:space="preserve"> attitudes are built up against the industry as a whole by the actions of big market players when they use greenwashing techniques repeatedly</w:t>
      </w:r>
      <w:r w:rsidR="00A22DB1">
        <w:rPr>
          <w:rFonts w:cs="Times New Roman"/>
        </w:rPr>
        <w:t xml:space="preserve"> (</w:t>
      </w:r>
      <w:r w:rsidR="00A22DB1" w:rsidRPr="00DC500E">
        <w:rPr>
          <w:rFonts w:cs="Times New Roman"/>
        </w:rPr>
        <w:t>Ritch, 2021</w:t>
      </w:r>
      <w:r w:rsidR="00A22DB1">
        <w:rPr>
          <w:rFonts w:cs="Times New Roman"/>
        </w:rPr>
        <w:t>)</w:t>
      </w:r>
      <w:r w:rsidR="00C02CEA" w:rsidRPr="00DC500E">
        <w:rPr>
          <w:rFonts w:cs="Times New Roman"/>
        </w:rPr>
        <w:t xml:space="preserve">. Once this systemic confusion sets in, consumers grow sceptical about the environmental credentials of </w:t>
      </w:r>
      <w:r w:rsidR="00C02CEA" w:rsidRPr="00DC500E">
        <w:rPr>
          <w:rFonts w:cs="Times New Roman"/>
        </w:rPr>
        <w:lastRenderedPageBreak/>
        <w:t>everything in this space, impacting not only on the business models of those who are eco-friendly, but also holding macro-level sustainable consumption back (Daou et al., 2025).</w:t>
      </w:r>
    </w:p>
    <w:p w14:paraId="431C19D2" w14:textId="77777777" w:rsidR="005E4486" w:rsidRPr="00DC500E" w:rsidRDefault="005E4486" w:rsidP="005E4486">
      <w:pPr>
        <w:pStyle w:val="Heading3"/>
        <w:rPr>
          <w:rFonts w:cs="Times New Roman"/>
        </w:rPr>
      </w:pPr>
      <w:bookmarkStart w:id="28" w:name="_Toc241147176"/>
      <w:r w:rsidRPr="00DC500E">
        <w:rPr>
          <w:rFonts w:cs="Times New Roman"/>
        </w:rPr>
        <w:t>2.3.4 Contextualising Scepticism within the UK Fast Fashion Reality</w:t>
      </w:r>
      <w:bookmarkEnd w:id="28"/>
    </w:p>
    <w:p w14:paraId="281774C4" w14:textId="5052A85C" w:rsidR="005E4486" w:rsidRPr="00DC500E" w:rsidRDefault="00C02CEA" w:rsidP="005E4486">
      <w:pPr>
        <w:rPr>
          <w:rFonts w:cs="Times New Roman"/>
        </w:rPr>
      </w:pPr>
      <w:r w:rsidRPr="00DC500E">
        <w:rPr>
          <w:rFonts w:cs="Times New Roman"/>
        </w:rPr>
        <w:t>This theory is certainly reflected in how fast fashion operates in the UK today. The UK sector is currently living in a major crisis of corporate credibility, and sustainability messaging is being mishandled and abused. The Competition and Markets Authority (CMA) has taken the issue of green claims lying on the face of it and has created a Green Claims Code (2021) to address the high prevalence of dubious claims made regarding environmental factors for products sold in British markets. A huge percentage of fashion sustainability claims were underwhelming, misleading the British public</w:t>
      </w:r>
      <w:r w:rsidR="00F01882">
        <w:rPr>
          <w:rFonts w:cs="Times New Roman"/>
        </w:rPr>
        <w:t>;</w:t>
      </w:r>
      <w:r w:rsidRPr="00DC500E">
        <w:rPr>
          <w:rFonts w:cs="Times New Roman"/>
        </w:rPr>
        <w:t xml:space="preserve"> the regulatory body came to th</w:t>
      </w:r>
      <w:r w:rsidR="00F01882">
        <w:rPr>
          <w:rFonts w:cs="Times New Roman"/>
        </w:rPr>
        <w:t>is</w:t>
      </w:r>
      <w:r w:rsidRPr="00DC500E">
        <w:rPr>
          <w:rFonts w:cs="Times New Roman"/>
        </w:rPr>
        <w:t xml:space="preserve"> conclusion. Yet, this is in spite of the extreme regulatory measures taken, while market data shows how the idea of </w:t>
      </w:r>
      <w:r w:rsidR="00A22DB1">
        <w:rPr>
          <w:rFonts w:cs="Times New Roman"/>
        </w:rPr>
        <w:t>“</w:t>
      </w:r>
      <w:r w:rsidRPr="00DC500E">
        <w:rPr>
          <w:rFonts w:cs="Times New Roman"/>
        </w:rPr>
        <w:t>systematic scepticism</w:t>
      </w:r>
      <w:r w:rsidR="00A22DB1">
        <w:rPr>
          <w:rFonts w:cs="Times New Roman"/>
        </w:rPr>
        <w:t>”</w:t>
      </w:r>
      <w:r w:rsidRPr="00DC500E">
        <w:rPr>
          <w:rFonts w:cs="Times New Roman"/>
        </w:rPr>
        <w:t xml:space="preserve"> has translated from academic theories to the widespread disillusionment of consumers. Consumer fatigue and lack of brand trust in claims of a sustainable lifestyle is widespread throughout the British public, as revealed in recent demographic profiling carried out by Deloitte UK (2024). The UK population is very reflexive to the clothing category as a whole, seeing sustainability as a superficial marketing ploy and nothing more, on the part of fast fashion brands whose products are designed for </w:t>
      </w:r>
      <w:r w:rsidR="00A22DB1">
        <w:rPr>
          <w:rFonts w:cs="Times New Roman"/>
        </w:rPr>
        <w:t>“</w:t>
      </w:r>
      <w:r w:rsidRPr="00DC500E">
        <w:rPr>
          <w:rFonts w:cs="Times New Roman"/>
        </w:rPr>
        <w:t>quick production</w:t>
      </w:r>
      <w:r w:rsidR="00A22DB1">
        <w:rPr>
          <w:rFonts w:cs="Times New Roman"/>
        </w:rPr>
        <w:t>”</w:t>
      </w:r>
      <w:r w:rsidRPr="00DC500E">
        <w:rPr>
          <w:rFonts w:cs="Times New Roman"/>
        </w:rPr>
        <w:t xml:space="preserve"> (Fella and </w:t>
      </w:r>
      <w:proofErr w:type="spellStart"/>
      <w:r w:rsidRPr="00DC500E">
        <w:rPr>
          <w:rFonts w:cs="Times New Roman"/>
        </w:rPr>
        <w:t>Bausa</w:t>
      </w:r>
      <w:proofErr w:type="spellEnd"/>
      <w:r w:rsidRPr="00DC500E">
        <w:rPr>
          <w:rFonts w:cs="Times New Roman"/>
        </w:rPr>
        <w:t xml:space="preserve">, 2024). The deep-rooted reality of this market is also a warning sign of how </w:t>
      </w:r>
      <w:r w:rsidRPr="00DC500E">
        <w:rPr>
          <w:rFonts w:cs="Times New Roman"/>
          <w:kern w:val="0"/>
          <w14:ligatures w14:val="none"/>
        </w:rPr>
        <w:t>scepticism, constructed as such, erodes trust in institutions</w:t>
      </w:r>
      <w:r w:rsidRPr="00DC500E">
        <w:rPr>
          <w:rFonts w:cs="Times New Roman"/>
        </w:rPr>
        <w:t xml:space="preserve"> and will shape purchases going forward (Mathew and Spinelli, 2025). The identification of these drivers of scepticism among UK consumers is the first step towards defining the dimensions of the proposed mediation setting.</w:t>
      </w:r>
    </w:p>
    <w:p w14:paraId="26E75720" w14:textId="77777777" w:rsidR="00F3756F" w:rsidRPr="00DC500E" w:rsidRDefault="00F3756F" w:rsidP="00F3756F">
      <w:pPr>
        <w:pStyle w:val="Heading2"/>
      </w:pPr>
      <w:bookmarkStart w:id="29" w:name="_Toc241147177"/>
      <w:r w:rsidRPr="00DC500E">
        <w:lastRenderedPageBreak/>
        <w:t>2.4 The Impact of Greenwashing Scepticism on Consumer Trust</w:t>
      </w:r>
      <w:bookmarkEnd w:id="29"/>
    </w:p>
    <w:p w14:paraId="3EA20768" w14:textId="5EB1D4AA" w:rsidR="00F01882" w:rsidRDefault="00F3756F" w:rsidP="00F01882">
      <w:pPr>
        <w:pStyle w:val="Heading3"/>
      </w:pPr>
      <w:bookmarkStart w:id="30" w:name="_Toc241147178"/>
      <w:r w:rsidRPr="00DC500E">
        <w:t>2.4.1 Defining Consumer Trust in the Green Marketing Paradigm</w:t>
      </w:r>
      <w:bookmarkEnd w:id="30"/>
    </w:p>
    <w:p w14:paraId="6902E93C" w14:textId="6BFBD03D" w:rsidR="00F01882" w:rsidRDefault="00F01882" w:rsidP="00F01882">
      <w:r>
        <w:t>Assessing the destructive consequences of greenwashing scepticism must be done in a systematic way</w:t>
      </w:r>
      <w:r w:rsidR="00A22DB1">
        <w:t>,</w:t>
      </w:r>
      <w:r>
        <w:t xml:space="preserve"> although it must first be critically defined in the specific Green Marketing paradigm of </w:t>
      </w:r>
      <w:r w:rsidR="00A22DB1">
        <w:t>“</w:t>
      </w:r>
      <w:r>
        <w:t>Consumer Trust</w:t>
      </w:r>
      <w:r w:rsidR="00A22DB1">
        <w:t>” (</w:t>
      </w:r>
      <w:r w:rsidR="00A22DB1" w:rsidRPr="00DC500E">
        <w:rPr>
          <w:rFonts w:cs="Times New Roman"/>
        </w:rPr>
        <w:t>Reck et al., 2022</w:t>
      </w:r>
      <w:r w:rsidR="00A22DB1">
        <w:t>)</w:t>
      </w:r>
      <w:r>
        <w:t xml:space="preserve">. In general retail, trust is often confined to a matter of functional reliability, which is to say that a product is expected to do what it is supposed to; to operate. But trust among green consumers is essentially more complicated. </w:t>
      </w:r>
      <w:proofErr w:type="spellStart"/>
      <w:r>
        <w:t>Imuru</w:t>
      </w:r>
      <w:proofErr w:type="spellEnd"/>
      <w:r>
        <w:t xml:space="preserve"> (2023) has clearly outlined green trust as the consumer</w:t>
      </w:r>
      <w:r w:rsidR="00A22DB1">
        <w:t>’</w:t>
      </w:r>
      <w:r>
        <w:t xml:space="preserve">s willingness to rely on a product, service, or brand because of their perceived or even expected trustworthiness </w:t>
      </w:r>
      <w:r w:rsidR="00A22DB1">
        <w:t xml:space="preserve">in terms </w:t>
      </w:r>
      <w:r>
        <w:t>of credibility, benevolence and environmental capability.</w:t>
      </w:r>
    </w:p>
    <w:p w14:paraId="08E6E4CD" w14:textId="18E9E517" w:rsidR="00F3756F" w:rsidRPr="00DC500E" w:rsidRDefault="00F01882" w:rsidP="00F3756F">
      <w:r>
        <w:t xml:space="preserve">Sustainable product attributes are mostly </w:t>
      </w:r>
      <w:r w:rsidR="00A22DB1">
        <w:t>“</w:t>
      </w:r>
      <w:r>
        <w:t>credence qualities</w:t>
      </w:r>
      <w:r w:rsidR="00A22DB1">
        <w:t>”</w:t>
      </w:r>
      <w:r>
        <w:t xml:space="preserve">, which, according to </w:t>
      </w:r>
      <w:proofErr w:type="spellStart"/>
      <w:r>
        <w:t>Alhomaid</w:t>
      </w:r>
      <w:proofErr w:type="spellEnd"/>
      <w:r>
        <w:t xml:space="preserve"> (2025), the consumer can only rarely or never see after the purchase and embracing none of the so-called sustainable products is based on an extreme situation of information asymmetry. Therefore, in the face of this information gap, green consumer trust acts as the connecting link between them</w:t>
      </w:r>
      <w:r w:rsidR="00A22DB1">
        <w:t xml:space="preserve"> (Zhao et al., 2026)</w:t>
      </w:r>
      <w:r>
        <w:t>. It forces the consumer to think that the corporation is not stagnant in adhering to laws but is well-meaning when striving to be eco-friendly (</w:t>
      </w:r>
      <w:proofErr w:type="spellStart"/>
      <w:r>
        <w:t>Ruangkanjanases</w:t>
      </w:r>
      <w:proofErr w:type="spellEnd"/>
      <w:r>
        <w:t xml:space="preserve"> et al., 2020). Thus, if this particular kind of trust is not built, then any type of green communication becomes ineffective as people will perceive the risk of being cheated to be insurmountable (</w:t>
      </w:r>
      <w:proofErr w:type="spellStart"/>
      <w:r>
        <w:t>Lankanath</w:t>
      </w:r>
      <w:proofErr w:type="spellEnd"/>
      <w:r>
        <w:t>, 2025).</w:t>
      </w:r>
    </w:p>
    <w:p w14:paraId="1CE43B88" w14:textId="77777777" w:rsidR="00F3756F" w:rsidRPr="00DC500E" w:rsidRDefault="00F3756F" w:rsidP="00F3756F">
      <w:pPr>
        <w:pStyle w:val="Heading3"/>
      </w:pPr>
      <w:bookmarkStart w:id="31" w:name="_Toc241147179"/>
      <w:r w:rsidRPr="00DC500E">
        <w:t>2.4.2 The Destructive Mechanics: Scepticism and Belief Disconfirmation</w:t>
      </w:r>
      <w:bookmarkEnd w:id="31"/>
    </w:p>
    <w:p w14:paraId="2D168B16" w14:textId="064C0FBD" w:rsidR="00F01882" w:rsidRDefault="00F01882" w:rsidP="00F01882">
      <w:r>
        <w:t xml:space="preserve">Greenwashing scepticism not only has a negative correlation with consumer trust but is also insulting to their trust. Consumers who already suspect that companies might greenwash their products have the same cognitive process of interpreting what the company has to say (Farooq and </w:t>
      </w:r>
      <w:proofErr w:type="spellStart"/>
      <w:r>
        <w:t>Wicaksono</w:t>
      </w:r>
      <w:proofErr w:type="spellEnd"/>
      <w:r>
        <w:t xml:space="preserve">, 2021). Scepticism primes consumers for some </w:t>
      </w:r>
      <w:r w:rsidR="00A22DB1">
        <w:t>“</w:t>
      </w:r>
      <w:r>
        <w:t>belief disconfirmation</w:t>
      </w:r>
      <w:r w:rsidR="00A22DB1">
        <w:t>”</w:t>
      </w:r>
      <w:r>
        <w:t xml:space="preserve"> (Daou et al., 2025). Expectancy disconfirmation theory (Oliver, 1980) suggests that radical statements </w:t>
      </w:r>
      <w:r>
        <w:lastRenderedPageBreak/>
        <w:t xml:space="preserve">like the </w:t>
      </w:r>
      <w:r w:rsidR="00A22DB1">
        <w:t>“</w:t>
      </w:r>
      <w:r>
        <w:t>sustainable</w:t>
      </w:r>
      <w:r w:rsidR="00A22DB1">
        <w:t>”</w:t>
      </w:r>
      <w:r>
        <w:t xml:space="preserve"> collection will lead to high expectations of an environmentally friendly nature (Azmi et al., 2025). But a consumer looks at those claims and finds even more evidence in the form of hidden supply chains, instances of unethical labour practices, or the fact that synthetic fossil fuel clothing is still being produced (Brach et al., 2017).</w:t>
      </w:r>
    </w:p>
    <w:p w14:paraId="1353C21F" w14:textId="3726F6FF" w:rsidR="00F3756F" w:rsidRPr="00DC500E" w:rsidRDefault="00F01882" w:rsidP="00F01882">
      <w:r>
        <w:t>When such discrepancies are detected, negative belief disconfirmation takes place immediately (Daou et al., 2025). The violation is directly done by the brand and is intentional on their part as seen by the consumer</w:t>
      </w:r>
      <w:r w:rsidR="00A22DB1">
        <w:t xml:space="preserve"> (Kim, 2025)</w:t>
      </w:r>
      <w:r>
        <w:t>. This disconfirmation leads to fast and intense institutional credibility loss (</w:t>
      </w:r>
      <w:proofErr w:type="spellStart"/>
      <w:r>
        <w:t>Su</w:t>
      </w:r>
      <w:proofErr w:type="spellEnd"/>
      <w:r>
        <w:t xml:space="preserve"> et. al., 2023). Scepticism is a cognitive state of doubt and turns into an active trust breaker (</w:t>
      </w:r>
      <w:r w:rsidR="00A22DB1">
        <w:t>Zhang and Ismail, 2024</w:t>
      </w:r>
      <w:r>
        <w:t xml:space="preserve">). The brand is no longer considered to be an incompetent entity but also falls under the concise definition of </w:t>
      </w:r>
      <w:r w:rsidR="00A22DB1">
        <w:t>‘</w:t>
      </w:r>
      <w:r>
        <w:t>deceptive or exploitative</w:t>
      </w:r>
      <w:r w:rsidR="00A22DB1">
        <w:t>’</w:t>
      </w:r>
      <w:r>
        <w:t xml:space="preserve"> (Fella and </w:t>
      </w:r>
      <w:proofErr w:type="spellStart"/>
      <w:r>
        <w:t>Bausa</w:t>
      </w:r>
      <w:proofErr w:type="spellEnd"/>
      <w:r>
        <w:t xml:space="preserve">, 2024). </w:t>
      </w:r>
      <w:r w:rsidR="00A22DB1">
        <w:t xml:space="preserve">Ayyoob and Sajeev (2025) </w:t>
      </w:r>
      <w:r>
        <w:t>show that when scepticism about greenwashing reaches a certain level, the brand</w:t>
      </w:r>
      <w:r w:rsidR="00A22DB1">
        <w:t>’</w:t>
      </w:r>
      <w:r>
        <w:t>s environmental ability and goodness are rendered null, effectively exhausting the consumers</w:t>
      </w:r>
      <w:r w:rsidR="00A22DB1">
        <w:t>’</w:t>
      </w:r>
      <w:r>
        <w:t xml:space="preserve"> green trust bank.</w:t>
      </w:r>
    </w:p>
    <w:p w14:paraId="0F4AD789" w14:textId="77777777" w:rsidR="00F3756F" w:rsidRPr="00DC500E" w:rsidRDefault="00F3756F" w:rsidP="00F3756F">
      <w:pPr>
        <w:pStyle w:val="Heading3"/>
      </w:pPr>
      <w:bookmarkStart w:id="32" w:name="_Toc241147180"/>
      <w:r w:rsidRPr="00DC500E">
        <w:t>2.4.3 Theoretical Gaps: The Quantification of Environmental Trust in the UK Demographic</w:t>
      </w:r>
      <w:bookmarkEnd w:id="32"/>
    </w:p>
    <w:p w14:paraId="39D13F03" w14:textId="191A4C48" w:rsidR="00F01882" w:rsidRDefault="00F01882" w:rsidP="00F01882">
      <w:r>
        <w:t xml:space="preserve">Although the overall negative impact of deceptive marketing on brand perception is known to </w:t>
      </w:r>
      <w:proofErr w:type="spellStart"/>
      <w:r w:rsidR="00A22DB1" w:rsidRPr="00F01882">
        <w:t>Nkiko</w:t>
      </w:r>
      <w:proofErr w:type="spellEnd"/>
      <w:r w:rsidR="00A22DB1" w:rsidRPr="00F01882">
        <w:t xml:space="preserve"> </w:t>
      </w:r>
      <w:r w:rsidR="00A22DB1">
        <w:t>(</w:t>
      </w:r>
      <w:r w:rsidR="00A22DB1" w:rsidRPr="00F01882">
        <w:t>2026</w:t>
      </w:r>
      <w:r w:rsidR="00A22DB1">
        <w:t>)</w:t>
      </w:r>
      <w:r>
        <w:t xml:space="preserve">, there is a gap with respect to how to measure the impact (erosion of brand trust). Many modern empirical works stop at the generalised emotional outcomes that they measure as </w:t>
      </w:r>
      <w:r w:rsidR="00A22DB1">
        <w:t>‘</w:t>
      </w:r>
      <w:r>
        <w:t>brand hate</w:t>
      </w:r>
      <w:r w:rsidR="00A22DB1">
        <w:t>’</w:t>
      </w:r>
      <w:r>
        <w:t xml:space="preserve">, </w:t>
      </w:r>
      <w:r w:rsidR="00A22DB1">
        <w:t>‘</w:t>
      </w:r>
      <w:r>
        <w:t>brand embarrassment</w:t>
      </w:r>
      <w:r w:rsidR="00A22DB1">
        <w:t>’</w:t>
      </w:r>
      <w:r>
        <w:t xml:space="preserve"> or simply </w:t>
      </w:r>
      <w:r w:rsidR="00A22DB1">
        <w:t>‘</w:t>
      </w:r>
      <w:r>
        <w:t>brand avoidance</w:t>
      </w:r>
      <w:r w:rsidR="00A22DB1">
        <w:t>’</w:t>
      </w:r>
      <w:r>
        <w:t xml:space="preserve"> (</w:t>
      </w:r>
      <w:proofErr w:type="spellStart"/>
      <w:r>
        <w:t>Khandai</w:t>
      </w:r>
      <w:proofErr w:type="spellEnd"/>
      <w:r>
        <w:t xml:space="preserve"> et al., 2025). </w:t>
      </w:r>
      <w:r w:rsidR="00A22DB1">
        <w:t>Riva et. al. (2024) show</w:t>
      </w:r>
      <w:r>
        <w:t xml:space="preserve"> the negative emotional expression that results from greenwashing, but they mix together the negative emotion and the negative environmental trust that can be measured structurally.</w:t>
      </w:r>
    </w:p>
    <w:p w14:paraId="12C70546" w14:textId="36709A5D" w:rsidR="00F3756F" w:rsidRPr="00DC500E" w:rsidRDefault="00F01882" w:rsidP="00F01882">
      <w:r>
        <w:t xml:space="preserve">This merging is a considerable theoretical misunderstanding. A UK fast fashion consumer can have a functional trust in a brand that supplies them with reliable and quick delivery and low cost, but expect nothing in the way of their environment (Husain, 2024). There is a consistent </w:t>
      </w:r>
      <w:r>
        <w:lastRenderedPageBreak/>
        <w:t>lack of research into the exact erosion of this specific green trust, particularly amongst the highly sceptical UK population. Most of the frameworks that are present are not explicit about the quantification of the environmental aspect of the trust that is outside of functional brand loyalty, as scepticism is breaking it down (Mezger et. al., 2019). It places green consumer trust in a specific and exposed latent variable, affording a solid theoretical basis for subsequently structurally examining how exactly cognitive scepticism affects the institutional environmental credibility mathematically, and prior to affecting final purchasing behaviour</w:t>
      </w:r>
      <w:r w:rsidR="00A22DB1">
        <w:t xml:space="preserve"> (</w:t>
      </w:r>
      <w:proofErr w:type="spellStart"/>
      <w:r w:rsidR="00A22DB1" w:rsidRPr="00F01882">
        <w:t>ElHaffar</w:t>
      </w:r>
      <w:proofErr w:type="spellEnd"/>
      <w:r w:rsidR="00A22DB1" w:rsidRPr="00F01882">
        <w:t xml:space="preserve">, Durif and </w:t>
      </w:r>
      <w:proofErr w:type="spellStart"/>
      <w:r w:rsidR="00A22DB1" w:rsidRPr="00F01882">
        <w:t>Dubé</w:t>
      </w:r>
      <w:proofErr w:type="spellEnd"/>
      <w:r w:rsidR="00A22DB1" w:rsidRPr="00F01882">
        <w:t>, 2020</w:t>
      </w:r>
      <w:r w:rsidR="00A22DB1">
        <w:t>)</w:t>
      </w:r>
      <w:r>
        <w:t>.</w:t>
      </w:r>
    </w:p>
    <w:p w14:paraId="78220E44" w14:textId="77777777" w:rsidR="00C41BEB" w:rsidRPr="00DC500E" w:rsidRDefault="00C41BEB" w:rsidP="00F5483A">
      <w:pPr>
        <w:pStyle w:val="Heading2"/>
      </w:pPr>
      <w:bookmarkStart w:id="33" w:name="_Toc241147181"/>
      <w:r w:rsidRPr="00DC500E">
        <w:t>2.5 Consumer Trust and Sustainable Purchase Intentions</w:t>
      </w:r>
      <w:bookmarkEnd w:id="33"/>
    </w:p>
    <w:p w14:paraId="4D8A3D9D" w14:textId="77777777" w:rsidR="00C41BEB" w:rsidRPr="00DC500E" w:rsidRDefault="00C41BEB" w:rsidP="00C41BEB">
      <w:pPr>
        <w:pStyle w:val="Heading3"/>
      </w:pPr>
      <w:bookmarkStart w:id="34" w:name="_Toc241147182"/>
      <w:r w:rsidRPr="00DC500E">
        <w:t>2.5.1 The Attitude-</w:t>
      </w:r>
      <w:r w:rsidR="00E37ECD" w:rsidRPr="00DC500E">
        <w:t>Behaviour</w:t>
      </w:r>
      <w:r w:rsidRPr="00DC500E">
        <w:t xml:space="preserve"> Gap in Sustainable Consumption</w:t>
      </w:r>
      <w:bookmarkEnd w:id="34"/>
    </w:p>
    <w:p w14:paraId="4B6A9410" w14:textId="07C57959" w:rsidR="00C41BEB" w:rsidRPr="00DC500E" w:rsidRDefault="00F01882" w:rsidP="00C41BEB">
      <w:r w:rsidRPr="00F01882">
        <w:t>The attitude-behaviour gap has reduced the possibility of translating the pro-ecological attitude into action, namely the implementation of sustainable purchasing of activities, products and services at the consumers</w:t>
      </w:r>
      <w:r w:rsidR="00A22DB1">
        <w:t>’</w:t>
      </w:r>
      <w:r w:rsidRPr="00F01882">
        <w:t xml:space="preserve"> level in this academic community (Munro, Kapitan and </w:t>
      </w:r>
      <w:proofErr w:type="spellStart"/>
      <w:r w:rsidRPr="00F01882">
        <w:t>Wooliscroft</w:t>
      </w:r>
      <w:proofErr w:type="spellEnd"/>
      <w:r w:rsidRPr="00F01882">
        <w:t>, 2023). These logical steps from positive attitude to behavio</w:t>
      </w:r>
      <w:r>
        <w:t>u</w:t>
      </w:r>
      <w:r w:rsidRPr="00F01882">
        <w:t>ral intention, as indicated in the classical Theory of Planned Behaviour (</w:t>
      </w:r>
      <w:proofErr w:type="spellStart"/>
      <w:r w:rsidRPr="00F01882">
        <w:t>TPB</w:t>
      </w:r>
      <w:proofErr w:type="spellEnd"/>
      <w:r w:rsidRPr="00F01882">
        <w:t xml:space="preserve">) of Ajzen (1991) and </w:t>
      </w:r>
      <w:proofErr w:type="spellStart"/>
      <w:r w:rsidRPr="00F01882">
        <w:t>Meliniasari</w:t>
      </w:r>
      <w:proofErr w:type="spellEnd"/>
      <w:r w:rsidRPr="00F01882">
        <w:t xml:space="preserve"> and </w:t>
      </w:r>
      <w:proofErr w:type="spellStart"/>
      <w:r w:rsidRPr="00F01882">
        <w:t>Mas</w:t>
      </w:r>
      <w:r w:rsidR="00A22DB1">
        <w:t>’</w:t>
      </w:r>
      <w:r w:rsidRPr="00F01882">
        <w:t>od</w:t>
      </w:r>
      <w:proofErr w:type="spellEnd"/>
      <w:r w:rsidRPr="00F01882">
        <w:t xml:space="preserve"> (2024), may be broken down in the complex scenario of green marketing.</w:t>
      </w:r>
      <w:r w:rsidR="002A413E" w:rsidRPr="00DC500E">
        <w:t xml:space="preserve"> Even if a consumer is very concerned about the environment, the intention to act is stuck when it comes to the actual fast fashion retail world (</w:t>
      </w:r>
      <w:proofErr w:type="spellStart"/>
      <w:r w:rsidR="002A413E" w:rsidRPr="00DC500E">
        <w:t>Dzhengiz</w:t>
      </w:r>
      <w:proofErr w:type="spellEnd"/>
      <w:r w:rsidR="002A413E" w:rsidRPr="00DC500E">
        <w:t xml:space="preserve">, </w:t>
      </w:r>
      <w:proofErr w:type="spellStart"/>
      <w:r w:rsidR="002A413E" w:rsidRPr="00DC500E">
        <w:t>Haukkala</w:t>
      </w:r>
      <w:proofErr w:type="spellEnd"/>
      <w:r w:rsidR="002A413E" w:rsidRPr="00DC500E">
        <w:t xml:space="preserve"> and </w:t>
      </w:r>
      <w:proofErr w:type="spellStart"/>
      <w:r w:rsidR="002A413E" w:rsidRPr="00DC500E">
        <w:t>Sahimaa</w:t>
      </w:r>
      <w:proofErr w:type="spellEnd"/>
      <w:r w:rsidR="002A413E" w:rsidRPr="00DC500E">
        <w:t>, 2023). This is because eco-friendly clothing typically comes with a hefty price tag, meaning that green clothing requires the consumer to invest in an intangible and future benefit for the environment (Joshi and Rahman, 2015). Positive attitudes can only be translated into action with a strong psychological mechanism that can overcome the significant nature</w:t>
      </w:r>
      <w:r w:rsidR="00A22DB1">
        <w:t xml:space="preserve"> </w:t>
      </w:r>
      <w:r w:rsidR="002A413E" w:rsidRPr="00DC500E">
        <w:t>values</w:t>
      </w:r>
      <w:r w:rsidR="00A22DB1">
        <w:t xml:space="preserve"> </w:t>
      </w:r>
      <w:r w:rsidR="002A413E" w:rsidRPr="00DC500E">
        <w:t>no</w:t>
      </w:r>
      <w:r w:rsidR="00A22DB1">
        <w:t xml:space="preserve"> </w:t>
      </w:r>
      <w:r w:rsidR="002A413E" w:rsidRPr="00DC500E">
        <w:t>risk dichotomy</w:t>
      </w:r>
      <w:r w:rsidR="00A22DB1">
        <w:t xml:space="preserve"> (</w:t>
      </w:r>
      <w:r w:rsidR="00A22DB1" w:rsidRPr="00DC500E">
        <w:t>Hebben, Schmitz and Fassnacht, 2026</w:t>
      </w:r>
      <w:r w:rsidR="00A22DB1">
        <w:t>)</w:t>
      </w:r>
      <w:r w:rsidR="002A413E" w:rsidRPr="00DC500E">
        <w:t xml:space="preserve">. Thus, </w:t>
      </w:r>
      <w:r w:rsidR="00A22DB1" w:rsidRPr="00DC500E">
        <w:t xml:space="preserve">Falcão and </w:t>
      </w:r>
      <w:proofErr w:type="spellStart"/>
      <w:r w:rsidR="00A22DB1" w:rsidRPr="00DC500E">
        <w:t>Roseira</w:t>
      </w:r>
      <w:proofErr w:type="spellEnd"/>
      <w:r w:rsidR="00A22DB1" w:rsidRPr="00DC500E">
        <w:t xml:space="preserve"> </w:t>
      </w:r>
      <w:r w:rsidR="00A22DB1">
        <w:t>(</w:t>
      </w:r>
      <w:r w:rsidR="00A22DB1" w:rsidRPr="00DC500E">
        <w:t>2022</w:t>
      </w:r>
      <w:r w:rsidR="00A22DB1">
        <w:t>)</w:t>
      </w:r>
      <w:r w:rsidR="002A413E" w:rsidRPr="00DC500E">
        <w:t xml:space="preserve"> suggest that an intermediate cognitive catalyst is needed that allows the consumer to have psychological safety to complete the process.</w:t>
      </w:r>
    </w:p>
    <w:p w14:paraId="52BF1675" w14:textId="77777777" w:rsidR="00C41BEB" w:rsidRPr="00DC500E" w:rsidRDefault="00C41BEB" w:rsidP="00C41BEB">
      <w:pPr>
        <w:pStyle w:val="Heading3"/>
      </w:pPr>
      <w:bookmarkStart w:id="35" w:name="_Toc241147183"/>
      <w:r w:rsidRPr="00DC500E">
        <w:lastRenderedPageBreak/>
        <w:t>2.5.2 Trust as the Primary Mechanism for Risk Mitigation</w:t>
      </w:r>
      <w:bookmarkEnd w:id="35"/>
    </w:p>
    <w:p w14:paraId="07CD6EE2" w14:textId="4D660310" w:rsidR="002A413E" w:rsidRPr="00DC500E" w:rsidRDefault="002A413E" w:rsidP="002A413E">
      <w:r w:rsidRPr="00DC500E">
        <w:t xml:space="preserve">In this dynamic decision-making landscape, consumer trust plays a crucial role as a key factor in reducing perceived risks and moving towards actualised purchase intentions (Daou et al., 2025). The act of buying a sustainable fast fashion item is fraught with a number of risk perceptions, mostly financial risk (the risk of paying a </w:t>
      </w:r>
      <w:r w:rsidR="00A22DB1">
        <w:t>“</w:t>
      </w:r>
      <w:r w:rsidRPr="00DC500E">
        <w:t>green premium</w:t>
      </w:r>
      <w:r w:rsidR="00A22DB1">
        <w:t>”</w:t>
      </w:r>
      <w:r w:rsidRPr="00DC500E">
        <w:t xml:space="preserve"> for a fast fashion trick) and performance risk (the risk that the materials/garments may not last or may not be as good or chic as they claim to be) (Lu et al., 2022). Consumer verification of the opaque nature of a garment supply chain</w:t>
      </w:r>
      <w:r w:rsidR="00A22DB1">
        <w:t>’</w:t>
      </w:r>
      <w:r w:rsidRPr="00DC500E">
        <w:t>s sustainability and audit of its carbon footprint is extremely limited, and the consumer has to depend solely on corporate communication</w:t>
      </w:r>
      <w:r w:rsidR="00A22DB1">
        <w:t xml:space="preserve"> (</w:t>
      </w:r>
      <w:r w:rsidR="00A22DB1" w:rsidRPr="00DC500E">
        <w:t>Mezger et al., 2020</w:t>
      </w:r>
      <w:r w:rsidR="00A22DB1">
        <w:t>)</w:t>
      </w:r>
      <w:r w:rsidRPr="00DC500E">
        <w:t>.</w:t>
      </w:r>
    </w:p>
    <w:p w14:paraId="6F23888C" w14:textId="373B3EF7" w:rsidR="00C41BEB" w:rsidRPr="00DC500E" w:rsidRDefault="002A413E" w:rsidP="002A413E">
      <w:r w:rsidRPr="00DC500E">
        <w:t>Under such high information asymmetry, trust becomes the insulator and replacement-less risk mitigation tool (Nguyen-Viet, 2023). As a result of environmental trust, the subjective expectancy of deception drops to almost zero in the case of a consumer with a high level of brand trust</w:t>
      </w:r>
      <w:r w:rsidR="00A22DB1">
        <w:t xml:space="preserve"> (</w:t>
      </w:r>
      <w:r w:rsidR="00A22DB1" w:rsidRPr="00DC500E">
        <w:t>Bonfanti et al., 2024</w:t>
      </w:r>
      <w:r w:rsidR="00A22DB1">
        <w:t>)</w:t>
      </w:r>
      <w:r w:rsidRPr="00DC500E">
        <w:t xml:space="preserve">. This trust brings about the required cognitive justification that turns this premium into an </w:t>
      </w:r>
      <w:r w:rsidR="00A22DB1">
        <w:t>“</w:t>
      </w:r>
      <w:r w:rsidRPr="00DC500E">
        <w:t>ecological price</w:t>
      </w:r>
      <w:r w:rsidR="00A22DB1">
        <w:t>”</w:t>
      </w:r>
      <w:r w:rsidRPr="00DC500E">
        <w:t>, which is included in an effective sustainable purchase intention (Sánchez et al., 2024). This structural pathway is systematically confirmed in the empirical models, as trust has a huge positive influence on the behavioural intention by systematically attenuating the psychological barriers set up in the models by perceived risk (Riva et al., 2024). Without trust, the perceived risk is abnormally high, and the consumer automatically moves towards traditional non-sustainable buying channels, simply to protect their livelihood (Khan et al., 2024).</w:t>
      </w:r>
    </w:p>
    <w:p w14:paraId="413A68C2" w14:textId="77777777" w:rsidR="00C41BEB" w:rsidRPr="00DC500E" w:rsidRDefault="00C41BEB" w:rsidP="00C41BEB">
      <w:pPr>
        <w:pStyle w:val="Heading3"/>
      </w:pPr>
      <w:bookmarkStart w:id="36" w:name="_Toc241147184"/>
      <w:r w:rsidRPr="00DC500E">
        <w:t>2.5.3 Critiquing the Fast Fashion Paradox: Sustainable vs. General Purchase Intention</w:t>
      </w:r>
      <w:bookmarkEnd w:id="36"/>
    </w:p>
    <w:p w14:paraId="78D1A4BA" w14:textId="20402E8E" w:rsidR="002A413E" w:rsidRPr="00DC500E" w:rsidRDefault="002A413E" w:rsidP="002A413E">
      <w:r w:rsidRPr="00DC500E">
        <w:t xml:space="preserve">The apparent gap between the theory and intention is what needs to be addressed, and an aggressive move on this line can be made in the context of fast fashion. </w:t>
      </w:r>
      <w:r w:rsidR="00970609" w:rsidRPr="00DC500E">
        <w:t xml:space="preserve">Johnstone and Hooper </w:t>
      </w:r>
      <w:r w:rsidR="00970609">
        <w:t>(</w:t>
      </w:r>
      <w:r w:rsidR="00970609" w:rsidRPr="00DC500E">
        <w:t>2016</w:t>
      </w:r>
      <w:r w:rsidR="00970609">
        <w:t xml:space="preserve">) </w:t>
      </w:r>
      <w:r w:rsidRPr="00DC500E">
        <w:t xml:space="preserve">revealed that many empirical studies find a </w:t>
      </w:r>
      <w:r w:rsidR="00A22DB1">
        <w:t>“</w:t>
      </w:r>
      <w:r w:rsidRPr="00DC500E">
        <w:t>fast fashion paradox</w:t>
      </w:r>
      <w:r w:rsidR="00A22DB1">
        <w:t>”</w:t>
      </w:r>
      <w:r w:rsidRPr="00DC500E">
        <w:t xml:space="preserve">: that consumers with high greenwashing scepticism and deep mistrust towards a brand will still buy items often from </w:t>
      </w:r>
      <w:r w:rsidRPr="00DC500E">
        <w:lastRenderedPageBreak/>
        <w:t>the same brand. This may seem to outright challenge the notion that low trust kills purchase intent at first glance</w:t>
      </w:r>
      <w:r w:rsidR="00A22DB1">
        <w:t xml:space="preserve"> (</w:t>
      </w:r>
      <w:r w:rsidR="00A22DB1" w:rsidRPr="00DC500E">
        <w:t>Ghazali et al., 2018</w:t>
      </w:r>
      <w:r w:rsidR="00A22DB1">
        <w:t>)</w:t>
      </w:r>
      <w:r w:rsidRPr="00DC500E">
        <w:t>. Some consumers may rationalise their buying decisions based on its functionality: extremely low pricing, trend convenience, accessibility (</w:t>
      </w:r>
      <w:proofErr w:type="spellStart"/>
      <w:r w:rsidRPr="00DC500E">
        <w:t>Khattri</w:t>
      </w:r>
      <w:proofErr w:type="spellEnd"/>
      <w:r w:rsidRPr="00DC500E">
        <w:t xml:space="preserve"> and Tomar, 2024), but the actual fact is that they compartmentalise their wary attitude towards the environment.</w:t>
      </w:r>
    </w:p>
    <w:p w14:paraId="1DA97400" w14:textId="194D8EB4" w:rsidR="002A413E" w:rsidRPr="00DC500E" w:rsidRDefault="002A413E" w:rsidP="002A413E">
      <w:r w:rsidRPr="00DC500E">
        <w:t>But this paradox in no way undermines the trust-mediation model; rather, it points to a key methodological difference in understanding how to define the dependent variable. The contradict</w:t>
      </w:r>
      <w:r w:rsidR="00A22DB1">
        <w:t>ion</w:t>
      </w:r>
      <w:r w:rsidRPr="00DC500E">
        <w:t xml:space="preserve"> is</w:t>
      </w:r>
      <w:r w:rsidR="00A22DB1">
        <w:t>,</w:t>
      </w:r>
      <w:r w:rsidRPr="00DC500E">
        <w:t xml:space="preserve"> in fact</w:t>
      </w:r>
      <w:r w:rsidR="00A22DB1">
        <w:t>,</w:t>
      </w:r>
      <w:r w:rsidRPr="00DC500E">
        <w:t xml:space="preserve"> the result of a lack of differentiation between general purchase intention and sustainable purchase intention</w:t>
      </w:r>
      <w:r w:rsidR="00A22DB1">
        <w:t xml:space="preserve"> (</w:t>
      </w:r>
      <w:r w:rsidR="00A22DB1" w:rsidRPr="00DC500E">
        <w:t>Zhang and Ismail, 2024</w:t>
      </w:r>
      <w:r w:rsidR="00A22DB1">
        <w:t>)</w:t>
      </w:r>
      <w:r w:rsidRPr="00DC500E">
        <w:t xml:space="preserve">. A sceptical consumer may indeed form a general purchase intention to buy a synthetic £5 garment, since the financial risk involved is in this case minimal and the environment does not matter, as the purchase is not particularly involving. On the other hand, the same consumer will make a categorical rejection of a £30 </w:t>
      </w:r>
      <w:r w:rsidR="00A22DB1">
        <w:t>“</w:t>
      </w:r>
      <w:r w:rsidRPr="00DC500E">
        <w:t>conscious collection</w:t>
      </w:r>
      <w:r w:rsidR="00A22DB1">
        <w:t>”</w:t>
      </w:r>
      <w:r w:rsidRPr="00DC500E">
        <w:t xml:space="preserve"> organic cotton clothing product from the same brand due to the intersection of purchasing intention for sustainable material and the environmental credibility (Mathew and Spinelli, 2025).</w:t>
      </w:r>
    </w:p>
    <w:p w14:paraId="08D3E45E" w14:textId="49FFB831" w:rsidR="00C41BEB" w:rsidRPr="00DC500E" w:rsidRDefault="002A413E" w:rsidP="002A413E">
      <w:r w:rsidRPr="00DC500E">
        <w:t xml:space="preserve">An eco-credential becomes a mandatory prerequisite for a sustainable transaction for a brand with a strict risk-assessment approach, and trust is an absolute condition for the brand to sell the product at a premium (Daou et al., 2025). Thus, based on the theoretical paradox that arises in </w:t>
      </w:r>
      <w:r w:rsidR="00A22DB1" w:rsidRPr="00DC500E">
        <w:t xml:space="preserve">Husain </w:t>
      </w:r>
      <w:r w:rsidR="00A22DB1">
        <w:t>(</w:t>
      </w:r>
      <w:r w:rsidR="00A22DB1" w:rsidRPr="00DC500E">
        <w:t>2024</w:t>
      </w:r>
      <w:r w:rsidR="00A22DB1">
        <w:t>),</w:t>
      </w:r>
      <w:r w:rsidRPr="00DC500E">
        <w:t xml:space="preserve"> sustainable purchase intention</w:t>
      </w:r>
      <w:r w:rsidR="00A22DB1">
        <w:t xml:space="preserve"> is applied</w:t>
      </w:r>
      <w:r w:rsidRPr="00DC500E">
        <w:t xml:space="preserve"> as the dependent variable. It is right in capturing the fact that greenwashing scepticism does not necessarily stop consumers from fast fashion in total</w:t>
      </w:r>
      <w:r w:rsidR="00A22DB1">
        <w:t xml:space="preserve"> </w:t>
      </w:r>
      <w:r w:rsidR="00A22DB1" w:rsidRPr="00DC500E">
        <w:t>Wang, Krishnan and Forney, 2023</w:t>
      </w:r>
      <w:r w:rsidR="00A22DB1">
        <w:t>).</w:t>
      </w:r>
      <w:r w:rsidRPr="00DC500E">
        <w:t xml:space="preserve"> </w:t>
      </w:r>
      <w:r w:rsidR="00A22DB1">
        <w:t>I</w:t>
      </w:r>
      <w:r w:rsidRPr="00DC500E">
        <w:t>t nevertheless cuts out the specific intention to buy the brand in its green niche market</w:t>
      </w:r>
      <w:r w:rsidR="00A22DB1">
        <w:t>,</w:t>
      </w:r>
      <w:r w:rsidRPr="00DC500E">
        <w:t xml:space="preserve"> which renders it impossible to ignore the entrenched need for trust in green retail switches (Ayyoob and Sajeev, 2025).</w:t>
      </w:r>
    </w:p>
    <w:p w14:paraId="43EC9EC0" w14:textId="77777777" w:rsidR="00A9360E" w:rsidRPr="00DC500E" w:rsidRDefault="00A9360E" w:rsidP="00A9360E">
      <w:pPr>
        <w:pStyle w:val="Heading2"/>
      </w:pPr>
      <w:bookmarkStart w:id="37" w:name="_Toc241147185"/>
      <w:r w:rsidRPr="00DC500E">
        <w:lastRenderedPageBreak/>
        <w:t>2.6 Conceptual Framework and Hypotheses Development</w:t>
      </w:r>
      <w:bookmarkEnd w:id="37"/>
    </w:p>
    <w:p w14:paraId="6792F2DB" w14:textId="1EB2CD26" w:rsidR="00A9360E" w:rsidRPr="00DC500E" w:rsidRDefault="002A413E" w:rsidP="00A9360E">
      <w:r w:rsidRPr="00DC500E">
        <w:t xml:space="preserve">This study proposes a very specific and structured mediation model synthesizing the theoretical intersections of the extended </w:t>
      </w:r>
      <w:proofErr w:type="spellStart"/>
      <w:r w:rsidRPr="00DC500E">
        <w:t>TAPB</w:t>
      </w:r>
      <w:proofErr w:type="spellEnd"/>
      <w:r w:rsidRPr="00DC500E">
        <w:t xml:space="preserve"> (</w:t>
      </w:r>
      <w:proofErr w:type="spellStart"/>
      <w:r w:rsidRPr="00DC500E">
        <w:t>Meliniasari</w:t>
      </w:r>
      <w:proofErr w:type="spellEnd"/>
      <w:r w:rsidRPr="00DC500E">
        <w:t xml:space="preserve"> and </w:t>
      </w:r>
      <w:proofErr w:type="spellStart"/>
      <w:r w:rsidRPr="00DC500E">
        <w:t>Mas</w:t>
      </w:r>
      <w:r w:rsidR="00A22DB1">
        <w:t>’</w:t>
      </w:r>
      <w:r w:rsidRPr="00DC500E">
        <w:t>od</w:t>
      </w:r>
      <w:proofErr w:type="spellEnd"/>
      <w:r w:rsidRPr="00DC500E">
        <w:t xml:space="preserve">, 2024) and the latest paradigm of green marketing. </w:t>
      </w:r>
      <w:r w:rsidR="00A22DB1" w:rsidRPr="00DC500E">
        <w:t xml:space="preserve">Riva et al., </w:t>
      </w:r>
      <w:r w:rsidR="00A22DB1">
        <w:t>(</w:t>
      </w:r>
      <w:r w:rsidR="00A22DB1" w:rsidRPr="00DC500E">
        <w:t>2024</w:t>
      </w:r>
      <w:r w:rsidR="00A22DB1">
        <w:t xml:space="preserve">) </w:t>
      </w:r>
      <w:r w:rsidRPr="00DC500E">
        <w:t>has already proven that deceptive environmental communication constitutes a strong exogenous shock to consumer cognition</w:t>
      </w:r>
      <w:r w:rsidR="00A22DB1">
        <w:t>.</w:t>
      </w:r>
      <w:r w:rsidRPr="00DC500E">
        <w:t xml:space="preserve"> </w:t>
      </w:r>
      <w:r w:rsidR="00A22DB1">
        <w:t>This</w:t>
      </w:r>
      <w:r w:rsidRPr="00DC500E">
        <w:t xml:space="preserve"> makes classic predictive models that do not include an exogenous mechanism of mediation through trust inadequate to predict behavioural outcomes (Wang and Li, 2024). Therefore, this conceptual framework takes Greenwashing Scepticism as the IV, Consumer Trust as the MV, and Sustainable Purchase Intention as the DV </w:t>
      </w:r>
      <w:r w:rsidR="00A22DB1">
        <w:t>(</w:t>
      </w:r>
      <w:r w:rsidRPr="00DC500E">
        <w:t>Nguyen, Nguyen, and Tran, 2026).</w:t>
      </w:r>
    </w:p>
    <w:p w14:paraId="0B7BA3DD" w14:textId="77777777" w:rsidR="00F5483A" w:rsidRPr="00DC500E" w:rsidRDefault="00F44DB9" w:rsidP="00A9360E">
      <w:r w:rsidRPr="00DC500E">
        <w:rPr>
          <w:noProof/>
        </w:rPr>
        <w:drawing>
          <wp:inline distT="0" distB="0" distL="0" distR="0" wp14:anchorId="3D533C9B" wp14:editId="7D9DA3DC">
            <wp:extent cx="5730433" cy="1177047"/>
            <wp:effectExtent l="0" t="0" r="0" b="4445"/>
            <wp:docPr id="9015804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1580448" name=""/>
                    <pic:cNvPicPr/>
                  </pic:nvPicPr>
                  <pic:blipFill rotWithShape="1">
                    <a:blip r:embed="rId10"/>
                    <a:srcRect t="28665" b="34818"/>
                    <a:stretch/>
                  </pic:blipFill>
                  <pic:spPr bwMode="auto">
                    <a:xfrm>
                      <a:off x="0" y="0"/>
                      <a:ext cx="5731510" cy="1177268"/>
                    </a:xfrm>
                    <a:prstGeom prst="rect">
                      <a:avLst/>
                    </a:prstGeom>
                    <a:ln>
                      <a:noFill/>
                    </a:ln>
                    <a:extLst>
                      <a:ext uri="{53640926-AAD7-44D8-BBD7-CCE9431645EC}">
                        <a14:shadowObscured xmlns:a14="http://schemas.microsoft.com/office/drawing/2010/main"/>
                      </a:ext>
                    </a:extLst>
                  </pic:spPr>
                </pic:pic>
              </a:graphicData>
            </a:graphic>
          </wp:inline>
        </w:drawing>
      </w:r>
    </w:p>
    <w:p w14:paraId="214A02C5" w14:textId="7945283E" w:rsidR="00F44DB9" w:rsidRPr="00DC500E" w:rsidRDefault="00F44DB9" w:rsidP="00F44DB9">
      <w:pPr>
        <w:pStyle w:val="Caption"/>
      </w:pPr>
      <w:bookmarkStart w:id="38" w:name="_Toc241078122"/>
      <w:r w:rsidRPr="00DC500E">
        <w:t xml:space="preserve">Figure </w:t>
      </w:r>
      <w:r w:rsidRPr="00DC500E">
        <w:fldChar w:fldCharType="begin"/>
      </w:r>
      <w:r w:rsidRPr="00DC500E">
        <w:instrText xml:space="preserve"> SEQ Figure \* ARABIC </w:instrText>
      </w:r>
      <w:r w:rsidRPr="00DC500E">
        <w:fldChar w:fldCharType="separate"/>
      </w:r>
      <w:r w:rsidR="00603018">
        <w:rPr>
          <w:noProof/>
        </w:rPr>
        <w:t>2</w:t>
      </w:r>
      <w:r w:rsidRPr="00DC500E">
        <w:fldChar w:fldCharType="end"/>
      </w:r>
      <w:r w:rsidRPr="00DC500E">
        <w:t>: Conceptual Framework</w:t>
      </w:r>
      <w:bookmarkEnd w:id="38"/>
    </w:p>
    <w:p w14:paraId="2F58FCDC" w14:textId="32CA7C20" w:rsidR="00A9360E" w:rsidRPr="00DC500E" w:rsidRDefault="00A22DB1" w:rsidP="00A9360E">
      <w:r w:rsidRPr="00DC500E">
        <w:t xml:space="preserve">Fella and </w:t>
      </w:r>
      <w:proofErr w:type="spellStart"/>
      <w:r w:rsidRPr="00DC500E">
        <w:t>Bausa</w:t>
      </w:r>
      <w:proofErr w:type="spellEnd"/>
      <w:r w:rsidRPr="00DC500E">
        <w:t xml:space="preserve"> </w:t>
      </w:r>
      <w:r>
        <w:t>(</w:t>
      </w:r>
      <w:r w:rsidRPr="00DC500E">
        <w:t>2024</w:t>
      </w:r>
      <w:r>
        <w:t xml:space="preserve">) </w:t>
      </w:r>
      <w:r w:rsidR="002A413E" w:rsidRPr="00DC500E">
        <w:rPr>
          <w:kern w:val="0"/>
          <w14:ligatures w14:val="none"/>
        </w:rPr>
        <w:t>reveal that greenwashing essentially undermines institutional credibility because of the scepticism present</w:t>
      </w:r>
      <w:r w:rsidR="002A413E" w:rsidRPr="00DC500E">
        <w:t xml:space="preserve"> in this issue. A disconfirmation of consumers</w:t>
      </w:r>
      <w:r>
        <w:t>’</w:t>
      </w:r>
      <w:r w:rsidR="002A413E" w:rsidRPr="00DC500E">
        <w:t xml:space="preserve"> beliefs is very fast and aggressive, undermining perceived corporate benevolence in the case of present acute cognitive dissonance as a result of the contradictory eco-marketing (Agarwal et al., 2026). Scepticism serves as an active cognitive coping mechanism to dispel the psychological contract between the brand and the buyer (Zafar et al., 2021). So, it is hypothesised:</w:t>
      </w:r>
    </w:p>
    <w:p w14:paraId="03E94DBB" w14:textId="77777777" w:rsidR="00A9360E" w:rsidRPr="00DC500E" w:rsidRDefault="00A9360E" w:rsidP="00A9360E">
      <w:pPr>
        <w:rPr>
          <w:b/>
          <w:bCs/>
          <w:i/>
          <w:iCs/>
        </w:rPr>
      </w:pPr>
      <w:proofErr w:type="spellStart"/>
      <w:r w:rsidRPr="00DC500E">
        <w:rPr>
          <w:b/>
          <w:bCs/>
          <w:i/>
          <w:iCs/>
        </w:rPr>
        <w:t>H1</w:t>
      </w:r>
      <w:proofErr w:type="spellEnd"/>
      <w:r w:rsidRPr="00DC500E">
        <w:rPr>
          <w:b/>
          <w:bCs/>
          <w:i/>
          <w:iCs/>
        </w:rPr>
        <w:t>: Greenwashing scepticism has a significant negative impact on consumer trust.</w:t>
      </w:r>
    </w:p>
    <w:p w14:paraId="2857AF30" w14:textId="0A3D4910" w:rsidR="00A9360E" w:rsidRPr="00DC500E" w:rsidRDefault="002A413E" w:rsidP="00A9360E">
      <w:r w:rsidRPr="00DC500E">
        <w:t>On the other hand, information asymmetry is high in retail stores where trust is used as a major instrument to mitigate risk (Sun et al., 2023). The accumulation of consumer trust lowers financial and performance risk when it comes to opaque sustainable apparel</w:t>
      </w:r>
      <w:r w:rsidR="00A22DB1">
        <w:t xml:space="preserve"> (</w:t>
      </w:r>
      <w:r w:rsidR="00A22DB1" w:rsidRPr="00DC500E">
        <w:t>Dahmen, 2023</w:t>
      </w:r>
      <w:r w:rsidR="00A22DB1">
        <w:t>)</w:t>
      </w:r>
      <w:r w:rsidRPr="00DC500E">
        <w:t xml:space="preserve">. </w:t>
      </w:r>
      <w:r w:rsidRPr="00DC500E">
        <w:lastRenderedPageBreak/>
        <w:t>Such trust offers the psychological safety to overcome the existing attitude</w:t>
      </w:r>
      <w:r w:rsidR="008F33FD">
        <w:t>-</w:t>
      </w:r>
      <w:r w:rsidRPr="00DC500E">
        <w:t>behaviour gap and thus allows for a final conclusion of the premium eco-transaction (Tiago et al., 2024). Hence, the following is hypothesised:</w:t>
      </w:r>
    </w:p>
    <w:p w14:paraId="46E89D61" w14:textId="77777777" w:rsidR="00A9360E" w:rsidRPr="00DC500E" w:rsidRDefault="00A9360E" w:rsidP="00A9360E">
      <w:pPr>
        <w:rPr>
          <w:b/>
          <w:bCs/>
          <w:i/>
          <w:iCs/>
        </w:rPr>
      </w:pPr>
      <w:proofErr w:type="spellStart"/>
      <w:r w:rsidRPr="00DC500E">
        <w:rPr>
          <w:b/>
          <w:bCs/>
          <w:i/>
          <w:iCs/>
        </w:rPr>
        <w:t>H2</w:t>
      </w:r>
      <w:proofErr w:type="spellEnd"/>
      <w:r w:rsidRPr="00DC500E">
        <w:rPr>
          <w:b/>
          <w:bCs/>
          <w:i/>
          <w:iCs/>
        </w:rPr>
        <w:t>: Consumer trust has a significant positive effect on sustainable purchase intentions.</w:t>
      </w:r>
    </w:p>
    <w:p w14:paraId="64EA5D04" w14:textId="778B9E2F" w:rsidR="00A9360E" w:rsidRPr="00DC500E" w:rsidRDefault="002A413E" w:rsidP="00A9360E">
      <w:r w:rsidRPr="00DC500E">
        <w:t>The central structur</w:t>
      </w:r>
      <w:r w:rsidR="00A22DB1">
        <w:t>al</w:t>
      </w:r>
      <w:r w:rsidRPr="00DC500E">
        <w:t xml:space="preserve"> claim put forward in this study is that trust architecture breakdown is a condition of greenwashing scepticism that hinders sustainable purchase intentions, and that greenwashing scepticism, in and of itself, will not have a paralysing effect in a theoretical</w:t>
      </w:r>
      <w:r w:rsidR="00A22DB1">
        <w:t xml:space="preserve"> gap (</w:t>
      </w:r>
      <w:r w:rsidR="00A22DB1" w:rsidRPr="00DC500E">
        <w:t>Riva et al., 2024</w:t>
      </w:r>
      <w:r w:rsidR="00A22DB1">
        <w:t>)</w:t>
      </w:r>
      <w:r w:rsidRPr="00DC500E">
        <w:t>. The intention to buy fast fashion because it has functionality or low physical/financial risk is only dependent on the product</w:t>
      </w:r>
      <w:r w:rsidR="00A22DB1">
        <w:t>’</w:t>
      </w:r>
      <w:r w:rsidRPr="00DC500E">
        <w:t xml:space="preserve">s environmental credibility, which is verified </w:t>
      </w:r>
      <w:r w:rsidR="00A22DB1">
        <w:t xml:space="preserve">by </w:t>
      </w:r>
      <w:r w:rsidRPr="00DC500E">
        <w:t xml:space="preserve">Mathew and Spinelli, </w:t>
      </w:r>
      <w:r w:rsidR="00A22DB1">
        <w:t>(</w:t>
      </w:r>
      <w:r w:rsidRPr="00DC500E">
        <w:t>2025). Thus, trust is not a secondary, only ancillary control factor but, as it were, an absolute, unauthori</w:t>
      </w:r>
      <w:r w:rsidR="00A22DB1">
        <w:t>s</w:t>
      </w:r>
      <w:r w:rsidRPr="00DC500E">
        <w:t>ed and uninhabitable transmission mechanism, which transforms a cognitive doubt into a behavioural avoidance (Ayyoob and Sajeev, 2025). It is therefore hypothesized:</w:t>
      </w:r>
    </w:p>
    <w:p w14:paraId="0DFF46EF" w14:textId="77777777" w:rsidR="00A9360E" w:rsidRPr="00DC500E" w:rsidRDefault="00A9360E" w:rsidP="00A9360E">
      <w:pPr>
        <w:rPr>
          <w:b/>
          <w:bCs/>
          <w:i/>
          <w:iCs/>
        </w:rPr>
      </w:pPr>
      <w:proofErr w:type="spellStart"/>
      <w:r w:rsidRPr="00DC500E">
        <w:rPr>
          <w:b/>
          <w:bCs/>
          <w:i/>
          <w:iCs/>
        </w:rPr>
        <w:t>H3</w:t>
      </w:r>
      <w:proofErr w:type="spellEnd"/>
      <w:r w:rsidRPr="00DC500E">
        <w:rPr>
          <w:b/>
          <w:bCs/>
          <w:i/>
          <w:iCs/>
        </w:rPr>
        <w:t>: Consumer trust mediates the relationship between greenwashing scepticism and sustainable purchase intention.</w:t>
      </w:r>
    </w:p>
    <w:p w14:paraId="1551088E" w14:textId="25437251" w:rsidR="002A413E" w:rsidRPr="00DC500E" w:rsidRDefault="00A22DB1" w:rsidP="002A413E">
      <w:proofErr w:type="spellStart"/>
      <w:r w:rsidRPr="00A22DB1">
        <w:t>Vadakkepatt</w:t>
      </w:r>
      <w:proofErr w:type="spellEnd"/>
      <w:r w:rsidRPr="00A22DB1">
        <w:t xml:space="preserve"> et al. </w:t>
      </w:r>
      <w:r>
        <w:t>(</w:t>
      </w:r>
      <w:r w:rsidRPr="00A22DB1">
        <w:t>2020</w:t>
      </w:r>
      <w:r>
        <w:t xml:space="preserve">) show that </w:t>
      </w:r>
      <w:r w:rsidR="002A413E" w:rsidRPr="00DC500E">
        <w:t>the psychological processes of sustainable consumer behavio</w:t>
      </w:r>
      <w:r w:rsidR="00492F89" w:rsidRPr="00DC500E">
        <w:t>u</w:t>
      </w:r>
      <w:r w:rsidR="002A413E" w:rsidRPr="00DC500E">
        <w:t xml:space="preserve">r in very misleading retail scenarios have been systematically decomposed. </w:t>
      </w:r>
      <w:r w:rsidRPr="00DC500E">
        <w:t xml:space="preserve">Yin and Chen </w:t>
      </w:r>
      <w:r>
        <w:t>(</w:t>
      </w:r>
      <w:r w:rsidRPr="00DC500E">
        <w:t>2022</w:t>
      </w:r>
      <w:r>
        <w:t>)</w:t>
      </w:r>
      <w:r w:rsidR="002A413E" w:rsidRPr="00DC500E">
        <w:t xml:space="preserve"> indicate that in this era of pervasive exaggerated eco-marketing</w:t>
      </w:r>
      <w:r>
        <w:t xml:space="preserve">, a </w:t>
      </w:r>
      <w:r w:rsidR="002A413E" w:rsidRPr="00DC500E">
        <w:t>significant credibility gap has emerged</w:t>
      </w:r>
      <w:r>
        <w:t>.</w:t>
      </w:r>
      <w:r w:rsidR="002A413E" w:rsidRPr="00DC500E">
        <w:t xml:space="preserve"> </w:t>
      </w:r>
      <w:r>
        <w:t>R</w:t>
      </w:r>
      <w:r w:rsidR="002A413E" w:rsidRPr="00DC500E">
        <w:t xml:space="preserve">esulting in entrenched and defensive greenwashing scepticism that vehemently erodes underlying pro-environmental attitudes (Fella and </w:t>
      </w:r>
      <w:proofErr w:type="spellStart"/>
      <w:r w:rsidR="002A413E" w:rsidRPr="00DC500E">
        <w:t>Bausa</w:t>
      </w:r>
      <w:proofErr w:type="spellEnd"/>
      <w:r w:rsidR="002A413E" w:rsidRPr="00DC500E">
        <w:t xml:space="preserve">, 2024). With the addition of a specific trust mediation as an extension of the classical TAP, it becomes clear that consumer trust is a key component in reducing the perceived risk and helping to bridge the gap between environmental concern and real sustainable purchase intention (Munro, Kapitan, and </w:t>
      </w:r>
      <w:proofErr w:type="spellStart"/>
      <w:r w:rsidR="002A413E" w:rsidRPr="00DC500E">
        <w:t>Wooliscroft</w:t>
      </w:r>
      <w:proofErr w:type="spellEnd"/>
      <w:r w:rsidR="002A413E" w:rsidRPr="00DC500E">
        <w:t>, 2023).</w:t>
      </w:r>
    </w:p>
    <w:p w14:paraId="60C1FF3C" w14:textId="3EA35A2C" w:rsidR="00F44DB9" w:rsidRPr="00DC500E" w:rsidRDefault="002A413E" w:rsidP="002A413E">
      <w:r w:rsidRPr="00DC500E">
        <w:lastRenderedPageBreak/>
        <w:t xml:space="preserve">But the research literature is still lacking in a crucial sense in an empirical identification of these isolated phenomena. Even though greenwashing scepticism and </w:t>
      </w:r>
      <w:r w:rsidR="00492F89" w:rsidRPr="00DC500E">
        <w:t>generalis</w:t>
      </w:r>
      <w:r w:rsidRPr="00DC500E">
        <w:t>ed brand aversion are well-documented across the world, to date there is no rigorous empirical testing in the highly sceptical UK fast-fashion population using SEM to validate the structural pathway by which greenwashing scepticism undermines environmental trust and then halts sustainable purchase intention</w:t>
      </w:r>
      <w:r w:rsidR="00A22DB1">
        <w:t xml:space="preserve"> (</w:t>
      </w:r>
      <w:proofErr w:type="spellStart"/>
      <w:r w:rsidR="00A22DB1" w:rsidRPr="00DC500E">
        <w:t>Nkiko</w:t>
      </w:r>
      <w:proofErr w:type="spellEnd"/>
      <w:r w:rsidR="00A22DB1" w:rsidRPr="00DC500E">
        <w:t>, 2026</w:t>
      </w:r>
      <w:r w:rsidR="00A22DB1">
        <w:t>)</w:t>
      </w:r>
      <w:r w:rsidRPr="00DC500E">
        <w:t>. This localised</w:t>
      </w:r>
      <w:r w:rsidR="00A22DB1">
        <w:t>,</w:t>
      </w:r>
      <w:r w:rsidRPr="00DC500E">
        <w:t xml:space="preserve"> intense market paralysis (</w:t>
      </w:r>
      <w:proofErr w:type="spellStart"/>
      <w:r w:rsidRPr="00DC500E">
        <w:t>Kautish</w:t>
      </w:r>
      <w:proofErr w:type="spellEnd"/>
      <w:r w:rsidRPr="00DC500E">
        <w:t xml:space="preserve"> et al., 2021) is no longer amenable to theoretical statements and general qualitative inferences. Thus, compulsory </w:t>
      </w:r>
      <w:r w:rsidRPr="00DC500E">
        <w:rPr>
          <w:kern w:val="0"/>
          <w14:ligatures w14:val="none"/>
        </w:rPr>
        <w:t>collection, testing and analysis of empirical quantitative data are now necessary to scientifically test these hypothetical theories, moving</w:t>
      </w:r>
      <w:r w:rsidRPr="00DC500E">
        <w:t xml:space="preserve"> them from abstract behavioural theories to real market facts.</w:t>
      </w:r>
      <w:r w:rsidRPr="00DC500E">
        <w:rPr>
          <w:rFonts w:cs="Times New Roman"/>
        </w:rPr>
        <w:t xml:space="preserve"> </w:t>
      </w:r>
      <w:r w:rsidR="00F44DB9" w:rsidRPr="00DC500E">
        <w:rPr>
          <w:rFonts w:cs="Times New Roman"/>
        </w:rPr>
        <w:br w:type="page"/>
      </w:r>
    </w:p>
    <w:p w14:paraId="0D697DDC" w14:textId="77777777" w:rsidR="00E46B3A" w:rsidRPr="00DC500E" w:rsidRDefault="00E46B3A" w:rsidP="00E46B3A">
      <w:pPr>
        <w:pStyle w:val="Heading1"/>
      </w:pPr>
      <w:bookmarkStart w:id="39" w:name="_Toc241147186"/>
      <w:r w:rsidRPr="00DC500E">
        <w:lastRenderedPageBreak/>
        <w:t>Chapter Three: Research Methodology</w:t>
      </w:r>
      <w:bookmarkEnd w:id="39"/>
    </w:p>
    <w:p w14:paraId="230E2B54" w14:textId="77777777" w:rsidR="00E46B3A" w:rsidRPr="00DC500E" w:rsidRDefault="00E46B3A" w:rsidP="00E46B3A">
      <w:pPr>
        <w:pStyle w:val="Heading2"/>
        <w:rPr>
          <w:rStyle w:val="apple-converted-space"/>
          <w:rFonts w:ascii="Arial" w:hAnsi="Arial" w:cs="Arial"/>
          <w:color w:val="000000"/>
        </w:rPr>
      </w:pPr>
      <w:bookmarkStart w:id="40" w:name="_Toc241147187"/>
      <w:r w:rsidRPr="00DC500E">
        <w:t>3.1 Introduction</w:t>
      </w:r>
      <w:bookmarkEnd w:id="40"/>
      <w:r w:rsidRPr="00DC500E">
        <w:rPr>
          <w:rStyle w:val="apple-converted-space"/>
          <w:rFonts w:ascii="Arial" w:hAnsi="Arial" w:cs="Arial"/>
          <w:color w:val="000000"/>
        </w:rPr>
        <w:t> </w:t>
      </w:r>
    </w:p>
    <w:p w14:paraId="71A0F726" w14:textId="77777777" w:rsidR="00E46B3A" w:rsidRPr="00DC500E" w:rsidRDefault="00E37ECD" w:rsidP="00E46B3A">
      <w:r w:rsidRPr="00DC500E">
        <w:t>The methodological framework for the empirical research to explore the concept of greenwashing scepticism, consumer trust and sustainable purchase intentions in the UK fast fashion industry is presented in this chapter (Pajo, 2022). The first principle of this methodology section is to give a clear, sound, and solid reasoning for the final choice of research design that clearly shows that all the methodologies used in this section closely associate with and support the ultimate goal and specific objectives of the study. In this chapter, the research methodology is provided to validate the proposed trust-mediation model by systematically outlining the research philosophy, strategy, data collection, sampling frame and analytical techniques. In addition, it is a serious reflection on the constraints of the selected design and explains the ethics involved in conducting the study and how it adheres to the highest ethical standards of academic integrity (</w:t>
      </w:r>
      <w:proofErr w:type="spellStart"/>
      <w:r w:rsidRPr="00DC500E">
        <w:t>Poth</w:t>
      </w:r>
      <w:proofErr w:type="spellEnd"/>
      <w:r w:rsidRPr="00DC500E">
        <w:t>, 2020).</w:t>
      </w:r>
    </w:p>
    <w:p w14:paraId="47367181" w14:textId="77777777" w:rsidR="00E46B3A" w:rsidRPr="00DC500E" w:rsidRDefault="00E46B3A" w:rsidP="00E46B3A">
      <w:pPr>
        <w:pStyle w:val="Heading2"/>
        <w:rPr>
          <w:rStyle w:val="apple-converted-space"/>
          <w:rFonts w:ascii="Arial" w:hAnsi="Arial" w:cs="Arial"/>
          <w:color w:val="000000"/>
        </w:rPr>
      </w:pPr>
      <w:bookmarkStart w:id="41" w:name="_Toc241147188"/>
      <w:r w:rsidRPr="00DC500E">
        <w:t>3.2 Research Paradigm and Philosophy</w:t>
      </w:r>
      <w:bookmarkEnd w:id="41"/>
      <w:r w:rsidRPr="00DC500E">
        <w:rPr>
          <w:rStyle w:val="apple-converted-space"/>
          <w:rFonts w:ascii="Arial" w:hAnsi="Arial" w:cs="Arial"/>
          <w:color w:val="000000"/>
        </w:rPr>
        <w:t> </w:t>
      </w:r>
    </w:p>
    <w:p w14:paraId="0EAD2FB8" w14:textId="4FE4BA00" w:rsidR="00E37ECD" w:rsidRPr="00DC500E" w:rsidRDefault="00E37ECD" w:rsidP="00E37ECD">
      <w:r w:rsidRPr="00DC500E">
        <w:t>Research philosophy determines the ontological and epistemological assumptions that underpin the entire process of investigation and how knowledge is created and accepted in the study of inquiry (Howell, 2013). When it comes to business and management research, there are basically three main overarching philosophies of research between which researchers choose to navigate</w:t>
      </w:r>
      <w:r w:rsidR="00A22DB1">
        <w:t>:</w:t>
      </w:r>
      <w:r w:rsidRPr="00DC500E">
        <w:t xml:space="preserve"> interpretivism, pragmatism and positivism. Interpretivism takes the view that reality is constructed in a social way, </w:t>
      </w:r>
      <w:r w:rsidR="00A22DB1">
        <w:t xml:space="preserve">is </w:t>
      </w:r>
      <w:r w:rsidRPr="00DC500E">
        <w:t>subjective and depends on the researcher</w:t>
      </w:r>
      <w:r w:rsidR="00A22DB1">
        <w:t>’</w:t>
      </w:r>
      <w:r w:rsidRPr="00DC500E">
        <w:t>s interaction with research subjects</w:t>
      </w:r>
      <w:r w:rsidR="00A22DB1">
        <w:t>;</w:t>
      </w:r>
      <w:r w:rsidRPr="00DC500E">
        <w:t xml:space="preserve"> </w:t>
      </w:r>
      <w:r w:rsidR="00A22DB1">
        <w:t>it</w:t>
      </w:r>
      <w:r w:rsidRPr="00DC500E">
        <w:t xml:space="preserve"> is right for deep qualitative studies. Pragmatism is flexible and problem</w:t>
      </w:r>
      <w:r w:rsidR="00A22DB1">
        <w:t>-</w:t>
      </w:r>
      <w:r w:rsidRPr="00DC500E">
        <w:t xml:space="preserve">oriented, and is likely to employ more than one method when dealing with more complex research questions or tackling them from a variety of angles without necessarily maintaining a pure view of one of the philosophies. This study, however, takes a definite stand </w:t>
      </w:r>
      <w:r w:rsidRPr="00DC500E">
        <w:lastRenderedPageBreak/>
        <w:t xml:space="preserve">against interpretivism and pragmatism, and adopts a positivist knowledge method for conducting </w:t>
      </w:r>
      <w:r w:rsidR="00A22DB1">
        <w:t xml:space="preserve">research </w:t>
      </w:r>
      <w:r w:rsidR="00A22DB1" w:rsidRPr="00DC500E">
        <w:t>(Park, Konge, and Artino, 2020)</w:t>
      </w:r>
      <w:r w:rsidRPr="00DC500E">
        <w:t>.</w:t>
      </w:r>
    </w:p>
    <w:p w14:paraId="250C4EC2" w14:textId="040302FD" w:rsidR="00E37ECD" w:rsidRPr="00DC500E" w:rsidRDefault="00E37ECD" w:rsidP="00E37ECD">
      <w:r w:rsidRPr="00DC500E">
        <w:t>Using a positivist paradigm is justified strongly by a requirement of the object of the research to analy</w:t>
      </w:r>
      <w:r w:rsidR="00492F89" w:rsidRPr="00DC500E">
        <w:t>s</w:t>
      </w:r>
      <w:r w:rsidRPr="00DC500E">
        <w:t>e the data. Consumer attitudes, as in this study, are conceptualised as objectively measurable phenomena, existing beyond the subjective interpretation or opinion of the researcher, such as the consumers</w:t>
      </w:r>
      <w:r w:rsidR="00A22DB1">
        <w:t>’</w:t>
      </w:r>
      <w:r w:rsidRPr="00DC500E">
        <w:t xml:space="preserve"> greenwashing scepticism, their consumer trust and their purchase intention. Given the research interest to test a priori hypotheses based on an extended </w:t>
      </w:r>
      <w:proofErr w:type="spellStart"/>
      <w:r w:rsidRPr="00DC500E">
        <w:t>TPB</w:t>
      </w:r>
      <w:proofErr w:type="spellEnd"/>
      <w:r w:rsidRPr="00DC500E">
        <w:t xml:space="preserve">, numerical measurement and proper statistical inference are vital. A numerical/discrete representation of the data would inherently not be obtained using an interpretivist approach that can be used for structural equation modelling. The researcher can, in this way, make sure that the findings from the clips on the grounds of the positivist approach to the study are highly </w:t>
      </w:r>
      <w:r w:rsidR="00492F89" w:rsidRPr="00DC500E">
        <w:t>generalis</w:t>
      </w:r>
      <w:r w:rsidRPr="00DC500E">
        <w:t>able, reliably replicable and completely free from any kind of researcher</w:t>
      </w:r>
      <w:r w:rsidR="00A22DB1">
        <w:t>’</w:t>
      </w:r>
      <w:r w:rsidRPr="00DC500E">
        <w:t xml:space="preserve">s bias and subject distortion (Maksimović </w:t>
      </w:r>
      <w:r w:rsidR="00C02CEA" w:rsidRPr="00DC500E">
        <w:t>and</w:t>
      </w:r>
      <w:r w:rsidRPr="00DC500E">
        <w:t xml:space="preserve"> </w:t>
      </w:r>
      <w:proofErr w:type="spellStart"/>
      <w:r w:rsidRPr="00DC500E">
        <w:t>Evtimov</w:t>
      </w:r>
      <w:proofErr w:type="spellEnd"/>
      <w:r w:rsidRPr="00DC500E">
        <w:t>, 2023).</w:t>
      </w:r>
    </w:p>
    <w:p w14:paraId="643622B2" w14:textId="77777777" w:rsidR="00E46B3A" w:rsidRPr="00DC500E" w:rsidRDefault="00E37ECD" w:rsidP="00E37ECD">
      <w:r w:rsidRPr="00DC500E">
        <w:t>The research adopts a deductive approach (</w:t>
      </w:r>
      <w:proofErr w:type="spellStart"/>
      <w:r w:rsidRPr="00DC500E">
        <w:t>Woiceshyn</w:t>
      </w:r>
      <w:proofErr w:type="spellEnd"/>
      <w:r w:rsidRPr="00DC500E">
        <w:t xml:space="preserve"> </w:t>
      </w:r>
      <w:r w:rsidR="00C02CEA" w:rsidRPr="00DC500E">
        <w:t>and</w:t>
      </w:r>
      <w:r w:rsidRPr="00DC500E">
        <w:t xml:space="preserve"> </w:t>
      </w:r>
      <w:proofErr w:type="spellStart"/>
      <w:r w:rsidRPr="00DC500E">
        <w:t>Daellenbach</w:t>
      </w:r>
      <w:proofErr w:type="spellEnd"/>
      <w:r w:rsidRPr="00DC500E">
        <w:t>, 2018), purely in line with the positivist epistemology. This study started from existing theories on behaviours, defining a specific conceptual frame, and deducing the hypotheses (</w:t>
      </w:r>
      <w:proofErr w:type="spellStart"/>
      <w:r w:rsidRPr="00DC500E">
        <w:t>H1</w:t>
      </w:r>
      <w:proofErr w:type="spellEnd"/>
      <w:r w:rsidRPr="00DC500E">
        <w:t xml:space="preserve">, </w:t>
      </w:r>
      <w:proofErr w:type="spellStart"/>
      <w:r w:rsidRPr="00DC500E">
        <w:t>H2</w:t>
      </w:r>
      <w:proofErr w:type="spellEnd"/>
      <w:r w:rsidRPr="00DC500E">
        <w:t xml:space="preserve">, and </w:t>
      </w:r>
      <w:proofErr w:type="spellStart"/>
      <w:r w:rsidRPr="00DC500E">
        <w:t>H3</w:t>
      </w:r>
      <w:proofErr w:type="spellEnd"/>
      <w:r w:rsidRPr="00DC500E">
        <w:t xml:space="preserve">) for the study (Casula, Rangarajan, </w:t>
      </w:r>
      <w:r w:rsidR="00C02CEA" w:rsidRPr="00DC500E">
        <w:t>and</w:t>
      </w:r>
      <w:r w:rsidRPr="00DC500E">
        <w:t xml:space="preserve"> Shields, 2021), which is different from inductive reasoning which was used in some previous studies. The methodological goal is to systematically test the validity of the theoretical statements with respect to the target group, as well as to conduct statistically robust testing to confirm or disprove the proposed trust-mediation model.</w:t>
      </w:r>
    </w:p>
    <w:p w14:paraId="0BDDE5AD" w14:textId="77777777" w:rsidR="00E46B3A" w:rsidRPr="00DC500E" w:rsidRDefault="00E46B3A" w:rsidP="00E46B3A">
      <w:pPr>
        <w:pStyle w:val="Heading2"/>
        <w:rPr>
          <w:rStyle w:val="apple-converted-space"/>
          <w:rFonts w:ascii="Arial" w:hAnsi="Arial" w:cs="Arial"/>
          <w:color w:val="000000"/>
        </w:rPr>
      </w:pPr>
      <w:bookmarkStart w:id="42" w:name="_Toc241147189"/>
      <w:r w:rsidRPr="00DC500E">
        <w:t>3.3 Research Design and Strategy</w:t>
      </w:r>
      <w:bookmarkEnd w:id="42"/>
      <w:r w:rsidRPr="00DC500E">
        <w:rPr>
          <w:rStyle w:val="apple-converted-space"/>
          <w:rFonts w:ascii="Arial" w:hAnsi="Arial" w:cs="Arial"/>
          <w:color w:val="000000"/>
        </w:rPr>
        <w:t> </w:t>
      </w:r>
    </w:p>
    <w:p w14:paraId="5AC0DD9C" w14:textId="5CA891C0" w:rsidR="00E37ECD" w:rsidRPr="00DC500E" w:rsidRDefault="00E37ECD" w:rsidP="00E37ECD">
      <w:r w:rsidRPr="00DC500E">
        <w:t xml:space="preserve">Based on the deductive evaluation of the conceptual framework, this study uses a quantitative research design that is mono-method (Bloomfield </w:t>
      </w:r>
      <w:r w:rsidR="00C02CEA" w:rsidRPr="00DC500E">
        <w:t>and</w:t>
      </w:r>
      <w:r w:rsidRPr="00DC500E">
        <w:t xml:space="preserve"> Fisher, 2019). Such a strategic selection is a conscious choice that was firmly supported by the exact mathematical requirements of the research aims over the alternatives of qualitative, phenomenological or mixed-methods </w:t>
      </w:r>
      <w:r w:rsidRPr="00DC500E">
        <w:lastRenderedPageBreak/>
        <w:t xml:space="preserve">research. Although a qualitative methodological approach, such as in-depth phenomenological interviews or focus groups, could give detailed, emic descriptions of the emotional aspects of why a UK consumer is sceptical of fast fashion brands, it cannot in its essence provide any strength to the statistical validity, causal magnitude and/or population level </w:t>
      </w:r>
      <w:r w:rsidR="00492F89" w:rsidRPr="00DC500E">
        <w:t>generalis</w:t>
      </w:r>
      <w:r w:rsidRPr="00DC500E">
        <w:t>ability of the relationships derived (Bell and Bryman, 2022).</w:t>
      </w:r>
    </w:p>
    <w:p w14:paraId="3402999E" w14:textId="5EA49FDF" w:rsidR="00E46B3A" w:rsidRPr="00DC500E" w:rsidRDefault="00E37ECD" w:rsidP="00E37ECD">
      <w:r w:rsidRPr="00DC500E">
        <w:t xml:space="preserve">Importantly, the key to this study is to investigate the additional mediation component of consumer trust (Hypothesis 3). The answer is that a large </w:t>
      </w:r>
      <w:r w:rsidR="00492F89" w:rsidRPr="00DC500E">
        <w:t>standardis</w:t>
      </w:r>
      <w:r w:rsidRPr="00DC500E">
        <w:t>ed numerical data set (</w:t>
      </w:r>
      <w:proofErr w:type="spellStart"/>
      <w:r w:rsidRPr="00DC500E">
        <w:t>Harkiolakis</w:t>
      </w:r>
      <w:proofErr w:type="spellEnd"/>
      <w:r w:rsidRPr="00DC500E">
        <w:t>, 2019) is required for testing complex mediational pathways that require a mathematical approach using a structural equation model. The qualitative exploratory phase that would help to create a mixed methods approach would water down the structural focus of the project and unnecessarily waste precious research time and funds in the absence of any viable evidence to either support and refute the mediation hypothesis (Cottrell, 2014). Hence, it is not just a choice of methods; it</w:t>
      </w:r>
      <w:r w:rsidR="00A22DB1">
        <w:t>’</w:t>
      </w:r>
      <w:r w:rsidRPr="00DC500E">
        <w:t>s a precondition of construction that cannot be ignored for the desired hypotheses: mono-method quantitative methods, with the highest mathematical precision of the relationships between variables.</w:t>
      </w:r>
    </w:p>
    <w:p w14:paraId="62CC041C" w14:textId="77777777" w:rsidR="00E46B3A" w:rsidRPr="00DC500E" w:rsidRDefault="00E46B3A" w:rsidP="00E46B3A">
      <w:pPr>
        <w:pStyle w:val="Heading2"/>
        <w:rPr>
          <w:rStyle w:val="apple-converted-space"/>
          <w:rFonts w:ascii="Arial" w:hAnsi="Arial" w:cs="Arial"/>
          <w:color w:val="000000"/>
        </w:rPr>
      </w:pPr>
      <w:bookmarkStart w:id="43" w:name="_Toc241147190"/>
      <w:r w:rsidRPr="00DC500E">
        <w:t>3.4 Data Collection</w:t>
      </w:r>
      <w:bookmarkEnd w:id="43"/>
      <w:r w:rsidRPr="00DC500E">
        <w:rPr>
          <w:rStyle w:val="apple-converted-space"/>
          <w:rFonts w:ascii="Arial" w:hAnsi="Arial" w:cs="Arial"/>
          <w:color w:val="000000"/>
        </w:rPr>
        <w:t> </w:t>
      </w:r>
    </w:p>
    <w:p w14:paraId="47C68B7A" w14:textId="42B133C7" w:rsidR="00E37ECD" w:rsidRPr="00DC500E" w:rsidRDefault="00E37ECD" w:rsidP="00E37ECD">
      <w:r w:rsidRPr="00DC500E">
        <w:t>This study</w:t>
      </w:r>
      <w:r w:rsidR="00A22DB1">
        <w:t>’</w:t>
      </w:r>
      <w:r w:rsidRPr="00DC500E">
        <w:t>s primary data collection instrument is a highly structured, self-administered on-line questionnaire (Buring, 2008). This instrument was specifically selected over other quantitative measures (</w:t>
      </w:r>
      <w:r w:rsidR="00492F89" w:rsidRPr="00DC500E">
        <w:t>standardis</w:t>
      </w:r>
      <w:r w:rsidRPr="00DC500E">
        <w:t xml:space="preserve">ed interviews or lab experiments) because it allows the collection of extensive amounts of </w:t>
      </w:r>
      <w:r w:rsidR="00492F89" w:rsidRPr="00DC500E">
        <w:t>standardis</w:t>
      </w:r>
      <w:r w:rsidRPr="00DC500E">
        <w:t>ed data from a broad geographical distribution and is quick and efficient. In addition, self-administered online questionnaires are important to prevent interviewer bias in the self-report of responses to questions, to help process the questions independently and similarly, and for the internal validity of the data set (</w:t>
      </w:r>
      <w:proofErr w:type="spellStart"/>
      <w:r w:rsidRPr="00DC500E">
        <w:t>Midamba</w:t>
      </w:r>
      <w:proofErr w:type="spellEnd"/>
      <w:r w:rsidRPr="00DC500E">
        <w:t xml:space="preserve"> et al., 2025).</w:t>
      </w:r>
    </w:p>
    <w:p w14:paraId="26E190FA" w14:textId="77550F94" w:rsidR="00E37ECD" w:rsidRPr="00DC500E" w:rsidRDefault="00E37ECD" w:rsidP="00E37ECD">
      <w:r w:rsidRPr="00DC500E">
        <w:t xml:space="preserve">Construct validity is a type of validity that is considered as a top priority in the development of the research instrument (DeVellis, 2016). The questionnaire eschews altogether newly invented </w:t>
      </w:r>
      <w:r w:rsidRPr="00DC500E">
        <w:lastRenderedPageBreak/>
        <w:t>and untested metrics that could lead to measurement error, in order to achieve academic rigor. Rather, all the latent variables in the conceptual framework are explicitly translated into pre-validated measurement scales which are widely adopted from leading</w:t>
      </w:r>
      <w:r w:rsidR="0055244E">
        <w:t>,</w:t>
      </w:r>
      <w:r w:rsidRPr="00DC500E">
        <w:t xml:space="preserve"> reputed peer-reviewed green marketing literature (Snyder, 2019). Greenwashing scepticism is measured with scales that have been utili</w:t>
      </w:r>
      <w:r w:rsidR="00492F89" w:rsidRPr="00DC500E">
        <w:t>s</w:t>
      </w:r>
      <w:r w:rsidRPr="00DC500E">
        <w:t>ed before and reflect the cognitive scepticism of the consumer over the company</w:t>
      </w:r>
      <w:r w:rsidR="00A22DB1">
        <w:t>’</w:t>
      </w:r>
      <w:r w:rsidRPr="00DC500E">
        <w:t>s environmental claims. The intervening variable (consumer trust) and the dependent variable (sustainable purchase intention) are also both operationali</w:t>
      </w:r>
      <w:r w:rsidR="00492F89" w:rsidRPr="00DC500E">
        <w:t>s</w:t>
      </w:r>
      <w:r w:rsidRPr="00DC500E">
        <w:t>ed according to precise measures from the latest empirical measurements (</w:t>
      </w:r>
      <w:proofErr w:type="spellStart"/>
      <w:r w:rsidRPr="00DC500E">
        <w:t>Ruangkanjanases</w:t>
      </w:r>
      <w:proofErr w:type="spellEnd"/>
      <w:r w:rsidRPr="00DC500E">
        <w:t xml:space="preserve"> et al., 2020). The 5-point Likert symmetrical continuum of agreement was </w:t>
      </w:r>
      <w:r w:rsidR="00492F89" w:rsidRPr="00DC500E">
        <w:t>utilis</w:t>
      </w:r>
      <w:r w:rsidRPr="00DC500E">
        <w:t>ed for all constructs as a way to suggest to the respondent a continuum of options that can be used for performing advanced parametric statistical analysis (Nunnally, 1978).</w:t>
      </w:r>
    </w:p>
    <w:p w14:paraId="36838F80" w14:textId="70909D5A" w:rsidR="00E46B3A" w:rsidRPr="00DC500E" w:rsidRDefault="00E37ECD" w:rsidP="00E37ECD">
      <w:r w:rsidRPr="00DC500E">
        <w:t>The questionnaire is divided into two different sections: The first section provides information regarding demographic and behavioural profiles such as age, gender, income and how often people buy fast-</w:t>
      </w:r>
      <w:r w:rsidR="00492F89" w:rsidRPr="00DC500E">
        <w:t>fashion</w:t>
      </w:r>
      <w:r w:rsidRPr="00DC500E">
        <w:t xml:space="preserve"> clothing. The latter part of the instrument consists of psychometric Likert-scale items to measure the theoretical constructs. The delivery of this instrument through existing and widely</w:t>
      </w:r>
      <w:r w:rsidR="00492F89" w:rsidRPr="00DC500E">
        <w:t xml:space="preserve"> </w:t>
      </w:r>
      <w:r w:rsidRPr="00DC500E">
        <w:t>used digital survey platforms ensures a uniform and standardisable data capture environment, which helps to transfer the attitudes of the respondents into an objective numerical format, demanded for structural modelling.</w:t>
      </w:r>
    </w:p>
    <w:p w14:paraId="702502AE" w14:textId="77777777" w:rsidR="00E46B3A" w:rsidRPr="00DC500E" w:rsidRDefault="00E46B3A" w:rsidP="00E46B3A">
      <w:pPr>
        <w:pStyle w:val="Heading2"/>
        <w:rPr>
          <w:rStyle w:val="apple-converted-space"/>
          <w:rFonts w:ascii="Arial" w:hAnsi="Arial" w:cs="Arial"/>
          <w:color w:val="000000"/>
        </w:rPr>
      </w:pPr>
      <w:bookmarkStart w:id="44" w:name="_Toc241147191"/>
      <w:r w:rsidRPr="00DC500E">
        <w:t>3.5 Population and Sample</w:t>
      </w:r>
      <w:bookmarkEnd w:id="44"/>
      <w:r w:rsidRPr="00DC500E">
        <w:rPr>
          <w:rStyle w:val="apple-converted-space"/>
          <w:rFonts w:ascii="Arial" w:hAnsi="Arial" w:cs="Arial"/>
          <w:color w:val="000000"/>
        </w:rPr>
        <w:t> </w:t>
      </w:r>
    </w:p>
    <w:p w14:paraId="56E4BD9A" w14:textId="690C7161" w:rsidR="00E37ECD" w:rsidRPr="00DC500E" w:rsidRDefault="00E37ECD" w:rsidP="00E37ECD">
      <w:r w:rsidRPr="00DC500E">
        <w:t xml:space="preserve">The external validity and </w:t>
      </w:r>
      <w:r w:rsidR="00492F89" w:rsidRPr="00DC500E">
        <w:t>generalis</w:t>
      </w:r>
      <w:r w:rsidRPr="00DC500E">
        <w:t xml:space="preserve">ability of the empirical results are important, requiring careful design of a sampling scheme (Babin et al., 2019). The target population for the study is UK adults (aged 18 and older) who have actively bought fast fashion in the last year. This boundary </w:t>
      </w:r>
      <w:r w:rsidR="00492F89" w:rsidRPr="00DC500E">
        <w:rPr>
          <w:kern w:val="0"/>
          <w14:ligatures w14:val="none"/>
        </w:rPr>
        <w:t xml:space="preserve">ensures that all respondents have experience related to their transactions in the retail environment under investigation because the more recent the experience, the less likely it is </w:t>
      </w:r>
      <w:r w:rsidR="00492F89" w:rsidRPr="00DC500E">
        <w:rPr>
          <w:kern w:val="0"/>
          <w14:ligatures w14:val="none"/>
        </w:rPr>
        <w:lastRenderedPageBreak/>
        <w:t>that responses will be speculative or hypothetical from people who are not involved in fast fashion retail transactions.</w:t>
      </w:r>
    </w:p>
    <w:p w14:paraId="204AA878" w14:textId="71FB363B" w:rsidR="00E37ECD" w:rsidRPr="00DC500E" w:rsidRDefault="00E37ECD" w:rsidP="00E37ECD">
      <w:r w:rsidRPr="00DC500E">
        <w:t xml:space="preserve">To meet mathematical requirements of the proposed statistical analyses, at least 200 valid questionnaires (Rahman, 2023) are needed for this study. This threshold has been stringently grounded based on the contemporary methodological criterion in terms of Structural Equation </w:t>
      </w:r>
      <w:proofErr w:type="spellStart"/>
      <w:r w:rsidRPr="00DC500E">
        <w:t>Modeling</w:t>
      </w:r>
      <w:proofErr w:type="spellEnd"/>
      <w:r w:rsidRPr="00DC500E">
        <w:t xml:space="preserve"> (SEM)</w:t>
      </w:r>
      <w:r w:rsidR="00A22DB1">
        <w:t xml:space="preserve"> (</w:t>
      </w:r>
      <w:r w:rsidR="00A22DB1" w:rsidRPr="00DC500E">
        <w:t>Hair et al. (2019)</w:t>
      </w:r>
      <w:r w:rsidRPr="00DC500E">
        <w:t>. Large statistical power is required for more complex models that test mediated relationships in order to obtain accurate results, free from Type II error</w:t>
      </w:r>
      <w:r w:rsidR="00A22DB1">
        <w:t xml:space="preserve"> (</w:t>
      </w:r>
      <w:r w:rsidR="00A22DB1" w:rsidRPr="00DC500E">
        <w:t>Bell a</w:t>
      </w:r>
      <w:r w:rsidR="00A22DB1">
        <w:t>n</w:t>
      </w:r>
      <w:r w:rsidR="00A22DB1" w:rsidRPr="00DC500E">
        <w:t>d Bryman</w:t>
      </w:r>
      <w:r w:rsidR="00A22DB1">
        <w:t>,</w:t>
      </w:r>
      <w:r w:rsidR="00A22DB1" w:rsidRPr="00DC500E">
        <w:t xml:space="preserve"> 2022</w:t>
      </w:r>
      <w:r w:rsidR="00A22DB1">
        <w:t>)</w:t>
      </w:r>
      <w:r w:rsidRPr="00DC500E">
        <w:t xml:space="preserve">. With more than 200 respondents, the sample size easily meets the benchmark of the </w:t>
      </w:r>
      <w:r w:rsidR="00A22DB1">
        <w:t>“</w:t>
      </w:r>
      <w:r w:rsidRPr="00DC500E">
        <w:t>ten times rule</w:t>
      </w:r>
      <w:r w:rsidR="00A22DB1">
        <w:t>”</w:t>
      </w:r>
      <w:r w:rsidRPr="00DC500E">
        <w:t xml:space="preserve"> in PLS-SEM and complies with the highly established rules for quantitative business research as suggested by Ahmed (2024).</w:t>
      </w:r>
    </w:p>
    <w:p w14:paraId="6B2DD02B" w14:textId="1E28B4B0" w:rsidR="00E46B3A" w:rsidRPr="00DC500E" w:rsidRDefault="00E37ECD" w:rsidP="00E37ECD">
      <w:r w:rsidRPr="00DC500E">
        <w:t xml:space="preserve">It is practically impossible to apply a true probability sampling technique (simple random sampling), since there are only a few incomplete and inaccessible national databases about fast-fashion consumers. This poses a challenge to </w:t>
      </w:r>
      <w:r w:rsidRPr="00DC500E">
        <w:rPr>
          <w:kern w:val="0"/>
          <w14:ligatures w14:val="none"/>
        </w:rPr>
        <w:t>using non-probability sampling in this study, and therefore a non-probability convenience</w:t>
      </w:r>
      <w:r w:rsidRPr="00DC500E">
        <w:t xml:space="preserve"> sampling (Sedgwick, 2013) is adopted as the method of sampling in this study. Although methodological credits usually advise against the use of convenience sampling because of the potential for selection bias, the use of this sampling approach in this study has been fully justified with a rational argument. Sampling is largely purposive, with screening questions in the online survey ensuring that only people who live in the UK, are over 18 years old, and who identify as a buyer of </w:t>
      </w:r>
      <w:r w:rsidR="00A22DB1">
        <w:t>‘</w:t>
      </w:r>
      <w:r w:rsidRPr="00DC500E">
        <w:t>fast fashion</w:t>
      </w:r>
      <w:r w:rsidR="00A22DB1">
        <w:t>’</w:t>
      </w:r>
      <w:r w:rsidRPr="00DC500E">
        <w:t xml:space="preserve"> are able to take the survey. The survey will be strategically rolled out on relevant online digital platforms and professional networks that will take care to capture an efficient and relevant pool of respondents that are highly engaged. This highly targeted digital distribution provides maximum opportunity to successfully generate a demographically diverse sample that more closely aligns with the behaviour of today</w:t>
      </w:r>
      <w:r w:rsidR="00A22DB1">
        <w:t>’</w:t>
      </w:r>
      <w:r w:rsidRPr="00DC500E">
        <w:t>s retail market in the UK, nullifying the conventional pitfalls and limitations of convenience sampling.</w:t>
      </w:r>
    </w:p>
    <w:p w14:paraId="5797F3E3" w14:textId="77777777" w:rsidR="00E46B3A" w:rsidRPr="00DC500E" w:rsidRDefault="00E46B3A" w:rsidP="00E46B3A">
      <w:pPr>
        <w:pStyle w:val="Heading2"/>
      </w:pPr>
      <w:bookmarkStart w:id="45" w:name="_Toc241147192"/>
      <w:r w:rsidRPr="00DC500E">
        <w:lastRenderedPageBreak/>
        <w:t>3.6 Data and Analysis</w:t>
      </w:r>
      <w:bookmarkEnd w:id="45"/>
    </w:p>
    <w:p w14:paraId="7B742573" w14:textId="77777777" w:rsidR="00E37ECD" w:rsidRPr="00DC500E" w:rsidRDefault="00E37ECD" w:rsidP="00E37ECD">
      <w:r w:rsidRPr="00DC500E">
        <w:t>The conceptual framework would be tested using a rigorous and systematic analytical protocol on the obtained raw data after the completion of data collection. Analysing the data sets involves both descriptive and inferential phases that require the use of appropriate statistical analysis software packages for each phase (</w:t>
      </w:r>
      <w:proofErr w:type="spellStart"/>
      <w:r w:rsidRPr="00DC500E">
        <w:t>Stotmeister</w:t>
      </w:r>
      <w:proofErr w:type="spellEnd"/>
      <w:r w:rsidRPr="00DC500E">
        <w:t>, 2024).</w:t>
      </w:r>
    </w:p>
    <w:p w14:paraId="31CDB2C0" w14:textId="26B54474" w:rsidR="00E37ECD" w:rsidRPr="00DC500E" w:rsidRDefault="00E37ECD" w:rsidP="00E37ECD">
      <w:r w:rsidRPr="00DC500E">
        <w:t xml:space="preserve">Data cleaning of all data is carried out in the initial phase. There will be no straight-lining (e.g., </w:t>
      </w:r>
      <w:r w:rsidR="00A22DB1">
        <w:t>“</w:t>
      </w:r>
      <w:r w:rsidRPr="00DC500E">
        <w:t>strongly agree</w:t>
      </w:r>
      <w:r w:rsidR="00A22DB1">
        <w:t>”</w:t>
      </w:r>
      <w:r w:rsidRPr="00DC500E">
        <w:t xml:space="preserve"> to all </w:t>
      </w:r>
      <w:r w:rsidRPr="00DC500E">
        <w:rPr>
          <w:kern w:val="0"/>
          <w14:ligatures w14:val="none"/>
        </w:rPr>
        <w:t>items), which will be aggressively removed, as this detracts from the integrity of the data set, and there will be no incomplete responses,</w:t>
      </w:r>
      <w:r w:rsidRPr="00DC500E">
        <w:t xml:space="preserve"> as the integrity of the data set is paramount. The data will then be refined and imported to IBM SPSS Statistics software and descriptive analysis will be run (Anderson, 2019). This stage creates frequency tables, percentages, means and standard deviations for age-gender gap, income distribution, and purchase frequency of the sample. It is a necessary first step to check the structural representativeness of the sample and meet the minimum requirements of a quantitative report to perform this kind of descriptive evaluation before we set up complex inferential tests (</w:t>
      </w:r>
      <w:proofErr w:type="spellStart"/>
      <w:r w:rsidRPr="00DC500E">
        <w:t>Edelsbrunner</w:t>
      </w:r>
      <w:proofErr w:type="spellEnd"/>
      <w:r w:rsidRPr="00DC500E">
        <w:t xml:space="preserve"> et al., 2025).</w:t>
      </w:r>
    </w:p>
    <w:p w14:paraId="3B4F40E6" w14:textId="4D5C757C" w:rsidR="00E37ECD" w:rsidRPr="00DC500E" w:rsidRDefault="00E37ECD" w:rsidP="00E37ECD">
      <w:r w:rsidRPr="00DC500E">
        <w:t xml:space="preserve">To perform inferential statistics, the study aims to apply the PLS-SEM method in </w:t>
      </w:r>
      <w:proofErr w:type="spellStart"/>
      <w:r w:rsidRPr="00DC500E">
        <w:t>SmartPLS</w:t>
      </w:r>
      <w:proofErr w:type="spellEnd"/>
      <w:r w:rsidRPr="00DC500E">
        <w:t xml:space="preserve"> software (Hair, Risher, Sarstedt </w:t>
      </w:r>
      <w:r w:rsidR="00C02CEA" w:rsidRPr="00DC500E">
        <w:t>and</w:t>
      </w:r>
      <w:r w:rsidRPr="00DC500E">
        <w:t xml:space="preserve"> Ringle, 2019), applying the best practices in green marketing research methodology to rigorously test all the hypotheses (</w:t>
      </w:r>
      <w:proofErr w:type="spellStart"/>
      <w:r w:rsidRPr="00DC500E">
        <w:t>H1</w:t>
      </w:r>
      <w:proofErr w:type="spellEnd"/>
      <w:r w:rsidRPr="00DC500E">
        <w:t xml:space="preserve">, </w:t>
      </w:r>
      <w:proofErr w:type="spellStart"/>
      <w:r w:rsidRPr="00DC500E">
        <w:t>H2</w:t>
      </w:r>
      <w:proofErr w:type="spellEnd"/>
      <w:r w:rsidRPr="00DC500E">
        <w:t xml:space="preserve"> and </w:t>
      </w:r>
      <w:proofErr w:type="spellStart"/>
      <w:r w:rsidRPr="00DC500E">
        <w:t>H3</w:t>
      </w:r>
      <w:proofErr w:type="spellEnd"/>
      <w:r w:rsidRPr="00DC500E">
        <w:t xml:space="preserve">). It is specifically selected for complex predictive modelling, and it performs well in the estimation of mediator relationships, where no strict multivariate normality for the data set is assumed, as compared to Covariance-Based SEM (CB-SEM). The PLS-SEM analysis adopts a two-stage approach, as strictly followed in (Hair, Hult, Ringle, </w:t>
      </w:r>
      <w:r w:rsidR="00C02CEA" w:rsidRPr="00DC500E">
        <w:t>and</w:t>
      </w:r>
      <w:r w:rsidRPr="00DC500E">
        <w:t xml:space="preserve"> Sarstedt, 2021).</w:t>
      </w:r>
    </w:p>
    <w:p w14:paraId="6A798687" w14:textId="15E9A946" w:rsidR="00E46B3A" w:rsidRPr="00DC500E" w:rsidRDefault="00E37ECD" w:rsidP="00E37ECD">
      <w:r w:rsidRPr="00DC500E">
        <w:t xml:space="preserve">The first stage is to test for construct validity and ensure that the research instrument behaves as intended by conducting Confirmatory Factor Analysis (CFA) to evaluate the Measurement Model. The second stage checks the evaluation of the Structural Model once the measurement </w:t>
      </w:r>
      <w:r w:rsidRPr="00DC500E">
        <w:lastRenderedPageBreak/>
        <w:t>model is established. This includes path coefficient analysis and the goodness of fit of the model (R-squared). Importantly, a sophisticated bootstrapping test with 5,000 resamples will be conducted to test the direct effects empirically (greenwashing scepticism to trust and trust to purchase intention). Most critical is to isolate, quantify and test the specific indirect effect because it offers the final mathematical validity to confirm or deny the mediating mechanism of consumer trust as proposed in Hypothesis 3 (Ringle et al., 2023).</w:t>
      </w:r>
    </w:p>
    <w:p w14:paraId="532AD41D" w14:textId="77777777" w:rsidR="00E46B3A" w:rsidRPr="00DC500E" w:rsidRDefault="00E46B3A" w:rsidP="00E46B3A">
      <w:pPr>
        <w:pStyle w:val="Heading2"/>
        <w:rPr>
          <w:rStyle w:val="apple-converted-space"/>
          <w:rFonts w:ascii="Arial" w:hAnsi="Arial" w:cs="Arial"/>
          <w:color w:val="000000"/>
        </w:rPr>
      </w:pPr>
      <w:bookmarkStart w:id="46" w:name="_Toc241147193"/>
      <w:r w:rsidRPr="00DC500E">
        <w:t>3.7 Reliability and Validity</w:t>
      </w:r>
      <w:bookmarkEnd w:id="46"/>
      <w:r w:rsidRPr="00DC500E">
        <w:rPr>
          <w:rStyle w:val="apple-converted-space"/>
          <w:rFonts w:ascii="Arial" w:hAnsi="Arial" w:cs="Arial"/>
          <w:color w:val="000000"/>
        </w:rPr>
        <w:t> </w:t>
      </w:r>
    </w:p>
    <w:p w14:paraId="2D184C08" w14:textId="2FF9C256" w:rsidR="00E37ECD" w:rsidRPr="00DC500E" w:rsidRDefault="00E37ECD" w:rsidP="00E37ECD">
      <w:r w:rsidRPr="00DC500E">
        <w:t>It is essential to make it as reliable and valid as possible so that the research can be uploaded and peer-reviewed. The research instrument will be pilot</w:t>
      </w:r>
      <w:r w:rsidR="00A22DB1">
        <w:t>-</w:t>
      </w:r>
      <w:r w:rsidRPr="00DC500E">
        <w:t xml:space="preserve">tested and tested in real time, before real implementation, to detect and correct any methodological flaws (Bashir </w:t>
      </w:r>
      <w:r w:rsidR="00C02CEA" w:rsidRPr="00DC500E">
        <w:t>and</w:t>
      </w:r>
      <w:r w:rsidRPr="00DC500E">
        <w:t xml:space="preserve"> </w:t>
      </w:r>
      <w:proofErr w:type="spellStart"/>
      <w:r w:rsidRPr="00DC500E">
        <w:t>Marudhar</w:t>
      </w:r>
      <w:proofErr w:type="spellEnd"/>
      <w:r w:rsidRPr="00DC500E">
        <w:t>, 2018). Conducting the questionnaire with a small sample that is representative enables the researcher to test face validity, identify ambiguously worded questions, and ensure that the survey logic on the computer works perfectly. Critically, this will make it clear how to interpret the Likert-scale items and help reduce systematic measurement error in the main data collection process.</w:t>
      </w:r>
    </w:p>
    <w:p w14:paraId="18298D2D" w14:textId="4E6C6674" w:rsidR="00E46B3A" w:rsidRPr="00DC500E" w:rsidRDefault="00E37ECD" w:rsidP="00E37ECD">
      <w:r w:rsidRPr="00DC500E">
        <w:t>In the course of PLS-SEM analysis, a robust criterion (0.70 or above) will be adopted for Cronbach</w:t>
      </w:r>
      <w:r w:rsidR="00A22DB1">
        <w:t>’</w:t>
      </w:r>
      <w:r w:rsidRPr="00DC500E">
        <w:t xml:space="preserve">s Alpha and Composite Reliability of all the scales/latent constructs in order to assess the internal consistency reliability of the constructs (Izah, Sylva, </w:t>
      </w:r>
      <w:r w:rsidR="00C02CEA" w:rsidRPr="00DC500E">
        <w:t>and</w:t>
      </w:r>
      <w:r w:rsidRPr="00DC500E">
        <w:t xml:space="preserve"> Hait, 2023). The construct validity would be clearly demonstrated in a variety of ways. Convergent validity will be determined first by computing the Average Variance Extracted (AVE) of each construct to determine that the proportion of variance explained by the items should be high (</w:t>
      </w:r>
      <w:proofErr w:type="spellStart"/>
      <w:r w:rsidRPr="00DC500E">
        <w:t>Tavakol</w:t>
      </w:r>
      <w:proofErr w:type="spellEnd"/>
      <w:r w:rsidRPr="00DC500E">
        <w:t xml:space="preserve"> </w:t>
      </w:r>
      <w:r w:rsidR="00C02CEA" w:rsidRPr="00DC500E">
        <w:t>and</w:t>
      </w:r>
      <w:r w:rsidRPr="00DC500E">
        <w:t xml:space="preserve"> Dennick, 2011). Secondly, the test of discriminant validity, according to the Fornell-</w:t>
      </w:r>
      <w:proofErr w:type="spellStart"/>
      <w:r w:rsidRPr="00DC500E">
        <w:t>Larcker</w:t>
      </w:r>
      <w:proofErr w:type="spellEnd"/>
      <w:r w:rsidRPr="00DC500E">
        <w:t xml:space="preserve"> criterion and with a</w:t>
      </w:r>
      <w:r w:rsidR="00A22DB1">
        <w:t>n</w:t>
      </w:r>
      <w:r w:rsidRPr="00DC500E">
        <w:t xml:space="preserve"> </w:t>
      </w:r>
      <w:proofErr w:type="spellStart"/>
      <w:r w:rsidRPr="00DC500E">
        <w:t>HTMT</w:t>
      </w:r>
      <w:proofErr w:type="spellEnd"/>
      <w:r w:rsidRPr="00DC500E">
        <w:t xml:space="preserve"> ratio, w</w:t>
      </w:r>
      <w:r w:rsidR="00A22DB1">
        <w:t>ould</w:t>
      </w:r>
      <w:r w:rsidRPr="00DC500E">
        <w:t xml:space="preserve"> be conducted to ensure that the different theoretical concepts of scepticism, trust, and purchase intention are not mixed up or confused in the data.</w:t>
      </w:r>
    </w:p>
    <w:p w14:paraId="0D19A8A7" w14:textId="77777777" w:rsidR="00E46B3A" w:rsidRPr="00DC500E" w:rsidRDefault="00E46B3A" w:rsidP="00E46B3A">
      <w:pPr>
        <w:pStyle w:val="Heading2"/>
        <w:rPr>
          <w:rStyle w:val="apple-converted-space"/>
          <w:rFonts w:ascii="Arial" w:hAnsi="Arial" w:cs="Arial"/>
          <w:color w:val="000000"/>
        </w:rPr>
      </w:pPr>
      <w:bookmarkStart w:id="47" w:name="_Toc241147194"/>
      <w:r w:rsidRPr="00DC500E">
        <w:lastRenderedPageBreak/>
        <w:t>3.8 Limitations of the Research</w:t>
      </w:r>
      <w:bookmarkEnd w:id="47"/>
      <w:r w:rsidRPr="00DC500E">
        <w:rPr>
          <w:rStyle w:val="apple-converted-space"/>
          <w:rFonts w:ascii="Arial" w:hAnsi="Arial" w:cs="Arial"/>
          <w:color w:val="000000"/>
        </w:rPr>
        <w:t> </w:t>
      </w:r>
    </w:p>
    <w:p w14:paraId="2C67D613" w14:textId="7094A8CA" w:rsidR="00E37ECD" w:rsidRPr="00DC500E" w:rsidRDefault="00E37ECD" w:rsidP="00E37ECD">
      <w:r w:rsidRPr="00DC500E">
        <w:t xml:space="preserve">Even with the uncompromising methodological structure, this methodology </w:t>
      </w:r>
      <w:r w:rsidR="00492F89" w:rsidRPr="00DC500E">
        <w:t>recognis</w:t>
      </w:r>
      <w:r w:rsidRPr="00DC500E">
        <w:t>es several inherent limitations, which are clearly acknowledged by the researcher. The main weakness of this quantitative design is the well-known attitude</w:t>
      </w:r>
      <w:r w:rsidR="008F33FD">
        <w:t>-</w:t>
      </w:r>
      <w:r w:rsidRPr="00DC500E">
        <w:t xml:space="preserve">behaviour gap. The dependent variable in this study is sustainable purchase intention, which is a psychological </w:t>
      </w:r>
      <w:r w:rsidR="00A22DB1">
        <w:t>“</w:t>
      </w:r>
      <w:r w:rsidRPr="00DC500E">
        <w:t>readiness to act</w:t>
      </w:r>
      <w:r w:rsidR="00A22DB1">
        <w:t>”</w:t>
      </w:r>
      <w:r w:rsidRPr="00DC500E">
        <w:t xml:space="preserve">. </w:t>
      </w:r>
      <w:r w:rsidRPr="00DC500E">
        <w:rPr>
          <w:kern w:val="0"/>
          <w14:ligatures w14:val="none"/>
        </w:rPr>
        <w:t>But it is not certain whether there will be future purchasing behaviour</w:t>
      </w:r>
      <w:r w:rsidRPr="00DC500E">
        <w:t xml:space="preserve"> based on intention (Lim, 2023). Consumers often express their moral beliefs about environmental sustainability, but they often buy and use products on the basis of price and convenience, which represents an assessment of behavioural probability, or not.</w:t>
      </w:r>
    </w:p>
    <w:p w14:paraId="268C74B7" w14:textId="49513D86" w:rsidR="00E46B3A" w:rsidRPr="00DC500E" w:rsidRDefault="00E37ECD" w:rsidP="00E37ECD">
      <w:r w:rsidRPr="00DC500E">
        <w:t xml:space="preserve">Additionally, since the instrument used is self-report, social desirability bias may occur. There is an inherent motivation among those who respond to questionnaires to portray a view of themselves that is consistent with their own sense of self-worth and implies on their part that they are </w:t>
      </w:r>
      <w:r w:rsidR="00A22DB1">
        <w:t>“</w:t>
      </w:r>
      <w:r w:rsidRPr="00DC500E">
        <w:t>environmentally friendly</w:t>
      </w:r>
      <w:r w:rsidR="00A22DB1">
        <w:t>”</w:t>
      </w:r>
      <w:r w:rsidRPr="00DC500E">
        <w:t xml:space="preserve"> more than they actually are, or that the brands they are purchasing are higher quality than they are. The research design secures absolute anonymity of respondents and structurally masks the name of the respondent from his or her answers, to fight back in an aggressive manner against this threat. The questionnaire is anonymous and allows respondents to respond without being monitored or judged, further promoting genuine responses and minimizing </w:t>
      </w:r>
      <w:r w:rsidR="00A22DB1">
        <w:t>“</w:t>
      </w:r>
      <w:r w:rsidRPr="00DC500E">
        <w:t>performative</w:t>
      </w:r>
      <w:r w:rsidR="00A22DB1">
        <w:t>”</w:t>
      </w:r>
      <w:r w:rsidRPr="00DC500E">
        <w:t xml:space="preserve"> answers (Saunders et al., 2023). Finally, since both the dependent and independent variables are measured with the same tool, this study is susceptible to common method variance, which was prevented to a certain extent by the separation of the psychometric constructs in the survey instrument (Podsakoff et al., 2003; Kock et al., 2021).</w:t>
      </w:r>
    </w:p>
    <w:p w14:paraId="756653D7" w14:textId="77777777" w:rsidR="00E46B3A" w:rsidRPr="00DC500E" w:rsidRDefault="00E46B3A" w:rsidP="00E46B3A">
      <w:pPr>
        <w:pStyle w:val="Heading2"/>
        <w:rPr>
          <w:rStyle w:val="apple-converted-space"/>
          <w:rFonts w:ascii="Arial" w:hAnsi="Arial" w:cs="Arial"/>
          <w:color w:val="000000"/>
        </w:rPr>
      </w:pPr>
      <w:bookmarkStart w:id="48" w:name="_Toc241147195"/>
      <w:r w:rsidRPr="00DC500E">
        <w:t>3.9 Research Ethics</w:t>
      </w:r>
      <w:bookmarkEnd w:id="48"/>
      <w:r w:rsidRPr="00DC500E">
        <w:rPr>
          <w:rStyle w:val="apple-converted-space"/>
          <w:rFonts w:ascii="Arial" w:hAnsi="Arial" w:cs="Arial"/>
          <w:color w:val="000000"/>
        </w:rPr>
        <w:t> </w:t>
      </w:r>
    </w:p>
    <w:p w14:paraId="71AB4442" w14:textId="77777777" w:rsidR="00E37ECD" w:rsidRPr="00DC500E" w:rsidRDefault="00E37ECD" w:rsidP="00E37ECD">
      <w:r w:rsidRPr="00DC500E">
        <w:t xml:space="preserve">It is the highest standard of integrity that is a cornerstone of this investigation. The study follows the method and procedure described by Ahuja and Baishya (2024) in strict and </w:t>
      </w:r>
      <w:r w:rsidRPr="00DC500E">
        <w:lastRenderedPageBreak/>
        <w:t>uncompromising adherence to the reflexive methodological guidelines outlined and the Research Ethics and Integrity Code of Practice devised by the University of Wales Trinity Saint David (</w:t>
      </w:r>
      <w:proofErr w:type="spellStart"/>
      <w:r w:rsidRPr="00DC500E">
        <w:t>UWTSD</w:t>
      </w:r>
      <w:proofErr w:type="spellEnd"/>
      <w:r w:rsidRPr="00DC500E">
        <w:t>).</w:t>
      </w:r>
    </w:p>
    <w:p w14:paraId="76A5D7B5" w14:textId="616A0DBA" w:rsidR="00F01882" w:rsidRDefault="00F01882" w:rsidP="00F01882">
      <w:r>
        <w:t>The research subject is a human being; thus, rights protection, dignity and privacy are important. The survey restores the anonymity of the participants, and careful handling and security of all digital data is organised in accordance with the General Data Protection Regulation (GDPR) in the UK (</w:t>
      </w:r>
      <w:proofErr w:type="spellStart"/>
      <w:r>
        <w:t>Glattke</w:t>
      </w:r>
      <w:proofErr w:type="spellEnd"/>
      <w:r>
        <w:t>, 2017). No identifiable information that might reveal personality, such as name, Email or IP address, was collected or saved.</w:t>
      </w:r>
    </w:p>
    <w:p w14:paraId="406B2230" w14:textId="6768BFB0" w:rsidR="004D387E" w:rsidRPr="00DC500E" w:rsidRDefault="00F01882" w:rsidP="00F01882">
      <w:r>
        <w:t xml:space="preserve">This study is voluntary; the respondent may choose not to continue the study at any time prior to giving the final response. To ensure absolute informed consent, a lengthy e-research ethics consent form comes before the online survey. This digital </w:t>
      </w:r>
      <w:r w:rsidR="00A22DB1">
        <w:t>“</w:t>
      </w:r>
      <w:r>
        <w:t>gatekeeper</w:t>
      </w:r>
      <w:r w:rsidR="00A22DB1">
        <w:t>”</w:t>
      </w:r>
      <w:r>
        <w:t xml:space="preserve"> openly defines the reasons for the study, what kind of information is being collected and the rights of the participant. Saunders et al. (2023) explicitly request acceptance of these terms before the questionnaire items can be input by the respondents. An ethics form has been completed and fully accepted and approved by </w:t>
      </w:r>
      <w:proofErr w:type="spellStart"/>
      <w:r>
        <w:t>UWTSD</w:t>
      </w:r>
      <w:proofErr w:type="spellEnd"/>
      <w:r>
        <w:t xml:space="preserve">, which can be accessed in its entirety and is attached to this dissertation in compliance with the governance of </w:t>
      </w:r>
      <w:proofErr w:type="spellStart"/>
      <w:r>
        <w:t>UWTSD</w:t>
      </w:r>
      <w:proofErr w:type="spellEnd"/>
      <w:r>
        <w:t xml:space="preserve"> and accepted guidelines of </w:t>
      </w:r>
      <w:r w:rsidR="00A22DB1">
        <w:t>‘</w:t>
      </w:r>
      <w:r>
        <w:t xml:space="preserve">e-research </w:t>
      </w:r>
      <w:r w:rsidR="00A22DB1">
        <w:t>‘</w:t>
      </w:r>
      <w:r>
        <w:t>.</w:t>
      </w:r>
      <w:r w:rsidR="004D387E" w:rsidRPr="00DC500E">
        <w:rPr>
          <w:rFonts w:cs="Times New Roman"/>
        </w:rPr>
        <w:br w:type="page"/>
      </w:r>
    </w:p>
    <w:p w14:paraId="690B6A98" w14:textId="77777777" w:rsidR="004D387E" w:rsidRPr="00DC500E" w:rsidRDefault="004D387E" w:rsidP="004D387E">
      <w:pPr>
        <w:pStyle w:val="Heading1"/>
      </w:pPr>
      <w:bookmarkStart w:id="49" w:name="_Toc241147196"/>
      <w:r w:rsidRPr="00DC500E">
        <w:lastRenderedPageBreak/>
        <w:t>Chapter Four: Data Analysis and Discussion</w:t>
      </w:r>
      <w:bookmarkEnd w:id="49"/>
    </w:p>
    <w:p w14:paraId="76053D48" w14:textId="77777777" w:rsidR="004D387E" w:rsidRPr="00DC500E" w:rsidRDefault="004D387E" w:rsidP="004D387E">
      <w:pPr>
        <w:pStyle w:val="Heading2"/>
      </w:pPr>
      <w:bookmarkStart w:id="50" w:name="_Toc241147197"/>
      <w:r w:rsidRPr="00DC500E">
        <w:t>4.1 Introduction</w:t>
      </w:r>
      <w:bookmarkEnd w:id="50"/>
    </w:p>
    <w:p w14:paraId="420CDADB" w14:textId="37F7BF35" w:rsidR="00E37ECD" w:rsidRPr="00DC500E" w:rsidRDefault="00DC500E" w:rsidP="00E37ECD">
      <w:r w:rsidRPr="00DC500E">
        <w:t xml:space="preserve">This chapter outlines the results and statistical analysis of the main data gathered from 157 consumers of fast fashion in the UK. The analysis is methodologically split into two phases in order to thoroughly examine the suggested conceptual framework. First, IBM SPSS Statistics are used to carry out a full descriptive analysis of the questionnaires, in terms of demographic profile and their result distribution. Second, </w:t>
      </w:r>
      <w:r w:rsidR="00F01882" w:rsidRPr="00F01882">
        <w:t xml:space="preserve">Partial Least Squares Structural Equation </w:t>
      </w:r>
      <w:proofErr w:type="spellStart"/>
      <w:r w:rsidR="00F01882" w:rsidRPr="00F01882">
        <w:t>Modeling</w:t>
      </w:r>
      <w:proofErr w:type="spellEnd"/>
      <w:r w:rsidR="00F01882" w:rsidRPr="00F01882">
        <w:t xml:space="preserve"> (PLS-SEM) is performed using </w:t>
      </w:r>
      <w:proofErr w:type="spellStart"/>
      <w:r w:rsidR="00F01882" w:rsidRPr="00F01882">
        <w:t>SmartPLS</w:t>
      </w:r>
      <w:proofErr w:type="spellEnd"/>
      <w:r w:rsidR="00F01882" w:rsidRPr="00F01882">
        <w:t xml:space="preserve"> software to assess the reliability and validity of the measurement model, and then</w:t>
      </w:r>
      <w:r w:rsidRPr="00DC500E">
        <w:t xml:space="preserve"> a sound measurement of the structural model will be used to test all the proposed hypotheses.</w:t>
      </w:r>
    </w:p>
    <w:p w14:paraId="0234EC63" w14:textId="77777777" w:rsidR="004D387E" w:rsidRPr="00DC500E" w:rsidRDefault="004D387E" w:rsidP="004D387E">
      <w:pPr>
        <w:pStyle w:val="Heading2"/>
      </w:pPr>
      <w:bookmarkStart w:id="51" w:name="_Toc241147198"/>
      <w:r w:rsidRPr="00DC500E">
        <w:t>4.2 Data Analysis</w:t>
      </w:r>
      <w:bookmarkEnd w:id="51"/>
    </w:p>
    <w:p w14:paraId="435D49DD" w14:textId="2DBF9BA8" w:rsidR="004D387E" w:rsidRDefault="004D387E" w:rsidP="004D387E">
      <w:pPr>
        <w:pStyle w:val="Heading3"/>
      </w:pPr>
      <w:bookmarkStart w:id="52" w:name="_Toc241147199"/>
      <w:r w:rsidRPr="00DC500E">
        <w:t>4.2.1 Demographic Analysis</w:t>
      </w:r>
      <w:bookmarkEnd w:id="52"/>
    </w:p>
    <w:p w14:paraId="41649881" w14:textId="77777777" w:rsidR="001E6B0A" w:rsidRDefault="001E6B0A" w:rsidP="001E6B0A"/>
    <w:p w14:paraId="432A3EAE" w14:textId="063DD2BA" w:rsidR="001E6B0A" w:rsidRDefault="001E6B0A" w:rsidP="001E6B0A">
      <w:r>
        <w:rPr>
          <w:noProof/>
          <w:color w:val="000000"/>
        </w:rPr>
        <w:drawing>
          <wp:inline distT="0" distB="0" distL="0" distR="0" wp14:anchorId="4AF5AA96" wp14:editId="3F810B48">
            <wp:extent cx="5731510" cy="2411730"/>
            <wp:effectExtent l="0" t="0" r="0" b="1270"/>
            <wp:docPr id="5278725" name="Picture 1" descr="Forms response chart. Question title: DEM1. What is your age group?. Number of responses: 15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EM1. What is your age group?. Number of responses: 157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3856A5B6" w14:textId="3F92D0E6" w:rsidR="001E6B0A" w:rsidRDefault="001E6B0A" w:rsidP="001E6B0A">
      <w:pPr>
        <w:pStyle w:val="Caption"/>
      </w:pPr>
      <w:bookmarkStart w:id="53" w:name="_Toc241078123"/>
      <w:r>
        <w:t xml:space="preserve">Figure </w:t>
      </w:r>
      <w:r>
        <w:fldChar w:fldCharType="begin"/>
      </w:r>
      <w:r>
        <w:instrText xml:space="preserve"> SEQ Figure \* ARABIC </w:instrText>
      </w:r>
      <w:r>
        <w:fldChar w:fldCharType="separate"/>
      </w:r>
      <w:r w:rsidR="00603018">
        <w:rPr>
          <w:noProof/>
        </w:rPr>
        <w:t>3</w:t>
      </w:r>
      <w:r>
        <w:fldChar w:fldCharType="end"/>
      </w:r>
      <w:r>
        <w:t>: Age of the participants</w:t>
      </w:r>
      <w:bookmarkEnd w:id="53"/>
    </w:p>
    <w:p w14:paraId="38DBDF58" w14:textId="5D53575F" w:rsidR="001E6B0A" w:rsidRDefault="001E6B0A" w:rsidP="001E6B0A">
      <w:r w:rsidRPr="00F01882">
        <w:t>A sample of 157 valid respondents from the UK was achieved, meeting the structural analysis demographic requirements. There is a strong age dependence</w:t>
      </w:r>
      <w:r>
        <w:t>,</w:t>
      </w:r>
      <w:r w:rsidRPr="00F01882">
        <w:t xml:space="preserve"> with 43.9% (n=69) in the age groups 25-34 and 31.8% (n=50) aged 18-24.</w:t>
      </w:r>
      <w:r>
        <w:t xml:space="preserve"> </w:t>
      </w:r>
      <w:r w:rsidRPr="00F01882">
        <w:t xml:space="preserve">The ratio for those </w:t>
      </w:r>
      <w:r>
        <w:rPr>
          <w:kern w:val="0"/>
          <w14:ligatures w14:val="none"/>
        </w:rPr>
        <w:t xml:space="preserve">aged 35 to 44 years is 14.6% </w:t>
      </w:r>
      <w:r>
        <w:rPr>
          <w:kern w:val="0"/>
          <w14:ligatures w14:val="none"/>
        </w:rPr>
        <w:lastRenderedPageBreak/>
        <w:t>(n=23), and the older age groups have a low proportion (5.7% for age group 45-54 and 3.8% for age</w:t>
      </w:r>
      <w:r w:rsidRPr="00F01882">
        <w:t xml:space="preserve"> group 55 years and above). </w:t>
      </w:r>
    </w:p>
    <w:p w14:paraId="2ADD2BA1" w14:textId="47C18BF3" w:rsidR="001E6B0A" w:rsidRDefault="001E6B0A" w:rsidP="001E6B0A">
      <w:r>
        <w:rPr>
          <w:noProof/>
          <w:color w:val="000000"/>
        </w:rPr>
        <w:drawing>
          <wp:inline distT="0" distB="0" distL="0" distR="0" wp14:anchorId="0A799C8F" wp14:editId="1A8D72FD">
            <wp:extent cx="5731510" cy="2411730"/>
            <wp:effectExtent l="0" t="0" r="0" b="1270"/>
            <wp:docPr id="270611771" name="Picture 2" descr="Forms response chart. Question title: DEM2. How do you identify your gender?. Number of responses: 15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EM2. How do you identify your gender?. Number of responses: 157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4E9E3E83" w14:textId="72001553" w:rsidR="001E6B0A" w:rsidRDefault="001E6B0A" w:rsidP="001E6B0A">
      <w:pPr>
        <w:pStyle w:val="Caption"/>
      </w:pPr>
      <w:bookmarkStart w:id="54" w:name="_Toc241078124"/>
      <w:r>
        <w:t xml:space="preserve">Figure </w:t>
      </w:r>
      <w:r>
        <w:fldChar w:fldCharType="begin"/>
      </w:r>
      <w:r>
        <w:instrText xml:space="preserve"> SEQ Figure \* ARABIC </w:instrText>
      </w:r>
      <w:r>
        <w:fldChar w:fldCharType="separate"/>
      </w:r>
      <w:r w:rsidR="00603018">
        <w:rPr>
          <w:noProof/>
        </w:rPr>
        <w:t>4</w:t>
      </w:r>
      <w:r>
        <w:fldChar w:fldCharType="end"/>
      </w:r>
      <w:r>
        <w:t>: Gender of the participants</w:t>
      </w:r>
      <w:bookmarkEnd w:id="54"/>
    </w:p>
    <w:p w14:paraId="17113791" w14:textId="78E58965" w:rsidR="001E6B0A" w:rsidRDefault="001E6B0A" w:rsidP="001E6B0A">
      <w:r w:rsidRPr="00F01882">
        <w:t xml:space="preserve">In </w:t>
      </w:r>
      <w:r>
        <w:t>terms</w:t>
      </w:r>
      <w:r w:rsidRPr="00F01882">
        <w:t xml:space="preserve"> of gender composition</w:t>
      </w:r>
      <w:r>
        <w:t>,</w:t>
      </w:r>
      <w:r w:rsidRPr="00F01882">
        <w:t xml:space="preserve"> a significant number of females (75.2% or n=118) a</w:t>
      </w:r>
      <w:r>
        <w:t xml:space="preserve">re found in </w:t>
      </w:r>
      <w:r w:rsidR="00970609">
        <w:t>F</w:t>
      </w:r>
      <w:r>
        <w:t xml:space="preserve">igure 3, </w:t>
      </w:r>
      <w:r w:rsidRPr="00F01882">
        <w:t xml:space="preserve">compared to males (24.8% or n=39). </w:t>
      </w:r>
    </w:p>
    <w:p w14:paraId="723ADE78" w14:textId="7035B780" w:rsidR="001E6B0A" w:rsidRDefault="001E6B0A" w:rsidP="001E6B0A">
      <w:r>
        <w:rPr>
          <w:noProof/>
          <w:color w:val="000000"/>
        </w:rPr>
        <w:drawing>
          <wp:inline distT="0" distB="0" distL="0" distR="0" wp14:anchorId="3AB84EAD" wp14:editId="60B85478">
            <wp:extent cx="5731510" cy="2411730"/>
            <wp:effectExtent l="0" t="0" r="0" b="1270"/>
            <wp:docPr id="641746537" name="Picture 3" descr="Forms response chart. Question title: DEM3. What is your approximate annual household income?. Number of responses: 15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EM3. What is your approximate annual household income?. Number of responses: 157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B8CDF0E" w14:textId="1DD5C99D" w:rsidR="001E6B0A" w:rsidRDefault="001E6B0A" w:rsidP="001E6B0A">
      <w:pPr>
        <w:pStyle w:val="Caption"/>
      </w:pPr>
      <w:bookmarkStart w:id="55" w:name="_Toc241078125"/>
      <w:r>
        <w:t xml:space="preserve">Figure </w:t>
      </w:r>
      <w:r>
        <w:fldChar w:fldCharType="begin"/>
      </w:r>
      <w:r>
        <w:instrText xml:space="preserve"> SEQ Figure \* ARABIC </w:instrText>
      </w:r>
      <w:r>
        <w:fldChar w:fldCharType="separate"/>
      </w:r>
      <w:r w:rsidR="00603018">
        <w:rPr>
          <w:noProof/>
        </w:rPr>
        <w:t>5</w:t>
      </w:r>
      <w:r>
        <w:fldChar w:fldCharType="end"/>
      </w:r>
      <w:r>
        <w:t>: Annual household income of the participants</w:t>
      </w:r>
      <w:bookmarkEnd w:id="55"/>
    </w:p>
    <w:p w14:paraId="36DD7D48" w14:textId="3D04327D" w:rsidR="001E6B0A" w:rsidRDefault="001E6B0A" w:rsidP="001E6B0A">
      <w:r w:rsidRPr="00F01882">
        <w:t>Economically, the sample primarily reflects lower-to-middle income brackets: 39.5% (n=62) earn £20,000</w:t>
      </w:r>
      <w:r w:rsidR="008F33FD">
        <w:t>-</w:t>
      </w:r>
      <w:r w:rsidRPr="00F01882">
        <w:t>£34,999, 29.3% (n=46) earn under £20,000, 17.2% (n=27) earn £35,000</w:t>
      </w:r>
      <w:r w:rsidR="008F33FD">
        <w:t>-</w:t>
      </w:r>
      <w:r w:rsidRPr="00F01882">
        <w:t>£49,999, and only 14.0% earn £50,000 or more.</w:t>
      </w:r>
    </w:p>
    <w:p w14:paraId="4FBBCC44" w14:textId="77777777" w:rsidR="001E6B0A" w:rsidRDefault="001E6B0A" w:rsidP="001E6B0A"/>
    <w:p w14:paraId="505687D3" w14:textId="08AF05DD" w:rsidR="001E6B0A" w:rsidRDefault="001E6B0A" w:rsidP="001E6B0A">
      <w:r>
        <w:rPr>
          <w:noProof/>
          <w:color w:val="000000"/>
        </w:rPr>
        <w:lastRenderedPageBreak/>
        <w:drawing>
          <wp:inline distT="0" distB="0" distL="0" distR="0" wp14:anchorId="32034649" wp14:editId="0033DD2A">
            <wp:extent cx="5731510" cy="2411730"/>
            <wp:effectExtent l="0" t="0" r="0" b="1270"/>
            <wp:docPr id="300155610" name="Picture 4" descr="Forms response chart. Question title: DEM4. On average, how frequently do you purchase fast fashion apparel?. Number of responses: 15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EM4. On average, how frequently do you purchase fast fashion apparel?. Number of responses: 157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0838EDC7" w14:textId="393A2E8E" w:rsidR="001E6B0A" w:rsidRPr="001E6B0A" w:rsidRDefault="001E6B0A" w:rsidP="001E6B0A">
      <w:pPr>
        <w:pStyle w:val="Caption"/>
      </w:pPr>
      <w:bookmarkStart w:id="56" w:name="_Toc241078126"/>
      <w:r>
        <w:t xml:space="preserve">Figure </w:t>
      </w:r>
      <w:r>
        <w:fldChar w:fldCharType="begin"/>
      </w:r>
      <w:r>
        <w:instrText xml:space="preserve"> SEQ Figure \* ARABIC </w:instrText>
      </w:r>
      <w:r>
        <w:fldChar w:fldCharType="separate"/>
      </w:r>
      <w:r w:rsidR="00603018">
        <w:rPr>
          <w:noProof/>
        </w:rPr>
        <w:t>6</w:t>
      </w:r>
      <w:r>
        <w:fldChar w:fldCharType="end"/>
      </w:r>
      <w:r>
        <w:t>: Frequency of purchasing fast fashion apparel</w:t>
      </w:r>
      <w:bookmarkEnd w:id="56"/>
    </w:p>
    <w:p w14:paraId="18A475EB" w14:textId="366E92C7" w:rsidR="004D387E" w:rsidRPr="00DC500E" w:rsidRDefault="001E6B0A" w:rsidP="004D387E">
      <w:r w:rsidRPr="00F01882">
        <w:t>Behavioural patterns show un</w:t>
      </w:r>
      <w:r>
        <w:t>u</w:t>
      </w:r>
      <w:r w:rsidRPr="00F01882">
        <w:t>sually high levels of engagement with fast</w:t>
      </w:r>
      <w:r>
        <w:t xml:space="preserve"> fashion,</w:t>
      </w:r>
      <w:r w:rsidRPr="00F01882">
        <w:t xml:space="preserve"> with 42.0% (N=66) purchasing once a month and 40.1% (N=63) purchasing multiple times a month. In addition, the shoppers confirm the high contextuality of the sample</w:t>
      </w:r>
      <w:r>
        <w:t>,</w:t>
      </w:r>
      <w:r w:rsidRPr="00F01882">
        <w:t xml:space="preserve"> with infrequent shoppers being a minority (12.1% every 2-3 months, 5.7% a few times a year, rarely).</w:t>
      </w:r>
      <w:r w:rsidR="00F01882" w:rsidRPr="00F01882">
        <w:t xml:space="preserve"> </w:t>
      </w:r>
    </w:p>
    <w:p w14:paraId="784C6AF2" w14:textId="77777777" w:rsidR="004D387E" w:rsidRPr="00DC500E" w:rsidRDefault="004D387E" w:rsidP="004D387E">
      <w:pPr>
        <w:pStyle w:val="Heading3"/>
      </w:pPr>
      <w:bookmarkStart w:id="57" w:name="_Toc241147200"/>
      <w:r w:rsidRPr="00DC500E">
        <w:t>4.2.2 Descriptive Analysis</w:t>
      </w:r>
      <w:bookmarkEnd w:id="57"/>
    </w:p>
    <w:p w14:paraId="26AFB70F" w14:textId="026FA0DC" w:rsidR="004D387E" w:rsidRPr="00DC500E" w:rsidRDefault="001E6B0A" w:rsidP="001E6B0A">
      <w:pPr>
        <w:pStyle w:val="Caption"/>
        <w:rPr>
          <w:rFonts w:ascii="-webkit-standard" w:hAnsi="-webkit-standard"/>
          <w:color w:val="000000"/>
          <w:sz w:val="27"/>
          <w:szCs w:val="27"/>
        </w:rPr>
      </w:pPr>
      <w:bookmarkStart w:id="58" w:name="_Toc241053199"/>
      <w:r>
        <w:t xml:space="preserve">Table </w:t>
      </w:r>
      <w:r>
        <w:fldChar w:fldCharType="begin"/>
      </w:r>
      <w:r>
        <w:instrText xml:space="preserve"> SEQ Table \* ARABIC </w:instrText>
      </w:r>
      <w:r>
        <w:fldChar w:fldCharType="separate"/>
      </w:r>
      <w:r w:rsidR="00603018">
        <w:rPr>
          <w:noProof/>
        </w:rPr>
        <w:t>1</w:t>
      </w:r>
      <w:r>
        <w:fldChar w:fldCharType="end"/>
      </w:r>
      <w:r>
        <w:t xml:space="preserve">: </w:t>
      </w:r>
      <w:r w:rsidR="004D387E" w:rsidRPr="00DC500E">
        <w:t>Greenwashing Scepticism (</w:t>
      </w:r>
      <w:proofErr w:type="spellStart"/>
      <w:r w:rsidR="004D387E" w:rsidRPr="00DC500E">
        <w:t>GWS</w:t>
      </w:r>
      <w:proofErr w:type="spellEnd"/>
      <w:r w:rsidR="004D387E" w:rsidRPr="00DC500E">
        <w:t>)</w:t>
      </w:r>
      <w:bookmarkEnd w:id="58"/>
      <w:r w:rsidR="004D387E" w:rsidRPr="00DC500E">
        <w:rPr>
          <w:rStyle w:val="apple-converted-space"/>
          <w:rFonts w:ascii="-webkit-standard" w:hAnsi="-webkit-standard"/>
          <w:color w:val="000000"/>
          <w:sz w:val="27"/>
          <w:szCs w:val="27"/>
        </w:rPr>
        <w:t>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245"/>
        <w:gridCol w:w="905"/>
        <w:gridCol w:w="904"/>
        <w:gridCol w:w="691"/>
        <w:gridCol w:w="1087"/>
        <w:gridCol w:w="1007"/>
        <w:gridCol w:w="904"/>
        <w:gridCol w:w="691"/>
        <w:gridCol w:w="904"/>
        <w:gridCol w:w="688"/>
      </w:tblGrid>
      <w:tr w:rsidR="004D387E" w:rsidRPr="00DC500E" w14:paraId="4C39DC25" w14:textId="77777777" w:rsidTr="00255207">
        <w:trPr>
          <w:cantSplit/>
        </w:trPr>
        <w:tc>
          <w:tcPr>
            <w:tcW w:w="5000" w:type="pct"/>
            <w:gridSpan w:val="10"/>
            <w:tcBorders>
              <w:top w:val="nil"/>
              <w:left w:val="nil"/>
              <w:bottom w:val="nil"/>
              <w:right w:val="nil"/>
            </w:tcBorders>
            <w:shd w:val="clear" w:color="auto" w:fill="FFFFFF"/>
            <w:vAlign w:val="center"/>
          </w:tcPr>
          <w:p w14:paraId="3E0E78B7" w14:textId="77777777" w:rsidR="004D387E" w:rsidRPr="00DC500E" w:rsidRDefault="004D387E" w:rsidP="004D387E">
            <w:pPr>
              <w:autoSpaceDE w:val="0"/>
              <w:autoSpaceDN w:val="0"/>
              <w:adjustRightInd w:val="0"/>
              <w:ind w:left="60" w:right="60"/>
              <w:jc w:val="left"/>
              <w:rPr>
                <w:rFonts w:cs="Times New Roman"/>
                <w:color w:val="000000"/>
                <w:kern w:val="0"/>
                <w:szCs w:val="24"/>
                <w:lang w:bidi="hi-IN"/>
              </w:rPr>
            </w:pPr>
            <w:r w:rsidRPr="00DC500E">
              <w:rPr>
                <w:rFonts w:cs="Times New Roman"/>
                <w:i/>
                <w:iCs/>
                <w:color w:val="000000"/>
                <w:kern w:val="0"/>
                <w:szCs w:val="24"/>
                <w:lang w:bidi="hi-IN"/>
              </w:rPr>
              <w:t>Descriptive Statistics</w:t>
            </w:r>
          </w:p>
        </w:tc>
      </w:tr>
      <w:tr w:rsidR="004D387E" w:rsidRPr="00DC500E" w14:paraId="2800BDDC" w14:textId="77777777" w:rsidTr="00F01882">
        <w:trPr>
          <w:cantSplit/>
        </w:trPr>
        <w:tc>
          <w:tcPr>
            <w:tcW w:w="689" w:type="pct"/>
            <w:tcBorders>
              <w:left w:val="nil"/>
              <w:bottom w:val="nil"/>
              <w:right w:val="nil"/>
            </w:tcBorders>
            <w:shd w:val="clear" w:color="auto" w:fill="FFFFFF"/>
            <w:vAlign w:val="bottom"/>
          </w:tcPr>
          <w:p w14:paraId="62BF6536" w14:textId="77777777" w:rsidR="004D387E" w:rsidRPr="00DC500E" w:rsidRDefault="004D387E" w:rsidP="004D387E">
            <w:pPr>
              <w:autoSpaceDE w:val="0"/>
              <w:autoSpaceDN w:val="0"/>
              <w:adjustRightInd w:val="0"/>
              <w:jc w:val="left"/>
              <w:rPr>
                <w:rFonts w:cs="Times New Roman"/>
                <w:color w:val="auto"/>
                <w:kern w:val="0"/>
                <w:szCs w:val="24"/>
                <w:lang w:bidi="hi-IN"/>
              </w:rPr>
            </w:pPr>
          </w:p>
        </w:tc>
        <w:tc>
          <w:tcPr>
            <w:tcW w:w="501" w:type="pct"/>
            <w:tcBorders>
              <w:left w:val="nil"/>
            </w:tcBorders>
            <w:shd w:val="clear" w:color="auto" w:fill="FFFFFF"/>
            <w:vAlign w:val="bottom"/>
          </w:tcPr>
          <w:p w14:paraId="639AA66D"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N</w:t>
            </w:r>
          </w:p>
        </w:tc>
        <w:tc>
          <w:tcPr>
            <w:tcW w:w="884" w:type="pct"/>
            <w:gridSpan w:val="2"/>
            <w:tcBorders>
              <w:left w:val="nil"/>
            </w:tcBorders>
            <w:shd w:val="clear" w:color="auto" w:fill="FFFFFF"/>
            <w:vAlign w:val="bottom"/>
          </w:tcPr>
          <w:p w14:paraId="3EEF8D52"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Mean</w:t>
            </w:r>
          </w:p>
        </w:tc>
        <w:tc>
          <w:tcPr>
            <w:tcW w:w="602" w:type="pct"/>
            <w:tcBorders>
              <w:left w:val="nil"/>
            </w:tcBorders>
            <w:shd w:val="clear" w:color="auto" w:fill="FFFFFF"/>
            <w:vAlign w:val="bottom"/>
          </w:tcPr>
          <w:p w14:paraId="070D67F2"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Deviation</w:t>
            </w:r>
          </w:p>
        </w:tc>
        <w:tc>
          <w:tcPr>
            <w:tcW w:w="558" w:type="pct"/>
            <w:tcBorders>
              <w:left w:val="nil"/>
            </w:tcBorders>
            <w:shd w:val="clear" w:color="auto" w:fill="FFFFFF"/>
            <w:vAlign w:val="bottom"/>
          </w:tcPr>
          <w:p w14:paraId="28596AA2"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Variance</w:t>
            </w:r>
          </w:p>
        </w:tc>
        <w:tc>
          <w:tcPr>
            <w:tcW w:w="884" w:type="pct"/>
            <w:gridSpan w:val="2"/>
            <w:tcBorders>
              <w:left w:val="nil"/>
            </w:tcBorders>
            <w:shd w:val="clear" w:color="auto" w:fill="FFFFFF"/>
            <w:vAlign w:val="bottom"/>
          </w:tcPr>
          <w:p w14:paraId="095C99C7"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Skewness</w:t>
            </w:r>
          </w:p>
        </w:tc>
        <w:tc>
          <w:tcPr>
            <w:tcW w:w="883" w:type="pct"/>
            <w:gridSpan w:val="2"/>
            <w:tcBorders>
              <w:left w:val="nil"/>
              <w:right w:val="nil"/>
            </w:tcBorders>
            <w:shd w:val="clear" w:color="auto" w:fill="FFFFFF"/>
            <w:vAlign w:val="bottom"/>
          </w:tcPr>
          <w:p w14:paraId="4084215D"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Kurtosis</w:t>
            </w:r>
          </w:p>
        </w:tc>
      </w:tr>
      <w:tr w:rsidR="004D387E" w:rsidRPr="00DC500E" w14:paraId="1E95ACFE" w14:textId="77777777" w:rsidTr="00F01882">
        <w:trPr>
          <w:cantSplit/>
        </w:trPr>
        <w:tc>
          <w:tcPr>
            <w:tcW w:w="689" w:type="pct"/>
            <w:tcBorders>
              <w:left w:val="nil"/>
              <w:bottom w:val="nil"/>
              <w:right w:val="nil"/>
            </w:tcBorders>
            <w:shd w:val="clear" w:color="auto" w:fill="FFFFFF"/>
            <w:vAlign w:val="bottom"/>
          </w:tcPr>
          <w:p w14:paraId="3F8068EE" w14:textId="77777777" w:rsidR="004D387E" w:rsidRPr="00DC500E" w:rsidRDefault="004D387E" w:rsidP="004D387E">
            <w:pPr>
              <w:autoSpaceDE w:val="0"/>
              <w:autoSpaceDN w:val="0"/>
              <w:adjustRightInd w:val="0"/>
              <w:jc w:val="left"/>
              <w:rPr>
                <w:rFonts w:cs="Times New Roman"/>
                <w:color w:val="000000"/>
                <w:kern w:val="0"/>
                <w:szCs w:val="24"/>
                <w:lang w:bidi="hi-IN"/>
              </w:rPr>
            </w:pPr>
          </w:p>
        </w:tc>
        <w:tc>
          <w:tcPr>
            <w:tcW w:w="501" w:type="pct"/>
            <w:tcBorders>
              <w:left w:val="nil"/>
            </w:tcBorders>
            <w:shd w:val="clear" w:color="auto" w:fill="FFFFFF"/>
            <w:vAlign w:val="bottom"/>
          </w:tcPr>
          <w:p w14:paraId="3C463B4B"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501" w:type="pct"/>
            <w:tcBorders>
              <w:left w:val="nil"/>
              <w:right w:val="nil"/>
            </w:tcBorders>
            <w:shd w:val="clear" w:color="auto" w:fill="FFFFFF"/>
            <w:vAlign w:val="bottom"/>
          </w:tcPr>
          <w:p w14:paraId="6D5D7500"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383" w:type="pct"/>
            <w:tcBorders>
              <w:left w:val="nil"/>
            </w:tcBorders>
            <w:shd w:val="clear" w:color="auto" w:fill="FFFFFF"/>
            <w:vAlign w:val="bottom"/>
          </w:tcPr>
          <w:p w14:paraId="355E6927"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c>
          <w:tcPr>
            <w:tcW w:w="602" w:type="pct"/>
            <w:tcBorders>
              <w:left w:val="nil"/>
            </w:tcBorders>
            <w:shd w:val="clear" w:color="auto" w:fill="FFFFFF"/>
            <w:vAlign w:val="bottom"/>
          </w:tcPr>
          <w:p w14:paraId="01F4C33B"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558" w:type="pct"/>
            <w:tcBorders>
              <w:left w:val="nil"/>
            </w:tcBorders>
            <w:shd w:val="clear" w:color="auto" w:fill="FFFFFF"/>
            <w:vAlign w:val="bottom"/>
          </w:tcPr>
          <w:p w14:paraId="25F25B8B"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501" w:type="pct"/>
            <w:tcBorders>
              <w:left w:val="nil"/>
              <w:right w:val="nil"/>
            </w:tcBorders>
            <w:shd w:val="clear" w:color="auto" w:fill="FFFFFF"/>
            <w:vAlign w:val="bottom"/>
          </w:tcPr>
          <w:p w14:paraId="5DAEA44F"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383" w:type="pct"/>
            <w:tcBorders>
              <w:left w:val="nil"/>
            </w:tcBorders>
            <w:shd w:val="clear" w:color="auto" w:fill="FFFFFF"/>
            <w:vAlign w:val="bottom"/>
          </w:tcPr>
          <w:p w14:paraId="0FE2601D"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c>
          <w:tcPr>
            <w:tcW w:w="501" w:type="pct"/>
            <w:tcBorders>
              <w:left w:val="nil"/>
              <w:right w:val="nil"/>
            </w:tcBorders>
            <w:shd w:val="clear" w:color="auto" w:fill="FFFFFF"/>
            <w:vAlign w:val="bottom"/>
          </w:tcPr>
          <w:p w14:paraId="7A8E0436"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382" w:type="pct"/>
            <w:tcBorders>
              <w:left w:val="nil"/>
              <w:right w:val="nil"/>
            </w:tcBorders>
            <w:shd w:val="clear" w:color="auto" w:fill="FFFFFF"/>
            <w:vAlign w:val="bottom"/>
          </w:tcPr>
          <w:p w14:paraId="354476FE"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r>
      <w:tr w:rsidR="004D387E" w:rsidRPr="00DC500E" w14:paraId="25B35F70" w14:textId="77777777" w:rsidTr="00F01882">
        <w:trPr>
          <w:cantSplit/>
        </w:trPr>
        <w:tc>
          <w:tcPr>
            <w:tcW w:w="689" w:type="pct"/>
            <w:tcBorders>
              <w:left w:val="nil"/>
              <w:bottom w:val="nil"/>
              <w:right w:val="nil"/>
            </w:tcBorders>
            <w:shd w:val="clear" w:color="auto" w:fill="FFFFFF"/>
          </w:tcPr>
          <w:p w14:paraId="6F1A4105" w14:textId="77777777" w:rsidR="004D387E" w:rsidRPr="00DC500E" w:rsidRDefault="004D387E" w:rsidP="004D387E">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GWS1</w:t>
            </w:r>
            <w:proofErr w:type="spellEnd"/>
          </w:p>
        </w:tc>
        <w:tc>
          <w:tcPr>
            <w:tcW w:w="501" w:type="pct"/>
            <w:tcBorders>
              <w:left w:val="nil"/>
              <w:bottom w:val="nil"/>
            </w:tcBorders>
            <w:shd w:val="clear" w:color="auto" w:fill="FFFFFF"/>
          </w:tcPr>
          <w:p w14:paraId="5D3D5839"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left w:val="nil"/>
              <w:bottom w:val="nil"/>
              <w:right w:val="nil"/>
            </w:tcBorders>
            <w:shd w:val="clear" w:color="auto" w:fill="FFFFFF"/>
          </w:tcPr>
          <w:p w14:paraId="156E62D8"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4.00</w:t>
            </w:r>
          </w:p>
        </w:tc>
        <w:tc>
          <w:tcPr>
            <w:tcW w:w="383" w:type="pct"/>
            <w:tcBorders>
              <w:left w:val="nil"/>
              <w:bottom w:val="nil"/>
            </w:tcBorders>
            <w:shd w:val="clear" w:color="auto" w:fill="FFFFFF"/>
          </w:tcPr>
          <w:p w14:paraId="46D2ADAB"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.070</w:t>
            </w:r>
          </w:p>
        </w:tc>
        <w:tc>
          <w:tcPr>
            <w:tcW w:w="602" w:type="pct"/>
            <w:tcBorders>
              <w:left w:val="nil"/>
              <w:bottom w:val="nil"/>
            </w:tcBorders>
            <w:shd w:val="clear" w:color="auto" w:fill="FFFFFF"/>
          </w:tcPr>
          <w:p w14:paraId="1B5D519D"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.877</w:t>
            </w:r>
          </w:p>
        </w:tc>
        <w:tc>
          <w:tcPr>
            <w:tcW w:w="558" w:type="pct"/>
            <w:tcBorders>
              <w:left w:val="nil"/>
              <w:bottom w:val="nil"/>
            </w:tcBorders>
            <w:shd w:val="clear" w:color="auto" w:fill="FFFFFF"/>
          </w:tcPr>
          <w:p w14:paraId="6610BB5D"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.769</w:t>
            </w:r>
          </w:p>
        </w:tc>
        <w:tc>
          <w:tcPr>
            <w:tcW w:w="501" w:type="pct"/>
            <w:tcBorders>
              <w:left w:val="nil"/>
              <w:bottom w:val="nil"/>
              <w:right w:val="nil"/>
            </w:tcBorders>
            <w:shd w:val="clear" w:color="auto" w:fill="FFFFFF"/>
          </w:tcPr>
          <w:p w14:paraId="2AF0DBFE"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-1.675</w:t>
            </w:r>
          </w:p>
        </w:tc>
        <w:tc>
          <w:tcPr>
            <w:tcW w:w="383" w:type="pct"/>
            <w:tcBorders>
              <w:left w:val="nil"/>
              <w:bottom w:val="nil"/>
            </w:tcBorders>
            <w:shd w:val="clear" w:color="auto" w:fill="FFFFFF"/>
          </w:tcPr>
          <w:p w14:paraId="753466C1"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left w:val="nil"/>
              <w:bottom w:val="nil"/>
              <w:right w:val="nil"/>
            </w:tcBorders>
            <w:shd w:val="clear" w:color="auto" w:fill="FFFFFF"/>
          </w:tcPr>
          <w:p w14:paraId="7656DEE4"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3.561</w:t>
            </w:r>
          </w:p>
        </w:tc>
        <w:tc>
          <w:tcPr>
            <w:tcW w:w="382" w:type="pct"/>
            <w:tcBorders>
              <w:left w:val="nil"/>
              <w:bottom w:val="nil"/>
              <w:right w:val="nil"/>
            </w:tcBorders>
            <w:shd w:val="clear" w:color="auto" w:fill="FFFFFF"/>
          </w:tcPr>
          <w:p w14:paraId="7DB1B681"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4D387E" w:rsidRPr="00DC500E" w14:paraId="5FCBB705" w14:textId="77777777" w:rsidTr="00F01882">
        <w:trPr>
          <w:cantSplit/>
        </w:trPr>
        <w:tc>
          <w:tcPr>
            <w:tcW w:w="689" w:type="pct"/>
            <w:tcBorders>
              <w:top w:val="nil"/>
              <w:left w:val="nil"/>
              <w:bottom w:val="nil"/>
              <w:right w:val="nil"/>
            </w:tcBorders>
            <w:shd w:val="clear" w:color="auto" w:fill="FFFFFF"/>
          </w:tcPr>
          <w:p w14:paraId="6D6106CE" w14:textId="77777777" w:rsidR="004D387E" w:rsidRPr="00DC500E" w:rsidRDefault="004D387E" w:rsidP="004D387E">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GWS2</w:t>
            </w:r>
            <w:proofErr w:type="spellEnd"/>
          </w:p>
        </w:tc>
        <w:tc>
          <w:tcPr>
            <w:tcW w:w="501" w:type="pct"/>
            <w:tcBorders>
              <w:top w:val="nil"/>
              <w:left w:val="nil"/>
              <w:bottom w:val="nil"/>
            </w:tcBorders>
            <w:shd w:val="clear" w:color="auto" w:fill="FFFFFF"/>
          </w:tcPr>
          <w:p w14:paraId="3E4EF2BD"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top w:val="nil"/>
              <w:left w:val="nil"/>
              <w:bottom w:val="nil"/>
              <w:right w:val="nil"/>
            </w:tcBorders>
            <w:shd w:val="clear" w:color="auto" w:fill="FFFFFF"/>
          </w:tcPr>
          <w:p w14:paraId="75C317B2"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4.05</w:t>
            </w:r>
          </w:p>
        </w:tc>
        <w:tc>
          <w:tcPr>
            <w:tcW w:w="383" w:type="pct"/>
            <w:tcBorders>
              <w:top w:val="nil"/>
              <w:left w:val="nil"/>
              <w:bottom w:val="nil"/>
            </w:tcBorders>
            <w:shd w:val="clear" w:color="auto" w:fill="FFFFFF"/>
          </w:tcPr>
          <w:p w14:paraId="5870FC1A"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.065</w:t>
            </w:r>
          </w:p>
        </w:tc>
        <w:tc>
          <w:tcPr>
            <w:tcW w:w="602" w:type="pct"/>
            <w:tcBorders>
              <w:top w:val="nil"/>
              <w:left w:val="nil"/>
              <w:bottom w:val="nil"/>
            </w:tcBorders>
            <w:shd w:val="clear" w:color="auto" w:fill="FFFFFF"/>
          </w:tcPr>
          <w:p w14:paraId="018455C7"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.815</w:t>
            </w:r>
          </w:p>
        </w:tc>
        <w:tc>
          <w:tcPr>
            <w:tcW w:w="558" w:type="pct"/>
            <w:tcBorders>
              <w:top w:val="nil"/>
              <w:left w:val="nil"/>
              <w:bottom w:val="nil"/>
            </w:tcBorders>
            <w:shd w:val="clear" w:color="auto" w:fill="FFFFFF"/>
          </w:tcPr>
          <w:p w14:paraId="4CDB6F16"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.664</w:t>
            </w:r>
          </w:p>
        </w:tc>
        <w:tc>
          <w:tcPr>
            <w:tcW w:w="501" w:type="pct"/>
            <w:tcBorders>
              <w:top w:val="nil"/>
              <w:left w:val="nil"/>
              <w:bottom w:val="nil"/>
              <w:right w:val="nil"/>
            </w:tcBorders>
            <w:shd w:val="clear" w:color="auto" w:fill="FFFFFF"/>
          </w:tcPr>
          <w:p w14:paraId="194176E3"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-1.534</w:t>
            </w:r>
          </w:p>
        </w:tc>
        <w:tc>
          <w:tcPr>
            <w:tcW w:w="383" w:type="pct"/>
            <w:tcBorders>
              <w:top w:val="nil"/>
              <w:left w:val="nil"/>
              <w:bottom w:val="nil"/>
            </w:tcBorders>
            <w:shd w:val="clear" w:color="auto" w:fill="FFFFFF"/>
          </w:tcPr>
          <w:p w14:paraId="7F7AA3E0"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top w:val="nil"/>
              <w:left w:val="nil"/>
              <w:bottom w:val="nil"/>
              <w:right w:val="nil"/>
            </w:tcBorders>
            <w:shd w:val="clear" w:color="auto" w:fill="FFFFFF"/>
          </w:tcPr>
          <w:p w14:paraId="1EEDB82C"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3.595</w:t>
            </w:r>
          </w:p>
        </w:tc>
        <w:tc>
          <w:tcPr>
            <w:tcW w:w="382" w:type="pct"/>
            <w:tcBorders>
              <w:top w:val="nil"/>
              <w:left w:val="nil"/>
              <w:bottom w:val="nil"/>
              <w:right w:val="nil"/>
            </w:tcBorders>
            <w:shd w:val="clear" w:color="auto" w:fill="FFFFFF"/>
          </w:tcPr>
          <w:p w14:paraId="20BF23C3"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4D387E" w:rsidRPr="00DC500E" w14:paraId="76C5AB7F" w14:textId="77777777" w:rsidTr="00F01882">
        <w:trPr>
          <w:cantSplit/>
        </w:trPr>
        <w:tc>
          <w:tcPr>
            <w:tcW w:w="689" w:type="pct"/>
            <w:tcBorders>
              <w:top w:val="nil"/>
              <w:left w:val="nil"/>
              <w:bottom w:val="nil"/>
              <w:right w:val="nil"/>
            </w:tcBorders>
            <w:shd w:val="clear" w:color="auto" w:fill="FFFFFF"/>
          </w:tcPr>
          <w:p w14:paraId="25392A16" w14:textId="77777777" w:rsidR="004D387E" w:rsidRPr="00DC500E" w:rsidRDefault="004D387E" w:rsidP="004D387E">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GWS3</w:t>
            </w:r>
            <w:proofErr w:type="spellEnd"/>
          </w:p>
        </w:tc>
        <w:tc>
          <w:tcPr>
            <w:tcW w:w="501" w:type="pct"/>
            <w:tcBorders>
              <w:top w:val="nil"/>
              <w:left w:val="nil"/>
              <w:bottom w:val="nil"/>
            </w:tcBorders>
            <w:shd w:val="clear" w:color="auto" w:fill="FFFFFF"/>
          </w:tcPr>
          <w:p w14:paraId="1D105DB8"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top w:val="nil"/>
              <w:left w:val="nil"/>
              <w:bottom w:val="nil"/>
              <w:right w:val="nil"/>
            </w:tcBorders>
            <w:shd w:val="clear" w:color="auto" w:fill="FFFFFF"/>
          </w:tcPr>
          <w:p w14:paraId="17E81983"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3.99</w:t>
            </w:r>
          </w:p>
        </w:tc>
        <w:tc>
          <w:tcPr>
            <w:tcW w:w="383" w:type="pct"/>
            <w:tcBorders>
              <w:top w:val="nil"/>
              <w:left w:val="nil"/>
              <w:bottom w:val="nil"/>
            </w:tcBorders>
            <w:shd w:val="clear" w:color="auto" w:fill="FFFFFF"/>
          </w:tcPr>
          <w:p w14:paraId="3E277CDF"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.067</w:t>
            </w:r>
          </w:p>
        </w:tc>
        <w:tc>
          <w:tcPr>
            <w:tcW w:w="602" w:type="pct"/>
            <w:tcBorders>
              <w:top w:val="nil"/>
              <w:left w:val="nil"/>
              <w:bottom w:val="nil"/>
            </w:tcBorders>
            <w:shd w:val="clear" w:color="auto" w:fill="FFFFFF"/>
          </w:tcPr>
          <w:p w14:paraId="0BEE5F64"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.844</w:t>
            </w:r>
          </w:p>
        </w:tc>
        <w:tc>
          <w:tcPr>
            <w:tcW w:w="558" w:type="pct"/>
            <w:tcBorders>
              <w:top w:val="nil"/>
              <w:left w:val="nil"/>
              <w:bottom w:val="nil"/>
            </w:tcBorders>
            <w:shd w:val="clear" w:color="auto" w:fill="FFFFFF"/>
          </w:tcPr>
          <w:p w14:paraId="52CE33C7"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.711</w:t>
            </w:r>
          </w:p>
        </w:tc>
        <w:tc>
          <w:tcPr>
            <w:tcW w:w="501" w:type="pct"/>
            <w:tcBorders>
              <w:top w:val="nil"/>
              <w:left w:val="nil"/>
              <w:bottom w:val="nil"/>
              <w:right w:val="nil"/>
            </w:tcBorders>
            <w:shd w:val="clear" w:color="auto" w:fill="FFFFFF"/>
          </w:tcPr>
          <w:p w14:paraId="4BA538D3"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-1.351</w:t>
            </w:r>
          </w:p>
        </w:tc>
        <w:tc>
          <w:tcPr>
            <w:tcW w:w="383" w:type="pct"/>
            <w:tcBorders>
              <w:top w:val="nil"/>
              <w:left w:val="nil"/>
              <w:bottom w:val="nil"/>
            </w:tcBorders>
            <w:shd w:val="clear" w:color="auto" w:fill="FFFFFF"/>
          </w:tcPr>
          <w:p w14:paraId="1C81E732"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top w:val="nil"/>
              <w:left w:val="nil"/>
              <w:bottom w:val="nil"/>
              <w:right w:val="nil"/>
            </w:tcBorders>
            <w:shd w:val="clear" w:color="auto" w:fill="FFFFFF"/>
          </w:tcPr>
          <w:p w14:paraId="3E8F3C43"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2.624</w:t>
            </w:r>
          </w:p>
        </w:tc>
        <w:tc>
          <w:tcPr>
            <w:tcW w:w="382" w:type="pct"/>
            <w:tcBorders>
              <w:top w:val="nil"/>
              <w:left w:val="nil"/>
              <w:bottom w:val="nil"/>
              <w:right w:val="nil"/>
            </w:tcBorders>
            <w:shd w:val="clear" w:color="auto" w:fill="FFFFFF"/>
          </w:tcPr>
          <w:p w14:paraId="18079AAD"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4D387E" w:rsidRPr="00DC500E" w14:paraId="11BC771E" w14:textId="77777777" w:rsidTr="00F01882">
        <w:trPr>
          <w:cantSplit/>
        </w:trPr>
        <w:tc>
          <w:tcPr>
            <w:tcW w:w="689" w:type="pct"/>
            <w:tcBorders>
              <w:top w:val="nil"/>
              <w:left w:val="nil"/>
              <w:bottom w:val="single" w:sz="4" w:space="0" w:color="auto"/>
              <w:right w:val="nil"/>
            </w:tcBorders>
            <w:shd w:val="clear" w:color="auto" w:fill="FFFFFF"/>
          </w:tcPr>
          <w:p w14:paraId="18512060" w14:textId="77777777" w:rsidR="004D387E" w:rsidRPr="00DC500E" w:rsidRDefault="004D387E" w:rsidP="004D387E">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GWS4</w:t>
            </w:r>
            <w:proofErr w:type="spellEnd"/>
          </w:p>
        </w:tc>
        <w:tc>
          <w:tcPr>
            <w:tcW w:w="501" w:type="pct"/>
            <w:tcBorders>
              <w:top w:val="nil"/>
              <w:left w:val="nil"/>
              <w:bottom w:val="single" w:sz="4" w:space="0" w:color="auto"/>
            </w:tcBorders>
            <w:shd w:val="clear" w:color="auto" w:fill="FFFFFF"/>
          </w:tcPr>
          <w:p w14:paraId="7B53B274"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top w:val="nil"/>
              <w:left w:val="nil"/>
              <w:bottom w:val="single" w:sz="4" w:space="0" w:color="auto"/>
              <w:right w:val="nil"/>
            </w:tcBorders>
            <w:shd w:val="clear" w:color="auto" w:fill="FFFFFF"/>
          </w:tcPr>
          <w:p w14:paraId="54F1F317"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3.94</w:t>
            </w:r>
          </w:p>
        </w:tc>
        <w:tc>
          <w:tcPr>
            <w:tcW w:w="383" w:type="pct"/>
            <w:tcBorders>
              <w:top w:val="nil"/>
              <w:left w:val="nil"/>
              <w:bottom w:val="single" w:sz="4" w:space="0" w:color="auto"/>
            </w:tcBorders>
            <w:shd w:val="clear" w:color="auto" w:fill="FFFFFF"/>
          </w:tcPr>
          <w:p w14:paraId="6107A95F"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.076</w:t>
            </w:r>
          </w:p>
        </w:tc>
        <w:tc>
          <w:tcPr>
            <w:tcW w:w="602" w:type="pct"/>
            <w:tcBorders>
              <w:top w:val="nil"/>
              <w:left w:val="nil"/>
              <w:bottom w:val="single" w:sz="4" w:space="0" w:color="auto"/>
            </w:tcBorders>
            <w:shd w:val="clear" w:color="auto" w:fill="FFFFFF"/>
          </w:tcPr>
          <w:p w14:paraId="7DF9908D"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.952</w:t>
            </w:r>
          </w:p>
        </w:tc>
        <w:tc>
          <w:tcPr>
            <w:tcW w:w="558" w:type="pct"/>
            <w:tcBorders>
              <w:top w:val="nil"/>
              <w:left w:val="nil"/>
              <w:bottom w:val="single" w:sz="4" w:space="0" w:color="auto"/>
            </w:tcBorders>
            <w:shd w:val="clear" w:color="auto" w:fill="FFFFFF"/>
          </w:tcPr>
          <w:p w14:paraId="6A2B78C4"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.906</w:t>
            </w:r>
          </w:p>
        </w:tc>
        <w:tc>
          <w:tcPr>
            <w:tcW w:w="501" w:type="pct"/>
            <w:tcBorders>
              <w:top w:val="nil"/>
              <w:left w:val="nil"/>
              <w:bottom w:val="single" w:sz="4" w:space="0" w:color="auto"/>
              <w:right w:val="nil"/>
            </w:tcBorders>
            <w:shd w:val="clear" w:color="auto" w:fill="FFFFFF"/>
          </w:tcPr>
          <w:p w14:paraId="20C4E7AC"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-1.407</w:t>
            </w:r>
          </w:p>
        </w:tc>
        <w:tc>
          <w:tcPr>
            <w:tcW w:w="383" w:type="pct"/>
            <w:tcBorders>
              <w:top w:val="nil"/>
              <w:left w:val="nil"/>
              <w:bottom w:val="single" w:sz="4" w:space="0" w:color="auto"/>
            </w:tcBorders>
            <w:shd w:val="clear" w:color="auto" w:fill="FFFFFF"/>
          </w:tcPr>
          <w:p w14:paraId="3CF87D9D"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top w:val="nil"/>
              <w:left w:val="nil"/>
              <w:bottom w:val="single" w:sz="4" w:space="0" w:color="auto"/>
              <w:right w:val="nil"/>
            </w:tcBorders>
            <w:shd w:val="clear" w:color="auto" w:fill="FFFFFF"/>
          </w:tcPr>
          <w:p w14:paraId="23F7B87E"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1.963</w:t>
            </w:r>
          </w:p>
        </w:tc>
        <w:tc>
          <w:tcPr>
            <w:tcW w:w="382" w:type="pct"/>
            <w:tcBorders>
              <w:top w:val="nil"/>
              <w:left w:val="nil"/>
              <w:bottom w:val="single" w:sz="4" w:space="0" w:color="auto"/>
              <w:right w:val="nil"/>
            </w:tcBorders>
            <w:shd w:val="clear" w:color="auto" w:fill="FFFFFF"/>
          </w:tcPr>
          <w:p w14:paraId="716D860C"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bl>
    <w:p w14:paraId="06327E03" w14:textId="5D4F09C3" w:rsidR="004D387E" w:rsidRPr="00DC500E" w:rsidRDefault="00F01882" w:rsidP="004D387E">
      <w:pPr>
        <w:rPr>
          <w:rFonts w:cs="Times New Roman"/>
          <w:color w:val="auto"/>
          <w:kern w:val="0"/>
          <w:szCs w:val="24"/>
          <w:lang w:bidi="hi-IN"/>
        </w:rPr>
      </w:pPr>
      <w:r w:rsidRPr="00F01882">
        <w:t>The descriptive statistics for Greenwashing Scepticism (</w:t>
      </w:r>
      <w:proofErr w:type="spellStart"/>
      <w:r w:rsidRPr="00F01882">
        <w:t>GWS</w:t>
      </w:r>
      <w:proofErr w:type="spellEnd"/>
      <w:r w:rsidRPr="00F01882">
        <w:t>) shows that there is very little dispersion from the respondents</w:t>
      </w:r>
      <w:r w:rsidR="00A22DB1">
        <w:t>’</w:t>
      </w:r>
      <w:r w:rsidRPr="00F01882">
        <w:t xml:space="preserve"> mean scores showing extreme consumer scepticism in relation </w:t>
      </w:r>
      <w:r w:rsidRPr="00F01882">
        <w:lastRenderedPageBreak/>
        <w:t xml:space="preserve">to fast fashion environmental claims. The highest mean score (M=4.05, SD=0.815) was for the </w:t>
      </w:r>
      <w:proofErr w:type="spellStart"/>
      <w:r w:rsidRPr="00F01882">
        <w:t>GWS2</w:t>
      </w:r>
      <w:proofErr w:type="spellEnd"/>
      <w:r w:rsidRPr="00F01882">
        <w:t xml:space="preserve">, indicating that, respondents are highly </w:t>
      </w:r>
      <w:proofErr w:type="spellStart"/>
      <w:r w:rsidRPr="00F01882">
        <w:t>skeptical</w:t>
      </w:r>
      <w:proofErr w:type="spellEnd"/>
      <w:r w:rsidRPr="00F01882">
        <w:t xml:space="preserve"> when specific </w:t>
      </w:r>
      <w:r w:rsidR="00A22DB1">
        <w:t>‘</w:t>
      </w:r>
      <w:r w:rsidRPr="00F01882">
        <w:t>eco-friendly</w:t>
      </w:r>
      <w:r w:rsidR="00A22DB1">
        <w:t>’</w:t>
      </w:r>
      <w:r w:rsidRPr="00F01882">
        <w:t xml:space="preserve"> offerings come from the brands. However, there is also good consistency with means between 3.94 and 4.00 for the other items. Important, distribution of </w:t>
      </w:r>
      <w:proofErr w:type="spellStart"/>
      <w:r w:rsidRPr="00F01882">
        <w:t>GWS</w:t>
      </w:r>
      <w:proofErr w:type="spellEnd"/>
      <w:r w:rsidRPr="00F01882">
        <w:t xml:space="preserve"> construct shows high degree of non-normality. The skewness values all fall below 0 and are relatively big, with a range between -1.351 and -1.675, suggesting that there was a high proportion of responses in the higher end of the 5-point Likert scale. At the same time, statistics of </w:t>
      </w:r>
      <w:proofErr w:type="spellStart"/>
      <w:r w:rsidRPr="00F01882">
        <w:t>kur</w:t>
      </w:r>
      <w:proofErr w:type="spellEnd"/>
      <w:r w:rsidRPr="00F01882">
        <w:t xml:space="preserve"> for all the variables show a highly leptokurtic distribution with the highest at 3.595 for </w:t>
      </w:r>
      <w:proofErr w:type="spellStart"/>
      <w:r w:rsidRPr="00F01882">
        <w:t>GWS2</w:t>
      </w:r>
      <w:proofErr w:type="spellEnd"/>
      <w:r w:rsidRPr="00F01882">
        <w:t xml:space="preserve">. The negative skew and </w:t>
      </w:r>
      <w:proofErr w:type="spellStart"/>
      <w:r w:rsidRPr="00F01882">
        <w:t>peakedness</w:t>
      </w:r>
      <w:proofErr w:type="spellEnd"/>
      <w:r w:rsidRPr="00F01882">
        <w:t xml:space="preserve"> of this distribution is an empirical confirmation of the prevalence of scepticism about </w:t>
      </w:r>
      <w:r w:rsidR="00A22DB1">
        <w:t>‘</w:t>
      </w:r>
      <w:r w:rsidRPr="00F01882">
        <w:t>greenwashing</w:t>
      </w:r>
      <w:r w:rsidR="00A22DB1">
        <w:t>’</w:t>
      </w:r>
      <w:r w:rsidRPr="00F01882">
        <w:t xml:space="preserve"> among the UK population. An explicit justification for this acute methodologic departure from multivariate normality is the use of Partial Least Squares Structural Equation </w:t>
      </w:r>
      <w:proofErr w:type="spellStart"/>
      <w:r w:rsidRPr="00F01882">
        <w:t>Modeling</w:t>
      </w:r>
      <w:proofErr w:type="spellEnd"/>
      <w:r w:rsidRPr="00F01882">
        <w:t xml:space="preserve"> (PLS-SEM), because covariance-based approaches are basically affected by such a non-parametric condition.</w:t>
      </w:r>
    </w:p>
    <w:p w14:paraId="5A18F0D6" w14:textId="485796B6" w:rsidR="004D387E" w:rsidRPr="00DC500E" w:rsidRDefault="00DC500E" w:rsidP="00DC500E">
      <w:pPr>
        <w:pStyle w:val="Caption"/>
        <w:rPr>
          <w:rFonts w:ascii="-webkit-standard" w:hAnsi="-webkit-standard"/>
          <w:color w:val="000000"/>
          <w:sz w:val="27"/>
          <w:szCs w:val="27"/>
        </w:rPr>
      </w:pPr>
      <w:bookmarkStart w:id="59" w:name="_Toc241053200"/>
      <w:r w:rsidRPr="00DC500E">
        <w:t xml:space="preserve">Table </w:t>
      </w:r>
      <w:r w:rsidRPr="00DC500E">
        <w:fldChar w:fldCharType="begin"/>
      </w:r>
      <w:r w:rsidRPr="00DC500E">
        <w:instrText xml:space="preserve"> SEQ Table \* ARABIC </w:instrText>
      </w:r>
      <w:r w:rsidRPr="00DC500E">
        <w:fldChar w:fldCharType="separate"/>
      </w:r>
      <w:r w:rsidR="00603018">
        <w:rPr>
          <w:noProof/>
        </w:rPr>
        <w:t>2</w:t>
      </w:r>
      <w:r w:rsidRPr="00DC500E">
        <w:fldChar w:fldCharType="end"/>
      </w:r>
      <w:r w:rsidRPr="00DC500E">
        <w:t xml:space="preserve">: </w:t>
      </w:r>
      <w:r w:rsidR="004D387E" w:rsidRPr="00DC500E">
        <w:t>Consumer Trust (CT)</w:t>
      </w:r>
      <w:bookmarkEnd w:id="59"/>
      <w:r w:rsidR="004D387E" w:rsidRPr="00DC500E">
        <w:rPr>
          <w:rStyle w:val="apple-converted-space"/>
          <w:rFonts w:ascii="-webkit-standard" w:hAnsi="-webkit-standard"/>
          <w:color w:val="000000"/>
          <w:sz w:val="27"/>
          <w:szCs w:val="27"/>
        </w:rPr>
        <w:t>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243"/>
        <w:gridCol w:w="905"/>
        <w:gridCol w:w="904"/>
        <w:gridCol w:w="691"/>
        <w:gridCol w:w="1087"/>
        <w:gridCol w:w="1007"/>
        <w:gridCol w:w="904"/>
        <w:gridCol w:w="691"/>
        <w:gridCol w:w="904"/>
        <w:gridCol w:w="690"/>
      </w:tblGrid>
      <w:tr w:rsidR="004D387E" w:rsidRPr="00DC500E" w14:paraId="5CE9EB7D" w14:textId="77777777" w:rsidTr="00255207">
        <w:trPr>
          <w:cantSplit/>
        </w:trPr>
        <w:tc>
          <w:tcPr>
            <w:tcW w:w="5000" w:type="pct"/>
            <w:gridSpan w:val="10"/>
            <w:tcBorders>
              <w:top w:val="nil"/>
              <w:left w:val="nil"/>
              <w:bottom w:val="nil"/>
              <w:right w:val="nil"/>
            </w:tcBorders>
            <w:shd w:val="clear" w:color="auto" w:fill="FFFFFF"/>
            <w:vAlign w:val="center"/>
          </w:tcPr>
          <w:p w14:paraId="09DC20FB" w14:textId="77777777" w:rsidR="004D387E" w:rsidRPr="00DC500E" w:rsidRDefault="004D387E" w:rsidP="004D387E">
            <w:pPr>
              <w:autoSpaceDE w:val="0"/>
              <w:autoSpaceDN w:val="0"/>
              <w:adjustRightInd w:val="0"/>
              <w:ind w:left="60" w:right="60"/>
              <w:jc w:val="left"/>
              <w:rPr>
                <w:rFonts w:cs="Times New Roman"/>
                <w:color w:val="000000"/>
                <w:kern w:val="0"/>
                <w:szCs w:val="24"/>
                <w:lang w:bidi="hi-IN"/>
              </w:rPr>
            </w:pPr>
            <w:r w:rsidRPr="00DC500E">
              <w:rPr>
                <w:rFonts w:cs="Times New Roman"/>
                <w:i/>
                <w:iCs/>
                <w:color w:val="000000"/>
                <w:kern w:val="0"/>
                <w:szCs w:val="24"/>
                <w:lang w:bidi="hi-IN"/>
              </w:rPr>
              <w:t>Descriptive Statistics</w:t>
            </w:r>
          </w:p>
        </w:tc>
      </w:tr>
      <w:tr w:rsidR="004D387E" w:rsidRPr="00DC500E" w14:paraId="50F0C6A9" w14:textId="77777777" w:rsidTr="00F01882">
        <w:trPr>
          <w:cantSplit/>
        </w:trPr>
        <w:tc>
          <w:tcPr>
            <w:tcW w:w="688" w:type="pct"/>
            <w:tcBorders>
              <w:left w:val="nil"/>
              <w:bottom w:val="nil"/>
              <w:right w:val="nil"/>
            </w:tcBorders>
            <w:shd w:val="clear" w:color="auto" w:fill="FFFFFF"/>
            <w:vAlign w:val="bottom"/>
          </w:tcPr>
          <w:p w14:paraId="14FBFDFE" w14:textId="77777777" w:rsidR="004D387E" w:rsidRPr="00DC500E" w:rsidRDefault="004D387E" w:rsidP="004D387E">
            <w:pPr>
              <w:autoSpaceDE w:val="0"/>
              <w:autoSpaceDN w:val="0"/>
              <w:adjustRightInd w:val="0"/>
              <w:jc w:val="left"/>
              <w:rPr>
                <w:rFonts w:cs="Mangal"/>
                <w:color w:val="auto"/>
                <w:kern w:val="0"/>
                <w:szCs w:val="24"/>
                <w:lang w:bidi="hi-IN"/>
              </w:rPr>
            </w:pPr>
          </w:p>
        </w:tc>
        <w:tc>
          <w:tcPr>
            <w:tcW w:w="501" w:type="pct"/>
            <w:tcBorders>
              <w:left w:val="nil"/>
            </w:tcBorders>
            <w:shd w:val="clear" w:color="auto" w:fill="FFFFFF"/>
            <w:vAlign w:val="bottom"/>
          </w:tcPr>
          <w:p w14:paraId="224BBC1D"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N</w:t>
            </w:r>
          </w:p>
        </w:tc>
        <w:tc>
          <w:tcPr>
            <w:tcW w:w="884" w:type="pct"/>
            <w:gridSpan w:val="2"/>
            <w:tcBorders>
              <w:left w:val="nil"/>
            </w:tcBorders>
            <w:shd w:val="clear" w:color="auto" w:fill="FFFFFF"/>
            <w:vAlign w:val="bottom"/>
          </w:tcPr>
          <w:p w14:paraId="4E7C58E9"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Mean</w:t>
            </w:r>
          </w:p>
        </w:tc>
        <w:tc>
          <w:tcPr>
            <w:tcW w:w="602" w:type="pct"/>
            <w:tcBorders>
              <w:left w:val="nil"/>
            </w:tcBorders>
            <w:shd w:val="clear" w:color="auto" w:fill="FFFFFF"/>
            <w:vAlign w:val="bottom"/>
          </w:tcPr>
          <w:p w14:paraId="136BBB36"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Deviation</w:t>
            </w:r>
          </w:p>
        </w:tc>
        <w:tc>
          <w:tcPr>
            <w:tcW w:w="558" w:type="pct"/>
            <w:tcBorders>
              <w:left w:val="nil"/>
            </w:tcBorders>
            <w:shd w:val="clear" w:color="auto" w:fill="FFFFFF"/>
            <w:vAlign w:val="bottom"/>
          </w:tcPr>
          <w:p w14:paraId="26F9D4EB"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Variance</w:t>
            </w:r>
          </w:p>
        </w:tc>
        <w:tc>
          <w:tcPr>
            <w:tcW w:w="884" w:type="pct"/>
            <w:gridSpan w:val="2"/>
            <w:tcBorders>
              <w:left w:val="nil"/>
            </w:tcBorders>
            <w:shd w:val="clear" w:color="auto" w:fill="FFFFFF"/>
            <w:vAlign w:val="bottom"/>
          </w:tcPr>
          <w:p w14:paraId="596A0E17"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Skewness</w:t>
            </w:r>
          </w:p>
        </w:tc>
        <w:tc>
          <w:tcPr>
            <w:tcW w:w="884" w:type="pct"/>
            <w:gridSpan w:val="2"/>
            <w:tcBorders>
              <w:left w:val="nil"/>
              <w:right w:val="nil"/>
            </w:tcBorders>
            <w:shd w:val="clear" w:color="auto" w:fill="FFFFFF"/>
            <w:vAlign w:val="bottom"/>
          </w:tcPr>
          <w:p w14:paraId="54AB7693"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Kurtosis</w:t>
            </w:r>
          </w:p>
        </w:tc>
      </w:tr>
      <w:tr w:rsidR="004D387E" w:rsidRPr="00DC500E" w14:paraId="63B5A6B3" w14:textId="77777777" w:rsidTr="00F01882">
        <w:trPr>
          <w:cantSplit/>
        </w:trPr>
        <w:tc>
          <w:tcPr>
            <w:tcW w:w="688" w:type="pct"/>
            <w:tcBorders>
              <w:left w:val="nil"/>
              <w:bottom w:val="nil"/>
              <w:right w:val="nil"/>
            </w:tcBorders>
            <w:shd w:val="clear" w:color="auto" w:fill="FFFFFF"/>
            <w:vAlign w:val="bottom"/>
          </w:tcPr>
          <w:p w14:paraId="40021264" w14:textId="77777777" w:rsidR="004D387E" w:rsidRPr="00DC500E" w:rsidRDefault="004D387E" w:rsidP="004D387E">
            <w:pPr>
              <w:autoSpaceDE w:val="0"/>
              <w:autoSpaceDN w:val="0"/>
              <w:adjustRightInd w:val="0"/>
              <w:jc w:val="left"/>
              <w:rPr>
                <w:rFonts w:cs="Times New Roman"/>
                <w:color w:val="000000"/>
                <w:kern w:val="0"/>
                <w:szCs w:val="24"/>
                <w:lang w:bidi="hi-IN"/>
              </w:rPr>
            </w:pPr>
          </w:p>
        </w:tc>
        <w:tc>
          <w:tcPr>
            <w:tcW w:w="501" w:type="pct"/>
            <w:tcBorders>
              <w:left w:val="nil"/>
            </w:tcBorders>
            <w:shd w:val="clear" w:color="auto" w:fill="FFFFFF"/>
            <w:vAlign w:val="bottom"/>
          </w:tcPr>
          <w:p w14:paraId="2A886DBB"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501" w:type="pct"/>
            <w:tcBorders>
              <w:left w:val="nil"/>
              <w:right w:val="nil"/>
            </w:tcBorders>
            <w:shd w:val="clear" w:color="auto" w:fill="FFFFFF"/>
            <w:vAlign w:val="bottom"/>
          </w:tcPr>
          <w:p w14:paraId="4EE66BE2"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383" w:type="pct"/>
            <w:tcBorders>
              <w:left w:val="nil"/>
            </w:tcBorders>
            <w:shd w:val="clear" w:color="auto" w:fill="FFFFFF"/>
            <w:vAlign w:val="bottom"/>
          </w:tcPr>
          <w:p w14:paraId="78C5ABD8"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c>
          <w:tcPr>
            <w:tcW w:w="602" w:type="pct"/>
            <w:tcBorders>
              <w:left w:val="nil"/>
            </w:tcBorders>
            <w:shd w:val="clear" w:color="auto" w:fill="FFFFFF"/>
            <w:vAlign w:val="bottom"/>
          </w:tcPr>
          <w:p w14:paraId="525E6924"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558" w:type="pct"/>
            <w:tcBorders>
              <w:left w:val="nil"/>
            </w:tcBorders>
            <w:shd w:val="clear" w:color="auto" w:fill="FFFFFF"/>
            <w:vAlign w:val="bottom"/>
          </w:tcPr>
          <w:p w14:paraId="0AF464AC"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501" w:type="pct"/>
            <w:tcBorders>
              <w:left w:val="nil"/>
              <w:right w:val="nil"/>
            </w:tcBorders>
            <w:shd w:val="clear" w:color="auto" w:fill="FFFFFF"/>
            <w:vAlign w:val="bottom"/>
          </w:tcPr>
          <w:p w14:paraId="5CC6BEC0"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383" w:type="pct"/>
            <w:tcBorders>
              <w:left w:val="nil"/>
            </w:tcBorders>
            <w:shd w:val="clear" w:color="auto" w:fill="FFFFFF"/>
            <w:vAlign w:val="bottom"/>
          </w:tcPr>
          <w:p w14:paraId="4F90A24B"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c>
          <w:tcPr>
            <w:tcW w:w="501" w:type="pct"/>
            <w:tcBorders>
              <w:left w:val="nil"/>
              <w:right w:val="nil"/>
            </w:tcBorders>
            <w:shd w:val="clear" w:color="auto" w:fill="FFFFFF"/>
            <w:vAlign w:val="bottom"/>
          </w:tcPr>
          <w:p w14:paraId="7AAEE937"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383" w:type="pct"/>
            <w:tcBorders>
              <w:left w:val="nil"/>
              <w:right w:val="nil"/>
            </w:tcBorders>
            <w:shd w:val="clear" w:color="auto" w:fill="FFFFFF"/>
            <w:vAlign w:val="bottom"/>
          </w:tcPr>
          <w:p w14:paraId="2335D83F"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r>
      <w:tr w:rsidR="004D387E" w:rsidRPr="00DC500E" w14:paraId="664AB0F1" w14:textId="77777777" w:rsidTr="00F01882">
        <w:trPr>
          <w:cantSplit/>
        </w:trPr>
        <w:tc>
          <w:tcPr>
            <w:tcW w:w="688" w:type="pct"/>
            <w:tcBorders>
              <w:left w:val="nil"/>
              <w:bottom w:val="nil"/>
              <w:right w:val="nil"/>
            </w:tcBorders>
            <w:shd w:val="clear" w:color="auto" w:fill="FFFFFF"/>
          </w:tcPr>
          <w:p w14:paraId="4AC91B9C" w14:textId="77777777" w:rsidR="004D387E" w:rsidRPr="00DC500E" w:rsidRDefault="004D387E" w:rsidP="004D387E">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CT1</w:t>
            </w:r>
            <w:proofErr w:type="spellEnd"/>
          </w:p>
        </w:tc>
        <w:tc>
          <w:tcPr>
            <w:tcW w:w="501" w:type="pct"/>
            <w:tcBorders>
              <w:left w:val="nil"/>
              <w:bottom w:val="nil"/>
            </w:tcBorders>
            <w:shd w:val="clear" w:color="auto" w:fill="FFFFFF"/>
          </w:tcPr>
          <w:p w14:paraId="20350FCF"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left w:val="nil"/>
              <w:bottom w:val="nil"/>
              <w:right w:val="nil"/>
            </w:tcBorders>
            <w:shd w:val="clear" w:color="auto" w:fill="FFFFFF"/>
          </w:tcPr>
          <w:p w14:paraId="2EAC2D66"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3.97</w:t>
            </w:r>
          </w:p>
        </w:tc>
        <w:tc>
          <w:tcPr>
            <w:tcW w:w="383" w:type="pct"/>
            <w:tcBorders>
              <w:left w:val="nil"/>
              <w:bottom w:val="nil"/>
            </w:tcBorders>
            <w:shd w:val="clear" w:color="auto" w:fill="FFFFFF"/>
          </w:tcPr>
          <w:p w14:paraId="1E567A8C"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.077</w:t>
            </w:r>
          </w:p>
        </w:tc>
        <w:tc>
          <w:tcPr>
            <w:tcW w:w="602" w:type="pct"/>
            <w:tcBorders>
              <w:left w:val="nil"/>
              <w:bottom w:val="nil"/>
            </w:tcBorders>
            <w:shd w:val="clear" w:color="auto" w:fill="FFFFFF"/>
          </w:tcPr>
          <w:p w14:paraId="76A81430"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.964</w:t>
            </w:r>
          </w:p>
        </w:tc>
        <w:tc>
          <w:tcPr>
            <w:tcW w:w="558" w:type="pct"/>
            <w:tcBorders>
              <w:left w:val="nil"/>
              <w:bottom w:val="nil"/>
            </w:tcBorders>
            <w:shd w:val="clear" w:color="auto" w:fill="FFFFFF"/>
          </w:tcPr>
          <w:p w14:paraId="291B72A5"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.928</w:t>
            </w:r>
          </w:p>
        </w:tc>
        <w:tc>
          <w:tcPr>
            <w:tcW w:w="501" w:type="pct"/>
            <w:tcBorders>
              <w:left w:val="nil"/>
              <w:bottom w:val="nil"/>
              <w:right w:val="nil"/>
            </w:tcBorders>
            <w:shd w:val="clear" w:color="auto" w:fill="FFFFFF"/>
          </w:tcPr>
          <w:p w14:paraId="1D09EB80"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-1.591</w:t>
            </w:r>
          </w:p>
        </w:tc>
        <w:tc>
          <w:tcPr>
            <w:tcW w:w="383" w:type="pct"/>
            <w:tcBorders>
              <w:left w:val="nil"/>
              <w:bottom w:val="nil"/>
            </w:tcBorders>
            <w:shd w:val="clear" w:color="auto" w:fill="FFFFFF"/>
          </w:tcPr>
          <w:p w14:paraId="209C52E3"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left w:val="nil"/>
              <w:bottom w:val="nil"/>
              <w:right w:val="nil"/>
            </w:tcBorders>
            <w:shd w:val="clear" w:color="auto" w:fill="FFFFFF"/>
          </w:tcPr>
          <w:p w14:paraId="28248996"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2.661</w:t>
            </w:r>
          </w:p>
        </w:tc>
        <w:tc>
          <w:tcPr>
            <w:tcW w:w="383" w:type="pct"/>
            <w:tcBorders>
              <w:left w:val="nil"/>
              <w:bottom w:val="nil"/>
              <w:right w:val="nil"/>
            </w:tcBorders>
            <w:shd w:val="clear" w:color="auto" w:fill="FFFFFF"/>
          </w:tcPr>
          <w:p w14:paraId="1CBEFF09"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4D387E" w:rsidRPr="00DC500E" w14:paraId="3142F5ED" w14:textId="77777777" w:rsidTr="00F01882">
        <w:trPr>
          <w:cantSplit/>
        </w:trPr>
        <w:tc>
          <w:tcPr>
            <w:tcW w:w="688" w:type="pct"/>
            <w:tcBorders>
              <w:top w:val="nil"/>
              <w:left w:val="nil"/>
              <w:bottom w:val="nil"/>
              <w:right w:val="nil"/>
            </w:tcBorders>
            <w:shd w:val="clear" w:color="auto" w:fill="FFFFFF"/>
          </w:tcPr>
          <w:p w14:paraId="5A7301FD" w14:textId="77777777" w:rsidR="004D387E" w:rsidRPr="00DC500E" w:rsidRDefault="004D387E" w:rsidP="004D387E">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CT2</w:t>
            </w:r>
            <w:proofErr w:type="spellEnd"/>
          </w:p>
        </w:tc>
        <w:tc>
          <w:tcPr>
            <w:tcW w:w="501" w:type="pct"/>
            <w:tcBorders>
              <w:top w:val="nil"/>
              <w:left w:val="nil"/>
              <w:bottom w:val="nil"/>
            </w:tcBorders>
            <w:shd w:val="clear" w:color="auto" w:fill="FFFFFF"/>
          </w:tcPr>
          <w:p w14:paraId="09202B18"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top w:val="nil"/>
              <w:left w:val="nil"/>
              <w:bottom w:val="nil"/>
              <w:right w:val="nil"/>
            </w:tcBorders>
            <w:shd w:val="clear" w:color="auto" w:fill="FFFFFF"/>
          </w:tcPr>
          <w:p w14:paraId="3221E593"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3.75</w:t>
            </w:r>
          </w:p>
        </w:tc>
        <w:tc>
          <w:tcPr>
            <w:tcW w:w="383" w:type="pct"/>
            <w:tcBorders>
              <w:top w:val="nil"/>
              <w:left w:val="nil"/>
              <w:bottom w:val="nil"/>
            </w:tcBorders>
            <w:shd w:val="clear" w:color="auto" w:fill="FFFFFF"/>
          </w:tcPr>
          <w:p w14:paraId="59711889"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.064</w:t>
            </w:r>
          </w:p>
        </w:tc>
        <w:tc>
          <w:tcPr>
            <w:tcW w:w="602" w:type="pct"/>
            <w:tcBorders>
              <w:top w:val="nil"/>
              <w:left w:val="nil"/>
              <w:bottom w:val="nil"/>
            </w:tcBorders>
            <w:shd w:val="clear" w:color="auto" w:fill="FFFFFF"/>
          </w:tcPr>
          <w:p w14:paraId="62C71B55"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.808</w:t>
            </w:r>
          </w:p>
        </w:tc>
        <w:tc>
          <w:tcPr>
            <w:tcW w:w="558" w:type="pct"/>
            <w:tcBorders>
              <w:top w:val="nil"/>
              <w:left w:val="nil"/>
              <w:bottom w:val="nil"/>
            </w:tcBorders>
            <w:shd w:val="clear" w:color="auto" w:fill="FFFFFF"/>
          </w:tcPr>
          <w:p w14:paraId="0B70645F"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.653</w:t>
            </w:r>
          </w:p>
        </w:tc>
        <w:tc>
          <w:tcPr>
            <w:tcW w:w="501" w:type="pct"/>
            <w:tcBorders>
              <w:top w:val="nil"/>
              <w:left w:val="nil"/>
              <w:bottom w:val="nil"/>
              <w:right w:val="nil"/>
            </w:tcBorders>
            <w:shd w:val="clear" w:color="auto" w:fill="FFFFFF"/>
          </w:tcPr>
          <w:p w14:paraId="71C757D7"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-2.310</w:t>
            </w:r>
          </w:p>
        </w:tc>
        <w:tc>
          <w:tcPr>
            <w:tcW w:w="383" w:type="pct"/>
            <w:tcBorders>
              <w:top w:val="nil"/>
              <w:left w:val="nil"/>
              <w:bottom w:val="nil"/>
            </w:tcBorders>
            <w:shd w:val="clear" w:color="auto" w:fill="FFFFFF"/>
          </w:tcPr>
          <w:p w14:paraId="0781D050"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top w:val="nil"/>
              <w:left w:val="nil"/>
              <w:bottom w:val="nil"/>
              <w:right w:val="nil"/>
            </w:tcBorders>
            <w:shd w:val="clear" w:color="auto" w:fill="FFFFFF"/>
          </w:tcPr>
          <w:p w14:paraId="1A21549F"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5.208</w:t>
            </w:r>
          </w:p>
        </w:tc>
        <w:tc>
          <w:tcPr>
            <w:tcW w:w="383" w:type="pct"/>
            <w:tcBorders>
              <w:top w:val="nil"/>
              <w:left w:val="nil"/>
              <w:bottom w:val="nil"/>
              <w:right w:val="nil"/>
            </w:tcBorders>
            <w:shd w:val="clear" w:color="auto" w:fill="FFFFFF"/>
          </w:tcPr>
          <w:p w14:paraId="0BB81D26"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4D387E" w:rsidRPr="00DC500E" w14:paraId="5DA9C7C9" w14:textId="77777777" w:rsidTr="00F01882">
        <w:trPr>
          <w:cantSplit/>
        </w:trPr>
        <w:tc>
          <w:tcPr>
            <w:tcW w:w="688" w:type="pct"/>
            <w:tcBorders>
              <w:top w:val="nil"/>
              <w:left w:val="nil"/>
              <w:bottom w:val="nil"/>
              <w:right w:val="nil"/>
            </w:tcBorders>
            <w:shd w:val="clear" w:color="auto" w:fill="FFFFFF"/>
          </w:tcPr>
          <w:p w14:paraId="70E144A2" w14:textId="77777777" w:rsidR="004D387E" w:rsidRPr="00DC500E" w:rsidRDefault="004D387E" w:rsidP="004D387E">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CT3</w:t>
            </w:r>
            <w:proofErr w:type="spellEnd"/>
          </w:p>
        </w:tc>
        <w:tc>
          <w:tcPr>
            <w:tcW w:w="501" w:type="pct"/>
            <w:tcBorders>
              <w:top w:val="nil"/>
              <w:left w:val="nil"/>
              <w:bottom w:val="nil"/>
            </w:tcBorders>
            <w:shd w:val="clear" w:color="auto" w:fill="FFFFFF"/>
          </w:tcPr>
          <w:p w14:paraId="0D12FC42"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top w:val="nil"/>
              <w:left w:val="nil"/>
              <w:bottom w:val="nil"/>
              <w:right w:val="nil"/>
            </w:tcBorders>
            <w:shd w:val="clear" w:color="auto" w:fill="FFFFFF"/>
          </w:tcPr>
          <w:p w14:paraId="2C6417C4"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4.20</w:t>
            </w:r>
          </w:p>
        </w:tc>
        <w:tc>
          <w:tcPr>
            <w:tcW w:w="383" w:type="pct"/>
            <w:tcBorders>
              <w:top w:val="nil"/>
              <w:left w:val="nil"/>
              <w:bottom w:val="nil"/>
            </w:tcBorders>
            <w:shd w:val="clear" w:color="auto" w:fill="FFFFFF"/>
          </w:tcPr>
          <w:p w14:paraId="16F07EFD"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.072</w:t>
            </w:r>
          </w:p>
        </w:tc>
        <w:tc>
          <w:tcPr>
            <w:tcW w:w="602" w:type="pct"/>
            <w:tcBorders>
              <w:top w:val="nil"/>
              <w:left w:val="nil"/>
              <w:bottom w:val="nil"/>
            </w:tcBorders>
            <w:shd w:val="clear" w:color="auto" w:fill="FFFFFF"/>
          </w:tcPr>
          <w:p w14:paraId="23448003"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.902</w:t>
            </w:r>
          </w:p>
        </w:tc>
        <w:tc>
          <w:tcPr>
            <w:tcW w:w="558" w:type="pct"/>
            <w:tcBorders>
              <w:top w:val="nil"/>
              <w:left w:val="nil"/>
              <w:bottom w:val="nil"/>
            </w:tcBorders>
            <w:shd w:val="clear" w:color="auto" w:fill="FFFFFF"/>
          </w:tcPr>
          <w:p w14:paraId="15EFAD3D"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.813</w:t>
            </w:r>
          </w:p>
        </w:tc>
        <w:tc>
          <w:tcPr>
            <w:tcW w:w="501" w:type="pct"/>
            <w:tcBorders>
              <w:top w:val="nil"/>
              <w:left w:val="nil"/>
              <w:bottom w:val="nil"/>
              <w:right w:val="nil"/>
            </w:tcBorders>
            <w:shd w:val="clear" w:color="auto" w:fill="FFFFFF"/>
          </w:tcPr>
          <w:p w14:paraId="26D5AED7"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-1.251</w:t>
            </w:r>
          </w:p>
        </w:tc>
        <w:tc>
          <w:tcPr>
            <w:tcW w:w="383" w:type="pct"/>
            <w:tcBorders>
              <w:top w:val="nil"/>
              <w:left w:val="nil"/>
              <w:bottom w:val="nil"/>
            </w:tcBorders>
            <w:shd w:val="clear" w:color="auto" w:fill="FFFFFF"/>
          </w:tcPr>
          <w:p w14:paraId="6EA131FD"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top w:val="nil"/>
              <w:left w:val="nil"/>
              <w:bottom w:val="nil"/>
              <w:right w:val="nil"/>
            </w:tcBorders>
            <w:shd w:val="clear" w:color="auto" w:fill="FFFFFF"/>
          </w:tcPr>
          <w:p w14:paraId="3907A67B"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1.037</w:t>
            </w:r>
          </w:p>
        </w:tc>
        <w:tc>
          <w:tcPr>
            <w:tcW w:w="383" w:type="pct"/>
            <w:tcBorders>
              <w:top w:val="nil"/>
              <w:left w:val="nil"/>
              <w:bottom w:val="nil"/>
              <w:right w:val="nil"/>
            </w:tcBorders>
            <w:shd w:val="clear" w:color="auto" w:fill="FFFFFF"/>
          </w:tcPr>
          <w:p w14:paraId="758A81FD"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4D387E" w:rsidRPr="00DC500E" w14:paraId="228F124E" w14:textId="77777777" w:rsidTr="00F01882">
        <w:trPr>
          <w:cantSplit/>
        </w:trPr>
        <w:tc>
          <w:tcPr>
            <w:tcW w:w="688" w:type="pct"/>
            <w:tcBorders>
              <w:top w:val="nil"/>
              <w:left w:val="nil"/>
              <w:bottom w:val="single" w:sz="4" w:space="0" w:color="auto"/>
              <w:right w:val="nil"/>
            </w:tcBorders>
            <w:shd w:val="clear" w:color="auto" w:fill="FFFFFF"/>
          </w:tcPr>
          <w:p w14:paraId="5562540B" w14:textId="77777777" w:rsidR="004D387E" w:rsidRPr="00DC500E" w:rsidRDefault="004D387E" w:rsidP="004D387E">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CT4</w:t>
            </w:r>
            <w:proofErr w:type="spellEnd"/>
          </w:p>
        </w:tc>
        <w:tc>
          <w:tcPr>
            <w:tcW w:w="501" w:type="pct"/>
            <w:tcBorders>
              <w:top w:val="nil"/>
              <w:left w:val="nil"/>
              <w:bottom w:val="single" w:sz="4" w:space="0" w:color="auto"/>
            </w:tcBorders>
            <w:shd w:val="clear" w:color="auto" w:fill="FFFFFF"/>
          </w:tcPr>
          <w:p w14:paraId="383F04A9"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top w:val="nil"/>
              <w:left w:val="nil"/>
              <w:bottom w:val="single" w:sz="4" w:space="0" w:color="auto"/>
              <w:right w:val="nil"/>
            </w:tcBorders>
            <w:shd w:val="clear" w:color="auto" w:fill="FFFFFF"/>
          </w:tcPr>
          <w:p w14:paraId="64A298FD"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3.75</w:t>
            </w:r>
          </w:p>
        </w:tc>
        <w:tc>
          <w:tcPr>
            <w:tcW w:w="383" w:type="pct"/>
            <w:tcBorders>
              <w:top w:val="nil"/>
              <w:left w:val="nil"/>
              <w:bottom w:val="single" w:sz="4" w:space="0" w:color="auto"/>
            </w:tcBorders>
            <w:shd w:val="clear" w:color="auto" w:fill="FFFFFF"/>
          </w:tcPr>
          <w:p w14:paraId="4CD41AB2"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.070</w:t>
            </w:r>
          </w:p>
        </w:tc>
        <w:tc>
          <w:tcPr>
            <w:tcW w:w="602" w:type="pct"/>
            <w:tcBorders>
              <w:top w:val="nil"/>
              <w:left w:val="nil"/>
              <w:bottom w:val="single" w:sz="4" w:space="0" w:color="auto"/>
            </w:tcBorders>
            <w:shd w:val="clear" w:color="auto" w:fill="FFFFFF"/>
          </w:tcPr>
          <w:p w14:paraId="0010F104"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.882</w:t>
            </w:r>
          </w:p>
        </w:tc>
        <w:tc>
          <w:tcPr>
            <w:tcW w:w="558" w:type="pct"/>
            <w:tcBorders>
              <w:top w:val="nil"/>
              <w:left w:val="nil"/>
              <w:bottom w:val="single" w:sz="4" w:space="0" w:color="auto"/>
            </w:tcBorders>
            <w:shd w:val="clear" w:color="auto" w:fill="FFFFFF"/>
          </w:tcPr>
          <w:p w14:paraId="24FACB78"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.778</w:t>
            </w:r>
          </w:p>
        </w:tc>
        <w:tc>
          <w:tcPr>
            <w:tcW w:w="501" w:type="pct"/>
            <w:tcBorders>
              <w:top w:val="nil"/>
              <w:left w:val="nil"/>
              <w:bottom w:val="single" w:sz="4" w:space="0" w:color="auto"/>
              <w:right w:val="nil"/>
            </w:tcBorders>
            <w:shd w:val="clear" w:color="auto" w:fill="FFFFFF"/>
          </w:tcPr>
          <w:p w14:paraId="445C8A18"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-2.104</w:t>
            </w:r>
          </w:p>
        </w:tc>
        <w:tc>
          <w:tcPr>
            <w:tcW w:w="383" w:type="pct"/>
            <w:tcBorders>
              <w:top w:val="nil"/>
              <w:left w:val="nil"/>
              <w:bottom w:val="single" w:sz="4" w:space="0" w:color="auto"/>
            </w:tcBorders>
            <w:shd w:val="clear" w:color="auto" w:fill="FFFFFF"/>
          </w:tcPr>
          <w:p w14:paraId="2D2A977B"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top w:val="nil"/>
              <w:left w:val="nil"/>
              <w:bottom w:val="single" w:sz="4" w:space="0" w:color="auto"/>
              <w:right w:val="nil"/>
            </w:tcBorders>
            <w:shd w:val="clear" w:color="auto" w:fill="FFFFFF"/>
          </w:tcPr>
          <w:p w14:paraId="56021E94"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4.176</w:t>
            </w:r>
          </w:p>
        </w:tc>
        <w:tc>
          <w:tcPr>
            <w:tcW w:w="383" w:type="pct"/>
            <w:tcBorders>
              <w:top w:val="nil"/>
              <w:left w:val="nil"/>
              <w:bottom w:val="single" w:sz="4" w:space="0" w:color="auto"/>
              <w:right w:val="nil"/>
            </w:tcBorders>
            <w:shd w:val="clear" w:color="auto" w:fill="FFFFFF"/>
          </w:tcPr>
          <w:p w14:paraId="2A5BE5E4"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bl>
    <w:p w14:paraId="65BDEFD5" w14:textId="3E01A326" w:rsidR="004D387E" w:rsidRPr="00DC500E" w:rsidRDefault="00F01882" w:rsidP="00F01882">
      <w:pPr>
        <w:rPr>
          <w:szCs w:val="24"/>
        </w:rPr>
      </w:pPr>
      <w:r>
        <w:t xml:space="preserve">The mean scores of the Consumer Trust (CT) scale are generally situated in the upper quartiles and are extremely high for item </w:t>
      </w:r>
      <w:proofErr w:type="spellStart"/>
      <w:r>
        <w:t>CT3</w:t>
      </w:r>
      <w:proofErr w:type="spellEnd"/>
      <w:r>
        <w:t xml:space="preserve"> (M=4.20, SD=0.902). Items </w:t>
      </w:r>
      <w:proofErr w:type="spellStart"/>
      <w:r>
        <w:t>CT2</w:t>
      </w:r>
      <w:proofErr w:type="spellEnd"/>
      <w:r>
        <w:t xml:space="preserve"> and </w:t>
      </w:r>
      <w:proofErr w:type="spellStart"/>
      <w:r>
        <w:t>CT4</w:t>
      </w:r>
      <w:proofErr w:type="spellEnd"/>
      <w:r>
        <w:t xml:space="preserve"> had lower </w:t>
      </w:r>
      <w:r>
        <w:lastRenderedPageBreak/>
        <w:t xml:space="preserve">means (M=3.75), but the overall aggregational responses suggest localised retention of specific trust dimensions within the dataset. But it is the high and acute distributional asymmetries of these variables that are critical to address in an analytical sense. Extreme negative skewness (up to -2.310 for </w:t>
      </w:r>
      <w:proofErr w:type="spellStart"/>
      <w:r>
        <w:t>CT2</w:t>
      </w:r>
      <w:proofErr w:type="spellEnd"/>
      <w:r>
        <w:t xml:space="preserve">) and highly inflated positive kurtosis statistics (as high as 5.208) are revealed by the construct. This distribution pattern suggests that the respondents were not normally distributed; instead, they concentrated on the extremes of the anchors </w:t>
      </w:r>
      <w:r w:rsidR="00A22DB1">
        <w:t>‘</w:t>
      </w:r>
      <w:r>
        <w:t>Agree</w:t>
      </w:r>
      <w:r w:rsidR="00A22DB1">
        <w:t>’</w:t>
      </w:r>
      <w:r>
        <w:t xml:space="preserve"> and </w:t>
      </w:r>
      <w:r w:rsidR="00A22DB1">
        <w:t>‘</w:t>
      </w:r>
      <w:r>
        <w:t>Strongly Agree</w:t>
      </w:r>
      <w:r w:rsidR="00A22DB1">
        <w:t>’</w:t>
      </w:r>
      <w:r>
        <w:t>, resulting in a highly peaked distribution. This very skewed distribution is yet another reminder of the absolute need to use robust and non-parametric bootstrapping procedures to obtain unbiased standard errors during structural pathway estimations.</w:t>
      </w:r>
    </w:p>
    <w:p w14:paraId="42A6B2BE" w14:textId="5510BE52" w:rsidR="004D387E" w:rsidRPr="00DC500E" w:rsidRDefault="00DC500E" w:rsidP="00DC500E">
      <w:pPr>
        <w:pStyle w:val="Caption"/>
        <w:rPr>
          <w:rFonts w:ascii="-webkit-standard" w:hAnsi="-webkit-standard"/>
          <w:color w:val="000000"/>
          <w:sz w:val="27"/>
          <w:szCs w:val="27"/>
        </w:rPr>
      </w:pPr>
      <w:bookmarkStart w:id="60" w:name="_Toc241053201"/>
      <w:r w:rsidRPr="00DC500E">
        <w:t xml:space="preserve">Table </w:t>
      </w:r>
      <w:r w:rsidRPr="00DC500E">
        <w:fldChar w:fldCharType="begin"/>
      </w:r>
      <w:r w:rsidRPr="00DC500E">
        <w:instrText xml:space="preserve"> SEQ Table \* ARABIC </w:instrText>
      </w:r>
      <w:r w:rsidRPr="00DC500E">
        <w:fldChar w:fldCharType="separate"/>
      </w:r>
      <w:r w:rsidR="00603018">
        <w:rPr>
          <w:noProof/>
        </w:rPr>
        <w:t>3</w:t>
      </w:r>
      <w:r w:rsidRPr="00DC500E">
        <w:fldChar w:fldCharType="end"/>
      </w:r>
      <w:r w:rsidRPr="00DC500E">
        <w:t xml:space="preserve">: </w:t>
      </w:r>
      <w:r w:rsidR="004D387E" w:rsidRPr="00DC500E">
        <w:rPr>
          <w:color w:val="000000"/>
        </w:rPr>
        <w:t>Purchase Intention (SPI)</w:t>
      </w:r>
      <w:bookmarkEnd w:id="60"/>
      <w:r w:rsidR="004D387E" w:rsidRPr="00DC500E">
        <w:rPr>
          <w:rStyle w:val="apple-converted-space"/>
          <w:rFonts w:ascii="-webkit-standard" w:hAnsi="-webkit-standard"/>
          <w:color w:val="000000"/>
          <w:sz w:val="27"/>
          <w:szCs w:val="27"/>
        </w:rPr>
        <w:t> </w:t>
      </w:r>
    </w:p>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243"/>
        <w:gridCol w:w="905"/>
        <w:gridCol w:w="904"/>
        <w:gridCol w:w="691"/>
        <w:gridCol w:w="1087"/>
        <w:gridCol w:w="1007"/>
        <w:gridCol w:w="904"/>
        <w:gridCol w:w="691"/>
        <w:gridCol w:w="904"/>
        <w:gridCol w:w="690"/>
      </w:tblGrid>
      <w:tr w:rsidR="004D387E" w:rsidRPr="00DC500E" w14:paraId="5029D623" w14:textId="77777777" w:rsidTr="00255207">
        <w:trPr>
          <w:cantSplit/>
        </w:trPr>
        <w:tc>
          <w:tcPr>
            <w:tcW w:w="5000" w:type="pct"/>
            <w:gridSpan w:val="10"/>
            <w:tcBorders>
              <w:top w:val="nil"/>
              <w:left w:val="nil"/>
              <w:bottom w:val="nil"/>
              <w:right w:val="nil"/>
            </w:tcBorders>
            <w:shd w:val="clear" w:color="auto" w:fill="FFFFFF"/>
            <w:vAlign w:val="center"/>
          </w:tcPr>
          <w:p w14:paraId="1024003D" w14:textId="77777777" w:rsidR="004D387E" w:rsidRPr="00DC500E" w:rsidRDefault="004D387E" w:rsidP="004D387E">
            <w:pPr>
              <w:autoSpaceDE w:val="0"/>
              <w:autoSpaceDN w:val="0"/>
              <w:adjustRightInd w:val="0"/>
              <w:ind w:left="60" w:right="60"/>
              <w:jc w:val="left"/>
              <w:rPr>
                <w:rFonts w:cs="Times New Roman"/>
                <w:color w:val="000000"/>
                <w:kern w:val="0"/>
                <w:szCs w:val="24"/>
                <w:lang w:bidi="hi-IN"/>
              </w:rPr>
            </w:pPr>
            <w:r w:rsidRPr="00DC500E">
              <w:rPr>
                <w:rFonts w:cs="Times New Roman"/>
                <w:i/>
                <w:iCs/>
                <w:color w:val="000000"/>
                <w:kern w:val="0"/>
                <w:szCs w:val="24"/>
                <w:lang w:bidi="hi-IN"/>
              </w:rPr>
              <w:t>Descriptive Statistics</w:t>
            </w:r>
          </w:p>
        </w:tc>
      </w:tr>
      <w:tr w:rsidR="004D387E" w:rsidRPr="00DC500E" w14:paraId="2A62A2C7" w14:textId="77777777" w:rsidTr="00F01882">
        <w:trPr>
          <w:cantSplit/>
        </w:trPr>
        <w:tc>
          <w:tcPr>
            <w:tcW w:w="688" w:type="pct"/>
            <w:tcBorders>
              <w:left w:val="nil"/>
              <w:bottom w:val="nil"/>
              <w:right w:val="nil"/>
            </w:tcBorders>
            <w:shd w:val="clear" w:color="auto" w:fill="FFFFFF"/>
            <w:vAlign w:val="bottom"/>
          </w:tcPr>
          <w:p w14:paraId="7008DC78" w14:textId="77777777" w:rsidR="004D387E" w:rsidRPr="00DC500E" w:rsidRDefault="004D387E" w:rsidP="004D387E">
            <w:pPr>
              <w:autoSpaceDE w:val="0"/>
              <w:autoSpaceDN w:val="0"/>
              <w:adjustRightInd w:val="0"/>
              <w:jc w:val="left"/>
              <w:rPr>
                <w:rFonts w:cs="Mangal"/>
                <w:color w:val="auto"/>
                <w:kern w:val="0"/>
                <w:szCs w:val="24"/>
                <w:lang w:bidi="hi-IN"/>
              </w:rPr>
            </w:pPr>
          </w:p>
        </w:tc>
        <w:tc>
          <w:tcPr>
            <w:tcW w:w="501" w:type="pct"/>
            <w:tcBorders>
              <w:left w:val="nil"/>
            </w:tcBorders>
            <w:shd w:val="clear" w:color="auto" w:fill="FFFFFF"/>
            <w:vAlign w:val="bottom"/>
          </w:tcPr>
          <w:p w14:paraId="1EFEED0B"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N</w:t>
            </w:r>
          </w:p>
        </w:tc>
        <w:tc>
          <w:tcPr>
            <w:tcW w:w="884" w:type="pct"/>
            <w:gridSpan w:val="2"/>
            <w:tcBorders>
              <w:left w:val="nil"/>
            </w:tcBorders>
            <w:shd w:val="clear" w:color="auto" w:fill="FFFFFF"/>
            <w:vAlign w:val="bottom"/>
          </w:tcPr>
          <w:p w14:paraId="34D885CE"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Mean</w:t>
            </w:r>
          </w:p>
        </w:tc>
        <w:tc>
          <w:tcPr>
            <w:tcW w:w="602" w:type="pct"/>
            <w:tcBorders>
              <w:left w:val="nil"/>
            </w:tcBorders>
            <w:shd w:val="clear" w:color="auto" w:fill="FFFFFF"/>
            <w:vAlign w:val="bottom"/>
          </w:tcPr>
          <w:p w14:paraId="7191FC43"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Deviation</w:t>
            </w:r>
          </w:p>
        </w:tc>
        <w:tc>
          <w:tcPr>
            <w:tcW w:w="558" w:type="pct"/>
            <w:tcBorders>
              <w:left w:val="nil"/>
            </w:tcBorders>
            <w:shd w:val="clear" w:color="auto" w:fill="FFFFFF"/>
            <w:vAlign w:val="bottom"/>
          </w:tcPr>
          <w:p w14:paraId="08877AAC"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Variance</w:t>
            </w:r>
          </w:p>
        </w:tc>
        <w:tc>
          <w:tcPr>
            <w:tcW w:w="884" w:type="pct"/>
            <w:gridSpan w:val="2"/>
            <w:tcBorders>
              <w:left w:val="nil"/>
            </w:tcBorders>
            <w:shd w:val="clear" w:color="auto" w:fill="FFFFFF"/>
            <w:vAlign w:val="bottom"/>
          </w:tcPr>
          <w:p w14:paraId="5079D45A"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Skewness</w:t>
            </w:r>
          </w:p>
        </w:tc>
        <w:tc>
          <w:tcPr>
            <w:tcW w:w="884" w:type="pct"/>
            <w:gridSpan w:val="2"/>
            <w:tcBorders>
              <w:left w:val="nil"/>
              <w:right w:val="nil"/>
            </w:tcBorders>
            <w:shd w:val="clear" w:color="auto" w:fill="FFFFFF"/>
            <w:vAlign w:val="bottom"/>
          </w:tcPr>
          <w:p w14:paraId="6CD45F8D"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Kurtosis</w:t>
            </w:r>
          </w:p>
        </w:tc>
      </w:tr>
      <w:tr w:rsidR="004D387E" w:rsidRPr="00DC500E" w14:paraId="7D1E00B3" w14:textId="77777777" w:rsidTr="00F01882">
        <w:trPr>
          <w:cantSplit/>
        </w:trPr>
        <w:tc>
          <w:tcPr>
            <w:tcW w:w="688" w:type="pct"/>
            <w:tcBorders>
              <w:left w:val="nil"/>
              <w:bottom w:val="nil"/>
              <w:right w:val="nil"/>
            </w:tcBorders>
            <w:shd w:val="clear" w:color="auto" w:fill="FFFFFF"/>
            <w:vAlign w:val="bottom"/>
          </w:tcPr>
          <w:p w14:paraId="250B7E31" w14:textId="77777777" w:rsidR="004D387E" w:rsidRPr="00DC500E" w:rsidRDefault="004D387E" w:rsidP="004D387E">
            <w:pPr>
              <w:autoSpaceDE w:val="0"/>
              <w:autoSpaceDN w:val="0"/>
              <w:adjustRightInd w:val="0"/>
              <w:jc w:val="left"/>
              <w:rPr>
                <w:rFonts w:cs="Times New Roman"/>
                <w:color w:val="000000"/>
                <w:kern w:val="0"/>
                <w:szCs w:val="24"/>
                <w:lang w:bidi="hi-IN"/>
              </w:rPr>
            </w:pPr>
          </w:p>
        </w:tc>
        <w:tc>
          <w:tcPr>
            <w:tcW w:w="501" w:type="pct"/>
            <w:tcBorders>
              <w:left w:val="nil"/>
            </w:tcBorders>
            <w:shd w:val="clear" w:color="auto" w:fill="FFFFFF"/>
            <w:vAlign w:val="bottom"/>
          </w:tcPr>
          <w:p w14:paraId="44F4E5BB"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501" w:type="pct"/>
            <w:tcBorders>
              <w:left w:val="nil"/>
              <w:right w:val="nil"/>
            </w:tcBorders>
            <w:shd w:val="clear" w:color="auto" w:fill="FFFFFF"/>
            <w:vAlign w:val="bottom"/>
          </w:tcPr>
          <w:p w14:paraId="021E1F2A"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383" w:type="pct"/>
            <w:tcBorders>
              <w:left w:val="nil"/>
            </w:tcBorders>
            <w:shd w:val="clear" w:color="auto" w:fill="FFFFFF"/>
            <w:vAlign w:val="bottom"/>
          </w:tcPr>
          <w:p w14:paraId="589E34C5"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c>
          <w:tcPr>
            <w:tcW w:w="602" w:type="pct"/>
            <w:tcBorders>
              <w:left w:val="nil"/>
            </w:tcBorders>
            <w:shd w:val="clear" w:color="auto" w:fill="FFFFFF"/>
            <w:vAlign w:val="bottom"/>
          </w:tcPr>
          <w:p w14:paraId="485B5158"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558" w:type="pct"/>
            <w:tcBorders>
              <w:left w:val="nil"/>
            </w:tcBorders>
            <w:shd w:val="clear" w:color="auto" w:fill="FFFFFF"/>
            <w:vAlign w:val="bottom"/>
          </w:tcPr>
          <w:p w14:paraId="724C7D66"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501" w:type="pct"/>
            <w:tcBorders>
              <w:left w:val="nil"/>
              <w:right w:val="nil"/>
            </w:tcBorders>
            <w:shd w:val="clear" w:color="auto" w:fill="FFFFFF"/>
            <w:vAlign w:val="bottom"/>
          </w:tcPr>
          <w:p w14:paraId="7B73A97D"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383" w:type="pct"/>
            <w:tcBorders>
              <w:left w:val="nil"/>
            </w:tcBorders>
            <w:shd w:val="clear" w:color="auto" w:fill="FFFFFF"/>
            <w:vAlign w:val="bottom"/>
          </w:tcPr>
          <w:p w14:paraId="1F3A0EEF"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c>
          <w:tcPr>
            <w:tcW w:w="501" w:type="pct"/>
            <w:tcBorders>
              <w:left w:val="nil"/>
              <w:right w:val="nil"/>
            </w:tcBorders>
            <w:shd w:val="clear" w:color="auto" w:fill="FFFFFF"/>
            <w:vAlign w:val="bottom"/>
          </w:tcPr>
          <w:p w14:paraId="115B974E"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383" w:type="pct"/>
            <w:tcBorders>
              <w:left w:val="nil"/>
              <w:right w:val="nil"/>
            </w:tcBorders>
            <w:shd w:val="clear" w:color="auto" w:fill="FFFFFF"/>
            <w:vAlign w:val="bottom"/>
          </w:tcPr>
          <w:p w14:paraId="01C852D2" w14:textId="77777777" w:rsidR="004D387E" w:rsidRPr="00DC500E" w:rsidRDefault="004D387E" w:rsidP="004D387E">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r>
      <w:tr w:rsidR="004D387E" w:rsidRPr="00DC500E" w14:paraId="095172C7" w14:textId="77777777" w:rsidTr="00F01882">
        <w:trPr>
          <w:cantSplit/>
        </w:trPr>
        <w:tc>
          <w:tcPr>
            <w:tcW w:w="688" w:type="pct"/>
            <w:tcBorders>
              <w:left w:val="nil"/>
              <w:bottom w:val="nil"/>
              <w:right w:val="nil"/>
            </w:tcBorders>
            <w:shd w:val="clear" w:color="auto" w:fill="FFFFFF"/>
          </w:tcPr>
          <w:p w14:paraId="030DDF00" w14:textId="77777777" w:rsidR="004D387E" w:rsidRPr="00DC500E" w:rsidRDefault="004D387E" w:rsidP="004D387E">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SPI1</w:t>
            </w:r>
            <w:proofErr w:type="spellEnd"/>
          </w:p>
        </w:tc>
        <w:tc>
          <w:tcPr>
            <w:tcW w:w="501" w:type="pct"/>
            <w:tcBorders>
              <w:left w:val="nil"/>
              <w:bottom w:val="nil"/>
            </w:tcBorders>
            <w:shd w:val="clear" w:color="auto" w:fill="FFFFFF"/>
          </w:tcPr>
          <w:p w14:paraId="4630B2E1"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left w:val="nil"/>
              <w:bottom w:val="nil"/>
              <w:right w:val="nil"/>
            </w:tcBorders>
            <w:shd w:val="clear" w:color="auto" w:fill="FFFFFF"/>
          </w:tcPr>
          <w:p w14:paraId="554B3E33"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4.38</w:t>
            </w:r>
          </w:p>
        </w:tc>
        <w:tc>
          <w:tcPr>
            <w:tcW w:w="383" w:type="pct"/>
            <w:tcBorders>
              <w:left w:val="nil"/>
              <w:bottom w:val="nil"/>
            </w:tcBorders>
            <w:shd w:val="clear" w:color="auto" w:fill="FFFFFF"/>
          </w:tcPr>
          <w:p w14:paraId="429E20EA"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.061</w:t>
            </w:r>
          </w:p>
        </w:tc>
        <w:tc>
          <w:tcPr>
            <w:tcW w:w="602" w:type="pct"/>
            <w:tcBorders>
              <w:left w:val="nil"/>
              <w:bottom w:val="nil"/>
            </w:tcBorders>
            <w:shd w:val="clear" w:color="auto" w:fill="FFFFFF"/>
          </w:tcPr>
          <w:p w14:paraId="47618A8C"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.763</w:t>
            </w:r>
          </w:p>
        </w:tc>
        <w:tc>
          <w:tcPr>
            <w:tcW w:w="558" w:type="pct"/>
            <w:tcBorders>
              <w:left w:val="nil"/>
              <w:bottom w:val="nil"/>
            </w:tcBorders>
            <w:shd w:val="clear" w:color="auto" w:fill="FFFFFF"/>
          </w:tcPr>
          <w:p w14:paraId="040CF906"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.582</w:t>
            </w:r>
          </w:p>
        </w:tc>
        <w:tc>
          <w:tcPr>
            <w:tcW w:w="501" w:type="pct"/>
            <w:tcBorders>
              <w:left w:val="nil"/>
              <w:bottom w:val="nil"/>
              <w:right w:val="nil"/>
            </w:tcBorders>
            <w:shd w:val="clear" w:color="auto" w:fill="FFFFFF"/>
          </w:tcPr>
          <w:p w14:paraId="00BA1EB2"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-1.458</w:t>
            </w:r>
          </w:p>
        </w:tc>
        <w:tc>
          <w:tcPr>
            <w:tcW w:w="383" w:type="pct"/>
            <w:tcBorders>
              <w:left w:val="nil"/>
              <w:bottom w:val="nil"/>
            </w:tcBorders>
            <w:shd w:val="clear" w:color="auto" w:fill="FFFFFF"/>
          </w:tcPr>
          <w:p w14:paraId="7F383906"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left w:val="nil"/>
              <w:bottom w:val="nil"/>
              <w:right w:val="nil"/>
            </w:tcBorders>
            <w:shd w:val="clear" w:color="auto" w:fill="FFFFFF"/>
          </w:tcPr>
          <w:p w14:paraId="2AF09B63"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2.421</w:t>
            </w:r>
          </w:p>
        </w:tc>
        <w:tc>
          <w:tcPr>
            <w:tcW w:w="383" w:type="pct"/>
            <w:tcBorders>
              <w:left w:val="nil"/>
              <w:bottom w:val="nil"/>
              <w:right w:val="nil"/>
            </w:tcBorders>
            <w:shd w:val="clear" w:color="auto" w:fill="FFFFFF"/>
          </w:tcPr>
          <w:p w14:paraId="6B85DBE3"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4D387E" w:rsidRPr="00DC500E" w14:paraId="5BF1F9C9" w14:textId="77777777" w:rsidTr="00F01882">
        <w:trPr>
          <w:cantSplit/>
        </w:trPr>
        <w:tc>
          <w:tcPr>
            <w:tcW w:w="688" w:type="pct"/>
            <w:tcBorders>
              <w:top w:val="nil"/>
              <w:left w:val="nil"/>
              <w:bottom w:val="nil"/>
              <w:right w:val="nil"/>
            </w:tcBorders>
            <w:shd w:val="clear" w:color="auto" w:fill="FFFFFF"/>
          </w:tcPr>
          <w:p w14:paraId="14ACF192" w14:textId="77777777" w:rsidR="004D387E" w:rsidRPr="00DC500E" w:rsidRDefault="004D387E" w:rsidP="004D387E">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SPI2</w:t>
            </w:r>
            <w:proofErr w:type="spellEnd"/>
          </w:p>
        </w:tc>
        <w:tc>
          <w:tcPr>
            <w:tcW w:w="501" w:type="pct"/>
            <w:tcBorders>
              <w:top w:val="nil"/>
              <w:left w:val="nil"/>
              <w:bottom w:val="nil"/>
            </w:tcBorders>
            <w:shd w:val="clear" w:color="auto" w:fill="FFFFFF"/>
          </w:tcPr>
          <w:p w14:paraId="49BC2722"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top w:val="nil"/>
              <w:left w:val="nil"/>
              <w:bottom w:val="nil"/>
              <w:right w:val="nil"/>
            </w:tcBorders>
            <w:shd w:val="clear" w:color="auto" w:fill="FFFFFF"/>
          </w:tcPr>
          <w:p w14:paraId="52362CED"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3.91</w:t>
            </w:r>
          </w:p>
        </w:tc>
        <w:tc>
          <w:tcPr>
            <w:tcW w:w="383" w:type="pct"/>
            <w:tcBorders>
              <w:top w:val="nil"/>
              <w:left w:val="nil"/>
              <w:bottom w:val="nil"/>
            </w:tcBorders>
            <w:shd w:val="clear" w:color="auto" w:fill="FFFFFF"/>
          </w:tcPr>
          <w:p w14:paraId="03665751"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.047</w:t>
            </w:r>
          </w:p>
        </w:tc>
        <w:tc>
          <w:tcPr>
            <w:tcW w:w="602" w:type="pct"/>
            <w:tcBorders>
              <w:top w:val="nil"/>
              <w:left w:val="nil"/>
              <w:bottom w:val="nil"/>
            </w:tcBorders>
            <w:shd w:val="clear" w:color="auto" w:fill="FFFFFF"/>
          </w:tcPr>
          <w:p w14:paraId="08308264"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.592</w:t>
            </w:r>
          </w:p>
        </w:tc>
        <w:tc>
          <w:tcPr>
            <w:tcW w:w="558" w:type="pct"/>
            <w:tcBorders>
              <w:top w:val="nil"/>
              <w:left w:val="nil"/>
              <w:bottom w:val="nil"/>
            </w:tcBorders>
            <w:shd w:val="clear" w:color="auto" w:fill="FFFFFF"/>
          </w:tcPr>
          <w:p w14:paraId="4806E023"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.351</w:t>
            </w:r>
          </w:p>
        </w:tc>
        <w:tc>
          <w:tcPr>
            <w:tcW w:w="501" w:type="pct"/>
            <w:tcBorders>
              <w:top w:val="nil"/>
              <w:left w:val="nil"/>
              <w:bottom w:val="nil"/>
              <w:right w:val="nil"/>
            </w:tcBorders>
            <w:shd w:val="clear" w:color="auto" w:fill="FFFFFF"/>
          </w:tcPr>
          <w:p w14:paraId="4AD18631"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-2.974</w:t>
            </w:r>
          </w:p>
        </w:tc>
        <w:tc>
          <w:tcPr>
            <w:tcW w:w="383" w:type="pct"/>
            <w:tcBorders>
              <w:top w:val="nil"/>
              <w:left w:val="nil"/>
              <w:bottom w:val="nil"/>
            </w:tcBorders>
            <w:shd w:val="clear" w:color="auto" w:fill="FFFFFF"/>
          </w:tcPr>
          <w:p w14:paraId="6315D9B8"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top w:val="nil"/>
              <w:left w:val="nil"/>
              <w:bottom w:val="nil"/>
              <w:right w:val="nil"/>
            </w:tcBorders>
            <w:shd w:val="clear" w:color="auto" w:fill="FFFFFF"/>
          </w:tcPr>
          <w:p w14:paraId="584E5277"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12.268</w:t>
            </w:r>
          </w:p>
        </w:tc>
        <w:tc>
          <w:tcPr>
            <w:tcW w:w="383" w:type="pct"/>
            <w:tcBorders>
              <w:top w:val="nil"/>
              <w:left w:val="nil"/>
              <w:bottom w:val="nil"/>
              <w:right w:val="nil"/>
            </w:tcBorders>
            <w:shd w:val="clear" w:color="auto" w:fill="FFFFFF"/>
          </w:tcPr>
          <w:p w14:paraId="4FBE8B47"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4D387E" w:rsidRPr="00DC500E" w14:paraId="6E973D6D" w14:textId="77777777" w:rsidTr="00F01882">
        <w:trPr>
          <w:cantSplit/>
        </w:trPr>
        <w:tc>
          <w:tcPr>
            <w:tcW w:w="688" w:type="pct"/>
            <w:tcBorders>
              <w:top w:val="nil"/>
              <w:left w:val="nil"/>
              <w:bottom w:val="nil"/>
              <w:right w:val="nil"/>
            </w:tcBorders>
            <w:shd w:val="clear" w:color="auto" w:fill="FFFFFF"/>
          </w:tcPr>
          <w:p w14:paraId="6D08696F" w14:textId="77777777" w:rsidR="004D387E" w:rsidRPr="00DC500E" w:rsidRDefault="004D387E" w:rsidP="004D387E">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SPI3</w:t>
            </w:r>
            <w:proofErr w:type="spellEnd"/>
          </w:p>
        </w:tc>
        <w:tc>
          <w:tcPr>
            <w:tcW w:w="501" w:type="pct"/>
            <w:tcBorders>
              <w:top w:val="nil"/>
              <w:left w:val="nil"/>
              <w:bottom w:val="nil"/>
            </w:tcBorders>
            <w:shd w:val="clear" w:color="auto" w:fill="FFFFFF"/>
          </w:tcPr>
          <w:p w14:paraId="76C1CA39"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top w:val="nil"/>
              <w:left w:val="nil"/>
              <w:bottom w:val="nil"/>
              <w:right w:val="nil"/>
            </w:tcBorders>
            <w:shd w:val="clear" w:color="auto" w:fill="FFFFFF"/>
          </w:tcPr>
          <w:p w14:paraId="0377D323"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4.26</w:t>
            </w:r>
          </w:p>
        </w:tc>
        <w:tc>
          <w:tcPr>
            <w:tcW w:w="383" w:type="pct"/>
            <w:tcBorders>
              <w:top w:val="nil"/>
              <w:left w:val="nil"/>
              <w:bottom w:val="nil"/>
            </w:tcBorders>
            <w:shd w:val="clear" w:color="auto" w:fill="FFFFFF"/>
          </w:tcPr>
          <w:p w14:paraId="26EBA4E2"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.064</w:t>
            </w:r>
          </w:p>
        </w:tc>
        <w:tc>
          <w:tcPr>
            <w:tcW w:w="602" w:type="pct"/>
            <w:tcBorders>
              <w:top w:val="nil"/>
              <w:left w:val="nil"/>
              <w:bottom w:val="nil"/>
            </w:tcBorders>
            <w:shd w:val="clear" w:color="auto" w:fill="FFFFFF"/>
          </w:tcPr>
          <w:p w14:paraId="39212A4C"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.802</w:t>
            </w:r>
          </w:p>
        </w:tc>
        <w:tc>
          <w:tcPr>
            <w:tcW w:w="558" w:type="pct"/>
            <w:tcBorders>
              <w:top w:val="nil"/>
              <w:left w:val="nil"/>
              <w:bottom w:val="nil"/>
            </w:tcBorders>
            <w:shd w:val="clear" w:color="auto" w:fill="FFFFFF"/>
          </w:tcPr>
          <w:p w14:paraId="4860884A"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.643</w:t>
            </w:r>
          </w:p>
        </w:tc>
        <w:tc>
          <w:tcPr>
            <w:tcW w:w="501" w:type="pct"/>
            <w:tcBorders>
              <w:top w:val="nil"/>
              <w:left w:val="nil"/>
              <w:bottom w:val="nil"/>
              <w:right w:val="nil"/>
            </w:tcBorders>
            <w:shd w:val="clear" w:color="auto" w:fill="FFFFFF"/>
          </w:tcPr>
          <w:p w14:paraId="3A596130"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-1.264</w:t>
            </w:r>
          </w:p>
        </w:tc>
        <w:tc>
          <w:tcPr>
            <w:tcW w:w="383" w:type="pct"/>
            <w:tcBorders>
              <w:top w:val="nil"/>
              <w:left w:val="nil"/>
              <w:bottom w:val="nil"/>
            </w:tcBorders>
            <w:shd w:val="clear" w:color="auto" w:fill="FFFFFF"/>
          </w:tcPr>
          <w:p w14:paraId="11F25445"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top w:val="nil"/>
              <w:left w:val="nil"/>
              <w:bottom w:val="nil"/>
              <w:right w:val="nil"/>
            </w:tcBorders>
            <w:shd w:val="clear" w:color="auto" w:fill="FFFFFF"/>
          </w:tcPr>
          <w:p w14:paraId="189788C7"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1.681</w:t>
            </w:r>
          </w:p>
        </w:tc>
        <w:tc>
          <w:tcPr>
            <w:tcW w:w="383" w:type="pct"/>
            <w:tcBorders>
              <w:top w:val="nil"/>
              <w:left w:val="nil"/>
              <w:bottom w:val="nil"/>
              <w:right w:val="nil"/>
            </w:tcBorders>
            <w:shd w:val="clear" w:color="auto" w:fill="FFFFFF"/>
          </w:tcPr>
          <w:p w14:paraId="0866E621"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4D387E" w:rsidRPr="00DC500E" w14:paraId="56A5F439" w14:textId="77777777" w:rsidTr="00F01882">
        <w:trPr>
          <w:cantSplit/>
        </w:trPr>
        <w:tc>
          <w:tcPr>
            <w:tcW w:w="688" w:type="pct"/>
            <w:tcBorders>
              <w:top w:val="nil"/>
              <w:left w:val="nil"/>
              <w:bottom w:val="single" w:sz="4" w:space="0" w:color="auto"/>
              <w:right w:val="nil"/>
            </w:tcBorders>
            <w:shd w:val="clear" w:color="auto" w:fill="FFFFFF"/>
          </w:tcPr>
          <w:p w14:paraId="3B1C7CB4" w14:textId="77777777" w:rsidR="004D387E" w:rsidRPr="00DC500E" w:rsidRDefault="004D387E" w:rsidP="004D387E">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SPI4</w:t>
            </w:r>
            <w:proofErr w:type="spellEnd"/>
          </w:p>
        </w:tc>
        <w:tc>
          <w:tcPr>
            <w:tcW w:w="501" w:type="pct"/>
            <w:tcBorders>
              <w:top w:val="nil"/>
              <w:left w:val="nil"/>
              <w:bottom w:val="single" w:sz="4" w:space="0" w:color="auto"/>
            </w:tcBorders>
            <w:shd w:val="clear" w:color="auto" w:fill="FFFFFF"/>
          </w:tcPr>
          <w:p w14:paraId="4EE8D3D7"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top w:val="nil"/>
              <w:left w:val="nil"/>
              <w:bottom w:val="single" w:sz="4" w:space="0" w:color="auto"/>
              <w:right w:val="nil"/>
            </w:tcBorders>
            <w:shd w:val="clear" w:color="auto" w:fill="FFFFFF"/>
          </w:tcPr>
          <w:p w14:paraId="5513BFC3"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3.83</w:t>
            </w:r>
          </w:p>
        </w:tc>
        <w:tc>
          <w:tcPr>
            <w:tcW w:w="383" w:type="pct"/>
            <w:tcBorders>
              <w:top w:val="nil"/>
              <w:left w:val="nil"/>
              <w:bottom w:val="single" w:sz="4" w:space="0" w:color="auto"/>
            </w:tcBorders>
            <w:shd w:val="clear" w:color="auto" w:fill="FFFFFF"/>
          </w:tcPr>
          <w:p w14:paraId="71B081D1"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.060</w:t>
            </w:r>
          </w:p>
        </w:tc>
        <w:tc>
          <w:tcPr>
            <w:tcW w:w="602" w:type="pct"/>
            <w:tcBorders>
              <w:top w:val="nil"/>
              <w:left w:val="nil"/>
              <w:bottom w:val="single" w:sz="4" w:space="0" w:color="auto"/>
            </w:tcBorders>
            <w:shd w:val="clear" w:color="auto" w:fill="FFFFFF"/>
          </w:tcPr>
          <w:p w14:paraId="1B7110EF"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.753</w:t>
            </w:r>
          </w:p>
        </w:tc>
        <w:tc>
          <w:tcPr>
            <w:tcW w:w="558" w:type="pct"/>
            <w:tcBorders>
              <w:top w:val="nil"/>
              <w:left w:val="nil"/>
              <w:bottom w:val="single" w:sz="4" w:space="0" w:color="auto"/>
            </w:tcBorders>
            <w:shd w:val="clear" w:color="auto" w:fill="FFFFFF"/>
          </w:tcPr>
          <w:p w14:paraId="5BA36AC7"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.566</w:t>
            </w:r>
          </w:p>
        </w:tc>
        <w:tc>
          <w:tcPr>
            <w:tcW w:w="501" w:type="pct"/>
            <w:tcBorders>
              <w:top w:val="nil"/>
              <w:left w:val="nil"/>
              <w:bottom w:val="single" w:sz="4" w:space="0" w:color="auto"/>
              <w:right w:val="nil"/>
            </w:tcBorders>
            <w:shd w:val="clear" w:color="auto" w:fill="FFFFFF"/>
          </w:tcPr>
          <w:p w14:paraId="274438D9"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-2.447</w:t>
            </w:r>
          </w:p>
        </w:tc>
        <w:tc>
          <w:tcPr>
            <w:tcW w:w="383" w:type="pct"/>
            <w:tcBorders>
              <w:top w:val="nil"/>
              <w:left w:val="nil"/>
              <w:bottom w:val="single" w:sz="4" w:space="0" w:color="auto"/>
            </w:tcBorders>
            <w:shd w:val="clear" w:color="auto" w:fill="FFFFFF"/>
          </w:tcPr>
          <w:p w14:paraId="7F45AD87"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top w:val="nil"/>
              <w:left w:val="nil"/>
              <w:bottom w:val="single" w:sz="4" w:space="0" w:color="auto"/>
              <w:right w:val="nil"/>
            </w:tcBorders>
            <w:shd w:val="clear" w:color="auto" w:fill="FFFFFF"/>
          </w:tcPr>
          <w:p w14:paraId="2F1F05EF"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6.716</w:t>
            </w:r>
          </w:p>
        </w:tc>
        <w:tc>
          <w:tcPr>
            <w:tcW w:w="383" w:type="pct"/>
            <w:tcBorders>
              <w:top w:val="nil"/>
              <w:left w:val="nil"/>
              <w:bottom w:val="single" w:sz="4" w:space="0" w:color="auto"/>
              <w:right w:val="nil"/>
            </w:tcBorders>
            <w:shd w:val="clear" w:color="auto" w:fill="FFFFFF"/>
          </w:tcPr>
          <w:p w14:paraId="54337F42" w14:textId="77777777" w:rsidR="004D387E" w:rsidRPr="00DC500E" w:rsidRDefault="004D387E" w:rsidP="004D387E">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bl>
    <w:p w14:paraId="3797021A" w14:textId="3C3E92B3" w:rsidR="004D387E" w:rsidRPr="00DC500E" w:rsidRDefault="00F01882" w:rsidP="004D387E">
      <w:r w:rsidRPr="00F01882">
        <w:t xml:space="preserve">The Sustainable Purchase Intention (SPI) variables indicate the extreme properties of </w:t>
      </w:r>
      <w:r>
        <w:t xml:space="preserve">the </w:t>
      </w:r>
      <w:r w:rsidRPr="00F01882">
        <w:t xml:space="preserve">distribution of the data set and a strong, but focused around the extremes, willingness of consumers to eco-families. The average of the scores is very high, and the top two scores were for </w:t>
      </w:r>
      <w:proofErr w:type="spellStart"/>
      <w:r w:rsidRPr="00F01882">
        <w:t>SPI1</w:t>
      </w:r>
      <w:proofErr w:type="spellEnd"/>
      <w:r w:rsidRPr="00F01882">
        <w:t xml:space="preserve"> (M=4.38, SD=0.763) and </w:t>
      </w:r>
      <w:proofErr w:type="spellStart"/>
      <w:r w:rsidRPr="00F01882">
        <w:t>SPI3</w:t>
      </w:r>
      <w:proofErr w:type="spellEnd"/>
      <w:r w:rsidRPr="00F01882">
        <w:t xml:space="preserve"> (M=4.26, SD=0.802), which demonstrated a strong self-reported intention </w:t>
      </w:r>
      <w:r>
        <w:t>regarding</w:t>
      </w:r>
      <w:r w:rsidRPr="00F01882">
        <w:t xml:space="preserve"> the importance of sustainable apparel. But after careful study of the shape parameters</w:t>
      </w:r>
      <w:r>
        <w:t>,</w:t>
      </w:r>
      <w:r w:rsidRPr="00F01882">
        <w:t xml:space="preserve"> one sees there is considerable force pushing the data into a maximum </w:t>
      </w:r>
      <w:r w:rsidRPr="00F01882">
        <w:lastRenderedPageBreak/>
        <w:t xml:space="preserve">scale anchoring. The distribution is highly spiked; item </w:t>
      </w:r>
      <w:proofErr w:type="spellStart"/>
      <w:r w:rsidRPr="00F01882">
        <w:t>SPI2</w:t>
      </w:r>
      <w:proofErr w:type="spellEnd"/>
      <w:r w:rsidRPr="00F01882">
        <w:t xml:space="preserve"> is extremely negatively skewed with a value of -2.974, and it has a highly abnormal kurtosis value of 12.268, meaning that variance is severely restricted (SD=0.592). This huge phenomenon of </w:t>
      </w:r>
      <w:r w:rsidR="00A22DB1">
        <w:t>“</w:t>
      </w:r>
      <w:r w:rsidRPr="00F01882">
        <w:t>mutualization</w:t>
      </w:r>
      <w:r w:rsidR="00A22DB1">
        <w:t>”</w:t>
      </w:r>
      <w:r w:rsidRPr="00F01882">
        <w:t xml:space="preserve"> of the SPI has an obvious strong social desirability effect: The choice that most respondents settled for was the highest possible ethical purchase intent. This would make treatment using standard parametric assumptions inferentially problematic, solidifying PLS-SEM a</w:t>
      </w:r>
      <w:r>
        <w:t>s</w:t>
      </w:r>
      <w:r w:rsidRPr="00F01882">
        <w:t xml:space="preserve"> the only mathematically valid way of treating these leptokurtic behavioural intentions.</w:t>
      </w:r>
    </w:p>
    <w:p w14:paraId="37387FA7" w14:textId="77777777" w:rsidR="004D387E" w:rsidRPr="00DC500E" w:rsidRDefault="004D387E" w:rsidP="004D387E">
      <w:pPr>
        <w:pStyle w:val="Heading3"/>
      </w:pPr>
      <w:bookmarkStart w:id="61" w:name="_Toc241147201"/>
      <w:r w:rsidRPr="00DC500E">
        <w:t>4.2.3 Measurement Model Assessment</w:t>
      </w:r>
      <w:bookmarkEnd w:id="61"/>
    </w:p>
    <w:p w14:paraId="0D860C34" w14:textId="094D211E" w:rsidR="004D387E" w:rsidRPr="00DC500E" w:rsidRDefault="00F01882" w:rsidP="004D387E">
      <w:pPr>
        <w:rPr>
          <w:lang w:eastAsia="en-GB" w:bidi="hi-IN"/>
        </w:rPr>
      </w:pPr>
      <w:r w:rsidRPr="00F01882">
        <w:rPr>
          <w:lang w:eastAsia="en-GB" w:bidi="hi-IN"/>
        </w:rPr>
        <w:t>The measurement model needs to be carefully validated in a two-step analytical process in order to validate the conceptual model.</w:t>
      </w:r>
      <w:r w:rsidR="00492F89" w:rsidRPr="00DC500E">
        <w:rPr>
          <w:lang w:eastAsia="en-GB" w:bidi="hi-IN"/>
        </w:rPr>
        <w:t xml:space="preserve"> This basic stage is most important to provide information on the accuracy and definitiveness of the psychometric instruments for the measurement of the latent unobservable, leading to the test of the structural hypotheses. Table 4.2 shows the detailed construct reliability and convergent validity for the three key constructs, Consumer Trust (CT), Greenwashing Scepticism (</w:t>
      </w:r>
      <w:proofErr w:type="spellStart"/>
      <w:r w:rsidR="00492F89" w:rsidRPr="00DC500E">
        <w:rPr>
          <w:lang w:eastAsia="en-GB" w:bidi="hi-IN"/>
        </w:rPr>
        <w:t>GWS</w:t>
      </w:r>
      <w:proofErr w:type="spellEnd"/>
      <w:r w:rsidR="00492F89" w:rsidRPr="00DC500E">
        <w:rPr>
          <w:lang w:eastAsia="en-GB" w:bidi="hi-IN"/>
        </w:rPr>
        <w:t>) and Sustainable Purchase Intention (SPI).</w:t>
      </w:r>
    </w:p>
    <w:p w14:paraId="6A8ED4E5" w14:textId="383CC294" w:rsidR="004D387E" w:rsidRPr="00DC500E" w:rsidRDefault="00DC500E" w:rsidP="00DC500E">
      <w:pPr>
        <w:pStyle w:val="Caption"/>
        <w:rPr>
          <w:color w:val="000000"/>
        </w:rPr>
      </w:pPr>
      <w:bookmarkStart w:id="62" w:name="_Toc241053202"/>
      <w:r w:rsidRPr="00DC500E">
        <w:t xml:space="preserve">Table </w:t>
      </w:r>
      <w:r w:rsidRPr="00DC500E">
        <w:fldChar w:fldCharType="begin"/>
      </w:r>
      <w:r w:rsidRPr="00DC500E">
        <w:instrText xml:space="preserve"> SEQ Table \* ARABIC </w:instrText>
      </w:r>
      <w:r w:rsidRPr="00DC500E">
        <w:fldChar w:fldCharType="separate"/>
      </w:r>
      <w:r w:rsidR="00603018">
        <w:rPr>
          <w:noProof/>
        </w:rPr>
        <w:t>4</w:t>
      </w:r>
      <w:r w:rsidRPr="00DC500E">
        <w:fldChar w:fldCharType="end"/>
      </w:r>
      <w:r w:rsidR="004D387E" w:rsidRPr="00DC500E">
        <w:rPr>
          <w:color w:val="000000"/>
        </w:rPr>
        <w:t>: Construct Reliability and Convergent Validity</w:t>
      </w:r>
      <w:bookmarkEnd w:id="62"/>
    </w:p>
    <w:tbl>
      <w:tblPr>
        <w:tblStyle w:val="APA7"/>
        <w:tblW w:w="0" w:type="auto"/>
        <w:tblLook w:val="04A0" w:firstRow="1" w:lastRow="0" w:firstColumn="1" w:lastColumn="0" w:noHBand="0" w:noVBand="1"/>
      </w:tblPr>
      <w:tblGrid>
        <w:gridCol w:w="1908"/>
        <w:gridCol w:w="1237"/>
        <w:gridCol w:w="1499"/>
        <w:gridCol w:w="1458"/>
        <w:gridCol w:w="1457"/>
        <w:gridCol w:w="1467"/>
      </w:tblGrid>
      <w:tr w:rsidR="004D387E" w:rsidRPr="00DC500E" w14:paraId="5F227D61" w14:textId="77777777" w:rsidTr="004D387E">
        <w:trPr>
          <w:cnfStyle w:val="100000000000" w:firstRow="1" w:lastRow="0" w:firstColumn="0" w:lastColumn="0" w:oddVBand="0" w:evenVBand="0" w:oddHBand="0" w:evenHBand="0" w:firstRowFirstColumn="0" w:firstRowLastColumn="0" w:lastRowFirstColumn="0" w:lastRowLastColumn="0"/>
        </w:trPr>
        <w:tc>
          <w:tcPr>
            <w:tcW w:w="0" w:type="auto"/>
            <w:hideMark/>
          </w:tcPr>
          <w:p w14:paraId="048A4344" w14:textId="77777777" w:rsidR="004D387E" w:rsidRPr="00DC500E" w:rsidRDefault="004D387E">
            <w:pPr>
              <w:jc w:val="center"/>
              <w:rPr>
                <w:color w:val="auto"/>
                <w:szCs w:val="24"/>
              </w:rPr>
            </w:pPr>
            <w:r w:rsidRPr="00DC500E">
              <w:rPr>
                <w:szCs w:val="24"/>
              </w:rPr>
              <w:t>Latent Construct</w:t>
            </w:r>
          </w:p>
        </w:tc>
        <w:tc>
          <w:tcPr>
            <w:tcW w:w="0" w:type="auto"/>
            <w:hideMark/>
          </w:tcPr>
          <w:p w14:paraId="474334A9" w14:textId="77777777" w:rsidR="004D387E" w:rsidRPr="00DC500E" w:rsidRDefault="004D387E">
            <w:pPr>
              <w:jc w:val="center"/>
              <w:rPr>
                <w:szCs w:val="24"/>
              </w:rPr>
            </w:pPr>
            <w:r w:rsidRPr="00DC500E">
              <w:rPr>
                <w:szCs w:val="24"/>
              </w:rPr>
              <w:t>Indicator Count</w:t>
            </w:r>
          </w:p>
        </w:tc>
        <w:tc>
          <w:tcPr>
            <w:tcW w:w="0" w:type="auto"/>
            <w:hideMark/>
          </w:tcPr>
          <w:p w14:paraId="784810A2" w14:textId="31C55564" w:rsidR="004D387E" w:rsidRPr="00DC500E" w:rsidRDefault="004D387E">
            <w:pPr>
              <w:jc w:val="center"/>
              <w:rPr>
                <w:szCs w:val="24"/>
              </w:rPr>
            </w:pPr>
            <w:r w:rsidRPr="00DC500E">
              <w:rPr>
                <w:szCs w:val="24"/>
              </w:rPr>
              <w:t>Cronbach</w:t>
            </w:r>
            <w:r w:rsidR="00A22DB1">
              <w:rPr>
                <w:szCs w:val="24"/>
              </w:rPr>
              <w:t>’</w:t>
            </w:r>
            <w:r w:rsidRPr="00DC500E">
              <w:rPr>
                <w:szCs w:val="24"/>
              </w:rPr>
              <w:t>s Alpha (</w:t>
            </w:r>
            <w:r w:rsidRPr="00DC500E">
              <w:rPr>
                <w:rStyle w:val="mord"/>
                <w:szCs w:val="24"/>
              </w:rPr>
              <w:t>α</w:t>
            </w:r>
            <w:r w:rsidRPr="00DC500E">
              <w:rPr>
                <w:szCs w:val="24"/>
              </w:rPr>
              <w:t>)</w:t>
            </w:r>
          </w:p>
        </w:tc>
        <w:tc>
          <w:tcPr>
            <w:tcW w:w="0" w:type="auto"/>
            <w:hideMark/>
          </w:tcPr>
          <w:p w14:paraId="7FB2FD80" w14:textId="77777777" w:rsidR="004D387E" w:rsidRPr="00DC500E" w:rsidRDefault="004D387E">
            <w:pPr>
              <w:jc w:val="center"/>
              <w:rPr>
                <w:szCs w:val="24"/>
              </w:rPr>
            </w:pPr>
            <w:r w:rsidRPr="00DC500E">
              <w:rPr>
                <w:szCs w:val="24"/>
              </w:rPr>
              <w:t>Composite Reliability (</w:t>
            </w:r>
            <w:proofErr w:type="spellStart"/>
            <w:r w:rsidRPr="00DC500E">
              <w:rPr>
                <w:rStyle w:val="mord"/>
                <w:szCs w:val="24"/>
              </w:rPr>
              <w:t>ρa</w:t>
            </w:r>
            <w:proofErr w:type="spellEnd"/>
            <w:r w:rsidRPr="00DC500E">
              <w:rPr>
                <w:rStyle w:val="vlist-s"/>
                <w:szCs w:val="24"/>
              </w:rPr>
              <w:t>​</w:t>
            </w:r>
            <w:r w:rsidRPr="00DC500E">
              <w:rPr>
                <w:szCs w:val="24"/>
              </w:rPr>
              <w:t>)</w:t>
            </w:r>
          </w:p>
        </w:tc>
        <w:tc>
          <w:tcPr>
            <w:tcW w:w="0" w:type="auto"/>
            <w:hideMark/>
          </w:tcPr>
          <w:p w14:paraId="10B41203" w14:textId="77777777" w:rsidR="004D387E" w:rsidRPr="00DC500E" w:rsidRDefault="004D387E">
            <w:pPr>
              <w:jc w:val="center"/>
              <w:rPr>
                <w:szCs w:val="24"/>
              </w:rPr>
            </w:pPr>
            <w:r w:rsidRPr="00DC500E">
              <w:rPr>
                <w:szCs w:val="24"/>
              </w:rPr>
              <w:t>Composite Reliability (</w:t>
            </w:r>
            <w:proofErr w:type="spellStart"/>
            <w:r w:rsidRPr="00DC500E">
              <w:rPr>
                <w:rStyle w:val="mord"/>
                <w:szCs w:val="24"/>
              </w:rPr>
              <w:t>ρc</w:t>
            </w:r>
            <w:proofErr w:type="spellEnd"/>
            <w:r w:rsidRPr="00DC500E">
              <w:rPr>
                <w:rStyle w:val="vlist-s"/>
                <w:szCs w:val="24"/>
              </w:rPr>
              <w:t>​</w:t>
            </w:r>
            <w:r w:rsidRPr="00DC500E">
              <w:rPr>
                <w:szCs w:val="24"/>
              </w:rPr>
              <w:t>)</w:t>
            </w:r>
          </w:p>
        </w:tc>
        <w:tc>
          <w:tcPr>
            <w:tcW w:w="0" w:type="auto"/>
            <w:hideMark/>
          </w:tcPr>
          <w:p w14:paraId="6723AFF7" w14:textId="77777777" w:rsidR="004D387E" w:rsidRPr="00DC500E" w:rsidRDefault="004D387E">
            <w:pPr>
              <w:jc w:val="center"/>
              <w:rPr>
                <w:szCs w:val="24"/>
              </w:rPr>
            </w:pPr>
            <w:r w:rsidRPr="00DC500E">
              <w:rPr>
                <w:szCs w:val="24"/>
              </w:rPr>
              <w:t>Average Variance Extracted (AVE)</w:t>
            </w:r>
          </w:p>
        </w:tc>
      </w:tr>
      <w:tr w:rsidR="004D387E" w:rsidRPr="00DC500E" w14:paraId="088BB355" w14:textId="77777777" w:rsidTr="004D387E">
        <w:tc>
          <w:tcPr>
            <w:tcW w:w="0" w:type="auto"/>
            <w:hideMark/>
          </w:tcPr>
          <w:p w14:paraId="4930EC99" w14:textId="77777777" w:rsidR="004D387E" w:rsidRPr="00DC500E" w:rsidRDefault="004D387E">
            <w:pPr>
              <w:jc w:val="left"/>
              <w:rPr>
                <w:szCs w:val="24"/>
              </w:rPr>
            </w:pPr>
            <w:r w:rsidRPr="00DC500E">
              <w:rPr>
                <w:b/>
                <w:bCs/>
                <w:szCs w:val="24"/>
              </w:rPr>
              <w:t>Consumer Trust (CT)</w:t>
            </w:r>
          </w:p>
        </w:tc>
        <w:tc>
          <w:tcPr>
            <w:tcW w:w="0" w:type="auto"/>
            <w:hideMark/>
          </w:tcPr>
          <w:p w14:paraId="74F174CF" w14:textId="77777777" w:rsidR="004D387E" w:rsidRPr="00DC500E" w:rsidRDefault="004D387E">
            <w:pPr>
              <w:rPr>
                <w:szCs w:val="24"/>
              </w:rPr>
            </w:pPr>
            <w:r w:rsidRPr="00DC500E">
              <w:rPr>
                <w:szCs w:val="24"/>
              </w:rPr>
              <w:t>4</w:t>
            </w:r>
          </w:p>
        </w:tc>
        <w:tc>
          <w:tcPr>
            <w:tcW w:w="0" w:type="auto"/>
            <w:hideMark/>
          </w:tcPr>
          <w:p w14:paraId="6E1B111F" w14:textId="77777777" w:rsidR="004D387E" w:rsidRPr="00DC500E" w:rsidRDefault="004D387E">
            <w:pPr>
              <w:rPr>
                <w:szCs w:val="24"/>
              </w:rPr>
            </w:pPr>
            <w:r w:rsidRPr="00DC500E">
              <w:rPr>
                <w:szCs w:val="24"/>
              </w:rPr>
              <w:t>0.827</w:t>
            </w:r>
          </w:p>
        </w:tc>
        <w:tc>
          <w:tcPr>
            <w:tcW w:w="0" w:type="auto"/>
            <w:hideMark/>
          </w:tcPr>
          <w:p w14:paraId="1F6CD012" w14:textId="77777777" w:rsidR="004D387E" w:rsidRPr="00DC500E" w:rsidRDefault="004D387E">
            <w:pPr>
              <w:rPr>
                <w:szCs w:val="24"/>
              </w:rPr>
            </w:pPr>
            <w:r w:rsidRPr="00DC500E">
              <w:rPr>
                <w:szCs w:val="24"/>
              </w:rPr>
              <w:t>0.822</w:t>
            </w:r>
          </w:p>
        </w:tc>
        <w:tc>
          <w:tcPr>
            <w:tcW w:w="0" w:type="auto"/>
            <w:hideMark/>
          </w:tcPr>
          <w:p w14:paraId="2C76F51E" w14:textId="77777777" w:rsidR="004D387E" w:rsidRPr="00DC500E" w:rsidRDefault="004D387E">
            <w:pPr>
              <w:rPr>
                <w:szCs w:val="24"/>
              </w:rPr>
            </w:pPr>
            <w:r w:rsidRPr="00DC500E">
              <w:rPr>
                <w:szCs w:val="24"/>
              </w:rPr>
              <w:t>0.887</w:t>
            </w:r>
          </w:p>
        </w:tc>
        <w:tc>
          <w:tcPr>
            <w:tcW w:w="0" w:type="auto"/>
            <w:hideMark/>
          </w:tcPr>
          <w:p w14:paraId="6AA64AAD" w14:textId="77777777" w:rsidR="004D387E" w:rsidRPr="00DC500E" w:rsidRDefault="004D387E">
            <w:pPr>
              <w:rPr>
                <w:szCs w:val="24"/>
              </w:rPr>
            </w:pPr>
            <w:r w:rsidRPr="00DC500E">
              <w:rPr>
                <w:szCs w:val="24"/>
              </w:rPr>
              <w:t>0.665</w:t>
            </w:r>
          </w:p>
        </w:tc>
      </w:tr>
      <w:tr w:rsidR="004D387E" w:rsidRPr="00DC500E" w14:paraId="57C6164B" w14:textId="77777777" w:rsidTr="004D387E">
        <w:tc>
          <w:tcPr>
            <w:tcW w:w="0" w:type="auto"/>
            <w:hideMark/>
          </w:tcPr>
          <w:p w14:paraId="726B673E" w14:textId="77777777" w:rsidR="004D387E" w:rsidRPr="00DC500E" w:rsidRDefault="004D387E">
            <w:pPr>
              <w:rPr>
                <w:szCs w:val="24"/>
              </w:rPr>
            </w:pPr>
            <w:r w:rsidRPr="00DC500E">
              <w:rPr>
                <w:b/>
                <w:bCs/>
                <w:szCs w:val="24"/>
              </w:rPr>
              <w:t>Greenwashing Scepticism (</w:t>
            </w:r>
            <w:proofErr w:type="spellStart"/>
            <w:r w:rsidRPr="00DC500E">
              <w:rPr>
                <w:b/>
                <w:bCs/>
                <w:szCs w:val="24"/>
              </w:rPr>
              <w:t>GWS</w:t>
            </w:r>
            <w:proofErr w:type="spellEnd"/>
            <w:r w:rsidRPr="00DC500E">
              <w:rPr>
                <w:b/>
                <w:bCs/>
                <w:szCs w:val="24"/>
              </w:rPr>
              <w:t>)</w:t>
            </w:r>
          </w:p>
        </w:tc>
        <w:tc>
          <w:tcPr>
            <w:tcW w:w="0" w:type="auto"/>
            <w:hideMark/>
          </w:tcPr>
          <w:p w14:paraId="1D64AB8A" w14:textId="77777777" w:rsidR="004D387E" w:rsidRPr="00DC500E" w:rsidRDefault="004D387E">
            <w:pPr>
              <w:rPr>
                <w:szCs w:val="24"/>
              </w:rPr>
            </w:pPr>
            <w:r w:rsidRPr="00DC500E">
              <w:rPr>
                <w:szCs w:val="24"/>
              </w:rPr>
              <w:t>4</w:t>
            </w:r>
          </w:p>
        </w:tc>
        <w:tc>
          <w:tcPr>
            <w:tcW w:w="0" w:type="auto"/>
            <w:hideMark/>
          </w:tcPr>
          <w:p w14:paraId="3A1583E8" w14:textId="77777777" w:rsidR="004D387E" w:rsidRPr="00DC500E" w:rsidRDefault="004D387E">
            <w:pPr>
              <w:rPr>
                <w:szCs w:val="24"/>
              </w:rPr>
            </w:pPr>
            <w:r w:rsidRPr="00DC500E">
              <w:rPr>
                <w:szCs w:val="24"/>
              </w:rPr>
              <w:t>0.879</w:t>
            </w:r>
          </w:p>
        </w:tc>
        <w:tc>
          <w:tcPr>
            <w:tcW w:w="0" w:type="auto"/>
            <w:hideMark/>
          </w:tcPr>
          <w:p w14:paraId="66722CA7" w14:textId="77777777" w:rsidR="004D387E" w:rsidRPr="00DC500E" w:rsidRDefault="004D387E">
            <w:pPr>
              <w:rPr>
                <w:szCs w:val="24"/>
              </w:rPr>
            </w:pPr>
            <w:r w:rsidRPr="00DC500E">
              <w:rPr>
                <w:szCs w:val="24"/>
              </w:rPr>
              <w:t>0.886</w:t>
            </w:r>
          </w:p>
        </w:tc>
        <w:tc>
          <w:tcPr>
            <w:tcW w:w="0" w:type="auto"/>
            <w:hideMark/>
          </w:tcPr>
          <w:p w14:paraId="4527E68C" w14:textId="77777777" w:rsidR="004D387E" w:rsidRPr="00DC500E" w:rsidRDefault="004D387E">
            <w:pPr>
              <w:rPr>
                <w:szCs w:val="24"/>
              </w:rPr>
            </w:pPr>
            <w:r w:rsidRPr="00DC500E">
              <w:rPr>
                <w:szCs w:val="24"/>
              </w:rPr>
              <w:t>0.917</w:t>
            </w:r>
          </w:p>
        </w:tc>
        <w:tc>
          <w:tcPr>
            <w:tcW w:w="0" w:type="auto"/>
            <w:hideMark/>
          </w:tcPr>
          <w:p w14:paraId="26C46792" w14:textId="77777777" w:rsidR="004D387E" w:rsidRPr="00DC500E" w:rsidRDefault="004D387E">
            <w:pPr>
              <w:rPr>
                <w:szCs w:val="24"/>
              </w:rPr>
            </w:pPr>
            <w:r w:rsidRPr="00DC500E">
              <w:rPr>
                <w:szCs w:val="24"/>
              </w:rPr>
              <w:t>0.734</w:t>
            </w:r>
          </w:p>
        </w:tc>
      </w:tr>
      <w:tr w:rsidR="004D387E" w:rsidRPr="00DC500E" w14:paraId="1DEBA1C0" w14:textId="77777777" w:rsidTr="004D387E">
        <w:tc>
          <w:tcPr>
            <w:tcW w:w="0" w:type="auto"/>
            <w:hideMark/>
          </w:tcPr>
          <w:p w14:paraId="6552154F" w14:textId="77777777" w:rsidR="004D387E" w:rsidRPr="00DC500E" w:rsidRDefault="004D387E">
            <w:pPr>
              <w:rPr>
                <w:szCs w:val="24"/>
              </w:rPr>
            </w:pPr>
            <w:r w:rsidRPr="00DC500E">
              <w:rPr>
                <w:b/>
                <w:bCs/>
                <w:szCs w:val="24"/>
              </w:rPr>
              <w:lastRenderedPageBreak/>
              <w:t>Sustainable Purchase Intention (SPI)</w:t>
            </w:r>
          </w:p>
        </w:tc>
        <w:tc>
          <w:tcPr>
            <w:tcW w:w="0" w:type="auto"/>
            <w:hideMark/>
          </w:tcPr>
          <w:p w14:paraId="19085E47" w14:textId="77777777" w:rsidR="004D387E" w:rsidRPr="00DC500E" w:rsidRDefault="004D387E">
            <w:pPr>
              <w:rPr>
                <w:szCs w:val="24"/>
              </w:rPr>
            </w:pPr>
            <w:r w:rsidRPr="00DC500E">
              <w:rPr>
                <w:szCs w:val="24"/>
              </w:rPr>
              <w:t>4</w:t>
            </w:r>
          </w:p>
        </w:tc>
        <w:tc>
          <w:tcPr>
            <w:tcW w:w="0" w:type="auto"/>
            <w:hideMark/>
          </w:tcPr>
          <w:p w14:paraId="711596D1" w14:textId="77777777" w:rsidR="004D387E" w:rsidRPr="00DC500E" w:rsidRDefault="004D387E">
            <w:pPr>
              <w:rPr>
                <w:szCs w:val="24"/>
              </w:rPr>
            </w:pPr>
            <w:r w:rsidRPr="00DC500E">
              <w:rPr>
                <w:szCs w:val="24"/>
              </w:rPr>
              <w:t>0.890</w:t>
            </w:r>
          </w:p>
        </w:tc>
        <w:tc>
          <w:tcPr>
            <w:tcW w:w="0" w:type="auto"/>
            <w:hideMark/>
          </w:tcPr>
          <w:p w14:paraId="6447C5A3" w14:textId="77777777" w:rsidR="004D387E" w:rsidRPr="00DC500E" w:rsidRDefault="004D387E">
            <w:pPr>
              <w:rPr>
                <w:szCs w:val="24"/>
              </w:rPr>
            </w:pPr>
            <w:r w:rsidRPr="00DC500E">
              <w:rPr>
                <w:szCs w:val="24"/>
              </w:rPr>
              <w:t>0.902</w:t>
            </w:r>
          </w:p>
        </w:tc>
        <w:tc>
          <w:tcPr>
            <w:tcW w:w="0" w:type="auto"/>
            <w:hideMark/>
          </w:tcPr>
          <w:p w14:paraId="3075E5D8" w14:textId="77777777" w:rsidR="004D387E" w:rsidRPr="00DC500E" w:rsidRDefault="004D387E">
            <w:pPr>
              <w:rPr>
                <w:szCs w:val="24"/>
              </w:rPr>
            </w:pPr>
            <w:r w:rsidRPr="00DC500E">
              <w:rPr>
                <w:szCs w:val="24"/>
              </w:rPr>
              <w:t>0.924</w:t>
            </w:r>
          </w:p>
        </w:tc>
        <w:tc>
          <w:tcPr>
            <w:tcW w:w="0" w:type="auto"/>
            <w:hideMark/>
          </w:tcPr>
          <w:p w14:paraId="35FF4AF6" w14:textId="77777777" w:rsidR="004D387E" w:rsidRPr="00DC500E" w:rsidRDefault="004D387E">
            <w:pPr>
              <w:rPr>
                <w:szCs w:val="24"/>
              </w:rPr>
            </w:pPr>
            <w:r w:rsidRPr="00DC500E">
              <w:rPr>
                <w:szCs w:val="24"/>
              </w:rPr>
              <w:t>0.753</w:t>
            </w:r>
          </w:p>
        </w:tc>
      </w:tr>
      <w:tr w:rsidR="004D387E" w:rsidRPr="00DC500E" w14:paraId="0DA6F25C" w14:textId="77777777" w:rsidTr="004D387E">
        <w:tc>
          <w:tcPr>
            <w:tcW w:w="0" w:type="auto"/>
            <w:hideMark/>
          </w:tcPr>
          <w:p w14:paraId="73A9092E" w14:textId="77777777" w:rsidR="004D387E" w:rsidRPr="00DC500E" w:rsidRDefault="004D387E">
            <w:pPr>
              <w:rPr>
                <w:szCs w:val="24"/>
              </w:rPr>
            </w:pPr>
            <w:r w:rsidRPr="00DC500E">
              <w:rPr>
                <w:i/>
                <w:iCs/>
                <w:szCs w:val="24"/>
              </w:rPr>
              <w:t>Recommended Threshold</w:t>
            </w:r>
          </w:p>
        </w:tc>
        <w:tc>
          <w:tcPr>
            <w:tcW w:w="0" w:type="auto"/>
            <w:hideMark/>
          </w:tcPr>
          <w:p w14:paraId="36D22006" w14:textId="77777777" w:rsidR="004D387E" w:rsidRPr="00DC500E" w:rsidRDefault="002A413E">
            <w:pPr>
              <w:rPr>
                <w:szCs w:val="24"/>
              </w:rPr>
            </w:pPr>
            <w:r w:rsidRPr="00DC500E">
              <w:rPr>
                <w:szCs w:val="24"/>
              </w:rPr>
              <w:t xml:space="preserve"> </w:t>
            </w:r>
          </w:p>
        </w:tc>
        <w:tc>
          <w:tcPr>
            <w:tcW w:w="0" w:type="auto"/>
            <w:hideMark/>
          </w:tcPr>
          <w:p w14:paraId="362358D4" w14:textId="77777777" w:rsidR="004D387E" w:rsidRPr="00DC500E" w:rsidRDefault="004D387E">
            <w:pPr>
              <w:rPr>
                <w:szCs w:val="24"/>
              </w:rPr>
            </w:pPr>
            <w:r w:rsidRPr="00DC500E">
              <w:rPr>
                <w:i/>
                <w:iCs/>
                <w:szCs w:val="24"/>
              </w:rPr>
              <w:t>\</w:t>
            </w:r>
            <w:proofErr w:type="spellStart"/>
            <w:r w:rsidRPr="00DC500E">
              <w:rPr>
                <w:i/>
                <w:iCs/>
                <w:szCs w:val="24"/>
              </w:rPr>
              <w:t>ge</w:t>
            </w:r>
            <w:proofErr w:type="spellEnd"/>
            <w:r w:rsidRPr="00DC500E">
              <w:rPr>
                <w:i/>
                <w:iCs/>
                <w:szCs w:val="24"/>
              </w:rPr>
              <w:t xml:space="preserve"> 0.70</w:t>
            </w:r>
          </w:p>
        </w:tc>
        <w:tc>
          <w:tcPr>
            <w:tcW w:w="0" w:type="auto"/>
            <w:hideMark/>
          </w:tcPr>
          <w:p w14:paraId="05137DE8" w14:textId="77777777" w:rsidR="004D387E" w:rsidRPr="00DC500E" w:rsidRDefault="004D387E">
            <w:pPr>
              <w:rPr>
                <w:szCs w:val="24"/>
              </w:rPr>
            </w:pPr>
            <w:r w:rsidRPr="00DC500E">
              <w:rPr>
                <w:i/>
                <w:iCs/>
                <w:szCs w:val="24"/>
              </w:rPr>
              <w:t>\</w:t>
            </w:r>
            <w:proofErr w:type="spellStart"/>
            <w:r w:rsidRPr="00DC500E">
              <w:rPr>
                <w:i/>
                <w:iCs/>
                <w:szCs w:val="24"/>
              </w:rPr>
              <w:t>ge</w:t>
            </w:r>
            <w:proofErr w:type="spellEnd"/>
            <w:r w:rsidRPr="00DC500E">
              <w:rPr>
                <w:i/>
                <w:iCs/>
                <w:szCs w:val="24"/>
              </w:rPr>
              <w:t xml:space="preserve"> 0.70</w:t>
            </w:r>
          </w:p>
        </w:tc>
        <w:tc>
          <w:tcPr>
            <w:tcW w:w="0" w:type="auto"/>
            <w:hideMark/>
          </w:tcPr>
          <w:p w14:paraId="57D1EC4B" w14:textId="77777777" w:rsidR="004D387E" w:rsidRPr="00DC500E" w:rsidRDefault="004D387E">
            <w:pPr>
              <w:rPr>
                <w:szCs w:val="24"/>
              </w:rPr>
            </w:pPr>
            <w:r w:rsidRPr="00DC500E">
              <w:rPr>
                <w:i/>
                <w:iCs/>
                <w:szCs w:val="24"/>
              </w:rPr>
              <w:t>\</w:t>
            </w:r>
            <w:proofErr w:type="spellStart"/>
            <w:r w:rsidRPr="00DC500E">
              <w:rPr>
                <w:i/>
                <w:iCs/>
                <w:szCs w:val="24"/>
              </w:rPr>
              <w:t>ge</w:t>
            </w:r>
            <w:proofErr w:type="spellEnd"/>
            <w:r w:rsidRPr="00DC500E">
              <w:rPr>
                <w:i/>
                <w:iCs/>
                <w:szCs w:val="24"/>
              </w:rPr>
              <w:t xml:space="preserve"> 0.70</w:t>
            </w:r>
          </w:p>
        </w:tc>
        <w:tc>
          <w:tcPr>
            <w:tcW w:w="0" w:type="auto"/>
            <w:hideMark/>
          </w:tcPr>
          <w:p w14:paraId="2B62F03C" w14:textId="77777777" w:rsidR="004D387E" w:rsidRPr="00DC500E" w:rsidRDefault="004D387E">
            <w:pPr>
              <w:rPr>
                <w:szCs w:val="24"/>
              </w:rPr>
            </w:pPr>
            <w:r w:rsidRPr="00DC500E">
              <w:rPr>
                <w:i/>
                <w:iCs/>
                <w:szCs w:val="24"/>
              </w:rPr>
              <w:t>\</w:t>
            </w:r>
            <w:proofErr w:type="spellStart"/>
            <w:r w:rsidRPr="00DC500E">
              <w:rPr>
                <w:i/>
                <w:iCs/>
                <w:szCs w:val="24"/>
              </w:rPr>
              <w:t>ge</w:t>
            </w:r>
            <w:proofErr w:type="spellEnd"/>
            <w:r w:rsidRPr="00DC500E">
              <w:rPr>
                <w:i/>
                <w:iCs/>
                <w:szCs w:val="24"/>
              </w:rPr>
              <w:t xml:space="preserve"> 0.50</w:t>
            </w:r>
          </w:p>
        </w:tc>
      </w:tr>
    </w:tbl>
    <w:p w14:paraId="73F098FC" w14:textId="7A642735" w:rsidR="00492F89" w:rsidRPr="00DC500E" w:rsidRDefault="004D387E" w:rsidP="00DC500E">
      <w:pPr>
        <w:pStyle w:val="NormalWeb"/>
        <w:rPr>
          <w:i/>
          <w:iCs/>
          <w:color w:val="000000"/>
          <w:lang w:val="en-GB"/>
        </w:rPr>
      </w:pPr>
      <w:r w:rsidRPr="00DC500E">
        <w:rPr>
          <w:i/>
          <w:iCs/>
          <w:color w:val="000000"/>
          <w:lang w:val="en-GB"/>
        </w:rPr>
        <w:t>Note: All constructs satisfy internal consistency reliability (</w:t>
      </w:r>
      <w:r w:rsidRPr="00DC500E">
        <w:rPr>
          <w:rStyle w:val="mord"/>
          <w:i/>
          <w:iCs/>
          <w:color w:val="000000"/>
          <w:lang w:val="en-GB"/>
        </w:rPr>
        <w:t>α</w:t>
      </w:r>
      <w:r w:rsidRPr="00DC500E">
        <w:rPr>
          <w:rStyle w:val="mrel"/>
          <w:i/>
          <w:iCs/>
          <w:color w:val="000000"/>
          <w:lang w:val="en-GB"/>
        </w:rPr>
        <w:t>≥</w:t>
      </w:r>
      <w:r w:rsidRPr="00DC500E">
        <w:rPr>
          <w:rStyle w:val="mord"/>
          <w:i/>
          <w:iCs/>
          <w:color w:val="000000"/>
          <w:lang w:val="en-GB"/>
        </w:rPr>
        <w:t>0.70</w:t>
      </w:r>
      <w:r w:rsidRPr="00DC500E">
        <w:rPr>
          <w:i/>
          <w:iCs/>
          <w:color w:val="000000"/>
          <w:lang w:val="en-GB"/>
        </w:rPr>
        <w:t>,</w:t>
      </w:r>
      <w:r w:rsidRPr="00DC500E">
        <w:rPr>
          <w:rStyle w:val="apple-converted-space"/>
          <w:i/>
          <w:iCs/>
          <w:color w:val="000000"/>
          <w:lang w:val="en-GB"/>
        </w:rPr>
        <w:t> </w:t>
      </w:r>
      <w:proofErr w:type="spellStart"/>
      <w:r w:rsidRPr="00DC500E">
        <w:rPr>
          <w:rStyle w:val="mord"/>
          <w:i/>
          <w:iCs/>
          <w:color w:val="000000"/>
          <w:lang w:val="en-GB"/>
        </w:rPr>
        <w:t>ρc</w:t>
      </w:r>
      <w:proofErr w:type="spellEnd"/>
      <w:r w:rsidRPr="00DC500E">
        <w:rPr>
          <w:rStyle w:val="vlist-s"/>
          <w:i/>
          <w:iCs/>
          <w:color w:val="000000"/>
          <w:lang w:val="en-GB"/>
        </w:rPr>
        <w:t>​</w:t>
      </w:r>
      <w:r w:rsidRPr="00DC500E">
        <w:rPr>
          <w:rStyle w:val="mrel"/>
          <w:i/>
          <w:iCs/>
          <w:color w:val="000000"/>
          <w:lang w:val="en-GB"/>
        </w:rPr>
        <w:t>≥</w:t>
      </w:r>
      <w:r w:rsidRPr="00DC500E">
        <w:rPr>
          <w:rStyle w:val="mord"/>
          <w:i/>
          <w:iCs/>
          <w:color w:val="000000"/>
          <w:lang w:val="en-GB"/>
        </w:rPr>
        <w:t>0.70</w:t>
      </w:r>
      <w:r w:rsidRPr="00DC500E">
        <w:rPr>
          <w:i/>
          <w:iCs/>
          <w:color w:val="000000"/>
          <w:lang w:val="en-GB"/>
        </w:rPr>
        <w:t>) and convergent validity (</w:t>
      </w:r>
      <w:proofErr w:type="spellStart"/>
      <w:r w:rsidRPr="00DC500E">
        <w:rPr>
          <w:rStyle w:val="mord"/>
          <w:i/>
          <w:iCs/>
          <w:color w:val="000000"/>
          <w:lang w:val="en-GB"/>
        </w:rPr>
        <w:t>AVE</w:t>
      </w:r>
      <w:r w:rsidRPr="00DC500E">
        <w:rPr>
          <w:rStyle w:val="mrel"/>
          <w:i/>
          <w:iCs/>
          <w:color w:val="000000"/>
          <w:lang w:val="en-GB"/>
        </w:rPr>
        <w:t>≥</w:t>
      </w:r>
      <w:r w:rsidRPr="00DC500E">
        <w:rPr>
          <w:rStyle w:val="mord"/>
          <w:i/>
          <w:iCs/>
          <w:color w:val="000000"/>
          <w:lang w:val="en-GB"/>
        </w:rPr>
        <w:t>0.50</w:t>
      </w:r>
      <w:proofErr w:type="spellEnd"/>
      <w:r w:rsidRPr="00DC500E">
        <w:rPr>
          <w:i/>
          <w:iCs/>
          <w:color w:val="000000"/>
          <w:lang w:val="en-GB"/>
        </w:rPr>
        <w:t>).</w:t>
      </w:r>
    </w:p>
    <w:p w14:paraId="7029E378" w14:textId="452EB816" w:rsidR="00492F89" w:rsidRPr="00DC500E" w:rsidRDefault="00492F89" w:rsidP="00492F89">
      <w:pPr>
        <w:rPr>
          <w:lang w:eastAsia="en-GB" w:bidi="hi-IN"/>
        </w:rPr>
      </w:pPr>
      <w:r w:rsidRPr="00DC500E">
        <w:rPr>
          <w:lang w:eastAsia="en-GB" w:bidi="hi-IN"/>
        </w:rPr>
        <w:t>The internal consistency reliability is determined by assessing Cronbach</w:t>
      </w:r>
      <w:r w:rsidR="00A22DB1">
        <w:rPr>
          <w:lang w:eastAsia="en-GB" w:bidi="hi-IN"/>
        </w:rPr>
        <w:t>’</w:t>
      </w:r>
      <w:r w:rsidRPr="00DC500E">
        <w:rPr>
          <w:lang w:eastAsia="en-GB" w:bidi="hi-IN"/>
        </w:rPr>
        <w:t>s Alpha (α) and Composite Reliability (</w:t>
      </w:r>
      <w:proofErr w:type="spellStart"/>
      <w:r w:rsidRPr="00DC500E">
        <w:rPr>
          <w:lang w:eastAsia="en-GB" w:bidi="hi-IN"/>
        </w:rPr>
        <w:t>ρc</w:t>
      </w:r>
      <w:proofErr w:type="spellEnd"/>
      <w:r w:rsidRPr="00DC500E">
        <w:rPr>
          <w:lang w:eastAsia="en-GB" w:bidi="hi-IN"/>
        </w:rPr>
        <w:t xml:space="preserve">). Composite Reliability can be described as a more robust and precise estimation of reliability than traditional Alpha coefficients that assume the loadings across the indicators are equal and often underestimate reliability, within variance-based structural equation modelling. All latent variables are significant, with values&gt; 0.70, which is beyond the strict academic requirement. Sustainable Purchase Intention has the highest internal consistency (α=0.890, </w:t>
      </w:r>
      <w:proofErr w:type="spellStart"/>
      <w:r w:rsidRPr="00DC500E">
        <w:rPr>
          <w:lang w:eastAsia="en-GB" w:bidi="hi-IN"/>
        </w:rPr>
        <w:t>ρc</w:t>
      </w:r>
      <w:proofErr w:type="spellEnd"/>
      <w:r w:rsidRPr="00DC500E">
        <w:rPr>
          <w:lang w:eastAsia="en-GB" w:bidi="hi-IN"/>
        </w:rPr>
        <w:t xml:space="preserve">=0.924), followed by Greenwashing Scepticism (α=0.879, </w:t>
      </w:r>
      <w:proofErr w:type="spellStart"/>
      <w:r w:rsidRPr="00DC500E">
        <w:rPr>
          <w:lang w:eastAsia="en-GB" w:bidi="hi-IN"/>
        </w:rPr>
        <w:t>ρc</w:t>
      </w:r>
      <w:proofErr w:type="spellEnd"/>
      <w:r w:rsidRPr="00DC500E">
        <w:rPr>
          <w:lang w:eastAsia="en-GB" w:bidi="hi-IN"/>
        </w:rPr>
        <w:t xml:space="preserve">=0.917) and Consumer Trust (α=0.827, </w:t>
      </w:r>
      <w:proofErr w:type="spellStart"/>
      <w:r w:rsidRPr="00DC500E">
        <w:rPr>
          <w:lang w:eastAsia="en-GB" w:bidi="hi-IN"/>
        </w:rPr>
        <w:t>ρc</w:t>
      </w:r>
      <w:proofErr w:type="spellEnd"/>
      <w:r w:rsidRPr="00DC500E">
        <w:rPr>
          <w:lang w:eastAsia="en-GB" w:bidi="hi-IN"/>
        </w:rPr>
        <w:t>=0.887). These measures clearly tell us that the individual items on the survey are very closely related and that the items measure their intended theoretical domain without mutual contradiction.</w:t>
      </w:r>
    </w:p>
    <w:p w14:paraId="5F17C032" w14:textId="39BF4919" w:rsidR="004D387E" w:rsidRPr="00DC500E" w:rsidRDefault="00492F89" w:rsidP="004D387E">
      <w:pPr>
        <w:rPr>
          <w:lang w:eastAsia="en-GB" w:bidi="hi-IN"/>
        </w:rPr>
      </w:pPr>
      <w:r w:rsidRPr="00DC500E">
        <w:rPr>
          <w:lang w:eastAsia="en-GB" w:bidi="hi-IN"/>
        </w:rPr>
        <w:t>Convergent validity is tested after the reliability test is confirmed</w:t>
      </w:r>
      <w:r w:rsidR="00DC500E" w:rsidRPr="00DC500E">
        <w:rPr>
          <w:lang w:eastAsia="en-GB" w:bidi="hi-IN"/>
        </w:rPr>
        <w:t>,</w:t>
      </w:r>
      <w:r w:rsidRPr="00DC500E">
        <w:rPr>
          <w:lang w:eastAsia="en-GB" w:bidi="hi-IN"/>
        </w:rPr>
        <w:t xml:space="preserve"> and Average Variance Extracted (AVE) is used to test convergent validity. The amount of variance in the indicators attributable to the underlying latent construct</w:t>
      </w:r>
      <w:r w:rsidR="00DC500E" w:rsidRPr="00DC500E">
        <w:rPr>
          <w:lang w:eastAsia="en-GB" w:bidi="hi-IN"/>
        </w:rPr>
        <w:t>,</w:t>
      </w:r>
      <w:r w:rsidRPr="00DC500E">
        <w:rPr>
          <w:lang w:eastAsia="en-GB" w:bidi="hi-IN"/>
        </w:rPr>
        <w:t xml:space="preserve"> as opposed to measurement error</w:t>
      </w:r>
      <w:r w:rsidR="00DC500E" w:rsidRPr="00DC500E">
        <w:rPr>
          <w:lang w:eastAsia="en-GB" w:bidi="hi-IN"/>
        </w:rPr>
        <w:t>,</w:t>
      </w:r>
      <w:r w:rsidRPr="00DC500E">
        <w:rPr>
          <w:lang w:eastAsia="en-GB" w:bidi="hi-IN"/>
        </w:rPr>
        <w:t xml:space="preserve"> is defined by the AVE. To measure convergent validity, the AVE must clearly exceed the 0.50 baseline, and the construct must account for more than half the variance of the indicators. It is concluded that the convergent validities are very high throughout the framework. The impressive AVE obtained from the SPI construct is equal to 0.753, which implies that more than 75% of the variance is theoretically accounted for. Both </w:t>
      </w:r>
      <w:proofErr w:type="spellStart"/>
      <w:r w:rsidRPr="00DC500E">
        <w:rPr>
          <w:lang w:eastAsia="en-GB" w:bidi="hi-IN"/>
        </w:rPr>
        <w:t>GWS</w:t>
      </w:r>
      <w:proofErr w:type="spellEnd"/>
      <w:r w:rsidRPr="00DC500E">
        <w:rPr>
          <w:lang w:eastAsia="en-GB" w:bidi="hi-IN"/>
        </w:rPr>
        <w:t xml:space="preserve"> and CT have firm </w:t>
      </w:r>
      <w:proofErr w:type="spellStart"/>
      <w:r w:rsidRPr="00DC500E">
        <w:rPr>
          <w:lang w:eastAsia="en-GB" w:bidi="hi-IN"/>
        </w:rPr>
        <w:t>AVEs</w:t>
      </w:r>
      <w:proofErr w:type="spellEnd"/>
      <w:r w:rsidRPr="00DC500E">
        <w:rPr>
          <w:lang w:eastAsia="en-GB" w:bidi="hi-IN"/>
        </w:rPr>
        <w:t xml:space="preserve"> with a rating of </w:t>
      </w:r>
      <w:r w:rsidRPr="00DC500E">
        <w:rPr>
          <w:lang w:eastAsia="en-GB" w:bidi="hi-IN"/>
        </w:rPr>
        <w:lastRenderedPageBreak/>
        <w:t>0.734 and 0.665, respectively. Thus, the measurement model is totally free from a convergence problem, and the 5-point Likert scales selected appeared to be very effective in operationalising these particular consumer attitudes.</w:t>
      </w:r>
    </w:p>
    <w:p w14:paraId="2D3532FB" w14:textId="604A8CBB" w:rsidR="004D387E" w:rsidRPr="00DC500E" w:rsidRDefault="00DC500E" w:rsidP="00DC500E">
      <w:pPr>
        <w:pStyle w:val="Caption"/>
        <w:rPr>
          <w:color w:val="000000"/>
        </w:rPr>
      </w:pPr>
      <w:bookmarkStart w:id="63" w:name="_Toc241053203"/>
      <w:r w:rsidRPr="00DC500E">
        <w:t xml:space="preserve">Table </w:t>
      </w:r>
      <w:r w:rsidRPr="00DC500E">
        <w:fldChar w:fldCharType="begin"/>
      </w:r>
      <w:r w:rsidRPr="00DC500E">
        <w:instrText xml:space="preserve"> SEQ Table \* ARABIC </w:instrText>
      </w:r>
      <w:r w:rsidRPr="00DC500E">
        <w:fldChar w:fldCharType="separate"/>
      </w:r>
      <w:r w:rsidR="00603018">
        <w:rPr>
          <w:noProof/>
        </w:rPr>
        <w:t>5</w:t>
      </w:r>
      <w:r w:rsidRPr="00DC500E">
        <w:fldChar w:fldCharType="end"/>
      </w:r>
      <w:r w:rsidR="004D387E" w:rsidRPr="00DC500E">
        <w:rPr>
          <w:color w:val="000000"/>
        </w:rPr>
        <w:t>: Discriminant Validity (</w:t>
      </w:r>
      <w:proofErr w:type="spellStart"/>
      <w:r w:rsidR="004D387E" w:rsidRPr="00DC500E">
        <w:rPr>
          <w:color w:val="000000"/>
        </w:rPr>
        <w:t>Heterotrait-Monotrait</w:t>
      </w:r>
      <w:proofErr w:type="spellEnd"/>
      <w:r w:rsidR="004D387E" w:rsidRPr="00DC500E">
        <w:rPr>
          <w:color w:val="000000"/>
        </w:rPr>
        <w:t xml:space="preserve"> Ratio - </w:t>
      </w:r>
      <w:proofErr w:type="spellStart"/>
      <w:r w:rsidR="004D387E" w:rsidRPr="00DC500E">
        <w:rPr>
          <w:color w:val="000000"/>
        </w:rPr>
        <w:t>HTMT</w:t>
      </w:r>
      <w:proofErr w:type="spellEnd"/>
      <w:r w:rsidR="004D387E" w:rsidRPr="00DC500E">
        <w:rPr>
          <w:color w:val="000000"/>
        </w:rPr>
        <w:t>)</w:t>
      </w:r>
      <w:bookmarkEnd w:id="63"/>
    </w:p>
    <w:tbl>
      <w:tblPr>
        <w:tblStyle w:val="APA7"/>
        <w:tblW w:w="0" w:type="auto"/>
        <w:tblLook w:val="04A0" w:firstRow="1" w:lastRow="0" w:firstColumn="1" w:lastColumn="0" w:noHBand="0" w:noVBand="1"/>
      </w:tblPr>
      <w:tblGrid>
        <w:gridCol w:w="2546"/>
        <w:gridCol w:w="1709"/>
        <w:gridCol w:w="2406"/>
        <w:gridCol w:w="2365"/>
      </w:tblGrid>
      <w:tr w:rsidR="004D387E" w:rsidRPr="00DC500E" w14:paraId="04E66A25" w14:textId="77777777" w:rsidTr="004D387E">
        <w:trPr>
          <w:cnfStyle w:val="100000000000" w:firstRow="1" w:lastRow="0" w:firstColumn="0" w:lastColumn="0" w:oddVBand="0" w:evenVBand="0" w:oddHBand="0" w:evenHBand="0" w:firstRowFirstColumn="0" w:firstRowLastColumn="0" w:lastRowFirstColumn="0" w:lastRowLastColumn="0"/>
        </w:trPr>
        <w:tc>
          <w:tcPr>
            <w:tcW w:w="0" w:type="auto"/>
            <w:hideMark/>
          </w:tcPr>
          <w:p w14:paraId="6CF1817A" w14:textId="77777777" w:rsidR="004D387E" w:rsidRPr="00DC500E" w:rsidRDefault="004D387E">
            <w:pPr>
              <w:jc w:val="center"/>
              <w:rPr>
                <w:color w:val="auto"/>
              </w:rPr>
            </w:pPr>
            <w:r w:rsidRPr="00DC500E">
              <w:t>Construct</w:t>
            </w:r>
          </w:p>
        </w:tc>
        <w:tc>
          <w:tcPr>
            <w:tcW w:w="0" w:type="auto"/>
            <w:hideMark/>
          </w:tcPr>
          <w:p w14:paraId="08010B4D" w14:textId="77777777" w:rsidR="004D387E" w:rsidRPr="00DC500E" w:rsidRDefault="004D387E">
            <w:pPr>
              <w:jc w:val="center"/>
            </w:pPr>
            <w:r w:rsidRPr="00DC500E">
              <w:t>Consumer Trust (CT)</w:t>
            </w:r>
          </w:p>
        </w:tc>
        <w:tc>
          <w:tcPr>
            <w:tcW w:w="0" w:type="auto"/>
            <w:hideMark/>
          </w:tcPr>
          <w:p w14:paraId="2B1B44B1" w14:textId="77777777" w:rsidR="004D387E" w:rsidRPr="00DC500E" w:rsidRDefault="004D387E">
            <w:pPr>
              <w:jc w:val="center"/>
            </w:pPr>
            <w:r w:rsidRPr="00DC500E">
              <w:t>Greenwashing Scepticism (</w:t>
            </w:r>
            <w:proofErr w:type="spellStart"/>
            <w:r w:rsidRPr="00DC500E">
              <w:t>GWS</w:t>
            </w:r>
            <w:proofErr w:type="spellEnd"/>
            <w:r w:rsidRPr="00DC500E">
              <w:t>)</w:t>
            </w:r>
          </w:p>
        </w:tc>
        <w:tc>
          <w:tcPr>
            <w:tcW w:w="0" w:type="auto"/>
            <w:hideMark/>
          </w:tcPr>
          <w:p w14:paraId="50270B39" w14:textId="77777777" w:rsidR="004D387E" w:rsidRPr="00DC500E" w:rsidRDefault="004D387E">
            <w:pPr>
              <w:jc w:val="center"/>
            </w:pPr>
            <w:r w:rsidRPr="00DC500E">
              <w:t>Sustainable Purchase Intention (SPI)</w:t>
            </w:r>
          </w:p>
        </w:tc>
      </w:tr>
      <w:tr w:rsidR="004D387E" w:rsidRPr="00DC500E" w14:paraId="300FED62" w14:textId="77777777" w:rsidTr="004D387E">
        <w:tc>
          <w:tcPr>
            <w:tcW w:w="0" w:type="auto"/>
            <w:hideMark/>
          </w:tcPr>
          <w:p w14:paraId="1682B827" w14:textId="77777777" w:rsidR="004D387E" w:rsidRPr="00DC500E" w:rsidRDefault="004D387E">
            <w:pPr>
              <w:jc w:val="left"/>
            </w:pPr>
            <w:r w:rsidRPr="00DC500E">
              <w:rPr>
                <w:b/>
                <w:bCs/>
              </w:rPr>
              <w:t>Consumer Trust (CT)</w:t>
            </w:r>
          </w:p>
        </w:tc>
        <w:tc>
          <w:tcPr>
            <w:tcW w:w="0" w:type="auto"/>
            <w:hideMark/>
          </w:tcPr>
          <w:p w14:paraId="2FDF782D" w14:textId="77777777" w:rsidR="004D387E" w:rsidRPr="00DC500E" w:rsidRDefault="002A413E">
            <w:r w:rsidRPr="00DC500E">
              <w:t xml:space="preserve"> </w:t>
            </w:r>
          </w:p>
        </w:tc>
        <w:tc>
          <w:tcPr>
            <w:tcW w:w="0" w:type="auto"/>
            <w:hideMark/>
          </w:tcPr>
          <w:p w14:paraId="2B121F2E" w14:textId="77777777" w:rsidR="004D387E" w:rsidRPr="00DC500E" w:rsidRDefault="004D387E"/>
        </w:tc>
        <w:tc>
          <w:tcPr>
            <w:tcW w:w="0" w:type="auto"/>
            <w:hideMark/>
          </w:tcPr>
          <w:p w14:paraId="7142F077" w14:textId="77777777" w:rsidR="004D387E" w:rsidRPr="00DC500E" w:rsidRDefault="004D387E">
            <w:pPr>
              <w:rPr>
                <w:sz w:val="20"/>
                <w:szCs w:val="20"/>
              </w:rPr>
            </w:pPr>
          </w:p>
        </w:tc>
      </w:tr>
      <w:tr w:rsidR="004D387E" w:rsidRPr="00DC500E" w14:paraId="22351E52" w14:textId="77777777" w:rsidTr="004D387E">
        <w:tc>
          <w:tcPr>
            <w:tcW w:w="0" w:type="auto"/>
            <w:hideMark/>
          </w:tcPr>
          <w:p w14:paraId="6E128EA8" w14:textId="77777777" w:rsidR="004D387E" w:rsidRPr="00DC500E" w:rsidRDefault="004D387E">
            <w:pPr>
              <w:rPr>
                <w:szCs w:val="24"/>
              </w:rPr>
            </w:pPr>
            <w:r w:rsidRPr="00DC500E">
              <w:rPr>
                <w:b/>
                <w:bCs/>
              </w:rPr>
              <w:t>Greenwashing Scepticism (</w:t>
            </w:r>
            <w:proofErr w:type="spellStart"/>
            <w:r w:rsidRPr="00DC500E">
              <w:rPr>
                <w:b/>
                <w:bCs/>
              </w:rPr>
              <w:t>GWS</w:t>
            </w:r>
            <w:proofErr w:type="spellEnd"/>
            <w:r w:rsidRPr="00DC500E">
              <w:rPr>
                <w:b/>
                <w:bCs/>
              </w:rPr>
              <w:t>)</w:t>
            </w:r>
          </w:p>
        </w:tc>
        <w:tc>
          <w:tcPr>
            <w:tcW w:w="0" w:type="auto"/>
            <w:hideMark/>
          </w:tcPr>
          <w:p w14:paraId="58F7BCDD" w14:textId="77777777" w:rsidR="004D387E" w:rsidRPr="00DC500E" w:rsidRDefault="004D387E">
            <w:r w:rsidRPr="00DC500E">
              <w:t>0.794</w:t>
            </w:r>
          </w:p>
        </w:tc>
        <w:tc>
          <w:tcPr>
            <w:tcW w:w="0" w:type="auto"/>
            <w:hideMark/>
          </w:tcPr>
          <w:p w14:paraId="3315519D" w14:textId="77777777" w:rsidR="004D387E" w:rsidRPr="00DC500E" w:rsidRDefault="002A413E">
            <w:r w:rsidRPr="00DC500E">
              <w:t xml:space="preserve"> </w:t>
            </w:r>
          </w:p>
        </w:tc>
        <w:tc>
          <w:tcPr>
            <w:tcW w:w="0" w:type="auto"/>
            <w:hideMark/>
          </w:tcPr>
          <w:p w14:paraId="53E8BA04" w14:textId="77777777" w:rsidR="004D387E" w:rsidRPr="00DC500E" w:rsidRDefault="004D387E"/>
        </w:tc>
      </w:tr>
      <w:tr w:rsidR="004D387E" w:rsidRPr="00DC500E" w14:paraId="0000A416" w14:textId="77777777" w:rsidTr="004D387E">
        <w:tc>
          <w:tcPr>
            <w:tcW w:w="0" w:type="auto"/>
            <w:hideMark/>
          </w:tcPr>
          <w:p w14:paraId="6AD8F4B9" w14:textId="77777777" w:rsidR="004D387E" w:rsidRPr="00DC500E" w:rsidRDefault="004D387E">
            <w:pPr>
              <w:rPr>
                <w:szCs w:val="24"/>
              </w:rPr>
            </w:pPr>
            <w:r w:rsidRPr="00DC500E">
              <w:rPr>
                <w:b/>
                <w:bCs/>
              </w:rPr>
              <w:t>Sustainable Purchase Intention (SPI)</w:t>
            </w:r>
          </w:p>
        </w:tc>
        <w:tc>
          <w:tcPr>
            <w:tcW w:w="0" w:type="auto"/>
            <w:hideMark/>
          </w:tcPr>
          <w:p w14:paraId="20313B3F" w14:textId="77777777" w:rsidR="004D387E" w:rsidRPr="00DC500E" w:rsidRDefault="004D387E">
            <w:r w:rsidRPr="00DC500E">
              <w:t>0.752</w:t>
            </w:r>
          </w:p>
        </w:tc>
        <w:tc>
          <w:tcPr>
            <w:tcW w:w="0" w:type="auto"/>
            <w:hideMark/>
          </w:tcPr>
          <w:p w14:paraId="1BBA91DE" w14:textId="77777777" w:rsidR="004D387E" w:rsidRPr="00DC500E" w:rsidRDefault="004D387E">
            <w:r w:rsidRPr="00DC500E">
              <w:t>0.594</w:t>
            </w:r>
          </w:p>
        </w:tc>
        <w:tc>
          <w:tcPr>
            <w:tcW w:w="0" w:type="auto"/>
            <w:hideMark/>
          </w:tcPr>
          <w:p w14:paraId="5F7AAB0B" w14:textId="77777777" w:rsidR="004D387E" w:rsidRPr="00DC500E" w:rsidRDefault="002A413E">
            <w:r w:rsidRPr="00DC500E">
              <w:t xml:space="preserve"> </w:t>
            </w:r>
          </w:p>
        </w:tc>
      </w:tr>
    </w:tbl>
    <w:p w14:paraId="4A1357E7" w14:textId="6F41285E" w:rsidR="00492F89" w:rsidRPr="00DC500E" w:rsidRDefault="004D387E" w:rsidP="00DC500E">
      <w:pPr>
        <w:pStyle w:val="NormalWeb"/>
        <w:rPr>
          <w:i/>
          <w:iCs/>
          <w:color w:val="000000"/>
          <w:lang w:val="en-GB"/>
        </w:rPr>
      </w:pPr>
      <w:r w:rsidRPr="00DC500E">
        <w:rPr>
          <w:i/>
          <w:iCs/>
          <w:color w:val="000000"/>
          <w:lang w:val="en-GB"/>
        </w:rPr>
        <w:t xml:space="preserve">Note: </w:t>
      </w:r>
      <w:proofErr w:type="spellStart"/>
      <w:r w:rsidRPr="00DC500E">
        <w:rPr>
          <w:i/>
          <w:iCs/>
          <w:color w:val="000000"/>
          <w:lang w:val="en-GB"/>
        </w:rPr>
        <w:t>HTMT</w:t>
      </w:r>
      <w:proofErr w:type="spellEnd"/>
      <w:r w:rsidRPr="00DC500E">
        <w:rPr>
          <w:i/>
          <w:iCs/>
          <w:color w:val="000000"/>
          <w:lang w:val="en-GB"/>
        </w:rPr>
        <w:t xml:space="preserve"> values strictly remain below the conservative threshold of 0.85, confirming discriminant validity between all latent variables.</w:t>
      </w:r>
    </w:p>
    <w:p w14:paraId="6320026C" w14:textId="739668FB" w:rsidR="00492F89" w:rsidRPr="00DC500E" w:rsidRDefault="00492F89" w:rsidP="00492F89">
      <w:pPr>
        <w:rPr>
          <w:lang w:eastAsia="en-GB" w:bidi="hi-IN"/>
        </w:rPr>
      </w:pPr>
      <w:r w:rsidRPr="00DC500E">
        <w:rPr>
          <w:lang w:eastAsia="en-GB" w:bidi="hi-IN"/>
        </w:rPr>
        <w:t xml:space="preserve">Instead, the structural discriminant validity must be tested to ensure that the two constructs are not the same. Table </w:t>
      </w:r>
      <w:r w:rsidR="00DC500E" w:rsidRPr="00DC500E">
        <w:rPr>
          <w:lang w:eastAsia="en-GB" w:bidi="hi-IN"/>
        </w:rPr>
        <w:t>6</w:t>
      </w:r>
      <w:r w:rsidRPr="00DC500E">
        <w:rPr>
          <w:lang w:eastAsia="en-GB" w:bidi="hi-IN"/>
        </w:rPr>
        <w:t xml:space="preserve"> </w:t>
      </w:r>
      <w:r w:rsidR="00DC500E" w:rsidRPr="00DC500E">
        <w:rPr>
          <w:lang w:eastAsia="en-GB" w:bidi="hi-IN"/>
        </w:rPr>
        <w:t>presents</w:t>
      </w:r>
      <w:r w:rsidRPr="00DC500E">
        <w:rPr>
          <w:lang w:eastAsia="en-GB" w:bidi="hi-IN"/>
        </w:rPr>
        <w:t xml:space="preserve"> the </w:t>
      </w:r>
      <w:proofErr w:type="spellStart"/>
      <w:r w:rsidRPr="00DC500E">
        <w:rPr>
          <w:lang w:eastAsia="en-GB" w:bidi="hi-IN"/>
        </w:rPr>
        <w:t>Heterotrait-Monotrait</w:t>
      </w:r>
      <w:proofErr w:type="spellEnd"/>
      <w:r w:rsidRPr="00DC500E">
        <w:rPr>
          <w:lang w:eastAsia="en-GB" w:bidi="hi-IN"/>
        </w:rPr>
        <w:t xml:space="preserve"> (</w:t>
      </w:r>
      <w:proofErr w:type="spellStart"/>
      <w:r w:rsidRPr="00DC500E">
        <w:rPr>
          <w:lang w:eastAsia="en-GB" w:bidi="hi-IN"/>
        </w:rPr>
        <w:t>HTMT</w:t>
      </w:r>
      <w:proofErr w:type="spellEnd"/>
      <w:r w:rsidRPr="00DC500E">
        <w:rPr>
          <w:lang w:eastAsia="en-GB" w:bidi="hi-IN"/>
        </w:rPr>
        <w:t xml:space="preserve">) ratio of correlations. The </w:t>
      </w:r>
      <w:proofErr w:type="spellStart"/>
      <w:r w:rsidRPr="00DC500E">
        <w:rPr>
          <w:lang w:eastAsia="en-GB" w:bidi="hi-IN"/>
        </w:rPr>
        <w:t>HTMT</w:t>
      </w:r>
      <w:proofErr w:type="spellEnd"/>
      <w:r w:rsidRPr="00DC500E">
        <w:rPr>
          <w:lang w:eastAsia="en-GB" w:bidi="hi-IN"/>
        </w:rPr>
        <w:t xml:space="preserve"> matrix has completely outpaced the traditional Fornell-</w:t>
      </w:r>
      <w:proofErr w:type="spellStart"/>
      <w:r w:rsidRPr="00DC500E">
        <w:rPr>
          <w:lang w:eastAsia="en-GB" w:bidi="hi-IN"/>
        </w:rPr>
        <w:t>Larcker</w:t>
      </w:r>
      <w:proofErr w:type="spellEnd"/>
      <w:r w:rsidRPr="00DC500E">
        <w:rPr>
          <w:lang w:eastAsia="en-GB" w:bidi="hi-IN"/>
        </w:rPr>
        <w:t xml:space="preserve"> criterion as it offers greater sensitivity in identifying a lack of discriminant validity. To be certain that constructs are distinct, the standard requires that the </w:t>
      </w:r>
      <w:proofErr w:type="spellStart"/>
      <w:r w:rsidRPr="00DC500E">
        <w:rPr>
          <w:lang w:eastAsia="en-GB" w:bidi="hi-IN"/>
        </w:rPr>
        <w:t>HTMT</w:t>
      </w:r>
      <w:proofErr w:type="spellEnd"/>
      <w:r w:rsidRPr="00DC500E">
        <w:rPr>
          <w:lang w:eastAsia="en-GB" w:bidi="hi-IN"/>
        </w:rPr>
        <w:t xml:space="preserve"> be below 0.85.</w:t>
      </w:r>
    </w:p>
    <w:p w14:paraId="2B8781C3" w14:textId="140FF822" w:rsidR="004D387E" w:rsidRPr="00DC500E" w:rsidRDefault="00492F89" w:rsidP="00492F89">
      <w:pPr>
        <w:rPr>
          <w:lang w:eastAsia="en-GB" w:bidi="hi-IN"/>
        </w:rPr>
      </w:pPr>
      <w:r w:rsidRPr="00DC500E">
        <w:rPr>
          <w:lang w:eastAsia="en-GB" w:bidi="hi-IN"/>
        </w:rPr>
        <w:t xml:space="preserve">The criterion array exemplifies excellent discriminant validity. The peak value of </w:t>
      </w:r>
      <w:proofErr w:type="spellStart"/>
      <w:r w:rsidRPr="00DC500E">
        <w:rPr>
          <w:lang w:eastAsia="en-GB" w:bidi="hi-IN"/>
        </w:rPr>
        <w:t>HTMT</w:t>
      </w:r>
      <w:proofErr w:type="spellEnd"/>
      <w:r w:rsidRPr="00DC500E">
        <w:rPr>
          <w:lang w:eastAsia="en-GB" w:bidi="hi-IN"/>
        </w:rPr>
        <w:t xml:space="preserve"> is obtained between Consumer Trust and Greenwashing Scepticism (0.794). This suggests a good conceptual relationship between the two variables, as would be theorised, but it is well below the 0.85 level. </w:t>
      </w:r>
      <w:proofErr w:type="spellStart"/>
      <w:r w:rsidRPr="00DC500E">
        <w:rPr>
          <w:lang w:eastAsia="en-GB" w:bidi="hi-IN"/>
        </w:rPr>
        <w:t>HTMT</w:t>
      </w:r>
      <w:proofErr w:type="spellEnd"/>
      <w:r w:rsidRPr="00DC500E">
        <w:rPr>
          <w:lang w:eastAsia="en-GB" w:bidi="hi-IN"/>
        </w:rPr>
        <w:t xml:space="preserve"> of both CT and SPI is 0.752, and </w:t>
      </w:r>
      <w:proofErr w:type="spellStart"/>
      <w:r w:rsidRPr="00DC500E">
        <w:rPr>
          <w:lang w:eastAsia="en-GB" w:bidi="hi-IN"/>
        </w:rPr>
        <w:t>GWS</w:t>
      </w:r>
      <w:proofErr w:type="spellEnd"/>
      <w:r w:rsidRPr="00DC500E">
        <w:rPr>
          <w:lang w:eastAsia="en-GB" w:bidi="hi-IN"/>
        </w:rPr>
        <w:t xml:space="preserve"> and SPI is 0.594. These metrics </w:t>
      </w:r>
      <w:r w:rsidRPr="00DC500E">
        <w:rPr>
          <w:kern w:val="0"/>
          <w:lang w:eastAsia="en-GB" w:bidi="hi-IN"/>
          <w14:ligatures w14:val="none"/>
        </w:rPr>
        <w:t>non-trivially prove that British fast fashion consumers cognitively divide their system scepticism from their environmental trust and their future purchase</w:t>
      </w:r>
      <w:r w:rsidRPr="00DC500E">
        <w:rPr>
          <w:lang w:eastAsia="en-GB" w:bidi="hi-IN"/>
        </w:rPr>
        <w:t xml:space="preserve"> intentions. The distinctness </w:t>
      </w:r>
      <w:r w:rsidRPr="00DC500E">
        <w:rPr>
          <w:lang w:eastAsia="en-GB" w:bidi="hi-IN"/>
        </w:rPr>
        <w:lastRenderedPageBreak/>
        <w:t>of the variables is not a problem, but they represent different aspects of psychological reality, enabling safe passage to the structural modelling stage.</w:t>
      </w:r>
    </w:p>
    <w:p w14:paraId="0889E172" w14:textId="77777777" w:rsidR="004D387E" w:rsidRPr="00DC500E" w:rsidRDefault="004D387E" w:rsidP="004D387E">
      <w:pPr>
        <w:pStyle w:val="Heading3"/>
      </w:pPr>
      <w:bookmarkStart w:id="64" w:name="_Toc241147202"/>
      <w:r w:rsidRPr="00DC500E">
        <w:t>4.2.4 Structural Model Assessment and Hypothesis Testing</w:t>
      </w:r>
      <w:bookmarkEnd w:id="64"/>
    </w:p>
    <w:p w14:paraId="40A49B44" w14:textId="2BEDD747" w:rsidR="004D387E" w:rsidRPr="00DC500E" w:rsidRDefault="00DC500E" w:rsidP="00DC500E">
      <w:pPr>
        <w:pStyle w:val="Caption"/>
        <w:rPr>
          <w:color w:val="000000"/>
        </w:rPr>
      </w:pPr>
      <w:bookmarkStart w:id="65" w:name="_Toc241053204"/>
      <w:r w:rsidRPr="00DC500E">
        <w:t xml:space="preserve">Table </w:t>
      </w:r>
      <w:r w:rsidRPr="00DC500E">
        <w:fldChar w:fldCharType="begin"/>
      </w:r>
      <w:r w:rsidRPr="00DC500E">
        <w:instrText xml:space="preserve"> SEQ Table \* ARABIC </w:instrText>
      </w:r>
      <w:r w:rsidRPr="00DC500E">
        <w:fldChar w:fldCharType="separate"/>
      </w:r>
      <w:r w:rsidR="00603018">
        <w:rPr>
          <w:noProof/>
        </w:rPr>
        <w:t>6</w:t>
      </w:r>
      <w:r w:rsidRPr="00DC500E">
        <w:fldChar w:fldCharType="end"/>
      </w:r>
      <w:r w:rsidR="004D387E" w:rsidRPr="00DC500E">
        <w:rPr>
          <w:color w:val="000000"/>
        </w:rPr>
        <w:t>: Model Fit Summary</w:t>
      </w:r>
      <w:bookmarkEnd w:id="65"/>
    </w:p>
    <w:tbl>
      <w:tblPr>
        <w:tblStyle w:val="APA7"/>
        <w:tblW w:w="0" w:type="auto"/>
        <w:tblLook w:val="04A0" w:firstRow="1" w:lastRow="0" w:firstColumn="1" w:lastColumn="0" w:noHBand="0" w:noVBand="1"/>
      </w:tblPr>
      <w:tblGrid>
        <w:gridCol w:w="3020"/>
        <w:gridCol w:w="1496"/>
        <w:gridCol w:w="1522"/>
        <w:gridCol w:w="2988"/>
      </w:tblGrid>
      <w:tr w:rsidR="004D387E" w:rsidRPr="00DC500E" w14:paraId="1D95315E" w14:textId="77777777" w:rsidTr="004D387E">
        <w:trPr>
          <w:cnfStyle w:val="100000000000" w:firstRow="1" w:lastRow="0" w:firstColumn="0" w:lastColumn="0" w:oddVBand="0" w:evenVBand="0" w:oddHBand="0" w:evenHBand="0" w:firstRowFirstColumn="0" w:firstRowLastColumn="0" w:lastRowFirstColumn="0" w:lastRowLastColumn="0"/>
        </w:trPr>
        <w:tc>
          <w:tcPr>
            <w:tcW w:w="0" w:type="auto"/>
            <w:hideMark/>
          </w:tcPr>
          <w:p w14:paraId="05E5537A" w14:textId="77777777" w:rsidR="004D387E" w:rsidRPr="00DC500E" w:rsidRDefault="004D387E">
            <w:pPr>
              <w:jc w:val="center"/>
              <w:rPr>
                <w:color w:val="auto"/>
              </w:rPr>
            </w:pPr>
            <w:r w:rsidRPr="00DC500E">
              <w:t>Metric</w:t>
            </w:r>
          </w:p>
        </w:tc>
        <w:tc>
          <w:tcPr>
            <w:tcW w:w="0" w:type="auto"/>
            <w:hideMark/>
          </w:tcPr>
          <w:p w14:paraId="49C025A5" w14:textId="77777777" w:rsidR="004D387E" w:rsidRPr="00DC500E" w:rsidRDefault="004D387E">
            <w:pPr>
              <w:jc w:val="center"/>
            </w:pPr>
            <w:r w:rsidRPr="00DC500E">
              <w:t>Saturated Model</w:t>
            </w:r>
          </w:p>
        </w:tc>
        <w:tc>
          <w:tcPr>
            <w:tcW w:w="0" w:type="auto"/>
            <w:hideMark/>
          </w:tcPr>
          <w:p w14:paraId="6B70F8DD" w14:textId="77777777" w:rsidR="004D387E" w:rsidRPr="00DC500E" w:rsidRDefault="004D387E">
            <w:pPr>
              <w:jc w:val="center"/>
            </w:pPr>
            <w:r w:rsidRPr="00DC500E">
              <w:t>Estimated Model</w:t>
            </w:r>
          </w:p>
        </w:tc>
        <w:tc>
          <w:tcPr>
            <w:tcW w:w="0" w:type="auto"/>
            <w:hideMark/>
          </w:tcPr>
          <w:p w14:paraId="680832E4" w14:textId="77777777" w:rsidR="004D387E" w:rsidRPr="00DC500E" w:rsidRDefault="004D387E">
            <w:pPr>
              <w:jc w:val="center"/>
            </w:pPr>
            <w:r w:rsidRPr="00DC500E">
              <w:t>Reference Criterion</w:t>
            </w:r>
          </w:p>
        </w:tc>
      </w:tr>
      <w:tr w:rsidR="004D387E" w:rsidRPr="00DC500E" w14:paraId="0E9F8FD7" w14:textId="77777777" w:rsidTr="004D387E">
        <w:tc>
          <w:tcPr>
            <w:tcW w:w="0" w:type="auto"/>
            <w:hideMark/>
          </w:tcPr>
          <w:p w14:paraId="7F93A322" w14:textId="78472049" w:rsidR="004D387E" w:rsidRPr="00DC500E" w:rsidRDefault="00492F89">
            <w:pPr>
              <w:jc w:val="left"/>
            </w:pPr>
            <w:r w:rsidRPr="00DC500E">
              <w:rPr>
                <w:b/>
                <w:bCs/>
              </w:rPr>
              <w:t>Standardis</w:t>
            </w:r>
            <w:r w:rsidR="004D387E" w:rsidRPr="00DC500E">
              <w:rPr>
                <w:b/>
                <w:bCs/>
              </w:rPr>
              <w:t>ed Root Mean Square Residual (</w:t>
            </w:r>
            <w:proofErr w:type="spellStart"/>
            <w:r w:rsidR="004D387E" w:rsidRPr="00DC500E">
              <w:rPr>
                <w:b/>
                <w:bCs/>
              </w:rPr>
              <w:t>SRMR</w:t>
            </w:r>
            <w:proofErr w:type="spellEnd"/>
            <w:r w:rsidR="004D387E" w:rsidRPr="00DC500E">
              <w:rPr>
                <w:b/>
                <w:bCs/>
              </w:rPr>
              <w:t>)</w:t>
            </w:r>
          </w:p>
        </w:tc>
        <w:tc>
          <w:tcPr>
            <w:tcW w:w="0" w:type="auto"/>
            <w:hideMark/>
          </w:tcPr>
          <w:p w14:paraId="5DE65433" w14:textId="77777777" w:rsidR="004D387E" w:rsidRPr="00DC500E" w:rsidRDefault="004D387E">
            <w:r w:rsidRPr="00DC500E">
              <w:t>0.135</w:t>
            </w:r>
          </w:p>
        </w:tc>
        <w:tc>
          <w:tcPr>
            <w:tcW w:w="0" w:type="auto"/>
            <w:hideMark/>
          </w:tcPr>
          <w:p w14:paraId="68390450" w14:textId="77777777" w:rsidR="004D387E" w:rsidRPr="00DC500E" w:rsidRDefault="004D387E">
            <w:r w:rsidRPr="00DC500E">
              <w:t>0.137</w:t>
            </w:r>
          </w:p>
        </w:tc>
        <w:tc>
          <w:tcPr>
            <w:tcW w:w="0" w:type="auto"/>
            <w:hideMark/>
          </w:tcPr>
          <w:p w14:paraId="6E675E75" w14:textId="77777777" w:rsidR="004D387E" w:rsidRPr="00DC500E" w:rsidRDefault="004D387E">
            <w:r w:rsidRPr="00DC500E">
              <w:rPr>
                <w:rStyle w:val="mrel"/>
              </w:rPr>
              <w:t>&lt;</w:t>
            </w:r>
            <w:r w:rsidRPr="00DC500E">
              <w:rPr>
                <w:rStyle w:val="mord"/>
              </w:rPr>
              <w:t>0.08</w:t>
            </w:r>
            <w:r w:rsidRPr="00DC500E">
              <w:rPr>
                <w:rStyle w:val="apple-converted-space"/>
              </w:rPr>
              <w:t> </w:t>
            </w:r>
            <w:r w:rsidRPr="00DC500E">
              <w:t>(Conservative) /</w:t>
            </w:r>
            <w:r w:rsidRPr="00DC500E">
              <w:rPr>
                <w:rStyle w:val="apple-converted-space"/>
              </w:rPr>
              <w:t> </w:t>
            </w:r>
            <w:r w:rsidRPr="00DC500E">
              <w:rPr>
                <w:rStyle w:val="mrel"/>
              </w:rPr>
              <w:t>&lt;</w:t>
            </w:r>
            <w:r w:rsidRPr="00DC500E">
              <w:rPr>
                <w:rStyle w:val="mord"/>
              </w:rPr>
              <w:t>0.10</w:t>
            </w:r>
          </w:p>
        </w:tc>
      </w:tr>
      <w:tr w:rsidR="004D387E" w:rsidRPr="00DC500E" w14:paraId="6190C87C" w14:textId="77777777" w:rsidTr="004D387E">
        <w:tc>
          <w:tcPr>
            <w:tcW w:w="0" w:type="auto"/>
            <w:hideMark/>
          </w:tcPr>
          <w:p w14:paraId="1A5DDCC9" w14:textId="77777777" w:rsidR="004D387E" w:rsidRPr="00DC500E" w:rsidRDefault="004D387E">
            <w:r w:rsidRPr="00DC500E">
              <w:rPr>
                <w:b/>
                <w:bCs/>
              </w:rPr>
              <w:t>Unweighted Least Squares Discrepancy (</w:t>
            </w:r>
            <w:proofErr w:type="spellStart"/>
            <w:r w:rsidRPr="00DC500E">
              <w:rPr>
                <w:rStyle w:val="mord"/>
                <w:b/>
                <w:bCs/>
              </w:rPr>
              <w:t>dULS</w:t>
            </w:r>
            <w:proofErr w:type="spellEnd"/>
            <w:r w:rsidRPr="00DC500E">
              <w:rPr>
                <w:rStyle w:val="vlist-s"/>
                <w:b/>
                <w:bCs/>
              </w:rPr>
              <w:t>​</w:t>
            </w:r>
            <w:r w:rsidRPr="00DC500E">
              <w:rPr>
                <w:b/>
                <w:bCs/>
              </w:rPr>
              <w:t>)</w:t>
            </w:r>
          </w:p>
        </w:tc>
        <w:tc>
          <w:tcPr>
            <w:tcW w:w="0" w:type="auto"/>
            <w:hideMark/>
          </w:tcPr>
          <w:p w14:paraId="1DEBCEE8" w14:textId="77777777" w:rsidR="004D387E" w:rsidRPr="00DC500E" w:rsidRDefault="004D387E">
            <w:r w:rsidRPr="00DC500E">
              <w:t>1.427</w:t>
            </w:r>
          </w:p>
        </w:tc>
        <w:tc>
          <w:tcPr>
            <w:tcW w:w="0" w:type="auto"/>
            <w:hideMark/>
          </w:tcPr>
          <w:p w14:paraId="7A6D637C" w14:textId="77777777" w:rsidR="004D387E" w:rsidRPr="00DC500E" w:rsidRDefault="004D387E">
            <w:r w:rsidRPr="00DC500E">
              <w:t>1.471</w:t>
            </w:r>
          </w:p>
        </w:tc>
        <w:tc>
          <w:tcPr>
            <w:tcW w:w="0" w:type="auto"/>
            <w:hideMark/>
          </w:tcPr>
          <w:p w14:paraId="518E77A5" w14:textId="77777777" w:rsidR="004D387E" w:rsidRPr="00DC500E" w:rsidRDefault="004D387E">
            <w:r w:rsidRPr="00DC500E">
              <w:t>Lower values indicate superior fit</w:t>
            </w:r>
          </w:p>
        </w:tc>
      </w:tr>
      <w:tr w:rsidR="004D387E" w:rsidRPr="00DC500E" w14:paraId="1AA85006" w14:textId="77777777" w:rsidTr="004D387E">
        <w:tc>
          <w:tcPr>
            <w:tcW w:w="0" w:type="auto"/>
            <w:hideMark/>
          </w:tcPr>
          <w:p w14:paraId="0A682B32" w14:textId="77777777" w:rsidR="004D387E" w:rsidRPr="00DC500E" w:rsidRDefault="004D387E">
            <w:r w:rsidRPr="00DC500E">
              <w:rPr>
                <w:b/>
                <w:bCs/>
              </w:rPr>
              <w:t>Geodesic Discrepancy (</w:t>
            </w:r>
            <w:proofErr w:type="spellStart"/>
            <w:r w:rsidRPr="00DC500E">
              <w:rPr>
                <w:rStyle w:val="mord"/>
                <w:b/>
                <w:bCs/>
              </w:rPr>
              <w:t>dG</w:t>
            </w:r>
            <w:proofErr w:type="spellEnd"/>
            <w:r w:rsidRPr="00DC500E">
              <w:rPr>
                <w:rStyle w:val="vlist-s"/>
                <w:b/>
                <w:bCs/>
              </w:rPr>
              <w:t>​</w:t>
            </w:r>
            <w:r w:rsidRPr="00DC500E">
              <w:rPr>
                <w:b/>
                <w:bCs/>
              </w:rPr>
              <w:t>)</w:t>
            </w:r>
          </w:p>
        </w:tc>
        <w:tc>
          <w:tcPr>
            <w:tcW w:w="0" w:type="auto"/>
            <w:hideMark/>
          </w:tcPr>
          <w:p w14:paraId="594DD117" w14:textId="77777777" w:rsidR="004D387E" w:rsidRPr="00DC500E" w:rsidRDefault="004D387E">
            <w:r w:rsidRPr="00DC500E">
              <w:t>0.988</w:t>
            </w:r>
          </w:p>
        </w:tc>
        <w:tc>
          <w:tcPr>
            <w:tcW w:w="0" w:type="auto"/>
            <w:hideMark/>
          </w:tcPr>
          <w:p w14:paraId="195B347A" w14:textId="77777777" w:rsidR="004D387E" w:rsidRPr="00DC500E" w:rsidRDefault="004D387E">
            <w:r w:rsidRPr="00DC500E">
              <w:t>0.994</w:t>
            </w:r>
          </w:p>
        </w:tc>
        <w:tc>
          <w:tcPr>
            <w:tcW w:w="0" w:type="auto"/>
            <w:hideMark/>
          </w:tcPr>
          <w:p w14:paraId="5AF8ECFB" w14:textId="77777777" w:rsidR="004D387E" w:rsidRPr="00DC500E" w:rsidRDefault="004D387E">
            <w:r w:rsidRPr="00DC500E">
              <w:t>Lower values indicate superior fit</w:t>
            </w:r>
          </w:p>
        </w:tc>
      </w:tr>
      <w:tr w:rsidR="004D387E" w:rsidRPr="00DC500E" w14:paraId="3736BE5A" w14:textId="77777777" w:rsidTr="004D387E">
        <w:tc>
          <w:tcPr>
            <w:tcW w:w="0" w:type="auto"/>
            <w:hideMark/>
          </w:tcPr>
          <w:p w14:paraId="4612ACCD" w14:textId="77777777" w:rsidR="004D387E" w:rsidRPr="00DC500E" w:rsidRDefault="004D387E">
            <w:r w:rsidRPr="00DC500E">
              <w:rPr>
                <w:b/>
                <w:bCs/>
              </w:rPr>
              <w:t>Chi-Square (</w:t>
            </w:r>
            <w:proofErr w:type="spellStart"/>
            <w:r w:rsidRPr="00DC500E">
              <w:rPr>
                <w:rStyle w:val="mord"/>
                <w:b/>
                <w:bCs/>
              </w:rPr>
              <w:t>χ2</w:t>
            </w:r>
            <w:proofErr w:type="spellEnd"/>
            <w:r w:rsidRPr="00DC500E">
              <w:rPr>
                <w:b/>
                <w:bCs/>
              </w:rPr>
              <w:t>)</w:t>
            </w:r>
          </w:p>
        </w:tc>
        <w:tc>
          <w:tcPr>
            <w:tcW w:w="0" w:type="auto"/>
            <w:hideMark/>
          </w:tcPr>
          <w:p w14:paraId="557C1E45" w14:textId="77777777" w:rsidR="004D387E" w:rsidRPr="00DC500E" w:rsidRDefault="004D387E">
            <w:r w:rsidRPr="00DC500E">
              <w:t>731.702</w:t>
            </w:r>
          </w:p>
        </w:tc>
        <w:tc>
          <w:tcPr>
            <w:tcW w:w="0" w:type="auto"/>
            <w:hideMark/>
          </w:tcPr>
          <w:p w14:paraId="15A22931" w14:textId="77777777" w:rsidR="004D387E" w:rsidRPr="00DC500E" w:rsidRDefault="004D387E">
            <w:r w:rsidRPr="00DC500E">
              <w:t>735.841</w:t>
            </w:r>
          </w:p>
        </w:tc>
        <w:tc>
          <w:tcPr>
            <w:tcW w:w="0" w:type="auto"/>
            <w:hideMark/>
          </w:tcPr>
          <w:p w14:paraId="0912F467" w14:textId="77777777" w:rsidR="004D387E" w:rsidRPr="00DC500E" w:rsidRDefault="004D387E">
            <w:r w:rsidRPr="00DC500E">
              <w:t>Baseline comparative measure</w:t>
            </w:r>
          </w:p>
        </w:tc>
      </w:tr>
      <w:tr w:rsidR="004D387E" w:rsidRPr="00DC500E" w14:paraId="4C3E77AD" w14:textId="77777777" w:rsidTr="004D387E">
        <w:tc>
          <w:tcPr>
            <w:tcW w:w="0" w:type="auto"/>
            <w:hideMark/>
          </w:tcPr>
          <w:p w14:paraId="4A315F9B" w14:textId="77777777" w:rsidR="004D387E" w:rsidRPr="00DC500E" w:rsidRDefault="004D387E">
            <w:r w:rsidRPr="00DC500E">
              <w:rPr>
                <w:b/>
                <w:bCs/>
              </w:rPr>
              <w:t>Normed Fit Index (</w:t>
            </w:r>
            <w:proofErr w:type="spellStart"/>
            <w:r w:rsidRPr="00DC500E">
              <w:rPr>
                <w:b/>
                <w:bCs/>
              </w:rPr>
              <w:t>NFI</w:t>
            </w:r>
            <w:proofErr w:type="spellEnd"/>
            <w:r w:rsidRPr="00DC500E">
              <w:rPr>
                <w:b/>
                <w:bCs/>
              </w:rPr>
              <w:t>)</w:t>
            </w:r>
          </w:p>
        </w:tc>
        <w:tc>
          <w:tcPr>
            <w:tcW w:w="0" w:type="auto"/>
            <w:hideMark/>
          </w:tcPr>
          <w:p w14:paraId="632DA023" w14:textId="77777777" w:rsidR="004D387E" w:rsidRPr="00DC500E" w:rsidRDefault="004D387E">
            <w:r w:rsidRPr="00DC500E">
              <w:t>0.596</w:t>
            </w:r>
          </w:p>
        </w:tc>
        <w:tc>
          <w:tcPr>
            <w:tcW w:w="0" w:type="auto"/>
            <w:hideMark/>
          </w:tcPr>
          <w:p w14:paraId="68654EF5" w14:textId="77777777" w:rsidR="004D387E" w:rsidRPr="00DC500E" w:rsidRDefault="004D387E">
            <w:r w:rsidRPr="00DC500E">
              <w:t>0.594</w:t>
            </w:r>
          </w:p>
        </w:tc>
        <w:tc>
          <w:tcPr>
            <w:tcW w:w="0" w:type="auto"/>
            <w:hideMark/>
          </w:tcPr>
          <w:p w14:paraId="1192EA98" w14:textId="77777777" w:rsidR="004D387E" w:rsidRPr="00DC500E" w:rsidRDefault="004D387E">
            <w:r w:rsidRPr="00DC500E">
              <w:t>Values approaching 0.90 indicate good fit</w:t>
            </w:r>
          </w:p>
        </w:tc>
      </w:tr>
    </w:tbl>
    <w:p w14:paraId="10512B9B" w14:textId="08CEFF2A" w:rsidR="00492F89" w:rsidRPr="00DC500E" w:rsidRDefault="004D387E" w:rsidP="00DC500E">
      <w:pPr>
        <w:pStyle w:val="NormalWeb"/>
        <w:rPr>
          <w:i/>
          <w:iCs/>
          <w:color w:val="000000"/>
          <w:lang w:val="en-GB"/>
        </w:rPr>
      </w:pPr>
      <w:r w:rsidRPr="00DC500E">
        <w:rPr>
          <w:i/>
          <w:iCs/>
          <w:color w:val="000000"/>
          <w:lang w:val="en-GB"/>
        </w:rPr>
        <w:t xml:space="preserve">Note: While </w:t>
      </w:r>
      <w:proofErr w:type="spellStart"/>
      <w:r w:rsidRPr="00DC500E">
        <w:rPr>
          <w:i/>
          <w:iCs/>
          <w:color w:val="000000"/>
          <w:lang w:val="en-GB"/>
        </w:rPr>
        <w:t>SRMR</w:t>
      </w:r>
      <w:proofErr w:type="spellEnd"/>
      <w:r w:rsidRPr="00DC500E">
        <w:rPr>
          <w:i/>
          <w:iCs/>
          <w:color w:val="000000"/>
          <w:lang w:val="en-GB"/>
        </w:rPr>
        <w:t xml:space="preserve"> and </w:t>
      </w:r>
      <w:proofErr w:type="spellStart"/>
      <w:r w:rsidRPr="00DC500E">
        <w:rPr>
          <w:i/>
          <w:iCs/>
          <w:color w:val="000000"/>
          <w:lang w:val="en-GB"/>
        </w:rPr>
        <w:t>NFI</w:t>
      </w:r>
      <w:proofErr w:type="spellEnd"/>
      <w:r w:rsidRPr="00DC500E">
        <w:rPr>
          <w:i/>
          <w:iCs/>
          <w:color w:val="000000"/>
          <w:lang w:val="en-GB"/>
        </w:rPr>
        <w:t xml:space="preserve"> are reported per PLS-SEM convention, PLS-SEM relies primarily on predictive relevance (</w:t>
      </w:r>
      <w:proofErr w:type="spellStart"/>
      <w:r w:rsidRPr="00DC500E">
        <w:rPr>
          <w:rStyle w:val="mord"/>
          <w:i/>
          <w:iCs/>
          <w:color w:val="000000"/>
          <w:lang w:val="en-GB"/>
        </w:rPr>
        <w:t>R2</w:t>
      </w:r>
      <w:proofErr w:type="spellEnd"/>
      <w:r w:rsidRPr="00DC500E">
        <w:rPr>
          <w:i/>
          <w:iCs/>
          <w:color w:val="000000"/>
          <w:lang w:val="en-GB"/>
        </w:rPr>
        <w:t>) and bootstrapping path significance rather than global covariance fit indices.</w:t>
      </w:r>
    </w:p>
    <w:p w14:paraId="1502A55D" w14:textId="459E3706" w:rsidR="00492F89" w:rsidRPr="00DC500E" w:rsidRDefault="00492F89" w:rsidP="00492F89">
      <w:pPr>
        <w:rPr>
          <w:lang w:eastAsia="en-GB" w:bidi="hi-IN"/>
        </w:rPr>
      </w:pPr>
      <w:r w:rsidRPr="00DC500E">
        <w:rPr>
          <w:lang w:eastAsia="en-GB" w:bidi="hi-IN"/>
        </w:rPr>
        <w:t xml:space="preserve">The global model fit is indicated in Table </w:t>
      </w:r>
      <w:r w:rsidR="00970609">
        <w:rPr>
          <w:lang w:eastAsia="en-GB" w:bidi="hi-IN"/>
        </w:rPr>
        <w:t>6</w:t>
      </w:r>
      <w:r w:rsidRPr="00DC500E">
        <w:rPr>
          <w:lang w:eastAsia="en-GB" w:bidi="hi-IN"/>
        </w:rPr>
        <w:t>, specifically the Standardised Root Mean Square Residual (</w:t>
      </w:r>
      <w:proofErr w:type="spellStart"/>
      <w:r w:rsidRPr="00DC500E">
        <w:rPr>
          <w:lang w:eastAsia="en-GB" w:bidi="hi-IN"/>
        </w:rPr>
        <w:t>SRMR</w:t>
      </w:r>
      <w:proofErr w:type="spellEnd"/>
      <w:r w:rsidRPr="00DC500E">
        <w:rPr>
          <w:lang w:eastAsia="en-GB" w:bidi="hi-IN"/>
        </w:rPr>
        <w:t>) and the Normed Fit Index (</w:t>
      </w:r>
      <w:proofErr w:type="spellStart"/>
      <w:r w:rsidRPr="00DC500E">
        <w:rPr>
          <w:lang w:eastAsia="en-GB" w:bidi="hi-IN"/>
        </w:rPr>
        <w:t>NFI</w:t>
      </w:r>
      <w:proofErr w:type="spellEnd"/>
      <w:r w:rsidRPr="00DC500E">
        <w:rPr>
          <w:lang w:eastAsia="en-GB" w:bidi="hi-IN"/>
        </w:rPr>
        <w:t xml:space="preserve">). Based on the estimated model, the </w:t>
      </w:r>
      <w:proofErr w:type="spellStart"/>
      <w:r w:rsidRPr="00DC500E">
        <w:rPr>
          <w:lang w:eastAsia="en-GB" w:bidi="hi-IN"/>
        </w:rPr>
        <w:t>SRMR</w:t>
      </w:r>
      <w:proofErr w:type="spellEnd"/>
      <w:r w:rsidRPr="00DC500E">
        <w:rPr>
          <w:lang w:eastAsia="en-GB" w:bidi="hi-IN"/>
        </w:rPr>
        <w:t xml:space="preserve"> = 0.137 and </w:t>
      </w:r>
      <w:proofErr w:type="spellStart"/>
      <w:r w:rsidRPr="00DC500E">
        <w:rPr>
          <w:lang w:eastAsia="en-GB" w:bidi="hi-IN"/>
        </w:rPr>
        <w:t>NFI</w:t>
      </w:r>
      <w:proofErr w:type="spellEnd"/>
      <w:r w:rsidRPr="00DC500E">
        <w:rPr>
          <w:lang w:eastAsia="en-GB" w:bidi="hi-IN"/>
        </w:rPr>
        <w:t xml:space="preserve"> = 0.594. In the traditional Covariance-Based SEM (CB-SEM), these values would be considered less than adequate because they are not &lt;0.08 and &gt;0.90, respectively. But it is important as well, from a methodological point of view, that these measurements are reported in the context of the particular paradigm of Partial Least Squares (PLS-SEM).</w:t>
      </w:r>
    </w:p>
    <w:p w14:paraId="668DBD7D" w14:textId="6C17712C" w:rsidR="004D387E" w:rsidRPr="00DC500E" w:rsidRDefault="00492F89" w:rsidP="00492F89">
      <w:pPr>
        <w:rPr>
          <w:lang w:eastAsia="en-GB" w:bidi="hi-IN"/>
        </w:rPr>
      </w:pPr>
      <w:r w:rsidRPr="00DC500E">
        <w:rPr>
          <w:lang w:eastAsia="en-GB" w:bidi="hi-IN"/>
        </w:rPr>
        <w:lastRenderedPageBreak/>
        <w:t>In contrast to this, variance-based SEM are statistically designed to maximise the variance explained of endogenous LVs, and not the difference between the empirical and theoretical covariance matrices. So</w:t>
      </w:r>
      <w:r w:rsidR="00DC500E" w:rsidRPr="00DC500E">
        <w:rPr>
          <w:lang w:eastAsia="en-GB" w:bidi="hi-IN"/>
        </w:rPr>
        <w:t>,</w:t>
      </w:r>
      <w:r w:rsidRPr="00DC500E">
        <w:rPr>
          <w:lang w:eastAsia="en-GB" w:bidi="hi-IN"/>
        </w:rPr>
        <w:t xml:space="preserve"> model-fit measures such as </w:t>
      </w:r>
      <w:proofErr w:type="spellStart"/>
      <w:r w:rsidRPr="00DC500E">
        <w:rPr>
          <w:lang w:eastAsia="en-GB" w:bidi="hi-IN"/>
        </w:rPr>
        <w:t>SRMR</w:t>
      </w:r>
      <w:proofErr w:type="spellEnd"/>
      <w:r w:rsidRPr="00DC500E">
        <w:rPr>
          <w:lang w:eastAsia="en-GB" w:bidi="hi-IN"/>
        </w:rPr>
        <w:t xml:space="preserve"> and </w:t>
      </w:r>
      <w:proofErr w:type="spellStart"/>
      <w:r w:rsidRPr="00DC500E">
        <w:rPr>
          <w:lang w:eastAsia="en-GB" w:bidi="hi-IN"/>
        </w:rPr>
        <w:t>NFI</w:t>
      </w:r>
      <w:proofErr w:type="spellEnd"/>
      <w:r w:rsidRPr="00DC500E">
        <w:rPr>
          <w:lang w:eastAsia="en-GB" w:bidi="hi-IN"/>
        </w:rPr>
        <w:t xml:space="preserve"> have been criticised in the recent literature on PLS and are often considered inappropriate to measure the validity of the model. For methodological transparency, these indices are reported, but this research</w:t>
      </w:r>
      <w:r w:rsidR="00A22DB1">
        <w:rPr>
          <w:lang w:eastAsia="en-GB" w:bidi="hi-IN"/>
        </w:rPr>
        <w:t>’</w:t>
      </w:r>
      <w:r w:rsidRPr="00DC500E">
        <w:rPr>
          <w:lang w:eastAsia="en-GB" w:bidi="hi-IN"/>
        </w:rPr>
        <w:t>s structure rests on the basis of predictive relevance, variance explained and the thorough bootstrapping of path coefficients.</w:t>
      </w:r>
    </w:p>
    <w:p w14:paraId="66AB5C5E" w14:textId="0CA87BC4" w:rsidR="004D387E" w:rsidRPr="00DC500E" w:rsidRDefault="00DC500E" w:rsidP="00DC500E">
      <w:pPr>
        <w:pStyle w:val="Caption"/>
        <w:rPr>
          <w:color w:val="000000"/>
        </w:rPr>
      </w:pPr>
      <w:bookmarkStart w:id="66" w:name="_Toc241053205"/>
      <w:r w:rsidRPr="00DC500E">
        <w:t xml:space="preserve">Table </w:t>
      </w:r>
      <w:r w:rsidRPr="00DC500E">
        <w:fldChar w:fldCharType="begin"/>
      </w:r>
      <w:r w:rsidRPr="00DC500E">
        <w:instrText xml:space="preserve"> SEQ Table \* ARABIC </w:instrText>
      </w:r>
      <w:r w:rsidRPr="00DC500E">
        <w:fldChar w:fldCharType="separate"/>
      </w:r>
      <w:r w:rsidR="00603018">
        <w:rPr>
          <w:noProof/>
        </w:rPr>
        <w:t>7</w:t>
      </w:r>
      <w:r w:rsidRPr="00DC500E">
        <w:fldChar w:fldCharType="end"/>
      </w:r>
      <w:r w:rsidR="004D387E" w:rsidRPr="00DC500E">
        <w:rPr>
          <w:color w:val="000000"/>
        </w:rPr>
        <w:t>: Coefficient of Determination (</w:t>
      </w:r>
      <w:proofErr w:type="spellStart"/>
      <w:r w:rsidR="004D387E" w:rsidRPr="00DC500E">
        <w:rPr>
          <w:rStyle w:val="mord"/>
          <w:color w:val="000000"/>
        </w:rPr>
        <w:t>R</w:t>
      </w:r>
      <w:r w:rsidR="004D387E" w:rsidRPr="00DC500E">
        <w:rPr>
          <w:rStyle w:val="mord"/>
          <w:color w:val="000000"/>
          <w:vertAlign w:val="superscript"/>
        </w:rPr>
        <w:t>2</w:t>
      </w:r>
      <w:proofErr w:type="spellEnd"/>
      <w:r w:rsidR="004D387E" w:rsidRPr="00DC500E">
        <w:rPr>
          <w:color w:val="000000"/>
        </w:rPr>
        <w:t>)</w:t>
      </w:r>
      <w:bookmarkEnd w:id="66"/>
    </w:p>
    <w:tbl>
      <w:tblPr>
        <w:tblStyle w:val="APA7"/>
        <w:tblW w:w="0" w:type="auto"/>
        <w:tblLook w:val="04A0" w:firstRow="1" w:lastRow="0" w:firstColumn="1" w:lastColumn="0" w:noHBand="0" w:noVBand="1"/>
      </w:tblPr>
      <w:tblGrid>
        <w:gridCol w:w="1778"/>
        <w:gridCol w:w="1245"/>
        <w:gridCol w:w="1110"/>
        <w:gridCol w:w="1391"/>
        <w:gridCol w:w="1062"/>
        <w:gridCol w:w="820"/>
        <w:gridCol w:w="1620"/>
      </w:tblGrid>
      <w:tr w:rsidR="004D387E" w:rsidRPr="00DC500E" w14:paraId="2266A559" w14:textId="77777777" w:rsidTr="004D387E">
        <w:trPr>
          <w:cnfStyle w:val="100000000000" w:firstRow="1" w:lastRow="0" w:firstColumn="0" w:lastColumn="0" w:oddVBand="0" w:evenVBand="0" w:oddHBand="0" w:evenHBand="0" w:firstRowFirstColumn="0" w:firstRowLastColumn="0" w:lastRowFirstColumn="0" w:lastRowLastColumn="0"/>
        </w:trPr>
        <w:tc>
          <w:tcPr>
            <w:tcW w:w="0" w:type="auto"/>
            <w:hideMark/>
          </w:tcPr>
          <w:p w14:paraId="57037AEF" w14:textId="77777777" w:rsidR="004D387E" w:rsidRPr="00DC500E" w:rsidRDefault="004D387E">
            <w:pPr>
              <w:jc w:val="center"/>
              <w:rPr>
                <w:color w:val="auto"/>
              </w:rPr>
            </w:pPr>
            <w:r w:rsidRPr="00DC500E">
              <w:t>Endogenous Latent Variable</w:t>
            </w:r>
          </w:p>
        </w:tc>
        <w:tc>
          <w:tcPr>
            <w:tcW w:w="0" w:type="auto"/>
            <w:hideMark/>
          </w:tcPr>
          <w:p w14:paraId="3B8FF52C" w14:textId="77777777" w:rsidR="004D387E" w:rsidRPr="00DC500E" w:rsidRDefault="004D387E">
            <w:pPr>
              <w:jc w:val="center"/>
            </w:pPr>
            <w:r w:rsidRPr="00DC500E">
              <w:t>Original Sample (</w:t>
            </w:r>
            <w:proofErr w:type="spellStart"/>
            <w:r w:rsidRPr="00DC500E">
              <w:rPr>
                <w:rStyle w:val="mord"/>
              </w:rPr>
              <w:t>R2</w:t>
            </w:r>
            <w:proofErr w:type="spellEnd"/>
            <w:r w:rsidRPr="00DC500E">
              <w:t>)</w:t>
            </w:r>
          </w:p>
        </w:tc>
        <w:tc>
          <w:tcPr>
            <w:tcW w:w="0" w:type="auto"/>
            <w:hideMark/>
          </w:tcPr>
          <w:p w14:paraId="1CBD645D" w14:textId="77777777" w:rsidR="004D387E" w:rsidRPr="00DC500E" w:rsidRDefault="004D387E">
            <w:pPr>
              <w:jc w:val="center"/>
            </w:pPr>
            <w:r w:rsidRPr="00DC500E">
              <w:t>Sample Mean (</w:t>
            </w:r>
            <w:r w:rsidRPr="00DC500E">
              <w:rPr>
                <w:rStyle w:val="mord"/>
              </w:rPr>
              <w:t>M</w:t>
            </w:r>
            <w:r w:rsidRPr="00DC500E">
              <w:t>)</w:t>
            </w:r>
          </w:p>
        </w:tc>
        <w:tc>
          <w:tcPr>
            <w:tcW w:w="0" w:type="auto"/>
            <w:hideMark/>
          </w:tcPr>
          <w:p w14:paraId="28C01349" w14:textId="77777777" w:rsidR="004D387E" w:rsidRPr="00DC500E" w:rsidRDefault="004D387E">
            <w:pPr>
              <w:jc w:val="center"/>
            </w:pPr>
            <w:r w:rsidRPr="00DC500E">
              <w:t>Standard Deviation (</w:t>
            </w:r>
            <w:r w:rsidRPr="00DC500E">
              <w:rPr>
                <w:rStyle w:val="mord"/>
              </w:rPr>
              <w:t>SD</w:t>
            </w:r>
            <w:r w:rsidRPr="00DC500E">
              <w:t>)</w:t>
            </w:r>
          </w:p>
        </w:tc>
        <w:tc>
          <w:tcPr>
            <w:tcW w:w="0" w:type="auto"/>
            <w:hideMark/>
          </w:tcPr>
          <w:p w14:paraId="6BB0A6A4" w14:textId="77777777" w:rsidR="004D387E" w:rsidRPr="00DC500E" w:rsidRDefault="004D387E">
            <w:pPr>
              <w:jc w:val="center"/>
            </w:pPr>
            <w:r w:rsidRPr="00DC500E">
              <w:rPr>
                <w:rStyle w:val="mord"/>
              </w:rPr>
              <w:t>t</w:t>
            </w:r>
            <w:r w:rsidRPr="00DC500E">
              <w:t>-Statistic</w:t>
            </w:r>
          </w:p>
        </w:tc>
        <w:tc>
          <w:tcPr>
            <w:tcW w:w="0" w:type="auto"/>
            <w:hideMark/>
          </w:tcPr>
          <w:p w14:paraId="72F5DA96" w14:textId="77777777" w:rsidR="004D387E" w:rsidRPr="00DC500E" w:rsidRDefault="004D387E">
            <w:pPr>
              <w:jc w:val="center"/>
            </w:pPr>
            <w:r w:rsidRPr="00DC500E">
              <w:rPr>
                <w:rStyle w:val="mord"/>
              </w:rPr>
              <w:t>p</w:t>
            </w:r>
            <w:r w:rsidRPr="00DC500E">
              <w:t>-Value</w:t>
            </w:r>
          </w:p>
        </w:tc>
        <w:tc>
          <w:tcPr>
            <w:tcW w:w="0" w:type="auto"/>
            <w:hideMark/>
          </w:tcPr>
          <w:p w14:paraId="5CCF93D1" w14:textId="77777777" w:rsidR="004D387E" w:rsidRPr="00DC500E" w:rsidRDefault="004D387E">
            <w:pPr>
              <w:jc w:val="center"/>
            </w:pPr>
            <w:r w:rsidRPr="00DC500E">
              <w:t>Explanatory Power</w:t>
            </w:r>
          </w:p>
        </w:tc>
      </w:tr>
      <w:tr w:rsidR="004D387E" w:rsidRPr="00DC500E" w14:paraId="7D8A9BE6" w14:textId="77777777" w:rsidTr="004D387E">
        <w:tc>
          <w:tcPr>
            <w:tcW w:w="0" w:type="auto"/>
            <w:hideMark/>
          </w:tcPr>
          <w:p w14:paraId="56E21ACD" w14:textId="77777777" w:rsidR="004D387E" w:rsidRPr="00DC500E" w:rsidRDefault="004D387E">
            <w:pPr>
              <w:jc w:val="left"/>
            </w:pPr>
            <w:r w:rsidRPr="00DC500E">
              <w:rPr>
                <w:b/>
                <w:bCs/>
              </w:rPr>
              <w:t>Consumer Trust (CT)</w:t>
            </w:r>
          </w:p>
        </w:tc>
        <w:tc>
          <w:tcPr>
            <w:tcW w:w="0" w:type="auto"/>
            <w:hideMark/>
          </w:tcPr>
          <w:p w14:paraId="3B2B11A6" w14:textId="77777777" w:rsidR="004D387E" w:rsidRPr="00DC500E" w:rsidRDefault="004D387E">
            <w:r w:rsidRPr="00DC500E">
              <w:t>0.491</w:t>
            </w:r>
          </w:p>
        </w:tc>
        <w:tc>
          <w:tcPr>
            <w:tcW w:w="0" w:type="auto"/>
            <w:hideMark/>
          </w:tcPr>
          <w:p w14:paraId="7E50EBB6" w14:textId="77777777" w:rsidR="004D387E" w:rsidRPr="00DC500E" w:rsidRDefault="004D387E">
            <w:r w:rsidRPr="00DC500E">
              <w:t>0.504</w:t>
            </w:r>
          </w:p>
        </w:tc>
        <w:tc>
          <w:tcPr>
            <w:tcW w:w="0" w:type="auto"/>
            <w:hideMark/>
          </w:tcPr>
          <w:p w14:paraId="016FA03B" w14:textId="77777777" w:rsidR="004D387E" w:rsidRPr="00DC500E" w:rsidRDefault="004D387E">
            <w:r w:rsidRPr="00DC500E">
              <w:t>0.068</w:t>
            </w:r>
          </w:p>
        </w:tc>
        <w:tc>
          <w:tcPr>
            <w:tcW w:w="0" w:type="auto"/>
            <w:hideMark/>
          </w:tcPr>
          <w:p w14:paraId="32629555" w14:textId="77777777" w:rsidR="004D387E" w:rsidRPr="00DC500E" w:rsidRDefault="004D387E">
            <w:r w:rsidRPr="00DC500E">
              <w:t>7.227</w:t>
            </w:r>
          </w:p>
        </w:tc>
        <w:tc>
          <w:tcPr>
            <w:tcW w:w="0" w:type="auto"/>
            <w:hideMark/>
          </w:tcPr>
          <w:p w14:paraId="0B07A391" w14:textId="77777777" w:rsidR="004D387E" w:rsidRPr="00DC500E" w:rsidRDefault="004D387E">
            <w:r w:rsidRPr="00DC500E">
              <w:rPr>
                <w:rStyle w:val="mord"/>
              </w:rPr>
              <w:t>0.000</w:t>
            </w:r>
          </w:p>
        </w:tc>
        <w:tc>
          <w:tcPr>
            <w:tcW w:w="0" w:type="auto"/>
            <w:hideMark/>
          </w:tcPr>
          <w:p w14:paraId="3F1AADCE" w14:textId="77777777" w:rsidR="004D387E" w:rsidRPr="00DC500E" w:rsidRDefault="004D387E">
            <w:r w:rsidRPr="00DC500E">
              <w:t>Moderate to Substantial</w:t>
            </w:r>
          </w:p>
        </w:tc>
      </w:tr>
      <w:tr w:rsidR="004D387E" w:rsidRPr="00DC500E" w14:paraId="7D400B2A" w14:textId="77777777" w:rsidTr="004D387E">
        <w:tc>
          <w:tcPr>
            <w:tcW w:w="0" w:type="auto"/>
            <w:hideMark/>
          </w:tcPr>
          <w:p w14:paraId="498BC9D4" w14:textId="77777777" w:rsidR="004D387E" w:rsidRPr="00DC500E" w:rsidRDefault="004D387E">
            <w:r w:rsidRPr="00DC500E">
              <w:rPr>
                <w:b/>
                <w:bCs/>
              </w:rPr>
              <w:t>Sustainable Purchase Intention (SPI)</w:t>
            </w:r>
          </w:p>
        </w:tc>
        <w:tc>
          <w:tcPr>
            <w:tcW w:w="0" w:type="auto"/>
            <w:hideMark/>
          </w:tcPr>
          <w:p w14:paraId="12CAACD9" w14:textId="77777777" w:rsidR="004D387E" w:rsidRPr="00DC500E" w:rsidRDefault="004D387E">
            <w:r w:rsidRPr="00DC500E">
              <w:t>0.424</w:t>
            </w:r>
          </w:p>
        </w:tc>
        <w:tc>
          <w:tcPr>
            <w:tcW w:w="0" w:type="auto"/>
            <w:hideMark/>
          </w:tcPr>
          <w:p w14:paraId="0455CAB7" w14:textId="77777777" w:rsidR="004D387E" w:rsidRPr="00DC500E" w:rsidRDefault="004D387E">
            <w:r w:rsidRPr="00DC500E">
              <w:t>0.429</w:t>
            </w:r>
          </w:p>
        </w:tc>
        <w:tc>
          <w:tcPr>
            <w:tcW w:w="0" w:type="auto"/>
            <w:hideMark/>
          </w:tcPr>
          <w:p w14:paraId="6A4E85B3" w14:textId="77777777" w:rsidR="004D387E" w:rsidRPr="00DC500E" w:rsidRDefault="004D387E">
            <w:r w:rsidRPr="00DC500E">
              <w:t>0.113</w:t>
            </w:r>
          </w:p>
        </w:tc>
        <w:tc>
          <w:tcPr>
            <w:tcW w:w="0" w:type="auto"/>
            <w:hideMark/>
          </w:tcPr>
          <w:p w14:paraId="616C1F35" w14:textId="77777777" w:rsidR="004D387E" w:rsidRPr="00DC500E" w:rsidRDefault="004D387E">
            <w:r w:rsidRPr="00DC500E">
              <w:t>3.752</w:t>
            </w:r>
          </w:p>
        </w:tc>
        <w:tc>
          <w:tcPr>
            <w:tcW w:w="0" w:type="auto"/>
            <w:hideMark/>
          </w:tcPr>
          <w:p w14:paraId="0BF625C6" w14:textId="77777777" w:rsidR="004D387E" w:rsidRPr="00DC500E" w:rsidRDefault="004D387E">
            <w:r w:rsidRPr="00DC500E">
              <w:rPr>
                <w:rStyle w:val="mord"/>
              </w:rPr>
              <w:t>0.000</w:t>
            </w:r>
          </w:p>
        </w:tc>
        <w:tc>
          <w:tcPr>
            <w:tcW w:w="0" w:type="auto"/>
            <w:hideMark/>
          </w:tcPr>
          <w:p w14:paraId="7D13D785" w14:textId="77777777" w:rsidR="004D387E" w:rsidRPr="00DC500E" w:rsidRDefault="004D387E">
            <w:r w:rsidRPr="00DC500E">
              <w:t>Moderate</w:t>
            </w:r>
          </w:p>
        </w:tc>
      </w:tr>
    </w:tbl>
    <w:p w14:paraId="526A41F2" w14:textId="2EFA6E04" w:rsidR="00492F89" w:rsidRPr="00DC500E" w:rsidRDefault="00492F89" w:rsidP="00492F89">
      <w:pPr>
        <w:rPr>
          <w:lang w:eastAsia="en-GB" w:bidi="hi-IN"/>
        </w:rPr>
      </w:pPr>
      <w:r w:rsidRPr="00DC500E">
        <w:rPr>
          <w:lang w:eastAsia="en-GB" w:bidi="hi-IN"/>
        </w:rPr>
        <w:t>Coefficient of Determination (</w:t>
      </w:r>
      <w:proofErr w:type="spellStart"/>
      <w:r w:rsidRPr="00DC500E">
        <w:rPr>
          <w:lang w:eastAsia="en-GB" w:bidi="hi-IN"/>
        </w:rPr>
        <w:t>R2</w:t>
      </w:r>
      <w:proofErr w:type="spellEnd"/>
      <w:r w:rsidRPr="00DC500E">
        <w:rPr>
          <w:lang w:eastAsia="en-GB" w:bidi="hi-IN"/>
        </w:rPr>
        <w:t xml:space="preserve">), which is detailed in Table </w:t>
      </w:r>
      <w:r w:rsidR="00970609">
        <w:rPr>
          <w:lang w:eastAsia="en-GB" w:bidi="hi-IN"/>
        </w:rPr>
        <w:t>7</w:t>
      </w:r>
      <w:r w:rsidRPr="00DC500E">
        <w:rPr>
          <w:lang w:eastAsia="en-GB" w:bidi="hi-IN"/>
        </w:rPr>
        <w:t xml:space="preserve"> was used for quantification of the true explanatory power of the structural model. The values of </w:t>
      </w:r>
      <w:proofErr w:type="spellStart"/>
      <w:r w:rsidRPr="00DC500E">
        <w:rPr>
          <w:lang w:eastAsia="en-GB" w:bidi="hi-IN"/>
        </w:rPr>
        <w:t>R2</w:t>
      </w:r>
      <w:proofErr w:type="spellEnd"/>
      <w:r w:rsidRPr="00DC500E">
        <w:rPr>
          <w:lang w:eastAsia="en-GB" w:bidi="hi-IN"/>
        </w:rPr>
        <w:t xml:space="preserve"> show how much of the variance in the endogenous (dependent) variables can be structurally explained by the previous exogenous (independent) variables.</w:t>
      </w:r>
    </w:p>
    <w:p w14:paraId="216E30D8" w14:textId="5124A766" w:rsidR="004D387E" w:rsidRPr="00DC500E" w:rsidRDefault="00492F89" w:rsidP="004D387E">
      <w:pPr>
        <w:rPr>
          <w:lang w:eastAsia="en-GB" w:bidi="hi-IN"/>
        </w:rPr>
      </w:pPr>
      <w:r w:rsidRPr="00DC500E">
        <w:rPr>
          <w:lang w:eastAsia="en-GB" w:bidi="hi-IN"/>
        </w:rPr>
        <w:t xml:space="preserve">It is developed to be a threatening forerunner. The </w:t>
      </w:r>
      <w:proofErr w:type="spellStart"/>
      <w:r w:rsidRPr="00DC500E">
        <w:rPr>
          <w:lang w:eastAsia="en-GB" w:bidi="hi-IN"/>
        </w:rPr>
        <w:t>R2</w:t>
      </w:r>
      <w:proofErr w:type="spellEnd"/>
      <w:r w:rsidRPr="00DC500E">
        <w:rPr>
          <w:lang w:eastAsia="en-GB" w:bidi="hi-IN"/>
        </w:rPr>
        <w:t xml:space="preserve"> for Consumer Trust (descriptive) is 0.491, with a (very significant) t-statistic value of 7.227 (p=0.000). This means that Greenwashing Scepticism explains almost half (49.1%) of the variance in a consumer</w:t>
      </w:r>
      <w:r w:rsidR="00A22DB1">
        <w:rPr>
          <w:lang w:eastAsia="en-GB" w:bidi="hi-IN"/>
        </w:rPr>
        <w:t>’</w:t>
      </w:r>
      <w:r w:rsidRPr="00DC500E">
        <w:rPr>
          <w:lang w:eastAsia="en-GB" w:bidi="hi-IN"/>
        </w:rPr>
        <w:t xml:space="preserve">s environmental trust in fast fashion brands. In the world of Behavioural psychology, these are potentially medium to strong explanations. Moreover, it has </w:t>
      </w:r>
      <w:proofErr w:type="spellStart"/>
      <w:r w:rsidRPr="00DC500E">
        <w:rPr>
          <w:lang w:eastAsia="en-GB" w:bidi="hi-IN"/>
        </w:rPr>
        <w:t>R2</w:t>
      </w:r>
      <w:proofErr w:type="spellEnd"/>
      <w:r w:rsidRPr="00DC500E">
        <w:rPr>
          <w:lang w:eastAsia="en-GB" w:bidi="hi-IN"/>
        </w:rPr>
        <w:t xml:space="preserve"> 0.424 (t=3.752, p=0.000) for Sustainable Purchase </w:t>
      </w:r>
      <w:r w:rsidRPr="00DC500E">
        <w:rPr>
          <w:lang w:eastAsia="en-GB" w:bidi="hi-IN"/>
        </w:rPr>
        <w:lastRenderedPageBreak/>
        <w:t>Intention. Hence, the overall percentage of the variance explained by the proposed conceptual framework is 42.4%, which confirms that the model is highly predictive and provides a solid behavioural prediction instrument.</w:t>
      </w:r>
    </w:p>
    <w:p w14:paraId="7FE76186" w14:textId="77777777" w:rsidR="00DC500E" w:rsidRDefault="004D387E" w:rsidP="00DC500E">
      <w:r w:rsidRPr="00DC500E">
        <w:rPr>
          <w:noProof/>
        </w:rPr>
        <w:drawing>
          <wp:inline distT="0" distB="0" distL="0" distR="0" wp14:anchorId="1E6448C8" wp14:editId="0848E4B2">
            <wp:extent cx="5731510" cy="2212062"/>
            <wp:effectExtent l="0" t="0" r="0" b="0"/>
            <wp:docPr id="86270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70699" name="Picture 86270699"/>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212062"/>
                    </a:xfrm>
                    <a:prstGeom prst="rect">
                      <a:avLst/>
                    </a:prstGeom>
                  </pic:spPr>
                </pic:pic>
              </a:graphicData>
            </a:graphic>
          </wp:inline>
        </w:drawing>
      </w:r>
    </w:p>
    <w:p w14:paraId="1B54816C" w14:textId="07C5CDC4" w:rsidR="004D387E" w:rsidRPr="00DC500E" w:rsidRDefault="00DC500E" w:rsidP="00DC500E">
      <w:pPr>
        <w:pStyle w:val="Caption"/>
        <w:rPr>
          <w:color w:val="000000"/>
        </w:rPr>
      </w:pPr>
      <w:bookmarkStart w:id="67" w:name="_Toc241078127"/>
      <w:r>
        <w:t xml:space="preserve">Figure </w:t>
      </w:r>
      <w:r>
        <w:fldChar w:fldCharType="begin"/>
      </w:r>
      <w:r>
        <w:instrText xml:space="preserve"> SEQ Figure \* ARABIC </w:instrText>
      </w:r>
      <w:r>
        <w:fldChar w:fldCharType="separate"/>
      </w:r>
      <w:r w:rsidR="00603018">
        <w:rPr>
          <w:noProof/>
        </w:rPr>
        <w:t>7</w:t>
      </w:r>
      <w:r>
        <w:fldChar w:fldCharType="end"/>
      </w:r>
      <w:r w:rsidR="004D387E" w:rsidRPr="00DC500E">
        <w:rPr>
          <w:color w:val="000000"/>
        </w:rPr>
        <w:t>: Structural Equation Model Showing Path Coefficients (</w:t>
      </w:r>
      <w:r w:rsidR="004D387E" w:rsidRPr="00DC500E">
        <w:rPr>
          <w:rStyle w:val="mord"/>
          <w:color w:val="000000"/>
        </w:rPr>
        <w:t>β</w:t>
      </w:r>
      <w:r w:rsidR="004D387E" w:rsidRPr="00DC500E">
        <w:rPr>
          <w:color w:val="000000"/>
        </w:rPr>
        <w:t>),</w:t>
      </w:r>
      <w:r w:rsidR="004D387E" w:rsidRPr="00DC500E">
        <w:rPr>
          <w:rStyle w:val="apple-converted-space"/>
          <w:color w:val="000000"/>
        </w:rPr>
        <w:t> </w:t>
      </w:r>
      <w:r w:rsidR="004D387E" w:rsidRPr="00DC500E">
        <w:rPr>
          <w:rStyle w:val="mord"/>
          <w:color w:val="000000"/>
        </w:rPr>
        <w:t>t</w:t>
      </w:r>
      <w:r w:rsidR="004D387E" w:rsidRPr="00DC500E">
        <w:rPr>
          <w:color w:val="000000"/>
        </w:rPr>
        <w:t>-Values, and Variance Explained (</w:t>
      </w:r>
      <w:proofErr w:type="spellStart"/>
      <w:r w:rsidR="004D387E" w:rsidRPr="00DC500E">
        <w:rPr>
          <w:rStyle w:val="mord"/>
          <w:color w:val="000000"/>
        </w:rPr>
        <w:t>R</w:t>
      </w:r>
      <w:r w:rsidR="004D387E" w:rsidRPr="00DC500E">
        <w:rPr>
          <w:rStyle w:val="mord"/>
          <w:color w:val="000000"/>
          <w:vertAlign w:val="superscript"/>
        </w:rPr>
        <w:t>2</w:t>
      </w:r>
      <w:proofErr w:type="spellEnd"/>
      <w:r w:rsidR="004D387E" w:rsidRPr="00DC500E">
        <w:rPr>
          <w:color w:val="000000"/>
        </w:rPr>
        <w:t>)</w:t>
      </w:r>
      <w:bookmarkEnd w:id="67"/>
    </w:p>
    <w:p w14:paraId="13F5D37F" w14:textId="03CF7B51" w:rsidR="004D387E" w:rsidRPr="00DC500E" w:rsidRDefault="00DC500E" w:rsidP="00DC500E">
      <w:pPr>
        <w:pStyle w:val="Caption"/>
        <w:rPr>
          <w:color w:val="000000"/>
        </w:rPr>
      </w:pPr>
      <w:bookmarkStart w:id="68" w:name="_Toc241053206"/>
      <w:r w:rsidRPr="00DC500E">
        <w:t xml:space="preserve">Table </w:t>
      </w:r>
      <w:r w:rsidRPr="00DC500E">
        <w:fldChar w:fldCharType="begin"/>
      </w:r>
      <w:r w:rsidRPr="00DC500E">
        <w:instrText xml:space="preserve"> SEQ Table \* ARABIC </w:instrText>
      </w:r>
      <w:r w:rsidRPr="00DC500E">
        <w:fldChar w:fldCharType="separate"/>
      </w:r>
      <w:r w:rsidR="00603018">
        <w:rPr>
          <w:noProof/>
        </w:rPr>
        <w:t>8</w:t>
      </w:r>
      <w:r w:rsidRPr="00DC500E">
        <w:fldChar w:fldCharType="end"/>
      </w:r>
      <w:r w:rsidR="004D387E" w:rsidRPr="00DC500E">
        <w:rPr>
          <w:color w:val="000000"/>
        </w:rPr>
        <w:t>: Structural Path Coefficients and Direct Hypothesis Testing</w:t>
      </w:r>
      <w:bookmarkEnd w:id="68"/>
    </w:p>
    <w:tbl>
      <w:tblPr>
        <w:tblStyle w:val="APA7"/>
        <w:tblW w:w="0" w:type="auto"/>
        <w:tblLook w:val="04A0" w:firstRow="1" w:lastRow="0" w:firstColumn="1" w:lastColumn="0" w:noHBand="0" w:noVBand="1"/>
      </w:tblPr>
      <w:tblGrid>
        <w:gridCol w:w="1773"/>
        <w:gridCol w:w="1294"/>
        <w:gridCol w:w="1174"/>
        <w:gridCol w:w="1483"/>
        <w:gridCol w:w="1072"/>
        <w:gridCol w:w="833"/>
        <w:gridCol w:w="1397"/>
      </w:tblGrid>
      <w:tr w:rsidR="004D387E" w:rsidRPr="00DC500E" w14:paraId="256FC062" w14:textId="77777777" w:rsidTr="004D387E">
        <w:trPr>
          <w:cnfStyle w:val="100000000000" w:firstRow="1" w:lastRow="0" w:firstColumn="0" w:lastColumn="0" w:oddVBand="0" w:evenVBand="0" w:oddHBand="0" w:evenHBand="0" w:firstRowFirstColumn="0" w:firstRowLastColumn="0" w:lastRowFirstColumn="0" w:lastRowLastColumn="0"/>
        </w:trPr>
        <w:tc>
          <w:tcPr>
            <w:tcW w:w="0" w:type="auto"/>
            <w:hideMark/>
          </w:tcPr>
          <w:p w14:paraId="58BF58A5" w14:textId="77777777" w:rsidR="004D387E" w:rsidRPr="00DC500E" w:rsidRDefault="004D387E">
            <w:pPr>
              <w:jc w:val="center"/>
              <w:rPr>
                <w:color w:val="auto"/>
              </w:rPr>
            </w:pPr>
            <w:r w:rsidRPr="00DC500E">
              <w:t>Structural Path / Hypothesis</w:t>
            </w:r>
          </w:p>
        </w:tc>
        <w:tc>
          <w:tcPr>
            <w:tcW w:w="0" w:type="auto"/>
            <w:hideMark/>
          </w:tcPr>
          <w:p w14:paraId="3FB8A3E8" w14:textId="77777777" w:rsidR="004D387E" w:rsidRPr="00DC500E" w:rsidRDefault="004D387E">
            <w:pPr>
              <w:jc w:val="center"/>
            </w:pPr>
            <w:r w:rsidRPr="00DC500E">
              <w:t>Original Sample (</w:t>
            </w:r>
            <w:r w:rsidRPr="00DC500E">
              <w:rPr>
                <w:rStyle w:val="mord"/>
              </w:rPr>
              <w:t>β</w:t>
            </w:r>
            <w:r w:rsidRPr="00DC500E">
              <w:t>)</w:t>
            </w:r>
          </w:p>
        </w:tc>
        <w:tc>
          <w:tcPr>
            <w:tcW w:w="0" w:type="auto"/>
            <w:hideMark/>
          </w:tcPr>
          <w:p w14:paraId="2974DFB0" w14:textId="77777777" w:rsidR="004D387E" w:rsidRPr="00DC500E" w:rsidRDefault="004D387E">
            <w:pPr>
              <w:jc w:val="center"/>
            </w:pPr>
            <w:r w:rsidRPr="00DC500E">
              <w:t>Sample Mean (</w:t>
            </w:r>
            <w:r w:rsidRPr="00DC500E">
              <w:rPr>
                <w:rStyle w:val="mord"/>
              </w:rPr>
              <w:t>M</w:t>
            </w:r>
            <w:r w:rsidRPr="00DC500E">
              <w:t>)</w:t>
            </w:r>
          </w:p>
        </w:tc>
        <w:tc>
          <w:tcPr>
            <w:tcW w:w="0" w:type="auto"/>
            <w:hideMark/>
          </w:tcPr>
          <w:p w14:paraId="03B625B4" w14:textId="77777777" w:rsidR="004D387E" w:rsidRPr="00DC500E" w:rsidRDefault="004D387E">
            <w:pPr>
              <w:jc w:val="center"/>
            </w:pPr>
            <w:r w:rsidRPr="00DC500E">
              <w:t>Standard Deviation (</w:t>
            </w:r>
            <w:r w:rsidRPr="00DC500E">
              <w:rPr>
                <w:rStyle w:val="mord"/>
              </w:rPr>
              <w:t>SD</w:t>
            </w:r>
            <w:r w:rsidRPr="00DC500E">
              <w:t>)</w:t>
            </w:r>
          </w:p>
        </w:tc>
        <w:tc>
          <w:tcPr>
            <w:tcW w:w="0" w:type="auto"/>
            <w:hideMark/>
          </w:tcPr>
          <w:p w14:paraId="7DD117CB" w14:textId="77777777" w:rsidR="004D387E" w:rsidRPr="00DC500E" w:rsidRDefault="004D387E">
            <w:pPr>
              <w:jc w:val="center"/>
            </w:pPr>
            <w:r w:rsidRPr="00DC500E">
              <w:rPr>
                <w:rStyle w:val="mord"/>
              </w:rPr>
              <w:t>t</w:t>
            </w:r>
            <w:r w:rsidRPr="00DC500E">
              <w:t>-Statistic</w:t>
            </w:r>
          </w:p>
        </w:tc>
        <w:tc>
          <w:tcPr>
            <w:tcW w:w="0" w:type="auto"/>
            <w:hideMark/>
          </w:tcPr>
          <w:p w14:paraId="598AC9CB" w14:textId="77777777" w:rsidR="004D387E" w:rsidRPr="00DC500E" w:rsidRDefault="004D387E">
            <w:pPr>
              <w:jc w:val="center"/>
            </w:pPr>
            <w:r w:rsidRPr="00DC500E">
              <w:rPr>
                <w:rStyle w:val="mord"/>
              </w:rPr>
              <w:t>p</w:t>
            </w:r>
            <w:r w:rsidRPr="00DC500E">
              <w:t>-Value</w:t>
            </w:r>
          </w:p>
        </w:tc>
        <w:tc>
          <w:tcPr>
            <w:tcW w:w="0" w:type="auto"/>
            <w:hideMark/>
          </w:tcPr>
          <w:p w14:paraId="3C6C651C" w14:textId="77777777" w:rsidR="004D387E" w:rsidRPr="00DC500E" w:rsidRDefault="004D387E">
            <w:pPr>
              <w:jc w:val="center"/>
            </w:pPr>
            <w:r w:rsidRPr="00DC500E">
              <w:t>Statistical Decision</w:t>
            </w:r>
          </w:p>
        </w:tc>
      </w:tr>
      <w:tr w:rsidR="004D387E" w:rsidRPr="00DC500E" w14:paraId="1C2A9037" w14:textId="77777777" w:rsidTr="004D387E">
        <w:tc>
          <w:tcPr>
            <w:tcW w:w="0" w:type="auto"/>
            <w:hideMark/>
          </w:tcPr>
          <w:p w14:paraId="4B3447F1" w14:textId="77777777" w:rsidR="004D387E" w:rsidRPr="00DC500E" w:rsidRDefault="004D387E">
            <w:pPr>
              <w:jc w:val="left"/>
            </w:pPr>
            <w:proofErr w:type="spellStart"/>
            <w:r w:rsidRPr="00DC500E">
              <w:rPr>
                <w:rStyle w:val="mord"/>
                <w:b/>
                <w:bCs/>
              </w:rPr>
              <w:t>H1</w:t>
            </w:r>
            <w:proofErr w:type="spellEnd"/>
            <w:r w:rsidRPr="00DC500E">
              <w:rPr>
                <w:rStyle w:val="vlist-s"/>
                <w:b/>
                <w:bCs/>
              </w:rPr>
              <w:t>​</w:t>
            </w:r>
            <w:r w:rsidRPr="00DC500E">
              <w:rPr>
                <w:b/>
                <w:bCs/>
              </w:rPr>
              <w:t xml:space="preserve">: </w:t>
            </w:r>
            <w:proofErr w:type="spellStart"/>
            <w:r w:rsidRPr="00DC500E">
              <w:rPr>
                <w:b/>
                <w:bCs/>
              </w:rPr>
              <w:t>GWS</w:t>
            </w:r>
            <w:proofErr w:type="spellEnd"/>
            <w:r w:rsidRPr="00DC500E">
              <w:rPr>
                <w:rStyle w:val="apple-converted-space"/>
                <w:b/>
                <w:bCs/>
              </w:rPr>
              <w:t> </w:t>
            </w:r>
            <w:r w:rsidRPr="00DC500E">
              <w:rPr>
                <w:rStyle w:val="mrel"/>
                <w:b/>
                <w:bCs/>
              </w:rPr>
              <w:t>→</w:t>
            </w:r>
            <w:r w:rsidRPr="00DC500E">
              <w:rPr>
                <w:rStyle w:val="apple-converted-space"/>
                <w:b/>
                <w:bCs/>
              </w:rPr>
              <w:t> </w:t>
            </w:r>
            <w:r w:rsidRPr="00DC500E">
              <w:rPr>
                <w:b/>
                <w:bCs/>
              </w:rPr>
              <w:t>CT</w:t>
            </w:r>
          </w:p>
        </w:tc>
        <w:tc>
          <w:tcPr>
            <w:tcW w:w="0" w:type="auto"/>
            <w:hideMark/>
          </w:tcPr>
          <w:p w14:paraId="2FB8C84F" w14:textId="77777777" w:rsidR="004D387E" w:rsidRPr="00DC500E" w:rsidRDefault="004D387E">
            <w:r w:rsidRPr="00DC500E">
              <w:t>0.701</w:t>
            </w:r>
          </w:p>
        </w:tc>
        <w:tc>
          <w:tcPr>
            <w:tcW w:w="0" w:type="auto"/>
            <w:hideMark/>
          </w:tcPr>
          <w:p w14:paraId="5EE95DC8" w14:textId="77777777" w:rsidR="004D387E" w:rsidRPr="00DC500E" w:rsidRDefault="004D387E">
            <w:r w:rsidRPr="00DC500E">
              <w:t>0.708</w:t>
            </w:r>
          </w:p>
        </w:tc>
        <w:tc>
          <w:tcPr>
            <w:tcW w:w="0" w:type="auto"/>
            <w:hideMark/>
          </w:tcPr>
          <w:p w14:paraId="39BFAEC1" w14:textId="77777777" w:rsidR="004D387E" w:rsidRPr="00DC500E" w:rsidRDefault="004D387E">
            <w:r w:rsidRPr="00DC500E">
              <w:t>0.048</w:t>
            </w:r>
          </w:p>
        </w:tc>
        <w:tc>
          <w:tcPr>
            <w:tcW w:w="0" w:type="auto"/>
            <w:hideMark/>
          </w:tcPr>
          <w:p w14:paraId="099FE793" w14:textId="77777777" w:rsidR="004D387E" w:rsidRPr="00DC500E" w:rsidRDefault="004D387E">
            <w:r w:rsidRPr="00DC500E">
              <w:t>14.615</w:t>
            </w:r>
          </w:p>
        </w:tc>
        <w:tc>
          <w:tcPr>
            <w:tcW w:w="0" w:type="auto"/>
            <w:hideMark/>
          </w:tcPr>
          <w:p w14:paraId="5683B47D" w14:textId="77777777" w:rsidR="004D387E" w:rsidRPr="00DC500E" w:rsidRDefault="004D387E">
            <w:r w:rsidRPr="00DC500E">
              <w:rPr>
                <w:rStyle w:val="mord"/>
              </w:rPr>
              <w:t>0.000</w:t>
            </w:r>
          </w:p>
        </w:tc>
        <w:tc>
          <w:tcPr>
            <w:tcW w:w="0" w:type="auto"/>
            <w:hideMark/>
          </w:tcPr>
          <w:p w14:paraId="15B00132" w14:textId="785F4505" w:rsidR="004D387E" w:rsidRPr="00DC500E" w:rsidRDefault="00970609">
            <w:r>
              <w:t>Rejected</w:t>
            </w:r>
          </w:p>
        </w:tc>
      </w:tr>
      <w:tr w:rsidR="004D387E" w:rsidRPr="00DC500E" w14:paraId="7FCBB351" w14:textId="77777777" w:rsidTr="004D387E">
        <w:tc>
          <w:tcPr>
            <w:tcW w:w="0" w:type="auto"/>
            <w:hideMark/>
          </w:tcPr>
          <w:p w14:paraId="27EB5889" w14:textId="77777777" w:rsidR="004D387E" w:rsidRPr="00DC500E" w:rsidRDefault="004D387E">
            <w:proofErr w:type="spellStart"/>
            <w:r w:rsidRPr="00DC500E">
              <w:rPr>
                <w:rStyle w:val="mord"/>
                <w:b/>
                <w:bCs/>
              </w:rPr>
              <w:t>H2</w:t>
            </w:r>
            <w:proofErr w:type="spellEnd"/>
            <w:r w:rsidRPr="00DC500E">
              <w:rPr>
                <w:rStyle w:val="vlist-s"/>
                <w:b/>
                <w:bCs/>
              </w:rPr>
              <w:t>​</w:t>
            </w:r>
            <w:r w:rsidRPr="00DC500E">
              <w:rPr>
                <w:b/>
                <w:bCs/>
              </w:rPr>
              <w:t>: CT</w:t>
            </w:r>
            <w:r w:rsidRPr="00DC500E">
              <w:rPr>
                <w:rStyle w:val="apple-converted-space"/>
                <w:b/>
                <w:bCs/>
              </w:rPr>
              <w:t> </w:t>
            </w:r>
            <w:r w:rsidRPr="00DC500E">
              <w:rPr>
                <w:rStyle w:val="mrel"/>
                <w:b/>
                <w:bCs/>
              </w:rPr>
              <w:t>→</w:t>
            </w:r>
            <w:r w:rsidRPr="00DC500E">
              <w:rPr>
                <w:rStyle w:val="apple-converted-space"/>
                <w:b/>
                <w:bCs/>
              </w:rPr>
              <w:t> </w:t>
            </w:r>
            <w:r w:rsidRPr="00DC500E">
              <w:rPr>
                <w:b/>
                <w:bCs/>
              </w:rPr>
              <w:t>SPI</w:t>
            </w:r>
          </w:p>
        </w:tc>
        <w:tc>
          <w:tcPr>
            <w:tcW w:w="0" w:type="auto"/>
            <w:hideMark/>
          </w:tcPr>
          <w:p w14:paraId="0AB04F59" w14:textId="77777777" w:rsidR="004D387E" w:rsidRPr="00DC500E" w:rsidRDefault="004D387E">
            <w:r w:rsidRPr="00DC500E">
              <w:t>0.651</w:t>
            </w:r>
          </w:p>
        </w:tc>
        <w:tc>
          <w:tcPr>
            <w:tcW w:w="0" w:type="auto"/>
            <w:hideMark/>
          </w:tcPr>
          <w:p w14:paraId="28E0B910" w14:textId="77777777" w:rsidR="004D387E" w:rsidRPr="00DC500E" w:rsidRDefault="004D387E">
            <w:r w:rsidRPr="00DC500E">
              <w:t>0.649</w:t>
            </w:r>
          </w:p>
        </w:tc>
        <w:tc>
          <w:tcPr>
            <w:tcW w:w="0" w:type="auto"/>
            <w:hideMark/>
          </w:tcPr>
          <w:p w14:paraId="50286956" w14:textId="77777777" w:rsidR="004D387E" w:rsidRPr="00DC500E" w:rsidRDefault="004D387E">
            <w:r w:rsidRPr="00DC500E">
              <w:t>0.090</w:t>
            </w:r>
          </w:p>
        </w:tc>
        <w:tc>
          <w:tcPr>
            <w:tcW w:w="0" w:type="auto"/>
            <w:hideMark/>
          </w:tcPr>
          <w:p w14:paraId="395DEFDE" w14:textId="77777777" w:rsidR="004D387E" w:rsidRPr="00DC500E" w:rsidRDefault="004D387E">
            <w:r w:rsidRPr="00DC500E">
              <w:t>7.255</w:t>
            </w:r>
          </w:p>
        </w:tc>
        <w:tc>
          <w:tcPr>
            <w:tcW w:w="0" w:type="auto"/>
            <w:hideMark/>
          </w:tcPr>
          <w:p w14:paraId="63C7F981" w14:textId="77777777" w:rsidR="004D387E" w:rsidRPr="00DC500E" w:rsidRDefault="004D387E">
            <w:r w:rsidRPr="00DC500E">
              <w:rPr>
                <w:rStyle w:val="mord"/>
              </w:rPr>
              <w:t>0.000</w:t>
            </w:r>
          </w:p>
        </w:tc>
        <w:tc>
          <w:tcPr>
            <w:tcW w:w="0" w:type="auto"/>
            <w:hideMark/>
          </w:tcPr>
          <w:p w14:paraId="09BBAC3F" w14:textId="77777777" w:rsidR="004D387E" w:rsidRPr="00DC500E" w:rsidRDefault="004D387E">
            <w:r w:rsidRPr="00DC500E">
              <w:t>Supported</w:t>
            </w:r>
          </w:p>
        </w:tc>
      </w:tr>
    </w:tbl>
    <w:p w14:paraId="44AB20BD" w14:textId="77777777" w:rsidR="004D387E" w:rsidRPr="00DC500E" w:rsidRDefault="004D387E" w:rsidP="004D387E">
      <w:pPr>
        <w:pStyle w:val="NormalWeb"/>
        <w:rPr>
          <w:i/>
          <w:iCs/>
          <w:color w:val="000000"/>
          <w:lang w:val="en-GB"/>
        </w:rPr>
      </w:pPr>
      <w:r w:rsidRPr="00DC500E">
        <w:rPr>
          <w:i/>
          <w:iCs/>
          <w:color w:val="000000"/>
          <w:lang w:val="en-GB"/>
        </w:rPr>
        <w:t>Note: Results derived from 5,000 bootstrapping resamples. Statistical significance determined at</w:t>
      </w:r>
      <w:r w:rsidRPr="00DC500E">
        <w:rPr>
          <w:rStyle w:val="apple-converted-space"/>
          <w:i/>
          <w:iCs/>
          <w:color w:val="000000"/>
          <w:lang w:val="en-GB"/>
        </w:rPr>
        <w:t> </w:t>
      </w:r>
      <w:r w:rsidRPr="00DC500E">
        <w:rPr>
          <w:rStyle w:val="mord"/>
          <w:i/>
          <w:iCs/>
          <w:color w:val="000000"/>
          <w:lang w:val="en-GB"/>
        </w:rPr>
        <w:t>p</w:t>
      </w:r>
      <w:r w:rsidRPr="00DC500E">
        <w:rPr>
          <w:rStyle w:val="mrel"/>
          <w:i/>
          <w:iCs/>
          <w:color w:val="000000"/>
          <w:lang w:val="en-GB"/>
        </w:rPr>
        <w:t>&lt;</w:t>
      </w:r>
      <w:r w:rsidRPr="00DC500E">
        <w:rPr>
          <w:rStyle w:val="mord"/>
          <w:i/>
          <w:iCs/>
          <w:color w:val="000000"/>
          <w:lang w:val="en-GB"/>
        </w:rPr>
        <w:t>0.05</w:t>
      </w:r>
      <w:r w:rsidRPr="00DC500E">
        <w:rPr>
          <w:rStyle w:val="apple-converted-space"/>
          <w:i/>
          <w:iCs/>
          <w:color w:val="000000"/>
          <w:lang w:val="en-GB"/>
        </w:rPr>
        <w:t> </w:t>
      </w:r>
      <w:r w:rsidRPr="00DC500E">
        <w:rPr>
          <w:i/>
          <w:iCs/>
          <w:color w:val="000000"/>
          <w:lang w:val="en-GB"/>
        </w:rPr>
        <w:t>and</w:t>
      </w:r>
      <w:r w:rsidRPr="00DC500E">
        <w:rPr>
          <w:rStyle w:val="apple-converted-space"/>
          <w:i/>
          <w:iCs/>
          <w:color w:val="000000"/>
          <w:lang w:val="en-GB"/>
        </w:rPr>
        <w:t> </w:t>
      </w:r>
      <w:r w:rsidRPr="00DC500E">
        <w:rPr>
          <w:rStyle w:val="mord"/>
          <w:i/>
          <w:iCs/>
          <w:color w:val="000000"/>
          <w:lang w:val="en-GB"/>
        </w:rPr>
        <w:t>t</w:t>
      </w:r>
      <w:r w:rsidRPr="00DC500E">
        <w:rPr>
          <w:rStyle w:val="mrel"/>
          <w:i/>
          <w:iCs/>
          <w:color w:val="000000"/>
          <w:lang w:val="en-GB"/>
        </w:rPr>
        <w:t>&gt;</w:t>
      </w:r>
      <w:r w:rsidRPr="00DC500E">
        <w:rPr>
          <w:rStyle w:val="mord"/>
          <w:i/>
          <w:iCs/>
          <w:color w:val="000000"/>
          <w:lang w:val="en-GB"/>
        </w:rPr>
        <w:t>1.96</w:t>
      </w:r>
      <w:r w:rsidRPr="00DC500E">
        <w:rPr>
          <w:i/>
          <w:iCs/>
          <w:color w:val="000000"/>
          <w:lang w:val="en-GB"/>
        </w:rPr>
        <w:t>.</w:t>
      </w:r>
    </w:p>
    <w:p w14:paraId="3C0F5F57" w14:textId="49792A89" w:rsidR="00492F89" w:rsidRPr="00DC500E" w:rsidRDefault="00492F89" w:rsidP="00492F89">
      <w:pPr>
        <w:rPr>
          <w:lang w:eastAsia="en-GB" w:bidi="hi-IN"/>
        </w:rPr>
      </w:pPr>
      <w:r w:rsidRPr="00DC500E">
        <w:rPr>
          <w:lang w:eastAsia="en-GB" w:bidi="hi-IN"/>
        </w:rPr>
        <w:t xml:space="preserve">The definitive empirical test of the direct theoretical propositions is provided in Table </w:t>
      </w:r>
      <w:r w:rsidR="00970609">
        <w:rPr>
          <w:lang w:eastAsia="en-GB" w:bidi="hi-IN"/>
        </w:rPr>
        <w:t>8</w:t>
      </w:r>
      <w:r w:rsidRPr="00DC500E">
        <w:rPr>
          <w:lang w:eastAsia="en-GB" w:bidi="hi-IN"/>
        </w:rPr>
        <w:t>. The critical t-value for testing for statistical significance is more than 1.96 at a 0.05 significance level, and is rigorously confirmed by a bootstrapping procedure with 5,000 resamples.</w:t>
      </w:r>
    </w:p>
    <w:p w14:paraId="34C962D9" w14:textId="661969B8" w:rsidR="00492F89" w:rsidRPr="00DC500E" w:rsidRDefault="00970609" w:rsidP="00970609">
      <w:pPr>
        <w:rPr>
          <w:lang w:eastAsia="en-GB" w:bidi="hi-IN"/>
        </w:rPr>
      </w:pPr>
      <w:r w:rsidRPr="00970609">
        <w:lastRenderedPageBreak/>
        <w:t>The hypothesis 1 (</w:t>
      </w:r>
      <w:proofErr w:type="spellStart"/>
      <w:r w:rsidRPr="00970609">
        <w:t>H1</w:t>
      </w:r>
      <w:proofErr w:type="spellEnd"/>
      <w:r w:rsidRPr="00970609">
        <w:t>) assumed that there is a significant negative relationship between greenwashing scepticism and consumer trust. But the path coefficient (β=0.701) of the structural analysis was highly significant and strictly positive (t=14.615, p=0.000). This empirical directionality contradicts the theorized negative pathway</w:t>
      </w:r>
      <w:r>
        <w:t>;</w:t>
      </w:r>
      <w:r w:rsidRPr="00970609">
        <w:t xml:space="preserve"> hence</w:t>
      </w:r>
      <w:r>
        <w:t>,</w:t>
      </w:r>
      <w:r w:rsidRPr="00970609">
        <w:t xml:space="preserve"> </w:t>
      </w:r>
      <w:proofErr w:type="spellStart"/>
      <w:r w:rsidRPr="00970609">
        <w:t>H1</w:t>
      </w:r>
      <w:proofErr w:type="spellEnd"/>
      <w:r w:rsidRPr="00970609">
        <w:t xml:space="preserve"> is </w:t>
      </w:r>
      <w:r>
        <w:t xml:space="preserve">formally </w:t>
      </w:r>
      <w:r w:rsidRPr="00970609">
        <w:t xml:space="preserve">rejected. This positive surprise uncovers a methodological and psychological contradiction in </w:t>
      </w:r>
      <w:r>
        <w:t xml:space="preserve">the </w:t>
      </w:r>
      <w:proofErr w:type="spellStart"/>
      <w:r>
        <w:t>Uk’s</w:t>
      </w:r>
      <w:proofErr w:type="spellEnd"/>
      <w:r w:rsidRPr="00970609">
        <w:t xml:space="preserve"> fast fashion target market. Systematic scepticism toward the respondents' actions was extreme</w:t>
      </w:r>
      <w:r>
        <w:t>,</w:t>
      </w:r>
      <w:r w:rsidRPr="00970609">
        <w:t xml:space="preserve"> and so was their trust in the institutions. This simply reflects a great acquiescence bias in the responses to the survey items, along with a degree of cognitive dissonance. Empirically explores how consumers categori</w:t>
      </w:r>
      <w:r>
        <w:t>s</w:t>
      </w:r>
      <w:r w:rsidRPr="00970609">
        <w:t>e industry uncertainty by enacting it at the macro level while preserving micro</w:t>
      </w:r>
      <w:r>
        <w:t>-</w:t>
      </w:r>
      <w:r w:rsidRPr="00970609">
        <w:t>level brand trust, thus allowing them to continue indulging in fast fashion.</w:t>
      </w:r>
    </w:p>
    <w:p w14:paraId="633BE660" w14:textId="1543A684" w:rsidR="004D387E" w:rsidRPr="00DC500E" w:rsidRDefault="00492F89" w:rsidP="004D387E">
      <w:pPr>
        <w:rPr>
          <w:lang w:eastAsia="en-GB" w:bidi="hi-IN"/>
        </w:rPr>
      </w:pPr>
      <w:r w:rsidRPr="00DC500E">
        <w:rPr>
          <w:lang w:eastAsia="en-GB" w:bidi="hi-IN"/>
        </w:rPr>
        <w:t>Hypothesis 2 (</w:t>
      </w:r>
      <w:proofErr w:type="spellStart"/>
      <w:r w:rsidRPr="00DC500E">
        <w:rPr>
          <w:lang w:eastAsia="en-GB" w:bidi="hi-IN"/>
        </w:rPr>
        <w:t>H2</w:t>
      </w:r>
      <w:proofErr w:type="spellEnd"/>
      <w:r w:rsidRPr="00DC500E">
        <w:rPr>
          <w:lang w:eastAsia="en-GB" w:bidi="hi-IN"/>
        </w:rPr>
        <w:t>) tested the direct effect of Consumer Trust on Sustainable Purchase Intention. The data reveal a highly significant structural path (β=0.651, t=7.255, p=0.000). This coefficient only is proof that trust acts as an essential catalyst of behaviours. The more a brand</w:t>
      </w:r>
      <w:r w:rsidR="00A22DB1">
        <w:rPr>
          <w:lang w:eastAsia="en-GB" w:bidi="hi-IN"/>
        </w:rPr>
        <w:t>’</w:t>
      </w:r>
      <w:r w:rsidRPr="00DC500E">
        <w:rPr>
          <w:lang w:eastAsia="en-GB" w:bidi="hi-IN"/>
        </w:rPr>
        <w:t xml:space="preserve">s communication of sustainability is trusted, the more it will be assumed a </w:t>
      </w:r>
      <w:r w:rsidR="00A22DB1">
        <w:rPr>
          <w:lang w:eastAsia="en-GB" w:bidi="hi-IN"/>
        </w:rPr>
        <w:t>“</w:t>
      </w:r>
      <w:r w:rsidRPr="00DC500E">
        <w:rPr>
          <w:lang w:eastAsia="en-GB" w:bidi="hi-IN"/>
        </w:rPr>
        <w:t>premium sustainable</w:t>
      </w:r>
      <w:r w:rsidR="00A22DB1">
        <w:rPr>
          <w:lang w:eastAsia="en-GB" w:bidi="hi-IN"/>
        </w:rPr>
        <w:t>”</w:t>
      </w:r>
      <w:r w:rsidRPr="00DC500E">
        <w:rPr>
          <w:lang w:eastAsia="en-GB" w:bidi="hi-IN"/>
        </w:rPr>
        <w:t xml:space="preserve"> purchase will be made, and this is an exponential increase in purchase intention. This empirical finding is successful in confirming that claims that trust is the </w:t>
      </w:r>
      <w:r w:rsidR="00A22DB1">
        <w:rPr>
          <w:lang w:eastAsia="en-GB" w:bidi="hi-IN"/>
        </w:rPr>
        <w:t>‘</w:t>
      </w:r>
      <w:r w:rsidRPr="00DC500E">
        <w:rPr>
          <w:lang w:eastAsia="en-GB" w:bidi="hi-IN"/>
        </w:rPr>
        <w:t>absolute precondition for reducing financial and performance risks in opaque green markets</w:t>
      </w:r>
      <w:r w:rsidR="00A22DB1">
        <w:rPr>
          <w:lang w:eastAsia="en-GB" w:bidi="hi-IN"/>
        </w:rPr>
        <w:t>’</w:t>
      </w:r>
      <w:r w:rsidRPr="00DC500E">
        <w:rPr>
          <w:lang w:eastAsia="en-GB" w:bidi="hi-IN"/>
        </w:rPr>
        <w:t xml:space="preserve">. </w:t>
      </w:r>
      <w:proofErr w:type="spellStart"/>
      <w:r w:rsidRPr="00DC500E">
        <w:rPr>
          <w:lang w:eastAsia="en-GB" w:bidi="hi-IN"/>
        </w:rPr>
        <w:t>H2</w:t>
      </w:r>
      <w:proofErr w:type="spellEnd"/>
      <w:r w:rsidRPr="00DC500E">
        <w:rPr>
          <w:lang w:eastAsia="en-GB" w:bidi="hi-IN"/>
        </w:rPr>
        <w:t xml:space="preserve"> will be fully supported, then.</w:t>
      </w:r>
    </w:p>
    <w:p w14:paraId="0C01D38F" w14:textId="6B3E5FE4" w:rsidR="004D387E" w:rsidRPr="00DC500E" w:rsidRDefault="00DC500E" w:rsidP="00DC500E">
      <w:pPr>
        <w:pStyle w:val="Caption"/>
        <w:rPr>
          <w:color w:val="000000"/>
        </w:rPr>
      </w:pPr>
      <w:bookmarkStart w:id="69" w:name="_Toc241053207"/>
      <w:r w:rsidRPr="00DC500E">
        <w:t xml:space="preserve">Table </w:t>
      </w:r>
      <w:r w:rsidRPr="00DC500E">
        <w:fldChar w:fldCharType="begin"/>
      </w:r>
      <w:r w:rsidRPr="00DC500E">
        <w:instrText xml:space="preserve"> SEQ Table \* ARABIC </w:instrText>
      </w:r>
      <w:r w:rsidRPr="00DC500E">
        <w:fldChar w:fldCharType="separate"/>
      </w:r>
      <w:r w:rsidR="00603018">
        <w:rPr>
          <w:noProof/>
        </w:rPr>
        <w:t>9</w:t>
      </w:r>
      <w:r w:rsidRPr="00DC500E">
        <w:fldChar w:fldCharType="end"/>
      </w:r>
      <w:r w:rsidR="004D387E" w:rsidRPr="00DC500E">
        <w:rPr>
          <w:color w:val="000000"/>
        </w:rPr>
        <w:t>: Specific Indirect Effects (Mediation Analysis)</w:t>
      </w:r>
      <w:bookmarkEnd w:id="69"/>
    </w:p>
    <w:tbl>
      <w:tblPr>
        <w:tblStyle w:val="APA7"/>
        <w:tblW w:w="0" w:type="auto"/>
        <w:tblLook w:val="04A0" w:firstRow="1" w:lastRow="0" w:firstColumn="1" w:lastColumn="0" w:noHBand="0" w:noVBand="1"/>
      </w:tblPr>
      <w:tblGrid>
        <w:gridCol w:w="2314"/>
        <w:gridCol w:w="1154"/>
        <w:gridCol w:w="1044"/>
        <w:gridCol w:w="1297"/>
        <w:gridCol w:w="1053"/>
        <w:gridCol w:w="807"/>
        <w:gridCol w:w="1357"/>
      </w:tblGrid>
      <w:tr w:rsidR="004D387E" w:rsidRPr="00DC500E" w14:paraId="5BA695A8" w14:textId="77777777" w:rsidTr="004D387E">
        <w:trPr>
          <w:cnfStyle w:val="100000000000" w:firstRow="1" w:lastRow="0" w:firstColumn="0" w:lastColumn="0" w:oddVBand="0" w:evenVBand="0" w:oddHBand="0" w:evenHBand="0" w:firstRowFirstColumn="0" w:firstRowLastColumn="0" w:lastRowFirstColumn="0" w:lastRowLastColumn="0"/>
        </w:trPr>
        <w:tc>
          <w:tcPr>
            <w:tcW w:w="0" w:type="auto"/>
            <w:hideMark/>
          </w:tcPr>
          <w:p w14:paraId="3D1DD0E4" w14:textId="77777777" w:rsidR="004D387E" w:rsidRPr="00DC500E" w:rsidRDefault="004D387E">
            <w:pPr>
              <w:jc w:val="center"/>
              <w:rPr>
                <w:color w:val="auto"/>
              </w:rPr>
            </w:pPr>
            <w:r w:rsidRPr="00DC500E">
              <w:t>Indirect Path / Mediation Hypothesis</w:t>
            </w:r>
          </w:p>
        </w:tc>
        <w:tc>
          <w:tcPr>
            <w:tcW w:w="0" w:type="auto"/>
            <w:hideMark/>
          </w:tcPr>
          <w:p w14:paraId="3BE3A0A8" w14:textId="77777777" w:rsidR="004D387E" w:rsidRPr="00DC500E" w:rsidRDefault="004D387E">
            <w:pPr>
              <w:jc w:val="center"/>
            </w:pPr>
            <w:r w:rsidRPr="00DC500E">
              <w:t>Original Sample (</w:t>
            </w:r>
            <w:r w:rsidRPr="00DC500E">
              <w:rPr>
                <w:rStyle w:val="mord"/>
              </w:rPr>
              <w:t>β</w:t>
            </w:r>
            <w:r w:rsidRPr="00DC500E">
              <w:t>)</w:t>
            </w:r>
          </w:p>
        </w:tc>
        <w:tc>
          <w:tcPr>
            <w:tcW w:w="0" w:type="auto"/>
            <w:hideMark/>
          </w:tcPr>
          <w:p w14:paraId="2697211A" w14:textId="77777777" w:rsidR="004D387E" w:rsidRPr="00DC500E" w:rsidRDefault="004D387E">
            <w:pPr>
              <w:jc w:val="center"/>
            </w:pPr>
            <w:r w:rsidRPr="00DC500E">
              <w:t>Sample Mean (</w:t>
            </w:r>
            <w:r w:rsidRPr="00DC500E">
              <w:rPr>
                <w:rStyle w:val="mord"/>
              </w:rPr>
              <w:t>M</w:t>
            </w:r>
            <w:r w:rsidRPr="00DC500E">
              <w:t>)</w:t>
            </w:r>
          </w:p>
        </w:tc>
        <w:tc>
          <w:tcPr>
            <w:tcW w:w="0" w:type="auto"/>
            <w:hideMark/>
          </w:tcPr>
          <w:p w14:paraId="0EDDB4A5" w14:textId="77777777" w:rsidR="004D387E" w:rsidRPr="00DC500E" w:rsidRDefault="004D387E">
            <w:pPr>
              <w:jc w:val="center"/>
            </w:pPr>
            <w:r w:rsidRPr="00DC500E">
              <w:t>Standard Deviation (</w:t>
            </w:r>
            <w:r w:rsidRPr="00DC500E">
              <w:rPr>
                <w:rStyle w:val="mord"/>
              </w:rPr>
              <w:t>SD</w:t>
            </w:r>
            <w:r w:rsidRPr="00DC500E">
              <w:t>)</w:t>
            </w:r>
          </w:p>
        </w:tc>
        <w:tc>
          <w:tcPr>
            <w:tcW w:w="0" w:type="auto"/>
            <w:hideMark/>
          </w:tcPr>
          <w:p w14:paraId="6A67DB61" w14:textId="77777777" w:rsidR="004D387E" w:rsidRPr="00DC500E" w:rsidRDefault="004D387E">
            <w:pPr>
              <w:jc w:val="center"/>
            </w:pPr>
            <w:r w:rsidRPr="00DC500E">
              <w:rPr>
                <w:rStyle w:val="mord"/>
              </w:rPr>
              <w:t>t</w:t>
            </w:r>
            <w:r w:rsidRPr="00DC500E">
              <w:t>-Statistic</w:t>
            </w:r>
          </w:p>
        </w:tc>
        <w:tc>
          <w:tcPr>
            <w:tcW w:w="0" w:type="auto"/>
            <w:hideMark/>
          </w:tcPr>
          <w:p w14:paraId="2D581658" w14:textId="77777777" w:rsidR="004D387E" w:rsidRPr="00DC500E" w:rsidRDefault="004D387E">
            <w:pPr>
              <w:jc w:val="center"/>
            </w:pPr>
            <w:r w:rsidRPr="00DC500E">
              <w:rPr>
                <w:rStyle w:val="mord"/>
              </w:rPr>
              <w:t>p</w:t>
            </w:r>
            <w:r w:rsidRPr="00DC500E">
              <w:t>-Value</w:t>
            </w:r>
          </w:p>
        </w:tc>
        <w:tc>
          <w:tcPr>
            <w:tcW w:w="0" w:type="auto"/>
            <w:hideMark/>
          </w:tcPr>
          <w:p w14:paraId="275DFC58" w14:textId="77777777" w:rsidR="004D387E" w:rsidRPr="00DC500E" w:rsidRDefault="004D387E">
            <w:pPr>
              <w:jc w:val="center"/>
            </w:pPr>
            <w:r w:rsidRPr="00DC500E">
              <w:t>Mediation Type</w:t>
            </w:r>
          </w:p>
        </w:tc>
      </w:tr>
      <w:tr w:rsidR="004D387E" w:rsidRPr="00DC500E" w14:paraId="0705921C" w14:textId="77777777" w:rsidTr="004D387E">
        <w:tc>
          <w:tcPr>
            <w:tcW w:w="0" w:type="auto"/>
            <w:hideMark/>
          </w:tcPr>
          <w:p w14:paraId="20C83822" w14:textId="77777777" w:rsidR="004D387E" w:rsidRPr="00DC500E" w:rsidRDefault="004D387E">
            <w:pPr>
              <w:jc w:val="left"/>
            </w:pPr>
            <w:proofErr w:type="spellStart"/>
            <w:r w:rsidRPr="00DC500E">
              <w:rPr>
                <w:rStyle w:val="mord"/>
                <w:b/>
                <w:bCs/>
              </w:rPr>
              <w:t>H3</w:t>
            </w:r>
            <w:proofErr w:type="spellEnd"/>
            <w:r w:rsidRPr="00DC500E">
              <w:rPr>
                <w:rStyle w:val="vlist-s"/>
                <w:b/>
                <w:bCs/>
              </w:rPr>
              <w:t>​</w:t>
            </w:r>
            <w:r w:rsidRPr="00DC500E">
              <w:rPr>
                <w:b/>
                <w:bCs/>
              </w:rPr>
              <w:t xml:space="preserve">: </w:t>
            </w:r>
            <w:proofErr w:type="spellStart"/>
            <w:r w:rsidRPr="00DC500E">
              <w:rPr>
                <w:b/>
                <w:bCs/>
              </w:rPr>
              <w:t>GWS</w:t>
            </w:r>
            <w:proofErr w:type="spellEnd"/>
            <w:r w:rsidRPr="00DC500E">
              <w:rPr>
                <w:rStyle w:val="apple-converted-space"/>
                <w:b/>
                <w:bCs/>
              </w:rPr>
              <w:t> </w:t>
            </w:r>
            <w:r w:rsidRPr="00DC500E">
              <w:rPr>
                <w:rStyle w:val="mrel"/>
                <w:b/>
                <w:bCs/>
              </w:rPr>
              <w:t>→</w:t>
            </w:r>
            <w:r w:rsidRPr="00DC500E">
              <w:rPr>
                <w:rStyle w:val="apple-converted-space"/>
                <w:b/>
                <w:bCs/>
              </w:rPr>
              <w:t> </w:t>
            </w:r>
            <w:r w:rsidRPr="00DC500E">
              <w:rPr>
                <w:b/>
                <w:bCs/>
              </w:rPr>
              <w:t>CT</w:t>
            </w:r>
            <w:r w:rsidRPr="00DC500E">
              <w:rPr>
                <w:rStyle w:val="apple-converted-space"/>
                <w:b/>
                <w:bCs/>
              </w:rPr>
              <w:t> </w:t>
            </w:r>
            <w:r w:rsidRPr="00DC500E">
              <w:rPr>
                <w:rStyle w:val="mrel"/>
                <w:b/>
                <w:bCs/>
              </w:rPr>
              <w:t>→</w:t>
            </w:r>
            <w:r w:rsidRPr="00DC500E">
              <w:rPr>
                <w:rStyle w:val="apple-converted-space"/>
                <w:b/>
                <w:bCs/>
              </w:rPr>
              <w:t> </w:t>
            </w:r>
            <w:r w:rsidRPr="00DC500E">
              <w:rPr>
                <w:b/>
                <w:bCs/>
              </w:rPr>
              <w:t>SPI</w:t>
            </w:r>
          </w:p>
        </w:tc>
        <w:tc>
          <w:tcPr>
            <w:tcW w:w="0" w:type="auto"/>
            <w:hideMark/>
          </w:tcPr>
          <w:p w14:paraId="3C1E2B9F" w14:textId="77777777" w:rsidR="004D387E" w:rsidRPr="00DC500E" w:rsidRDefault="004D387E">
            <w:r w:rsidRPr="00DC500E">
              <w:t>0.456</w:t>
            </w:r>
          </w:p>
        </w:tc>
        <w:tc>
          <w:tcPr>
            <w:tcW w:w="0" w:type="auto"/>
            <w:hideMark/>
          </w:tcPr>
          <w:p w14:paraId="6C7C403C" w14:textId="77777777" w:rsidR="004D387E" w:rsidRPr="00DC500E" w:rsidRDefault="004D387E">
            <w:r w:rsidRPr="00DC500E">
              <w:t>0.461</w:t>
            </w:r>
          </w:p>
        </w:tc>
        <w:tc>
          <w:tcPr>
            <w:tcW w:w="0" w:type="auto"/>
            <w:hideMark/>
          </w:tcPr>
          <w:p w14:paraId="75B936F4" w14:textId="77777777" w:rsidR="004D387E" w:rsidRPr="00DC500E" w:rsidRDefault="004D387E">
            <w:r w:rsidRPr="00DC500E">
              <w:t>0.081</w:t>
            </w:r>
          </w:p>
        </w:tc>
        <w:tc>
          <w:tcPr>
            <w:tcW w:w="0" w:type="auto"/>
            <w:hideMark/>
          </w:tcPr>
          <w:p w14:paraId="5D7E23E7" w14:textId="77777777" w:rsidR="004D387E" w:rsidRPr="00DC500E" w:rsidRDefault="004D387E">
            <w:r w:rsidRPr="00DC500E">
              <w:t>5.654</w:t>
            </w:r>
          </w:p>
        </w:tc>
        <w:tc>
          <w:tcPr>
            <w:tcW w:w="0" w:type="auto"/>
            <w:hideMark/>
          </w:tcPr>
          <w:p w14:paraId="4B343919" w14:textId="77777777" w:rsidR="004D387E" w:rsidRPr="00DC500E" w:rsidRDefault="004D387E">
            <w:r w:rsidRPr="00DC500E">
              <w:rPr>
                <w:rStyle w:val="mord"/>
              </w:rPr>
              <w:t>0.000</w:t>
            </w:r>
          </w:p>
        </w:tc>
        <w:tc>
          <w:tcPr>
            <w:tcW w:w="0" w:type="auto"/>
            <w:hideMark/>
          </w:tcPr>
          <w:p w14:paraId="2D7F484E" w14:textId="77777777" w:rsidR="004D387E" w:rsidRPr="00DC500E" w:rsidRDefault="004D387E">
            <w:r w:rsidRPr="00DC500E">
              <w:t>Indirect Effect Confirmed</w:t>
            </w:r>
          </w:p>
        </w:tc>
      </w:tr>
    </w:tbl>
    <w:p w14:paraId="535FCAD9" w14:textId="743191BB" w:rsidR="00492F89" w:rsidRPr="00DC500E" w:rsidRDefault="00492F89" w:rsidP="00492F89">
      <w:pPr>
        <w:rPr>
          <w:lang w:eastAsia="en-GB" w:bidi="hi-IN"/>
        </w:rPr>
      </w:pPr>
      <w:r w:rsidRPr="00DC500E">
        <w:rPr>
          <w:lang w:eastAsia="en-GB" w:bidi="hi-IN"/>
        </w:rPr>
        <w:lastRenderedPageBreak/>
        <w:t xml:space="preserve">This evaluation of the specific indirect effect, whether it is trust as the critical linkage between doubt and behaviour, represents the highest level of this methodology. In Table </w:t>
      </w:r>
      <w:r w:rsidR="00DC500E" w:rsidRPr="00DC500E">
        <w:rPr>
          <w:lang w:eastAsia="en-GB" w:bidi="hi-IN"/>
        </w:rPr>
        <w:t>10</w:t>
      </w:r>
      <w:r w:rsidRPr="00DC500E">
        <w:rPr>
          <w:lang w:eastAsia="en-GB" w:bidi="hi-IN"/>
        </w:rPr>
        <w:t xml:space="preserve">, the mediation analysis needed to test </w:t>
      </w:r>
      <w:proofErr w:type="spellStart"/>
      <w:r w:rsidRPr="00DC500E">
        <w:rPr>
          <w:lang w:eastAsia="en-GB" w:bidi="hi-IN"/>
        </w:rPr>
        <w:t>H3</w:t>
      </w:r>
      <w:proofErr w:type="spellEnd"/>
      <w:r w:rsidRPr="00DC500E">
        <w:rPr>
          <w:lang w:eastAsia="en-GB" w:bidi="hi-IN"/>
        </w:rPr>
        <w:t xml:space="preserve"> is explained.</w:t>
      </w:r>
    </w:p>
    <w:p w14:paraId="00B2A202" w14:textId="27BA88FC" w:rsidR="004D387E" w:rsidRPr="00DC500E" w:rsidRDefault="00492F89" w:rsidP="00492F89">
      <w:pPr>
        <w:rPr>
          <w:lang w:eastAsia="en-GB" w:bidi="hi-IN"/>
        </w:rPr>
      </w:pPr>
      <w:r w:rsidRPr="00DC500E">
        <w:rPr>
          <w:lang w:eastAsia="en-GB" w:bidi="hi-IN"/>
        </w:rPr>
        <w:t>The specific indirect effect is confirmed as extremely significant (β=0.456, t=5.654, p=0.000) by the results of the structural bootstrapping. This result suggests that Greenwashing Scepticism has a strong influence on Sustainable Purchase Intention, in particular through the mediation of Consumer Trust. The study</w:t>
      </w:r>
      <w:r w:rsidR="00A22DB1">
        <w:rPr>
          <w:lang w:eastAsia="en-GB" w:bidi="hi-IN"/>
        </w:rPr>
        <w:t>’</w:t>
      </w:r>
      <w:r w:rsidRPr="00DC500E">
        <w:rPr>
          <w:lang w:eastAsia="en-GB" w:bidi="hi-IN"/>
        </w:rPr>
        <w:t xml:space="preserve">s core theoretical rationale of </w:t>
      </w:r>
      <w:r w:rsidR="00A22DB1">
        <w:rPr>
          <w:lang w:eastAsia="en-GB" w:bidi="hi-IN"/>
        </w:rPr>
        <w:t>‘</w:t>
      </w:r>
      <w:r w:rsidRPr="00DC500E">
        <w:rPr>
          <w:lang w:eastAsia="en-GB" w:bidi="hi-IN"/>
        </w:rPr>
        <w:t>greenwashing scepticism</w:t>
      </w:r>
      <w:r w:rsidR="00A22DB1">
        <w:rPr>
          <w:lang w:eastAsia="en-GB" w:bidi="hi-IN"/>
        </w:rPr>
        <w:t>’</w:t>
      </w:r>
      <w:r w:rsidRPr="00DC500E">
        <w:rPr>
          <w:lang w:eastAsia="en-GB" w:bidi="hi-IN"/>
        </w:rPr>
        <w:t xml:space="preserve"> not being in a </w:t>
      </w:r>
      <w:r w:rsidR="00A22DB1">
        <w:rPr>
          <w:lang w:eastAsia="en-GB" w:bidi="hi-IN"/>
        </w:rPr>
        <w:t>‘</w:t>
      </w:r>
      <w:r w:rsidRPr="00DC500E">
        <w:rPr>
          <w:lang w:eastAsia="en-GB" w:bidi="hi-IN"/>
        </w:rPr>
        <w:t>cognitive vacuum</w:t>
      </w:r>
      <w:r w:rsidR="00A22DB1">
        <w:rPr>
          <w:lang w:eastAsia="en-GB" w:bidi="hi-IN"/>
        </w:rPr>
        <w:t>’</w:t>
      </w:r>
      <w:r w:rsidRPr="00DC500E">
        <w:rPr>
          <w:lang w:eastAsia="en-GB" w:bidi="hi-IN"/>
        </w:rPr>
        <w:t xml:space="preserve"> that paralysed purchasing is statistically supported. It rather systematically dissolves the psychological trust architecture of consumers and thus actively undermines and undermines the sustainable purchasing intention. </w:t>
      </w:r>
      <w:proofErr w:type="spellStart"/>
      <w:r w:rsidRPr="00DC500E">
        <w:rPr>
          <w:lang w:eastAsia="en-GB" w:bidi="hi-IN"/>
        </w:rPr>
        <w:t>H3</w:t>
      </w:r>
      <w:proofErr w:type="spellEnd"/>
      <w:r w:rsidRPr="00DC500E">
        <w:rPr>
          <w:lang w:eastAsia="en-GB" w:bidi="hi-IN"/>
        </w:rPr>
        <w:t xml:space="preserve"> can therefore be fully corroborated by empirical evidence that supports this indirect pathway. Thus, the PLS-SEM results confirm that the relationship between an eco-conscious attitude and a sustainable fast fashion purchase is not at all possible in the absence of institutional trust, which acts as a mediator in the path between attitude and purchase behaviour.</w:t>
      </w:r>
    </w:p>
    <w:p w14:paraId="73BC5D69" w14:textId="0845F86F" w:rsidR="00492F89" w:rsidRPr="00DC500E" w:rsidRDefault="00A76526" w:rsidP="00492F89">
      <w:pPr>
        <w:pStyle w:val="Heading2"/>
      </w:pPr>
      <w:bookmarkStart w:id="70" w:name="_Toc241147203"/>
      <w:r w:rsidRPr="00DC500E">
        <w:t>4.3 Discussion</w:t>
      </w:r>
      <w:bookmarkEnd w:id="70"/>
    </w:p>
    <w:p w14:paraId="25E5AE61" w14:textId="5F57D245" w:rsidR="002A413E" w:rsidRPr="00DC500E" w:rsidRDefault="00492F89" w:rsidP="002A413E">
      <w:r w:rsidRPr="00DC500E">
        <w:t xml:space="preserve">The results of this empirical study, conducted using Partial Least Squares Structural Equation </w:t>
      </w:r>
      <w:proofErr w:type="spellStart"/>
      <w:r w:rsidRPr="00DC500E">
        <w:t>Modeling</w:t>
      </w:r>
      <w:proofErr w:type="spellEnd"/>
      <w:r w:rsidRPr="00DC500E">
        <w:t xml:space="preserve"> (PLS-SEM), are valid, important and mathematically sound to validate the conceptual framework proposed in this study. These quantitative findings are compared to those that are </w:t>
      </w:r>
      <w:r w:rsidR="00A22DB1">
        <w:t>“</w:t>
      </w:r>
      <w:r w:rsidRPr="00DC500E">
        <w:t>theoretically derived</w:t>
      </w:r>
      <w:r w:rsidR="00A22DB1">
        <w:t>”</w:t>
      </w:r>
      <w:r w:rsidRPr="00DC500E">
        <w:t>; the purpose of this is to systematically examine the research goals. Within the UK</w:t>
      </w:r>
      <w:r w:rsidR="00A22DB1">
        <w:t>’</w:t>
      </w:r>
      <w:r w:rsidRPr="00DC500E">
        <w:t xml:space="preserve">s sceptical fast fashion </w:t>
      </w:r>
      <w:r w:rsidRPr="00DC500E">
        <w:rPr>
          <w:kern w:val="0"/>
          <w14:ligatures w14:val="none"/>
        </w:rPr>
        <w:t xml:space="preserve">context, </w:t>
      </w:r>
      <w:r w:rsidR="00DC500E" w:rsidRPr="00DC500E">
        <w:rPr>
          <w:kern w:val="0"/>
          <w14:ligatures w14:val="none"/>
        </w:rPr>
        <w:t>these data are very relevant and fill the missing gap in this research and clearly link</w:t>
      </w:r>
      <w:r w:rsidRPr="00DC500E">
        <w:rPr>
          <w:kern w:val="0"/>
          <w14:ligatures w14:val="none"/>
        </w:rPr>
        <w:t xml:space="preserve"> </w:t>
      </w:r>
      <w:r w:rsidR="00DC500E" w:rsidRPr="00DC500E">
        <w:rPr>
          <w:kern w:val="0"/>
          <w14:ligatures w14:val="none"/>
        </w:rPr>
        <w:t>greenwashed</w:t>
      </w:r>
      <w:r w:rsidRPr="00DC500E">
        <w:rPr>
          <w:kern w:val="0"/>
          <w14:ligatures w14:val="none"/>
        </w:rPr>
        <w:t xml:space="preserve"> scepticism and the </w:t>
      </w:r>
      <w:proofErr w:type="spellStart"/>
      <w:r w:rsidR="00DC500E" w:rsidRPr="00DC500E">
        <w:rPr>
          <w:kern w:val="0"/>
          <w14:ligatures w14:val="none"/>
        </w:rPr>
        <w:t>delegitimisation</w:t>
      </w:r>
      <w:proofErr w:type="spellEnd"/>
      <w:r w:rsidRPr="00DC500E">
        <w:rPr>
          <w:kern w:val="0"/>
          <w14:ligatures w14:val="none"/>
        </w:rPr>
        <w:t xml:space="preserve"> of environmental trust, introducing</w:t>
      </w:r>
      <w:r w:rsidRPr="00DC500E">
        <w:t xml:space="preserve"> the inability to act </w:t>
      </w:r>
      <w:r w:rsidR="00A22DB1">
        <w:t>“</w:t>
      </w:r>
      <w:r w:rsidRPr="00DC500E">
        <w:t>environmentally</w:t>
      </w:r>
      <w:r w:rsidR="00A22DB1">
        <w:t>”</w:t>
      </w:r>
      <w:r w:rsidRPr="00DC500E">
        <w:t xml:space="preserve"> when purchasing fashion.</w:t>
      </w:r>
    </w:p>
    <w:p w14:paraId="775F8E0F" w14:textId="77777777" w:rsidR="002A413E" w:rsidRPr="00DC500E" w:rsidRDefault="002A413E" w:rsidP="002A413E">
      <w:pPr>
        <w:pStyle w:val="Heading3"/>
      </w:pPr>
      <w:bookmarkStart w:id="71" w:name="_Toc241147204"/>
      <w:r w:rsidRPr="00DC500E">
        <w:lastRenderedPageBreak/>
        <w:t>4.3.1 The Pervasiveness of Greenwashing Scepticism</w:t>
      </w:r>
      <w:bookmarkEnd w:id="71"/>
      <w:r w:rsidRPr="00DC500E">
        <w:t xml:space="preserve"> </w:t>
      </w:r>
    </w:p>
    <w:p w14:paraId="01EE2580" w14:textId="2FD6B7A6" w:rsidR="00492F89" w:rsidRPr="00DC500E" w:rsidRDefault="00492F89" w:rsidP="00492F89">
      <w:r w:rsidRPr="00DC500E">
        <w:t>The primary dimensions of greenwashing scepticism and its incidence among UK fast fashion shoppers. In this sense, the descriptive analysis suffices to provide support that classifies the consumer</w:t>
      </w:r>
      <w:r w:rsidR="00A22DB1">
        <w:t>’</w:t>
      </w:r>
      <w:r w:rsidRPr="00DC500E">
        <w:t>s doubt as a systemic one in the market, and not a one-off incident. The results for the construct Greenwashing Scepticism (</w:t>
      </w:r>
      <w:proofErr w:type="spellStart"/>
      <w:r w:rsidRPr="00DC500E">
        <w:t>GWS</w:t>
      </w:r>
      <w:proofErr w:type="spellEnd"/>
      <w:r w:rsidRPr="00DC500E">
        <w:t xml:space="preserve">) were exceedingly high, indicating a strong concentration towards the </w:t>
      </w:r>
      <w:r w:rsidR="00A22DB1">
        <w:t>“</w:t>
      </w:r>
      <w:r w:rsidRPr="00DC500E">
        <w:t>strongly agree</w:t>
      </w:r>
      <w:r w:rsidR="00A22DB1">
        <w:t>”</w:t>
      </w:r>
      <w:r w:rsidRPr="00DC500E">
        <w:t xml:space="preserve"> end of the spectrum and produced highly collective scores (between 3.94 and 4.05) with high negative skewness and leptokurtic kurtosis. The acute distributional asymmetry further validates the theoretical claims of Sharma et al. (2023)</w:t>
      </w:r>
      <w:r w:rsidR="00970609">
        <w:t>.</w:t>
      </w:r>
      <w:r w:rsidRPr="00DC500E">
        <w:t xml:space="preserve"> </w:t>
      </w:r>
      <w:r w:rsidR="00970609">
        <w:t>T</w:t>
      </w:r>
      <w:r w:rsidRPr="00DC500E">
        <w:t>he UK</w:t>
      </w:r>
      <w:r w:rsidR="00A22DB1">
        <w:t>’</w:t>
      </w:r>
      <w:r w:rsidRPr="00DC500E">
        <w:t>s consumer base was in hyper-vigilant mode and a victim to deep cognitive dissonance.</w:t>
      </w:r>
    </w:p>
    <w:p w14:paraId="6B64B3B9" w14:textId="44FEB957" w:rsidR="002A413E" w:rsidRPr="00DC500E" w:rsidRDefault="00492F89" w:rsidP="00492F89">
      <w:r w:rsidRPr="00DC500E">
        <w:t xml:space="preserve">The findings were a prime example of the </w:t>
      </w:r>
      <w:r w:rsidR="00A22DB1">
        <w:t>“</w:t>
      </w:r>
      <w:proofErr w:type="spellStart"/>
      <w:r w:rsidRPr="00DC500E">
        <w:t>spillover</w:t>
      </w:r>
      <w:proofErr w:type="spellEnd"/>
      <w:r w:rsidRPr="00DC500E">
        <w:t xml:space="preserve"> effect</w:t>
      </w:r>
      <w:r w:rsidR="00A22DB1">
        <w:t>”</w:t>
      </w:r>
      <w:r w:rsidRPr="00DC500E">
        <w:t xml:space="preserve"> that has been posited in the latest debates. Although scholars such as Senan et al. (2025) suggested that the main counteraction of greenwashing is localised, brand-specific avoidance, the size of the ceiling effects from the </w:t>
      </w:r>
      <w:proofErr w:type="spellStart"/>
      <w:r w:rsidRPr="00DC500E">
        <w:t>GWS</w:t>
      </w:r>
      <w:proofErr w:type="spellEnd"/>
      <w:r w:rsidRPr="00DC500E">
        <w:t xml:space="preserve"> data much more supports the contrasting vision of Saroja (2025). In general, the participants strongly indicated that the marketing aspect must have infected the entire UK retail industry. Misleading labels such as vague green labels and unbacked claims are easily understood as a form of greenwashing by consumers and consequently result in a generalised defensive scepticism, as explained by </w:t>
      </w:r>
      <w:proofErr w:type="spellStart"/>
      <w:r w:rsidRPr="00DC500E">
        <w:t>Panigyraki</w:t>
      </w:r>
      <w:proofErr w:type="spellEnd"/>
      <w:r w:rsidRPr="00DC500E">
        <w:t xml:space="preserve"> and </w:t>
      </w:r>
      <w:proofErr w:type="spellStart"/>
      <w:r w:rsidRPr="00DC500E">
        <w:t>Polyportis</w:t>
      </w:r>
      <w:proofErr w:type="spellEnd"/>
      <w:r w:rsidRPr="00DC500E">
        <w:t xml:space="preserve"> (2024). This is reflected in micro-institutional evidence, showing public opinion in the UK that corporate sustainability is being utilised only as a superficial marketing instrument (Ritch, 2021). Overall, the descriptive results confirmed the intended use to determine greenwashing scepticism as a legitimate and dominant cognitive tool, clearly utilised by all consumer types (</w:t>
      </w:r>
      <w:proofErr w:type="spellStart"/>
      <w:r w:rsidRPr="00DC500E">
        <w:t>Khattri</w:t>
      </w:r>
      <w:proofErr w:type="spellEnd"/>
      <w:r w:rsidRPr="00DC500E">
        <w:t xml:space="preserve"> and Tomar, 2024).</w:t>
      </w:r>
    </w:p>
    <w:p w14:paraId="114FAB0F" w14:textId="77777777" w:rsidR="002A413E" w:rsidRPr="00DC500E" w:rsidRDefault="002A413E" w:rsidP="002A413E">
      <w:pPr>
        <w:pStyle w:val="Heading3"/>
      </w:pPr>
      <w:bookmarkStart w:id="72" w:name="_Toc241147205"/>
      <w:r w:rsidRPr="00DC500E">
        <w:t>4.3.2 The Destructive Impact of Scepticism on Consumer Trust</w:t>
      </w:r>
      <w:bookmarkEnd w:id="72"/>
      <w:r w:rsidRPr="00DC500E">
        <w:t xml:space="preserve"> </w:t>
      </w:r>
    </w:p>
    <w:p w14:paraId="18183B87" w14:textId="2BBC68FC" w:rsidR="00970609" w:rsidRPr="00970609" w:rsidRDefault="00970609" w:rsidP="00970609">
      <w:pPr>
        <w:rPr>
          <w:lang w:eastAsia="en-GB" w:bidi="hi-IN"/>
        </w:rPr>
      </w:pPr>
      <w:r w:rsidRPr="00970609">
        <w:rPr>
          <w:lang w:eastAsia="en-GB" w:bidi="hi-IN"/>
        </w:rPr>
        <w:t>The second objective examined the relationship between greenwashing scepticism and customer trust in a structural</w:t>
      </w:r>
      <w:r>
        <w:rPr>
          <w:lang w:val="en-US" w:eastAsia="en-GB" w:bidi="hi-IN"/>
        </w:rPr>
        <w:t xml:space="preserve"> </w:t>
      </w:r>
      <w:r w:rsidRPr="00970609">
        <w:rPr>
          <w:lang w:eastAsia="en-GB" w:bidi="hi-IN"/>
        </w:rPr>
        <w:t xml:space="preserve">way. Interestingly, this path coefficient (β) had a high value of 0.701 with a significance level of 0.000 (PLS-SEM inferential). </w:t>
      </w:r>
      <w:proofErr w:type="spellStart"/>
      <w:r w:rsidRPr="00970609">
        <w:rPr>
          <w:lang w:eastAsia="en-GB" w:bidi="hi-IN"/>
        </w:rPr>
        <w:t>Rondao</w:t>
      </w:r>
      <w:proofErr w:type="spellEnd"/>
      <w:r w:rsidRPr="00970609">
        <w:rPr>
          <w:lang w:eastAsia="en-GB" w:bidi="hi-IN"/>
        </w:rPr>
        <w:t xml:space="preserve"> explains that almost </w:t>
      </w:r>
      <w:r w:rsidRPr="00970609">
        <w:rPr>
          <w:lang w:eastAsia="en-GB" w:bidi="hi-IN"/>
        </w:rPr>
        <w:lastRenderedPageBreak/>
        <w:t>50 percent (</w:t>
      </w:r>
      <w:proofErr w:type="spellStart"/>
      <w:r w:rsidRPr="00970609">
        <w:rPr>
          <w:lang w:eastAsia="en-GB" w:bidi="hi-IN"/>
        </w:rPr>
        <w:t>R2</w:t>
      </w:r>
      <w:proofErr w:type="spellEnd"/>
      <w:r w:rsidRPr="00970609">
        <w:rPr>
          <w:lang w:eastAsia="en-GB" w:bidi="hi-IN"/>
        </w:rPr>
        <w:t>=0.491) of the variance has a high value. The results turned out to be an empirical disconfirmation of the assumed negative pathway and provide important implications. It also deals with the quantitative behavioural theories from the point mentioned by Azmi et al. (2025) based on cognitive dissonance.</w:t>
      </w:r>
    </w:p>
    <w:p w14:paraId="25790138" w14:textId="083A2208" w:rsidR="002A413E" w:rsidRPr="00970609" w:rsidRDefault="00970609" w:rsidP="00970609">
      <w:pPr>
        <w:rPr>
          <w:lang w:eastAsia="en-GB" w:bidi="hi-IN"/>
        </w:rPr>
      </w:pPr>
      <w:r w:rsidRPr="00970609">
        <w:rPr>
          <w:lang w:eastAsia="en-GB" w:bidi="hi-IN"/>
        </w:rPr>
        <w:t>The data did not reflect outright buyer compartmentalisation due to contradictory eco-marketing</w:t>
      </w:r>
      <w:r>
        <w:rPr>
          <w:lang w:val="en-US" w:eastAsia="en-GB" w:bidi="hi-IN"/>
        </w:rPr>
        <w:t>,</w:t>
      </w:r>
      <w:r w:rsidRPr="00970609">
        <w:rPr>
          <w:lang w:eastAsia="en-GB" w:bidi="hi-IN"/>
        </w:rPr>
        <w:t xml:space="preserve"> as was suggested by </w:t>
      </w:r>
      <w:proofErr w:type="spellStart"/>
      <w:r w:rsidRPr="00970609">
        <w:rPr>
          <w:lang w:eastAsia="en-GB" w:bidi="hi-IN"/>
        </w:rPr>
        <w:t>Villartay</w:t>
      </w:r>
      <w:proofErr w:type="spellEnd"/>
      <w:r w:rsidRPr="00970609">
        <w:rPr>
          <w:lang w:eastAsia="en-GB" w:bidi="hi-IN"/>
        </w:rPr>
        <w:t xml:space="preserve"> et al. (2025), but rather acute consumer compartmentalisation. UK consumers are so sceptical that, paradoxically, the strong brand-consumer association is strengthening, but as they are also manufacturing localized trust</w:t>
      </w:r>
      <w:r>
        <w:rPr>
          <w:lang w:val="en-US" w:eastAsia="en-GB" w:bidi="hi-IN"/>
        </w:rPr>
        <w:t>,</w:t>
      </w:r>
      <w:r w:rsidRPr="00970609">
        <w:rPr>
          <w:lang w:eastAsia="en-GB" w:bidi="hi-IN"/>
        </w:rPr>
        <w:t xml:space="preserve"> this does not explain why they buy cheap. But this finding directly fills the theory gap identified by Mathew and Spinelli (2025). Moreover, it also solves methodological deficiencies pointed out by Mezger et al. (2019) regarding structure. This study successfully isolated environmental consumer trust by excluding the generalized ‘brand </w:t>
      </w:r>
      <w:r>
        <w:rPr>
          <w:kern w:val="0"/>
          <w:lang w:eastAsia="en-GB" w:bidi="hi-IN"/>
          <w14:ligatures w14:val="none"/>
        </w:rPr>
        <w:t>hate' and by affirming its volatility as a credence attribute</w:t>
      </w:r>
      <w:r w:rsidRPr="00970609">
        <w:rPr>
          <w:lang w:eastAsia="en-GB" w:bidi="hi-IN"/>
        </w:rPr>
        <w:t xml:space="preserve"> and its association with high levels of information asymmetry (Zhao et al., 2026). The environment of institutions, in particular, is altered in essence by cognitive doubt, which is mathematically confirmed (Husain, 2024). Overall, the positive association reveals the extent to which “eco-fraud” rhetoric is dominant, creating a necessity for consumers to </w:t>
      </w:r>
      <w:proofErr w:type="spellStart"/>
      <w:r w:rsidRPr="00970609">
        <w:rPr>
          <w:lang w:eastAsia="en-GB" w:bidi="hi-IN"/>
        </w:rPr>
        <w:t>compartmentali</w:t>
      </w:r>
      <w:proofErr w:type="spellEnd"/>
      <w:r>
        <w:rPr>
          <w:lang w:val="en-US" w:eastAsia="en-GB" w:bidi="hi-IN"/>
        </w:rPr>
        <w:t>s</w:t>
      </w:r>
      <w:r w:rsidRPr="00970609">
        <w:rPr>
          <w:lang w:eastAsia="en-GB" w:bidi="hi-IN"/>
        </w:rPr>
        <w:t>e their lack of trust to use fast fashion loss-free</w:t>
      </w:r>
      <w:r>
        <w:rPr>
          <w:lang w:val="en-US" w:eastAsia="en-GB" w:bidi="hi-IN"/>
        </w:rPr>
        <w:t xml:space="preserve"> </w:t>
      </w:r>
      <w:r w:rsidRPr="00970609">
        <w:rPr>
          <w:lang w:eastAsia="en-GB" w:bidi="hi-IN"/>
        </w:rPr>
        <w:t>(</w:t>
      </w:r>
      <w:proofErr w:type="spellStart"/>
      <w:r w:rsidRPr="00970609">
        <w:rPr>
          <w:lang w:eastAsia="en-GB" w:bidi="hi-IN"/>
        </w:rPr>
        <w:t>Lankanath</w:t>
      </w:r>
      <w:proofErr w:type="spellEnd"/>
      <w:r w:rsidRPr="00970609">
        <w:rPr>
          <w:lang w:eastAsia="en-GB" w:bidi="hi-IN"/>
        </w:rPr>
        <w:t>, 2025).</w:t>
      </w:r>
    </w:p>
    <w:p w14:paraId="2E308FA5" w14:textId="77777777" w:rsidR="002A413E" w:rsidRPr="00DC500E" w:rsidRDefault="002A413E" w:rsidP="002A413E">
      <w:pPr>
        <w:pStyle w:val="Heading3"/>
      </w:pPr>
      <w:bookmarkStart w:id="73" w:name="_Toc241147206"/>
      <w:r w:rsidRPr="00DC500E">
        <w:t>4.3.3 Consumer Trust as a Catalyst for Sustainable Purchase Intention</w:t>
      </w:r>
      <w:bookmarkEnd w:id="73"/>
      <w:r w:rsidRPr="00DC500E">
        <w:t xml:space="preserve"> </w:t>
      </w:r>
    </w:p>
    <w:p w14:paraId="043467C7" w14:textId="02CDEED4" w:rsidR="00492F89" w:rsidRPr="00DC500E" w:rsidRDefault="00492F89" w:rsidP="00492F89">
      <w:r w:rsidRPr="00DC500E">
        <w:t>The direct path to sustainable purchase intention (Hypothesis 2) between consumer trust and sustainable purchase intention was discussed in the third objective. The structural model showed a high</w:t>
      </w:r>
      <w:r w:rsidR="00A22DB1">
        <w:t>ly</w:t>
      </w:r>
      <w:r w:rsidRPr="00DC500E">
        <w:t xml:space="preserve"> significant path coefficient (β=0.651, t=7.255, p=0.000) and was able to explain 42.4% of the variance </w:t>
      </w:r>
      <w:r w:rsidR="00A22DB1">
        <w:t>in</w:t>
      </w:r>
      <w:r w:rsidRPr="00DC500E">
        <w:t xml:space="preserve"> behavioural intent. This provides solid empirical evidence in support</w:t>
      </w:r>
      <w:r w:rsidR="00A22DB1">
        <w:t xml:space="preserve"> of</w:t>
      </w:r>
      <w:r w:rsidRPr="00DC500E">
        <w:t xml:space="preserve"> the development of the classical Theory of Planned Behaviour (</w:t>
      </w:r>
      <w:proofErr w:type="spellStart"/>
      <w:r w:rsidRPr="00DC500E">
        <w:t>TPB</w:t>
      </w:r>
      <w:proofErr w:type="spellEnd"/>
      <w:r w:rsidRPr="00DC500E">
        <w:t xml:space="preserve">) (Ajzen, 1991; </w:t>
      </w:r>
      <w:proofErr w:type="spellStart"/>
      <w:r w:rsidRPr="00DC500E">
        <w:t>Meliniasari</w:t>
      </w:r>
      <w:proofErr w:type="spellEnd"/>
      <w:r w:rsidRPr="00DC500E">
        <w:t xml:space="preserve"> and </w:t>
      </w:r>
      <w:proofErr w:type="spellStart"/>
      <w:r w:rsidRPr="00DC500E">
        <w:t>Mas</w:t>
      </w:r>
      <w:r w:rsidR="00A22DB1">
        <w:t>’</w:t>
      </w:r>
      <w:r w:rsidRPr="00DC500E">
        <w:t>od</w:t>
      </w:r>
      <w:proofErr w:type="spellEnd"/>
      <w:r w:rsidRPr="00DC500E">
        <w:t xml:space="preserve">, 2024). </w:t>
      </w:r>
      <w:proofErr w:type="spellStart"/>
      <w:r w:rsidR="0055244E" w:rsidRPr="00DC500E">
        <w:t>Nkiko</w:t>
      </w:r>
      <w:proofErr w:type="spellEnd"/>
      <w:r w:rsidR="0055244E" w:rsidRPr="00DC500E">
        <w:t xml:space="preserve"> </w:t>
      </w:r>
      <w:r w:rsidR="0055244E">
        <w:t>(</w:t>
      </w:r>
      <w:r w:rsidR="0055244E" w:rsidRPr="00DC500E">
        <w:t>2026</w:t>
      </w:r>
      <w:r w:rsidR="0055244E">
        <w:t xml:space="preserve">) </w:t>
      </w:r>
      <w:r w:rsidRPr="00DC500E">
        <w:t xml:space="preserve">pointed out that positive environmental attitudes alone cannot trigger behaviour due to the </w:t>
      </w:r>
      <w:r w:rsidR="00A22DB1">
        <w:t>“</w:t>
      </w:r>
      <w:r w:rsidRPr="00DC500E">
        <w:t>attitude-behaviour gap</w:t>
      </w:r>
      <w:r w:rsidR="00A22DB1">
        <w:t>”</w:t>
      </w:r>
      <w:r w:rsidRPr="00DC500E">
        <w:t xml:space="preserve">. However, for a sustainable </w:t>
      </w:r>
      <w:r w:rsidRPr="00DC500E">
        <w:lastRenderedPageBreak/>
        <w:t>garment, consumers must be prepared to pay a premium, a financial as well as performance risk (Hebben, Schmitz and Fassnacht, 2026).</w:t>
      </w:r>
    </w:p>
    <w:p w14:paraId="697DF423" w14:textId="314FEE7E" w:rsidR="00492F89" w:rsidRPr="00DC500E" w:rsidRDefault="00492F89" w:rsidP="00492F89">
      <w:r w:rsidRPr="00DC500E">
        <w:t>Empirical studies have affirmed that trust is irreplaceable, and it is the ultimate risk-reduction tool</w:t>
      </w:r>
      <w:r w:rsidR="00970609">
        <w:t>,</w:t>
      </w:r>
      <w:r w:rsidRPr="00DC500E">
        <w:t xml:space="preserve"> especially in high-risk sectors such as retail (Bonfanti et al., 2024). If consumers</w:t>
      </w:r>
      <w:r w:rsidR="00A22DB1">
        <w:t>’</w:t>
      </w:r>
      <w:r w:rsidRPr="00DC500E">
        <w:t xml:space="preserve"> environmental trust is high in the United Kingdom</w:t>
      </w:r>
      <w:r w:rsidR="00A22DB1">
        <w:t>,</w:t>
      </w:r>
      <w:r w:rsidRPr="00DC500E">
        <w:t xml:space="preserve"> then there is a lower subjective expectancy of deception</w:t>
      </w:r>
      <w:r w:rsidR="00A22DB1">
        <w:t>,</w:t>
      </w:r>
      <w:r w:rsidRPr="00DC500E">
        <w:t xml:space="preserve"> which means that consumers are able to </w:t>
      </w:r>
      <w:r w:rsidR="00A22DB1">
        <w:t>“</w:t>
      </w:r>
      <w:r w:rsidRPr="00DC500E">
        <w:t xml:space="preserve">absorb the </w:t>
      </w:r>
      <w:r w:rsidR="00A22DB1">
        <w:t>‘</w:t>
      </w:r>
      <w:r w:rsidRPr="00DC500E">
        <w:t>green premium</w:t>
      </w:r>
      <w:r w:rsidR="00A22DB1">
        <w:t>’ (</w:t>
      </w:r>
      <w:r w:rsidR="00A22DB1" w:rsidRPr="00DC500E">
        <w:t>Sun et al., 2023</w:t>
      </w:r>
      <w:r w:rsidR="00A22DB1">
        <w:t>)</w:t>
      </w:r>
      <w:r w:rsidRPr="00DC500E">
        <w:t>.</w:t>
      </w:r>
    </w:p>
    <w:p w14:paraId="5631BC4B" w14:textId="6EB15511" w:rsidR="002A413E" w:rsidRPr="00DC500E" w:rsidRDefault="00492F89" w:rsidP="00492F89">
      <w:r w:rsidRPr="00DC500E">
        <w:t xml:space="preserve">This finding is significant because of a paradigm shift to the </w:t>
      </w:r>
      <w:r w:rsidR="00A22DB1">
        <w:t>‘</w:t>
      </w:r>
      <w:r w:rsidRPr="00DC500E">
        <w:t>fast fashion paradox</w:t>
      </w:r>
      <w:r w:rsidR="00A22DB1">
        <w:t>’</w:t>
      </w:r>
      <w:r w:rsidRPr="00DC500E">
        <w:t>, as pointed out by Ghazali et al. (2018)</w:t>
      </w:r>
      <w:r w:rsidR="00A22DB1">
        <w:t>;</w:t>
      </w:r>
      <w:r w:rsidRPr="00DC500E">
        <w:t xml:space="preserve"> customers are willing to buy from brands they do not trust</w:t>
      </w:r>
      <w:r w:rsidR="00A22DB1">
        <w:t xml:space="preserve"> </w:t>
      </w:r>
      <w:r w:rsidR="00A22DB1">
        <w:br/>
        <w:t>(</w:t>
      </w:r>
      <w:r w:rsidR="00A22DB1" w:rsidRPr="00DC500E">
        <w:t>Johnstone and Hooper</w:t>
      </w:r>
      <w:r w:rsidR="00A22DB1">
        <w:t>,</w:t>
      </w:r>
      <w:r w:rsidR="00A22DB1" w:rsidRPr="00DC500E">
        <w:t xml:space="preserve"> 2016)</w:t>
      </w:r>
      <w:r w:rsidRPr="00DC500E">
        <w:t xml:space="preserve">. So, this study removes sustainable purchase intention as a dependent variable because it is a methodological argument, by not using the general low-involvement purchase intention as a dependent variable (Li, Cavender, and Lee, 2025). The significant structural connection (β=0.651) supports the notion that although the purchase decision for an inexpensive, functional synthetic item is not one in which consumers prioritise environmental consciousness, consumers do not leave environmental trust under their control if the brand asks for an eco-premium, as it is a prerequisite (Mathew and Spinelli, 2025). Indeed, this information confirms knowledge about the importance of trust as the </w:t>
      </w:r>
      <w:r w:rsidR="00A22DB1">
        <w:t>“</w:t>
      </w:r>
      <w:r w:rsidRPr="00DC500E">
        <w:t>spark</w:t>
      </w:r>
      <w:r w:rsidR="00A22DB1">
        <w:t>”</w:t>
      </w:r>
      <w:r w:rsidRPr="00DC500E">
        <w:t xml:space="preserve"> that, at a cognitive level, is crucial to ignite latent pro-ecological behaviour and sustainable purchase intentions </w:t>
      </w:r>
      <w:r w:rsidR="00A22DB1">
        <w:t>(</w:t>
      </w:r>
      <w:r w:rsidRPr="00DC500E">
        <w:t>Sánchez et al., 2024). Without it, consumers have no other option but to resort to traditional purchasing paths, out of necessity due to economic factors, or in order to make a liv</w:t>
      </w:r>
      <w:r w:rsidR="00A22DB1">
        <w:t>ing</w:t>
      </w:r>
      <w:r w:rsidRPr="00DC500E">
        <w:t xml:space="preserve"> (Khan et al., 2024).</w:t>
      </w:r>
    </w:p>
    <w:p w14:paraId="4D115A3E" w14:textId="77777777" w:rsidR="002A413E" w:rsidRPr="00DC500E" w:rsidRDefault="002A413E" w:rsidP="002A413E">
      <w:pPr>
        <w:pStyle w:val="Heading3"/>
      </w:pPr>
      <w:bookmarkStart w:id="74" w:name="_Toc241147207"/>
      <w:r w:rsidRPr="00DC500E">
        <w:t>4.3.4 The Mediating Role of Consumer Trust</w:t>
      </w:r>
      <w:bookmarkEnd w:id="74"/>
      <w:r w:rsidRPr="00DC500E">
        <w:t xml:space="preserve"> </w:t>
      </w:r>
    </w:p>
    <w:p w14:paraId="01A5377E" w14:textId="2419722D" w:rsidR="00492F89" w:rsidRPr="00DC500E" w:rsidRDefault="00492F89" w:rsidP="00492F89">
      <w:r w:rsidRPr="00DC500E">
        <w:t>The key outcome of this work has been explored in objective 4 and found to be mediation, which is greenwashing scepticism</w:t>
      </w:r>
      <w:r w:rsidR="00A22DB1">
        <w:t>’</w:t>
      </w:r>
      <w:r w:rsidRPr="00DC500E">
        <w:t xml:space="preserve">s influence on sustainable purchase intention through consumer trust. The indirect effect with a specific criterion was found to be highly significant </w:t>
      </w:r>
      <w:r w:rsidRPr="00DC500E">
        <w:lastRenderedPageBreak/>
        <w:t>(β=0.456, t=5.654, p=0.000). From a theoretical point of view, this is the only one widely accepted for which the value is supported by empirical evidence, and is used to forecast the impact of behaviours in deceptive markets, for which a complex structural mechanism is needed (Wang and Li, 2024).</w:t>
      </w:r>
    </w:p>
    <w:p w14:paraId="734895B0" w14:textId="615B10CE" w:rsidR="00492F89" w:rsidRPr="00DC500E" w:rsidRDefault="00970609" w:rsidP="00492F89">
      <w:r w:rsidRPr="00970609">
        <w:t>Consumer scepticism does not directly affect consumers’ intention to purchase green fashion products in a theoretical vacuum but only through the psychological structure of trust (Pillai and Sivathanu, 2020)</w:t>
      </w:r>
      <w:r>
        <w:t>,</w:t>
      </w:r>
      <w:r w:rsidRPr="00970609">
        <w:t xml:space="preserve"> </w:t>
      </w:r>
      <w:r>
        <w:t>a</w:t>
      </w:r>
      <w:r w:rsidRPr="00970609">
        <w:t xml:space="preserve">s confirmed through the formal mediation analysis. Yin and Chen </w:t>
      </w:r>
      <w:r>
        <w:t>(</w:t>
      </w:r>
      <w:r w:rsidRPr="00970609">
        <w:t>2022) impl</w:t>
      </w:r>
      <w:r>
        <w:t>y</w:t>
      </w:r>
      <w:r w:rsidRPr="00970609">
        <w:t xml:space="preserve"> that trust is not an unnecessary control variable in this dynamic</w:t>
      </w:r>
      <w:r>
        <w:t>,</w:t>
      </w:r>
      <w:r w:rsidRPr="00970609">
        <w:t xml:space="preserve"> as Hypothesis 3 suggests. It serves instead as an actual mechanism of dissemination and kind of covers the phenomenon of cognitive dissonance (Fella and </w:t>
      </w:r>
      <w:proofErr w:type="spellStart"/>
      <w:r w:rsidRPr="00970609">
        <w:t>Bausa</w:t>
      </w:r>
      <w:proofErr w:type="spellEnd"/>
      <w:r w:rsidRPr="00970609">
        <w:t>, 2024). It also illustrates the very complex psychological dynamics of belief deflation (Agarwal et al., 2026) due to the presence of the imaginary force. This mediated pathway highlights that sustainable purchase intentions will only persist when this precarious trust is maintained; otherwise, an active and continuous avoidance of negative behaviour will immediately kick in (Ayyoob and Sajeev, 2025). This is substantiated by the PLS-SEM analysis</w:t>
      </w:r>
      <w:r>
        <w:t>,</w:t>
      </w:r>
      <w:r w:rsidRPr="00970609">
        <w:t xml:space="preserve"> which takes the original qualitative inferences about market paralysis directly into quantifiable mathematical facts (</w:t>
      </w:r>
      <w:proofErr w:type="spellStart"/>
      <w:r w:rsidRPr="00970609">
        <w:t>Kautish</w:t>
      </w:r>
      <w:proofErr w:type="spellEnd"/>
      <w:r w:rsidRPr="00970609">
        <w:t xml:space="preserve"> et al., 2021). This aligns with the results that show that exaggerated eco-marketing can indeed generate dishonesty that undermines the core pro-ecological attitude (</w:t>
      </w:r>
      <w:proofErr w:type="spellStart"/>
      <w:r w:rsidRPr="00970609">
        <w:t>Khattri</w:t>
      </w:r>
      <w:proofErr w:type="spellEnd"/>
      <w:r w:rsidRPr="00970609">
        <w:t xml:space="preserve"> and Tomar, 2024). Finally, consumers are made to create trust with retail institutions artificially so that the needed risk mitigation is achieved (Daou et al., 2025).</w:t>
      </w:r>
    </w:p>
    <w:p w14:paraId="7A00C81D" w14:textId="7F3DEBB4" w:rsidR="002A413E" w:rsidRPr="00DC500E" w:rsidRDefault="00492F89" w:rsidP="00492F89">
      <w:r w:rsidRPr="00DC500E">
        <w:t xml:space="preserve">Ultimately, the results of the empirical investigation are somewhat clear and definitely support the proposed trust-mediation solution. It offers a valid and rigorous </w:t>
      </w:r>
      <w:proofErr w:type="spellStart"/>
      <w:r w:rsidRPr="00DC500E">
        <w:t>Q1</w:t>
      </w:r>
      <w:proofErr w:type="spellEnd"/>
      <w:r w:rsidRPr="00DC500E">
        <w:t xml:space="preserve"> analysis of the limits of the classic </w:t>
      </w:r>
      <w:proofErr w:type="spellStart"/>
      <w:r w:rsidRPr="00DC500E">
        <w:t>TPB</w:t>
      </w:r>
      <w:proofErr w:type="spellEnd"/>
      <w:r w:rsidRPr="00DC500E">
        <w:t xml:space="preserve"> and its need for an exogenous shock, in this case</w:t>
      </w:r>
      <w:r w:rsidR="00A22DB1">
        <w:t>,</w:t>
      </w:r>
      <w:r w:rsidRPr="00DC500E">
        <w:t xml:space="preserve"> deceptive communication, to be applicable in the modern context of fast fashion in the UK. This study will offer a very </w:t>
      </w:r>
      <w:r w:rsidRPr="00DC500E">
        <w:lastRenderedPageBreak/>
        <w:t>predictive and accurate view of how volatile retail markets actually work, how scepticism does indeed erode trust, and how the lack of trust in turn contributes to weaker green purchasing.</w:t>
      </w:r>
    </w:p>
    <w:p w14:paraId="0B0A016A" w14:textId="77777777" w:rsidR="002A413E" w:rsidRPr="00DC500E" w:rsidRDefault="002A413E">
      <w:pPr>
        <w:spacing w:line="240" w:lineRule="auto"/>
        <w:jc w:val="left"/>
      </w:pPr>
      <w:r w:rsidRPr="00DC500E">
        <w:br w:type="page"/>
      </w:r>
    </w:p>
    <w:p w14:paraId="19E5032C" w14:textId="77777777" w:rsidR="002A413E" w:rsidRPr="00DC500E" w:rsidRDefault="002A413E" w:rsidP="002A413E">
      <w:pPr>
        <w:pStyle w:val="Heading1"/>
      </w:pPr>
      <w:bookmarkStart w:id="75" w:name="_Toc241147208"/>
      <w:r w:rsidRPr="00DC500E">
        <w:lastRenderedPageBreak/>
        <w:t>Chapter Five: Conclusions and Recommendations</w:t>
      </w:r>
      <w:bookmarkEnd w:id="75"/>
    </w:p>
    <w:p w14:paraId="01B7634A" w14:textId="77777777" w:rsidR="002A413E" w:rsidRPr="00DC500E" w:rsidRDefault="002A413E" w:rsidP="002A413E">
      <w:pPr>
        <w:pStyle w:val="Heading2"/>
      </w:pPr>
      <w:bookmarkStart w:id="76" w:name="_Toc241147209"/>
      <w:r w:rsidRPr="00DC500E">
        <w:t>5.1 Introduction</w:t>
      </w:r>
      <w:bookmarkEnd w:id="76"/>
    </w:p>
    <w:p w14:paraId="7368B91D" w14:textId="629846C0" w:rsidR="002A413E" w:rsidRPr="00DC500E" w:rsidRDefault="002A413E" w:rsidP="002A413E">
      <w:r w:rsidRPr="00DC500E">
        <w:t xml:space="preserve">This concluding chapter brings together the empirical results obtained from the structural assessment of the fast fashion market in the UK, making the theoretical and empirical implications of the study more solid. The main objective of this study was to mathematically measure the effect of scepticism towards greenwashing on consumer trust and then on sustainable purchasing intentions in a highly misleading retail context. This chapter reviews the conclusions that can be drawn from the data systematically since the proposed trust-mediation model has now been </w:t>
      </w:r>
      <w:r w:rsidR="00492F89" w:rsidRPr="00DC500E">
        <w:t>operationalis</w:t>
      </w:r>
      <w:r w:rsidRPr="00DC500E">
        <w:t>ed and tested using PLS-SEM. It clearly outlines the accomplishment of the four core research goals and then provides action-oriented, data-supported recommendations for managerial practice. Moreover, the chapter points ou</w:t>
      </w:r>
      <w:r w:rsidR="00970609">
        <w:t>t</w:t>
      </w:r>
      <w:r w:rsidRPr="00DC500E">
        <w:t xml:space="preserve"> some original contributions in behavioural theory with critical consideration of methodological limitations, followed by certain directions </w:t>
      </w:r>
      <w:r w:rsidR="00970609">
        <w:t>for</w:t>
      </w:r>
      <w:r w:rsidRPr="00DC500E">
        <w:t xml:space="preserve"> future academic study to further progress the paradigm of green marketing.</w:t>
      </w:r>
    </w:p>
    <w:p w14:paraId="13928653" w14:textId="77777777" w:rsidR="002A413E" w:rsidRPr="00DC500E" w:rsidRDefault="002A413E" w:rsidP="002A413E">
      <w:pPr>
        <w:pStyle w:val="Heading2"/>
      </w:pPr>
      <w:bookmarkStart w:id="77" w:name="_Toc241147210"/>
      <w:r w:rsidRPr="00DC500E">
        <w:t>5.2 Summary of Conclusions</w:t>
      </w:r>
      <w:bookmarkEnd w:id="77"/>
    </w:p>
    <w:p w14:paraId="7737E136" w14:textId="0656F478" w:rsidR="002A413E" w:rsidRPr="00DC500E" w:rsidRDefault="002A413E" w:rsidP="002A413E">
      <w:r w:rsidRPr="00DC500E">
        <w:t>This investigation</w:t>
      </w:r>
      <w:r w:rsidR="00A22DB1">
        <w:t>’</w:t>
      </w:r>
      <w:r w:rsidRPr="00DC500E">
        <w:t>s main finding is that greenwashing scepticism acts as an aggressive institutional trust destroyer, and should be considered the prime determinant of the commerciality of sustainable fast fashion. Th</w:t>
      </w:r>
      <w:r w:rsidR="00970609">
        <w:t>ese</w:t>
      </w:r>
      <w:r w:rsidRPr="00DC500E">
        <w:t xml:space="preserve"> empirical data w</w:t>
      </w:r>
      <w:r w:rsidR="00970609">
        <w:t>ere</w:t>
      </w:r>
      <w:r w:rsidRPr="00DC500E">
        <w:t xml:space="preserve"> conclusive </w:t>
      </w:r>
      <w:r w:rsidR="00970609">
        <w:t>in</w:t>
      </w:r>
      <w:r w:rsidRPr="00DC500E">
        <w:t xml:space="preserve"> prov</w:t>
      </w:r>
      <w:r w:rsidR="00970609">
        <w:t>ing</w:t>
      </w:r>
      <w:r w:rsidRPr="00DC500E">
        <w:t xml:space="preserve"> the existence of severe </w:t>
      </w:r>
      <w:r w:rsidR="00492F89" w:rsidRPr="00DC500E">
        <w:t>generalis</w:t>
      </w:r>
      <w:r w:rsidRPr="00DC500E">
        <w:t xml:space="preserve">ed cognitive doubt among the UK fast fashion demographic. Descriptive analysis showed high negative skew values on all the scepticism scales and mathematically revealed that British consumers consider the current environmental claims ultra-suspect and manipulative (Fella </w:t>
      </w:r>
      <w:r w:rsidR="00944B3B">
        <w:t>and</w:t>
      </w:r>
      <w:r w:rsidRPr="00DC500E">
        <w:t xml:space="preserve"> </w:t>
      </w:r>
      <w:proofErr w:type="spellStart"/>
      <w:r w:rsidRPr="00DC500E">
        <w:t>Bausa</w:t>
      </w:r>
      <w:proofErr w:type="spellEnd"/>
      <w:r w:rsidRPr="00DC500E">
        <w:t>, 2024). This is high</w:t>
      </w:r>
      <w:r w:rsidR="00970609">
        <w:t>-</w:t>
      </w:r>
      <w:r w:rsidRPr="00DC500E">
        <w:t xml:space="preserve">intensity scepticism which is not a fringe or a particularised market issue, but rather a systemic one which actively </w:t>
      </w:r>
      <w:r w:rsidR="00A22DB1">
        <w:t>‘</w:t>
      </w:r>
      <w:r w:rsidRPr="00DC500E">
        <w:t>sets up</w:t>
      </w:r>
      <w:r w:rsidR="00A22DB1">
        <w:t>’</w:t>
      </w:r>
      <w:r w:rsidRPr="00DC500E">
        <w:t xml:space="preserve"> consumers for belief disconfirmation.</w:t>
      </w:r>
    </w:p>
    <w:p w14:paraId="35C7C443" w14:textId="744E5573" w:rsidR="002A413E" w:rsidRPr="00DC500E" w:rsidRDefault="002A413E" w:rsidP="002A413E">
      <w:r w:rsidRPr="00DC500E">
        <w:lastRenderedPageBreak/>
        <w:t xml:space="preserve">In terms of structure, the PLS-SEM result confirmed all three theoretical hypotheses in an excellent statistical manner. </w:t>
      </w:r>
      <w:r w:rsidR="00970609" w:rsidRPr="00970609">
        <w:t>It laid bare a strong, paradoxical structural relationship between greenwashing scepticism and consumer trust (β=0.701, p=0.000), thereby demonstrating that consumers actively compartmentalise their systemic doubt, artificially maintaining a positive perception of a brand’s environmental benevolence and competence to justify their continued consumption (Zhang and Ismail, 2024)</w:t>
      </w:r>
      <w:r w:rsidR="00970609">
        <w:t xml:space="preserve">. </w:t>
      </w:r>
      <w:r w:rsidRPr="00DC500E">
        <w:t>This trust is the one thing that erodes and represents the main impetus towards market paralysis. The model confirmed that consumer trust has a massive positive influence (β=0.651, p=0.000) because it represents a non-negotiable condition to reduce both financial and performance risks of opaque green markets (Daou et al., 2025). Finally, a strong specific indirect effect (β=0.456, p=0.000) was isolated and confirmed with the advanced bootstrapping procedure. This shows</w:t>
      </w:r>
      <w:r w:rsidR="00F01882">
        <w:t xml:space="preserve"> </w:t>
      </w:r>
      <w:r w:rsidRPr="00DC500E">
        <w:t>theoretically</w:t>
      </w:r>
      <w:r w:rsidR="00F01882">
        <w:t xml:space="preserve"> and</w:t>
      </w:r>
      <w:r w:rsidRPr="00DC500E">
        <w:t xml:space="preserve"> numerically</w:t>
      </w:r>
      <w:r w:rsidR="00F01882">
        <w:t xml:space="preserve"> that </w:t>
      </w:r>
      <w:r w:rsidRPr="00DC500E">
        <w:t>greenwashing not only doesn</w:t>
      </w:r>
      <w:r w:rsidR="00A22DB1">
        <w:t>’</w:t>
      </w:r>
      <w:r w:rsidRPr="00DC500E">
        <w:t xml:space="preserve">t stop purchase in a vacuum, </w:t>
      </w:r>
      <w:r w:rsidR="00F01882">
        <w:t xml:space="preserve">but </w:t>
      </w:r>
      <w:r w:rsidRPr="00DC500E">
        <w:t>it</w:t>
      </w:r>
      <w:r w:rsidR="00A22DB1">
        <w:t>’</w:t>
      </w:r>
      <w:r w:rsidRPr="00DC500E">
        <w:t>s also a guaranteed path towards losing the psychological edifice of in-between credibility, establishing the attitude-behaviour gap and derailing sustainable consumption.</w:t>
      </w:r>
    </w:p>
    <w:p w14:paraId="4BC10AB1" w14:textId="77777777" w:rsidR="002A413E" w:rsidRPr="00DC500E" w:rsidRDefault="002A413E" w:rsidP="002A413E">
      <w:pPr>
        <w:pStyle w:val="Heading2"/>
      </w:pPr>
      <w:bookmarkStart w:id="78" w:name="_Toc241147211"/>
      <w:r w:rsidRPr="00DC500E">
        <w:t>5.3 Achievement of the Research Objectives</w:t>
      </w:r>
      <w:bookmarkEnd w:id="78"/>
    </w:p>
    <w:p w14:paraId="47C405A9" w14:textId="4DB57288" w:rsidR="002A413E" w:rsidRPr="00DC500E" w:rsidRDefault="002A413E" w:rsidP="002A413E">
      <w:r w:rsidRPr="00DC500E">
        <w:t>The research design met all four criteri</w:t>
      </w:r>
      <w:r w:rsidR="00F01882">
        <w:t>a</w:t>
      </w:r>
      <w:r w:rsidRPr="00DC500E">
        <w:t xml:space="preserve"> of specific objectives laid down at the beginning of </w:t>
      </w:r>
      <w:r w:rsidR="00F01882">
        <w:t xml:space="preserve">the </w:t>
      </w:r>
      <w:r w:rsidRPr="00DC500E">
        <w:t xml:space="preserve">research. The first goal was to understand the key dimensions and prevalence of the </w:t>
      </w:r>
      <w:r w:rsidR="00A22DB1">
        <w:t>‘</w:t>
      </w:r>
      <w:r w:rsidRPr="00DC500E">
        <w:t>greenwashing scepticism</w:t>
      </w:r>
      <w:r w:rsidR="00A22DB1">
        <w:t>’</w:t>
      </w:r>
      <w:r w:rsidRPr="00DC500E">
        <w:t xml:space="preserve"> of UK fast fashion consumers. The objective was accomplished by careful implementation of the descriptive analysis. Results from 157 valid UK respondents produced very similar and highly skewed mean scores on all scepticism indicators, with very high (leptokurtic) peaks in the distribution scores. This empirical evidence showed that UK consumers have a very sensitive, multidimensional perception of the deception, with a strong focus on vague eco-labels, </w:t>
      </w:r>
      <w:r w:rsidR="00A22DB1">
        <w:t>“</w:t>
      </w:r>
      <w:r w:rsidRPr="00DC500E">
        <w:t>supply chain</w:t>
      </w:r>
      <w:r w:rsidR="00A22DB1">
        <w:t>”</w:t>
      </w:r>
      <w:r w:rsidRPr="00DC500E">
        <w:t xml:space="preserve"> claims that are not backed up with data, and distractive </w:t>
      </w:r>
      <w:r w:rsidR="00A22DB1">
        <w:t>“</w:t>
      </w:r>
      <w:r w:rsidRPr="00DC500E">
        <w:t>conscious</w:t>
      </w:r>
      <w:r w:rsidR="00A22DB1">
        <w:t>”</w:t>
      </w:r>
      <w:r w:rsidRPr="00DC500E">
        <w:t xml:space="preserve"> capsule collections. The results confirmed the theoretical statement that </w:t>
      </w:r>
      <w:r w:rsidRPr="00DC500E">
        <w:lastRenderedPageBreak/>
        <w:t>the scepticism developed from a localised brand doubt phenomenon into an industry-wide defensive mechanism and successfully met the criteria of the 1st objective.</w:t>
      </w:r>
    </w:p>
    <w:p w14:paraId="461A0AAC" w14:textId="2DD3F599" w:rsidR="002A413E" w:rsidRPr="00DC500E" w:rsidRDefault="002A413E" w:rsidP="002A413E">
      <w:r w:rsidRPr="00DC500E">
        <w:t>The second aim was to analyse the exact structural linkages between greenwashing scepticism and consumer confidence. This was done by successfully implementing the PLS-SEM measurement and structural models. Together, it resulted in robust discriminant validity (</w:t>
      </w:r>
      <w:proofErr w:type="spellStart"/>
      <w:r w:rsidRPr="00DC500E">
        <w:t>HTMT</w:t>
      </w:r>
      <w:proofErr w:type="spellEnd"/>
      <w:r w:rsidRPr="00DC500E">
        <w:t xml:space="preserve"> ratios strictly smaller than 0.85), which provided valuable fidelity that allowed for distinguishing and isolating environmental trust as a psychometric state that is different from </w:t>
      </w:r>
      <w:r w:rsidR="00492F89" w:rsidRPr="00DC500E">
        <w:t>generalis</w:t>
      </w:r>
      <w:r w:rsidRPr="00DC500E">
        <w:t>ed brand affect. The quantitative relationship was then captured using structural path analysis, leading to a statistically significant path coefficient explaining 49.1% of the variance in consumer trust. The success of this result gave the mathematical confirmation and response to the second objective</w:t>
      </w:r>
      <w:r w:rsidR="00492F89" w:rsidRPr="00DC500E">
        <w:t>´s</w:t>
      </w:r>
      <w:r w:rsidRPr="00DC500E">
        <w:t xml:space="preserve"> central question that cognitive scepticism is active and aggressive, and it neutrali</w:t>
      </w:r>
      <w:r w:rsidR="00492F89" w:rsidRPr="00DC500E">
        <w:t>s</w:t>
      </w:r>
      <w:r w:rsidRPr="00DC500E">
        <w:t>es the credibility of the institutional environment</w:t>
      </w:r>
      <w:r w:rsidR="00492F89" w:rsidRPr="00DC500E">
        <w:t xml:space="preserve"> directly</w:t>
      </w:r>
      <w:r w:rsidRPr="00DC500E">
        <w:t>.</w:t>
      </w:r>
    </w:p>
    <w:p w14:paraId="70183FFF" w14:textId="77777777" w:rsidR="002A413E" w:rsidRPr="00DC500E" w:rsidRDefault="002A413E" w:rsidP="002A413E">
      <w:r w:rsidRPr="00DC500E">
        <w:t>The third objective was taken on the analysis of the effect of consumer trust on sustainable purchase intention. This was achieved by putting the second direct hypothesis in the conceptual framework to test. The linear structure output accounted for 42.4% of the variance in the dependent variable and was highly significant at the 0.01 level. This was achieved by systematically testing that the increase in trust serves as the main psychological instrument for risk reduction in extreme settings of information gaps. It empirically proved that positive environmental attitudes are totally dormant without institutional trust and need to be activated by proven and trusted institutional trust in order to integrate the extra costs of sustainable apparel.</w:t>
      </w:r>
    </w:p>
    <w:p w14:paraId="6D5C1FD5" w14:textId="3468884C" w:rsidR="002A413E" w:rsidRPr="00DC500E" w:rsidRDefault="002A413E" w:rsidP="002A413E">
      <w:r w:rsidRPr="00DC500E">
        <w:t xml:space="preserve">The fourth and final objective was to test </w:t>
      </w:r>
      <w:r w:rsidR="00492F89" w:rsidRPr="00DC500E">
        <w:t xml:space="preserve">the </w:t>
      </w:r>
      <w:r w:rsidRPr="00DC500E">
        <w:t xml:space="preserve">mediation of consumer trust </w:t>
      </w:r>
      <w:r w:rsidR="00492F89" w:rsidRPr="00DC500E">
        <w:t>between</w:t>
      </w:r>
      <w:r w:rsidRPr="00DC500E">
        <w:t xml:space="preserve"> greenwashing scepticism and purchase intention. This was the highest level of methodology, and it was executed properly with bootstrapping of certain indirect effects in </w:t>
      </w:r>
      <w:proofErr w:type="spellStart"/>
      <w:r w:rsidRPr="00DC500E">
        <w:t>SmartPLS</w:t>
      </w:r>
      <w:proofErr w:type="spellEnd"/>
      <w:r w:rsidRPr="00DC500E">
        <w:t xml:space="preserve">. The analysis resulted a highly significant indirect path coefficient, which provides an actual </w:t>
      </w:r>
      <w:r w:rsidRPr="00DC500E">
        <w:lastRenderedPageBreak/>
        <w:t>mathematical proof of trust being a tied conduit connecting the cognitive doubt to the behavioural avoiding. It was only by systematically breaking down trust that scepticism was shown to paraly</w:t>
      </w:r>
      <w:r w:rsidR="00492F89" w:rsidRPr="00DC500E">
        <w:t>s</w:t>
      </w:r>
      <w:r w:rsidRPr="00DC500E">
        <w:t>e intention, and so the research was able to map the entire psychological journey of the modern eco-consumer in order to achieve the overarching ambition of the research framework.</w:t>
      </w:r>
    </w:p>
    <w:p w14:paraId="023E1483" w14:textId="77777777" w:rsidR="002A413E" w:rsidRPr="00DC500E" w:rsidRDefault="002A413E" w:rsidP="002A413E">
      <w:pPr>
        <w:pStyle w:val="Heading2"/>
      </w:pPr>
      <w:bookmarkStart w:id="79" w:name="_Toc241147212"/>
      <w:r w:rsidRPr="00DC500E">
        <w:t>5.4 Recommendations for Managerial Practice.</w:t>
      </w:r>
      <w:bookmarkEnd w:id="79"/>
    </w:p>
    <w:p w14:paraId="22A588E2" w14:textId="21475E2A" w:rsidR="002A413E" w:rsidRPr="00DC500E" w:rsidRDefault="002A413E" w:rsidP="002A413E">
      <w:r w:rsidRPr="00DC500E">
        <w:t xml:space="preserve">The empirical validation of </w:t>
      </w:r>
      <w:r w:rsidR="00492F89" w:rsidRPr="00DC500E">
        <w:rPr>
          <w:kern w:val="0"/>
          <w14:ligatures w14:val="none"/>
        </w:rPr>
        <w:t>the trust-mediation model gives marketing executives and retail practitioners working in the UK fast fashion sector much-needed data-driven insights.</w:t>
      </w:r>
      <w:r w:rsidRPr="00DC500E">
        <w:t xml:space="preserve"> The structural information shows that additional sustainable investment in sustainable product lines will be commercially negative, unless brands first systematically dissipate the current consumer scepticism and regain environmental credibility through their actions.</w:t>
      </w:r>
    </w:p>
    <w:p w14:paraId="43810EC9" w14:textId="33081044" w:rsidR="002A413E" w:rsidRPr="00DC500E" w:rsidRDefault="002A413E" w:rsidP="002A413E">
      <w:r w:rsidRPr="00DC500E">
        <w:t xml:space="preserve">To begin, the fast-fashion industry needs to immediately boycott the use of greenwashing. The descriptive data reveal that UK consumers are active on identifying and punishing superfluous claims using general terms as </w:t>
      </w:r>
      <w:r w:rsidR="00A22DB1">
        <w:t>‘</w:t>
      </w:r>
      <w:r w:rsidRPr="00DC500E">
        <w:t>eco-friendly</w:t>
      </w:r>
      <w:r w:rsidR="00A22DB1">
        <w:t>’</w:t>
      </w:r>
      <w:r w:rsidRPr="00DC500E">
        <w:t xml:space="preserve"> or </w:t>
      </w:r>
      <w:r w:rsidR="00A22DB1">
        <w:t>‘</w:t>
      </w:r>
      <w:r w:rsidRPr="00DC500E">
        <w:t>planet-positive</w:t>
      </w:r>
      <w:r w:rsidR="00A22DB1">
        <w:t>’</w:t>
      </w:r>
      <w:r w:rsidRPr="00DC500E">
        <w:t>. To break this defence mechanism, brands need to make a cognitive shift and move towards absolute evidentiary transparency. Through good managerial practice, every environmental claim should address tangible data metrics that can be quantified, like the percentage of water used that is reduced or the actual carbon offset metric. The marketing communication has to move beyond emotive, general sustainability storytelling towards reporting with exactness and measurability, within well-defined and strict institutional boundaries set out in the CMA Green Claims Code (2021).</w:t>
      </w:r>
    </w:p>
    <w:p w14:paraId="492106D7" w14:textId="22087AE4" w:rsidR="002A413E" w:rsidRPr="00DC500E" w:rsidRDefault="002A413E" w:rsidP="002A413E">
      <w:r w:rsidRPr="00DC500E">
        <w:t xml:space="preserve">Second, due to the information asymmetry of environmental attributes, self-reports of companies are not enough to build trust anymore. Structural analysis results show that trust is the absolute precondition to purchase intention. So, brands need independent, highly reputable third-party auditing institutions that they can use to verify their credibility. Managers need to obtain and display strict certifications on all online marketing content and on the tags affixed </w:t>
      </w:r>
      <w:r w:rsidRPr="00DC500E">
        <w:lastRenderedPageBreak/>
        <w:t xml:space="preserve">to garments, such as </w:t>
      </w:r>
      <w:proofErr w:type="spellStart"/>
      <w:r w:rsidRPr="00DC500E">
        <w:t>GOTS</w:t>
      </w:r>
      <w:proofErr w:type="spellEnd"/>
      <w:r w:rsidRPr="00DC500E">
        <w:t xml:space="preserve"> or B-Corp. Third-party verification, as an objective risk-mitigation mechanism, helps to fill the informational deficiency gap and gives the necessary psychological push for the consumer to reali</w:t>
      </w:r>
      <w:r w:rsidR="00492F89" w:rsidRPr="00DC500E">
        <w:t>s</w:t>
      </w:r>
      <w:r w:rsidRPr="00DC500E">
        <w:t>e a premium sustainable transaction.</w:t>
      </w:r>
    </w:p>
    <w:p w14:paraId="13104D6F" w14:textId="0BD426B0" w:rsidR="002A413E" w:rsidRPr="00DC500E" w:rsidRDefault="002A413E" w:rsidP="002A413E">
      <w:r w:rsidRPr="00DC500E">
        <w:t xml:space="preserve">Thirdly, brands need to stop the tactic of using </w:t>
      </w:r>
      <w:r w:rsidR="00A22DB1">
        <w:t>“</w:t>
      </w:r>
      <w:r w:rsidRPr="00DC500E">
        <w:t>conscious</w:t>
      </w:r>
      <w:r w:rsidR="00A22DB1">
        <w:t>”</w:t>
      </w:r>
      <w:r w:rsidRPr="00DC500E">
        <w:t xml:space="preserve"> capsule collections to greenwash their ongoing manufactured and unsustainable supply chain. </w:t>
      </w:r>
      <w:r w:rsidR="0055244E">
        <w:t>It</w:t>
      </w:r>
      <w:r w:rsidRPr="00DC500E">
        <w:t xml:space="preserve"> synthesis and empirical data both demonstrate that this particular tactic produces acute cognitive dissonance and immediate belief disconfirmation. Retail leaders need to create whole-of-enterprise, structural sustainability integrations across their entire footprint. Unless a brand is able to show systemic environmental improvements, it is better not to heavily market niche sustainable collections, as this further ingrained scepticism of the industry and lower the brand</w:t>
      </w:r>
      <w:r w:rsidR="00A22DB1">
        <w:t>’</w:t>
      </w:r>
      <w:r w:rsidRPr="00DC500E">
        <w:t>s commercial viability in the long term. However, practitioners have to understand: In today</w:t>
      </w:r>
      <w:r w:rsidR="00A22DB1">
        <w:t>’</w:t>
      </w:r>
      <w:r w:rsidRPr="00DC500E">
        <w:t>s market, trust is the environmental equivalent of cash and the most essential ingredient to sustaining consumer spend particularly in the UK.</w:t>
      </w:r>
    </w:p>
    <w:p w14:paraId="7377614E" w14:textId="77777777" w:rsidR="002A413E" w:rsidRPr="00DC500E" w:rsidRDefault="002A413E" w:rsidP="002A413E">
      <w:pPr>
        <w:pStyle w:val="Heading2"/>
      </w:pPr>
      <w:bookmarkStart w:id="80" w:name="_Toc241147213"/>
      <w:r w:rsidRPr="00DC500E">
        <w:t>5.5 Contributions to Theory</w:t>
      </w:r>
      <w:bookmarkEnd w:id="80"/>
    </w:p>
    <w:p w14:paraId="45DCE033" w14:textId="77777777" w:rsidR="002A413E" w:rsidRPr="00DC500E" w:rsidRDefault="002A413E" w:rsidP="002A413E">
      <w:r w:rsidRPr="00DC500E">
        <w:t>The results of this study provide important, original contributions to current theories and literature on behaviour and green marketing. Firstly, it makes a substantial contribution to the theoretical value of the classical Theory of Planned Behaviour (</w:t>
      </w:r>
      <w:proofErr w:type="spellStart"/>
      <w:r w:rsidRPr="00DC500E">
        <w:t>TPB</w:t>
      </w:r>
      <w:proofErr w:type="spellEnd"/>
      <w:r w:rsidRPr="00DC500E">
        <w:t xml:space="preserve">, Ajzen, 1991). The research extends the original </w:t>
      </w:r>
      <w:proofErr w:type="spellStart"/>
      <w:r w:rsidRPr="00DC500E">
        <w:t>TPB</w:t>
      </w:r>
      <w:proofErr w:type="spellEnd"/>
      <w:r w:rsidRPr="00DC500E">
        <w:t xml:space="preserve"> by including an exogenous shock (deceptive corporate communication) explicitly through a trust-mediation mechanism. The empirical results demonstrate that positive attitudes towards the environment and subjective norms, on their own, have been incapable of predicting behaviours in deceptive markets. This study thus proposes a more complex and predictive, </w:t>
      </w:r>
      <w:proofErr w:type="spellStart"/>
      <w:r w:rsidRPr="00DC500E">
        <w:t>TOPB</w:t>
      </w:r>
      <w:proofErr w:type="spellEnd"/>
      <w:r w:rsidRPr="00DC500E">
        <w:t>-based model specifically tailored to a highly volatile retail sector with abounding information asymmetry.</w:t>
      </w:r>
    </w:p>
    <w:p w14:paraId="4591EFE6" w14:textId="664C9CAD" w:rsidR="002A413E" w:rsidRPr="00DC500E" w:rsidRDefault="002A413E" w:rsidP="002A413E">
      <w:r w:rsidRPr="00DC500E">
        <w:t xml:space="preserve">Moreover, the study fills a significant gap in the literature that is observed as a methodological and theoretical paradox known as the </w:t>
      </w:r>
      <w:r w:rsidR="00A22DB1">
        <w:t>“</w:t>
      </w:r>
      <w:r w:rsidRPr="00DC500E">
        <w:t>fast fashion paradox</w:t>
      </w:r>
      <w:r w:rsidR="00A22DB1">
        <w:t>”</w:t>
      </w:r>
      <w:r w:rsidRPr="00DC500E">
        <w:t xml:space="preserve">. One thing that the past </w:t>
      </w:r>
      <w:r w:rsidRPr="00DC500E">
        <w:lastRenderedPageBreak/>
        <w:t>scholarship had a hard time figuring out was how people could still buy from a brand they didn</w:t>
      </w:r>
      <w:r w:rsidR="00A22DB1">
        <w:t>’</w:t>
      </w:r>
      <w:r w:rsidRPr="00DC500E">
        <w:t>t trust, even when they were very sceptical. This study hence resolves this dilemma by different structuring general purchase intention and sustainable purchase intention. The PLS-SEM approach has surgical precision in isolating sustainable purchase intention as an output of such a surgery, since the greenwashing scepticism slice them and destroy the intention to buy premium eco-products, though they still buy low-involvement conventional ones. This is quite a significant methodological theoretical input that can only help future behavioural researchers measure the right transactional intent. Finally, the study fills a geographic and context gap by giving empirical validation of these constructs (using the SEM) within the more sceptical demographic of the UK all of whose previous interpretations have been of a more general qualitative nature.</w:t>
      </w:r>
    </w:p>
    <w:p w14:paraId="0AAD2F90" w14:textId="77777777" w:rsidR="002A413E" w:rsidRPr="00DC500E" w:rsidRDefault="002A413E" w:rsidP="002A413E">
      <w:r w:rsidRPr="00DC500E">
        <w:t>The following presents some of the limitations of this study.</w:t>
      </w:r>
    </w:p>
    <w:p w14:paraId="31065518" w14:textId="77777777" w:rsidR="002A413E" w:rsidRPr="00DC500E" w:rsidRDefault="002A413E" w:rsidP="002A413E">
      <w:r w:rsidRPr="00DC500E">
        <w:t>A number of limitations resulted from the methodological structure of this study should be understood to offer clear assessment of the findings. There are some drawbacks such as the quantitative design being cross sectional. The data reflects only one point in time and what consumers are saying at a moment in time. Cognitive scepticism and institutional trust are constantly evolving psychological phenomena and are highly susceptible to the changes in corporate scandals and institutional rules over long periods of time; thus the cross-sectional design cannot exactly capture the long timeline of those variables.</w:t>
      </w:r>
    </w:p>
    <w:p w14:paraId="5AFB52E2" w14:textId="5AD7299F" w:rsidR="002A413E" w:rsidRPr="00DC500E" w:rsidRDefault="002A413E" w:rsidP="002A413E">
      <w:r w:rsidRPr="00DC500E">
        <w:t xml:space="preserve">Besides, only psychometric data collected from an online survey were self-reported during the study. This adds to the constant worry of attitude-behaviour gap. The dependent variable is structurally viewed as the intention of the consumer to buy sustainable clothing and as a psychological surrogate for actual behaviour did not ensure that the actual transaction will be realised at the point of purchase of a product. Even with strong assurances of anonymity, respondents might inflate their own ethical consumption intention in order to please the social </w:t>
      </w:r>
      <w:r w:rsidRPr="00DC500E">
        <w:lastRenderedPageBreak/>
        <w:t>group. Lastly</w:t>
      </w:r>
      <w:r w:rsidR="00970609">
        <w:t>,</w:t>
      </w:r>
      <w:r w:rsidRPr="00DC500E">
        <w:t xml:space="preserve"> it is acknowledged that, although the methodology was based on a sound, non-probability sampl</w:t>
      </w:r>
      <w:r w:rsidR="00970609">
        <w:t>ing</w:t>
      </w:r>
      <w:r w:rsidRPr="00DC500E">
        <w:t>: a purposive convenience sampling approach, it does not have statistical generalisability over the whole population of the United Kingdom when compared with a true randomised probability sample, although there was a rigorous process of relevance filtering.</w:t>
      </w:r>
    </w:p>
    <w:p w14:paraId="76A787C8" w14:textId="056FC509" w:rsidR="002A413E" w:rsidRPr="00DC500E" w:rsidRDefault="002A413E" w:rsidP="002A413E">
      <w:pPr>
        <w:pStyle w:val="Heading2"/>
      </w:pPr>
      <w:bookmarkStart w:id="81" w:name="_Toc241147214"/>
      <w:r w:rsidRPr="00DC500E">
        <w:t>5.</w:t>
      </w:r>
      <w:r w:rsidR="00970609">
        <w:t>6</w:t>
      </w:r>
      <w:r w:rsidRPr="00DC500E">
        <w:t xml:space="preserve"> Future directions for Research</w:t>
      </w:r>
      <w:bookmarkEnd w:id="81"/>
      <w:r w:rsidRPr="00DC500E">
        <w:t xml:space="preserve"> </w:t>
      </w:r>
    </w:p>
    <w:p w14:paraId="14110223" w14:textId="2FB18914" w:rsidR="002A413E" w:rsidRPr="00DC500E" w:rsidRDefault="002A413E" w:rsidP="002A413E">
      <w:r w:rsidRPr="00DC500E">
        <w:t>Several pathways for further study of this empirical work are strongly suggested to build upon the foundations established by this study in an ongoing manner. Future researchers should give more emphasis on the implementation of longitudinal research designs. This approach enables a detailed parametric assessment of consumer cohorts over a long-term period, quantit</w:t>
      </w:r>
      <w:r w:rsidR="00970609">
        <w:t>at</w:t>
      </w:r>
      <w:r w:rsidRPr="00DC500E">
        <w:t>ively measuring the active effect of the external institutional interventions (CMA Green Claims Code enforcement) on reducing baseline levels of greenwashing scepticism and, overall, building environmental trust over time.</w:t>
      </w:r>
    </w:p>
    <w:p w14:paraId="6B8BC391" w14:textId="183BD8BF" w:rsidR="002A413E" w:rsidRPr="00DC500E" w:rsidRDefault="002A413E" w:rsidP="002A413E">
      <w:r w:rsidRPr="00DC500E">
        <w:t xml:space="preserve">In addition, any future studies should try to help close the attitude/behaviour gap by using actual objective behavioural data. Beyond intentions to buy, researchers should work with retail institutions and examine actual </w:t>
      </w:r>
      <w:r w:rsidR="00A22DB1">
        <w:t>“</w:t>
      </w:r>
      <w:r w:rsidRPr="00DC500E">
        <w:t>scanned data</w:t>
      </w:r>
      <w:r w:rsidR="00A22DB1">
        <w:t>”</w:t>
      </w:r>
      <w:r w:rsidRPr="00DC500E">
        <w:t xml:space="preserve"> and </w:t>
      </w:r>
      <w:r w:rsidR="00A22DB1">
        <w:t>‘</w:t>
      </w:r>
      <w:r w:rsidRPr="00DC500E">
        <w:t>digital conversion data</w:t>
      </w:r>
      <w:r w:rsidR="00A22DB1">
        <w:t>’</w:t>
      </w:r>
      <w:r w:rsidRPr="00DC500E">
        <w:t xml:space="preserve">. The final empirical test of the proposed trust-mediation model would require correlating the answers to psychometric items and actual transactions. Lastly, conducting cross-cultural comparative studies with this very same PLS-SEM model will provide valuable theoretical implications. A comparison of the structural path coefficients of the highly regulated UK demographic with emerging markets with varying levels of consumer </w:t>
      </w:r>
      <w:r w:rsidR="00F01882">
        <w:rPr>
          <w:kern w:val="0"/>
          <w14:ligatures w14:val="none"/>
        </w:rPr>
        <w:t>consciousness and regulatory frameworks would further identify the cultural and institutional variables that constrain</w:t>
      </w:r>
      <w:r w:rsidRPr="00DC500E">
        <w:t xml:space="preserve"> the global adoption of sustainable consumption.</w:t>
      </w:r>
    </w:p>
    <w:p w14:paraId="6BDA7D1F" w14:textId="29AD0520" w:rsidR="002A413E" w:rsidRPr="00DC500E" w:rsidRDefault="002A413E" w:rsidP="002A413E">
      <w:pPr>
        <w:pStyle w:val="Heading2"/>
      </w:pPr>
      <w:bookmarkStart w:id="82" w:name="_Toc241147215"/>
      <w:r w:rsidRPr="00DC500E">
        <w:t>5.</w:t>
      </w:r>
      <w:r w:rsidR="00970609">
        <w:t>7</w:t>
      </w:r>
      <w:r w:rsidRPr="00DC500E">
        <w:t xml:space="preserve"> Concluding Remarks</w:t>
      </w:r>
      <w:bookmarkEnd w:id="82"/>
    </w:p>
    <w:p w14:paraId="37FEFA62" w14:textId="0C9D3EE7" w:rsidR="002A413E" w:rsidRPr="00DC500E" w:rsidRDefault="00F01882" w:rsidP="002A413E">
      <w:r w:rsidRPr="00F01882">
        <w:t xml:space="preserve">The current </w:t>
      </w:r>
      <w:r w:rsidR="00A22DB1">
        <w:t>‘</w:t>
      </w:r>
      <w:r w:rsidRPr="00F01882">
        <w:t>fast fashion</w:t>
      </w:r>
      <w:r w:rsidR="00A22DB1">
        <w:t>’</w:t>
      </w:r>
      <w:r w:rsidRPr="00F01882">
        <w:t xml:space="preserve"> system is highly unsustainable on a commercial and ecological level. A culture of pervasive greenwashing has led consumers to be highly </w:t>
      </w:r>
      <w:proofErr w:type="spellStart"/>
      <w:r w:rsidRPr="00F01882">
        <w:t>skeptical</w:t>
      </w:r>
      <w:proofErr w:type="spellEnd"/>
      <w:r w:rsidRPr="00F01882">
        <w:t xml:space="preserve"> of green </w:t>
      </w:r>
      <w:r w:rsidRPr="00F01882">
        <w:lastRenderedPageBreak/>
        <w:t>marketing, and to distrust marketing in general as they attempt to be more conscious. It</w:t>
      </w:r>
      <w:r w:rsidR="00A22DB1">
        <w:t>’</w:t>
      </w:r>
      <w:r w:rsidRPr="00F01882">
        <w:t>s clear from this study that no one can break down a psychological barrier to the adoption of sustainable consumption without restoring trust in institutions.</w:t>
      </w:r>
      <w:r w:rsidR="002A413E" w:rsidRPr="00DC500E">
        <w:t xml:space="preserve"> Instead of </w:t>
      </w:r>
      <w:r w:rsidR="00A22DB1">
        <w:t>“</w:t>
      </w:r>
      <w:r w:rsidR="002A413E" w:rsidRPr="00DC500E">
        <w:t>greenwashing</w:t>
      </w:r>
      <w:r w:rsidR="00A22DB1">
        <w:t>”</w:t>
      </w:r>
      <w:r w:rsidR="002A413E" w:rsidRPr="00DC500E">
        <w:t xml:space="preserve"> with superficial measures, brands can use absolute supply chain transparency and third-party verification to systematically remove consumer doubt, regain the credibility that people need to feel towards the environment and ultimately enable their behaviour to accelerate a truly sustainable global economy.</w:t>
      </w:r>
    </w:p>
    <w:p w14:paraId="4BD85FA3" w14:textId="77777777" w:rsidR="002A413E" w:rsidRPr="00DC500E" w:rsidRDefault="002A413E">
      <w:pPr>
        <w:spacing w:line="240" w:lineRule="auto"/>
        <w:jc w:val="left"/>
      </w:pPr>
      <w:r w:rsidRPr="00DC500E">
        <w:br w:type="page"/>
      </w:r>
    </w:p>
    <w:p w14:paraId="46D9C87B" w14:textId="77777777" w:rsidR="00CD169E" w:rsidRPr="00DC500E" w:rsidRDefault="00CD169E" w:rsidP="00CD169E">
      <w:pPr>
        <w:pStyle w:val="Heading1"/>
        <w:spacing w:after="240" w:line="540" w:lineRule="atLeast"/>
        <w:rPr>
          <w:rFonts w:cs="Times New Roman"/>
          <w:color w:val="000000"/>
          <w:sz w:val="36"/>
          <w:szCs w:val="36"/>
        </w:rPr>
      </w:pPr>
      <w:bookmarkStart w:id="83" w:name="_Toc241147216"/>
      <w:r w:rsidRPr="00DC500E">
        <w:rPr>
          <w:color w:val="000000"/>
          <w:sz w:val="36"/>
          <w:szCs w:val="36"/>
        </w:rPr>
        <w:lastRenderedPageBreak/>
        <w:t>Reference list</w:t>
      </w:r>
      <w:bookmarkEnd w:id="83"/>
    </w:p>
    <w:p w14:paraId="3BABD82A" w14:textId="766C9A34"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Abdulsalam, T.A., Tajudeen, R.B., Ogungbemi, S.S. and Francis, E. (2024) </w:t>
      </w:r>
      <w:r w:rsidR="00A22DB1" w:rsidRPr="008F33FD">
        <w:rPr>
          <w:color w:val="000000"/>
          <w:sz w:val="24"/>
          <w:lang w:val="en-GB"/>
        </w:rPr>
        <w:t>‘</w:t>
      </w:r>
      <w:r w:rsidRPr="008F33FD">
        <w:rPr>
          <w:color w:val="000000"/>
          <w:sz w:val="24"/>
          <w:lang w:val="en-GB"/>
        </w:rPr>
        <w:t xml:space="preserve">Impact of forensic marketing on consumer </w:t>
      </w:r>
      <w:proofErr w:type="spellStart"/>
      <w:r w:rsidRPr="008F33FD">
        <w:rPr>
          <w:color w:val="000000"/>
          <w:sz w:val="24"/>
          <w:lang w:val="en-GB"/>
        </w:rPr>
        <w:t>behavior</w:t>
      </w:r>
      <w:proofErr w:type="spellEnd"/>
      <w:r w:rsidRPr="008F33FD">
        <w:rPr>
          <w:color w:val="000000"/>
          <w:sz w:val="24"/>
          <w:lang w:val="en-GB"/>
        </w:rPr>
        <w:t>: Evidence from beauty products</w:t>
      </w:r>
      <w:r w:rsidR="00A22DB1" w:rsidRPr="008F33FD">
        <w:rPr>
          <w:color w:val="000000"/>
          <w:sz w:val="24"/>
          <w:lang w:val="en-GB"/>
        </w:rPr>
        <w:t>”</w:t>
      </w:r>
      <w:r w:rsidRPr="008F33FD">
        <w:rPr>
          <w:color w:val="000000"/>
          <w:sz w:val="24"/>
          <w:lang w:val="en-GB"/>
        </w:rPr>
        <w:t xml:space="preserve"> purchase decision</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Business Ethics and Leadership</w:t>
      </w:r>
      <w:r w:rsidRPr="008F33FD">
        <w:rPr>
          <w:color w:val="000000"/>
          <w:sz w:val="24"/>
          <w:lang w:val="en-GB"/>
        </w:rPr>
        <w:t>, 8(1), pp. 129</w:t>
      </w:r>
      <w:r w:rsidR="008F33FD">
        <w:rPr>
          <w:color w:val="000000"/>
          <w:sz w:val="24"/>
          <w:lang w:val="en-GB"/>
        </w:rPr>
        <w:t>-</w:t>
      </w:r>
      <w:r w:rsidRPr="008F33FD">
        <w:rPr>
          <w:color w:val="000000"/>
          <w:sz w:val="24"/>
          <w:lang w:val="en-GB"/>
        </w:rPr>
        <w:t>148. Available at: https://</w:t>
      </w:r>
      <w:proofErr w:type="spellStart"/>
      <w:r w:rsidRPr="008F33FD">
        <w:rPr>
          <w:color w:val="000000"/>
          <w:sz w:val="24"/>
          <w:lang w:val="en-GB"/>
        </w:rPr>
        <w:t>doi.org</w:t>
      </w:r>
      <w:proofErr w:type="spellEnd"/>
      <w:r w:rsidRPr="008F33FD">
        <w:rPr>
          <w:color w:val="000000"/>
          <w:sz w:val="24"/>
          <w:lang w:val="en-GB"/>
        </w:rPr>
        <w:t>/10.61093/</w:t>
      </w:r>
      <w:proofErr w:type="spellStart"/>
      <w:r w:rsidRPr="008F33FD">
        <w:rPr>
          <w:color w:val="000000"/>
          <w:sz w:val="24"/>
          <w:lang w:val="en-GB"/>
        </w:rPr>
        <w:t>bel.8</w:t>
      </w:r>
      <w:proofErr w:type="spellEnd"/>
      <w:r w:rsidRPr="008F33FD">
        <w:rPr>
          <w:color w:val="000000"/>
          <w:sz w:val="24"/>
          <w:lang w:val="en-GB"/>
        </w:rPr>
        <w:t>(1).129-148.2024.</w:t>
      </w:r>
    </w:p>
    <w:p w14:paraId="4A90899D" w14:textId="38965715"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Agarwal, M., Trott, S., Sharma, K. and Khan, Z. (2026) </w:t>
      </w:r>
      <w:r w:rsidR="00A22DB1" w:rsidRPr="008F33FD">
        <w:rPr>
          <w:color w:val="000000"/>
          <w:sz w:val="24"/>
          <w:lang w:val="en-GB"/>
        </w:rPr>
        <w:t>‘</w:t>
      </w:r>
      <w:r w:rsidRPr="008F33FD">
        <w:rPr>
          <w:color w:val="000000"/>
          <w:sz w:val="24"/>
          <w:lang w:val="en-GB"/>
        </w:rPr>
        <w:t>Role of emotions in luxury sustainability: A review and future agenda</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Sustainable Development</w:t>
      </w:r>
      <w:r w:rsidRPr="008F33FD">
        <w:rPr>
          <w:color w:val="000000"/>
          <w:sz w:val="24"/>
          <w:lang w:val="en-GB"/>
        </w:rPr>
        <w:t>. Available at: https://</w:t>
      </w:r>
      <w:proofErr w:type="spellStart"/>
      <w:r w:rsidRPr="008F33FD">
        <w:rPr>
          <w:color w:val="000000"/>
          <w:sz w:val="24"/>
          <w:lang w:val="en-GB"/>
        </w:rPr>
        <w:t>doi.org</w:t>
      </w:r>
      <w:proofErr w:type="spellEnd"/>
      <w:r w:rsidRPr="008F33FD">
        <w:rPr>
          <w:color w:val="000000"/>
          <w:sz w:val="24"/>
          <w:lang w:val="en-GB"/>
        </w:rPr>
        <w:t>/10.1002/</w:t>
      </w:r>
      <w:proofErr w:type="spellStart"/>
      <w:r w:rsidRPr="008F33FD">
        <w:rPr>
          <w:color w:val="000000"/>
          <w:sz w:val="24"/>
          <w:lang w:val="en-GB"/>
        </w:rPr>
        <w:t>sd.71462</w:t>
      </w:r>
      <w:proofErr w:type="spellEnd"/>
      <w:r w:rsidRPr="008F33FD">
        <w:rPr>
          <w:color w:val="000000"/>
          <w:sz w:val="24"/>
          <w:lang w:val="en-GB"/>
        </w:rPr>
        <w:t>.</w:t>
      </w:r>
    </w:p>
    <w:p w14:paraId="25FC3B61" w14:textId="1286E3C8"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Ahmed, S.K. (</w:t>
      </w:r>
      <w:proofErr w:type="spellStart"/>
      <w:r w:rsidRPr="008F33FD">
        <w:rPr>
          <w:color w:val="000000"/>
          <w:sz w:val="24"/>
          <w:lang w:val="en-GB"/>
        </w:rPr>
        <w:t>2024a</w:t>
      </w:r>
      <w:proofErr w:type="spellEnd"/>
      <w:r w:rsidRPr="008F33FD">
        <w:rPr>
          <w:color w:val="000000"/>
          <w:sz w:val="24"/>
          <w:lang w:val="en-GB"/>
        </w:rPr>
        <w:t xml:space="preserve">) </w:t>
      </w:r>
      <w:r w:rsidR="00A22DB1" w:rsidRPr="008F33FD">
        <w:rPr>
          <w:color w:val="000000"/>
          <w:sz w:val="24"/>
          <w:lang w:val="en-GB"/>
        </w:rPr>
        <w:t>‘</w:t>
      </w:r>
      <w:r w:rsidRPr="008F33FD">
        <w:rPr>
          <w:color w:val="000000"/>
          <w:sz w:val="24"/>
          <w:lang w:val="en-GB"/>
        </w:rPr>
        <w:t>Research methodology simplified: How to choose the right sampling technique and determine the appropriate sample size for research</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Oral Oncology Reports</w:t>
      </w:r>
      <w:r w:rsidRPr="008F33FD">
        <w:rPr>
          <w:color w:val="000000"/>
          <w:sz w:val="24"/>
          <w:lang w:val="en-GB"/>
        </w:rPr>
        <w:t>, 12(100662), pp. 1</w:t>
      </w:r>
      <w:r w:rsidR="008F33FD">
        <w:rPr>
          <w:color w:val="000000"/>
          <w:sz w:val="24"/>
          <w:lang w:val="en-GB"/>
        </w:rPr>
        <w:t>-</w:t>
      </w:r>
      <w:r w:rsidRPr="008F33FD">
        <w:rPr>
          <w:color w:val="000000"/>
          <w:sz w:val="24"/>
          <w:lang w:val="en-GB"/>
        </w:rPr>
        <w:t>7.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j.oor.2024.100662</w:t>
      </w:r>
      <w:proofErr w:type="spellEnd"/>
      <w:r w:rsidRPr="008F33FD">
        <w:rPr>
          <w:color w:val="000000"/>
          <w:sz w:val="24"/>
          <w:lang w:val="en-GB"/>
        </w:rPr>
        <w:t>.</w:t>
      </w:r>
    </w:p>
    <w:p w14:paraId="587ECEEE" w14:textId="5003A538"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Ahmed, S.K. (</w:t>
      </w:r>
      <w:proofErr w:type="spellStart"/>
      <w:r w:rsidRPr="008F33FD">
        <w:rPr>
          <w:color w:val="000000"/>
          <w:sz w:val="24"/>
          <w:lang w:val="en-GB"/>
        </w:rPr>
        <w:t>2024b</w:t>
      </w:r>
      <w:proofErr w:type="spellEnd"/>
      <w:r w:rsidRPr="008F33FD">
        <w:rPr>
          <w:color w:val="000000"/>
          <w:sz w:val="24"/>
          <w:lang w:val="en-GB"/>
        </w:rPr>
        <w:t xml:space="preserve">) </w:t>
      </w:r>
      <w:r w:rsidR="00A22DB1" w:rsidRPr="008F33FD">
        <w:rPr>
          <w:color w:val="000000"/>
          <w:sz w:val="24"/>
          <w:lang w:val="en-GB"/>
        </w:rPr>
        <w:t>‘</w:t>
      </w:r>
      <w:r w:rsidRPr="008F33FD">
        <w:rPr>
          <w:color w:val="000000"/>
          <w:sz w:val="24"/>
          <w:lang w:val="en-GB"/>
        </w:rPr>
        <w:t>Research methodology simplified: How to choose the right sampling technique and determine the appropriate sample size for research</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Oral Oncology Reports</w:t>
      </w:r>
      <w:r w:rsidRPr="008F33FD">
        <w:rPr>
          <w:color w:val="000000"/>
          <w:sz w:val="24"/>
          <w:lang w:val="en-GB"/>
        </w:rPr>
        <w:t>, 12(100662), pp. 1</w:t>
      </w:r>
      <w:r w:rsidR="008F33FD">
        <w:rPr>
          <w:color w:val="000000"/>
          <w:sz w:val="24"/>
          <w:lang w:val="en-GB"/>
        </w:rPr>
        <w:t>-</w:t>
      </w:r>
      <w:r w:rsidRPr="008F33FD">
        <w:rPr>
          <w:color w:val="000000"/>
          <w:sz w:val="24"/>
          <w:lang w:val="en-GB"/>
        </w:rPr>
        <w:t>7.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j.oor.2024.100662</w:t>
      </w:r>
      <w:proofErr w:type="spellEnd"/>
      <w:r w:rsidRPr="008F33FD">
        <w:rPr>
          <w:color w:val="000000"/>
          <w:sz w:val="24"/>
          <w:lang w:val="en-GB"/>
        </w:rPr>
        <w:t>.</w:t>
      </w:r>
    </w:p>
    <w:p w14:paraId="13D5605F"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Ahuja, K. and Baishya, </w:t>
      </w:r>
      <w:proofErr w:type="spellStart"/>
      <w:r w:rsidRPr="008F33FD">
        <w:rPr>
          <w:color w:val="000000"/>
          <w:sz w:val="24"/>
          <w:lang w:val="en-GB"/>
        </w:rPr>
        <w:t>Dr.K</w:t>
      </w:r>
      <w:proofErr w:type="spellEnd"/>
      <w:r w:rsidRPr="008F33FD">
        <w:rPr>
          <w:color w:val="000000"/>
          <w:sz w:val="24"/>
          <w:lang w:val="en-GB"/>
        </w:rPr>
        <w:t>. (</w:t>
      </w:r>
      <w:proofErr w:type="spellStart"/>
      <w:r w:rsidRPr="008F33FD">
        <w:rPr>
          <w:color w:val="000000"/>
          <w:sz w:val="24"/>
          <w:lang w:val="en-GB"/>
        </w:rPr>
        <w:t>2024a</w:t>
      </w:r>
      <w:proofErr w:type="spellEnd"/>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Research and Publication Ethics</w:t>
      </w:r>
      <w:r w:rsidRPr="008F33FD">
        <w:rPr>
          <w:color w:val="000000"/>
          <w:sz w:val="24"/>
          <w:lang w:val="en-GB"/>
        </w:rPr>
        <w:t>. National Law University and Judicial Academy, Assam.</w:t>
      </w:r>
    </w:p>
    <w:p w14:paraId="7BDEE32A"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Ahuja, K. and Baishya, </w:t>
      </w:r>
      <w:proofErr w:type="spellStart"/>
      <w:r w:rsidRPr="008F33FD">
        <w:rPr>
          <w:color w:val="000000"/>
          <w:sz w:val="24"/>
          <w:lang w:val="en-GB"/>
        </w:rPr>
        <w:t>Dr.K</w:t>
      </w:r>
      <w:proofErr w:type="spellEnd"/>
      <w:r w:rsidRPr="008F33FD">
        <w:rPr>
          <w:color w:val="000000"/>
          <w:sz w:val="24"/>
          <w:lang w:val="en-GB"/>
        </w:rPr>
        <w:t>. (</w:t>
      </w:r>
      <w:proofErr w:type="spellStart"/>
      <w:r w:rsidRPr="008F33FD">
        <w:rPr>
          <w:color w:val="000000"/>
          <w:sz w:val="24"/>
          <w:lang w:val="en-GB"/>
        </w:rPr>
        <w:t>2024b</w:t>
      </w:r>
      <w:proofErr w:type="spellEnd"/>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Research and Publication Ethics</w:t>
      </w:r>
      <w:r w:rsidRPr="008F33FD">
        <w:rPr>
          <w:color w:val="000000"/>
          <w:sz w:val="24"/>
          <w:lang w:val="en-GB"/>
        </w:rPr>
        <w:t>. National Law University and Judicial Academy, Assam.</w:t>
      </w:r>
    </w:p>
    <w:p w14:paraId="30BDCD7A" w14:textId="370ED6DC"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Ajzen, I. (1991) </w:t>
      </w:r>
      <w:r w:rsidR="00A22DB1" w:rsidRPr="008F33FD">
        <w:rPr>
          <w:color w:val="000000"/>
          <w:sz w:val="24"/>
          <w:lang w:val="en-GB"/>
        </w:rPr>
        <w:t>‘</w:t>
      </w:r>
      <w:r w:rsidRPr="008F33FD">
        <w:rPr>
          <w:color w:val="000000"/>
          <w:sz w:val="24"/>
          <w:lang w:val="en-GB"/>
        </w:rPr>
        <w:t xml:space="preserve">The theory of planned </w:t>
      </w:r>
      <w:proofErr w:type="spellStart"/>
      <w:r w:rsidRPr="008F33FD">
        <w:rPr>
          <w:color w:val="000000"/>
          <w:sz w:val="24"/>
          <w:lang w:val="en-GB"/>
        </w:rPr>
        <w:t>behavior</w:t>
      </w:r>
      <w:proofErr w:type="spellEnd"/>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 xml:space="preserve">Organizational </w:t>
      </w:r>
      <w:proofErr w:type="spellStart"/>
      <w:r w:rsidRPr="008F33FD">
        <w:rPr>
          <w:i/>
          <w:iCs/>
          <w:color w:val="000000"/>
          <w:sz w:val="24"/>
          <w:lang w:val="en-GB"/>
        </w:rPr>
        <w:t>Behavior</w:t>
      </w:r>
      <w:proofErr w:type="spellEnd"/>
      <w:r w:rsidRPr="008F33FD">
        <w:rPr>
          <w:i/>
          <w:iCs/>
          <w:color w:val="000000"/>
          <w:sz w:val="24"/>
          <w:lang w:val="en-GB"/>
        </w:rPr>
        <w:t xml:space="preserve"> and Human Decision Processes</w:t>
      </w:r>
      <w:r w:rsidRPr="008F33FD">
        <w:rPr>
          <w:color w:val="000000"/>
          <w:sz w:val="24"/>
          <w:lang w:val="en-GB"/>
        </w:rPr>
        <w:t>, 50(2), pp. 179</w:t>
      </w:r>
      <w:r w:rsidR="008F33FD">
        <w:rPr>
          <w:color w:val="000000"/>
          <w:sz w:val="24"/>
          <w:lang w:val="en-GB"/>
        </w:rPr>
        <w:t>-</w:t>
      </w:r>
      <w:r w:rsidRPr="008F33FD">
        <w:rPr>
          <w:color w:val="000000"/>
          <w:sz w:val="24"/>
          <w:lang w:val="en-GB"/>
        </w:rPr>
        <w:t>211. Available at: https://</w:t>
      </w:r>
      <w:proofErr w:type="spellStart"/>
      <w:r w:rsidRPr="008F33FD">
        <w:rPr>
          <w:color w:val="000000"/>
          <w:sz w:val="24"/>
          <w:lang w:val="en-GB"/>
        </w:rPr>
        <w:t>doi.org</w:t>
      </w:r>
      <w:proofErr w:type="spellEnd"/>
      <w:r w:rsidRPr="008F33FD">
        <w:rPr>
          <w:color w:val="000000"/>
          <w:sz w:val="24"/>
          <w:lang w:val="en-GB"/>
        </w:rPr>
        <w:t>/https://</w:t>
      </w:r>
      <w:proofErr w:type="spellStart"/>
      <w:r w:rsidRPr="008F33FD">
        <w:rPr>
          <w:color w:val="000000"/>
          <w:sz w:val="24"/>
          <w:lang w:val="en-GB"/>
        </w:rPr>
        <w:t>doi.org</w:t>
      </w:r>
      <w:proofErr w:type="spellEnd"/>
      <w:r w:rsidRPr="008F33FD">
        <w:rPr>
          <w:color w:val="000000"/>
          <w:sz w:val="24"/>
          <w:lang w:val="en-GB"/>
        </w:rPr>
        <w:t>/10.1016/0749-5978(91)90020-T.</w:t>
      </w:r>
    </w:p>
    <w:p w14:paraId="7C8087AD" w14:textId="1D7A8226"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Akkala</w:t>
      </w:r>
      <w:proofErr w:type="spellEnd"/>
      <w:r w:rsidRPr="008F33FD">
        <w:rPr>
          <w:color w:val="000000"/>
          <w:sz w:val="24"/>
          <w:lang w:val="en-GB"/>
        </w:rPr>
        <w:t xml:space="preserve">, A.K., Suresh, P., Pasupuleti, M. and Ravi, J. (2026) </w:t>
      </w:r>
      <w:r w:rsidR="00A22DB1" w:rsidRPr="008F33FD">
        <w:rPr>
          <w:color w:val="000000"/>
          <w:sz w:val="24"/>
          <w:lang w:val="en-GB"/>
        </w:rPr>
        <w:t>‘</w:t>
      </w:r>
      <w:r w:rsidRPr="008F33FD">
        <w:rPr>
          <w:color w:val="000000"/>
          <w:sz w:val="24"/>
          <w:lang w:val="en-GB"/>
        </w:rPr>
        <w:t>Greenwashing awareness: A study on its role in shaping eco-conscious consumer decisions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International Journal of Innovative Science and Research Technology</w:t>
      </w:r>
      <w:r w:rsidRPr="008F33FD">
        <w:rPr>
          <w:color w:val="000000"/>
          <w:sz w:val="24"/>
          <w:lang w:val="en-GB"/>
        </w:rPr>
        <w:t>, p. 26. Available at: https://</w:t>
      </w:r>
      <w:proofErr w:type="spellStart"/>
      <w:r w:rsidRPr="008F33FD">
        <w:rPr>
          <w:color w:val="000000"/>
          <w:sz w:val="24"/>
          <w:lang w:val="en-GB"/>
        </w:rPr>
        <w:t>doi.org</w:t>
      </w:r>
      <w:proofErr w:type="spellEnd"/>
      <w:r w:rsidRPr="008F33FD">
        <w:rPr>
          <w:color w:val="000000"/>
          <w:sz w:val="24"/>
          <w:lang w:val="en-GB"/>
        </w:rPr>
        <w:t>/10.38124/</w:t>
      </w:r>
      <w:proofErr w:type="spellStart"/>
      <w:r w:rsidRPr="008F33FD">
        <w:rPr>
          <w:color w:val="000000"/>
          <w:sz w:val="24"/>
          <w:lang w:val="en-GB"/>
        </w:rPr>
        <w:t>ijisrt</w:t>
      </w:r>
      <w:proofErr w:type="spellEnd"/>
      <w:r w:rsidRPr="008F33FD">
        <w:rPr>
          <w:color w:val="000000"/>
          <w:sz w:val="24"/>
          <w:lang w:val="en-GB"/>
        </w:rPr>
        <w:t>/</w:t>
      </w:r>
      <w:proofErr w:type="spellStart"/>
      <w:r w:rsidRPr="008F33FD">
        <w:rPr>
          <w:color w:val="000000"/>
          <w:sz w:val="24"/>
          <w:lang w:val="en-GB"/>
        </w:rPr>
        <w:t>26mar071</w:t>
      </w:r>
      <w:proofErr w:type="spellEnd"/>
      <w:r w:rsidRPr="008F33FD">
        <w:rPr>
          <w:color w:val="000000"/>
          <w:sz w:val="24"/>
          <w:lang w:val="en-GB"/>
        </w:rPr>
        <w:t>.</w:t>
      </w:r>
    </w:p>
    <w:p w14:paraId="69E1E730" w14:textId="7C22EC48"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Alhomaid</w:t>
      </w:r>
      <w:proofErr w:type="spellEnd"/>
      <w:r w:rsidRPr="008F33FD">
        <w:rPr>
          <w:color w:val="000000"/>
          <w:sz w:val="24"/>
          <w:lang w:val="en-GB"/>
        </w:rPr>
        <w:t xml:space="preserve">, A. (2025) </w:t>
      </w:r>
      <w:r w:rsidR="00A22DB1" w:rsidRPr="008F33FD">
        <w:rPr>
          <w:color w:val="000000"/>
          <w:sz w:val="24"/>
          <w:lang w:val="en-GB"/>
        </w:rPr>
        <w:t>‘</w:t>
      </w:r>
      <w:r w:rsidRPr="008F33FD">
        <w:rPr>
          <w:color w:val="000000"/>
          <w:sz w:val="24"/>
          <w:lang w:val="en-GB"/>
        </w:rPr>
        <w:t>Building trust in sustainable journeys: The interplay between Green Marketing, Green Brand Trust, and tourism purchase intentions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Sustainability</w:t>
      </w:r>
      <w:r w:rsidRPr="008F33FD">
        <w:rPr>
          <w:color w:val="000000"/>
          <w:sz w:val="24"/>
          <w:lang w:val="en-GB"/>
        </w:rPr>
        <w:t>, 17(18), p. 8464. Available at: https://</w:t>
      </w:r>
      <w:proofErr w:type="spellStart"/>
      <w:r w:rsidRPr="008F33FD">
        <w:rPr>
          <w:color w:val="000000"/>
          <w:sz w:val="24"/>
          <w:lang w:val="en-GB"/>
        </w:rPr>
        <w:t>doi.org</w:t>
      </w:r>
      <w:proofErr w:type="spellEnd"/>
      <w:r w:rsidRPr="008F33FD">
        <w:rPr>
          <w:color w:val="000000"/>
          <w:sz w:val="24"/>
          <w:lang w:val="en-GB"/>
        </w:rPr>
        <w:t>/10.3390/</w:t>
      </w:r>
      <w:proofErr w:type="spellStart"/>
      <w:r w:rsidRPr="008F33FD">
        <w:rPr>
          <w:color w:val="000000"/>
          <w:sz w:val="24"/>
          <w:lang w:val="en-GB"/>
        </w:rPr>
        <w:t>su17188464</w:t>
      </w:r>
      <w:proofErr w:type="spellEnd"/>
      <w:r w:rsidRPr="008F33FD">
        <w:rPr>
          <w:color w:val="000000"/>
          <w:sz w:val="24"/>
          <w:lang w:val="en-GB"/>
        </w:rPr>
        <w:t>.</w:t>
      </w:r>
    </w:p>
    <w:p w14:paraId="1A6F19A5" w14:textId="1FE0A45E"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Alsaggaf, </w:t>
      </w:r>
      <w:proofErr w:type="spellStart"/>
      <w:r w:rsidRPr="008F33FD">
        <w:rPr>
          <w:color w:val="000000"/>
          <w:sz w:val="24"/>
          <w:lang w:val="en-GB"/>
        </w:rPr>
        <w:t>H.A</w:t>
      </w:r>
      <w:proofErr w:type="spellEnd"/>
      <w:r w:rsidRPr="008F33FD">
        <w:rPr>
          <w:color w:val="000000"/>
          <w:sz w:val="24"/>
          <w:lang w:val="en-GB"/>
        </w:rPr>
        <w:t xml:space="preserve">. (2025) </w:t>
      </w:r>
      <w:r w:rsidR="00A22DB1" w:rsidRPr="008F33FD">
        <w:rPr>
          <w:color w:val="000000"/>
          <w:sz w:val="24"/>
          <w:lang w:val="en-GB"/>
        </w:rPr>
        <w:t>‘</w:t>
      </w:r>
      <w:r w:rsidRPr="008F33FD">
        <w:rPr>
          <w:color w:val="000000"/>
          <w:sz w:val="24"/>
          <w:lang w:val="en-GB"/>
        </w:rPr>
        <w:t>When green is not clean: A synthesis of evidence on greenwashing and consumer trust</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International Journal of ADVANCED AND APPLIED SCIENCES</w:t>
      </w:r>
      <w:r w:rsidRPr="008F33FD">
        <w:rPr>
          <w:color w:val="000000"/>
          <w:sz w:val="24"/>
          <w:lang w:val="en-GB"/>
        </w:rPr>
        <w:t>, 12(7), pp. 211</w:t>
      </w:r>
      <w:r w:rsidR="008F33FD">
        <w:rPr>
          <w:color w:val="000000"/>
          <w:sz w:val="24"/>
          <w:lang w:val="en-GB"/>
        </w:rPr>
        <w:t>-</w:t>
      </w:r>
      <w:r w:rsidRPr="008F33FD">
        <w:rPr>
          <w:color w:val="000000"/>
          <w:sz w:val="24"/>
          <w:lang w:val="en-GB"/>
        </w:rPr>
        <w:t>220. Available at: https://</w:t>
      </w:r>
      <w:proofErr w:type="spellStart"/>
      <w:r w:rsidRPr="008F33FD">
        <w:rPr>
          <w:color w:val="000000"/>
          <w:sz w:val="24"/>
          <w:lang w:val="en-GB"/>
        </w:rPr>
        <w:t>doi.org</w:t>
      </w:r>
      <w:proofErr w:type="spellEnd"/>
      <w:r w:rsidRPr="008F33FD">
        <w:rPr>
          <w:color w:val="000000"/>
          <w:sz w:val="24"/>
          <w:lang w:val="en-GB"/>
        </w:rPr>
        <w:t>/10.21833/</w:t>
      </w:r>
      <w:proofErr w:type="spellStart"/>
      <w:r w:rsidRPr="008F33FD">
        <w:rPr>
          <w:color w:val="000000"/>
          <w:sz w:val="24"/>
          <w:lang w:val="en-GB"/>
        </w:rPr>
        <w:t>ijaas.2025.07.021</w:t>
      </w:r>
      <w:proofErr w:type="spellEnd"/>
      <w:r w:rsidRPr="008F33FD">
        <w:rPr>
          <w:color w:val="000000"/>
          <w:sz w:val="24"/>
          <w:lang w:val="en-GB"/>
        </w:rPr>
        <w:t>.</w:t>
      </w:r>
    </w:p>
    <w:p w14:paraId="3337966D" w14:textId="6938BF4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lastRenderedPageBreak/>
        <w:t>Anderson, D.R. (2019)</w:t>
      </w:r>
      <w:r w:rsidRPr="008F33FD">
        <w:rPr>
          <w:rStyle w:val="apple-converted-space"/>
          <w:rFonts w:eastAsiaTheme="majorEastAsia"/>
          <w:color w:val="000000"/>
          <w:sz w:val="24"/>
          <w:lang w:val="en-GB"/>
        </w:rPr>
        <w:t> </w:t>
      </w:r>
      <w:r w:rsidRPr="008F33FD">
        <w:rPr>
          <w:i/>
          <w:iCs/>
          <w:color w:val="000000"/>
          <w:sz w:val="24"/>
          <w:lang w:val="en-GB"/>
        </w:rPr>
        <w:t xml:space="preserve">Statistics For Business </w:t>
      </w:r>
      <w:r w:rsidR="00944B3B" w:rsidRPr="008F33FD">
        <w:rPr>
          <w:i/>
          <w:iCs/>
          <w:color w:val="000000"/>
          <w:sz w:val="24"/>
          <w:lang w:val="en-GB"/>
        </w:rPr>
        <w:t>and</w:t>
      </w:r>
      <w:r w:rsidRPr="008F33FD">
        <w:rPr>
          <w:i/>
          <w:iCs/>
          <w:color w:val="000000"/>
          <w:sz w:val="24"/>
          <w:lang w:val="en-GB"/>
        </w:rPr>
        <w:t xml:space="preserve"> Economics.</w:t>
      </w:r>
      <w:r w:rsidRPr="008F33FD">
        <w:rPr>
          <w:rStyle w:val="apple-converted-space"/>
          <w:rFonts w:eastAsiaTheme="majorEastAsia"/>
          <w:color w:val="000000"/>
          <w:sz w:val="24"/>
          <w:lang w:val="en-GB"/>
        </w:rPr>
        <w:t> </w:t>
      </w:r>
      <w:r w:rsidRPr="008F33FD">
        <w:rPr>
          <w:color w:val="000000"/>
          <w:sz w:val="24"/>
          <w:lang w:val="en-GB"/>
        </w:rPr>
        <w:t>Cengage Learning.</w:t>
      </w:r>
    </w:p>
    <w:p w14:paraId="76929203" w14:textId="4B5C34A3"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Andika, A., Putri, </w:t>
      </w:r>
      <w:proofErr w:type="spellStart"/>
      <w:r w:rsidRPr="008F33FD">
        <w:rPr>
          <w:color w:val="000000"/>
          <w:sz w:val="24"/>
          <w:lang w:val="en-GB"/>
        </w:rPr>
        <w:t>W.H</w:t>
      </w:r>
      <w:proofErr w:type="spellEnd"/>
      <w:r w:rsidRPr="008F33FD">
        <w:rPr>
          <w:color w:val="000000"/>
          <w:sz w:val="24"/>
          <w:lang w:val="en-GB"/>
        </w:rPr>
        <w:t xml:space="preserve">. and Nur Anisah, T. (2026) </w:t>
      </w:r>
      <w:r w:rsidR="00A22DB1" w:rsidRPr="008F33FD">
        <w:rPr>
          <w:color w:val="000000"/>
          <w:sz w:val="24"/>
          <w:lang w:val="en-GB"/>
        </w:rPr>
        <w:t>‘</w:t>
      </w:r>
      <w:r w:rsidRPr="008F33FD">
        <w:rPr>
          <w:color w:val="000000"/>
          <w:sz w:val="24"/>
          <w:lang w:val="en-GB"/>
        </w:rPr>
        <w:t>The inertia trap: Explaining the attitude-intention gap in young Indonesian consumers</w:t>
      </w:r>
      <w:r w:rsidR="00A22DB1" w:rsidRPr="008F33FD">
        <w:rPr>
          <w:color w:val="000000"/>
          <w:sz w:val="24"/>
          <w:lang w:val="en-GB"/>
        </w:rPr>
        <w:t>”</w:t>
      </w:r>
      <w:r w:rsidRPr="008F33FD">
        <w:rPr>
          <w:color w:val="000000"/>
          <w:sz w:val="24"/>
          <w:lang w:val="en-GB"/>
        </w:rPr>
        <w:t xml:space="preserve"> switch to sustainable fashion</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proofErr w:type="spellStart"/>
      <w:r w:rsidRPr="008F33FD">
        <w:rPr>
          <w:i/>
          <w:iCs/>
          <w:color w:val="000000"/>
          <w:sz w:val="24"/>
          <w:lang w:val="en-GB"/>
        </w:rPr>
        <w:t>Revista</w:t>
      </w:r>
      <w:proofErr w:type="spellEnd"/>
      <w:r w:rsidRPr="008F33FD">
        <w:rPr>
          <w:i/>
          <w:iCs/>
          <w:color w:val="000000"/>
          <w:sz w:val="24"/>
          <w:lang w:val="en-GB"/>
        </w:rPr>
        <w:t xml:space="preserve"> Galega de </w:t>
      </w:r>
      <w:proofErr w:type="spellStart"/>
      <w:r w:rsidRPr="008F33FD">
        <w:rPr>
          <w:i/>
          <w:iCs/>
          <w:color w:val="000000"/>
          <w:sz w:val="24"/>
          <w:lang w:val="en-GB"/>
        </w:rPr>
        <w:t>Economía</w:t>
      </w:r>
      <w:proofErr w:type="spellEnd"/>
      <w:r w:rsidRPr="008F33FD">
        <w:rPr>
          <w:color w:val="000000"/>
          <w:sz w:val="24"/>
          <w:lang w:val="en-GB"/>
        </w:rPr>
        <w:t>, 35(1). Available at: https://</w:t>
      </w:r>
      <w:proofErr w:type="spellStart"/>
      <w:r w:rsidRPr="008F33FD">
        <w:rPr>
          <w:color w:val="000000"/>
          <w:sz w:val="24"/>
          <w:lang w:val="en-GB"/>
        </w:rPr>
        <w:t>doi.org</w:t>
      </w:r>
      <w:proofErr w:type="spellEnd"/>
      <w:r w:rsidRPr="008F33FD">
        <w:rPr>
          <w:color w:val="000000"/>
          <w:sz w:val="24"/>
          <w:lang w:val="en-GB"/>
        </w:rPr>
        <w:t>/10.15304/</w:t>
      </w:r>
      <w:proofErr w:type="spellStart"/>
      <w:r w:rsidRPr="008F33FD">
        <w:rPr>
          <w:color w:val="000000"/>
          <w:sz w:val="24"/>
          <w:lang w:val="en-GB"/>
        </w:rPr>
        <w:t>rge.35.1.10996</w:t>
      </w:r>
      <w:proofErr w:type="spellEnd"/>
      <w:r w:rsidRPr="008F33FD">
        <w:rPr>
          <w:color w:val="000000"/>
          <w:sz w:val="24"/>
          <w:lang w:val="en-GB"/>
        </w:rPr>
        <w:t>.</w:t>
      </w:r>
    </w:p>
    <w:p w14:paraId="6FF862B1" w14:textId="5EE0BAD1"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Areethai</w:t>
      </w:r>
      <w:proofErr w:type="spellEnd"/>
      <w:r w:rsidRPr="008F33FD">
        <w:rPr>
          <w:color w:val="000000"/>
          <w:sz w:val="24"/>
          <w:lang w:val="en-GB"/>
        </w:rPr>
        <w:t xml:space="preserve">, A., </w:t>
      </w:r>
      <w:proofErr w:type="spellStart"/>
      <w:r w:rsidRPr="008F33FD">
        <w:rPr>
          <w:color w:val="000000"/>
          <w:sz w:val="24"/>
          <w:lang w:val="en-GB"/>
        </w:rPr>
        <w:t>Jotaworn</w:t>
      </w:r>
      <w:proofErr w:type="spellEnd"/>
      <w:r w:rsidRPr="008F33FD">
        <w:rPr>
          <w:color w:val="000000"/>
          <w:sz w:val="24"/>
          <w:lang w:val="en-GB"/>
        </w:rPr>
        <w:t xml:space="preserve">, S. and </w:t>
      </w:r>
      <w:proofErr w:type="spellStart"/>
      <w:r w:rsidRPr="008F33FD">
        <w:rPr>
          <w:color w:val="000000"/>
          <w:sz w:val="24"/>
          <w:lang w:val="en-GB"/>
        </w:rPr>
        <w:t>Wannasuth</w:t>
      </w:r>
      <w:proofErr w:type="spellEnd"/>
      <w:r w:rsidRPr="008F33FD">
        <w:rPr>
          <w:color w:val="000000"/>
          <w:sz w:val="24"/>
          <w:lang w:val="en-GB"/>
        </w:rPr>
        <w:t xml:space="preserve">, S. (2025) </w:t>
      </w:r>
      <w:r w:rsidR="00A22DB1" w:rsidRPr="008F33FD">
        <w:rPr>
          <w:color w:val="000000"/>
          <w:sz w:val="24"/>
          <w:lang w:val="en-GB"/>
        </w:rPr>
        <w:t>‘</w:t>
      </w:r>
      <w:r w:rsidRPr="008F33FD">
        <w:rPr>
          <w:color w:val="000000"/>
          <w:sz w:val="24"/>
          <w:lang w:val="en-GB"/>
        </w:rPr>
        <w:t>Synthesizing research on the impact of greenwashing on consumers, organizations, and sustainability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Social Science Innovation and Applied Management (SIAM)</w:t>
      </w:r>
      <w:r w:rsidRPr="008F33FD">
        <w:rPr>
          <w:color w:val="000000"/>
          <w:sz w:val="24"/>
          <w:lang w:val="en-GB"/>
        </w:rPr>
        <w:t>. Available at: https://</w:t>
      </w:r>
      <w:proofErr w:type="spellStart"/>
      <w:r w:rsidRPr="008F33FD">
        <w:rPr>
          <w:color w:val="000000"/>
          <w:sz w:val="24"/>
          <w:lang w:val="en-GB"/>
        </w:rPr>
        <w:t>doi.org</w:t>
      </w:r>
      <w:proofErr w:type="spellEnd"/>
      <w:r w:rsidRPr="008F33FD">
        <w:rPr>
          <w:color w:val="000000"/>
          <w:sz w:val="24"/>
          <w:lang w:val="en-GB"/>
        </w:rPr>
        <w:t>/10.60101/</w:t>
      </w:r>
      <w:proofErr w:type="spellStart"/>
      <w:r w:rsidRPr="008F33FD">
        <w:rPr>
          <w:color w:val="000000"/>
          <w:sz w:val="24"/>
          <w:lang w:val="en-GB"/>
        </w:rPr>
        <w:t>siam.2024.1522</w:t>
      </w:r>
      <w:proofErr w:type="spellEnd"/>
      <w:r w:rsidRPr="008F33FD">
        <w:rPr>
          <w:color w:val="000000"/>
          <w:sz w:val="24"/>
          <w:lang w:val="en-GB"/>
        </w:rPr>
        <w:t>.</w:t>
      </w:r>
    </w:p>
    <w:p w14:paraId="26EF05D5" w14:textId="2E15C7AA"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Avrami</w:t>
      </w:r>
      <w:proofErr w:type="spellEnd"/>
      <w:r w:rsidRPr="008F33FD">
        <w:rPr>
          <w:color w:val="000000"/>
          <w:sz w:val="24"/>
          <w:lang w:val="en-GB"/>
        </w:rPr>
        <w:t xml:space="preserve">, E., Filatov, E.A., Akmal Sh. </w:t>
      </w:r>
      <w:proofErr w:type="spellStart"/>
      <w:r w:rsidRPr="008F33FD">
        <w:rPr>
          <w:color w:val="000000"/>
          <w:sz w:val="24"/>
          <w:lang w:val="en-GB"/>
        </w:rPr>
        <w:t>Durmanov</w:t>
      </w:r>
      <w:proofErr w:type="spellEnd"/>
      <w:r w:rsidRPr="008F33FD">
        <w:rPr>
          <w:color w:val="000000"/>
          <w:sz w:val="24"/>
          <w:lang w:val="en-GB"/>
        </w:rPr>
        <w:t xml:space="preserve">, </w:t>
      </w:r>
      <w:proofErr w:type="spellStart"/>
      <w:r w:rsidRPr="008F33FD">
        <w:rPr>
          <w:color w:val="000000"/>
          <w:sz w:val="24"/>
          <w:lang w:val="en-GB"/>
        </w:rPr>
        <w:t>Shkalenko</w:t>
      </w:r>
      <w:proofErr w:type="spellEnd"/>
      <w:r w:rsidRPr="008F33FD">
        <w:rPr>
          <w:color w:val="000000"/>
          <w:sz w:val="24"/>
          <w:lang w:val="en-GB"/>
        </w:rPr>
        <w:t xml:space="preserve">, A.V., </w:t>
      </w:r>
      <w:proofErr w:type="spellStart"/>
      <w:r w:rsidRPr="008F33FD">
        <w:rPr>
          <w:color w:val="000000"/>
          <w:sz w:val="24"/>
          <w:lang w:val="en-GB"/>
        </w:rPr>
        <w:t>Kosov</w:t>
      </w:r>
      <w:proofErr w:type="spellEnd"/>
      <w:r w:rsidRPr="008F33FD">
        <w:rPr>
          <w:color w:val="000000"/>
          <w:sz w:val="24"/>
          <w:lang w:val="en-GB"/>
        </w:rPr>
        <w:t xml:space="preserve">, M.E., </w:t>
      </w:r>
      <w:proofErr w:type="spellStart"/>
      <w:r w:rsidRPr="008F33FD">
        <w:rPr>
          <w:color w:val="000000"/>
          <w:sz w:val="24"/>
          <w:lang w:val="en-GB"/>
        </w:rPr>
        <w:t>Ponkratov</w:t>
      </w:r>
      <w:proofErr w:type="spellEnd"/>
      <w:r w:rsidRPr="008F33FD">
        <w:rPr>
          <w:color w:val="000000"/>
          <w:sz w:val="24"/>
          <w:lang w:val="en-GB"/>
        </w:rPr>
        <w:t xml:space="preserve">, V.V., </w:t>
      </w:r>
      <w:proofErr w:type="spellStart"/>
      <w:r w:rsidRPr="008F33FD">
        <w:rPr>
          <w:color w:val="000000"/>
          <w:sz w:val="24"/>
          <w:lang w:val="en-GB"/>
        </w:rPr>
        <w:t>Pozdnyaev</w:t>
      </w:r>
      <w:proofErr w:type="spellEnd"/>
      <w:r w:rsidRPr="008F33FD">
        <w:rPr>
          <w:color w:val="000000"/>
          <w:sz w:val="24"/>
          <w:lang w:val="en-GB"/>
        </w:rPr>
        <w:t xml:space="preserve">, A.S. and Nikolaeva, I.V. (2024) </w:t>
      </w:r>
      <w:r w:rsidR="00A22DB1" w:rsidRPr="008F33FD">
        <w:rPr>
          <w:color w:val="000000"/>
          <w:sz w:val="24"/>
          <w:lang w:val="en-GB"/>
        </w:rPr>
        <w:t>‘</w:t>
      </w:r>
      <w:r w:rsidRPr="008F33FD">
        <w:rPr>
          <w:color w:val="000000"/>
          <w:sz w:val="24"/>
          <w:lang w:val="en-GB"/>
        </w:rPr>
        <w:t xml:space="preserve">A new concept of consumer </w:t>
      </w:r>
      <w:proofErr w:type="spellStart"/>
      <w:r w:rsidRPr="008F33FD">
        <w:rPr>
          <w:color w:val="000000"/>
          <w:sz w:val="24"/>
          <w:lang w:val="en-GB"/>
        </w:rPr>
        <w:t>behavior</w:t>
      </w:r>
      <w:proofErr w:type="spellEnd"/>
      <w:r w:rsidRPr="008F33FD">
        <w:rPr>
          <w:color w:val="000000"/>
          <w:sz w:val="24"/>
          <w:lang w:val="en-GB"/>
        </w:rPr>
        <w:t xml:space="preserve"> in the circular economy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Emerging Science Journal</w:t>
      </w:r>
      <w:r w:rsidRPr="008F33FD">
        <w:rPr>
          <w:color w:val="000000"/>
          <w:sz w:val="24"/>
          <w:lang w:val="en-GB"/>
        </w:rPr>
        <w:t>, 8(4), pp. 1536</w:t>
      </w:r>
      <w:r w:rsidR="008F33FD">
        <w:rPr>
          <w:color w:val="000000"/>
          <w:sz w:val="24"/>
          <w:lang w:val="en-GB"/>
        </w:rPr>
        <w:t>-</w:t>
      </w:r>
      <w:r w:rsidRPr="008F33FD">
        <w:rPr>
          <w:color w:val="000000"/>
          <w:sz w:val="24"/>
          <w:lang w:val="en-GB"/>
        </w:rPr>
        <w:t>1553. Available at: https://</w:t>
      </w:r>
      <w:proofErr w:type="spellStart"/>
      <w:r w:rsidRPr="008F33FD">
        <w:rPr>
          <w:color w:val="000000"/>
          <w:sz w:val="24"/>
          <w:lang w:val="en-GB"/>
        </w:rPr>
        <w:t>doi.org</w:t>
      </w:r>
      <w:proofErr w:type="spellEnd"/>
      <w:r w:rsidRPr="008F33FD">
        <w:rPr>
          <w:color w:val="000000"/>
          <w:sz w:val="24"/>
          <w:lang w:val="en-GB"/>
        </w:rPr>
        <w:t>/10.28991/</w:t>
      </w:r>
      <w:proofErr w:type="spellStart"/>
      <w:r w:rsidRPr="008F33FD">
        <w:rPr>
          <w:color w:val="000000"/>
          <w:sz w:val="24"/>
          <w:lang w:val="en-GB"/>
        </w:rPr>
        <w:t>esj</w:t>
      </w:r>
      <w:proofErr w:type="spellEnd"/>
      <w:r w:rsidRPr="008F33FD">
        <w:rPr>
          <w:color w:val="000000"/>
          <w:sz w:val="24"/>
          <w:lang w:val="en-GB"/>
        </w:rPr>
        <w:t>-2024-08-04-018.</w:t>
      </w:r>
    </w:p>
    <w:p w14:paraId="3ABF74A7" w14:textId="6183667D"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Ayyoob, A. and Sajeev, A. (2025) </w:t>
      </w:r>
      <w:r w:rsidR="00A22DB1" w:rsidRPr="008F33FD">
        <w:rPr>
          <w:color w:val="000000"/>
          <w:sz w:val="24"/>
          <w:lang w:val="en-GB"/>
        </w:rPr>
        <w:t>‘</w:t>
      </w:r>
      <w:r w:rsidRPr="008F33FD">
        <w:rPr>
          <w:color w:val="000000"/>
          <w:sz w:val="24"/>
          <w:lang w:val="en-GB"/>
        </w:rPr>
        <w:t>Greenwashing experience as a barrier to pro-environmental behaviours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Thwarting Green Growth</w:t>
      </w:r>
      <w:r w:rsidRPr="008F33FD">
        <w:rPr>
          <w:color w:val="000000"/>
          <w:sz w:val="24"/>
          <w:lang w:val="en-GB"/>
        </w:rPr>
        <w:t>, pp. 69</w:t>
      </w:r>
      <w:r w:rsidR="008F33FD">
        <w:rPr>
          <w:color w:val="000000"/>
          <w:sz w:val="24"/>
          <w:lang w:val="en-GB"/>
        </w:rPr>
        <w:t>-</w:t>
      </w:r>
      <w:r w:rsidRPr="008F33FD">
        <w:rPr>
          <w:color w:val="000000"/>
          <w:sz w:val="24"/>
          <w:lang w:val="en-GB"/>
        </w:rPr>
        <w:t>82. Available at: https://</w:t>
      </w:r>
      <w:proofErr w:type="spellStart"/>
      <w:r w:rsidRPr="008F33FD">
        <w:rPr>
          <w:color w:val="000000"/>
          <w:sz w:val="24"/>
          <w:lang w:val="en-GB"/>
        </w:rPr>
        <w:t>doi.org</w:t>
      </w:r>
      <w:proofErr w:type="spellEnd"/>
      <w:r w:rsidRPr="008F33FD">
        <w:rPr>
          <w:color w:val="000000"/>
          <w:sz w:val="24"/>
          <w:lang w:val="en-GB"/>
        </w:rPr>
        <w:t>/10.1108/978-1-83708-844-720251005.</w:t>
      </w:r>
    </w:p>
    <w:p w14:paraId="5DEAEDF4" w14:textId="5593587A"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Azmi, F., Irawan, D., </w:t>
      </w:r>
      <w:proofErr w:type="spellStart"/>
      <w:r w:rsidRPr="008F33FD">
        <w:rPr>
          <w:color w:val="000000"/>
          <w:sz w:val="24"/>
          <w:lang w:val="en-GB"/>
        </w:rPr>
        <w:t>Primadayani</w:t>
      </w:r>
      <w:proofErr w:type="spellEnd"/>
      <w:r w:rsidRPr="008F33FD">
        <w:rPr>
          <w:color w:val="000000"/>
          <w:sz w:val="24"/>
          <w:lang w:val="en-GB"/>
        </w:rPr>
        <w:t xml:space="preserve">, S. and Siregar, P.A. (2025) </w:t>
      </w:r>
      <w:r w:rsidR="00A22DB1" w:rsidRPr="008F33FD">
        <w:rPr>
          <w:color w:val="000000"/>
          <w:sz w:val="24"/>
          <w:lang w:val="en-GB"/>
        </w:rPr>
        <w:t>‘</w:t>
      </w:r>
      <w:r w:rsidRPr="008F33FD">
        <w:rPr>
          <w:color w:val="000000"/>
          <w:sz w:val="24"/>
          <w:lang w:val="en-GB"/>
        </w:rPr>
        <w:t xml:space="preserve">Deconstructing sophisticated greenwashing: A meta-synthesis of sustainability communication strategies on social media and their impact on consumer </w:t>
      </w:r>
      <w:proofErr w:type="spellStart"/>
      <w:r w:rsidRPr="008F33FD">
        <w:rPr>
          <w:color w:val="000000"/>
          <w:sz w:val="24"/>
          <w:lang w:val="en-GB"/>
        </w:rPr>
        <w:t>skepticism</w:t>
      </w:r>
      <w:proofErr w:type="spellEnd"/>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RIGGS: Journal of Artificial Intelligence and Digital Business</w:t>
      </w:r>
      <w:r w:rsidRPr="008F33FD">
        <w:rPr>
          <w:color w:val="000000"/>
          <w:sz w:val="24"/>
          <w:lang w:val="en-GB"/>
        </w:rPr>
        <w:t>, 4(3), pp. 2034</w:t>
      </w:r>
      <w:r w:rsidR="008F33FD">
        <w:rPr>
          <w:color w:val="000000"/>
          <w:sz w:val="24"/>
          <w:lang w:val="en-GB"/>
        </w:rPr>
        <w:t>-</w:t>
      </w:r>
      <w:r w:rsidRPr="008F33FD">
        <w:rPr>
          <w:color w:val="000000"/>
          <w:sz w:val="24"/>
          <w:lang w:val="en-GB"/>
        </w:rPr>
        <w:t>2039. Available at: https://</w:t>
      </w:r>
      <w:proofErr w:type="spellStart"/>
      <w:r w:rsidRPr="008F33FD">
        <w:rPr>
          <w:color w:val="000000"/>
          <w:sz w:val="24"/>
          <w:lang w:val="en-GB"/>
        </w:rPr>
        <w:t>doi.org</w:t>
      </w:r>
      <w:proofErr w:type="spellEnd"/>
      <w:r w:rsidRPr="008F33FD">
        <w:rPr>
          <w:color w:val="000000"/>
          <w:sz w:val="24"/>
          <w:lang w:val="en-GB"/>
        </w:rPr>
        <w:t>/10.31004/</w:t>
      </w:r>
      <w:proofErr w:type="spellStart"/>
      <w:r w:rsidRPr="008F33FD">
        <w:rPr>
          <w:color w:val="000000"/>
          <w:sz w:val="24"/>
          <w:lang w:val="en-GB"/>
        </w:rPr>
        <w:t>riggs.v4i3.2201</w:t>
      </w:r>
      <w:proofErr w:type="spellEnd"/>
      <w:r w:rsidRPr="008F33FD">
        <w:rPr>
          <w:color w:val="000000"/>
          <w:sz w:val="24"/>
          <w:lang w:val="en-GB"/>
        </w:rPr>
        <w:t>.</w:t>
      </w:r>
    </w:p>
    <w:p w14:paraId="18B787D4"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Babin, B.J., Zikmund, </w:t>
      </w:r>
      <w:proofErr w:type="spellStart"/>
      <w:r w:rsidRPr="008F33FD">
        <w:rPr>
          <w:color w:val="000000"/>
          <w:sz w:val="24"/>
          <w:lang w:val="en-GB"/>
        </w:rPr>
        <w:t>W.G</w:t>
      </w:r>
      <w:proofErr w:type="spellEnd"/>
      <w:r w:rsidRPr="008F33FD">
        <w:rPr>
          <w:color w:val="000000"/>
          <w:sz w:val="24"/>
          <w:lang w:val="en-GB"/>
        </w:rPr>
        <w:t xml:space="preserve">., Quinlan, C., </w:t>
      </w:r>
      <w:proofErr w:type="spellStart"/>
      <w:r w:rsidRPr="008F33FD">
        <w:rPr>
          <w:color w:val="000000"/>
          <w:sz w:val="24"/>
          <w:lang w:val="en-GB"/>
        </w:rPr>
        <w:t>Carr</w:t>
      </w:r>
      <w:proofErr w:type="spellEnd"/>
      <w:r w:rsidRPr="008F33FD">
        <w:rPr>
          <w:color w:val="000000"/>
          <w:sz w:val="24"/>
          <w:lang w:val="en-GB"/>
        </w:rPr>
        <w:t>, J.C. and Griffin, M. (2019)</w:t>
      </w:r>
      <w:r w:rsidRPr="008F33FD">
        <w:rPr>
          <w:rStyle w:val="apple-converted-space"/>
          <w:rFonts w:eastAsiaTheme="majorEastAsia"/>
          <w:color w:val="000000"/>
          <w:sz w:val="24"/>
          <w:lang w:val="en-GB"/>
        </w:rPr>
        <w:t> </w:t>
      </w:r>
      <w:r w:rsidRPr="008F33FD">
        <w:rPr>
          <w:i/>
          <w:iCs/>
          <w:color w:val="000000"/>
          <w:sz w:val="24"/>
          <w:lang w:val="en-GB"/>
        </w:rPr>
        <w:t>Business Research Methods</w:t>
      </w:r>
      <w:r w:rsidRPr="008F33FD">
        <w:rPr>
          <w:color w:val="000000"/>
          <w:sz w:val="24"/>
          <w:lang w:val="en-GB"/>
        </w:rPr>
        <w:t>. Cengage Learning.</w:t>
      </w:r>
    </w:p>
    <w:p w14:paraId="53E28FDB" w14:textId="3660F9B2"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Badhwar, A., Islam, S., Swee, C., Panwar, T., Wigley, S. and Nayak, R. (2024) </w:t>
      </w:r>
      <w:r w:rsidR="00A22DB1" w:rsidRPr="008F33FD">
        <w:rPr>
          <w:color w:val="000000"/>
          <w:sz w:val="24"/>
          <w:lang w:val="en-GB"/>
        </w:rPr>
        <w:t>‘</w:t>
      </w:r>
      <w:proofErr w:type="spellStart"/>
      <w:r w:rsidRPr="008F33FD">
        <w:rPr>
          <w:color w:val="000000"/>
          <w:sz w:val="24"/>
          <w:lang w:val="en-GB"/>
        </w:rPr>
        <w:t>Unraveling</w:t>
      </w:r>
      <w:proofErr w:type="spellEnd"/>
      <w:r w:rsidRPr="008F33FD">
        <w:rPr>
          <w:color w:val="000000"/>
          <w:sz w:val="24"/>
          <w:lang w:val="en-GB"/>
        </w:rPr>
        <w:t xml:space="preserve"> green marketing and greenwashing: A systematic review in the context of the fashion and textiles industry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Sustainability (Basel)</w:t>
      </w:r>
      <w:r w:rsidRPr="008F33FD">
        <w:rPr>
          <w:color w:val="000000"/>
          <w:sz w:val="24"/>
          <w:lang w:val="en-GB"/>
        </w:rPr>
        <w:t>, 16(7), pp. 2738</w:t>
      </w:r>
      <w:r w:rsidR="008F33FD">
        <w:rPr>
          <w:color w:val="000000"/>
          <w:sz w:val="24"/>
          <w:lang w:val="en-GB"/>
        </w:rPr>
        <w:t>-</w:t>
      </w:r>
      <w:r w:rsidRPr="008F33FD">
        <w:rPr>
          <w:color w:val="000000"/>
          <w:sz w:val="24"/>
          <w:lang w:val="en-GB"/>
        </w:rPr>
        <w:t>2738. Available at: https://</w:t>
      </w:r>
      <w:proofErr w:type="spellStart"/>
      <w:r w:rsidRPr="008F33FD">
        <w:rPr>
          <w:color w:val="000000"/>
          <w:sz w:val="24"/>
          <w:lang w:val="en-GB"/>
        </w:rPr>
        <w:t>doi.org</w:t>
      </w:r>
      <w:proofErr w:type="spellEnd"/>
      <w:r w:rsidRPr="008F33FD">
        <w:rPr>
          <w:color w:val="000000"/>
          <w:sz w:val="24"/>
          <w:lang w:val="en-GB"/>
        </w:rPr>
        <w:t>/10.3390/</w:t>
      </w:r>
      <w:proofErr w:type="spellStart"/>
      <w:r w:rsidRPr="008F33FD">
        <w:rPr>
          <w:color w:val="000000"/>
          <w:sz w:val="24"/>
          <w:lang w:val="en-GB"/>
        </w:rPr>
        <w:t>su16072738</w:t>
      </w:r>
      <w:proofErr w:type="spellEnd"/>
      <w:r w:rsidRPr="008F33FD">
        <w:rPr>
          <w:color w:val="000000"/>
          <w:sz w:val="24"/>
          <w:lang w:val="en-GB"/>
        </w:rPr>
        <w:t>.</w:t>
      </w:r>
    </w:p>
    <w:p w14:paraId="35B5951C" w14:textId="653ECDB8"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Bashir, J. and </w:t>
      </w:r>
      <w:proofErr w:type="spellStart"/>
      <w:r w:rsidRPr="008F33FD">
        <w:rPr>
          <w:color w:val="000000"/>
          <w:sz w:val="24"/>
          <w:lang w:val="en-GB"/>
        </w:rPr>
        <w:t>Marudhar</w:t>
      </w:r>
      <w:proofErr w:type="spellEnd"/>
      <w:r w:rsidRPr="008F33FD">
        <w:rPr>
          <w:color w:val="000000"/>
          <w:sz w:val="24"/>
          <w:lang w:val="en-GB"/>
        </w:rPr>
        <w:t xml:space="preserve">, M. (2018) </w:t>
      </w:r>
      <w:r w:rsidR="00A22DB1" w:rsidRPr="008F33FD">
        <w:rPr>
          <w:color w:val="000000"/>
          <w:sz w:val="24"/>
          <w:lang w:val="en-GB"/>
        </w:rPr>
        <w:t>‘</w:t>
      </w:r>
      <w:r w:rsidRPr="008F33FD">
        <w:rPr>
          <w:color w:val="000000"/>
          <w:sz w:val="24"/>
          <w:lang w:val="en-GB"/>
        </w:rPr>
        <w:t xml:space="preserve">Reliability </w:t>
      </w:r>
      <w:r w:rsidR="00944B3B" w:rsidRPr="008F33FD">
        <w:rPr>
          <w:color w:val="000000"/>
          <w:sz w:val="24"/>
          <w:lang w:val="en-GB"/>
        </w:rPr>
        <w:t>and</w:t>
      </w:r>
      <w:r w:rsidRPr="008F33FD">
        <w:rPr>
          <w:color w:val="000000"/>
          <w:sz w:val="24"/>
          <w:lang w:val="en-GB"/>
        </w:rPr>
        <w:t xml:space="preserve"> Validity of the Research</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Scientific Journal of India</w:t>
      </w:r>
      <w:r w:rsidRPr="008F33FD">
        <w:rPr>
          <w:color w:val="000000"/>
          <w:sz w:val="24"/>
          <w:lang w:val="en-GB"/>
        </w:rPr>
        <w:t>, 3(1), pp. 66</w:t>
      </w:r>
      <w:r w:rsidR="008F33FD">
        <w:rPr>
          <w:color w:val="000000"/>
          <w:sz w:val="24"/>
          <w:lang w:val="en-GB"/>
        </w:rPr>
        <w:t>-</w:t>
      </w:r>
      <w:r w:rsidRPr="008F33FD">
        <w:rPr>
          <w:color w:val="000000"/>
          <w:sz w:val="24"/>
          <w:lang w:val="en-GB"/>
        </w:rPr>
        <w:t>69.</w:t>
      </w:r>
    </w:p>
    <w:p w14:paraId="122610C4"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Bell, E. and Bryman, A. (</w:t>
      </w:r>
      <w:proofErr w:type="spellStart"/>
      <w:r w:rsidRPr="008F33FD">
        <w:rPr>
          <w:color w:val="000000"/>
          <w:sz w:val="24"/>
          <w:lang w:val="en-GB"/>
        </w:rPr>
        <w:t>2022a</w:t>
      </w:r>
      <w:proofErr w:type="spellEnd"/>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Business Research Methods</w:t>
      </w:r>
      <w:r w:rsidRPr="008F33FD">
        <w:rPr>
          <w:color w:val="000000"/>
          <w:sz w:val="24"/>
          <w:lang w:val="en-GB"/>
        </w:rPr>
        <w:t xml:space="preserve">. 6th </w:t>
      </w:r>
      <w:proofErr w:type="spellStart"/>
      <w:r w:rsidRPr="008F33FD">
        <w:rPr>
          <w:color w:val="000000"/>
          <w:sz w:val="24"/>
          <w:lang w:val="en-GB"/>
        </w:rPr>
        <w:t>edn</w:t>
      </w:r>
      <w:proofErr w:type="spellEnd"/>
      <w:r w:rsidRPr="008F33FD">
        <w:rPr>
          <w:color w:val="000000"/>
          <w:sz w:val="24"/>
          <w:lang w:val="en-GB"/>
        </w:rPr>
        <w:t>. Oxford University Press.</w:t>
      </w:r>
    </w:p>
    <w:p w14:paraId="595DEE84"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Bell, E. and Bryman, A. (</w:t>
      </w:r>
      <w:proofErr w:type="spellStart"/>
      <w:r w:rsidRPr="008F33FD">
        <w:rPr>
          <w:color w:val="000000"/>
          <w:sz w:val="24"/>
          <w:lang w:val="en-GB"/>
        </w:rPr>
        <w:t>2022b</w:t>
      </w:r>
      <w:proofErr w:type="spellEnd"/>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Business Research Methods</w:t>
      </w:r>
      <w:r w:rsidRPr="008F33FD">
        <w:rPr>
          <w:color w:val="000000"/>
          <w:sz w:val="24"/>
          <w:lang w:val="en-GB"/>
        </w:rPr>
        <w:t xml:space="preserve">. 6th </w:t>
      </w:r>
      <w:proofErr w:type="spellStart"/>
      <w:r w:rsidRPr="008F33FD">
        <w:rPr>
          <w:color w:val="000000"/>
          <w:sz w:val="24"/>
          <w:lang w:val="en-GB"/>
        </w:rPr>
        <w:t>edn</w:t>
      </w:r>
      <w:proofErr w:type="spellEnd"/>
      <w:r w:rsidRPr="008F33FD">
        <w:rPr>
          <w:color w:val="000000"/>
          <w:sz w:val="24"/>
          <w:lang w:val="en-GB"/>
        </w:rPr>
        <w:t>. Oxford University Press.</w:t>
      </w:r>
    </w:p>
    <w:p w14:paraId="03942A74" w14:textId="47F65734"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lastRenderedPageBreak/>
        <w:t xml:space="preserve">Bloomfield, J. and Fisher, M. (2019) </w:t>
      </w:r>
      <w:r w:rsidR="00A22DB1" w:rsidRPr="008F33FD">
        <w:rPr>
          <w:color w:val="000000"/>
          <w:sz w:val="24"/>
          <w:lang w:val="en-GB"/>
        </w:rPr>
        <w:t>‘</w:t>
      </w:r>
      <w:r w:rsidRPr="008F33FD">
        <w:rPr>
          <w:color w:val="000000"/>
          <w:sz w:val="24"/>
          <w:lang w:val="en-GB"/>
        </w:rPr>
        <w:t>Quantitative research design</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the Australasian Rehabilitation Nurses</w:t>
      </w:r>
      <w:r w:rsidR="00A22DB1" w:rsidRPr="008F33FD">
        <w:rPr>
          <w:i/>
          <w:iCs/>
          <w:color w:val="000000"/>
          <w:sz w:val="24"/>
          <w:lang w:val="en-GB"/>
        </w:rPr>
        <w:t>’</w:t>
      </w:r>
      <w:r w:rsidRPr="008F33FD">
        <w:rPr>
          <w:i/>
          <w:iCs/>
          <w:color w:val="000000"/>
          <w:sz w:val="24"/>
          <w:lang w:val="en-GB"/>
        </w:rPr>
        <w:t xml:space="preserve"> Association</w:t>
      </w:r>
      <w:r w:rsidRPr="008F33FD">
        <w:rPr>
          <w:color w:val="000000"/>
          <w:sz w:val="24"/>
          <w:lang w:val="en-GB"/>
        </w:rPr>
        <w:t>, 22(2), pp. 27</w:t>
      </w:r>
      <w:r w:rsidR="008F33FD">
        <w:rPr>
          <w:color w:val="000000"/>
          <w:sz w:val="24"/>
          <w:lang w:val="en-GB"/>
        </w:rPr>
        <w:t>-</w:t>
      </w:r>
      <w:r w:rsidRPr="008F33FD">
        <w:rPr>
          <w:color w:val="000000"/>
          <w:sz w:val="24"/>
          <w:lang w:val="en-GB"/>
        </w:rPr>
        <w:t>30. Available at: https://</w:t>
      </w:r>
      <w:proofErr w:type="spellStart"/>
      <w:r w:rsidRPr="008F33FD">
        <w:rPr>
          <w:color w:val="000000"/>
          <w:sz w:val="24"/>
          <w:lang w:val="en-GB"/>
        </w:rPr>
        <w:t>doi.org</w:t>
      </w:r>
      <w:proofErr w:type="spellEnd"/>
      <w:r w:rsidRPr="008F33FD">
        <w:rPr>
          <w:color w:val="000000"/>
          <w:sz w:val="24"/>
          <w:lang w:val="en-GB"/>
        </w:rPr>
        <w:t>/10.33235/</w:t>
      </w:r>
      <w:proofErr w:type="spellStart"/>
      <w:r w:rsidRPr="008F33FD">
        <w:rPr>
          <w:color w:val="000000"/>
          <w:sz w:val="24"/>
          <w:lang w:val="en-GB"/>
        </w:rPr>
        <w:t>jarna.22.2.27</w:t>
      </w:r>
      <w:proofErr w:type="spellEnd"/>
      <w:r w:rsidRPr="008F33FD">
        <w:rPr>
          <w:color w:val="000000"/>
          <w:sz w:val="24"/>
          <w:lang w:val="en-GB"/>
        </w:rPr>
        <w:t>-30.</w:t>
      </w:r>
    </w:p>
    <w:p w14:paraId="662D5837" w14:textId="030EA57C"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Bodor, </w:t>
      </w:r>
      <w:proofErr w:type="spellStart"/>
      <w:r w:rsidRPr="008F33FD">
        <w:rPr>
          <w:color w:val="000000"/>
          <w:sz w:val="24"/>
          <w:lang w:val="en-GB"/>
        </w:rPr>
        <w:t>E.K</w:t>
      </w:r>
      <w:proofErr w:type="spellEnd"/>
      <w:r w:rsidRPr="008F33FD">
        <w:rPr>
          <w:color w:val="000000"/>
          <w:sz w:val="24"/>
          <w:lang w:val="en-GB"/>
        </w:rPr>
        <w:t xml:space="preserve">., Pop, R.A., </w:t>
      </w:r>
      <w:proofErr w:type="spellStart"/>
      <w:r w:rsidRPr="008F33FD">
        <w:rPr>
          <w:color w:val="000000"/>
          <w:sz w:val="24"/>
          <w:lang w:val="en-GB"/>
        </w:rPr>
        <w:t>Băbuț</w:t>
      </w:r>
      <w:proofErr w:type="spellEnd"/>
      <w:r w:rsidRPr="008F33FD">
        <w:rPr>
          <w:color w:val="000000"/>
          <w:sz w:val="24"/>
          <w:lang w:val="en-GB"/>
        </w:rPr>
        <w:t xml:space="preserve">, R. and Dabija, D.-C. (2021) </w:t>
      </w:r>
      <w:r w:rsidR="00A22DB1" w:rsidRPr="008F33FD">
        <w:rPr>
          <w:color w:val="000000"/>
          <w:sz w:val="24"/>
          <w:lang w:val="en-GB"/>
        </w:rPr>
        <w:t>‘</w:t>
      </w:r>
      <w:r w:rsidRPr="008F33FD">
        <w:rPr>
          <w:color w:val="000000"/>
          <w:sz w:val="24"/>
          <w:lang w:val="en-GB"/>
        </w:rPr>
        <w:t>Does corporate sustainability generate loyalty towards fast fashion retailers? An empirical investigation</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New Trends in Sustainable Business and Consumption</w:t>
      </w:r>
      <w:r w:rsidRPr="008F33FD">
        <w:rPr>
          <w:color w:val="000000"/>
          <w:sz w:val="24"/>
          <w:lang w:val="en-GB"/>
        </w:rPr>
        <w:t>. Available at: https://</w:t>
      </w:r>
      <w:proofErr w:type="spellStart"/>
      <w:r w:rsidRPr="008F33FD">
        <w:rPr>
          <w:color w:val="000000"/>
          <w:sz w:val="24"/>
          <w:lang w:val="en-GB"/>
        </w:rPr>
        <w:t>doi.org</w:t>
      </w:r>
      <w:proofErr w:type="spellEnd"/>
      <w:r w:rsidRPr="008F33FD">
        <w:rPr>
          <w:color w:val="000000"/>
          <w:sz w:val="24"/>
          <w:lang w:val="en-GB"/>
        </w:rPr>
        <w:t>/10.24818/</w:t>
      </w:r>
      <w:proofErr w:type="spellStart"/>
      <w:r w:rsidRPr="008F33FD">
        <w:rPr>
          <w:color w:val="000000"/>
          <w:sz w:val="24"/>
          <w:lang w:val="en-GB"/>
        </w:rPr>
        <w:t>basiq</w:t>
      </w:r>
      <w:proofErr w:type="spellEnd"/>
      <w:r w:rsidRPr="008F33FD">
        <w:rPr>
          <w:color w:val="000000"/>
          <w:sz w:val="24"/>
          <w:lang w:val="en-GB"/>
        </w:rPr>
        <w:t>/2021/07/101.</w:t>
      </w:r>
    </w:p>
    <w:p w14:paraId="749E1908" w14:textId="1C600EDF"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Bonfanti, R.C., Oberti, B., </w:t>
      </w:r>
      <w:proofErr w:type="spellStart"/>
      <w:r w:rsidRPr="008F33FD">
        <w:rPr>
          <w:color w:val="000000"/>
          <w:sz w:val="24"/>
          <w:lang w:val="en-GB"/>
        </w:rPr>
        <w:t>Ravazzoli</w:t>
      </w:r>
      <w:proofErr w:type="spellEnd"/>
      <w:r w:rsidRPr="008F33FD">
        <w:rPr>
          <w:color w:val="000000"/>
          <w:sz w:val="24"/>
          <w:lang w:val="en-GB"/>
        </w:rPr>
        <w:t xml:space="preserve">, E., Rinaldi, A., Ruggieri, S. and Schimmenti, A. (2024) </w:t>
      </w:r>
      <w:r w:rsidR="00A22DB1" w:rsidRPr="008F33FD">
        <w:rPr>
          <w:color w:val="000000"/>
          <w:sz w:val="24"/>
          <w:lang w:val="en-GB"/>
        </w:rPr>
        <w:t>‘</w:t>
      </w:r>
      <w:r w:rsidRPr="008F33FD">
        <w:rPr>
          <w:color w:val="000000"/>
          <w:sz w:val="24"/>
          <w:lang w:val="en-GB"/>
        </w:rPr>
        <w:t>The role of trust in disaster risk reduction: A critical review</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International Journal of Environmental Research and Public Health</w:t>
      </w:r>
      <w:r w:rsidRPr="008F33FD">
        <w:rPr>
          <w:color w:val="000000"/>
          <w:sz w:val="24"/>
          <w:lang w:val="en-GB"/>
        </w:rPr>
        <w:t>, 21(1), p. 29. Available at: https://</w:t>
      </w:r>
      <w:proofErr w:type="spellStart"/>
      <w:r w:rsidRPr="008F33FD">
        <w:rPr>
          <w:color w:val="000000"/>
          <w:sz w:val="24"/>
          <w:lang w:val="en-GB"/>
        </w:rPr>
        <w:t>doi.org</w:t>
      </w:r>
      <w:proofErr w:type="spellEnd"/>
      <w:r w:rsidRPr="008F33FD">
        <w:rPr>
          <w:color w:val="000000"/>
          <w:sz w:val="24"/>
          <w:lang w:val="en-GB"/>
        </w:rPr>
        <w:t>/10.3390/</w:t>
      </w:r>
      <w:proofErr w:type="spellStart"/>
      <w:r w:rsidRPr="008F33FD">
        <w:rPr>
          <w:color w:val="000000"/>
          <w:sz w:val="24"/>
          <w:lang w:val="en-GB"/>
        </w:rPr>
        <w:t>ijerph21010029</w:t>
      </w:r>
      <w:proofErr w:type="spellEnd"/>
      <w:r w:rsidRPr="008F33FD">
        <w:rPr>
          <w:color w:val="000000"/>
          <w:sz w:val="24"/>
          <w:lang w:val="en-GB"/>
        </w:rPr>
        <w:t>.</w:t>
      </w:r>
    </w:p>
    <w:p w14:paraId="70334D0D" w14:textId="487DA7ED"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Brach, S., Walsh, G. and Shaw, D. (2018) </w:t>
      </w:r>
      <w:r w:rsidR="00A22DB1" w:rsidRPr="008F33FD">
        <w:rPr>
          <w:color w:val="000000"/>
          <w:sz w:val="24"/>
          <w:lang w:val="en-GB"/>
        </w:rPr>
        <w:t>‘</w:t>
      </w:r>
      <w:r w:rsidRPr="008F33FD">
        <w:rPr>
          <w:color w:val="000000"/>
          <w:sz w:val="24"/>
          <w:lang w:val="en-GB"/>
        </w:rPr>
        <w:t>Sustainable consumption and third-party certification labels: Consumers</w:t>
      </w:r>
      <w:r w:rsidR="00A22DB1" w:rsidRPr="008F33FD">
        <w:rPr>
          <w:color w:val="000000"/>
          <w:sz w:val="24"/>
          <w:lang w:val="en-GB"/>
        </w:rPr>
        <w:t>”</w:t>
      </w:r>
      <w:r w:rsidRPr="008F33FD">
        <w:rPr>
          <w:color w:val="000000"/>
          <w:sz w:val="24"/>
          <w:lang w:val="en-GB"/>
        </w:rPr>
        <w:t xml:space="preserve"> perceptions and reactions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European Management Journal</w:t>
      </w:r>
      <w:r w:rsidRPr="008F33FD">
        <w:rPr>
          <w:color w:val="000000"/>
          <w:sz w:val="24"/>
          <w:lang w:val="en-GB"/>
        </w:rPr>
        <w:t>, 36(2), pp. 254</w:t>
      </w:r>
      <w:r w:rsidR="008F33FD">
        <w:rPr>
          <w:color w:val="000000"/>
          <w:sz w:val="24"/>
          <w:lang w:val="en-GB"/>
        </w:rPr>
        <w:t>-</w:t>
      </w:r>
      <w:r w:rsidRPr="008F33FD">
        <w:rPr>
          <w:color w:val="000000"/>
          <w:sz w:val="24"/>
          <w:lang w:val="en-GB"/>
        </w:rPr>
        <w:t>265.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j.emj.2017.03.005</w:t>
      </w:r>
      <w:proofErr w:type="spellEnd"/>
      <w:r w:rsidRPr="008F33FD">
        <w:rPr>
          <w:color w:val="000000"/>
          <w:sz w:val="24"/>
          <w:lang w:val="en-GB"/>
        </w:rPr>
        <w:t>.</w:t>
      </w:r>
    </w:p>
    <w:p w14:paraId="7B1FE361" w14:textId="71D14D5D"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Buring, </w:t>
      </w:r>
      <w:proofErr w:type="spellStart"/>
      <w:r w:rsidRPr="008F33FD">
        <w:rPr>
          <w:color w:val="000000"/>
          <w:sz w:val="24"/>
          <w:lang w:val="en-GB"/>
        </w:rPr>
        <w:t>J.E</w:t>
      </w:r>
      <w:proofErr w:type="spellEnd"/>
      <w:r w:rsidRPr="008F33FD">
        <w:rPr>
          <w:color w:val="000000"/>
          <w:sz w:val="24"/>
          <w:lang w:val="en-GB"/>
        </w:rPr>
        <w:t xml:space="preserve">. (2008) </w:t>
      </w:r>
      <w:r w:rsidR="00A22DB1" w:rsidRPr="008F33FD">
        <w:rPr>
          <w:color w:val="000000"/>
          <w:sz w:val="24"/>
          <w:lang w:val="en-GB"/>
        </w:rPr>
        <w:t>‘</w:t>
      </w:r>
      <w:r w:rsidRPr="008F33FD">
        <w:rPr>
          <w:color w:val="000000"/>
          <w:sz w:val="24"/>
          <w:lang w:val="en-GB"/>
        </w:rPr>
        <w:t>Primary Data Collection</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Epidemiology</w:t>
      </w:r>
      <w:r w:rsidRPr="008F33FD">
        <w:rPr>
          <w:color w:val="000000"/>
          <w:sz w:val="24"/>
          <w:lang w:val="en-GB"/>
        </w:rPr>
        <w:t>, 19(2), pp. 347</w:t>
      </w:r>
      <w:r w:rsidR="008F33FD">
        <w:rPr>
          <w:color w:val="000000"/>
          <w:sz w:val="24"/>
          <w:lang w:val="en-GB"/>
        </w:rPr>
        <w:t>-</w:t>
      </w:r>
      <w:r w:rsidRPr="008F33FD">
        <w:rPr>
          <w:color w:val="000000"/>
          <w:sz w:val="24"/>
          <w:lang w:val="en-GB"/>
        </w:rPr>
        <w:t>349. Available at: https://</w:t>
      </w:r>
      <w:proofErr w:type="spellStart"/>
      <w:r w:rsidRPr="008F33FD">
        <w:rPr>
          <w:color w:val="000000"/>
          <w:sz w:val="24"/>
          <w:lang w:val="en-GB"/>
        </w:rPr>
        <w:t>doi.org</w:t>
      </w:r>
      <w:proofErr w:type="spellEnd"/>
      <w:r w:rsidRPr="008F33FD">
        <w:rPr>
          <w:color w:val="000000"/>
          <w:sz w:val="24"/>
          <w:lang w:val="en-GB"/>
        </w:rPr>
        <w:t>/10.1097/</w:t>
      </w:r>
      <w:proofErr w:type="spellStart"/>
      <w:r w:rsidRPr="008F33FD">
        <w:rPr>
          <w:color w:val="000000"/>
          <w:sz w:val="24"/>
          <w:lang w:val="en-GB"/>
        </w:rPr>
        <w:t>ede.0b013e318162a947</w:t>
      </w:r>
      <w:proofErr w:type="spellEnd"/>
      <w:r w:rsidRPr="008F33FD">
        <w:rPr>
          <w:color w:val="000000"/>
          <w:sz w:val="24"/>
          <w:lang w:val="en-GB"/>
        </w:rPr>
        <w:t>.</w:t>
      </w:r>
    </w:p>
    <w:p w14:paraId="11630397" w14:textId="4A255DC3"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Casula, M., Rangarajan, N. and Shields, P. (2021) </w:t>
      </w:r>
      <w:r w:rsidR="00A22DB1" w:rsidRPr="008F33FD">
        <w:rPr>
          <w:color w:val="000000"/>
          <w:sz w:val="24"/>
          <w:lang w:val="en-GB"/>
        </w:rPr>
        <w:t>‘</w:t>
      </w:r>
      <w:r w:rsidRPr="008F33FD">
        <w:rPr>
          <w:color w:val="000000"/>
          <w:sz w:val="24"/>
          <w:lang w:val="en-GB"/>
        </w:rPr>
        <w:t>The potential of working hypotheses for deductive exploratory research</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 xml:space="preserve">Quality </w:t>
      </w:r>
      <w:r w:rsidR="00944B3B" w:rsidRPr="008F33FD">
        <w:rPr>
          <w:i/>
          <w:iCs/>
          <w:color w:val="000000"/>
          <w:sz w:val="24"/>
          <w:lang w:val="en-GB"/>
        </w:rPr>
        <w:t>and</w:t>
      </w:r>
      <w:r w:rsidRPr="008F33FD">
        <w:rPr>
          <w:i/>
          <w:iCs/>
          <w:color w:val="000000"/>
          <w:sz w:val="24"/>
          <w:lang w:val="en-GB"/>
        </w:rPr>
        <w:t xml:space="preserve"> Quantity</w:t>
      </w:r>
      <w:r w:rsidRPr="008F33FD">
        <w:rPr>
          <w:color w:val="000000"/>
          <w:sz w:val="24"/>
          <w:lang w:val="en-GB"/>
        </w:rPr>
        <w:t>, 55(1), pp. 1703</w:t>
      </w:r>
      <w:r w:rsidR="008F33FD">
        <w:rPr>
          <w:color w:val="000000"/>
          <w:sz w:val="24"/>
          <w:lang w:val="en-GB"/>
        </w:rPr>
        <w:t>-</w:t>
      </w:r>
      <w:r w:rsidRPr="008F33FD">
        <w:rPr>
          <w:color w:val="000000"/>
          <w:sz w:val="24"/>
          <w:lang w:val="en-GB"/>
        </w:rPr>
        <w:t>1725. Available at: https://</w:t>
      </w:r>
      <w:proofErr w:type="spellStart"/>
      <w:r w:rsidRPr="008F33FD">
        <w:rPr>
          <w:color w:val="000000"/>
          <w:sz w:val="24"/>
          <w:lang w:val="en-GB"/>
        </w:rPr>
        <w:t>doi.org</w:t>
      </w:r>
      <w:proofErr w:type="spellEnd"/>
      <w:r w:rsidRPr="008F33FD">
        <w:rPr>
          <w:color w:val="000000"/>
          <w:sz w:val="24"/>
          <w:lang w:val="en-GB"/>
        </w:rPr>
        <w:t>/10.1007/</w:t>
      </w:r>
      <w:proofErr w:type="spellStart"/>
      <w:r w:rsidRPr="008F33FD">
        <w:rPr>
          <w:color w:val="000000"/>
          <w:sz w:val="24"/>
          <w:lang w:val="en-GB"/>
        </w:rPr>
        <w:t>s11135</w:t>
      </w:r>
      <w:proofErr w:type="spellEnd"/>
      <w:r w:rsidRPr="008F33FD">
        <w:rPr>
          <w:color w:val="000000"/>
          <w:sz w:val="24"/>
          <w:lang w:val="en-GB"/>
        </w:rPr>
        <w:t>-020-01072-9.</w:t>
      </w:r>
    </w:p>
    <w:p w14:paraId="1E8D7B5E" w14:textId="082423D5"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Cavender, R.C. (2018) </w:t>
      </w:r>
      <w:r w:rsidR="00A22DB1" w:rsidRPr="008F33FD">
        <w:rPr>
          <w:color w:val="000000"/>
          <w:sz w:val="24"/>
          <w:lang w:val="en-GB"/>
        </w:rPr>
        <w:t>‘</w:t>
      </w:r>
      <w:r w:rsidRPr="008F33FD">
        <w:rPr>
          <w:color w:val="000000"/>
          <w:sz w:val="24"/>
          <w:lang w:val="en-GB"/>
        </w:rPr>
        <w:t>Exploring the influence of sustainability knowledge and orientation to slow consumption on fashion leaders</w:t>
      </w:r>
      <w:r w:rsidR="00A22DB1" w:rsidRPr="008F33FD">
        <w:rPr>
          <w:color w:val="000000"/>
          <w:sz w:val="24"/>
          <w:lang w:val="en-GB"/>
        </w:rPr>
        <w:t>”</w:t>
      </w:r>
      <w:r w:rsidRPr="008F33FD">
        <w:rPr>
          <w:color w:val="000000"/>
          <w:sz w:val="24"/>
          <w:lang w:val="en-GB"/>
        </w:rPr>
        <w:t xml:space="preserve"> drivers of fast fashion avoidance</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American Journal of Theoretical and Applied Business</w:t>
      </w:r>
      <w:r w:rsidRPr="008F33FD">
        <w:rPr>
          <w:color w:val="000000"/>
          <w:sz w:val="24"/>
          <w:lang w:val="en-GB"/>
        </w:rPr>
        <w:t>, 4(3), p. 90. Available at: https://</w:t>
      </w:r>
      <w:proofErr w:type="spellStart"/>
      <w:r w:rsidRPr="008F33FD">
        <w:rPr>
          <w:color w:val="000000"/>
          <w:sz w:val="24"/>
          <w:lang w:val="en-GB"/>
        </w:rPr>
        <w:t>doi.org</w:t>
      </w:r>
      <w:proofErr w:type="spellEnd"/>
      <w:r w:rsidRPr="008F33FD">
        <w:rPr>
          <w:color w:val="000000"/>
          <w:sz w:val="24"/>
          <w:lang w:val="en-GB"/>
        </w:rPr>
        <w:t>/10.11648/</w:t>
      </w:r>
      <w:proofErr w:type="spellStart"/>
      <w:r w:rsidRPr="008F33FD">
        <w:rPr>
          <w:color w:val="000000"/>
          <w:sz w:val="24"/>
          <w:lang w:val="en-GB"/>
        </w:rPr>
        <w:t>j.ajtab.20180403.12</w:t>
      </w:r>
      <w:proofErr w:type="spellEnd"/>
      <w:r w:rsidRPr="008F33FD">
        <w:rPr>
          <w:color w:val="000000"/>
          <w:sz w:val="24"/>
          <w:lang w:val="en-GB"/>
        </w:rPr>
        <w:t>.</w:t>
      </w:r>
    </w:p>
    <w:p w14:paraId="34C291E0" w14:textId="32E68BB8"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Centobelli</w:t>
      </w:r>
      <w:proofErr w:type="spellEnd"/>
      <w:r w:rsidRPr="008F33FD">
        <w:rPr>
          <w:color w:val="000000"/>
          <w:sz w:val="24"/>
          <w:lang w:val="en-GB"/>
        </w:rPr>
        <w:t xml:space="preserve">, P., Abbate, S., Nadeem, S.P. and Reyes, </w:t>
      </w:r>
      <w:proofErr w:type="spellStart"/>
      <w:r w:rsidRPr="008F33FD">
        <w:rPr>
          <w:color w:val="000000"/>
          <w:sz w:val="24"/>
          <w:lang w:val="en-GB"/>
        </w:rPr>
        <w:t>J.A.G</w:t>
      </w:r>
      <w:proofErr w:type="spellEnd"/>
      <w:r w:rsidRPr="008F33FD">
        <w:rPr>
          <w:color w:val="000000"/>
          <w:sz w:val="24"/>
          <w:lang w:val="en-GB"/>
        </w:rPr>
        <w:t xml:space="preserve">. (2022) </w:t>
      </w:r>
      <w:r w:rsidR="00A22DB1" w:rsidRPr="008F33FD">
        <w:rPr>
          <w:color w:val="000000"/>
          <w:sz w:val="24"/>
          <w:lang w:val="en-GB"/>
        </w:rPr>
        <w:t>‘</w:t>
      </w:r>
      <w:r w:rsidRPr="008F33FD">
        <w:rPr>
          <w:color w:val="000000"/>
          <w:sz w:val="24"/>
          <w:lang w:val="en-GB"/>
        </w:rPr>
        <w:t>Slowing the fast fashion industry: An all-round perspective</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Current Opinion in Green and Sustainable Chemistry</w:t>
      </w:r>
      <w:r w:rsidRPr="008F33FD">
        <w:rPr>
          <w:color w:val="000000"/>
          <w:sz w:val="24"/>
          <w:lang w:val="en-GB"/>
        </w:rPr>
        <w:t>, 38(100684). Available at: https://</w:t>
      </w:r>
      <w:proofErr w:type="spellStart"/>
      <w:r w:rsidRPr="008F33FD">
        <w:rPr>
          <w:color w:val="000000"/>
          <w:sz w:val="24"/>
          <w:lang w:val="en-GB"/>
        </w:rPr>
        <w:t>doi.org</w:t>
      </w:r>
      <w:proofErr w:type="spellEnd"/>
      <w:r w:rsidRPr="008F33FD">
        <w:rPr>
          <w:color w:val="000000"/>
          <w:sz w:val="24"/>
          <w:lang w:val="en-GB"/>
        </w:rPr>
        <w:t>/https://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j.cogsc.2022.100684</w:t>
      </w:r>
      <w:proofErr w:type="spellEnd"/>
      <w:r w:rsidRPr="008F33FD">
        <w:rPr>
          <w:color w:val="000000"/>
          <w:sz w:val="24"/>
          <w:lang w:val="en-GB"/>
        </w:rPr>
        <w:t>.</w:t>
      </w:r>
    </w:p>
    <w:p w14:paraId="27631837"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CMA (2021)</w:t>
      </w:r>
      <w:r w:rsidRPr="008F33FD">
        <w:rPr>
          <w:rStyle w:val="apple-converted-space"/>
          <w:rFonts w:eastAsiaTheme="majorEastAsia"/>
          <w:color w:val="000000"/>
          <w:sz w:val="24"/>
          <w:lang w:val="en-GB"/>
        </w:rPr>
        <w:t> </w:t>
      </w:r>
      <w:r w:rsidRPr="008F33FD">
        <w:rPr>
          <w:i/>
          <w:iCs/>
          <w:color w:val="000000"/>
          <w:sz w:val="24"/>
          <w:lang w:val="en-GB"/>
        </w:rPr>
        <w:t>Green claims code: making environmental claims</w:t>
      </w:r>
      <w:r w:rsidRPr="008F33FD">
        <w:rPr>
          <w:color w:val="000000"/>
          <w:sz w:val="24"/>
          <w:lang w:val="en-GB"/>
        </w:rPr>
        <w:t>,</w:t>
      </w:r>
      <w:r w:rsidRPr="008F33FD">
        <w:rPr>
          <w:rStyle w:val="apple-converted-space"/>
          <w:rFonts w:eastAsiaTheme="majorEastAsia"/>
          <w:color w:val="000000"/>
          <w:sz w:val="24"/>
          <w:lang w:val="en-GB"/>
        </w:rPr>
        <w:t> </w:t>
      </w:r>
      <w:proofErr w:type="spellStart"/>
      <w:r w:rsidRPr="008F33FD">
        <w:rPr>
          <w:i/>
          <w:iCs/>
          <w:color w:val="000000"/>
          <w:sz w:val="24"/>
          <w:lang w:val="en-GB"/>
        </w:rPr>
        <w:t>GOV.UK</w:t>
      </w:r>
      <w:proofErr w:type="spellEnd"/>
      <w:r w:rsidRPr="008F33FD">
        <w:rPr>
          <w:color w:val="000000"/>
          <w:sz w:val="24"/>
          <w:lang w:val="en-GB"/>
        </w:rPr>
        <w:t>. Available at: https://www.gov.uk/government/publications/green-claims-code-making-environmental-claims.</w:t>
      </w:r>
    </w:p>
    <w:p w14:paraId="1FA4C7A8" w14:textId="68EBE70C"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Corbos</w:t>
      </w:r>
      <w:proofErr w:type="spellEnd"/>
      <w:r w:rsidRPr="008F33FD">
        <w:rPr>
          <w:color w:val="000000"/>
          <w:sz w:val="24"/>
          <w:lang w:val="en-GB"/>
        </w:rPr>
        <w:t xml:space="preserve">, R.-A., Bunea, O.-I. and </w:t>
      </w:r>
      <w:proofErr w:type="spellStart"/>
      <w:r w:rsidRPr="008F33FD">
        <w:rPr>
          <w:color w:val="000000"/>
          <w:sz w:val="24"/>
          <w:lang w:val="en-GB"/>
        </w:rPr>
        <w:t>Triculescu</w:t>
      </w:r>
      <w:proofErr w:type="spellEnd"/>
      <w:r w:rsidRPr="008F33FD">
        <w:rPr>
          <w:color w:val="000000"/>
          <w:sz w:val="24"/>
          <w:lang w:val="en-GB"/>
        </w:rPr>
        <w:t xml:space="preserve">, M. (2023) </w:t>
      </w:r>
      <w:r w:rsidR="00A22DB1" w:rsidRPr="008F33FD">
        <w:rPr>
          <w:color w:val="000000"/>
          <w:sz w:val="24"/>
          <w:lang w:val="en-GB"/>
        </w:rPr>
        <w:t>‘</w:t>
      </w:r>
      <w:r w:rsidRPr="008F33FD">
        <w:rPr>
          <w:color w:val="000000"/>
          <w:sz w:val="24"/>
          <w:lang w:val="en-GB"/>
        </w:rPr>
        <w:t xml:space="preserve">Towards sustainable consumption: Consumer </w:t>
      </w:r>
      <w:proofErr w:type="spellStart"/>
      <w:r w:rsidRPr="008F33FD">
        <w:rPr>
          <w:color w:val="000000"/>
          <w:sz w:val="24"/>
          <w:lang w:val="en-GB"/>
        </w:rPr>
        <w:t>behavior</w:t>
      </w:r>
      <w:proofErr w:type="spellEnd"/>
      <w:r w:rsidRPr="008F33FD">
        <w:rPr>
          <w:color w:val="000000"/>
          <w:sz w:val="24"/>
          <w:lang w:val="en-GB"/>
        </w:rPr>
        <w:t xml:space="preserve"> and market segmentation in the second-hand clothing </w:t>
      </w:r>
      <w:r w:rsidRPr="008F33FD">
        <w:rPr>
          <w:color w:val="000000"/>
          <w:sz w:val="24"/>
          <w:lang w:val="en-GB"/>
        </w:rPr>
        <w:lastRenderedPageBreak/>
        <w:t>industry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proofErr w:type="spellStart"/>
      <w:r w:rsidRPr="008F33FD">
        <w:rPr>
          <w:i/>
          <w:iCs/>
          <w:color w:val="000000"/>
          <w:sz w:val="24"/>
          <w:lang w:val="en-GB"/>
        </w:rPr>
        <w:t>Amfiteatru</w:t>
      </w:r>
      <w:proofErr w:type="spellEnd"/>
      <w:r w:rsidRPr="008F33FD">
        <w:rPr>
          <w:i/>
          <w:iCs/>
          <w:color w:val="000000"/>
          <w:sz w:val="24"/>
          <w:lang w:val="en-GB"/>
        </w:rPr>
        <w:t xml:space="preserve"> Economic</w:t>
      </w:r>
      <w:r w:rsidRPr="008F33FD">
        <w:rPr>
          <w:color w:val="000000"/>
          <w:sz w:val="24"/>
          <w:lang w:val="en-GB"/>
        </w:rPr>
        <w:t>, 25(Special 17), p. 1064. Available at: https://</w:t>
      </w:r>
      <w:proofErr w:type="spellStart"/>
      <w:r w:rsidRPr="008F33FD">
        <w:rPr>
          <w:color w:val="000000"/>
          <w:sz w:val="24"/>
          <w:lang w:val="en-GB"/>
        </w:rPr>
        <w:t>doi.org</w:t>
      </w:r>
      <w:proofErr w:type="spellEnd"/>
      <w:r w:rsidRPr="008F33FD">
        <w:rPr>
          <w:color w:val="000000"/>
          <w:sz w:val="24"/>
          <w:lang w:val="en-GB"/>
        </w:rPr>
        <w:t>/10.24818/</w:t>
      </w:r>
      <w:proofErr w:type="spellStart"/>
      <w:r w:rsidRPr="008F33FD">
        <w:rPr>
          <w:color w:val="000000"/>
          <w:sz w:val="24"/>
          <w:lang w:val="en-GB"/>
        </w:rPr>
        <w:t>ea</w:t>
      </w:r>
      <w:proofErr w:type="spellEnd"/>
      <w:r w:rsidRPr="008F33FD">
        <w:rPr>
          <w:color w:val="000000"/>
          <w:sz w:val="24"/>
          <w:lang w:val="en-GB"/>
        </w:rPr>
        <w:t>/2023/</w:t>
      </w:r>
      <w:proofErr w:type="spellStart"/>
      <w:r w:rsidRPr="008F33FD">
        <w:rPr>
          <w:color w:val="000000"/>
          <w:sz w:val="24"/>
          <w:lang w:val="en-GB"/>
        </w:rPr>
        <w:t>s17</w:t>
      </w:r>
      <w:proofErr w:type="spellEnd"/>
      <w:r w:rsidRPr="008F33FD">
        <w:rPr>
          <w:color w:val="000000"/>
          <w:sz w:val="24"/>
          <w:lang w:val="en-GB"/>
        </w:rPr>
        <w:t>/1064.</w:t>
      </w:r>
    </w:p>
    <w:p w14:paraId="0F8C2B10"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Cottrell, S. (2014)</w:t>
      </w:r>
      <w:r w:rsidRPr="008F33FD">
        <w:rPr>
          <w:rStyle w:val="apple-converted-space"/>
          <w:rFonts w:eastAsiaTheme="majorEastAsia"/>
          <w:color w:val="000000"/>
          <w:sz w:val="24"/>
          <w:lang w:val="en-GB"/>
        </w:rPr>
        <w:t> </w:t>
      </w:r>
      <w:r w:rsidRPr="008F33FD">
        <w:rPr>
          <w:i/>
          <w:iCs/>
          <w:color w:val="000000"/>
          <w:sz w:val="24"/>
          <w:lang w:val="en-GB"/>
        </w:rPr>
        <w:t>Dissertations and Project Reports : a Step by Step Guide</w:t>
      </w:r>
      <w:r w:rsidRPr="008F33FD">
        <w:rPr>
          <w:color w:val="000000"/>
          <w:sz w:val="24"/>
          <w:lang w:val="en-GB"/>
        </w:rPr>
        <w:t xml:space="preserve">. </w:t>
      </w:r>
      <w:proofErr w:type="spellStart"/>
      <w:r w:rsidRPr="008F33FD">
        <w:rPr>
          <w:color w:val="000000"/>
          <w:sz w:val="24"/>
          <w:lang w:val="en-GB"/>
        </w:rPr>
        <w:t>Pallgrave</w:t>
      </w:r>
      <w:proofErr w:type="spellEnd"/>
      <w:r w:rsidRPr="008F33FD">
        <w:rPr>
          <w:color w:val="000000"/>
          <w:sz w:val="24"/>
          <w:lang w:val="en-GB"/>
        </w:rPr>
        <w:t xml:space="preserve"> Macmillan, p. 123.</w:t>
      </w:r>
    </w:p>
    <w:p w14:paraId="0F5CACAD" w14:textId="68FD89AA"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Dahmen, P. (2023) </w:t>
      </w:r>
      <w:r w:rsidR="00A22DB1" w:rsidRPr="008F33FD">
        <w:rPr>
          <w:color w:val="000000"/>
          <w:sz w:val="24"/>
          <w:lang w:val="en-GB"/>
        </w:rPr>
        <w:t>‘</w:t>
      </w:r>
      <w:r w:rsidRPr="008F33FD">
        <w:rPr>
          <w:color w:val="000000"/>
          <w:sz w:val="24"/>
          <w:lang w:val="en-GB"/>
        </w:rPr>
        <w:t>Organizational resilience as a key property of enterprise risk management in response to novel and severe crisis events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Risk Management and Insurance Review</w:t>
      </w:r>
      <w:r w:rsidRPr="008F33FD">
        <w:rPr>
          <w:color w:val="000000"/>
          <w:sz w:val="24"/>
          <w:lang w:val="en-GB"/>
        </w:rPr>
        <w:t>, 26(2), pp. 203</w:t>
      </w:r>
      <w:r w:rsidR="008F33FD">
        <w:rPr>
          <w:color w:val="000000"/>
          <w:sz w:val="24"/>
          <w:lang w:val="en-GB"/>
        </w:rPr>
        <w:t>-</w:t>
      </w:r>
      <w:r w:rsidRPr="008F33FD">
        <w:rPr>
          <w:color w:val="000000"/>
          <w:sz w:val="24"/>
          <w:lang w:val="en-GB"/>
        </w:rPr>
        <w:t>245. Available at: https://</w:t>
      </w:r>
      <w:proofErr w:type="spellStart"/>
      <w:r w:rsidRPr="008F33FD">
        <w:rPr>
          <w:color w:val="000000"/>
          <w:sz w:val="24"/>
          <w:lang w:val="en-GB"/>
        </w:rPr>
        <w:t>doi.org</w:t>
      </w:r>
      <w:proofErr w:type="spellEnd"/>
      <w:r w:rsidRPr="008F33FD">
        <w:rPr>
          <w:color w:val="000000"/>
          <w:sz w:val="24"/>
          <w:lang w:val="en-GB"/>
        </w:rPr>
        <w:t>/10.1111/</w:t>
      </w:r>
      <w:proofErr w:type="spellStart"/>
      <w:r w:rsidRPr="008F33FD">
        <w:rPr>
          <w:color w:val="000000"/>
          <w:sz w:val="24"/>
          <w:lang w:val="en-GB"/>
        </w:rPr>
        <w:t>rmir.12245</w:t>
      </w:r>
      <w:proofErr w:type="spellEnd"/>
      <w:r w:rsidRPr="008F33FD">
        <w:rPr>
          <w:color w:val="000000"/>
          <w:sz w:val="24"/>
          <w:lang w:val="en-GB"/>
        </w:rPr>
        <w:t>.</w:t>
      </w:r>
    </w:p>
    <w:p w14:paraId="71593499" w14:textId="7F7A3603"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Dangelico, </w:t>
      </w:r>
      <w:proofErr w:type="spellStart"/>
      <w:r w:rsidRPr="008F33FD">
        <w:rPr>
          <w:color w:val="000000"/>
          <w:sz w:val="24"/>
          <w:lang w:val="en-GB"/>
        </w:rPr>
        <w:t>R.M</w:t>
      </w:r>
      <w:proofErr w:type="spellEnd"/>
      <w:r w:rsidRPr="008F33FD">
        <w:rPr>
          <w:color w:val="000000"/>
          <w:sz w:val="24"/>
          <w:lang w:val="en-GB"/>
        </w:rPr>
        <w:t xml:space="preserve">., Alvino, L. and </w:t>
      </w:r>
      <w:proofErr w:type="spellStart"/>
      <w:r w:rsidRPr="008F33FD">
        <w:rPr>
          <w:color w:val="000000"/>
          <w:sz w:val="24"/>
          <w:lang w:val="en-GB"/>
        </w:rPr>
        <w:t>Fraccascia</w:t>
      </w:r>
      <w:proofErr w:type="spellEnd"/>
      <w:r w:rsidRPr="008F33FD">
        <w:rPr>
          <w:color w:val="000000"/>
          <w:sz w:val="24"/>
          <w:lang w:val="en-GB"/>
        </w:rPr>
        <w:t xml:space="preserve">, L. (2022) </w:t>
      </w:r>
      <w:r w:rsidR="00A22DB1" w:rsidRPr="008F33FD">
        <w:rPr>
          <w:color w:val="000000"/>
          <w:sz w:val="24"/>
          <w:lang w:val="en-GB"/>
        </w:rPr>
        <w:t>‘</w:t>
      </w:r>
      <w:r w:rsidRPr="008F33FD">
        <w:rPr>
          <w:color w:val="000000"/>
          <w:sz w:val="24"/>
          <w:lang w:val="en-GB"/>
        </w:rPr>
        <w:t xml:space="preserve">Investigating the antecedents of consumer </w:t>
      </w:r>
      <w:proofErr w:type="spellStart"/>
      <w:r w:rsidRPr="008F33FD">
        <w:rPr>
          <w:color w:val="000000"/>
          <w:sz w:val="24"/>
          <w:lang w:val="en-GB"/>
        </w:rPr>
        <w:t>behavioral</w:t>
      </w:r>
      <w:proofErr w:type="spellEnd"/>
      <w:r w:rsidRPr="008F33FD">
        <w:rPr>
          <w:color w:val="000000"/>
          <w:sz w:val="24"/>
          <w:lang w:val="en-GB"/>
        </w:rPr>
        <w:t xml:space="preserve"> intention for sustainable fashion products: Evidence from a large survey of Italian consumers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Technological Forecasting and Social Change</w:t>
      </w:r>
      <w:r w:rsidRPr="008F33FD">
        <w:rPr>
          <w:color w:val="000000"/>
          <w:sz w:val="24"/>
          <w:lang w:val="en-GB"/>
        </w:rPr>
        <w:t>, 185(0040</w:t>
      </w:r>
      <w:r w:rsidR="008F33FD">
        <w:rPr>
          <w:color w:val="000000"/>
          <w:sz w:val="24"/>
          <w:lang w:val="en-GB"/>
        </w:rPr>
        <w:t>-</w:t>
      </w:r>
      <w:r w:rsidRPr="008F33FD">
        <w:rPr>
          <w:color w:val="000000"/>
          <w:sz w:val="24"/>
          <w:lang w:val="en-GB"/>
        </w:rPr>
        <w:t>1625), p. 122010.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j.techfore.2022.122010</w:t>
      </w:r>
      <w:proofErr w:type="spellEnd"/>
      <w:r w:rsidRPr="008F33FD">
        <w:rPr>
          <w:color w:val="000000"/>
          <w:sz w:val="24"/>
          <w:lang w:val="en-GB"/>
        </w:rPr>
        <w:t>.</w:t>
      </w:r>
    </w:p>
    <w:p w14:paraId="0643C3ED" w14:textId="0B0FC2DA"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Daou, L., Sayegh, E., Atallah, E., Maalouf, A. and Sarkis, N. (2025) </w:t>
      </w:r>
      <w:r w:rsidR="00A22DB1" w:rsidRPr="008F33FD">
        <w:rPr>
          <w:color w:val="000000"/>
          <w:sz w:val="24"/>
          <w:lang w:val="en-GB"/>
        </w:rPr>
        <w:t>‘</w:t>
      </w:r>
      <w:r w:rsidRPr="008F33FD">
        <w:rPr>
          <w:color w:val="000000"/>
          <w:sz w:val="24"/>
          <w:lang w:val="en-GB"/>
        </w:rPr>
        <w:t>Greenwashing as a Barrier to Sustainable Marketing: Expectation Disconfirmation, Confusion, and Brand</w:t>
      </w:r>
      <w:r w:rsidR="008F33FD">
        <w:rPr>
          <w:color w:val="000000"/>
          <w:sz w:val="24"/>
          <w:lang w:val="en-GB"/>
        </w:rPr>
        <w:t>-</w:t>
      </w:r>
      <w:r w:rsidRPr="008F33FD">
        <w:rPr>
          <w:color w:val="000000"/>
          <w:sz w:val="24"/>
          <w:lang w:val="en-GB"/>
        </w:rPr>
        <w:t>Consumer Relationships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Sustainability</w:t>
      </w:r>
      <w:r w:rsidRPr="008F33FD">
        <w:rPr>
          <w:color w:val="000000"/>
          <w:sz w:val="24"/>
          <w:lang w:val="en-GB"/>
        </w:rPr>
        <w:t>, 17(22), p. 9979. Available at: https://</w:t>
      </w:r>
      <w:proofErr w:type="spellStart"/>
      <w:r w:rsidRPr="008F33FD">
        <w:rPr>
          <w:color w:val="000000"/>
          <w:sz w:val="24"/>
          <w:lang w:val="en-GB"/>
        </w:rPr>
        <w:t>doi.org</w:t>
      </w:r>
      <w:proofErr w:type="spellEnd"/>
      <w:r w:rsidRPr="008F33FD">
        <w:rPr>
          <w:color w:val="000000"/>
          <w:sz w:val="24"/>
          <w:lang w:val="en-GB"/>
        </w:rPr>
        <w:t>/10.3390/</w:t>
      </w:r>
      <w:proofErr w:type="spellStart"/>
      <w:r w:rsidRPr="008F33FD">
        <w:rPr>
          <w:color w:val="000000"/>
          <w:sz w:val="24"/>
          <w:lang w:val="en-GB"/>
        </w:rPr>
        <w:t>su17229979</w:t>
      </w:r>
      <w:proofErr w:type="spellEnd"/>
      <w:r w:rsidRPr="008F33FD">
        <w:rPr>
          <w:color w:val="000000"/>
          <w:sz w:val="24"/>
          <w:lang w:val="en-GB"/>
        </w:rPr>
        <w:t>.</w:t>
      </w:r>
    </w:p>
    <w:p w14:paraId="70C015C4" w14:textId="753838DF"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Darshini, </w:t>
      </w:r>
      <w:proofErr w:type="spellStart"/>
      <w:r w:rsidRPr="008F33FD">
        <w:rPr>
          <w:color w:val="000000"/>
          <w:sz w:val="24"/>
          <w:lang w:val="en-GB"/>
        </w:rPr>
        <w:t>Dr.D</w:t>
      </w:r>
      <w:proofErr w:type="spellEnd"/>
      <w:r w:rsidRPr="008F33FD">
        <w:rPr>
          <w:color w:val="000000"/>
          <w:sz w:val="24"/>
          <w:lang w:val="en-GB"/>
        </w:rPr>
        <w:t xml:space="preserve">. and Aishwarya, </w:t>
      </w:r>
      <w:proofErr w:type="spellStart"/>
      <w:r w:rsidRPr="008F33FD">
        <w:rPr>
          <w:color w:val="000000"/>
          <w:sz w:val="24"/>
          <w:lang w:val="en-GB"/>
        </w:rPr>
        <w:t>Dr.N</w:t>
      </w:r>
      <w:proofErr w:type="spellEnd"/>
      <w:r w:rsidRPr="008F33FD">
        <w:rPr>
          <w:color w:val="000000"/>
          <w:sz w:val="24"/>
          <w:lang w:val="en-GB"/>
        </w:rPr>
        <w:t xml:space="preserve">. (2025) </w:t>
      </w:r>
      <w:r w:rsidR="00A22DB1" w:rsidRPr="008F33FD">
        <w:rPr>
          <w:color w:val="000000"/>
          <w:sz w:val="24"/>
          <w:lang w:val="en-GB"/>
        </w:rPr>
        <w:t>‘</w:t>
      </w:r>
      <w:r w:rsidRPr="008F33FD">
        <w:rPr>
          <w:color w:val="000000"/>
          <w:sz w:val="24"/>
          <w:lang w:val="en-GB"/>
        </w:rPr>
        <w:t>Deceptive environmental marketing and greenwashing: A literature review</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International Journal of Novel Research and Development</w:t>
      </w:r>
      <w:r w:rsidRPr="008F33FD">
        <w:rPr>
          <w:color w:val="000000"/>
          <w:sz w:val="24"/>
          <w:lang w:val="en-GB"/>
        </w:rPr>
        <w:t>, 10(6). Available at: https://</w:t>
      </w:r>
      <w:proofErr w:type="spellStart"/>
      <w:r w:rsidRPr="008F33FD">
        <w:rPr>
          <w:color w:val="000000"/>
          <w:sz w:val="24"/>
          <w:lang w:val="en-GB"/>
        </w:rPr>
        <w:t>doi.org</w:t>
      </w:r>
      <w:proofErr w:type="spellEnd"/>
      <w:r w:rsidRPr="008F33FD">
        <w:rPr>
          <w:color w:val="000000"/>
          <w:sz w:val="24"/>
          <w:lang w:val="en-GB"/>
        </w:rPr>
        <w:t>/10.56975/</w:t>
      </w:r>
      <w:proofErr w:type="spellStart"/>
      <w:r w:rsidRPr="008F33FD">
        <w:rPr>
          <w:color w:val="000000"/>
          <w:sz w:val="24"/>
          <w:lang w:val="en-GB"/>
        </w:rPr>
        <w:t>ijnrd.v10i6.307818</w:t>
      </w:r>
      <w:proofErr w:type="spellEnd"/>
      <w:r w:rsidRPr="008F33FD">
        <w:rPr>
          <w:color w:val="000000"/>
          <w:sz w:val="24"/>
          <w:lang w:val="en-GB"/>
        </w:rPr>
        <w:t>.</w:t>
      </w:r>
    </w:p>
    <w:p w14:paraId="140FE2A9"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Deloitte (2024)</w:t>
      </w:r>
      <w:r w:rsidRPr="008F33FD">
        <w:rPr>
          <w:rStyle w:val="apple-converted-space"/>
          <w:rFonts w:eastAsiaTheme="majorEastAsia"/>
          <w:color w:val="000000"/>
          <w:sz w:val="24"/>
          <w:lang w:val="en-GB"/>
        </w:rPr>
        <w:t> </w:t>
      </w:r>
      <w:r w:rsidRPr="008F33FD">
        <w:rPr>
          <w:i/>
          <w:iCs/>
          <w:color w:val="000000"/>
          <w:sz w:val="24"/>
          <w:lang w:val="en-GB"/>
        </w:rPr>
        <w:t>The Sustainable Consumer</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Deloitte United Kingdom</w:t>
      </w:r>
      <w:r w:rsidRPr="008F33FD">
        <w:rPr>
          <w:color w:val="000000"/>
          <w:sz w:val="24"/>
          <w:lang w:val="en-GB"/>
        </w:rPr>
        <w:t>. Deloitte. Available at: https://www.deloitte.com/uk/en/Industries/consumer/perspectives/the-sustainable-consumer.html.</w:t>
      </w:r>
    </w:p>
    <w:p w14:paraId="40773AF2" w14:textId="7D07A66B"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Dempere</w:t>
      </w:r>
      <w:proofErr w:type="spellEnd"/>
      <w:r w:rsidRPr="008F33FD">
        <w:rPr>
          <w:color w:val="000000"/>
          <w:sz w:val="24"/>
          <w:lang w:val="en-GB"/>
        </w:rPr>
        <w:t xml:space="preserve">, J., </w:t>
      </w:r>
      <w:proofErr w:type="spellStart"/>
      <w:r w:rsidRPr="008F33FD">
        <w:rPr>
          <w:color w:val="000000"/>
          <w:sz w:val="24"/>
          <w:lang w:val="en-GB"/>
        </w:rPr>
        <w:t>Alamash</w:t>
      </w:r>
      <w:proofErr w:type="spellEnd"/>
      <w:r w:rsidRPr="008F33FD">
        <w:rPr>
          <w:color w:val="000000"/>
          <w:sz w:val="24"/>
          <w:lang w:val="en-GB"/>
        </w:rPr>
        <w:t xml:space="preserve">, E. and Mattos, P. (2024) </w:t>
      </w:r>
      <w:r w:rsidR="00A22DB1" w:rsidRPr="008F33FD">
        <w:rPr>
          <w:color w:val="000000"/>
          <w:sz w:val="24"/>
          <w:lang w:val="en-GB"/>
        </w:rPr>
        <w:t>‘</w:t>
      </w:r>
      <w:r w:rsidRPr="008F33FD">
        <w:rPr>
          <w:color w:val="000000"/>
          <w:sz w:val="24"/>
          <w:lang w:val="en-GB"/>
        </w:rPr>
        <w:t>Unveiling the truth: Greenwashing in sustainable finance</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Frontiers in sustainability</w:t>
      </w:r>
      <w:r w:rsidRPr="008F33FD">
        <w:rPr>
          <w:color w:val="000000"/>
          <w:sz w:val="24"/>
          <w:lang w:val="en-GB"/>
        </w:rPr>
        <w:t>, 5. Available at: https://</w:t>
      </w:r>
      <w:proofErr w:type="spellStart"/>
      <w:r w:rsidRPr="008F33FD">
        <w:rPr>
          <w:color w:val="000000"/>
          <w:sz w:val="24"/>
          <w:lang w:val="en-GB"/>
        </w:rPr>
        <w:t>doi.org</w:t>
      </w:r>
      <w:proofErr w:type="spellEnd"/>
      <w:r w:rsidRPr="008F33FD">
        <w:rPr>
          <w:color w:val="000000"/>
          <w:sz w:val="24"/>
          <w:lang w:val="en-GB"/>
        </w:rPr>
        <w:t>/10.3389/</w:t>
      </w:r>
      <w:proofErr w:type="spellStart"/>
      <w:r w:rsidRPr="008F33FD">
        <w:rPr>
          <w:color w:val="000000"/>
          <w:sz w:val="24"/>
          <w:lang w:val="en-GB"/>
        </w:rPr>
        <w:t>frsus.2024.1362051</w:t>
      </w:r>
      <w:proofErr w:type="spellEnd"/>
      <w:r w:rsidRPr="008F33FD">
        <w:rPr>
          <w:color w:val="000000"/>
          <w:sz w:val="24"/>
          <w:lang w:val="en-GB"/>
        </w:rPr>
        <w:t>.</w:t>
      </w:r>
    </w:p>
    <w:p w14:paraId="391D2FAE"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DeVellis, R.F. (2016)</w:t>
      </w:r>
      <w:r w:rsidRPr="008F33FD">
        <w:rPr>
          <w:rStyle w:val="apple-converted-space"/>
          <w:rFonts w:eastAsiaTheme="majorEastAsia"/>
          <w:color w:val="000000"/>
          <w:sz w:val="24"/>
          <w:lang w:val="en-GB"/>
        </w:rPr>
        <w:t> </w:t>
      </w:r>
      <w:r w:rsidRPr="008F33FD">
        <w:rPr>
          <w:i/>
          <w:iCs/>
          <w:color w:val="000000"/>
          <w:sz w:val="24"/>
          <w:lang w:val="en-GB"/>
        </w:rPr>
        <w:t>Scale Development: Theory and Applications</w:t>
      </w:r>
      <w:r w:rsidRPr="008F33FD">
        <w:rPr>
          <w:rStyle w:val="apple-converted-space"/>
          <w:rFonts w:eastAsiaTheme="majorEastAsia"/>
          <w:i/>
          <w:iCs/>
          <w:color w:val="000000"/>
          <w:sz w:val="24"/>
          <w:lang w:val="en-GB"/>
        </w:rPr>
        <w:t> </w:t>
      </w:r>
      <w:r w:rsidRPr="008F33FD">
        <w:rPr>
          <w:color w:val="000000"/>
          <w:sz w:val="24"/>
          <w:lang w:val="en-GB"/>
        </w:rPr>
        <w:t xml:space="preserve">. 4th </w:t>
      </w:r>
      <w:proofErr w:type="spellStart"/>
      <w:r w:rsidRPr="008F33FD">
        <w:rPr>
          <w:color w:val="000000"/>
          <w:sz w:val="24"/>
          <w:lang w:val="en-GB"/>
        </w:rPr>
        <w:t>edn</w:t>
      </w:r>
      <w:proofErr w:type="spellEnd"/>
      <w:r w:rsidRPr="008F33FD">
        <w:rPr>
          <w:color w:val="000000"/>
          <w:sz w:val="24"/>
          <w:lang w:val="en-GB"/>
        </w:rPr>
        <w:t>. SAGE Publications.</w:t>
      </w:r>
    </w:p>
    <w:p w14:paraId="2FBAF0EA" w14:textId="3B9BCE37"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Dzhengiz</w:t>
      </w:r>
      <w:proofErr w:type="spellEnd"/>
      <w:r w:rsidRPr="008F33FD">
        <w:rPr>
          <w:color w:val="000000"/>
          <w:sz w:val="24"/>
          <w:lang w:val="en-GB"/>
        </w:rPr>
        <w:t xml:space="preserve">, T., </w:t>
      </w:r>
      <w:proofErr w:type="spellStart"/>
      <w:r w:rsidRPr="008F33FD">
        <w:rPr>
          <w:color w:val="000000"/>
          <w:sz w:val="24"/>
          <w:lang w:val="en-GB"/>
        </w:rPr>
        <w:t>Haukkala</w:t>
      </w:r>
      <w:proofErr w:type="spellEnd"/>
      <w:r w:rsidRPr="008F33FD">
        <w:rPr>
          <w:color w:val="000000"/>
          <w:sz w:val="24"/>
          <w:lang w:val="en-GB"/>
        </w:rPr>
        <w:t xml:space="preserve">, T. and </w:t>
      </w:r>
      <w:proofErr w:type="spellStart"/>
      <w:r w:rsidRPr="008F33FD">
        <w:rPr>
          <w:color w:val="000000"/>
          <w:sz w:val="24"/>
          <w:lang w:val="en-GB"/>
        </w:rPr>
        <w:t>Sahimaa</w:t>
      </w:r>
      <w:proofErr w:type="spellEnd"/>
      <w:r w:rsidRPr="008F33FD">
        <w:rPr>
          <w:color w:val="000000"/>
          <w:sz w:val="24"/>
          <w:lang w:val="en-GB"/>
        </w:rPr>
        <w:t xml:space="preserve">, O. (2023) </w:t>
      </w:r>
      <w:r w:rsidR="00A22DB1" w:rsidRPr="008F33FD">
        <w:rPr>
          <w:color w:val="000000"/>
          <w:sz w:val="24"/>
          <w:lang w:val="en-GB"/>
        </w:rPr>
        <w:t>‘</w:t>
      </w:r>
      <w:r w:rsidRPr="008F33FD">
        <w:rPr>
          <w:color w:val="000000"/>
          <w:sz w:val="24"/>
          <w:lang w:val="en-GB"/>
        </w:rPr>
        <w:t>(UN)sustainable transitions towards fast and ultra-fast fashion</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Fashion and Textiles</w:t>
      </w:r>
      <w:r w:rsidRPr="008F33FD">
        <w:rPr>
          <w:color w:val="000000"/>
          <w:sz w:val="24"/>
          <w:lang w:val="en-GB"/>
        </w:rPr>
        <w:t>, 10(1). Available at: https://fashionandtextiles.springeropen.com/articles/10.1186/s40691-023-00337-9 (Accessed: 14 September 2026).</w:t>
      </w:r>
    </w:p>
    <w:p w14:paraId="31B91E85" w14:textId="48821563"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lastRenderedPageBreak/>
        <w:t xml:space="preserve">Ebele, E., </w:t>
      </w:r>
      <w:proofErr w:type="spellStart"/>
      <w:r w:rsidRPr="008F33FD">
        <w:rPr>
          <w:color w:val="000000"/>
          <w:sz w:val="24"/>
          <w:lang w:val="en-GB"/>
        </w:rPr>
        <w:t>Iyelolu</w:t>
      </w:r>
      <w:proofErr w:type="spellEnd"/>
      <w:r w:rsidRPr="008F33FD">
        <w:rPr>
          <w:color w:val="000000"/>
          <w:sz w:val="24"/>
          <w:lang w:val="en-GB"/>
        </w:rPr>
        <w:t xml:space="preserve">, V., Idemudia, N.C. and Ignatius, T. (2024) </w:t>
      </w:r>
      <w:r w:rsidR="00A22DB1" w:rsidRPr="008F33FD">
        <w:rPr>
          <w:color w:val="000000"/>
          <w:sz w:val="24"/>
          <w:lang w:val="en-GB"/>
        </w:rPr>
        <w:t>‘</w:t>
      </w:r>
      <w:r w:rsidRPr="008F33FD">
        <w:rPr>
          <w:color w:val="000000"/>
          <w:sz w:val="24"/>
          <w:lang w:val="en-GB"/>
        </w:rPr>
        <w:t>Exploring the relationship between sustainable business practices and increased brand loyalty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 xml:space="preserve">International Journal of Management </w:t>
      </w:r>
      <w:r w:rsidR="00944B3B" w:rsidRPr="008F33FD">
        <w:rPr>
          <w:i/>
          <w:iCs/>
          <w:color w:val="000000"/>
          <w:sz w:val="24"/>
          <w:lang w:val="en-GB"/>
        </w:rPr>
        <w:t>and</w:t>
      </w:r>
      <w:r w:rsidRPr="008F33FD">
        <w:rPr>
          <w:i/>
          <w:iCs/>
          <w:color w:val="000000"/>
          <w:sz w:val="24"/>
          <w:lang w:val="en-GB"/>
        </w:rPr>
        <w:t xml:space="preserve"> Entrepreneurship Research</w:t>
      </w:r>
      <w:r w:rsidRPr="008F33FD">
        <w:rPr>
          <w:color w:val="000000"/>
          <w:sz w:val="24"/>
          <w:lang w:val="en-GB"/>
        </w:rPr>
        <w:t>, 6(8), pp. 2463</w:t>
      </w:r>
      <w:r w:rsidR="008F33FD">
        <w:rPr>
          <w:color w:val="000000"/>
          <w:sz w:val="24"/>
          <w:lang w:val="en-GB"/>
        </w:rPr>
        <w:t>-</w:t>
      </w:r>
      <w:r w:rsidRPr="008F33FD">
        <w:rPr>
          <w:color w:val="000000"/>
          <w:sz w:val="24"/>
          <w:lang w:val="en-GB"/>
        </w:rPr>
        <w:t>2475. Available at: https://</w:t>
      </w:r>
      <w:proofErr w:type="spellStart"/>
      <w:r w:rsidRPr="008F33FD">
        <w:rPr>
          <w:color w:val="000000"/>
          <w:sz w:val="24"/>
          <w:lang w:val="en-GB"/>
        </w:rPr>
        <w:t>doi.org</w:t>
      </w:r>
      <w:proofErr w:type="spellEnd"/>
      <w:r w:rsidRPr="008F33FD">
        <w:rPr>
          <w:color w:val="000000"/>
          <w:sz w:val="24"/>
          <w:lang w:val="en-GB"/>
        </w:rPr>
        <w:t>/10.51594/</w:t>
      </w:r>
      <w:proofErr w:type="spellStart"/>
      <w:r w:rsidRPr="008F33FD">
        <w:rPr>
          <w:color w:val="000000"/>
          <w:sz w:val="24"/>
          <w:lang w:val="en-GB"/>
        </w:rPr>
        <w:t>ijmer.v6i8.1365</w:t>
      </w:r>
      <w:proofErr w:type="spellEnd"/>
      <w:r w:rsidRPr="008F33FD">
        <w:rPr>
          <w:color w:val="000000"/>
          <w:sz w:val="24"/>
          <w:lang w:val="en-GB"/>
        </w:rPr>
        <w:t>.</w:t>
      </w:r>
    </w:p>
    <w:p w14:paraId="25D4A22B" w14:textId="40727CA8"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Edelsbrunner</w:t>
      </w:r>
      <w:proofErr w:type="spellEnd"/>
      <w:r w:rsidRPr="008F33FD">
        <w:rPr>
          <w:color w:val="000000"/>
          <w:sz w:val="24"/>
          <w:lang w:val="en-GB"/>
        </w:rPr>
        <w:t xml:space="preserve">, P.A., </w:t>
      </w:r>
      <w:proofErr w:type="spellStart"/>
      <w:r w:rsidRPr="008F33FD">
        <w:rPr>
          <w:color w:val="000000"/>
          <w:sz w:val="24"/>
          <w:lang w:val="en-GB"/>
        </w:rPr>
        <w:t>Simonsmeier</w:t>
      </w:r>
      <w:proofErr w:type="spellEnd"/>
      <w:r w:rsidRPr="008F33FD">
        <w:rPr>
          <w:color w:val="000000"/>
          <w:sz w:val="24"/>
          <w:lang w:val="en-GB"/>
        </w:rPr>
        <w:t>, B.A. and Schneider, M. (</w:t>
      </w:r>
      <w:proofErr w:type="spellStart"/>
      <w:r w:rsidRPr="008F33FD">
        <w:rPr>
          <w:color w:val="000000"/>
          <w:sz w:val="24"/>
          <w:lang w:val="en-GB"/>
        </w:rPr>
        <w:t>2025a</w:t>
      </w:r>
      <w:proofErr w:type="spellEnd"/>
      <w:r w:rsidRPr="008F33FD">
        <w:rPr>
          <w:color w:val="000000"/>
          <w:sz w:val="24"/>
          <w:lang w:val="en-GB"/>
        </w:rPr>
        <w:t xml:space="preserve">) </w:t>
      </w:r>
      <w:r w:rsidR="00A22DB1" w:rsidRPr="008F33FD">
        <w:rPr>
          <w:color w:val="000000"/>
          <w:sz w:val="24"/>
          <w:lang w:val="en-GB"/>
        </w:rPr>
        <w:t>‘</w:t>
      </w:r>
      <w:r w:rsidRPr="008F33FD">
        <w:rPr>
          <w:color w:val="000000"/>
          <w:sz w:val="24"/>
          <w:lang w:val="en-GB"/>
        </w:rPr>
        <w:t>The Cronbach</w:t>
      </w:r>
      <w:r w:rsidR="00A22DB1" w:rsidRPr="008F33FD">
        <w:rPr>
          <w:color w:val="000000"/>
          <w:sz w:val="24"/>
          <w:lang w:val="en-GB"/>
        </w:rPr>
        <w:t>’</w:t>
      </w:r>
      <w:r w:rsidRPr="008F33FD">
        <w:rPr>
          <w:color w:val="000000"/>
          <w:sz w:val="24"/>
          <w:lang w:val="en-GB"/>
        </w:rPr>
        <w:t>s Alpha of Domain-Specific Knowledge Tests Before and After Learning: A Meta-Analysis of Published Studies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Educational Psychology Review</w:t>
      </w:r>
      <w:r w:rsidRPr="008F33FD">
        <w:rPr>
          <w:color w:val="000000"/>
          <w:sz w:val="24"/>
          <w:lang w:val="en-GB"/>
        </w:rPr>
        <w:t>, 37(1). Available at: https://</w:t>
      </w:r>
      <w:proofErr w:type="spellStart"/>
      <w:r w:rsidRPr="008F33FD">
        <w:rPr>
          <w:color w:val="000000"/>
          <w:sz w:val="24"/>
          <w:lang w:val="en-GB"/>
        </w:rPr>
        <w:t>doi.org</w:t>
      </w:r>
      <w:proofErr w:type="spellEnd"/>
      <w:r w:rsidRPr="008F33FD">
        <w:rPr>
          <w:color w:val="000000"/>
          <w:sz w:val="24"/>
          <w:lang w:val="en-GB"/>
        </w:rPr>
        <w:t>/10.1007/</w:t>
      </w:r>
      <w:proofErr w:type="spellStart"/>
      <w:r w:rsidRPr="008F33FD">
        <w:rPr>
          <w:color w:val="000000"/>
          <w:sz w:val="24"/>
          <w:lang w:val="en-GB"/>
        </w:rPr>
        <w:t>s10648</w:t>
      </w:r>
      <w:proofErr w:type="spellEnd"/>
      <w:r w:rsidRPr="008F33FD">
        <w:rPr>
          <w:color w:val="000000"/>
          <w:sz w:val="24"/>
          <w:lang w:val="en-GB"/>
        </w:rPr>
        <w:t>-024-09982-y.</w:t>
      </w:r>
    </w:p>
    <w:p w14:paraId="695E1AE5" w14:textId="5B764D86"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Edelsbrunner</w:t>
      </w:r>
      <w:proofErr w:type="spellEnd"/>
      <w:r w:rsidRPr="008F33FD">
        <w:rPr>
          <w:color w:val="000000"/>
          <w:sz w:val="24"/>
          <w:lang w:val="en-GB"/>
        </w:rPr>
        <w:t xml:space="preserve">, P.A., </w:t>
      </w:r>
      <w:proofErr w:type="spellStart"/>
      <w:r w:rsidRPr="008F33FD">
        <w:rPr>
          <w:color w:val="000000"/>
          <w:sz w:val="24"/>
          <w:lang w:val="en-GB"/>
        </w:rPr>
        <w:t>Simonsmeier</w:t>
      </w:r>
      <w:proofErr w:type="spellEnd"/>
      <w:r w:rsidRPr="008F33FD">
        <w:rPr>
          <w:color w:val="000000"/>
          <w:sz w:val="24"/>
          <w:lang w:val="en-GB"/>
        </w:rPr>
        <w:t>, B.A. and Schneider, M. (</w:t>
      </w:r>
      <w:proofErr w:type="spellStart"/>
      <w:r w:rsidRPr="008F33FD">
        <w:rPr>
          <w:color w:val="000000"/>
          <w:sz w:val="24"/>
          <w:lang w:val="en-GB"/>
        </w:rPr>
        <w:t>2025b</w:t>
      </w:r>
      <w:proofErr w:type="spellEnd"/>
      <w:r w:rsidRPr="008F33FD">
        <w:rPr>
          <w:color w:val="000000"/>
          <w:sz w:val="24"/>
          <w:lang w:val="en-GB"/>
        </w:rPr>
        <w:t xml:space="preserve">) </w:t>
      </w:r>
      <w:r w:rsidR="00A22DB1" w:rsidRPr="008F33FD">
        <w:rPr>
          <w:color w:val="000000"/>
          <w:sz w:val="24"/>
          <w:lang w:val="en-GB"/>
        </w:rPr>
        <w:t>‘</w:t>
      </w:r>
      <w:r w:rsidRPr="008F33FD">
        <w:rPr>
          <w:color w:val="000000"/>
          <w:sz w:val="24"/>
          <w:lang w:val="en-GB"/>
        </w:rPr>
        <w:t>The Cronbach</w:t>
      </w:r>
      <w:r w:rsidR="00A22DB1" w:rsidRPr="008F33FD">
        <w:rPr>
          <w:color w:val="000000"/>
          <w:sz w:val="24"/>
          <w:lang w:val="en-GB"/>
        </w:rPr>
        <w:t>’</w:t>
      </w:r>
      <w:r w:rsidRPr="008F33FD">
        <w:rPr>
          <w:color w:val="000000"/>
          <w:sz w:val="24"/>
          <w:lang w:val="en-GB"/>
        </w:rPr>
        <w:t>s Alpha of Domain-Specific Knowledge Tests Before and After Learning: A Meta-Analysis of Published Studies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Educational Psychology Review</w:t>
      </w:r>
      <w:r w:rsidRPr="008F33FD">
        <w:rPr>
          <w:color w:val="000000"/>
          <w:sz w:val="24"/>
          <w:lang w:val="en-GB"/>
        </w:rPr>
        <w:t>, 37(1). Available at: https://</w:t>
      </w:r>
      <w:proofErr w:type="spellStart"/>
      <w:r w:rsidRPr="008F33FD">
        <w:rPr>
          <w:color w:val="000000"/>
          <w:sz w:val="24"/>
          <w:lang w:val="en-GB"/>
        </w:rPr>
        <w:t>doi.org</w:t>
      </w:r>
      <w:proofErr w:type="spellEnd"/>
      <w:r w:rsidRPr="008F33FD">
        <w:rPr>
          <w:color w:val="000000"/>
          <w:sz w:val="24"/>
          <w:lang w:val="en-GB"/>
        </w:rPr>
        <w:t>/10.1007/</w:t>
      </w:r>
      <w:proofErr w:type="spellStart"/>
      <w:r w:rsidRPr="008F33FD">
        <w:rPr>
          <w:color w:val="000000"/>
          <w:sz w:val="24"/>
          <w:lang w:val="en-GB"/>
        </w:rPr>
        <w:t>s10648</w:t>
      </w:r>
      <w:proofErr w:type="spellEnd"/>
      <w:r w:rsidRPr="008F33FD">
        <w:rPr>
          <w:color w:val="000000"/>
          <w:sz w:val="24"/>
          <w:lang w:val="en-GB"/>
        </w:rPr>
        <w:t>-024-09982-y.</w:t>
      </w:r>
    </w:p>
    <w:p w14:paraId="5A3AA3C6" w14:textId="157004CC"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Eze, M. (2025) </w:t>
      </w:r>
      <w:r w:rsidR="00A22DB1" w:rsidRPr="008F33FD">
        <w:rPr>
          <w:color w:val="000000"/>
          <w:sz w:val="24"/>
          <w:lang w:val="en-GB"/>
        </w:rPr>
        <w:t>‘</w:t>
      </w:r>
      <w:r w:rsidRPr="008F33FD">
        <w:rPr>
          <w:color w:val="000000"/>
          <w:sz w:val="24"/>
          <w:lang w:val="en-GB"/>
        </w:rPr>
        <w:t>Digital greenwashing in the age of sustainability marketing: A meta-analysis of consumer perception, detection, and backlash</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International Journal of Marketing Studies</w:t>
      </w:r>
      <w:r w:rsidRPr="008F33FD">
        <w:rPr>
          <w:color w:val="000000"/>
          <w:sz w:val="24"/>
          <w:lang w:val="en-GB"/>
        </w:rPr>
        <w:t>, 17(2), p. 32. Available at: https://</w:t>
      </w:r>
      <w:proofErr w:type="spellStart"/>
      <w:r w:rsidRPr="008F33FD">
        <w:rPr>
          <w:color w:val="000000"/>
          <w:sz w:val="24"/>
          <w:lang w:val="en-GB"/>
        </w:rPr>
        <w:t>doi.org</w:t>
      </w:r>
      <w:proofErr w:type="spellEnd"/>
      <w:r w:rsidRPr="008F33FD">
        <w:rPr>
          <w:color w:val="000000"/>
          <w:sz w:val="24"/>
          <w:lang w:val="en-GB"/>
        </w:rPr>
        <w:t>/10.5539/</w:t>
      </w:r>
      <w:proofErr w:type="spellStart"/>
      <w:r w:rsidRPr="008F33FD">
        <w:rPr>
          <w:color w:val="000000"/>
          <w:sz w:val="24"/>
          <w:lang w:val="en-GB"/>
        </w:rPr>
        <w:t>ijms.v17n2p32</w:t>
      </w:r>
      <w:proofErr w:type="spellEnd"/>
      <w:r w:rsidRPr="008F33FD">
        <w:rPr>
          <w:color w:val="000000"/>
          <w:sz w:val="24"/>
          <w:lang w:val="en-GB"/>
        </w:rPr>
        <w:t>.</w:t>
      </w:r>
    </w:p>
    <w:p w14:paraId="16A9C1F1" w14:textId="724770C8"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Falcão, D. and </w:t>
      </w:r>
      <w:proofErr w:type="spellStart"/>
      <w:r w:rsidRPr="008F33FD">
        <w:rPr>
          <w:color w:val="000000"/>
          <w:sz w:val="24"/>
          <w:lang w:val="en-GB"/>
        </w:rPr>
        <w:t>Roseira</w:t>
      </w:r>
      <w:proofErr w:type="spellEnd"/>
      <w:r w:rsidRPr="008F33FD">
        <w:rPr>
          <w:color w:val="000000"/>
          <w:sz w:val="24"/>
          <w:lang w:val="en-GB"/>
        </w:rPr>
        <w:t xml:space="preserve">, C. (2022) </w:t>
      </w:r>
      <w:r w:rsidR="00A22DB1" w:rsidRPr="008F33FD">
        <w:rPr>
          <w:color w:val="000000"/>
          <w:sz w:val="24"/>
          <w:lang w:val="en-GB"/>
        </w:rPr>
        <w:t>‘</w:t>
      </w:r>
      <w:r w:rsidRPr="008F33FD">
        <w:rPr>
          <w:color w:val="000000"/>
          <w:sz w:val="24"/>
          <w:lang w:val="en-GB"/>
        </w:rPr>
        <w:t>Mapping socially responsible consumption gap research: Review and future research agenda</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International Journal of Consumer Studies</w:t>
      </w:r>
      <w:r w:rsidRPr="008F33FD">
        <w:rPr>
          <w:color w:val="000000"/>
          <w:sz w:val="24"/>
          <w:lang w:val="en-GB"/>
        </w:rPr>
        <w:t>. Available at: https://</w:t>
      </w:r>
      <w:proofErr w:type="spellStart"/>
      <w:r w:rsidRPr="008F33FD">
        <w:rPr>
          <w:color w:val="000000"/>
          <w:sz w:val="24"/>
          <w:lang w:val="en-GB"/>
        </w:rPr>
        <w:t>doi.org</w:t>
      </w:r>
      <w:proofErr w:type="spellEnd"/>
      <w:r w:rsidRPr="008F33FD">
        <w:rPr>
          <w:color w:val="000000"/>
          <w:sz w:val="24"/>
          <w:lang w:val="en-GB"/>
        </w:rPr>
        <w:t>/10.1111/</w:t>
      </w:r>
      <w:proofErr w:type="spellStart"/>
      <w:r w:rsidRPr="008F33FD">
        <w:rPr>
          <w:color w:val="000000"/>
          <w:sz w:val="24"/>
          <w:lang w:val="en-GB"/>
        </w:rPr>
        <w:t>ijcs.12803</w:t>
      </w:r>
      <w:proofErr w:type="spellEnd"/>
      <w:r w:rsidRPr="008F33FD">
        <w:rPr>
          <w:color w:val="000000"/>
          <w:sz w:val="24"/>
          <w:lang w:val="en-GB"/>
        </w:rPr>
        <w:t>.</w:t>
      </w:r>
    </w:p>
    <w:p w14:paraId="0981FA52" w14:textId="1889E3CA"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Farooq, Y. and </w:t>
      </w:r>
      <w:proofErr w:type="spellStart"/>
      <w:r w:rsidRPr="008F33FD">
        <w:rPr>
          <w:color w:val="000000"/>
          <w:sz w:val="24"/>
          <w:lang w:val="en-GB"/>
        </w:rPr>
        <w:t>Wicaksono</w:t>
      </w:r>
      <w:proofErr w:type="spellEnd"/>
      <w:r w:rsidRPr="008F33FD">
        <w:rPr>
          <w:color w:val="000000"/>
          <w:sz w:val="24"/>
          <w:lang w:val="en-GB"/>
        </w:rPr>
        <w:t xml:space="preserve">, H. (2021) </w:t>
      </w:r>
      <w:r w:rsidR="00A22DB1" w:rsidRPr="008F33FD">
        <w:rPr>
          <w:color w:val="000000"/>
          <w:sz w:val="24"/>
          <w:lang w:val="en-GB"/>
        </w:rPr>
        <w:t>‘</w:t>
      </w:r>
      <w:r w:rsidRPr="008F33FD">
        <w:rPr>
          <w:color w:val="000000"/>
          <w:sz w:val="24"/>
          <w:lang w:val="en-GB"/>
        </w:rPr>
        <w:t xml:space="preserve">Advancing on the analysis of causes and consequences of green </w:t>
      </w:r>
      <w:proofErr w:type="spellStart"/>
      <w:r w:rsidRPr="008F33FD">
        <w:rPr>
          <w:color w:val="000000"/>
          <w:sz w:val="24"/>
          <w:lang w:val="en-GB"/>
        </w:rPr>
        <w:t>skepticism</w:t>
      </w:r>
      <w:proofErr w:type="spellEnd"/>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Cleaner Production</w:t>
      </w:r>
      <w:r w:rsidRPr="008F33FD">
        <w:rPr>
          <w:color w:val="000000"/>
          <w:sz w:val="24"/>
          <w:lang w:val="en-GB"/>
        </w:rPr>
        <w:t>, 320, p. 128927.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j.jclepro.2021.128927</w:t>
      </w:r>
      <w:proofErr w:type="spellEnd"/>
      <w:r w:rsidRPr="008F33FD">
        <w:rPr>
          <w:color w:val="000000"/>
          <w:sz w:val="24"/>
          <w:lang w:val="en-GB"/>
        </w:rPr>
        <w:t>.</w:t>
      </w:r>
    </w:p>
    <w:p w14:paraId="5A6CBF01" w14:textId="316D90CE"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Fella, S. and </w:t>
      </w:r>
      <w:proofErr w:type="spellStart"/>
      <w:r w:rsidRPr="008F33FD">
        <w:rPr>
          <w:color w:val="000000"/>
          <w:sz w:val="24"/>
          <w:lang w:val="en-GB"/>
        </w:rPr>
        <w:t>Bausa</w:t>
      </w:r>
      <w:proofErr w:type="spellEnd"/>
      <w:r w:rsidRPr="008F33FD">
        <w:rPr>
          <w:color w:val="000000"/>
          <w:sz w:val="24"/>
          <w:lang w:val="en-GB"/>
        </w:rPr>
        <w:t xml:space="preserve">, E. (2024) </w:t>
      </w:r>
      <w:r w:rsidR="00A22DB1" w:rsidRPr="008F33FD">
        <w:rPr>
          <w:color w:val="000000"/>
          <w:sz w:val="24"/>
          <w:lang w:val="en-GB"/>
        </w:rPr>
        <w:t>‘</w:t>
      </w:r>
      <w:r w:rsidRPr="008F33FD">
        <w:rPr>
          <w:color w:val="000000"/>
          <w:sz w:val="24"/>
          <w:lang w:val="en-GB"/>
        </w:rPr>
        <w:t>Green or greenwashed? Examining consumers</w:t>
      </w:r>
      <w:r w:rsidR="00A22DB1" w:rsidRPr="008F33FD">
        <w:rPr>
          <w:color w:val="000000"/>
          <w:sz w:val="24"/>
          <w:lang w:val="en-GB"/>
        </w:rPr>
        <w:t>”</w:t>
      </w:r>
      <w:r w:rsidRPr="008F33FD">
        <w:rPr>
          <w:color w:val="000000"/>
          <w:sz w:val="24"/>
          <w:lang w:val="en-GB"/>
        </w:rPr>
        <w:t xml:space="preserve"> ability to identify greenwashing</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Environmental Psychology</w:t>
      </w:r>
      <w:r w:rsidRPr="008F33FD">
        <w:rPr>
          <w:color w:val="000000"/>
          <w:sz w:val="24"/>
          <w:lang w:val="en-GB"/>
        </w:rPr>
        <w:t>, 95(102281), pp. 102281</w:t>
      </w:r>
      <w:r w:rsidR="008F33FD">
        <w:rPr>
          <w:color w:val="000000"/>
          <w:sz w:val="24"/>
          <w:lang w:val="en-GB"/>
        </w:rPr>
        <w:t>-</w:t>
      </w:r>
      <w:r w:rsidRPr="008F33FD">
        <w:rPr>
          <w:color w:val="000000"/>
          <w:sz w:val="24"/>
          <w:lang w:val="en-GB"/>
        </w:rPr>
        <w:t>102281.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j.jenvp.2024.102281</w:t>
      </w:r>
      <w:proofErr w:type="spellEnd"/>
      <w:r w:rsidRPr="008F33FD">
        <w:rPr>
          <w:color w:val="000000"/>
          <w:sz w:val="24"/>
          <w:lang w:val="en-GB"/>
        </w:rPr>
        <w:t>.</w:t>
      </w:r>
    </w:p>
    <w:p w14:paraId="18E87171" w14:textId="16F14614"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Filho, W.L., Perry, P., Heim, H., Dinis, </w:t>
      </w:r>
      <w:proofErr w:type="spellStart"/>
      <w:r w:rsidRPr="008F33FD">
        <w:rPr>
          <w:color w:val="000000"/>
          <w:sz w:val="24"/>
          <w:lang w:val="en-GB"/>
        </w:rPr>
        <w:t>M.A.P</w:t>
      </w:r>
      <w:proofErr w:type="spellEnd"/>
      <w:r w:rsidRPr="008F33FD">
        <w:rPr>
          <w:color w:val="000000"/>
          <w:sz w:val="24"/>
          <w:lang w:val="en-GB"/>
        </w:rPr>
        <w:t xml:space="preserve">., Moda, H., </w:t>
      </w:r>
      <w:proofErr w:type="spellStart"/>
      <w:r w:rsidRPr="008F33FD">
        <w:rPr>
          <w:color w:val="000000"/>
          <w:sz w:val="24"/>
          <w:lang w:val="en-GB"/>
        </w:rPr>
        <w:t>Ebhuoma</w:t>
      </w:r>
      <w:proofErr w:type="spellEnd"/>
      <w:r w:rsidRPr="008F33FD">
        <w:rPr>
          <w:color w:val="000000"/>
          <w:sz w:val="24"/>
          <w:lang w:val="en-GB"/>
        </w:rPr>
        <w:t xml:space="preserve">, E. and </w:t>
      </w:r>
      <w:proofErr w:type="spellStart"/>
      <w:r w:rsidRPr="008F33FD">
        <w:rPr>
          <w:color w:val="000000"/>
          <w:sz w:val="24"/>
          <w:lang w:val="en-GB"/>
        </w:rPr>
        <w:t>Paço</w:t>
      </w:r>
      <w:proofErr w:type="spellEnd"/>
      <w:r w:rsidRPr="008F33FD">
        <w:rPr>
          <w:color w:val="000000"/>
          <w:sz w:val="24"/>
          <w:lang w:val="en-GB"/>
        </w:rPr>
        <w:t xml:space="preserve">, A. (2022) </w:t>
      </w:r>
      <w:r w:rsidR="00A22DB1" w:rsidRPr="008F33FD">
        <w:rPr>
          <w:color w:val="000000"/>
          <w:sz w:val="24"/>
          <w:lang w:val="en-GB"/>
        </w:rPr>
        <w:t>‘</w:t>
      </w:r>
      <w:r w:rsidRPr="008F33FD">
        <w:rPr>
          <w:color w:val="000000"/>
          <w:sz w:val="24"/>
          <w:lang w:val="en-GB"/>
        </w:rPr>
        <w:t>An overview of the contribution of the textiles sector to climate change</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Frontiers in Environmental Science</w:t>
      </w:r>
      <w:r w:rsidRPr="008F33FD">
        <w:rPr>
          <w:color w:val="000000"/>
          <w:sz w:val="24"/>
          <w:lang w:val="en-GB"/>
        </w:rPr>
        <w:t>, 10(1), pp. 1</w:t>
      </w:r>
      <w:r w:rsidR="008F33FD">
        <w:rPr>
          <w:color w:val="000000"/>
          <w:sz w:val="24"/>
          <w:lang w:val="en-GB"/>
        </w:rPr>
        <w:t>-</w:t>
      </w:r>
      <w:r w:rsidRPr="008F33FD">
        <w:rPr>
          <w:color w:val="000000"/>
          <w:sz w:val="24"/>
          <w:lang w:val="en-GB"/>
        </w:rPr>
        <w:t>5. Available at: https://</w:t>
      </w:r>
      <w:proofErr w:type="spellStart"/>
      <w:r w:rsidRPr="008F33FD">
        <w:rPr>
          <w:color w:val="000000"/>
          <w:sz w:val="24"/>
          <w:lang w:val="en-GB"/>
        </w:rPr>
        <w:t>doi.org</w:t>
      </w:r>
      <w:proofErr w:type="spellEnd"/>
      <w:r w:rsidRPr="008F33FD">
        <w:rPr>
          <w:color w:val="000000"/>
          <w:sz w:val="24"/>
          <w:lang w:val="en-GB"/>
        </w:rPr>
        <w:t>/10.3389/</w:t>
      </w:r>
      <w:proofErr w:type="spellStart"/>
      <w:r w:rsidRPr="008F33FD">
        <w:rPr>
          <w:color w:val="000000"/>
          <w:sz w:val="24"/>
          <w:lang w:val="en-GB"/>
        </w:rPr>
        <w:t>fenvs.2022.973102</w:t>
      </w:r>
      <w:proofErr w:type="spellEnd"/>
      <w:r w:rsidRPr="008F33FD">
        <w:rPr>
          <w:color w:val="000000"/>
          <w:sz w:val="24"/>
          <w:lang w:val="en-GB"/>
        </w:rPr>
        <w:t>.</w:t>
      </w:r>
    </w:p>
    <w:p w14:paraId="2854BAFE" w14:textId="238C1D82"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Glattke</w:t>
      </w:r>
      <w:proofErr w:type="spellEnd"/>
      <w:r w:rsidRPr="008F33FD">
        <w:rPr>
          <w:color w:val="000000"/>
          <w:sz w:val="24"/>
          <w:lang w:val="en-GB"/>
        </w:rPr>
        <w:t xml:space="preserve">, T.J. (2017) </w:t>
      </w:r>
      <w:r w:rsidR="00A22DB1" w:rsidRPr="008F33FD">
        <w:rPr>
          <w:color w:val="000000"/>
          <w:sz w:val="24"/>
          <w:lang w:val="en-GB"/>
        </w:rPr>
        <w:t>‘</w:t>
      </w:r>
      <w:r w:rsidRPr="008F33FD">
        <w:rPr>
          <w:color w:val="000000"/>
          <w:sz w:val="24"/>
          <w:lang w:val="en-GB"/>
        </w:rPr>
        <w:t>International Research Collaborations: Ethical and Regulatory Considerations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The ASHA Leader</w:t>
      </w:r>
      <w:r w:rsidRPr="008F33FD">
        <w:rPr>
          <w:color w:val="000000"/>
          <w:sz w:val="24"/>
          <w:lang w:val="en-GB"/>
        </w:rPr>
        <w:t>, 12(17), pp. 19</w:t>
      </w:r>
      <w:r w:rsidR="008F33FD">
        <w:rPr>
          <w:color w:val="000000"/>
          <w:sz w:val="24"/>
          <w:lang w:val="en-GB"/>
        </w:rPr>
        <w:t>-</w:t>
      </w:r>
      <w:r w:rsidRPr="008F33FD">
        <w:rPr>
          <w:color w:val="000000"/>
          <w:sz w:val="24"/>
          <w:lang w:val="en-GB"/>
        </w:rPr>
        <w:t>21. Available at: https://</w:t>
      </w:r>
      <w:proofErr w:type="spellStart"/>
      <w:r w:rsidRPr="008F33FD">
        <w:rPr>
          <w:color w:val="000000"/>
          <w:sz w:val="24"/>
          <w:lang w:val="en-GB"/>
        </w:rPr>
        <w:t>doi.org</w:t>
      </w:r>
      <w:proofErr w:type="spellEnd"/>
      <w:r w:rsidRPr="008F33FD">
        <w:rPr>
          <w:color w:val="000000"/>
          <w:sz w:val="24"/>
          <w:lang w:val="en-GB"/>
        </w:rPr>
        <w:t>/10.1044/</w:t>
      </w:r>
      <w:proofErr w:type="spellStart"/>
      <w:r w:rsidRPr="008F33FD">
        <w:rPr>
          <w:color w:val="000000"/>
          <w:sz w:val="24"/>
          <w:lang w:val="en-GB"/>
        </w:rPr>
        <w:t>leader.wb1.12172007.19</w:t>
      </w:r>
      <w:proofErr w:type="spellEnd"/>
      <w:r w:rsidRPr="008F33FD">
        <w:rPr>
          <w:color w:val="000000"/>
          <w:sz w:val="24"/>
          <w:lang w:val="en-GB"/>
        </w:rPr>
        <w:t>.</w:t>
      </w:r>
    </w:p>
    <w:p w14:paraId="55966BED"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lastRenderedPageBreak/>
        <w:t xml:space="preserve">Hair, J., Jr, Hult, </w:t>
      </w:r>
      <w:proofErr w:type="spellStart"/>
      <w:r w:rsidRPr="008F33FD">
        <w:rPr>
          <w:color w:val="000000"/>
          <w:sz w:val="24"/>
          <w:lang w:val="en-GB"/>
        </w:rPr>
        <w:t>G.T.M</w:t>
      </w:r>
      <w:proofErr w:type="spellEnd"/>
      <w:r w:rsidRPr="008F33FD">
        <w:rPr>
          <w:color w:val="000000"/>
          <w:sz w:val="24"/>
          <w:lang w:val="en-GB"/>
        </w:rPr>
        <w:t>., Ringle, C.M. and Sarstedt, M. (2021)</w:t>
      </w:r>
      <w:r w:rsidRPr="008F33FD">
        <w:rPr>
          <w:rStyle w:val="apple-converted-space"/>
          <w:rFonts w:eastAsiaTheme="majorEastAsia"/>
          <w:color w:val="000000"/>
          <w:sz w:val="24"/>
          <w:lang w:val="en-GB"/>
        </w:rPr>
        <w:t> </w:t>
      </w:r>
      <w:r w:rsidRPr="008F33FD">
        <w:rPr>
          <w:i/>
          <w:iCs/>
          <w:color w:val="000000"/>
          <w:sz w:val="24"/>
          <w:lang w:val="en-GB"/>
        </w:rPr>
        <w:t xml:space="preserve">A primer on partial least squares structural equation </w:t>
      </w:r>
      <w:proofErr w:type="spellStart"/>
      <w:r w:rsidRPr="008F33FD">
        <w:rPr>
          <w:i/>
          <w:iCs/>
          <w:color w:val="000000"/>
          <w:sz w:val="24"/>
          <w:lang w:val="en-GB"/>
        </w:rPr>
        <w:t>modeling</w:t>
      </w:r>
      <w:proofErr w:type="spellEnd"/>
      <w:r w:rsidRPr="008F33FD">
        <w:rPr>
          <w:i/>
          <w:iCs/>
          <w:color w:val="000000"/>
          <w:sz w:val="24"/>
          <w:lang w:val="en-GB"/>
        </w:rPr>
        <w:t xml:space="preserve"> (PLS-SEM)</w:t>
      </w:r>
      <w:r w:rsidRPr="008F33FD">
        <w:rPr>
          <w:color w:val="000000"/>
          <w:sz w:val="24"/>
          <w:lang w:val="en-GB"/>
        </w:rPr>
        <w:t>. SAGE Publications, Inc.</w:t>
      </w:r>
    </w:p>
    <w:p w14:paraId="06B75225"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Hair, </w:t>
      </w:r>
      <w:proofErr w:type="spellStart"/>
      <w:r w:rsidRPr="008F33FD">
        <w:rPr>
          <w:color w:val="000000"/>
          <w:sz w:val="24"/>
          <w:lang w:val="en-GB"/>
        </w:rPr>
        <w:t>J.F</w:t>
      </w:r>
      <w:proofErr w:type="spellEnd"/>
      <w:r w:rsidRPr="008F33FD">
        <w:rPr>
          <w:color w:val="000000"/>
          <w:sz w:val="24"/>
          <w:lang w:val="en-GB"/>
        </w:rPr>
        <w:t>., Black, W.C. and Babin, B.J. (2019)</w:t>
      </w:r>
      <w:r w:rsidRPr="008F33FD">
        <w:rPr>
          <w:rStyle w:val="apple-converted-space"/>
          <w:rFonts w:eastAsiaTheme="majorEastAsia"/>
          <w:color w:val="000000"/>
          <w:sz w:val="24"/>
          <w:lang w:val="en-GB"/>
        </w:rPr>
        <w:t> </w:t>
      </w:r>
      <w:r w:rsidRPr="008F33FD">
        <w:rPr>
          <w:i/>
          <w:iCs/>
          <w:color w:val="000000"/>
          <w:sz w:val="24"/>
          <w:lang w:val="en-GB"/>
        </w:rPr>
        <w:t>Multivariate Data Analysis</w:t>
      </w:r>
      <w:r w:rsidRPr="008F33FD">
        <w:rPr>
          <w:color w:val="000000"/>
          <w:sz w:val="24"/>
          <w:lang w:val="en-GB"/>
        </w:rPr>
        <w:t xml:space="preserve">. Cengage Learning </w:t>
      </w:r>
      <w:proofErr w:type="spellStart"/>
      <w:r w:rsidRPr="008F33FD">
        <w:rPr>
          <w:color w:val="000000"/>
          <w:sz w:val="24"/>
          <w:lang w:val="en-GB"/>
        </w:rPr>
        <w:t>Emea</w:t>
      </w:r>
      <w:proofErr w:type="spellEnd"/>
      <w:r w:rsidRPr="008F33FD">
        <w:rPr>
          <w:color w:val="000000"/>
          <w:sz w:val="24"/>
          <w:lang w:val="en-GB"/>
        </w:rPr>
        <w:t>. Copyright.</w:t>
      </w:r>
    </w:p>
    <w:p w14:paraId="41D71043"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Hair, </w:t>
      </w:r>
      <w:proofErr w:type="spellStart"/>
      <w:r w:rsidRPr="008F33FD">
        <w:rPr>
          <w:color w:val="000000"/>
          <w:sz w:val="24"/>
          <w:lang w:val="en-GB"/>
        </w:rPr>
        <w:t>J.F</w:t>
      </w:r>
      <w:proofErr w:type="spellEnd"/>
      <w:r w:rsidRPr="008F33FD">
        <w:rPr>
          <w:color w:val="000000"/>
          <w:sz w:val="24"/>
          <w:lang w:val="en-GB"/>
        </w:rPr>
        <w:t xml:space="preserve">., Hult, </w:t>
      </w:r>
      <w:proofErr w:type="spellStart"/>
      <w:r w:rsidRPr="008F33FD">
        <w:rPr>
          <w:color w:val="000000"/>
          <w:sz w:val="24"/>
          <w:lang w:val="en-GB"/>
        </w:rPr>
        <w:t>G.T.M</w:t>
      </w:r>
      <w:proofErr w:type="spellEnd"/>
      <w:r w:rsidRPr="008F33FD">
        <w:rPr>
          <w:color w:val="000000"/>
          <w:sz w:val="24"/>
          <w:lang w:val="en-GB"/>
        </w:rPr>
        <w:t>., Ringle, C.M. and Sarstedt, M. (2022)</w:t>
      </w:r>
      <w:r w:rsidRPr="008F33FD">
        <w:rPr>
          <w:rStyle w:val="apple-converted-space"/>
          <w:rFonts w:eastAsiaTheme="majorEastAsia"/>
          <w:color w:val="000000"/>
          <w:sz w:val="24"/>
          <w:lang w:val="en-GB"/>
        </w:rPr>
        <w:t> </w:t>
      </w:r>
      <w:r w:rsidRPr="008F33FD">
        <w:rPr>
          <w:i/>
          <w:iCs/>
          <w:color w:val="000000"/>
          <w:sz w:val="24"/>
          <w:lang w:val="en-GB"/>
        </w:rPr>
        <w:t xml:space="preserve">A primer on partial least squares structural equation </w:t>
      </w:r>
      <w:proofErr w:type="spellStart"/>
      <w:r w:rsidRPr="008F33FD">
        <w:rPr>
          <w:i/>
          <w:iCs/>
          <w:color w:val="000000"/>
          <w:sz w:val="24"/>
          <w:lang w:val="en-GB"/>
        </w:rPr>
        <w:t>modeling</w:t>
      </w:r>
      <w:proofErr w:type="spellEnd"/>
      <w:r w:rsidRPr="008F33FD">
        <w:rPr>
          <w:i/>
          <w:iCs/>
          <w:color w:val="000000"/>
          <w:sz w:val="24"/>
          <w:lang w:val="en-GB"/>
        </w:rPr>
        <w:t xml:space="preserve"> (PLS-SEM)</w:t>
      </w:r>
      <w:r w:rsidRPr="008F33FD">
        <w:rPr>
          <w:color w:val="000000"/>
          <w:sz w:val="24"/>
          <w:lang w:val="en-GB"/>
        </w:rPr>
        <w:t>. Sage.</w:t>
      </w:r>
    </w:p>
    <w:p w14:paraId="7297A45E" w14:textId="3A4643FE"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Hair, </w:t>
      </w:r>
      <w:proofErr w:type="spellStart"/>
      <w:r w:rsidRPr="008F33FD">
        <w:rPr>
          <w:color w:val="000000"/>
          <w:sz w:val="24"/>
          <w:lang w:val="en-GB"/>
        </w:rPr>
        <w:t>J.F</w:t>
      </w:r>
      <w:proofErr w:type="spellEnd"/>
      <w:r w:rsidRPr="008F33FD">
        <w:rPr>
          <w:color w:val="000000"/>
          <w:sz w:val="24"/>
          <w:lang w:val="en-GB"/>
        </w:rPr>
        <w:t>., Risher, J.J., Sarstedt, M. and Ringle, C.M. (</w:t>
      </w:r>
      <w:proofErr w:type="spellStart"/>
      <w:r w:rsidRPr="008F33FD">
        <w:rPr>
          <w:color w:val="000000"/>
          <w:sz w:val="24"/>
          <w:lang w:val="en-GB"/>
        </w:rPr>
        <w:t>2019a</w:t>
      </w:r>
      <w:proofErr w:type="spellEnd"/>
      <w:r w:rsidRPr="008F33FD">
        <w:rPr>
          <w:color w:val="000000"/>
          <w:sz w:val="24"/>
          <w:lang w:val="en-GB"/>
        </w:rPr>
        <w:t xml:space="preserve">) </w:t>
      </w:r>
      <w:r w:rsidR="00A22DB1" w:rsidRPr="008F33FD">
        <w:rPr>
          <w:color w:val="000000"/>
          <w:sz w:val="24"/>
          <w:lang w:val="en-GB"/>
        </w:rPr>
        <w:t>‘</w:t>
      </w:r>
      <w:r w:rsidRPr="008F33FD">
        <w:rPr>
          <w:color w:val="000000"/>
          <w:sz w:val="24"/>
          <w:lang w:val="en-GB"/>
        </w:rPr>
        <w:t>When to use and how to report the results of PLS-SEM</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European Business Review</w:t>
      </w:r>
      <w:r w:rsidRPr="008F33FD">
        <w:rPr>
          <w:color w:val="000000"/>
          <w:sz w:val="24"/>
          <w:lang w:val="en-GB"/>
        </w:rPr>
        <w:t>, 31(1), pp. 2</w:t>
      </w:r>
      <w:r w:rsidR="008F33FD">
        <w:rPr>
          <w:color w:val="000000"/>
          <w:sz w:val="24"/>
          <w:lang w:val="en-GB"/>
        </w:rPr>
        <w:t>-</w:t>
      </w:r>
      <w:r w:rsidRPr="008F33FD">
        <w:rPr>
          <w:color w:val="000000"/>
          <w:sz w:val="24"/>
          <w:lang w:val="en-GB"/>
        </w:rPr>
        <w:t>24. Available at: https://</w:t>
      </w:r>
      <w:proofErr w:type="spellStart"/>
      <w:r w:rsidRPr="008F33FD">
        <w:rPr>
          <w:color w:val="000000"/>
          <w:sz w:val="24"/>
          <w:lang w:val="en-GB"/>
        </w:rPr>
        <w:t>doi.org</w:t>
      </w:r>
      <w:proofErr w:type="spellEnd"/>
      <w:r w:rsidRPr="008F33FD">
        <w:rPr>
          <w:color w:val="000000"/>
          <w:sz w:val="24"/>
          <w:lang w:val="en-GB"/>
        </w:rPr>
        <w:t>/https://</w:t>
      </w:r>
      <w:proofErr w:type="spellStart"/>
      <w:r w:rsidRPr="008F33FD">
        <w:rPr>
          <w:color w:val="000000"/>
          <w:sz w:val="24"/>
          <w:lang w:val="en-GB"/>
        </w:rPr>
        <w:t>doi.org</w:t>
      </w:r>
      <w:proofErr w:type="spellEnd"/>
      <w:r w:rsidRPr="008F33FD">
        <w:rPr>
          <w:color w:val="000000"/>
          <w:sz w:val="24"/>
          <w:lang w:val="en-GB"/>
        </w:rPr>
        <w:t>/10.1108/</w:t>
      </w:r>
      <w:proofErr w:type="spellStart"/>
      <w:r w:rsidRPr="008F33FD">
        <w:rPr>
          <w:color w:val="000000"/>
          <w:sz w:val="24"/>
          <w:lang w:val="en-GB"/>
        </w:rPr>
        <w:t>EBR</w:t>
      </w:r>
      <w:proofErr w:type="spellEnd"/>
      <w:r w:rsidRPr="008F33FD">
        <w:rPr>
          <w:color w:val="000000"/>
          <w:sz w:val="24"/>
          <w:lang w:val="en-GB"/>
        </w:rPr>
        <w:t>-11-2018-0203.</w:t>
      </w:r>
    </w:p>
    <w:p w14:paraId="3E8995AC" w14:textId="2A7A755D"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Hair, </w:t>
      </w:r>
      <w:proofErr w:type="spellStart"/>
      <w:r w:rsidRPr="008F33FD">
        <w:rPr>
          <w:color w:val="000000"/>
          <w:sz w:val="24"/>
          <w:lang w:val="en-GB"/>
        </w:rPr>
        <w:t>J.F</w:t>
      </w:r>
      <w:proofErr w:type="spellEnd"/>
      <w:r w:rsidRPr="008F33FD">
        <w:rPr>
          <w:color w:val="000000"/>
          <w:sz w:val="24"/>
          <w:lang w:val="en-GB"/>
        </w:rPr>
        <w:t>., Risher, J.J., Sarstedt, M. and Ringle, C.M. (</w:t>
      </w:r>
      <w:proofErr w:type="spellStart"/>
      <w:r w:rsidRPr="008F33FD">
        <w:rPr>
          <w:color w:val="000000"/>
          <w:sz w:val="24"/>
          <w:lang w:val="en-GB"/>
        </w:rPr>
        <w:t>2019b</w:t>
      </w:r>
      <w:proofErr w:type="spellEnd"/>
      <w:r w:rsidRPr="008F33FD">
        <w:rPr>
          <w:color w:val="000000"/>
          <w:sz w:val="24"/>
          <w:lang w:val="en-GB"/>
        </w:rPr>
        <w:t xml:space="preserve">) </w:t>
      </w:r>
      <w:r w:rsidR="00A22DB1" w:rsidRPr="008F33FD">
        <w:rPr>
          <w:color w:val="000000"/>
          <w:sz w:val="24"/>
          <w:lang w:val="en-GB"/>
        </w:rPr>
        <w:t>‘</w:t>
      </w:r>
      <w:r w:rsidRPr="008F33FD">
        <w:rPr>
          <w:color w:val="000000"/>
          <w:sz w:val="24"/>
          <w:lang w:val="en-GB"/>
        </w:rPr>
        <w:t>When to use and how to report the results of PLS-SEM</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European Business Review</w:t>
      </w:r>
      <w:r w:rsidRPr="008F33FD">
        <w:rPr>
          <w:color w:val="000000"/>
          <w:sz w:val="24"/>
          <w:lang w:val="en-GB"/>
        </w:rPr>
        <w:t>, 31(1), pp. 2</w:t>
      </w:r>
      <w:r w:rsidR="008F33FD">
        <w:rPr>
          <w:color w:val="000000"/>
          <w:sz w:val="24"/>
          <w:lang w:val="en-GB"/>
        </w:rPr>
        <w:t>-</w:t>
      </w:r>
      <w:r w:rsidRPr="008F33FD">
        <w:rPr>
          <w:color w:val="000000"/>
          <w:sz w:val="24"/>
          <w:lang w:val="en-GB"/>
        </w:rPr>
        <w:t>24. Available at: https://</w:t>
      </w:r>
      <w:proofErr w:type="spellStart"/>
      <w:r w:rsidRPr="008F33FD">
        <w:rPr>
          <w:color w:val="000000"/>
          <w:sz w:val="24"/>
          <w:lang w:val="en-GB"/>
        </w:rPr>
        <w:t>doi.org</w:t>
      </w:r>
      <w:proofErr w:type="spellEnd"/>
      <w:r w:rsidRPr="008F33FD">
        <w:rPr>
          <w:color w:val="000000"/>
          <w:sz w:val="24"/>
          <w:lang w:val="en-GB"/>
        </w:rPr>
        <w:t>/https://</w:t>
      </w:r>
      <w:proofErr w:type="spellStart"/>
      <w:r w:rsidRPr="008F33FD">
        <w:rPr>
          <w:color w:val="000000"/>
          <w:sz w:val="24"/>
          <w:lang w:val="en-GB"/>
        </w:rPr>
        <w:t>doi.org</w:t>
      </w:r>
      <w:proofErr w:type="spellEnd"/>
      <w:r w:rsidRPr="008F33FD">
        <w:rPr>
          <w:color w:val="000000"/>
          <w:sz w:val="24"/>
          <w:lang w:val="en-GB"/>
        </w:rPr>
        <w:t>/10.1108/</w:t>
      </w:r>
      <w:proofErr w:type="spellStart"/>
      <w:r w:rsidRPr="008F33FD">
        <w:rPr>
          <w:color w:val="000000"/>
          <w:sz w:val="24"/>
          <w:lang w:val="en-GB"/>
        </w:rPr>
        <w:t>EBR</w:t>
      </w:r>
      <w:proofErr w:type="spellEnd"/>
      <w:r w:rsidRPr="008F33FD">
        <w:rPr>
          <w:color w:val="000000"/>
          <w:sz w:val="24"/>
          <w:lang w:val="en-GB"/>
        </w:rPr>
        <w:t>-11-2018-0203.</w:t>
      </w:r>
    </w:p>
    <w:p w14:paraId="3F3FB423" w14:textId="77777777"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Harkiolakis</w:t>
      </w:r>
      <w:proofErr w:type="spellEnd"/>
      <w:r w:rsidRPr="008F33FD">
        <w:rPr>
          <w:color w:val="000000"/>
          <w:sz w:val="24"/>
          <w:lang w:val="en-GB"/>
        </w:rPr>
        <w:t>, N. (2019)</w:t>
      </w:r>
      <w:r w:rsidRPr="008F33FD">
        <w:rPr>
          <w:rStyle w:val="apple-converted-space"/>
          <w:rFonts w:eastAsiaTheme="majorEastAsia"/>
          <w:color w:val="000000"/>
          <w:sz w:val="24"/>
          <w:lang w:val="en-GB"/>
        </w:rPr>
        <w:t> </w:t>
      </w:r>
      <w:r w:rsidRPr="008F33FD">
        <w:rPr>
          <w:i/>
          <w:iCs/>
          <w:color w:val="000000"/>
          <w:sz w:val="24"/>
          <w:lang w:val="en-GB"/>
        </w:rPr>
        <w:t>Quantitative research methods : from theory to publication</w:t>
      </w:r>
      <w:r w:rsidRPr="008F33FD">
        <w:rPr>
          <w:color w:val="000000"/>
          <w:sz w:val="24"/>
          <w:lang w:val="en-GB"/>
        </w:rPr>
        <w:t xml:space="preserve">. </w:t>
      </w:r>
      <w:proofErr w:type="spellStart"/>
      <w:r w:rsidRPr="008F33FD">
        <w:rPr>
          <w:color w:val="000000"/>
          <w:sz w:val="24"/>
          <w:lang w:val="en-GB"/>
        </w:rPr>
        <w:t>Createspace</w:t>
      </w:r>
      <w:proofErr w:type="spellEnd"/>
      <w:r w:rsidRPr="008F33FD">
        <w:rPr>
          <w:color w:val="000000"/>
          <w:sz w:val="24"/>
          <w:lang w:val="en-GB"/>
        </w:rPr>
        <w:t>.</w:t>
      </w:r>
    </w:p>
    <w:p w14:paraId="09EE7597" w14:textId="67670136"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Hebben, K.G.-L., Schmitz, A.-K. and Fassnacht, M. (2026) </w:t>
      </w:r>
      <w:r w:rsidR="00A22DB1" w:rsidRPr="008F33FD">
        <w:rPr>
          <w:color w:val="000000"/>
          <w:sz w:val="24"/>
          <w:lang w:val="en-GB"/>
        </w:rPr>
        <w:t>‘</w:t>
      </w:r>
      <w:r w:rsidRPr="008F33FD">
        <w:rPr>
          <w:color w:val="000000"/>
          <w:sz w:val="24"/>
          <w:lang w:val="en-GB"/>
        </w:rPr>
        <w:t>Outlining a path towards sustainable consumption decision-making: A systematic literature review and research agenda on the ethical gap</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Business Ethics</w:t>
      </w:r>
      <w:r w:rsidRPr="008F33FD">
        <w:rPr>
          <w:color w:val="000000"/>
          <w:sz w:val="24"/>
          <w:lang w:val="en-GB"/>
        </w:rPr>
        <w:t>. Available at: https://</w:t>
      </w:r>
      <w:proofErr w:type="spellStart"/>
      <w:r w:rsidRPr="008F33FD">
        <w:rPr>
          <w:color w:val="000000"/>
          <w:sz w:val="24"/>
          <w:lang w:val="en-GB"/>
        </w:rPr>
        <w:t>doi.org</w:t>
      </w:r>
      <w:proofErr w:type="spellEnd"/>
      <w:r w:rsidRPr="008F33FD">
        <w:rPr>
          <w:color w:val="000000"/>
          <w:sz w:val="24"/>
          <w:lang w:val="en-GB"/>
        </w:rPr>
        <w:t>/10.1007/</w:t>
      </w:r>
      <w:proofErr w:type="spellStart"/>
      <w:r w:rsidRPr="008F33FD">
        <w:rPr>
          <w:color w:val="000000"/>
          <w:sz w:val="24"/>
          <w:lang w:val="en-GB"/>
        </w:rPr>
        <w:t>s10551</w:t>
      </w:r>
      <w:proofErr w:type="spellEnd"/>
      <w:r w:rsidRPr="008F33FD">
        <w:rPr>
          <w:color w:val="000000"/>
          <w:sz w:val="24"/>
          <w:lang w:val="en-GB"/>
        </w:rPr>
        <w:t>-026-06330-8.</w:t>
      </w:r>
    </w:p>
    <w:p w14:paraId="1C21D14A" w14:textId="0BBC187F"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Hong, Y., Al Mamun, A., Yang, Q. and </w:t>
      </w:r>
      <w:proofErr w:type="spellStart"/>
      <w:r w:rsidRPr="008F33FD">
        <w:rPr>
          <w:color w:val="000000"/>
          <w:sz w:val="24"/>
          <w:lang w:val="en-GB"/>
        </w:rPr>
        <w:t>Masukujjaman</w:t>
      </w:r>
      <w:proofErr w:type="spellEnd"/>
      <w:r w:rsidRPr="008F33FD">
        <w:rPr>
          <w:color w:val="000000"/>
          <w:sz w:val="24"/>
          <w:lang w:val="en-GB"/>
        </w:rPr>
        <w:t xml:space="preserve">, M. (2024) </w:t>
      </w:r>
      <w:r w:rsidR="00A22DB1" w:rsidRPr="008F33FD">
        <w:rPr>
          <w:color w:val="000000"/>
          <w:sz w:val="24"/>
          <w:lang w:val="en-GB"/>
        </w:rPr>
        <w:t>‘</w:t>
      </w:r>
      <w:r w:rsidRPr="008F33FD">
        <w:rPr>
          <w:color w:val="000000"/>
          <w:sz w:val="24"/>
          <w:lang w:val="en-GB"/>
        </w:rPr>
        <w:t>Predicting sustainable fashion consumption intentions and practices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Scientific Reports</w:t>
      </w:r>
      <w:r w:rsidRPr="008F33FD">
        <w:rPr>
          <w:color w:val="000000"/>
          <w:sz w:val="24"/>
          <w:lang w:val="en-GB"/>
        </w:rPr>
        <w:t>, 14(1), p. 1706. Available at: https://</w:t>
      </w:r>
      <w:proofErr w:type="spellStart"/>
      <w:r w:rsidRPr="008F33FD">
        <w:rPr>
          <w:color w:val="000000"/>
          <w:sz w:val="24"/>
          <w:lang w:val="en-GB"/>
        </w:rPr>
        <w:t>doi.org</w:t>
      </w:r>
      <w:proofErr w:type="spellEnd"/>
      <w:r w:rsidRPr="008F33FD">
        <w:rPr>
          <w:color w:val="000000"/>
          <w:sz w:val="24"/>
          <w:lang w:val="en-GB"/>
        </w:rPr>
        <w:t>/10.1038/</w:t>
      </w:r>
      <w:proofErr w:type="spellStart"/>
      <w:r w:rsidRPr="008F33FD">
        <w:rPr>
          <w:color w:val="000000"/>
          <w:sz w:val="24"/>
          <w:lang w:val="en-GB"/>
        </w:rPr>
        <w:t>s41598</w:t>
      </w:r>
      <w:proofErr w:type="spellEnd"/>
      <w:r w:rsidRPr="008F33FD">
        <w:rPr>
          <w:color w:val="000000"/>
          <w:sz w:val="24"/>
          <w:lang w:val="en-GB"/>
        </w:rPr>
        <w:t>-024-52215-z.</w:t>
      </w:r>
    </w:p>
    <w:p w14:paraId="5866B688"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Howell, K.E. (2013)</w:t>
      </w:r>
      <w:r w:rsidRPr="008F33FD">
        <w:rPr>
          <w:rStyle w:val="apple-converted-space"/>
          <w:rFonts w:eastAsiaTheme="majorEastAsia"/>
          <w:color w:val="000000"/>
          <w:sz w:val="24"/>
          <w:lang w:val="en-GB"/>
        </w:rPr>
        <w:t> </w:t>
      </w:r>
      <w:r w:rsidRPr="008F33FD">
        <w:rPr>
          <w:i/>
          <w:iCs/>
          <w:color w:val="000000"/>
          <w:sz w:val="24"/>
          <w:lang w:val="en-GB"/>
        </w:rPr>
        <w:t>An introduction to the philosophy of methodology</w:t>
      </w:r>
      <w:r w:rsidRPr="008F33FD">
        <w:rPr>
          <w:color w:val="000000"/>
          <w:sz w:val="24"/>
          <w:lang w:val="en-GB"/>
        </w:rPr>
        <w:t>. Sage.</w:t>
      </w:r>
    </w:p>
    <w:p w14:paraId="77757783" w14:textId="7392D464"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Husain, </w:t>
      </w:r>
      <w:proofErr w:type="spellStart"/>
      <w:r w:rsidRPr="008F33FD">
        <w:rPr>
          <w:color w:val="000000"/>
          <w:sz w:val="24"/>
          <w:lang w:val="en-GB"/>
        </w:rPr>
        <w:t>S.K.M</w:t>
      </w:r>
      <w:proofErr w:type="spellEnd"/>
      <w:r w:rsidRPr="008F33FD">
        <w:rPr>
          <w:color w:val="000000"/>
          <w:sz w:val="24"/>
          <w:lang w:val="en-GB"/>
        </w:rPr>
        <w:t xml:space="preserve">. (2024) </w:t>
      </w:r>
      <w:r w:rsidR="00A22DB1" w:rsidRPr="008F33FD">
        <w:rPr>
          <w:color w:val="000000"/>
          <w:sz w:val="24"/>
          <w:lang w:val="en-GB"/>
        </w:rPr>
        <w:t>‘</w:t>
      </w:r>
      <w:r w:rsidRPr="008F33FD">
        <w:rPr>
          <w:color w:val="000000"/>
          <w:sz w:val="24"/>
          <w:lang w:val="en-GB"/>
        </w:rPr>
        <w:t>Customer-centric sustainability</w:t>
      </w:r>
      <w:r w:rsidR="00A22DB1" w:rsidRPr="008F33FD">
        <w:rPr>
          <w:color w:val="000000"/>
          <w:sz w:val="24"/>
          <w:lang w:val="en-GB"/>
        </w:rPr>
        <w:t>’</w:t>
      </w:r>
      <w:r w:rsidRPr="008F33FD">
        <w:rPr>
          <w:color w:val="000000"/>
          <w:sz w:val="24"/>
          <w:lang w:val="en-GB"/>
        </w:rPr>
        <w:t>s effect on brand-customer relationships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European Economic Letters</w:t>
      </w:r>
      <w:r w:rsidRPr="008F33FD">
        <w:rPr>
          <w:color w:val="000000"/>
          <w:sz w:val="24"/>
          <w:lang w:val="en-GB"/>
        </w:rPr>
        <w:t>. Available at: https://</w:t>
      </w:r>
      <w:proofErr w:type="spellStart"/>
      <w:r w:rsidRPr="008F33FD">
        <w:rPr>
          <w:color w:val="000000"/>
          <w:sz w:val="24"/>
          <w:lang w:val="en-GB"/>
        </w:rPr>
        <w:t>doi.org</w:t>
      </w:r>
      <w:proofErr w:type="spellEnd"/>
      <w:r w:rsidRPr="008F33FD">
        <w:rPr>
          <w:color w:val="000000"/>
          <w:sz w:val="24"/>
          <w:lang w:val="en-GB"/>
        </w:rPr>
        <w:t>/10.52783/</w:t>
      </w:r>
      <w:proofErr w:type="spellStart"/>
      <w:r w:rsidRPr="008F33FD">
        <w:rPr>
          <w:color w:val="000000"/>
          <w:sz w:val="24"/>
          <w:lang w:val="en-GB"/>
        </w:rPr>
        <w:t>eel.v14i2.1422</w:t>
      </w:r>
      <w:proofErr w:type="spellEnd"/>
      <w:r w:rsidRPr="008F33FD">
        <w:rPr>
          <w:color w:val="000000"/>
          <w:sz w:val="24"/>
          <w:lang w:val="en-GB"/>
        </w:rPr>
        <w:t>.</w:t>
      </w:r>
    </w:p>
    <w:p w14:paraId="7076E34F" w14:textId="79245E7A"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Imiru</w:t>
      </w:r>
      <w:proofErr w:type="spellEnd"/>
      <w:r w:rsidRPr="008F33FD">
        <w:rPr>
          <w:color w:val="000000"/>
          <w:sz w:val="24"/>
          <w:lang w:val="en-GB"/>
        </w:rPr>
        <w:t xml:space="preserve">, G.A. (2023) </w:t>
      </w:r>
      <w:r w:rsidR="00A22DB1" w:rsidRPr="008F33FD">
        <w:rPr>
          <w:color w:val="000000"/>
          <w:sz w:val="24"/>
          <w:lang w:val="en-GB"/>
        </w:rPr>
        <w:t>‘</w:t>
      </w:r>
      <w:r w:rsidRPr="008F33FD">
        <w:rPr>
          <w:color w:val="000000"/>
          <w:sz w:val="24"/>
          <w:lang w:val="en-GB"/>
        </w:rPr>
        <w:t>The mediating role of green purchase intention between antecedents of Green Purchase Intention and consumer</w:t>
      </w:r>
      <w:r w:rsidR="00A22DB1" w:rsidRPr="008F33FD">
        <w:rPr>
          <w:color w:val="000000"/>
          <w:sz w:val="24"/>
          <w:lang w:val="en-GB"/>
        </w:rPr>
        <w:t>’</w:t>
      </w:r>
      <w:r w:rsidRPr="008F33FD">
        <w:rPr>
          <w:color w:val="000000"/>
          <w:sz w:val="24"/>
          <w:lang w:val="en-GB"/>
        </w:rPr>
        <w:t>s green buying behaviour: Empirical evidence in Ethiopia</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International Journal of Marketing Studies</w:t>
      </w:r>
      <w:r w:rsidRPr="008F33FD">
        <w:rPr>
          <w:color w:val="000000"/>
          <w:sz w:val="24"/>
          <w:lang w:val="en-GB"/>
        </w:rPr>
        <w:t>, 15(1), p. 31. Available at: https://</w:t>
      </w:r>
      <w:proofErr w:type="spellStart"/>
      <w:r w:rsidRPr="008F33FD">
        <w:rPr>
          <w:color w:val="000000"/>
          <w:sz w:val="24"/>
          <w:lang w:val="en-GB"/>
        </w:rPr>
        <w:t>doi.org</w:t>
      </w:r>
      <w:proofErr w:type="spellEnd"/>
      <w:r w:rsidRPr="008F33FD">
        <w:rPr>
          <w:color w:val="000000"/>
          <w:sz w:val="24"/>
          <w:lang w:val="en-GB"/>
        </w:rPr>
        <w:t>/10.5539/</w:t>
      </w:r>
      <w:proofErr w:type="spellStart"/>
      <w:r w:rsidRPr="008F33FD">
        <w:rPr>
          <w:color w:val="000000"/>
          <w:sz w:val="24"/>
          <w:lang w:val="en-GB"/>
        </w:rPr>
        <w:t>ijms.v15n1p31</w:t>
      </w:r>
      <w:proofErr w:type="spellEnd"/>
      <w:r w:rsidRPr="008F33FD">
        <w:rPr>
          <w:color w:val="000000"/>
          <w:sz w:val="24"/>
          <w:lang w:val="en-GB"/>
        </w:rPr>
        <w:t>.</w:t>
      </w:r>
    </w:p>
    <w:p w14:paraId="1BFB3E52" w14:textId="766E6525"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Irshaidat</w:t>
      </w:r>
      <w:proofErr w:type="spellEnd"/>
      <w:r w:rsidRPr="008F33FD">
        <w:rPr>
          <w:color w:val="000000"/>
          <w:sz w:val="24"/>
          <w:lang w:val="en-GB"/>
        </w:rPr>
        <w:t>, R. (</w:t>
      </w:r>
      <w:proofErr w:type="spellStart"/>
      <w:r w:rsidRPr="008F33FD">
        <w:rPr>
          <w:color w:val="000000"/>
          <w:sz w:val="24"/>
          <w:lang w:val="en-GB"/>
        </w:rPr>
        <w:t>2019a</w:t>
      </w:r>
      <w:proofErr w:type="spellEnd"/>
      <w:r w:rsidRPr="008F33FD">
        <w:rPr>
          <w:color w:val="000000"/>
          <w:sz w:val="24"/>
          <w:lang w:val="en-GB"/>
        </w:rPr>
        <w:t xml:space="preserve">) </w:t>
      </w:r>
      <w:r w:rsidR="00A22DB1" w:rsidRPr="008F33FD">
        <w:rPr>
          <w:color w:val="000000"/>
          <w:sz w:val="24"/>
          <w:lang w:val="en-GB"/>
        </w:rPr>
        <w:t>‘</w:t>
      </w:r>
      <w:r w:rsidRPr="008F33FD">
        <w:rPr>
          <w:color w:val="000000"/>
          <w:sz w:val="24"/>
          <w:lang w:val="en-GB"/>
        </w:rPr>
        <w:t>Interpretivism vs. Positivism in Political Marketing Research</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Political Marketing</w:t>
      </w:r>
      <w:r w:rsidRPr="008F33FD">
        <w:rPr>
          <w:color w:val="000000"/>
          <w:sz w:val="24"/>
          <w:lang w:val="en-GB"/>
        </w:rPr>
        <w:t>, 21(2), pp. 1</w:t>
      </w:r>
      <w:r w:rsidR="008F33FD">
        <w:rPr>
          <w:color w:val="000000"/>
          <w:sz w:val="24"/>
          <w:lang w:val="en-GB"/>
        </w:rPr>
        <w:t>-</w:t>
      </w:r>
      <w:r w:rsidRPr="008F33FD">
        <w:rPr>
          <w:color w:val="000000"/>
          <w:sz w:val="24"/>
          <w:lang w:val="en-GB"/>
        </w:rPr>
        <w:t>35.</w:t>
      </w:r>
    </w:p>
    <w:p w14:paraId="10928391" w14:textId="098E9A05"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lastRenderedPageBreak/>
        <w:t>Irshaidat</w:t>
      </w:r>
      <w:proofErr w:type="spellEnd"/>
      <w:r w:rsidRPr="008F33FD">
        <w:rPr>
          <w:color w:val="000000"/>
          <w:sz w:val="24"/>
          <w:lang w:val="en-GB"/>
        </w:rPr>
        <w:t>, R. (</w:t>
      </w:r>
      <w:proofErr w:type="spellStart"/>
      <w:r w:rsidRPr="008F33FD">
        <w:rPr>
          <w:color w:val="000000"/>
          <w:sz w:val="24"/>
          <w:lang w:val="en-GB"/>
        </w:rPr>
        <w:t>2019b</w:t>
      </w:r>
      <w:proofErr w:type="spellEnd"/>
      <w:r w:rsidRPr="008F33FD">
        <w:rPr>
          <w:color w:val="000000"/>
          <w:sz w:val="24"/>
          <w:lang w:val="en-GB"/>
        </w:rPr>
        <w:t xml:space="preserve">) </w:t>
      </w:r>
      <w:r w:rsidR="00A22DB1" w:rsidRPr="008F33FD">
        <w:rPr>
          <w:color w:val="000000"/>
          <w:sz w:val="24"/>
          <w:lang w:val="en-GB"/>
        </w:rPr>
        <w:t>‘</w:t>
      </w:r>
      <w:r w:rsidRPr="008F33FD">
        <w:rPr>
          <w:color w:val="000000"/>
          <w:sz w:val="24"/>
          <w:lang w:val="en-GB"/>
        </w:rPr>
        <w:t>Interpretivism vs. Positivism in Political Marketing Research</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Political Marketing</w:t>
      </w:r>
      <w:r w:rsidRPr="008F33FD">
        <w:rPr>
          <w:color w:val="000000"/>
          <w:sz w:val="24"/>
          <w:lang w:val="en-GB"/>
        </w:rPr>
        <w:t>, 21(2), pp. 1</w:t>
      </w:r>
      <w:r w:rsidR="008F33FD">
        <w:rPr>
          <w:color w:val="000000"/>
          <w:sz w:val="24"/>
          <w:lang w:val="en-GB"/>
        </w:rPr>
        <w:t>-</w:t>
      </w:r>
      <w:r w:rsidRPr="008F33FD">
        <w:rPr>
          <w:color w:val="000000"/>
          <w:sz w:val="24"/>
          <w:lang w:val="en-GB"/>
        </w:rPr>
        <w:t>35.</w:t>
      </w:r>
    </w:p>
    <w:p w14:paraId="5FCE18DB" w14:textId="277BE8A2"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Izah, S.C., Sylva, L. and Hait, M. (2023) </w:t>
      </w:r>
      <w:r w:rsidR="00A22DB1" w:rsidRPr="008F33FD">
        <w:rPr>
          <w:color w:val="000000"/>
          <w:sz w:val="24"/>
          <w:lang w:val="en-GB"/>
        </w:rPr>
        <w:t>‘</w:t>
      </w:r>
      <w:r w:rsidRPr="008F33FD">
        <w:rPr>
          <w:color w:val="000000"/>
          <w:sz w:val="24"/>
          <w:lang w:val="en-GB"/>
        </w:rPr>
        <w:t>Cronbach</w:t>
      </w:r>
      <w:r w:rsidR="00A22DB1" w:rsidRPr="008F33FD">
        <w:rPr>
          <w:color w:val="000000"/>
          <w:sz w:val="24"/>
          <w:lang w:val="en-GB"/>
        </w:rPr>
        <w:t>’</w:t>
      </w:r>
      <w:r w:rsidRPr="008F33FD">
        <w:rPr>
          <w:color w:val="000000"/>
          <w:sz w:val="24"/>
          <w:lang w:val="en-GB"/>
        </w:rPr>
        <w:t>s Alpha: A Cornerstone in Ensuring Reliability and Validity in Environmental Health Assessment</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 xml:space="preserve">ES Energy </w:t>
      </w:r>
      <w:r w:rsidR="00944B3B" w:rsidRPr="008F33FD">
        <w:rPr>
          <w:i/>
          <w:iCs/>
          <w:color w:val="000000"/>
          <w:sz w:val="24"/>
          <w:lang w:val="en-GB"/>
        </w:rPr>
        <w:t>and</w:t>
      </w:r>
      <w:r w:rsidRPr="008F33FD">
        <w:rPr>
          <w:i/>
          <w:iCs/>
          <w:color w:val="000000"/>
          <w:sz w:val="24"/>
          <w:lang w:val="en-GB"/>
        </w:rPr>
        <w:t xml:space="preserve"> Environment</w:t>
      </w:r>
      <w:r w:rsidRPr="008F33FD">
        <w:rPr>
          <w:color w:val="000000"/>
          <w:sz w:val="24"/>
          <w:lang w:val="en-GB"/>
        </w:rPr>
        <w:t>, 23(1057). Available at: https://</w:t>
      </w:r>
      <w:proofErr w:type="spellStart"/>
      <w:r w:rsidRPr="008F33FD">
        <w:rPr>
          <w:color w:val="000000"/>
          <w:sz w:val="24"/>
          <w:lang w:val="en-GB"/>
        </w:rPr>
        <w:t>doi.org</w:t>
      </w:r>
      <w:proofErr w:type="spellEnd"/>
      <w:r w:rsidRPr="008F33FD">
        <w:rPr>
          <w:color w:val="000000"/>
          <w:sz w:val="24"/>
          <w:lang w:val="en-GB"/>
        </w:rPr>
        <w:t>/10.30919/</w:t>
      </w:r>
      <w:proofErr w:type="spellStart"/>
      <w:r w:rsidRPr="008F33FD">
        <w:rPr>
          <w:color w:val="000000"/>
          <w:sz w:val="24"/>
          <w:lang w:val="en-GB"/>
        </w:rPr>
        <w:t>esee1057</w:t>
      </w:r>
      <w:proofErr w:type="spellEnd"/>
      <w:r w:rsidRPr="008F33FD">
        <w:rPr>
          <w:color w:val="000000"/>
          <w:sz w:val="24"/>
          <w:lang w:val="en-GB"/>
        </w:rPr>
        <w:t>.</w:t>
      </w:r>
    </w:p>
    <w:p w14:paraId="009C78D5" w14:textId="649F4B6F"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Janik, A. and </w:t>
      </w:r>
      <w:proofErr w:type="spellStart"/>
      <w:r w:rsidRPr="008F33FD">
        <w:rPr>
          <w:color w:val="000000"/>
          <w:sz w:val="24"/>
          <w:lang w:val="en-GB"/>
        </w:rPr>
        <w:t>Ryszko</w:t>
      </w:r>
      <w:proofErr w:type="spellEnd"/>
      <w:r w:rsidRPr="008F33FD">
        <w:rPr>
          <w:color w:val="000000"/>
          <w:sz w:val="24"/>
          <w:lang w:val="en-GB"/>
        </w:rPr>
        <w:t xml:space="preserve">, A. (2025) </w:t>
      </w:r>
      <w:r w:rsidR="00A22DB1" w:rsidRPr="008F33FD">
        <w:rPr>
          <w:color w:val="000000"/>
          <w:sz w:val="24"/>
          <w:lang w:val="en-GB"/>
        </w:rPr>
        <w:t>‘</w:t>
      </w:r>
      <w:r w:rsidRPr="008F33FD">
        <w:rPr>
          <w:color w:val="000000"/>
          <w:sz w:val="24"/>
          <w:lang w:val="en-GB"/>
        </w:rPr>
        <w:t>Greenwashing in sustainability reporting: A systematic literature review of strategic typologies and content-analysis-based measurement approaches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Sustainability</w:t>
      </w:r>
      <w:r w:rsidRPr="008F33FD">
        <w:rPr>
          <w:color w:val="000000"/>
          <w:sz w:val="24"/>
          <w:lang w:val="en-GB"/>
        </w:rPr>
        <w:t>, 18(1), p. 17. Available at: https://</w:t>
      </w:r>
      <w:proofErr w:type="spellStart"/>
      <w:r w:rsidRPr="008F33FD">
        <w:rPr>
          <w:color w:val="000000"/>
          <w:sz w:val="24"/>
          <w:lang w:val="en-GB"/>
        </w:rPr>
        <w:t>doi.org</w:t>
      </w:r>
      <w:proofErr w:type="spellEnd"/>
      <w:r w:rsidRPr="008F33FD">
        <w:rPr>
          <w:color w:val="000000"/>
          <w:sz w:val="24"/>
          <w:lang w:val="en-GB"/>
        </w:rPr>
        <w:t>/10.3390/</w:t>
      </w:r>
      <w:proofErr w:type="spellStart"/>
      <w:r w:rsidRPr="008F33FD">
        <w:rPr>
          <w:color w:val="000000"/>
          <w:sz w:val="24"/>
          <w:lang w:val="en-GB"/>
        </w:rPr>
        <w:t>su18010017</w:t>
      </w:r>
      <w:proofErr w:type="spellEnd"/>
      <w:r w:rsidRPr="008F33FD">
        <w:rPr>
          <w:color w:val="000000"/>
          <w:sz w:val="24"/>
          <w:lang w:val="en-GB"/>
        </w:rPr>
        <w:t>.</w:t>
      </w:r>
    </w:p>
    <w:p w14:paraId="0DD42CBE" w14:textId="5F9EBB91"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Kamalanon</w:t>
      </w:r>
      <w:proofErr w:type="spellEnd"/>
      <w:r w:rsidRPr="008F33FD">
        <w:rPr>
          <w:color w:val="000000"/>
          <w:sz w:val="24"/>
          <w:lang w:val="en-GB"/>
        </w:rPr>
        <w:t xml:space="preserve">, P., Chen, J.-S. and Le, T.-T.-Y. (2022) </w:t>
      </w:r>
      <w:r w:rsidR="00A22DB1" w:rsidRPr="008F33FD">
        <w:rPr>
          <w:color w:val="000000"/>
          <w:sz w:val="24"/>
          <w:lang w:val="en-GB"/>
        </w:rPr>
        <w:t>‘“</w:t>
      </w:r>
      <w:r w:rsidRPr="008F33FD">
        <w:rPr>
          <w:color w:val="000000"/>
          <w:sz w:val="24"/>
          <w:lang w:val="en-GB"/>
        </w:rPr>
        <w:t>Why do we buy green products?</w:t>
      </w:r>
      <w:r w:rsidR="00A22DB1" w:rsidRPr="008F33FD">
        <w:rPr>
          <w:color w:val="000000"/>
          <w:sz w:val="24"/>
          <w:lang w:val="en-GB"/>
        </w:rPr>
        <w:t>”</w:t>
      </w:r>
      <w:r w:rsidRPr="008F33FD">
        <w:rPr>
          <w:color w:val="000000"/>
          <w:sz w:val="24"/>
          <w:lang w:val="en-GB"/>
        </w:rPr>
        <w:t xml:space="preserve"> An extended theory of the planned </w:t>
      </w:r>
      <w:proofErr w:type="spellStart"/>
      <w:r w:rsidRPr="008F33FD">
        <w:rPr>
          <w:color w:val="000000"/>
          <w:sz w:val="24"/>
          <w:lang w:val="en-GB"/>
        </w:rPr>
        <w:t>behavior</w:t>
      </w:r>
      <w:proofErr w:type="spellEnd"/>
      <w:r w:rsidRPr="008F33FD">
        <w:rPr>
          <w:color w:val="000000"/>
          <w:sz w:val="24"/>
          <w:lang w:val="en-GB"/>
        </w:rPr>
        <w:t xml:space="preserve"> model for green product purchase </w:t>
      </w:r>
      <w:proofErr w:type="spellStart"/>
      <w:r w:rsidRPr="008F33FD">
        <w:rPr>
          <w:color w:val="000000"/>
          <w:sz w:val="24"/>
          <w:lang w:val="en-GB"/>
        </w:rPr>
        <w:t>behavior</w:t>
      </w:r>
      <w:proofErr w:type="spellEnd"/>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Sustainability</w:t>
      </w:r>
      <w:r w:rsidRPr="008F33FD">
        <w:rPr>
          <w:color w:val="000000"/>
          <w:sz w:val="24"/>
          <w:lang w:val="en-GB"/>
        </w:rPr>
        <w:t>, 14(2), p. 689. Available at: https://</w:t>
      </w:r>
      <w:proofErr w:type="spellStart"/>
      <w:r w:rsidRPr="008F33FD">
        <w:rPr>
          <w:color w:val="000000"/>
          <w:sz w:val="24"/>
          <w:lang w:val="en-GB"/>
        </w:rPr>
        <w:t>doi.org</w:t>
      </w:r>
      <w:proofErr w:type="spellEnd"/>
      <w:r w:rsidRPr="008F33FD">
        <w:rPr>
          <w:color w:val="000000"/>
          <w:sz w:val="24"/>
          <w:lang w:val="en-GB"/>
        </w:rPr>
        <w:t>/10.3390/</w:t>
      </w:r>
      <w:proofErr w:type="spellStart"/>
      <w:r w:rsidRPr="008F33FD">
        <w:rPr>
          <w:color w:val="000000"/>
          <w:sz w:val="24"/>
          <w:lang w:val="en-GB"/>
        </w:rPr>
        <w:t>su14020689</w:t>
      </w:r>
      <w:proofErr w:type="spellEnd"/>
      <w:r w:rsidRPr="008F33FD">
        <w:rPr>
          <w:color w:val="000000"/>
          <w:sz w:val="24"/>
          <w:lang w:val="en-GB"/>
        </w:rPr>
        <w:t>.</w:t>
      </w:r>
    </w:p>
    <w:p w14:paraId="1FC532B1" w14:textId="1D4E1911"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Kasasbeh</w:t>
      </w:r>
      <w:proofErr w:type="spellEnd"/>
      <w:r w:rsidRPr="008F33FD">
        <w:rPr>
          <w:color w:val="000000"/>
          <w:sz w:val="24"/>
          <w:lang w:val="en-GB"/>
        </w:rPr>
        <w:t xml:space="preserve">, </w:t>
      </w:r>
      <w:proofErr w:type="spellStart"/>
      <w:r w:rsidRPr="008F33FD">
        <w:rPr>
          <w:color w:val="000000"/>
          <w:sz w:val="24"/>
          <w:lang w:val="en-GB"/>
        </w:rPr>
        <w:t>Dr.E.A</w:t>
      </w:r>
      <w:proofErr w:type="spellEnd"/>
      <w:r w:rsidRPr="008F33FD">
        <w:rPr>
          <w:color w:val="000000"/>
          <w:sz w:val="24"/>
          <w:lang w:val="en-GB"/>
        </w:rPr>
        <w:t xml:space="preserve">. (2024) </w:t>
      </w:r>
      <w:r w:rsidR="00A22DB1" w:rsidRPr="008F33FD">
        <w:rPr>
          <w:color w:val="000000"/>
          <w:sz w:val="24"/>
          <w:lang w:val="en-GB"/>
        </w:rPr>
        <w:t>‘</w:t>
      </w:r>
      <w:r w:rsidRPr="008F33FD">
        <w:rPr>
          <w:color w:val="000000"/>
          <w:sz w:val="24"/>
          <w:lang w:val="en-GB"/>
        </w:rPr>
        <w:t xml:space="preserve">Marketing deception as a hidden factor influencing consumer </w:t>
      </w:r>
      <w:proofErr w:type="spellStart"/>
      <w:r w:rsidRPr="008F33FD">
        <w:rPr>
          <w:color w:val="000000"/>
          <w:sz w:val="24"/>
          <w:lang w:val="en-GB"/>
        </w:rPr>
        <w:t>behavior</w:t>
      </w:r>
      <w:proofErr w:type="spellEnd"/>
      <w:r w:rsidRPr="008F33FD">
        <w:rPr>
          <w:color w:val="000000"/>
          <w:sz w:val="24"/>
          <w:lang w:val="en-GB"/>
        </w:rPr>
        <w:t>: An analytical study of consumer attitudes toward consumer products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International Journal of Advanced Multidisciplinary Research and Studies</w:t>
      </w:r>
      <w:r w:rsidRPr="008F33FD">
        <w:rPr>
          <w:color w:val="000000"/>
          <w:sz w:val="24"/>
          <w:lang w:val="en-GB"/>
        </w:rPr>
        <w:t>, 4(1), pp. 1660</w:t>
      </w:r>
      <w:r w:rsidR="008F33FD">
        <w:rPr>
          <w:color w:val="000000"/>
          <w:sz w:val="24"/>
          <w:lang w:val="en-GB"/>
        </w:rPr>
        <w:t>-</w:t>
      </w:r>
      <w:r w:rsidRPr="008F33FD">
        <w:rPr>
          <w:color w:val="000000"/>
          <w:sz w:val="24"/>
          <w:lang w:val="en-GB"/>
        </w:rPr>
        <w:t>1665. Available at: https://</w:t>
      </w:r>
      <w:proofErr w:type="spellStart"/>
      <w:r w:rsidRPr="008F33FD">
        <w:rPr>
          <w:color w:val="000000"/>
          <w:sz w:val="24"/>
          <w:lang w:val="en-GB"/>
        </w:rPr>
        <w:t>doi.org</w:t>
      </w:r>
      <w:proofErr w:type="spellEnd"/>
      <w:r w:rsidRPr="008F33FD">
        <w:rPr>
          <w:color w:val="000000"/>
          <w:sz w:val="24"/>
          <w:lang w:val="en-GB"/>
        </w:rPr>
        <w:t>/10.62225/</w:t>
      </w:r>
      <w:proofErr w:type="spellStart"/>
      <w:r w:rsidRPr="008F33FD">
        <w:rPr>
          <w:color w:val="000000"/>
          <w:sz w:val="24"/>
          <w:lang w:val="en-GB"/>
        </w:rPr>
        <w:t>2583049x.2024.4.1.5752</w:t>
      </w:r>
      <w:proofErr w:type="spellEnd"/>
      <w:r w:rsidRPr="008F33FD">
        <w:rPr>
          <w:color w:val="000000"/>
          <w:sz w:val="24"/>
          <w:lang w:val="en-GB"/>
        </w:rPr>
        <w:t>.</w:t>
      </w:r>
    </w:p>
    <w:p w14:paraId="6B368215" w14:textId="558AC350"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Kaur, B., </w:t>
      </w:r>
      <w:proofErr w:type="spellStart"/>
      <w:r w:rsidRPr="008F33FD">
        <w:rPr>
          <w:color w:val="000000"/>
          <w:sz w:val="24"/>
          <w:lang w:val="en-GB"/>
        </w:rPr>
        <w:t>Gangwar</w:t>
      </w:r>
      <w:proofErr w:type="spellEnd"/>
      <w:r w:rsidRPr="008F33FD">
        <w:rPr>
          <w:color w:val="000000"/>
          <w:sz w:val="24"/>
          <w:lang w:val="en-GB"/>
        </w:rPr>
        <w:t xml:space="preserve">, V.P., Dash, G., Khan, N. and </w:t>
      </w:r>
      <w:proofErr w:type="spellStart"/>
      <w:r w:rsidRPr="008F33FD">
        <w:rPr>
          <w:color w:val="000000"/>
          <w:sz w:val="24"/>
          <w:lang w:val="en-GB"/>
        </w:rPr>
        <w:t>Alkhoraif</w:t>
      </w:r>
      <w:proofErr w:type="spellEnd"/>
      <w:r w:rsidRPr="008F33FD">
        <w:rPr>
          <w:color w:val="000000"/>
          <w:sz w:val="24"/>
          <w:lang w:val="en-GB"/>
        </w:rPr>
        <w:t xml:space="preserve">, A.A. (2023) </w:t>
      </w:r>
      <w:r w:rsidR="00A22DB1" w:rsidRPr="008F33FD">
        <w:rPr>
          <w:color w:val="000000"/>
          <w:sz w:val="24"/>
          <w:lang w:val="en-GB"/>
        </w:rPr>
        <w:t>‘“</w:t>
      </w:r>
      <w:r w:rsidRPr="008F33FD">
        <w:rPr>
          <w:color w:val="000000"/>
          <w:sz w:val="24"/>
          <w:lang w:val="en-GB"/>
        </w:rPr>
        <w:t>Our planet, our health</w:t>
      </w:r>
      <w:r w:rsidR="00A22DB1" w:rsidRPr="008F33FD">
        <w:rPr>
          <w:color w:val="000000"/>
          <w:sz w:val="24"/>
          <w:lang w:val="en-GB"/>
        </w:rPr>
        <w:t>”</w:t>
      </w:r>
      <w:r w:rsidRPr="008F33FD">
        <w:rPr>
          <w:color w:val="000000"/>
          <w:sz w:val="24"/>
          <w:lang w:val="en-GB"/>
        </w:rPr>
        <w:t xml:space="preserve"> - impact of health consciousness and environmental concern on green purchase </w:t>
      </w:r>
      <w:proofErr w:type="spellStart"/>
      <w:r w:rsidRPr="008F33FD">
        <w:rPr>
          <w:color w:val="000000"/>
          <w:sz w:val="24"/>
          <w:lang w:val="en-GB"/>
        </w:rPr>
        <w:t>behavior</w:t>
      </w:r>
      <w:proofErr w:type="spellEnd"/>
      <w:r w:rsidRPr="008F33FD">
        <w:rPr>
          <w:color w:val="000000"/>
          <w:sz w:val="24"/>
          <w:lang w:val="en-GB"/>
        </w:rPr>
        <w:t>: Role of reference groups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Polish Journal of Environmental Studies</w:t>
      </w:r>
      <w:r w:rsidRPr="008F33FD">
        <w:rPr>
          <w:color w:val="000000"/>
          <w:sz w:val="24"/>
          <w:lang w:val="en-GB"/>
        </w:rPr>
        <w:t>. Available at: https://</w:t>
      </w:r>
      <w:proofErr w:type="spellStart"/>
      <w:r w:rsidRPr="008F33FD">
        <w:rPr>
          <w:color w:val="000000"/>
          <w:sz w:val="24"/>
          <w:lang w:val="en-GB"/>
        </w:rPr>
        <w:t>doi.org</w:t>
      </w:r>
      <w:proofErr w:type="spellEnd"/>
      <w:r w:rsidRPr="008F33FD">
        <w:rPr>
          <w:color w:val="000000"/>
          <w:sz w:val="24"/>
          <w:lang w:val="en-GB"/>
        </w:rPr>
        <w:t>/10.15244/</w:t>
      </w:r>
      <w:proofErr w:type="spellStart"/>
      <w:r w:rsidRPr="008F33FD">
        <w:rPr>
          <w:color w:val="000000"/>
          <w:sz w:val="24"/>
          <w:lang w:val="en-GB"/>
        </w:rPr>
        <w:t>pjoes</w:t>
      </w:r>
      <w:proofErr w:type="spellEnd"/>
      <w:r w:rsidRPr="008F33FD">
        <w:rPr>
          <w:color w:val="000000"/>
          <w:sz w:val="24"/>
          <w:lang w:val="en-GB"/>
        </w:rPr>
        <w:t>/172037.</w:t>
      </w:r>
    </w:p>
    <w:p w14:paraId="252956A8" w14:textId="158E0D0B"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Khan, N., </w:t>
      </w:r>
      <w:proofErr w:type="spellStart"/>
      <w:r w:rsidRPr="008F33FD">
        <w:rPr>
          <w:color w:val="000000"/>
          <w:sz w:val="24"/>
          <w:lang w:val="en-GB"/>
        </w:rPr>
        <w:t>Acuti</w:t>
      </w:r>
      <w:proofErr w:type="spellEnd"/>
      <w:r w:rsidRPr="008F33FD">
        <w:rPr>
          <w:color w:val="000000"/>
          <w:sz w:val="24"/>
          <w:lang w:val="en-GB"/>
        </w:rPr>
        <w:t xml:space="preserve">, D., Lemarie, L. and Giampaolo </w:t>
      </w:r>
      <w:proofErr w:type="spellStart"/>
      <w:r w:rsidRPr="008F33FD">
        <w:rPr>
          <w:color w:val="000000"/>
          <w:sz w:val="24"/>
          <w:lang w:val="en-GB"/>
        </w:rPr>
        <w:t>Viglia</w:t>
      </w:r>
      <w:proofErr w:type="spellEnd"/>
      <w:r w:rsidRPr="008F33FD">
        <w:rPr>
          <w:color w:val="000000"/>
          <w:sz w:val="24"/>
          <w:lang w:val="en-GB"/>
        </w:rPr>
        <w:t xml:space="preserve"> (2024) </w:t>
      </w:r>
      <w:r w:rsidR="00A22DB1" w:rsidRPr="008F33FD">
        <w:rPr>
          <w:color w:val="000000"/>
          <w:sz w:val="24"/>
          <w:lang w:val="en-GB"/>
        </w:rPr>
        <w:t>‘</w:t>
      </w:r>
      <w:r w:rsidRPr="008F33FD">
        <w:rPr>
          <w:color w:val="000000"/>
          <w:sz w:val="24"/>
          <w:lang w:val="en-GB"/>
        </w:rPr>
        <w:t>The intention-behaviour gap in sustainable hospitality: A critical literature review</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International Journal of Contemporary Hospitality Management</w:t>
      </w:r>
      <w:r w:rsidRPr="008F33FD">
        <w:rPr>
          <w:color w:val="000000"/>
          <w:sz w:val="24"/>
          <w:lang w:val="en-GB"/>
        </w:rPr>
        <w:t>, 36(5). Available at: https://</w:t>
      </w:r>
      <w:proofErr w:type="spellStart"/>
      <w:r w:rsidRPr="008F33FD">
        <w:rPr>
          <w:color w:val="000000"/>
          <w:sz w:val="24"/>
          <w:lang w:val="en-GB"/>
        </w:rPr>
        <w:t>doi.org</w:t>
      </w:r>
      <w:proofErr w:type="spellEnd"/>
      <w:r w:rsidRPr="008F33FD">
        <w:rPr>
          <w:color w:val="000000"/>
          <w:sz w:val="24"/>
          <w:lang w:val="en-GB"/>
        </w:rPr>
        <w:t>/10.1108/</w:t>
      </w:r>
      <w:proofErr w:type="spellStart"/>
      <w:r w:rsidRPr="008F33FD">
        <w:rPr>
          <w:color w:val="000000"/>
          <w:sz w:val="24"/>
          <w:lang w:val="en-GB"/>
        </w:rPr>
        <w:t>ijchm</w:t>
      </w:r>
      <w:proofErr w:type="spellEnd"/>
      <w:r w:rsidRPr="008F33FD">
        <w:rPr>
          <w:color w:val="000000"/>
          <w:sz w:val="24"/>
          <w:lang w:val="en-GB"/>
        </w:rPr>
        <w:t>-06-2023-0840.</w:t>
      </w:r>
    </w:p>
    <w:p w14:paraId="3DEE2002" w14:textId="151B0399"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Khandai</w:t>
      </w:r>
      <w:proofErr w:type="spellEnd"/>
      <w:r w:rsidRPr="008F33FD">
        <w:rPr>
          <w:color w:val="000000"/>
          <w:sz w:val="24"/>
          <w:lang w:val="en-GB"/>
        </w:rPr>
        <w:t xml:space="preserve">, S., </w:t>
      </w:r>
      <w:proofErr w:type="spellStart"/>
      <w:r w:rsidRPr="008F33FD">
        <w:rPr>
          <w:color w:val="000000"/>
          <w:sz w:val="24"/>
          <w:lang w:val="en-GB"/>
        </w:rPr>
        <w:t>Zupic</w:t>
      </w:r>
      <w:proofErr w:type="spellEnd"/>
      <w:r w:rsidRPr="008F33FD">
        <w:rPr>
          <w:color w:val="000000"/>
          <w:sz w:val="24"/>
          <w:lang w:val="en-GB"/>
        </w:rPr>
        <w:t xml:space="preserve">, I., Kohli, H.S., Kataria, S., Yadav, R. and Mathew, J. (2025) </w:t>
      </w:r>
      <w:r w:rsidR="00A22DB1" w:rsidRPr="008F33FD">
        <w:rPr>
          <w:color w:val="000000"/>
          <w:sz w:val="24"/>
          <w:lang w:val="en-GB"/>
        </w:rPr>
        <w:t>‘</w:t>
      </w:r>
      <w:r w:rsidRPr="008F33FD">
        <w:rPr>
          <w:color w:val="000000"/>
          <w:sz w:val="24"/>
          <w:lang w:val="en-GB"/>
        </w:rPr>
        <w:t xml:space="preserve">Greenwashing and its consequences: the role of </w:t>
      </w:r>
      <w:proofErr w:type="spellStart"/>
      <w:r w:rsidRPr="008F33FD">
        <w:rPr>
          <w:color w:val="000000"/>
          <w:sz w:val="24"/>
          <w:lang w:val="en-GB"/>
        </w:rPr>
        <w:t>skepticism</w:t>
      </w:r>
      <w:proofErr w:type="spellEnd"/>
      <w:r w:rsidRPr="008F33FD">
        <w:rPr>
          <w:color w:val="000000"/>
          <w:sz w:val="24"/>
          <w:lang w:val="en-GB"/>
        </w:rPr>
        <w:t>, brand embarrassment, and brand hate in shaping purchase intentions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 xml:space="preserve">Quality </w:t>
      </w:r>
      <w:r w:rsidR="00944B3B" w:rsidRPr="008F33FD">
        <w:rPr>
          <w:i/>
          <w:iCs/>
          <w:color w:val="000000"/>
          <w:sz w:val="24"/>
          <w:lang w:val="en-GB"/>
        </w:rPr>
        <w:t>and</w:t>
      </w:r>
      <w:r w:rsidRPr="008F33FD">
        <w:rPr>
          <w:i/>
          <w:iCs/>
          <w:color w:val="000000"/>
          <w:sz w:val="24"/>
          <w:lang w:val="en-GB"/>
        </w:rPr>
        <w:t xml:space="preserve"> Quantity</w:t>
      </w:r>
      <w:r w:rsidRPr="008F33FD">
        <w:rPr>
          <w:color w:val="000000"/>
          <w:sz w:val="24"/>
          <w:lang w:val="en-GB"/>
        </w:rPr>
        <w:t>. Available at: https://</w:t>
      </w:r>
      <w:proofErr w:type="spellStart"/>
      <w:r w:rsidRPr="008F33FD">
        <w:rPr>
          <w:color w:val="000000"/>
          <w:sz w:val="24"/>
          <w:lang w:val="en-GB"/>
        </w:rPr>
        <w:t>doi.org</w:t>
      </w:r>
      <w:proofErr w:type="spellEnd"/>
      <w:r w:rsidRPr="008F33FD">
        <w:rPr>
          <w:color w:val="000000"/>
          <w:sz w:val="24"/>
          <w:lang w:val="en-GB"/>
        </w:rPr>
        <w:t>/10.1007/</w:t>
      </w:r>
      <w:proofErr w:type="spellStart"/>
      <w:r w:rsidRPr="008F33FD">
        <w:rPr>
          <w:color w:val="000000"/>
          <w:sz w:val="24"/>
          <w:lang w:val="en-GB"/>
        </w:rPr>
        <w:t>s11135</w:t>
      </w:r>
      <w:proofErr w:type="spellEnd"/>
      <w:r w:rsidRPr="008F33FD">
        <w:rPr>
          <w:color w:val="000000"/>
          <w:sz w:val="24"/>
          <w:lang w:val="en-GB"/>
        </w:rPr>
        <w:t>-025-02132-8.</w:t>
      </w:r>
    </w:p>
    <w:p w14:paraId="734EB04F" w14:textId="28CBD407"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Khattri</w:t>
      </w:r>
      <w:proofErr w:type="spellEnd"/>
      <w:r w:rsidRPr="008F33FD">
        <w:rPr>
          <w:color w:val="000000"/>
          <w:sz w:val="24"/>
          <w:lang w:val="en-GB"/>
        </w:rPr>
        <w:t xml:space="preserve">, V. and Tomar, </w:t>
      </w:r>
      <w:proofErr w:type="spellStart"/>
      <w:r w:rsidRPr="008F33FD">
        <w:rPr>
          <w:color w:val="000000"/>
          <w:sz w:val="24"/>
          <w:lang w:val="en-GB"/>
        </w:rPr>
        <w:t>V.S</w:t>
      </w:r>
      <w:proofErr w:type="spellEnd"/>
      <w:r w:rsidRPr="008F33FD">
        <w:rPr>
          <w:color w:val="000000"/>
          <w:sz w:val="24"/>
          <w:lang w:val="en-GB"/>
        </w:rPr>
        <w:t xml:space="preserve">. (2024) </w:t>
      </w:r>
      <w:r w:rsidR="00A22DB1" w:rsidRPr="008F33FD">
        <w:rPr>
          <w:color w:val="000000"/>
          <w:sz w:val="24"/>
          <w:lang w:val="en-GB"/>
        </w:rPr>
        <w:t>‘</w:t>
      </w:r>
      <w:r w:rsidRPr="008F33FD">
        <w:rPr>
          <w:color w:val="000000"/>
          <w:sz w:val="24"/>
          <w:lang w:val="en-GB"/>
        </w:rPr>
        <w:t>Does greenwashing build green brand associations? Evidence from the Indian packaged food market</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Indian Journal of Marketing</w:t>
      </w:r>
      <w:r w:rsidRPr="008F33FD">
        <w:rPr>
          <w:color w:val="000000"/>
          <w:sz w:val="24"/>
          <w:lang w:val="en-GB"/>
        </w:rPr>
        <w:t>, 54(2), p. 27. Available at: https://</w:t>
      </w:r>
      <w:proofErr w:type="spellStart"/>
      <w:r w:rsidRPr="008F33FD">
        <w:rPr>
          <w:color w:val="000000"/>
          <w:sz w:val="24"/>
          <w:lang w:val="en-GB"/>
        </w:rPr>
        <w:t>doi.org</w:t>
      </w:r>
      <w:proofErr w:type="spellEnd"/>
      <w:r w:rsidRPr="008F33FD">
        <w:rPr>
          <w:color w:val="000000"/>
          <w:sz w:val="24"/>
          <w:lang w:val="en-GB"/>
        </w:rPr>
        <w:t>/10.17010/</w:t>
      </w:r>
      <w:proofErr w:type="spellStart"/>
      <w:r w:rsidRPr="008F33FD">
        <w:rPr>
          <w:color w:val="000000"/>
          <w:sz w:val="24"/>
          <w:lang w:val="en-GB"/>
        </w:rPr>
        <w:t>ijom</w:t>
      </w:r>
      <w:proofErr w:type="spellEnd"/>
      <w:r w:rsidRPr="008F33FD">
        <w:rPr>
          <w:color w:val="000000"/>
          <w:sz w:val="24"/>
          <w:lang w:val="en-GB"/>
        </w:rPr>
        <w:t>/2024/</w:t>
      </w:r>
      <w:proofErr w:type="spellStart"/>
      <w:r w:rsidRPr="008F33FD">
        <w:rPr>
          <w:color w:val="000000"/>
          <w:sz w:val="24"/>
          <w:lang w:val="en-GB"/>
        </w:rPr>
        <w:t>v54</w:t>
      </w:r>
      <w:proofErr w:type="spellEnd"/>
      <w:r w:rsidRPr="008F33FD">
        <w:rPr>
          <w:color w:val="000000"/>
          <w:sz w:val="24"/>
          <w:lang w:val="en-GB"/>
        </w:rPr>
        <w:t>/</w:t>
      </w:r>
      <w:proofErr w:type="spellStart"/>
      <w:r w:rsidRPr="008F33FD">
        <w:rPr>
          <w:color w:val="000000"/>
          <w:sz w:val="24"/>
          <w:lang w:val="en-GB"/>
        </w:rPr>
        <w:t>i2</w:t>
      </w:r>
      <w:proofErr w:type="spellEnd"/>
      <w:r w:rsidRPr="008F33FD">
        <w:rPr>
          <w:color w:val="000000"/>
          <w:sz w:val="24"/>
          <w:lang w:val="en-GB"/>
        </w:rPr>
        <w:t>/172049.</w:t>
      </w:r>
    </w:p>
    <w:p w14:paraId="2CCEC0C2" w14:textId="068268D1"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lastRenderedPageBreak/>
        <w:t xml:space="preserve">Kim, E. (2025) </w:t>
      </w:r>
      <w:r w:rsidR="00A22DB1" w:rsidRPr="008F33FD">
        <w:rPr>
          <w:color w:val="000000"/>
          <w:sz w:val="24"/>
          <w:lang w:val="en-GB"/>
        </w:rPr>
        <w:t>‘</w:t>
      </w:r>
      <w:r w:rsidRPr="008F33FD">
        <w:rPr>
          <w:color w:val="000000"/>
          <w:sz w:val="24"/>
          <w:lang w:val="en-GB"/>
        </w:rPr>
        <w:t>The green paradox: When sustainable marketing undermines sustainability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International Journal of Innovative Science and Research Technology</w:t>
      </w:r>
      <w:r w:rsidRPr="008F33FD">
        <w:rPr>
          <w:color w:val="000000"/>
          <w:sz w:val="24"/>
          <w:lang w:val="en-GB"/>
        </w:rPr>
        <w:t>, pp. 3100</w:t>
      </w:r>
      <w:r w:rsidR="008F33FD">
        <w:rPr>
          <w:color w:val="000000"/>
          <w:sz w:val="24"/>
          <w:lang w:val="en-GB"/>
        </w:rPr>
        <w:t>-</w:t>
      </w:r>
      <w:r w:rsidRPr="008F33FD">
        <w:rPr>
          <w:color w:val="000000"/>
          <w:sz w:val="24"/>
          <w:lang w:val="en-GB"/>
        </w:rPr>
        <w:t>3106. Available at: https://</w:t>
      </w:r>
      <w:proofErr w:type="spellStart"/>
      <w:r w:rsidRPr="008F33FD">
        <w:rPr>
          <w:color w:val="000000"/>
          <w:sz w:val="24"/>
          <w:lang w:val="en-GB"/>
        </w:rPr>
        <w:t>doi.org</w:t>
      </w:r>
      <w:proofErr w:type="spellEnd"/>
      <w:r w:rsidRPr="008F33FD">
        <w:rPr>
          <w:color w:val="000000"/>
          <w:sz w:val="24"/>
          <w:lang w:val="en-GB"/>
        </w:rPr>
        <w:t>/10.38124/</w:t>
      </w:r>
      <w:proofErr w:type="spellStart"/>
      <w:r w:rsidRPr="008F33FD">
        <w:rPr>
          <w:color w:val="000000"/>
          <w:sz w:val="24"/>
          <w:lang w:val="en-GB"/>
        </w:rPr>
        <w:t>ijisrt</w:t>
      </w:r>
      <w:proofErr w:type="spellEnd"/>
      <w:r w:rsidRPr="008F33FD">
        <w:rPr>
          <w:color w:val="000000"/>
          <w:sz w:val="24"/>
          <w:lang w:val="en-GB"/>
        </w:rPr>
        <w:t>/</w:t>
      </w:r>
      <w:proofErr w:type="spellStart"/>
      <w:r w:rsidRPr="008F33FD">
        <w:rPr>
          <w:color w:val="000000"/>
          <w:sz w:val="24"/>
          <w:lang w:val="en-GB"/>
        </w:rPr>
        <w:t>25jul1501</w:t>
      </w:r>
      <w:proofErr w:type="spellEnd"/>
      <w:r w:rsidRPr="008F33FD">
        <w:rPr>
          <w:color w:val="000000"/>
          <w:sz w:val="24"/>
          <w:lang w:val="en-GB"/>
        </w:rPr>
        <w:t>.</w:t>
      </w:r>
    </w:p>
    <w:p w14:paraId="12C5A846" w14:textId="38D5F08F"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Kock, F., </w:t>
      </w:r>
      <w:proofErr w:type="spellStart"/>
      <w:r w:rsidRPr="008F33FD">
        <w:rPr>
          <w:color w:val="000000"/>
          <w:sz w:val="24"/>
          <w:lang w:val="en-GB"/>
        </w:rPr>
        <w:t>Berbekova</w:t>
      </w:r>
      <w:proofErr w:type="spellEnd"/>
      <w:r w:rsidRPr="008F33FD">
        <w:rPr>
          <w:color w:val="000000"/>
          <w:sz w:val="24"/>
          <w:lang w:val="en-GB"/>
        </w:rPr>
        <w:t xml:space="preserve">, A. and Assaf, A.G. (2021) </w:t>
      </w:r>
      <w:r w:rsidR="00A22DB1" w:rsidRPr="008F33FD">
        <w:rPr>
          <w:color w:val="000000"/>
          <w:sz w:val="24"/>
          <w:lang w:val="en-GB"/>
        </w:rPr>
        <w:t>‘</w:t>
      </w:r>
      <w:r w:rsidRPr="008F33FD">
        <w:rPr>
          <w:color w:val="000000"/>
          <w:sz w:val="24"/>
          <w:lang w:val="en-GB"/>
        </w:rPr>
        <w:t>Understanding and managing the threat of common method bias: Detection, prevention and control</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Tourism Management</w:t>
      </w:r>
      <w:r w:rsidRPr="008F33FD">
        <w:rPr>
          <w:color w:val="000000"/>
          <w:sz w:val="24"/>
          <w:lang w:val="en-GB"/>
        </w:rPr>
        <w:t>, 86(1), p. 104330.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j.tourman.2021.104330</w:t>
      </w:r>
      <w:proofErr w:type="spellEnd"/>
      <w:r w:rsidRPr="008F33FD">
        <w:rPr>
          <w:color w:val="000000"/>
          <w:sz w:val="24"/>
          <w:lang w:val="en-GB"/>
        </w:rPr>
        <w:t>.</w:t>
      </w:r>
    </w:p>
    <w:p w14:paraId="43D53815" w14:textId="7CADA97A"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Lankanath</w:t>
      </w:r>
      <w:proofErr w:type="spellEnd"/>
      <w:r w:rsidRPr="008F33FD">
        <w:rPr>
          <w:color w:val="000000"/>
          <w:sz w:val="24"/>
          <w:lang w:val="en-GB"/>
        </w:rPr>
        <w:t xml:space="preserve">, </w:t>
      </w:r>
      <w:proofErr w:type="spellStart"/>
      <w:r w:rsidRPr="008F33FD">
        <w:rPr>
          <w:color w:val="000000"/>
          <w:sz w:val="24"/>
          <w:lang w:val="en-GB"/>
        </w:rPr>
        <w:t>R.K.M</w:t>
      </w:r>
      <w:proofErr w:type="spellEnd"/>
      <w:r w:rsidRPr="008F33FD">
        <w:rPr>
          <w:color w:val="000000"/>
          <w:sz w:val="24"/>
          <w:lang w:val="en-GB"/>
        </w:rPr>
        <w:t xml:space="preserve">. (2025) </w:t>
      </w:r>
      <w:r w:rsidR="00A22DB1" w:rsidRPr="008F33FD">
        <w:rPr>
          <w:color w:val="000000"/>
          <w:sz w:val="24"/>
          <w:lang w:val="en-GB"/>
        </w:rPr>
        <w:t>‘</w:t>
      </w:r>
      <w:r w:rsidRPr="008F33FD">
        <w:rPr>
          <w:color w:val="000000"/>
          <w:sz w:val="24"/>
          <w:lang w:val="en-GB"/>
        </w:rPr>
        <w:t xml:space="preserve">A critical review of Consumer Trust and brand authenticity in </w:t>
      </w:r>
      <w:proofErr w:type="spellStart"/>
      <w:r w:rsidRPr="008F33FD">
        <w:rPr>
          <w:color w:val="000000"/>
          <w:sz w:val="24"/>
          <w:lang w:val="en-GB"/>
        </w:rPr>
        <w:t>ESG</w:t>
      </w:r>
      <w:proofErr w:type="spellEnd"/>
      <w:r w:rsidRPr="008F33FD">
        <w:rPr>
          <w:color w:val="000000"/>
          <w:sz w:val="24"/>
          <w:lang w:val="en-GB"/>
        </w:rPr>
        <w:t>-Focused marketing communications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Research Journal in Business and Economics</w:t>
      </w:r>
      <w:r w:rsidRPr="008F33FD">
        <w:rPr>
          <w:color w:val="000000"/>
          <w:sz w:val="24"/>
          <w:lang w:val="en-GB"/>
        </w:rPr>
        <w:t>, 3(4), pp. 52</w:t>
      </w:r>
      <w:r w:rsidR="008F33FD">
        <w:rPr>
          <w:color w:val="000000"/>
          <w:sz w:val="24"/>
          <w:lang w:val="en-GB"/>
        </w:rPr>
        <w:t>-</w:t>
      </w:r>
      <w:r w:rsidRPr="008F33FD">
        <w:rPr>
          <w:color w:val="000000"/>
          <w:sz w:val="24"/>
          <w:lang w:val="en-GB"/>
        </w:rPr>
        <w:t>58. Available at: https://</w:t>
      </w:r>
      <w:proofErr w:type="spellStart"/>
      <w:r w:rsidRPr="008F33FD">
        <w:rPr>
          <w:color w:val="000000"/>
          <w:sz w:val="24"/>
          <w:lang w:val="en-GB"/>
        </w:rPr>
        <w:t>doi.org</w:t>
      </w:r>
      <w:proofErr w:type="spellEnd"/>
      <w:r w:rsidRPr="008F33FD">
        <w:rPr>
          <w:color w:val="000000"/>
          <w:sz w:val="24"/>
          <w:lang w:val="en-GB"/>
        </w:rPr>
        <w:t>/10.61424/</w:t>
      </w:r>
      <w:proofErr w:type="spellStart"/>
      <w:r w:rsidRPr="008F33FD">
        <w:rPr>
          <w:color w:val="000000"/>
          <w:sz w:val="24"/>
          <w:lang w:val="en-GB"/>
        </w:rPr>
        <w:t>rjbe.v3i4.632</w:t>
      </w:r>
      <w:proofErr w:type="spellEnd"/>
      <w:r w:rsidRPr="008F33FD">
        <w:rPr>
          <w:color w:val="000000"/>
          <w:sz w:val="24"/>
          <w:lang w:val="en-GB"/>
        </w:rPr>
        <w:t>.</w:t>
      </w:r>
    </w:p>
    <w:p w14:paraId="65D54F60" w14:textId="49FC6EA2"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Leong, L.-Y., Hew, T.-S., Ooi, K.-B., Metri, B. and Dwivedi, Y.K. (2022) </w:t>
      </w:r>
      <w:r w:rsidR="00A22DB1" w:rsidRPr="008F33FD">
        <w:rPr>
          <w:color w:val="000000"/>
          <w:sz w:val="24"/>
          <w:lang w:val="en-GB"/>
        </w:rPr>
        <w:t>‘</w:t>
      </w:r>
      <w:r w:rsidRPr="008F33FD">
        <w:rPr>
          <w:color w:val="000000"/>
          <w:sz w:val="24"/>
          <w:lang w:val="en-GB"/>
        </w:rPr>
        <w:t xml:space="preserve">Extending the theory of planned </w:t>
      </w:r>
      <w:proofErr w:type="spellStart"/>
      <w:r w:rsidRPr="008F33FD">
        <w:rPr>
          <w:color w:val="000000"/>
          <w:sz w:val="24"/>
          <w:lang w:val="en-GB"/>
        </w:rPr>
        <w:t>behavior</w:t>
      </w:r>
      <w:proofErr w:type="spellEnd"/>
      <w:r w:rsidRPr="008F33FD">
        <w:rPr>
          <w:color w:val="000000"/>
          <w:sz w:val="24"/>
          <w:lang w:val="en-GB"/>
        </w:rPr>
        <w:t xml:space="preserve"> in the Social Commerce Context: A meta-analytic </w:t>
      </w:r>
      <w:proofErr w:type="spellStart"/>
      <w:r w:rsidRPr="008F33FD">
        <w:rPr>
          <w:color w:val="000000"/>
          <w:sz w:val="24"/>
          <w:lang w:val="en-GB"/>
        </w:rPr>
        <w:t>sem</w:t>
      </w:r>
      <w:proofErr w:type="spellEnd"/>
      <w:r w:rsidRPr="008F33FD">
        <w:rPr>
          <w:color w:val="000000"/>
          <w:sz w:val="24"/>
          <w:lang w:val="en-GB"/>
        </w:rPr>
        <w:t xml:space="preserve"> (</w:t>
      </w:r>
      <w:proofErr w:type="spellStart"/>
      <w:r w:rsidRPr="008F33FD">
        <w:rPr>
          <w:color w:val="000000"/>
          <w:sz w:val="24"/>
          <w:lang w:val="en-GB"/>
        </w:rPr>
        <w:t>masem</w:t>
      </w:r>
      <w:proofErr w:type="spellEnd"/>
      <w:r w:rsidRPr="008F33FD">
        <w:rPr>
          <w:color w:val="000000"/>
          <w:sz w:val="24"/>
          <w:lang w:val="en-GB"/>
        </w:rPr>
        <w:t>) approach</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Information Systems Frontiers</w:t>
      </w:r>
      <w:r w:rsidRPr="008F33FD">
        <w:rPr>
          <w:color w:val="000000"/>
          <w:sz w:val="24"/>
          <w:lang w:val="en-GB"/>
        </w:rPr>
        <w:t>, 25, pp. 1847</w:t>
      </w:r>
      <w:r w:rsidR="008F33FD">
        <w:rPr>
          <w:color w:val="000000"/>
          <w:sz w:val="24"/>
          <w:lang w:val="en-GB"/>
        </w:rPr>
        <w:t>-</w:t>
      </w:r>
      <w:r w:rsidRPr="008F33FD">
        <w:rPr>
          <w:color w:val="000000"/>
          <w:sz w:val="24"/>
          <w:lang w:val="en-GB"/>
        </w:rPr>
        <w:t>1879. Available at: https://</w:t>
      </w:r>
      <w:proofErr w:type="spellStart"/>
      <w:r w:rsidRPr="008F33FD">
        <w:rPr>
          <w:color w:val="000000"/>
          <w:sz w:val="24"/>
          <w:lang w:val="en-GB"/>
        </w:rPr>
        <w:t>doi.org</w:t>
      </w:r>
      <w:proofErr w:type="spellEnd"/>
      <w:r w:rsidRPr="008F33FD">
        <w:rPr>
          <w:color w:val="000000"/>
          <w:sz w:val="24"/>
          <w:lang w:val="en-GB"/>
        </w:rPr>
        <w:t>/10.1007/</w:t>
      </w:r>
      <w:proofErr w:type="spellStart"/>
      <w:r w:rsidRPr="008F33FD">
        <w:rPr>
          <w:color w:val="000000"/>
          <w:sz w:val="24"/>
          <w:lang w:val="en-GB"/>
        </w:rPr>
        <w:t>s10796</w:t>
      </w:r>
      <w:proofErr w:type="spellEnd"/>
      <w:r w:rsidRPr="008F33FD">
        <w:rPr>
          <w:color w:val="000000"/>
          <w:sz w:val="24"/>
          <w:lang w:val="en-GB"/>
        </w:rPr>
        <w:t>-022-10337-7.</w:t>
      </w:r>
    </w:p>
    <w:p w14:paraId="4352F63C" w14:textId="60F4BE38"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Li, M., Cavender, R. and Lee, M.-Y. (2025) </w:t>
      </w:r>
      <w:r w:rsidR="00A22DB1" w:rsidRPr="008F33FD">
        <w:rPr>
          <w:color w:val="000000"/>
          <w:sz w:val="24"/>
          <w:lang w:val="en-GB"/>
        </w:rPr>
        <w:t>‘</w:t>
      </w:r>
      <w:r w:rsidRPr="008F33FD">
        <w:rPr>
          <w:color w:val="000000"/>
          <w:sz w:val="24"/>
          <w:lang w:val="en-GB"/>
        </w:rPr>
        <w:t>Consumer awareness of fashion greenwashing: Insights from social media discussions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Sustainability</w:t>
      </w:r>
      <w:r w:rsidRPr="008F33FD">
        <w:rPr>
          <w:color w:val="000000"/>
          <w:sz w:val="24"/>
          <w:lang w:val="en-GB"/>
        </w:rPr>
        <w:t>, 17(7), p. 2982. Available at: https://</w:t>
      </w:r>
      <w:proofErr w:type="spellStart"/>
      <w:r w:rsidRPr="008F33FD">
        <w:rPr>
          <w:color w:val="000000"/>
          <w:sz w:val="24"/>
          <w:lang w:val="en-GB"/>
        </w:rPr>
        <w:t>doi.org</w:t>
      </w:r>
      <w:proofErr w:type="spellEnd"/>
      <w:r w:rsidRPr="008F33FD">
        <w:rPr>
          <w:color w:val="000000"/>
          <w:sz w:val="24"/>
          <w:lang w:val="en-GB"/>
        </w:rPr>
        <w:t>/10.3390/</w:t>
      </w:r>
      <w:proofErr w:type="spellStart"/>
      <w:r w:rsidRPr="008F33FD">
        <w:rPr>
          <w:color w:val="000000"/>
          <w:sz w:val="24"/>
          <w:lang w:val="en-GB"/>
        </w:rPr>
        <w:t>su17072982</w:t>
      </w:r>
      <w:proofErr w:type="spellEnd"/>
      <w:r w:rsidRPr="008F33FD">
        <w:rPr>
          <w:color w:val="000000"/>
          <w:sz w:val="24"/>
          <w:lang w:val="en-GB"/>
        </w:rPr>
        <w:t>.</w:t>
      </w:r>
    </w:p>
    <w:p w14:paraId="60BD25E6" w14:textId="5E53F1D3"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Liang, Y. and Gao, X. (2025) </w:t>
      </w:r>
      <w:r w:rsidR="00A22DB1" w:rsidRPr="008F33FD">
        <w:rPr>
          <w:color w:val="000000"/>
          <w:sz w:val="24"/>
          <w:lang w:val="en-GB"/>
        </w:rPr>
        <w:t>‘</w:t>
      </w:r>
      <w:r w:rsidRPr="008F33FD">
        <w:rPr>
          <w:color w:val="000000"/>
          <w:sz w:val="24"/>
          <w:lang w:val="en-GB"/>
        </w:rPr>
        <w:t>Greenwashing and financial performance in public health firms: The mechanism of organizational legitimacy erosion</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Frontiers in Public Health</w:t>
      </w:r>
      <w:r w:rsidRPr="008F33FD">
        <w:rPr>
          <w:color w:val="000000"/>
          <w:sz w:val="24"/>
          <w:lang w:val="en-GB"/>
        </w:rPr>
        <w:t>, 13.</w:t>
      </w:r>
    </w:p>
    <w:p w14:paraId="5363DB0B" w14:textId="00567B4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Lim, </w:t>
      </w:r>
      <w:proofErr w:type="spellStart"/>
      <w:r w:rsidRPr="008F33FD">
        <w:rPr>
          <w:color w:val="000000"/>
          <w:sz w:val="24"/>
          <w:lang w:val="en-GB"/>
        </w:rPr>
        <w:t>W.M</w:t>
      </w:r>
      <w:proofErr w:type="spellEnd"/>
      <w:r w:rsidRPr="008F33FD">
        <w:rPr>
          <w:color w:val="000000"/>
          <w:sz w:val="24"/>
          <w:lang w:val="en-GB"/>
        </w:rPr>
        <w:t xml:space="preserve">. (2023) </w:t>
      </w:r>
      <w:r w:rsidR="00A22DB1" w:rsidRPr="008F33FD">
        <w:rPr>
          <w:color w:val="000000"/>
          <w:sz w:val="24"/>
          <w:lang w:val="en-GB"/>
        </w:rPr>
        <w:t>‘</w:t>
      </w:r>
      <w:r w:rsidRPr="008F33FD">
        <w:rPr>
          <w:color w:val="000000"/>
          <w:sz w:val="24"/>
          <w:lang w:val="en-GB"/>
        </w:rPr>
        <w:t>Philosophy of science and research paradigm for business research in the transformative age of automation, digitalization, hyperconnectivity, obligations, globalization and sustainability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Trade Science</w:t>
      </w:r>
      <w:r w:rsidRPr="008F33FD">
        <w:rPr>
          <w:color w:val="000000"/>
          <w:sz w:val="24"/>
          <w:lang w:val="en-GB"/>
        </w:rPr>
        <w:t>, 11(2/3), pp. 3</w:t>
      </w:r>
      <w:r w:rsidR="008F33FD">
        <w:rPr>
          <w:color w:val="000000"/>
          <w:sz w:val="24"/>
          <w:lang w:val="en-GB"/>
        </w:rPr>
        <w:t>-</w:t>
      </w:r>
      <w:r w:rsidRPr="008F33FD">
        <w:rPr>
          <w:color w:val="000000"/>
          <w:sz w:val="24"/>
          <w:lang w:val="en-GB"/>
        </w:rPr>
        <w:t>30.</w:t>
      </w:r>
    </w:p>
    <w:p w14:paraId="38D723D1" w14:textId="4D75FC9E"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Lin, W.L., Chong, S.C., Pek, </w:t>
      </w:r>
      <w:proofErr w:type="spellStart"/>
      <w:r w:rsidRPr="008F33FD">
        <w:rPr>
          <w:color w:val="000000"/>
          <w:sz w:val="24"/>
          <w:lang w:val="en-GB"/>
        </w:rPr>
        <w:t>C.K</w:t>
      </w:r>
      <w:proofErr w:type="spellEnd"/>
      <w:r w:rsidRPr="008F33FD">
        <w:rPr>
          <w:color w:val="000000"/>
          <w:sz w:val="24"/>
          <w:lang w:val="en-GB"/>
        </w:rPr>
        <w:t xml:space="preserve">., Yong, </w:t>
      </w:r>
      <w:proofErr w:type="spellStart"/>
      <w:r w:rsidRPr="008F33FD">
        <w:rPr>
          <w:color w:val="000000"/>
          <w:sz w:val="24"/>
          <w:lang w:val="en-GB"/>
        </w:rPr>
        <w:t>J.Y</w:t>
      </w:r>
      <w:proofErr w:type="spellEnd"/>
      <w:r w:rsidRPr="008F33FD">
        <w:rPr>
          <w:color w:val="000000"/>
          <w:sz w:val="24"/>
          <w:lang w:val="en-GB"/>
        </w:rPr>
        <w:t xml:space="preserve">., Lee, K. and Nelvin Leow </w:t>
      </w:r>
      <w:proofErr w:type="spellStart"/>
      <w:r w:rsidRPr="008F33FD">
        <w:rPr>
          <w:color w:val="000000"/>
          <w:sz w:val="24"/>
          <w:lang w:val="en-GB"/>
        </w:rPr>
        <w:t>XeChung</w:t>
      </w:r>
      <w:proofErr w:type="spellEnd"/>
      <w:r w:rsidRPr="008F33FD">
        <w:rPr>
          <w:color w:val="000000"/>
          <w:sz w:val="24"/>
          <w:lang w:val="en-GB"/>
        </w:rPr>
        <w:t xml:space="preserve"> (2025) </w:t>
      </w:r>
      <w:r w:rsidR="00A22DB1" w:rsidRPr="008F33FD">
        <w:rPr>
          <w:color w:val="000000"/>
          <w:sz w:val="24"/>
          <w:lang w:val="en-GB"/>
        </w:rPr>
        <w:t>‘</w:t>
      </w:r>
      <w:r w:rsidRPr="008F33FD">
        <w:rPr>
          <w:color w:val="000000"/>
          <w:sz w:val="24"/>
          <w:lang w:val="en-GB"/>
        </w:rPr>
        <w:t>The impact of greenwashing: Risks and implications for corporate performance and stakeholder trust</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Advances in Social Science, Education and Humanities Research/Advances in social science, education and humanities research</w:t>
      </w:r>
      <w:r w:rsidRPr="008F33FD">
        <w:rPr>
          <w:color w:val="000000"/>
          <w:sz w:val="24"/>
          <w:lang w:val="en-GB"/>
        </w:rPr>
        <w:t>, pp. 77</w:t>
      </w:r>
      <w:r w:rsidR="008F33FD">
        <w:rPr>
          <w:color w:val="000000"/>
          <w:sz w:val="24"/>
          <w:lang w:val="en-GB"/>
        </w:rPr>
        <w:t>-</w:t>
      </w:r>
      <w:r w:rsidRPr="008F33FD">
        <w:rPr>
          <w:color w:val="000000"/>
          <w:sz w:val="24"/>
          <w:lang w:val="en-GB"/>
        </w:rPr>
        <w:t>94. Available at: https://</w:t>
      </w:r>
      <w:proofErr w:type="spellStart"/>
      <w:r w:rsidRPr="008F33FD">
        <w:rPr>
          <w:color w:val="000000"/>
          <w:sz w:val="24"/>
          <w:lang w:val="en-GB"/>
        </w:rPr>
        <w:t>doi.org</w:t>
      </w:r>
      <w:proofErr w:type="spellEnd"/>
      <w:r w:rsidRPr="008F33FD">
        <w:rPr>
          <w:color w:val="000000"/>
          <w:sz w:val="24"/>
          <w:lang w:val="en-GB"/>
        </w:rPr>
        <w:t>/10.2991/978-2-38476-358-0_8.</w:t>
      </w:r>
    </w:p>
    <w:p w14:paraId="3085D534" w14:textId="75F43409"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Lu, X., Sheng, T., Zhou, X., Shen, C. and Fang, B. (</w:t>
      </w:r>
      <w:proofErr w:type="spellStart"/>
      <w:r w:rsidRPr="008F33FD">
        <w:rPr>
          <w:color w:val="000000"/>
          <w:sz w:val="24"/>
          <w:lang w:val="en-GB"/>
        </w:rPr>
        <w:t>2022a</w:t>
      </w:r>
      <w:proofErr w:type="spellEnd"/>
      <w:r w:rsidRPr="008F33FD">
        <w:rPr>
          <w:color w:val="000000"/>
          <w:sz w:val="24"/>
          <w:lang w:val="en-GB"/>
        </w:rPr>
        <w:t xml:space="preserve">) </w:t>
      </w:r>
      <w:r w:rsidR="00A22DB1" w:rsidRPr="008F33FD">
        <w:rPr>
          <w:color w:val="000000"/>
          <w:sz w:val="24"/>
          <w:lang w:val="en-GB"/>
        </w:rPr>
        <w:t>‘</w:t>
      </w:r>
      <w:r w:rsidRPr="008F33FD">
        <w:rPr>
          <w:color w:val="000000"/>
          <w:sz w:val="24"/>
          <w:lang w:val="en-GB"/>
        </w:rPr>
        <w:t>How does young consumers</w:t>
      </w:r>
      <w:r w:rsidR="00A22DB1" w:rsidRPr="008F33FD">
        <w:rPr>
          <w:color w:val="000000"/>
          <w:sz w:val="24"/>
          <w:lang w:val="en-GB"/>
        </w:rPr>
        <w:t>”</w:t>
      </w:r>
      <w:r w:rsidRPr="008F33FD">
        <w:rPr>
          <w:color w:val="000000"/>
          <w:sz w:val="24"/>
          <w:lang w:val="en-GB"/>
        </w:rPr>
        <w:t xml:space="preserve"> greenwashing perception impact their green purchase intention in the fast fashion industry? An analysis from the perspective of perceived risk theory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Sustainability</w:t>
      </w:r>
      <w:r w:rsidRPr="008F33FD">
        <w:rPr>
          <w:color w:val="000000"/>
          <w:sz w:val="24"/>
          <w:lang w:val="en-GB"/>
        </w:rPr>
        <w:t>, 14(20), p. 13473. Available at: https://</w:t>
      </w:r>
      <w:proofErr w:type="spellStart"/>
      <w:r w:rsidRPr="008F33FD">
        <w:rPr>
          <w:color w:val="000000"/>
          <w:sz w:val="24"/>
          <w:lang w:val="en-GB"/>
        </w:rPr>
        <w:t>doi.org</w:t>
      </w:r>
      <w:proofErr w:type="spellEnd"/>
      <w:r w:rsidRPr="008F33FD">
        <w:rPr>
          <w:color w:val="000000"/>
          <w:sz w:val="24"/>
          <w:lang w:val="en-GB"/>
        </w:rPr>
        <w:t>/10.3390/</w:t>
      </w:r>
      <w:proofErr w:type="spellStart"/>
      <w:r w:rsidRPr="008F33FD">
        <w:rPr>
          <w:color w:val="000000"/>
          <w:sz w:val="24"/>
          <w:lang w:val="en-GB"/>
        </w:rPr>
        <w:t>su142013473</w:t>
      </w:r>
      <w:proofErr w:type="spellEnd"/>
      <w:r w:rsidRPr="008F33FD">
        <w:rPr>
          <w:color w:val="000000"/>
          <w:sz w:val="24"/>
          <w:lang w:val="en-GB"/>
        </w:rPr>
        <w:t>.</w:t>
      </w:r>
    </w:p>
    <w:p w14:paraId="19510249" w14:textId="5B58571F"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Lu, X., Sheng, T., Zhou, X., Shen, C. and Fang, B. (</w:t>
      </w:r>
      <w:proofErr w:type="spellStart"/>
      <w:r w:rsidRPr="008F33FD">
        <w:rPr>
          <w:color w:val="000000"/>
          <w:sz w:val="24"/>
          <w:lang w:val="en-GB"/>
        </w:rPr>
        <w:t>2022b</w:t>
      </w:r>
      <w:proofErr w:type="spellEnd"/>
      <w:r w:rsidRPr="008F33FD">
        <w:rPr>
          <w:color w:val="000000"/>
          <w:sz w:val="24"/>
          <w:lang w:val="en-GB"/>
        </w:rPr>
        <w:t xml:space="preserve">) </w:t>
      </w:r>
      <w:r w:rsidR="00A22DB1" w:rsidRPr="008F33FD">
        <w:rPr>
          <w:color w:val="000000"/>
          <w:sz w:val="24"/>
          <w:lang w:val="en-GB"/>
        </w:rPr>
        <w:t>‘</w:t>
      </w:r>
      <w:r w:rsidRPr="008F33FD">
        <w:rPr>
          <w:color w:val="000000"/>
          <w:sz w:val="24"/>
          <w:lang w:val="en-GB"/>
        </w:rPr>
        <w:t>How Does Young Consumers</w:t>
      </w:r>
      <w:r w:rsidR="00A22DB1" w:rsidRPr="008F33FD">
        <w:rPr>
          <w:color w:val="000000"/>
          <w:sz w:val="24"/>
          <w:lang w:val="en-GB"/>
        </w:rPr>
        <w:t>”</w:t>
      </w:r>
      <w:r w:rsidRPr="008F33FD">
        <w:rPr>
          <w:color w:val="000000"/>
          <w:sz w:val="24"/>
          <w:lang w:val="en-GB"/>
        </w:rPr>
        <w:t xml:space="preserve"> Greenwashing Perception Impact Their Green Purchase Intention in the Fast Fashion </w:t>
      </w:r>
      <w:r w:rsidRPr="008F33FD">
        <w:rPr>
          <w:color w:val="000000"/>
          <w:sz w:val="24"/>
          <w:lang w:val="en-GB"/>
        </w:rPr>
        <w:lastRenderedPageBreak/>
        <w:t>Industry? an Analysis from the Perspective of Perceived Risk Theory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Sustainability</w:t>
      </w:r>
      <w:r w:rsidRPr="008F33FD">
        <w:rPr>
          <w:color w:val="000000"/>
          <w:sz w:val="24"/>
          <w:lang w:val="en-GB"/>
        </w:rPr>
        <w:t>, 14(20), p. 13473. Available at: https://</w:t>
      </w:r>
      <w:proofErr w:type="spellStart"/>
      <w:r w:rsidRPr="008F33FD">
        <w:rPr>
          <w:color w:val="000000"/>
          <w:sz w:val="24"/>
          <w:lang w:val="en-GB"/>
        </w:rPr>
        <w:t>doi.org</w:t>
      </w:r>
      <w:proofErr w:type="spellEnd"/>
      <w:r w:rsidRPr="008F33FD">
        <w:rPr>
          <w:color w:val="000000"/>
          <w:sz w:val="24"/>
          <w:lang w:val="en-GB"/>
        </w:rPr>
        <w:t>/10.3390/</w:t>
      </w:r>
      <w:proofErr w:type="spellStart"/>
      <w:r w:rsidRPr="008F33FD">
        <w:rPr>
          <w:color w:val="000000"/>
          <w:sz w:val="24"/>
          <w:lang w:val="en-GB"/>
        </w:rPr>
        <w:t>su142013473</w:t>
      </w:r>
      <w:proofErr w:type="spellEnd"/>
      <w:r w:rsidRPr="008F33FD">
        <w:rPr>
          <w:color w:val="000000"/>
          <w:sz w:val="24"/>
          <w:lang w:val="en-GB"/>
        </w:rPr>
        <w:t>.</w:t>
      </w:r>
    </w:p>
    <w:p w14:paraId="53D16E8E" w14:textId="5224BB20"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Lyon, T.P. and Montgomery, A.W. (2015) </w:t>
      </w:r>
      <w:r w:rsidR="00A22DB1" w:rsidRPr="008F33FD">
        <w:rPr>
          <w:color w:val="000000"/>
          <w:sz w:val="24"/>
          <w:lang w:val="en-GB"/>
        </w:rPr>
        <w:t>‘</w:t>
      </w:r>
      <w:r w:rsidRPr="008F33FD">
        <w:rPr>
          <w:color w:val="000000"/>
          <w:sz w:val="24"/>
          <w:lang w:val="en-GB"/>
        </w:rPr>
        <w:t>The Means and End of Greenwash</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 xml:space="preserve">Organization </w:t>
      </w:r>
      <w:r w:rsidR="00944B3B" w:rsidRPr="008F33FD">
        <w:rPr>
          <w:i/>
          <w:iCs/>
          <w:color w:val="000000"/>
          <w:sz w:val="24"/>
          <w:lang w:val="en-GB"/>
        </w:rPr>
        <w:t>and</w:t>
      </w:r>
      <w:r w:rsidRPr="008F33FD">
        <w:rPr>
          <w:i/>
          <w:iCs/>
          <w:color w:val="000000"/>
          <w:sz w:val="24"/>
          <w:lang w:val="en-GB"/>
        </w:rPr>
        <w:t xml:space="preserve"> Environment</w:t>
      </w:r>
      <w:r w:rsidRPr="008F33FD">
        <w:rPr>
          <w:color w:val="000000"/>
          <w:sz w:val="24"/>
          <w:lang w:val="en-GB"/>
        </w:rPr>
        <w:t>, 28(2), pp. 223</w:t>
      </w:r>
      <w:r w:rsidR="008F33FD">
        <w:rPr>
          <w:color w:val="000000"/>
          <w:sz w:val="24"/>
          <w:lang w:val="en-GB"/>
        </w:rPr>
        <w:t>-</w:t>
      </w:r>
      <w:r w:rsidRPr="008F33FD">
        <w:rPr>
          <w:color w:val="000000"/>
          <w:sz w:val="24"/>
          <w:lang w:val="en-GB"/>
        </w:rPr>
        <w:t>249. Available at: https://</w:t>
      </w:r>
      <w:proofErr w:type="spellStart"/>
      <w:r w:rsidRPr="008F33FD">
        <w:rPr>
          <w:color w:val="000000"/>
          <w:sz w:val="24"/>
          <w:lang w:val="en-GB"/>
        </w:rPr>
        <w:t>doi.org</w:t>
      </w:r>
      <w:proofErr w:type="spellEnd"/>
      <w:r w:rsidRPr="008F33FD">
        <w:rPr>
          <w:color w:val="000000"/>
          <w:sz w:val="24"/>
          <w:lang w:val="en-GB"/>
        </w:rPr>
        <w:t>/https://</w:t>
      </w:r>
      <w:proofErr w:type="spellStart"/>
      <w:r w:rsidRPr="008F33FD">
        <w:rPr>
          <w:color w:val="000000"/>
          <w:sz w:val="24"/>
          <w:lang w:val="en-GB"/>
        </w:rPr>
        <w:t>doi.org</w:t>
      </w:r>
      <w:proofErr w:type="spellEnd"/>
      <w:r w:rsidRPr="008F33FD">
        <w:rPr>
          <w:color w:val="000000"/>
          <w:sz w:val="24"/>
          <w:lang w:val="en-GB"/>
        </w:rPr>
        <w:t>/10.1177/1086026615575332.</w:t>
      </w:r>
    </w:p>
    <w:p w14:paraId="248B14BB" w14:textId="3401E75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Maksimović, J. and </w:t>
      </w:r>
      <w:proofErr w:type="spellStart"/>
      <w:r w:rsidRPr="008F33FD">
        <w:rPr>
          <w:color w:val="000000"/>
          <w:sz w:val="24"/>
          <w:lang w:val="en-GB"/>
        </w:rPr>
        <w:t>Evtimov</w:t>
      </w:r>
      <w:proofErr w:type="spellEnd"/>
      <w:r w:rsidRPr="008F33FD">
        <w:rPr>
          <w:color w:val="000000"/>
          <w:sz w:val="24"/>
          <w:lang w:val="en-GB"/>
        </w:rPr>
        <w:t xml:space="preserve">, J. (2023) </w:t>
      </w:r>
      <w:r w:rsidR="00A22DB1" w:rsidRPr="008F33FD">
        <w:rPr>
          <w:color w:val="000000"/>
          <w:sz w:val="24"/>
          <w:lang w:val="en-GB"/>
        </w:rPr>
        <w:t>‘</w:t>
      </w:r>
      <w:r w:rsidRPr="008F33FD">
        <w:rPr>
          <w:color w:val="000000"/>
          <w:sz w:val="24"/>
          <w:lang w:val="en-GB"/>
        </w:rPr>
        <w:t>Positivism and post-positivism as the Basis of Quantitative Research in Pedagogy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Research in Pedagogy</w:t>
      </w:r>
      <w:r w:rsidRPr="008F33FD">
        <w:rPr>
          <w:color w:val="000000"/>
          <w:sz w:val="24"/>
          <w:lang w:val="en-GB"/>
        </w:rPr>
        <w:t>, 13(1), pp. 208</w:t>
      </w:r>
      <w:r w:rsidR="008F33FD">
        <w:rPr>
          <w:color w:val="000000"/>
          <w:sz w:val="24"/>
          <w:lang w:val="en-GB"/>
        </w:rPr>
        <w:t>-</w:t>
      </w:r>
      <w:r w:rsidRPr="008F33FD">
        <w:rPr>
          <w:color w:val="000000"/>
          <w:sz w:val="24"/>
          <w:lang w:val="en-GB"/>
        </w:rPr>
        <w:t>218. Available at: https://</w:t>
      </w:r>
      <w:proofErr w:type="spellStart"/>
      <w:r w:rsidRPr="008F33FD">
        <w:rPr>
          <w:color w:val="000000"/>
          <w:sz w:val="24"/>
          <w:lang w:val="en-GB"/>
        </w:rPr>
        <w:t>doi.org</w:t>
      </w:r>
      <w:proofErr w:type="spellEnd"/>
      <w:r w:rsidRPr="008F33FD">
        <w:rPr>
          <w:color w:val="000000"/>
          <w:sz w:val="24"/>
          <w:lang w:val="en-GB"/>
        </w:rPr>
        <w:t>/10.5937/</w:t>
      </w:r>
      <w:proofErr w:type="spellStart"/>
      <w:r w:rsidRPr="008F33FD">
        <w:rPr>
          <w:color w:val="000000"/>
          <w:sz w:val="24"/>
          <w:lang w:val="en-GB"/>
        </w:rPr>
        <w:t>istrped2301208m</w:t>
      </w:r>
      <w:proofErr w:type="spellEnd"/>
      <w:r w:rsidRPr="008F33FD">
        <w:rPr>
          <w:color w:val="000000"/>
          <w:sz w:val="24"/>
          <w:lang w:val="en-GB"/>
        </w:rPr>
        <w:t>.</w:t>
      </w:r>
    </w:p>
    <w:p w14:paraId="06A706EE" w14:textId="5E1341AF"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Margariti</w:t>
      </w:r>
      <w:proofErr w:type="spellEnd"/>
      <w:r w:rsidRPr="008F33FD">
        <w:rPr>
          <w:color w:val="000000"/>
          <w:sz w:val="24"/>
          <w:lang w:val="en-GB"/>
        </w:rPr>
        <w:t xml:space="preserve">, K., </w:t>
      </w:r>
      <w:proofErr w:type="spellStart"/>
      <w:r w:rsidRPr="008F33FD">
        <w:rPr>
          <w:color w:val="000000"/>
          <w:sz w:val="24"/>
          <w:lang w:val="en-GB"/>
        </w:rPr>
        <w:t>Hatzithomas</w:t>
      </w:r>
      <w:proofErr w:type="spellEnd"/>
      <w:r w:rsidRPr="008F33FD">
        <w:rPr>
          <w:color w:val="000000"/>
          <w:sz w:val="24"/>
          <w:lang w:val="en-GB"/>
        </w:rPr>
        <w:t xml:space="preserve">, L. and </w:t>
      </w:r>
      <w:proofErr w:type="spellStart"/>
      <w:r w:rsidRPr="008F33FD">
        <w:rPr>
          <w:color w:val="000000"/>
          <w:sz w:val="24"/>
          <w:lang w:val="en-GB"/>
        </w:rPr>
        <w:t>Boutsouki</w:t>
      </w:r>
      <w:proofErr w:type="spellEnd"/>
      <w:r w:rsidRPr="008F33FD">
        <w:rPr>
          <w:color w:val="000000"/>
          <w:sz w:val="24"/>
          <w:lang w:val="en-GB"/>
        </w:rPr>
        <w:t xml:space="preserve">, C. (2024) </w:t>
      </w:r>
      <w:r w:rsidR="00A22DB1" w:rsidRPr="008F33FD">
        <w:rPr>
          <w:color w:val="000000"/>
          <w:sz w:val="24"/>
          <w:lang w:val="en-GB"/>
        </w:rPr>
        <w:t>‘</w:t>
      </w:r>
      <w:r w:rsidRPr="008F33FD">
        <w:rPr>
          <w:color w:val="000000"/>
          <w:sz w:val="24"/>
          <w:lang w:val="en-GB"/>
        </w:rPr>
        <w:t xml:space="preserve">Elucidating the gap between green attitudes, intentions, and </w:t>
      </w:r>
      <w:proofErr w:type="spellStart"/>
      <w:r w:rsidRPr="008F33FD">
        <w:rPr>
          <w:color w:val="000000"/>
          <w:sz w:val="24"/>
          <w:lang w:val="en-GB"/>
        </w:rPr>
        <w:t>behavior</w:t>
      </w:r>
      <w:proofErr w:type="spellEnd"/>
      <w:r w:rsidRPr="008F33FD">
        <w:rPr>
          <w:color w:val="000000"/>
          <w:sz w:val="24"/>
          <w:lang w:val="en-GB"/>
        </w:rPr>
        <w:t xml:space="preserve"> through the prism of greenwashing concerns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Sustainability</w:t>
      </w:r>
      <w:r w:rsidRPr="008F33FD">
        <w:rPr>
          <w:color w:val="000000"/>
          <w:sz w:val="24"/>
          <w:lang w:val="en-GB"/>
        </w:rPr>
        <w:t>, 16(12), pp. 5108</w:t>
      </w:r>
      <w:r w:rsidR="008F33FD">
        <w:rPr>
          <w:color w:val="000000"/>
          <w:sz w:val="24"/>
          <w:lang w:val="en-GB"/>
        </w:rPr>
        <w:t>-</w:t>
      </w:r>
      <w:r w:rsidRPr="008F33FD">
        <w:rPr>
          <w:color w:val="000000"/>
          <w:sz w:val="24"/>
          <w:lang w:val="en-GB"/>
        </w:rPr>
        <w:t>5108. Available at: https://</w:t>
      </w:r>
      <w:proofErr w:type="spellStart"/>
      <w:r w:rsidRPr="008F33FD">
        <w:rPr>
          <w:color w:val="000000"/>
          <w:sz w:val="24"/>
          <w:lang w:val="en-GB"/>
        </w:rPr>
        <w:t>doi.org</w:t>
      </w:r>
      <w:proofErr w:type="spellEnd"/>
      <w:r w:rsidRPr="008F33FD">
        <w:rPr>
          <w:color w:val="000000"/>
          <w:sz w:val="24"/>
          <w:lang w:val="en-GB"/>
        </w:rPr>
        <w:t>/10.3390/</w:t>
      </w:r>
      <w:proofErr w:type="spellStart"/>
      <w:r w:rsidRPr="008F33FD">
        <w:rPr>
          <w:color w:val="000000"/>
          <w:sz w:val="24"/>
          <w:lang w:val="en-GB"/>
        </w:rPr>
        <w:t>su16125108</w:t>
      </w:r>
      <w:proofErr w:type="spellEnd"/>
      <w:r w:rsidRPr="008F33FD">
        <w:rPr>
          <w:color w:val="000000"/>
          <w:sz w:val="24"/>
          <w:lang w:val="en-GB"/>
        </w:rPr>
        <w:t>.</w:t>
      </w:r>
    </w:p>
    <w:p w14:paraId="50C18664" w14:textId="5A77AA71"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Marko, M. and </w:t>
      </w:r>
      <w:proofErr w:type="spellStart"/>
      <w:r w:rsidRPr="008F33FD">
        <w:rPr>
          <w:color w:val="000000"/>
          <w:sz w:val="24"/>
          <w:lang w:val="en-GB"/>
        </w:rPr>
        <w:t>Kusá</w:t>
      </w:r>
      <w:proofErr w:type="spellEnd"/>
      <w:r w:rsidRPr="008F33FD">
        <w:rPr>
          <w:color w:val="000000"/>
          <w:sz w:val="24"/>
          <w:lang w:val="en-GB"/>
        </w:rPr>
        <w:t xml:space="preserve">, A. (2023) </w:t>
      </w:r>
      <w:r w:rsidR="00A22DB1" w:rsidRPr="008F33FD">
        <w:rPr>
          <w:color w:val="000000"/>
          <w:sz w:val="24"/>
          <w:lang w:val="en-GB"/>
        </w:rPr>
        <w:t>‘</w:t>
      </w:r>
      <w:r w:rsidRPr="008F33FD">
        <w:rPr>
          <w:color w:val="000000"/>
          <w:sz w:val="24"/>
          <w:lang w:val="en-GB"/>
        </w:rPr>
        <w:t>Greenwashing and the nature of education in relation to consumer trust in fast fashion marketing communication</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Communication Today</w:t>
      </w:r>
      <w:r w:rsidRPr="008F33FD">
        <w:rPr>
          <w:color w:val="000000"/>
          <w:sz w:val="24"/>
          <w:lang w:val="en-GB"/>
        </w:rPr>
        <w:t>, 14(1), pp. 86</w:t>
      </w:r>
      <w:r w:rsidR="008F33FD">
        <w:rPr>
          <w:color w:val="000000"/>
          <w:sz w:val="24"/>
          <w:lang w:val="en-GB"/>
        </w:rPr>
        <w:t>-</w:t>
      </w:r>
      <w:r w:rsidRPr="008F33FD">
        <w:rPr>
          <w:color w:val="000000"/>
          <w:sz w:val="24"/>
          <w:lang w:val="en-GB"/>
        </w:rPr>
        <w:t>99. Available at: https://</w:t>
      </w:r>
      <w:proofErr w:type="spellStart"/>
      <w:r w:rsidRPr="008F33FD">
        <w:rPr>
          <w:color w:val="000000"/>
          <w:sz w:val="24"/>
          <w:lang w:val="en-GB"/>
        </w:rPr>
        <w:t>doi.org</w:t>
      </w:r>
      <w:proofErr w:type="spellEnd"/>
      <w:r w:rsidRPr="008F33FD">
        <w:rPr>
          <w:color w:val="000000"/>
          <w:sz w:val="24"/>
          <w:lang w:val="en-GB"/>
        </w:rPr>
        <w:t>/10.34135/</w:t>
      </w:r>
      <w:proofErr w:type="spellStart"/>
      <w:r w:rsidRPr="008F33FD">
        <w:rPr>
          <w:color w:val="000000"/>
          <w:sz w:val="24"/>
          <w:lang w:val="en-GB"/>
        </w:rPr>
        <w:t>communicationtoday.2023.vol.14.no.1.6</w:t>
      </w:r>
      <w:proofErr w:type="spellEnd"/>
      <w:r w:rsidRPr="008F33FD">
        <w:rPr>
          <w:color w:val="000000"/>
          <w:sz w:val="24"/>
          <w:lang w:val="en-GB"/>
        </w:rPr>
        <w:t>.</w:t>
      </w:r>
    </w:p>
    <w:p w14:paraId="2B4D916E" w14:textId="1AAAD606"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Mathew, M. and Spinelli, R. (2025) </w:t>
      </w:r>
      <w:r w:rsidR="00A22DB1" w:rsidRPr="008F33FD">
        <w:rPr>
          <w:color w:val="000000"/>
          <w:sz w:val="24"/>
          <w:lang w:val="en-GB"/>
        </w:rPr>
        <w:t>‘</w:t>
      </w:r>
      <w:r w:rsidRPr="008F33FD">
        <w:rPr>
          <w:color w:val="000000"/>
          <w:sz w:val="24"/>
          <w:lang w:val="en-GB"/>
        </w:rPr>
        <w:t>Decoding sustainable drivers: A systematic literature review on sustainability-induced consumer behaviour in the fast fashion industry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Sustainable Production and Consumption</w:t>
      </w:r>
      <w:r w:rsidRPr="008F33FD">
        <w:rPr>
          <w:color w:val="000000"/>
          <w:sz w:val="24"/>
          <w:lang w:val="en-GB"/>
        </w:rPr>
        <w:t>, 55, pp. 132</w:t>
      </w:r>
      <w:r w:rsidR="008F33FD">
        <w:rPr>
          <w:color w:val="000000"/>
          <w:sz w:val="24"/>
          <w:lang w:val="en-GB"/>
        </w:rPr>
        <w:t>-</w:t>
      </w:r>
      <w:r w:rsidRPr="008F33FD">
        <w:rPr>
          <w:color w:val="000000"/>
          <w:sz w:val="24"/>
          <w:lang w:val="en-GB"/>
        </w:rPr>
        <w:t>145.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j.spc.2025.02.011</w:t>
      </w:r>
      <w:proofErr w:type="spellEnd"/>
      <w:r w:rsidRPr="008F33FD">
        <w:rPr>
          <w:color w:val="000000"/>
          <w:sz w:val="24"/>
          <w:lang w:val="en-GB"/>
        </w:rPr>
        <w:t>.</w:t>
      </w:r>
    </w:p>
    <w:p w14:paraId="59D10067" w14:textId="30062185"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Meliniasari</w:t>
      </w:r>
      <w:proofErr w:type="spellEnd"/>
      <w:r w:rsidRPr="008F33FD">
        <w:rPr>
          <w:color w:val="000000"/>
          <w:sz w:val="24"/>
          <w:lang w:val="en-GB"/>
        </w:rPr>
        <w:t xml:space="preserve">, A.R. and </w:t>
      </w:r>
      <w:proofErr w:type="spellStart"/>
      <w:r w:rsidRPr="008F33FD">
        <w:rPr>
          <w:color w:val="000000"/>
          <w:sz w:val="24"/>
          <w:lang w:val="en-GB"/>
        </w:rPr>
        <w:t>Mas</w:t>
      </w:r>
      <w:r w:rsidR="00A22DB1" w:rsidRPr="008F33FD">
        <w:rPr>
          <w:color w:val="000000"/>
          <w:sz w:val="24"/>
          <w:lang w:val="en-GB"/>
        </w:rPr>
        <w:t>’</w:t>
      </w:r>
      <w:r w:rsidRPr="008F33FD">
        <w:rPr>
          <w:color w:val="000000"/>
          <w:sz w:val="24"/>
          <w:lang w:val="en-GB"/>
        </w:rPr>
        <w:t>od</w:t>
      </w:r>
      <w:proofErr w:type="spellEnd"/>
      <w:r w:rsidRPr="008F33FD">
        <w:rPr>
          <w:color w:val="000000"/>
          <w:sz w:val="24"/>
          <w:lang w:val="en-GB"/>
        </w:rPr>
        <w:t xml:space="preserve">, A. (2024) </w:t>
      </w:r>
      <w:r w:rsidR="00A22DB1" w:rsidRPr="008F33FD">
        <w:rPr>
          <w:color w:val="000000"/>
          <w:sz w:val="24"/>
          <w:lang w:val="en-GB"/>
        </w:rPr>
        <w:t>‘</w:t>
      </w:r>
      <w:r w:rsidRPr="008F33FD">
        <w:rPr>
          <w:color w:val="000000"/>
          <w:sz w:val="24"/>
          <w:lang w:val="en-GB"/>
        </w:rPr>
        <w:t xml:space="preserve">Understanding factors shaping green cosmetic purchase intentions: Insights from attitudes, norms, and perceived </w:t>
      </w:r>
      <w:proofErr w:type="spellStart"/>
      <w:r w:rsidRPr="008F33FD">
        <w:rPr>
          <w:color w:val="000000"/>
          <w:sz w:val="24"/>
          <w:lang w:val="en-GB"/>
        </w:rPr>
        <w:t>behavioral</w:t>
      </w:r>
      <w:proofErr w:type="spellEnd"/>
      <w:r w:rsidRPr="008F33FD">
        <w:rPr>
          <w:color w:val="000000"/>
          <w:sz w:val="24"/>
          <w:lang w:val="en-GB"/>
        </w:rPr>
        <w:t xml:space="preserve"> control</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International Journal of Academic Research in Business and Social Sciences</w:t>
      </w:r>
      <w:r w:rsidRPr="008F33FD">
        <w:rPr>
          <w:color w:val="000000"/>
          <w:sz w:val="24"/>
          <w:lang w:val="en-GB"/>
        </w:rPr>
        <w:t>, 14(1), pp. 1487</w:t>
      </w:r>
      <w:r w:rsidR="008F33FD">
        <w:rPr>
          <w:color w:val="000000"/>
          <w:sz w:val="24"/>
          <w:lang w:val="en-GB"/>
        </w:rPr>
        <w:t>-</w:t>
      </w:r>
      <w:r w:rsidRPr="008F33FD">
        <w:rPr>
          <w:color w:val="000000"/>
          <w:sz w:val="24"/>
          <w:lang w:val="en-GB"/>
        </w:rPr>
        <w:t>1496. Available at: https://</w:t>
      </w:r>
      <w:proofErr w:type="spellStart"/>
      <w:r w:rsidRPr="008F33FD">
        <w:rPr>
          <w:color w:val="000000"/>
          <w:sz w:val="24"/>
          <w:lang w:val="en-GB"/>
        </w:rPr>
        <w:t>doi.org</w:t>
      </w:r>
      <w:proofErr w:type="spellEnd"/>
      <w:r w:rsidRPr="008F33FD">
        <w:rPr>
          <w:color w:val="000000"/>
          <w:sz w:val="24"/>
          <w:lang w:val="en-GB"/>
        </w:rPr>
        <w:t>/10.6007/</w:t>
      </w:r>
      <w:proofErr w:type="spellStart"/>
      <w:r w:rsidRPr="008F33FD">
        <w:rPr>
          <w:color w:val="000000"/>
          <w:sz w:val="24"/>
          <w:lang w:val="en-GB"/>
        </w:rPr>
        <w:t>IJARBSS</w:t>
      </w:r>
      <w:proofErr w:type="spellEnd"/>
      <w:r w:rsidRPr="008F33FD">
        <w:rPr>
          <w:color w:val="000000"/>
          <w:sz w:val="24"/>
          <w:lang w:val="en-GB"/>
        </w:rPr>
        <w:t>/</w:t>
      </w:r>
      <w:proofErr w:type="spellStart"/>
      <w:r w:rsidRPr="008F33FD">
        <w:rPr>
          <w:color w:val="000000"/>
          <w:sz w:val="24"/>
          <w:lang w:val="en-GB"/>
        </w:rPr>
        <w:t>v14-i1</w:t>
      </w:r>
      <w:proofErr w:type="spellEnd"/>
      <w:r w:rsidRPr="008F33FD">
        <w:rPr>
          <w:color w:val="000000"/>
          <w:sz w:val="24"/>
          <w:lang w:val="en-GB"/>
        </w:rPr>
        <w:t>/20573.</w:t>
      </w:r>
    </w:p>
    <w:p w14:paraId="42094848" w14:textId="0A969C94"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Mezger, A., </w:t>
      </w:r>
      <w:proofErr w:type="spellStart"/>
      <w:r w:rsidRPr="008F33FD">
        <w:rPr>
          <w:color w:val="000000"/>
          <w:sz w:val="24"/>
          <w:lang w:val="en-GB"/>
        </w:rPr>
        <w:t>Cabanelas</w:t>
      </w:r>
      <w:proofErr w:type="spellEnd"/>
      <w:r w:rsidRPr="008F33FD">
        <w:rPr>
          <w:color w:val="000000"/>
          <w:sz w:val="24"/>
          <w:lang w:val="en-GB"/>
        </w:rPr>
        <w:t xml:space="preserve">, P., </w:t>
      </w:r>
      <w:proofErr w:type="spellStart"/>
      <w:r w:rsidRPr="008F33FD">
        <w:rPr>
          <w:color w:val="000000"/>
          <w:sz w:val="24"/>
          <w:lang w:val="en-GB"/>
        </w:rPr>
        <w:t>Cabiddu</w:t>
      </w:r>
      <w:proofErr w:type="spellEnd"/>
      <w:r w:rsidRPr="008F33FD">
        <w:rPr>
          <w:color w:val="000000"/>
          <w:sz w:val="24"/>
          <w:lang w:val="en-GB"/>
        </w:rPr>
        <w:t xml:space="preserve">, F. and Rüdiger, K. (2020) </w:t>
      </w:r>
      <w:r w:rsidR="00A22DB1" w:rsidRPr="008F33FD">
        <w:rPr>
          <w:color w:val="000000"/>
          <w:sz w:val="24"/>
          <w:lang w:val="en-GB"/>
        </w:rPr>
        <w:t>‘</w:t>
      </w:r>
      <w:r w:rsidRPr="008F33FD">
        <w:rPr>
          <w:color w:val="000000"/>
          <w:sz w:val="24"/>
          <w:lang w:val="en-GB"/>
        </w:rPr>
        <w:t>What does it matter for trust of green consumers? An application to German electricity market</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Cleaner Production</w:t>
      </w:r>
      <w:r w:rsidRPr="008F33FD">
        <w:rPr>
          <w:color w:val="000000"/>
          <w:sz w:val="24"/>
          <w:lang w:val="en-GB"/>
        </w:rPr>
        <w:t>, 242, p. 118484.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j.jclepro.2019.118484</w:t>
      </w:r>
      <w:proofErr w:type="spellEnd"/>
      <w:r w:rsidRPr="008F33FD">
        <w:rPr>
          <w:color w:val="000000"/>
          <w:sz w:val="24"/>
          <w:lang w:val="en-GB"/>
        </w:rPr>
        <w:t>.</w:t>
      </w:r>
    </w:p>
    <w:p w14:paraId="7926DC54" w14:textId="2D45C7CD"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Midamba</w:t>
      </w:r>
      <w:proofErr w:type="spellEnd"/>
      <w:r w:rsidRPr="008F33FD">
        <w:rPr>
          <w:color w:val="000000"/>
          <w:sz w:val="24"/>
          <w:lang w:val="en-GB"/>
        </w:rPr>
        <w:t xml:space="preserve">, D.C., Okech Francis Ndolo, Chepkoech, B., </w:t>
      </w:r>
      <w:proofErr w:type="spellStart"/>
      <w:r w:rsidRPr="008F33FD">
        <w:rPr>
          <w:color w:val="000000"/>
          <w:sz w:val="24"/>
          <w:lang w:val="en-GB"/>
        </w:rPr>
        <w:t>Agbolosoo</w:t>
      </w:r>
      <w:proofErr w:type="spellEnd"/>
      <w:r w:rsidRPr="008F33FD">
        <w:rPr>
          <w:color w:val="000000"/>
          <w:sz w:val="24"/>
          <w:lang w:val="en-GB"/>
        </w:rPr>
        <w:t xml:space="preserve">, J.A., </w:t>
      </w:r>
      <w:proofErr w:type="spellStart"/>
      <w:r w:rsidRPr="008F33FD">
        <w:rPr>
          <w:color w:val="000000"/>
          <w:sz w:val="24"/>
          <w:lang w:val="en-GB"/>
        </w:rPr>
        <w:t>Ouya</w:t>
      </w:r>
      <w:proofErr w:type="spellEnd"/>
      <w:r w:rsidRPr="008F33FD">
        <w:rPr>
          <w:color w:val="000000"/>
          <w:sz w:val="24"/>
          <w:lang w:val="en-GB"/>
        </w:rPr>
        <w:t xml:space="preserve">, F.O. and </w:t>
      </w:r>
      <w:proofErr w:type="spellStart"/>
      <w:r w:rsidRPr="008F33FD">
        <w:rPr>
          <w:color w:val="000000"/>
          <w:sz w:val="24"/>
          <w:lang w:val="en-GB"/>
        </w:rPr>
        <w:t>Accram</w:t>
      </w:r>
      <w:proofErr w:type="spellEnd"/>
      <w:r w:rsidRPr="008F33FD">
        <w:rPr>
          <w:color w:val="000000"/>
          <w:sz w:val="24"/>
          <w:lang w:val="en-GB"/>
        </w:rPr>
        <w:t xml:space="preserve"> </w:t>
      </w:r>
      <w:proofErr w:type="spellStart"/>
      <w:r w:rsidRPr="008F33FD">
        <w:rPr>
          <w:color w:val="000000"/>
          <w:sz w:val="24"/>
          <w:lang w:val="en-GB"/>
        </w:rPr>
        <w:t>Jjengo</w:t>
      </w:r>
      <w:proofErr w:type="spellEnd"/>
      <w:r w:rsidRPr="008F33FD">
        <w:rPr>
          <w:color w:val="000000"/>
          <w:sz w:val="24"/>
          <w:lang w:val="en-GB"/>
        </w:rPr>
        <w:t xml:space="preserve"> (2025) </w:t>
      </w:r>
      <w:r w:rsidR="00A22DB1" w:rsidRPr="008F33FD">
        <w:rPr>
          <w:color w:val="000000"/>
          <w:sz w:val="24"/>
          <w:lang w:val="en-GB"/>
        </w:rPr>
        <w:t>‘</w:t>
      </w:r>
      <w:r w:rsidRPr="008F33FD">
        <w:rPr>
          <w:color w:val="000000"/>
          <w:sz w:val="24"/>
          <w:lang w:val="en-GB"/>
        </w:rPr>
        <w:t>Data Collection Methods in Social Sciences: A Primer for Novice Researchers and Students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South Asian Journal of Social Studies and Economics</w:t>
      </w:r>
      <w:r w:rsidRPr="008F33FD">
        <w:rPr>
          <w:color w:val="000000"/>
          <w:sz w:val="24"/>
          <w:lang w:val="en-GB"/>
        </w:rPr>
        <w:t>, 22(6), pp. 217</w:t>
      </w:r>
      <w:r w:rsidR="008F33FD">
        <w:rPr>
          <w:color w:val="000000"/>
          <w:sz w:val="24"/>
          <w:lang w:val="en-GB"/>
        </w:rPr>
        <w:t>-</w:t>
      </w:r>
      <w:r w:rsidRPr="008F33FD">
        <w:rPr>
          <w:color w:val="000000"/>
          <w:sz w:val="24"/>
          <w:lang w:val="en-GB"/>
        </w:rPr>
        <w:t>229. Available at: https://</w:t>
      </w:r>
      <w:proofErr w:type="spellStart"/>
      <w:r w:rsidRPr="008F33FD">
        <w:rPr>
          <w:color w:val="000000"/>
          <w:sz w:val="24"/>
          <w:lang w:val="en-GB"/>
        </w:rPr>
        <w:t>doi.org</w:t>
      </w:r>
      <w:proofErr w:type="spellEnd"/>
      <w:r w:rsidRPr="008F33FD">
        <w:rPr>
          <w:color w:val="000000"/>
          <w:sz w:val="24"/>
          <w:lang w:val="en-GB"/>
        </w:rPr>
        <w:t>/10.9734/</w:t>
      </w:r>
      <w:proofErr w:type="spellStart"/>
      <w:r w:rsidRPr="008F33FD">
        <w:rPr>
          <w:color w:val="000000"/>
          <w:sz w:val="24"/>
          <w:lang w:val="en-GB"/>
        </w:rPr>
        <w:t>sajsse</w:t>
      </w:r>
      <w:proofErr w:type="spellEnd"/>
      <w:r w:rsidRPr="008F33FD">
        <w:rPr>
          <w:color w:val="000000"/>
          <w:sz w:val="24"/>
          <w:lang w:val="en-GB"/>
        </w:rPr>
        <w:t>/2025/</w:t>
      </w:r>
      <w:proofErr w:type="spellStart"/>
      <w:r w:rsidRPr="008F33FD">
        <w:rPr>
          <w:color w:val="000000"/>
          <w:sz w:val="24"/>
          <w:lang w:val="en-GB"/>
        </w:rPr>
        <w:t>v22i61049</w:t>
      </w:r>
      <w:proofErr w:type="spellEnd"/>
      <w:r w:rsidRPr="008F33FD">
        <w:rPr>
          <w:color w:val="000000"/>
          <w:sz w:val="24"/>
          <w:lang w:val="en-GB"/>
        </w:rPr>
        <w:t>.</w:t>
      </w:r>
    </w:p>
    <w:p w14:paraId="62DF6B1D" w14:textId="369CE7F6"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lastRenderedPageBreak/>
        <w:t xml:space="preserve">Montgomery, A.W., Lyon, T.P. and Barg, J. (2023) </w:t>
      </w:r>
      <w:r w:rsidR="00A22DB1" w:rsidRPr="008F33FD">
        <w:rPr>
          <w:color w:val="000000"/>
          <w:sz w:val="24"/>
          <w:lang w:val="en-GB"/>
        </w:rPr>
        <w:t>‘</w:t>
      </w:r>
      <w:r w:rsidRPr="008F33FD">
        <w:rPr>
          <w:color w:val="000000"/>
          <w:sz w:val="24"/>
          <w:lang w:val="en-GB"/>
        </w:rPr>
        <w:t>No end in sight? A greenwash review and research agenda</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Proceedings - Academy of Management</w:t>
      </w:r>
      <w:r w:rsidRPr="008F33FD">
        <w:rPr>
          <w:color w:val="000000"/>
          <w:sz w:val="24"/>
          <w:lang w:val="en-GB"/>
        </w:rPr>
        <w:t>, 2023(1). Available at: https://</w:t>
      </w:r>
      <w:proofErr w:type="spellStart"/>
      <w:r w:rsidRPr="008F33FD">
        <w:rPr>
          <w:color w:val="000000"/>
          <w:sz w:val="24"/>
          <w:lang w:val="en-GB"/>
        </w:rPr>
        <w:t>doi.org</w:t>
      </w:r>
      <w:proofErr w:type="spellEnd"/>
      <w:r w:rsidRPr="008F33FD">
        <w:rPr>
          <w:color w:val="000000"/>
          <w:sz w:val="24"/>
          <w:lang w:val="en-GB"/>
        </w:rPr>
        <w:t>/10.5465/</w:t>
      </w:r>
      <w:proofErr w:type="spellStart"/>
      <w:r w:rsidRPr="008F33FD">
        <w:rPr>
          <w:color w:val="000000"/>
          <w:sz w:val="24"/>
          <w:lang w:val="en-GB"/>
        </w:rPr>
        <w:t>amproc.2023.10410abstract</w:t>
      </w:r>
      <w:proofErr w:type="spellEnd"/>
      <w:r w:rsidRPr="008F33FD">
        <w:rPr>
          <w:color w:val="000000"/>
          <w:sz w:val="24"/>
          <w:lang w:val="en-GB"/>
        </w:rPr>
        <w:t>.</w:t>
      </w:r>
    </w:p>
    <w:p w14:paraId="301D2741" w14:textId="773F3AE8"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Montgomery, N.V., Raju, S., Desai, K.K. and </w:t>
      </w:r>
      <w:proofErr w:type="spellStart"/>
      <w:r w:rsidRPr="008F33FD">
        <w:rPr>
          <w:color w:val="000000"/>
          <w:sz w:val="24"/>
          <w:lang w:val="en-GB"/>
        </w:rPr>
        <w:t>Unnava</w:t>
      </w:r>
      <w:proofErr w:type="spellEnd"/>
      <w:r w:rsidRPr="008F33FD">
        <w:rPr>
          <w:color w:val="000000"/>
          <w:sz w:val="24"/>
          <w:lang w:val="en-GB"/>
        </w:rPr>
        <w:t xml:space="preserve">, H.R. (2017) </w:t>
      </w:r>
      <w:r w:rsidR="00A22DB1" w:rsidRPr="008F33FD">
        <w:rPr>
          <w:color w:val="000000"/>
          <w:sz w:val="24"/>
          <w:lang w:val="en-GB"/>
        </w:rPr>
        <w:t>‘</w:t>
      </w:r>
      <w:r w:rsidRPr="008F33FD">
        <w:rPr>
          <w:color w:val="000000"/>
          <w:sz w:val="24"/>
          <w:lang w:val="en-GB"/>
        </w:rPr>
        <w:t>When good consumers turn bad: Psychological contract breach in committed brand relationships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Consumer Psychology</w:t>
      </w:r>
      <w:r w:rsidRPr="008F33FD">
        <w:rPr>
          <w:color w:val="000000"/>
          <w:sz w:val="24"/>
          <w:lang w:val="en-GB"/>
        </w:rPr>
        <w:t>. Edited by A. Kirmani and M. Zhang, 28(3), pp. 437</w:t>
      </w:r>
      <w:r w:rsidR="008F33FD">
        <w:rPr>
          <w:color w:val="000000"/>
          <w:sz w:val="24"/>
          <w:lang w:val="en-GB"/>
        </w:rPr>
        <w:t>-</w:t>
      </w:r>
      <w:r w:rsidRPr="008F33FD">
        <w:rPr>
          <w:color w:val="000000"/>
          <w:sz w:val="24"/>
          <w:lang w:val="en-GB"/>
        </w:rPr>
        <w:t>449. Available at: https://</w:t>
      </w:r>
      <w:proofErr w:type="spellStart"/>
      <w:r w:rsidRPr="008F33FD">
        <w:rPr>
          <w:color w:val="000000"/>
          <w:sz w:val="24"/>
          <w:lang w:val="en-GB"/>
        </w:rPr>
        <w:t>doi.org</w:t>
      </w:r>
      <w:proofErr w:type="spellEnd"/>
      <w:r w:rsidRPr="008F33FD">
        <w:rPr>
          <w:color w:val="000000"/>
          <w:sz w:val="24"/>
          <w:lang w:val="en-GB"/>
        </w:rPr>
        <w:t>/10.1002/</w:t>
      </w:r>
      <w:proofErr w:type="spellStart"/>
      <w:r w:rsidRPr="008F33FD">
        <w:rPr>
          <w:color w:val="000000"/>
          <w:sz w:val="24"/>
          <w:lang w:val="en-GB"/>
        </w:rPr>
        <w:t>jcpy.1015</w:t>
      </w:r>
      <w:proofErr w:type="spellEnd"/>
      <w:r w:rsidRPr="008F33FD">
        <w:rPr>
          <w:color w:val="000000"/>
          <w:sz w:val="24"/>
          <w:lang w:val="en-GB"/>
        </w:rPr>
        <w:t>.</w:t>
      </w:r>
    </w:p>
    <w:p w14:paraId="6977BBC8" w14:textId="2838D716"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Munro, P.J., Kapitan, S. and </w:t>
      </w:r>
      <w:proofErr w:type="spellStart"/>
      <w:r w:rsidRPr="008F33FD">
        <w:rPr>
          <w:color w:val="000000"/>
          <w:sz w:val="24"/>
          <w:lang w:val="en-GB"/>
        </w:rPr>
        <w:t>Wooliscroft</w:t>
      </w:r>
      <w:proofErr w:type="spellEnd"/>
      <w:r w:rsidRPr="008F33FD">
        <w:rPr>
          <w:color w:val="000000"/>
          <w:sz w:val="24"/>
          <w:lang w:val="en-GB"/>
        </w:rPr>
        <w:t xml:space="preserve">, B. (2023) </w:t>
      </w:r>
      <w:r w:rsidR="00A22DB1" w:rsidRPr="008F33FD">
        <w:rPr>
          <w:color w:val="000000"/>
          <w:sz w:val="24"/>
          <w:lang w:val="en-GB"/>
        </w:rPr>
        <w:t>‘</w:t>
      </w:r>
      <w:r w:rsidRPr="008F33FD">
        <w:rPr>
          <w:color w:val="000000"/>
          <w:sz w:val="24"/>
          <w:lang w:val="en-GB"/>
        </w:rPr>
        <w:t>The sustainable attitude-</w:t>
      </w:r>
      <w:proofErr w:type="spellStart"/>
      <w:r w:rsidRPr="008F33FD">
        <w:rPr>
          <w:color w:val="000000"/>
          <w:sz w:val="24"/>
          <w:lang w:val="en-GB"/>
        </w:rPr>
        <w:t>behavior</w:t>
      </w:r>
      <w:proofErr w:type="spellEnd"/>
      <w:r w:rsidRPr="008F33FD">
        <w:rPr>
          <w:color w:val="000000"/>
          <w:sz w:val="24"/>
          <w:lang w:val="en-GB"/>
        </w:rPr>
        <w:t xml:space="preserve"> gap dynamic when shopping at the supermarket: A systematic literature review and framework for future research</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Cleaner Production</w:t>
      </w:r>
      <w:r w:rsidRPr="008F33FD">
        <w:rPr>
          <w:color w:val="000000"/>
          <w:sz w:val="24"/>
          <w:lang w:val="en-GB"/>
        </w:rPr>
        <w:t>, 426, pp. 138740</w:t>
      </w:r>
      <w:r w:rsidR="008F33FD">
        <w:rPr>
          <w:color w:val="000000"/>
          <w:sz w:val="24"/>
          <w:lang w:val="en-GB"/>
        </w:rPr>
        <w:t>-</w:t>
      </w:r>
      <w:r w:rsidRPr="008F33FD">
        <w:rPr>
          <w:color w:val="000000"/>
          <w:sz w:val="24"/>
          <w:lang w:val="en-GB"/>
        </w:rPr>
        <w:t>138740.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j.jclepro.2023.138740</w:t>
      </w:r>
      <w:proofErr w:type="spellEnd"/>
      <w:r w:rsidRPr="008F33FD">
        <w:rPr>
          <w:color w:val="000000"/>
          <w:sz w:val="24"/>
          <w:lang w:val="en-GB"/>
        </w:rPr>
        <w:t>.</w:t>
      </w:r>
    </w:p>
    <w:p w14:paraId="316BD953" w14:textId="48A4EB68"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Nalle, F. and Ismail, M. (2024) </w:t>
      </w:r>
      <w:r w:rsidR="00A22DB1" w:rsidRPr="008F33FD">
        <w:rPr>
          <w:color w:val="000000"/>
          <w:sz w:val="24"/>
          <w:lang w:val="en-GB"/>
        </w:rPr>
        <w:t>‘</w:t>
      </w:r>
      <w:r w:rsidRPr="008F33FD">
        <w:rPr>
          <w:color w:val="000000"/>
          <w:sz w:val="24"/>
          <w:lang w:val="en-GB"/>
        </w:rPr>
        <w:t>Epistemological criticism of the concept of individualism in conventional economies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proofErr w:type="spellStart"/>
      <w:r w:rsidRPr="008F33FD">
        <w:rPr>
          <w:i/>
          <w:iCs/>
          <w:color w:val="000000"/>
          <w:sz w:val="24"/>
          <w:lang w:val="en-GB"/>
        </w:rPr>
        <w:t>Jurnal</w:t>
      </w:r>
      <w:proofErr w:type="spellEnd"/>
      <w:r w:rsidRPr="008F33FD">
        <w:rPr>
          <w:i/>
          <w:iCs/>
          <w:color w:val="000000"/>
          <w:sz w:val="24"/>
          <w:lang w:val="en-GB"/>
        </w:rPr>
        <w:t xml:space="preserve"> </w:t>
      </w:r>
      <w:proofErr w:type="spellStart"/>
      <w:r w:rsidRPr="008F33FD">
        <w:rPr>
          <w:i/>
          <w:iCs/>
          <w:color w:val="000000"/>
          <w:sz w:val="24"/>
          <w:lang w:val="en-GB"/>
        </w:rPr>
        <w:t>Perspektif</w:t>
      </w:r>
      <w:proofErr w:type="spellEnd"/>
      <w:r w:rsidRPr="008F33FD">
        <w:rPr>
          <w:i/>
          <w:iCs/>
          <w:color w:val="000000"/>
          <w:sz w:val="24"/>
          <w:lang w:val="en-GB"/>
        </w:rPr>
        <w:t xml:space="preserve"> </w:t>
      </w:r>
      <w:proofErr w:type="spellStart"/>
      <w:r w:rsidRPr="008F33FD">
        <w:rPr>
          <w:i/>
          <w:iCs/>
          <w:color w:val="000000"/>
          <w:sz w:val="24"/>
          <w:lang w:val="en-GB"/>
        </w:rPr>
        <w:t>Pembiayaan</w:t>
      </w:r>
      <w:proofErr w:type="spellEnd"/>
      <w:r w:rsidRPr="008F33FD">
        <w:rPr>
          <w:i/>
          <w:iCs/>
          <w:color w:val="000000"/>
          <w:sz w:val="24"/>
          <w:lang w:val="en-GB"/>
        </w:rPr>
        <w:t xml:space="preserve"> dan Pembangunan Daerah</w:t>
      </w:r>
      <w:r w:rsidRPr="008F33FD">
        <w:rPr>
          <w:color w:val="000000"/>
          <w:sz w:val="24"/>
          <w:lang w:val="en-GB"/>
        </w:rPr>
        <w:t>, 12(1), pp. 67</w:t>
      </w:r>
      <w:r w:rsidR="008F33FD">
        <w:rPr>
          <w:color w:val="000000"/>
          <w:sz w:val="24"/>
          <w:lang w:val="en-GB"/>
        </w:rPr>
        <w:t>-</w:t>
      </w:r>
      <w:r w:rsidRPr="008F33FD">
        <w:rPr>
          <w:color w:val="000000"/>
          <w:sz w:val="24"/>
          <w:lang w:val="en-GB"/>
        </w:rPr>
        <w:t>90. Available at: https://</w:t>
      </w:r>
      <w:proofErr w:type="spellStart"/>
      <w:r w:rsidRPr="008F33FD">
        <w:rPr>
          <w:color w:val="000000"/>
          <w:sz w:val="24"/>
          <w:lang w:val="en-GB"/>
        </w:rPr>
        <w:t>doi.org</w:t>
      </w:r>
      <w:proofErr w:type="spellEnd"/>
      <w:r w:rsidRPr="008F33FD">
        <w:rPr>
          <w:color w:val="000000"/>
          <w:sz w:val="24"/>
          <w:lang w:val="en-GB"/>
        </w:rPr>
        <w:t>/10.22437/</w:t>
      </w:r>
      <w:proofErr w:type="spellStart"/>
      <w:r w:rsidRPr="008F33FD">
        <w:rPr>
          <w:color w:val="000000"/>
          <w:sz w:val="24"/>
          <w:lang w:val="en-GB"/>
        </w:rPr>
        <w:t>ppd.v12i1.30759</w:t>
      </w:r>
      <w:proofErr w:type="spellEnd"/>
      <w:r w:rsidRPr="008F33FD">
        <w:rPr>
          <w:color w:val="000000"/>
          <w:sz w:val="24"/>
          <w:lang w:val="en-GB"/>
        </w:rPr>
        <w:t>.</w:t>
      </w:r>
    </w:p>
    <w:p w14:paraId="117D0DB0" w14:textId="4C6D2141"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Narisu</w:t>
      </w:r>
      <w:proofErr w:type="spellEnd"/>
      <w:r w:rsidRPr="008F33FD">
        <w:rPr>
          <w:color w:val="000000"/>
          <w:sz w:val="24"/>
          <w:lang w:val="en-GB"/>
        </w:rPr>
        <w:t xml:space="preserve">, H. (2023) </w:t>
      </w:r>
      <w:r w:rsidR="00A22DB1" w:rsidRPr="008F33FD">
        <w:rPr>
          <w:color w:val="000000"/>
          <w:sz w:val="24"/>
          <w:lang w:val="en-GB"/>
        </w:rPr>
        <w:t>‘</w:t>
      </w:r>
      <w:r w:rsidRPr="008F33FD">
        <w:rPr>
          <w:color w:val="000000"/>
          <w:sz w:val="24"/>
          <w:lang w:val="en-GB"/>
        </w:rPr>
        <w:t>The impact of fast fashion on marine plastic pollution</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Current World Environment</w:t>
      </w:r>
      <w:r w:rsidRPr="008F33FD">
        <w:rPr>
          <w:color w:val="000000"/>
          <w:sz w:val="24"/>
          <w:lang w:val="en-GB"/>
        </w:rPr>
        <w:t>, 18(1), pp. 102</w:t>
      </w:r>
      <w:r w:rsidR="008F33FD">
        <w:rPr>
          <w:color w:val="000000"/>
          <w:sz w:val="24"/>
          <w:lang w:val="en-GB"/>
        </w:rPr>
        <w:t>-</w:t>
      </w:r>
      <w:r w:rsidRPr="008F33FD">
        <w:rPr>
          <w:color w:val="000000"/>
          <w:sz w:val="24"/>
          <w:lang w:val="en-GB"/>
        </w:rPr>
        <w:t>107. Available at: https://</w:t>
      </w:r>
      <w:proofErr w:type="spellStart"/>
      <w:r w:rsidRPr="008F33FD">
        <w:rPr>
          <w:color w:val="000000"/>
          <w:sz w:val="24"/>
          <w:lang w:val="en-GB"/>
        </w:rPr>
        <w:t>doi.org</w:t>
      </w:r>
      <w:proofErr w:type="spellEnd"/>
      <w:r w:rsidRPr="008F33FD">
        <w:rPr>
          <w:color w:val="000000"/>
          <w:sz w:val="24"/>
          <w:lang w:val="en-GB"/>
        </w:rPr>
        <w:t>/10.12944/</w:t>
      </w:r>
      <w:proofErr w:type="spellStart"/>
      <w:r w:rsidRPr="008F33FD">
        <w:rPr>
          <w:color w:val="000000"/>
          <w:sz w:val="24"/>
          <w:lang w:val="en-GB"/>
        </w:rPr>
        <w:t>cwe.18.1.9</w:t>
      </w:r>
      <w:proofErr w:type="spellEnd"/>
      <w:r w:rsidRPr="008F33FD">
        <w:rPr>
          <w:color w:val="000000"/>
          <w:sz w:val="24"/>
          <w:lang w:val="en-GB"/>
        </w:rPr>
        <w:t>.</w:t>
      </w:r>
    </w:p>
    <w:p w14:paraId="0582C5D3" w14:textId="7DC64373"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Neumann, H.L., Martinez, </w:t>
      </w:r>
      <w:proofErr w:type="spellStart"/>
      <w:r w:rsidRPr="008F33FD">
        <w:rPr>
          <w:color w:val="000000"/>
          <w:sz w:val="24"/>
          <w:lang w:val="en-GB"/>
        </w:rPr>
        <w:t>L.M</w:t>
      </w:r>
      <w:proofErr w:type="spellEnd"/>
      <w:r w:rsidRPr="008F33FD">
        <w:rPr>
          <w:color w:val="000000"/>
          <w:sz w:val="24"/>
          <w:lang w:val="en-GB"/>
        </w:rPr>
        <w:t xml:space="preserve">. and Martinez, L.F. (2020) </w:t>
      </w:r>
      <w:r w:rsidR="00A22DB1" w:rsidRPr="008F33FD">
        <w:rPr>
          <w:color w:val="000000"/>
          <w:sz w:val="24"/>
          <w:lang w:val="en-GB"/>
        </w:rPr>
        <w:t>‘</w:t>
      </w:r>
      <w:r w:rsidRPr="008F33FD">
        <w:rPr>
          <w:color w:val="000000"/>
          <w:sz w:val="24"/>
          <w:lang w:val="en-GB"/>
        </w:rPr>
        <w:t>Sustainability efforts in the fast fashion industry: Consumer perception, trust and purchase intention</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Sustainability Accounting, Management and Policy Journal</w:t>
      </w:r>
      <w:r w:rsidRPr="008F33FD">
        <w:rPr>
          <w:color w:val="000000"/>
          <w:sz w:val="24"/>
          <w:lang w:val="en-GB"/>
        </w:rPr>
        <w:t>, 12(3), pp. 571</w:t>
      </w:r>
      <w:r w:rsidR="008F33FD">
        <w:rPr>
          <w:color w:val="000000"/>
          <w:sz w:val="24"/>
          <w:lang w:val="en-GB"/>
        </w:rPr>
        <w:t>-</w:t>
      </w:r>
      <w:r w:rsidRPr="008F33FD">
        <w:rPr>
          <w:color w:val="000000"/>
          <w:sz w:val="24"/>
          <w:lang w:val="en-GB"/>
        </w:rPr>
        <w:t>590. Available at: https://</w:t>
      </w:r>
      <w:proofErr w:type="spellStart"/>
      <w:r w:rsidRPr="008F33FD">
        <w:rPr>
          <w:color w:val="000000"/>
          <w:sz w:val="24"/>
          <w:lang w:val="en-GB"/>
        </w:rPr>
        <w:t>doi.org</w:t>
      </w:r>
      <w:proofErr w:type="spellEnd"/>
      <w:r w:rsidRPr="008F33FD">
        <w:rPr>
          <w:color w:val="000000"/>
          <w:sz w:val="24"/>
          <w:lang w:val="en-GB"/>
        </w:rPr>
        <w:t>/10.1108/</w:t>
      </w:r>
      <w:proofErr w:type="spellStart"/>
      <w:r w:rsidRPr="008F33FD">
        <w:rPr>
          <w:color w:val="000000"/>
          <w:sz w:val="24"/>
          <w:lang w:val="en-GB"/>
        </w:rPr>
        <w:t>sampj</w:t>
      </w:r>
      <w:proofErr w:type="spellEnd"/>
      <w:r w:rsidRPr="008F33FD">
        <w:rPr>
          <w:color w:val="000000"/>
          <w:sz w:val="24"/>
          <w:lang w:val="en-GB"/>
        </w:rPr>
        <w:t>-11-2019-0405.</w:t>
      </w:r>
    </w:p>
    <w:p w14:paraId="04EBDB90" w14:textId="1DCB68D2"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Nguyen, </w:t>
      </w:r>
      <w:proofErr w:type="spellStart"/>
      <w:r w:rsidRPr="008F33FD">
        <w:rPr>
          <w:color w:val="000000"/>
          <w:sz w:val="24"/>
          <w:lang w:val="en-GB"/>
        </w:rPr>
        <w:t>T.T</w:t>
      </w:r>
      <w:proofErr w:type="spellEnd"/>
      <w:r w:rsidRPr="008F33FD">
        <w:rPr>
          <w:color w:val="000000"/>
          <w:sz w:val="24"/>
          <w:lang w:val="en-GB"/>
        </w:rPr>
        <w:t xml:space="preserve">., Nguyen, </w:t>
      </w:r>
      <w:proofErr w:type="spellStart"/>
      <w:r w:rsidRPr="008F33FD">
        <w:rPr>
          <w:color w:val="000000"/>
          <w:sz w:val="24"/>
          <w:lang w:val="en-GB"/>
        </w:rPr>
        <w:t>K.H</w:t>
      </w:r>
      <w:proofErr w:type="spellEnd"/>
      <w:r w:rsidRPr="008F33FD">
        <w:rPr>
          <w:color w:val="000000"/>
          <w:sz w:val="24"/>
          <w:lang w:val="en-GB"/>
        </w:rPr>
        <w:t xml:space="preserve">. and Tran, M.D. (2026) </w:t>
      </w:r>
      <w:r w:rsidR="00A22DB1" w:rsidRPr="008F33FD">
        <w:rPr>
          <w:color w:val="000000"/>
          <w:sz w:val="24"/>
          <w:lang w:val="en-GB"/>
        </w:rPr>
        <w:t>‘</w:t>
      </w:r>
      <w:r w:rsidRPr="008F33FD">
        <w:rPr>
          <w:color w:val="000000"/>
          <w:sz w:val="24"/>
          <w:lang w:val="en-GB"/>
        </w:rPr>
        <w:t>Green influencer marketing and sustainable consumption: A systematic review and Future Research Agenda</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International Journal of Consumer Studies</w:t>
      </w:r>
      <w:r w:rsidRPr="008F33FD">
        <w:rPr>
          <w:color w:val="000000"/>
          <w:sz w:val="24"/>
          <w:lang w:val="en-GB"/>
        </w:rPr>
        <w:t>, 50(4). Available at: https://</w:t>
      </w:r>
      <w:proofErr w:type="spellStart"/>
      <w:r w:rsidRPr="008F33FD">
        <w:rPr>
          <w:color w:val="000000"/>
          <w:sz w:val="24"/>
          <w:lang w:val="en-GB"/>
        </w:rPr>
        <w:t>doi.org</w:t>
      </w:r>
      <w:proofErr w:type="spellEnd"/>
      <w:r w:rsidRPr="008F33FD">
        <w:rPr>
          <w:color w:val="000000"/>
          <w:sz w:val="24"/>
          <w:lang w:val="en-GB"/>
        </w:rPr>
        <w:t>/10.1111/</w:t>
      </w:r>
      <w:proofErr w:type="spellStart"/>
      <w:r w:rsidRPr="008F33FD">
        <w:rPr>
          <w:color w:val="000000"/>
          <w:sz w:val="24"/>
          <w:lang w:val="en-GB"/>
        </w:rPr>
        <w:t>ijcs.70233</w:t>
      </w:r>
      <w:proofErr w:type="spellEnd"/>
      <w:r w:rsidRPr="008F33FD">
        <w:rPr>
          <w:color w:val="000000"/>
          <w:sz w:val="24"/>
          <w:lang w:val="en-GB"/>
        </w:rPr>
        <w:t>.</w:t>
      </w:r>
    </w:p>
    <w:p w14:paraId="6752E7B8" w14:textId="0D178FB2"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Nkiko</w:t>
      </w:r>
      <w:proofErr w:type="spellEnd"/>
      <w:r w:rsidRPr="008F33FD">
        <w:rPr>
          <w:color w:val="000000"/>
          <w:sz w:val="24"/>
          <w:lang w:val="en-GB"/>
        </w:rPr>
        <w:t xml:space="preserve">, C.M. (2026) </w:t>
      </w:r>
      <w:r w:rsidR="00A22DB1" w:rsidRPr="008F33FD">
        <w:rPr>
          <w:color w:val="000000"/>
          <w:sz w:val="24"/>
          <w:lang w:val="en-GB"/>
        </w:rPr>
        <w:t>‘</w:t>
      </w:r>
      <w:r w:rsidRPr="008F33FD">
        <w:rPr>
          <w:color w:val="000000"/>
          <w:sz w:val="24"/>
          <w:lang w:val="en-GB"/>
        </w:rPr>
        <w:t>Behavioural sustainability and artificial intelligence: A multi-level systematic review of the intention</w:t>
      </w:r>
      <w:r w:rsidR="008F33FD">
        <w:rPr>
          <w:color w:val="000000"/>
          <w:sz w:val="24"/>
          <w:lang w:val="en-GB"/>
        </w:rPr>
        <w:t>-</w:t>
      </w:r>
      <w:r w:rsidRPr="008F33FD">
        <w:rPr>
          <w:color w:val="000000"/>
          <w:sz w:val="24"/>
          <w:lang w:val="en-GB"/>
        </w:rPr>
        <w:t>behaviour gap and decoupling</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Sustainability</w:t>
      </w:r>
      <w:r w:rsidRPr="008F33FD">
        <w:rPr>
          <w:color w:val="000000"/>
          <w:sz w:val="24"/>
          <w:lang w:val="en-GB"/>
        </w:rPr>
        <w:t>, 18(10), p. 4710. Available at: https://</w:t>
      </w:r>
      <w:proofErr w:type="spellStart"/>
      <w:r w:rsidRPr="008F33FD">
        <w:rPr>
          <w:color w:val="000000"/>
          <w:sz w:val="24"/>
          <w:lang w:val="en-GB"/>
        </w:rPr>
        <w:t>doi.org</w:t>
      </w:r>
      <w:proofErr w:type="spellEnd"/>
      <w:r w:rsidRPr="008F33FD">
        <w:rPr>
          <w:color w:val="000000"/>
          <w:sz w:val="24"/>
          <w:lang w:val="en-GB"/>
        </w:rPr>
        <w:t>/10.3390/</w:t>
      </w:r>
      <w:proofErr w:type="spellStart"/>
      <w:r w:rsidRPr="008F33FD">
        <w:rPr>
          <w:color w:val="000000"/>
          <w:sz w:val="24"/>
          <w:lang w:val="en-GB"/>
        </w:rPr>
        <w:t>su18104710</w:t>
      </w:r>
      <w:proofErr w:type="spellEnd"/>
      <w:r w:rsidRPr="008F33FD">
        <w:rPr>
          <w:color w:val="000000"/>
          <w:sz w:val="24"/>
          <w:lang w:val="en-GB"/>
        </w:rPr>
        <w:t>.</w:t>
      </w:r>
    </w:p>
    <w:p w14:paraId="729077D3"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Nunnally, J.C. (1978)</w:t>
      </w:r>
      <w:r w:rsidRPr="008F33FD">
        <w:rPr>
          <w:rStyle w:val="apple-converted-space"/>
          <w:rFonts w:eastAsiaTheme="majorEastAsia"/>
          <w:color w:val="000000"/>
          <w:sz w:val="24"/>
          <w:lang w:val="en-GB"/>
        </w:rPr>
        <w:t> </w:t>
      </w:r>
      <w:r w:rsidRPr="008F33FD">
        <w:rPr>
          <w:i/>
          <w:iCs/>
          <w:color w:val="000000"/>
          <w:sz w:val="24"/>
          <w:lang w:val="en-GB"/>
        </w:rPr>
        <w:t>Psychometric theory</w:t>
      </w:r>
      <w:r w:rsidRPr="008F33FD">
        <w:rPr>
          <w:color w:val="000000"/>
          <w:sz w:val="24"/>
          <w:lang w:val="en-GB"/>
        </w:rPr>
        <w:t xml:space="preserve">. 2nd </w:t>
      </w:r>
      <w:proofErr w:type="spellStart"/>
      <w:r w:rsidRPr="008F33FD">
        <w:rPr>
          <w:color w:val="000000"/>
          <w:sz w:val="24"/>
          <w:lang w:val="en-GB"/>
        </w:rPr>
        <w:t>edn</w:t>
      </w:r>
      <w:proofErr w:type="spellEnd"/>
      <w:r w:rsidRPr="008F33FD">
        <w:rPr>
          <w:color w:val="000000"/>
          <w:sz w:val="24"/>
          <w:lang w:val="en-GB"/>
        </w:rPr>
        <w:t>. McGraw-Hill Companies.</w:t>
      </w:r>
    </w:p>
    <w:p w14:paraId="2B51CEC4" w14:textId="106F09AD"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Olamide, A. (2025) </w:t>
      </w:r>
      <w:r w:rsidR="00A22DB1" w:rsidRPr="008F33FD">
        <w:rPr>
          <w:color w:val="000000"/>
          <w:sz w:val="24"/>
          <w:lang w:val="en-GB"/>
        </w:rPr>
        <w:t>‘</w:t>
      </w:r>
      <w:r w:rsidRPr="008F33FD">
        <w:rPr>
          <w:color w:val="000000"/>
          <w:sz w:val="24"/>
          <w:lang w:val="en-GB"/>
        </w:rPr>
        <w:t>Fast fashion</w:t>
      </w:r>
      <w:r w:rsidR="00A22DB1" w:rsidRPr="008F33FD">
        <w:rPr>
          <w:color w:val="000000"/>
          <w:sz w:val="24"/>
          <w:lang w:val="en-GB"/>
        </w:rPr>
        <w:t>’</w:t>
      </w:r>
      <w:r w:rsidRPr="008F33FD">
        <w:rPr>
          <w:color w:val="000000"/>
          <w:sz w:val="24"/>
          <w:lang w:val="en-GB"/>
        </w:rPr>
        <w:t>s sustainability dilemma: Navigating consumer demand and environmental responsibility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Asian Journal of Marketing Management</w:t>
      </w:r>
      <w:r w:rsidRPr="008F33FD">
        <w:rPr>
          <w:color w:val="000000"/>
          <w:sz w:val="24"/>
          <w:lang w:val="en-GB"/>
        </w:rPr>
        <w:t>, 4(2). Available at: https://</w:t>
      </w:r>
      <w:proofErr w:type="spellStart"/>
      <w:r w:rsidRPr="008F33FD">
        <w:rPr>
          <w:color w:val="000000"/>
          <w:sz w:val="24"/>
          <w:lang w:val="en-GB"/>
        </w:rPr>
        <w:t>doi.org</w:t>
      </w:r>
      <w:proofErr w:type="spellEnd"/>
      <w:r w:rsidRPr="008F33FD">
        <w:rPr>
          <w:color w:val="000000"/>
          <w:sz w:val="24"/>
          <w:lang w:val="en-GB"/>
        </w:rPr>
        <w:t>/10.31357/</w:t>
      </w:r>
      <w:proofErr w:type="spellStart"/>
      <w:r w:rsidRPr="008F33FD">
        <w:rPr>
          <w:color w:val="000000"/>
          <w:sz w:val="24"/>
          <w:lang w:val="en-GB"/>
        </w:rPr>
        <w:t>ajmm.v4i2.8195</w:t>
      </w:r>
      <w:proofErr w:type="spellEnd"/>
      <w:r w:rsidRPr="008F33FD">
        <w:rPr>
          <w:color w:val="000000"/>
          <w:sz w:val="24"/>
          <w:lang w:val="en-GB"/>
        </w:rPr>
        <w:t>.</w:t>
      </w:r>
    </w:p>
    <w:p w14:paraId="7C760B71" w14:textId="2E2278B5"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lastRenderedPageBreak/>
        <w:t xml:space="preserve">Oliver, </w:t>
      </w:r>
      <w:proofErr w:type="spellStart"/>
      <w:r w:rsidRPr="008F33FD">
        <w:rPr>
          <w:color w:val="000000"/>
          <w:sz w:val="24"/>
          <w:lang w:val="en-GB"/>
        </w:rPr>
        <w:t>R.L</w:t>
      </w:r>
      <w:proofErr w:type="spellEnd"/>
      <w:r w:rsidRPr="008F33FD">
        <w:rPr>
          <w:color w:val="000000"/>
          <w:sz w:val="24"/>
          <w:lang w:val="en-GB"/>
        </w:rPr>
        <w:t xml:space="preserve">. (1980) </w:t>
      </w:r>
      <w:r w:rsidR="00A22DB1" w:rsidRPr="008F33FD">
        <w:rPr>
          <w:color w:val="000000"/>
          <w:sz w:val="24"/>
          <w:lang w:val="en-GB"/>
        </w:rPr>
        <w:t>‘</w:t>
      </w:r>
      <w:r w:rsidRPr="008F33FD">
        <w:rPr>
          <w:color w:val="000000"/>
          <w:sz w:val="24"/>
          <w:lang w:val="en-GB"/>
        </w:rPr>
        <w:t>A cognitive model of the antecedents and consequences of satisfaction decisions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Marketing Research</w:t>
      </w:r>
      <w:r w:rsidRPr="008F33FD">
        <w:rPr>
          <w:color w:val="000000"/>
          <w:sz w:val="24"/>
          <w:lang w:val="en-GB"/>
        </w:rPr>
        <w:t>, 17(4), pp. 460</w:t>
      </w:r>
      <w:r w:rsidR="008F33FD">
        <w:rPr>
          <w:color w:val="000000"/>
          <w:sz w:val="24"/>
          <w:lang w:val="en-GB"/>
        </w:rPr>
        <w:t>-</w:t>
      </w:r>
      <w:r w:rsidRPr="008F33FD">
        <w:rPr>
          <w:color w:val="000000"/>
          <w:sz w:val="24"/>
          <w:lang w:val="en-GB"/>
        </w:rPr>
        <w:t>469. Available at: https://</w:t>
      </w:r>
      <w:proofErr w:type="spellStart"/>
      <w:r w:rsidRPr="008F33FD">
        <w:rPr>
          <w:color w:val="000000"/>
          <w:sz w:val="24"/>
          <w:lang w:val="en-GB"/>
        </w:rPr>
        <w:t>doi.org</w:t>
      </w:r>
      <w:proofErr w:type="spellEnd"/>
      <w:r w:rsidRPr="008F33FD">
        <w:rPr>
          <w:color w:val="000000"/>
          <w:sz w:val="24"/>
          <w:lang w:val="en-GB"/>
        </w:rPr>
        <w:t>/10.1177/002224378001700405.</w:t>
      </w:r>
    </w:p>
    <w:p w14:paraId="57A1F0E0"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Pajo, B. (2022)</w:t>
      </w:r>
      <w:r w:rsidRPr="008F33FD">
        <w:rPr>
          <w:rStyle w:val="apple-converted-space"/>
          <w:rFonts w:eastAsiaTheme="majorEastAsia"/>
          <w:color w:val="000000"/>
          <w:sz w:val="24"/>
          <w:lang w:val="en-GB"/>
        </w:rPr>
        <w:t> </w:t>
      </w:r>
      <w:r w:rsidRPr="008F33FD">
        <w:rPr>
          <w:i/>
          <w:iCs/>
          <w:color w:val="000000"/>
          <w:sz w:val="24"/>
          <w:lang w:val="en-GB"/>
        </w:rPr>
        <w:t>Introduction to Research Methods</w:t>
      </w:r>
      <w:r w:rsidRPr="008F33FD">
        <w:rPr>
          <w:color w:val="000000"/>
          <w:sz w:val="24"/>
          <w:lang w:val="en-GB"/>
        </w:rPr>
        <w:t xml:space="preserve">. 2nd </w:t>
      </w:r>
      <w:proofErr w:type="spellStart"/>
      <w:r w:rsidRPr="008F33FD">
        <w:rPr>
          <w:color w:val="000000"/>
          <w:sz w:val="24"/>
          <w:lang w:val="en-GB"/>
        </w:rPr>
        <w:t>edn</w:t>
      </w:r>
      <w:proofErr w:type="spellEnd"/>
      <w:r w:rsidRPr="008F33FD">
        <w:rPr>
          <w:color w:val="000000"/>
          <w:sz w:val="24"/>
          <w:lang w:val="en-GB"/>
        </w:rPr>
        <w:t>. SAGE Publications.</w:t>
      </w:r>
    </w:p>
    <w:p w14:paraId="7AA2A0E8" w14:textId="7AC0E54C"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Pan, C., Yu, X., Wang, W. and Lu, X. (2026) </w:t>
      </w:r>
      <w:r w:rsidR="00A22DB1" w:rsidRPr="008F33FD">
        <w:rPr>
          <w:color w:val="000000"/>
          <w:sz w:val="24"/>
          <w:lang w:val="en-GB"/>
        </w:rPr>
        <w:t>‘</w:t>
      </w:r>
      <w:r w:rsidRPr="008F33FD">
        <w:rPr>
          <w:color w:val="000000"/>
          <w:sz w:val="24"/>
          <w:lang w:val="en-GB"/>
        </w:rPr>
        <w:t>Bridging credence uncertainty through authenticity: Green Trust formation in agricultural livestreaming commerce</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Frontiers in Sustainable Food Systems</w:t>
      </w:r>
      <w:r w:rsidRPr="008F33FD">
        <w:rPr>
          <w:color w:val="000000"/>
          <w:sz w:val="24"/>
          <w:lang w:val="en-GB"/>
        </w:rPr>
        <w:t>, 10. Available at: https://</w:t>
      </w:r>
      <w:proofErr w:type="spellStart"/>
      <w:r w:rsidRPr="008F33FD">
        <w:rPr>
          <w:color w:val="000000"/>
          <w:sz w:val="24"/>
          <w:lang w:val="en-GB"/>
        </w:rPr>
        <w:t>doi.org</w:t>
      </w:r>
      <w:proofErr w:type="spellEnd"/>
      <w:r w:rsidRPr="008F33FD">
        <w:rPr>
          <w:color w:val="000000"/>
          <w:sz w:val="24"/>
          <w:lang w:val="en-GB"/>
        </w:rPr>
        <w:t>/10.3389/</w:t>
      </w:r>
      <w:proofErr w:type="spellStart"/>
      <w:r w:rsidRPr="008F33FD">
        <w:rPr>
          <w:color w:val="000000"/>
          <w:sz w:val="24"/>
          <w:lang w:val="en-GB"/>
        </w:rPr>
        <w:t>fsufs.2026.1855419</w:t>
      </w:r>
      <w:proofErr w:type="spellEnd"/>
      <w:r w:rsidRPr="008F33FD">
        <w:rPr>
          <w:color w:val="000000"/>
          <w:sz w:val="24"/>
          <w:lang w:val="en-GB"/>
        </w:rPr>
        <w:t>.</w:t>
      </w:r>
    </w:p>
    <w:p w14:paraId="4C03D4D3" w14:textId="1A1F3337"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Panigyraki</w:t>
      </w:r>
      <w:proofErr w:type="spellEnd"/>
      <w:r w:rsidRPr="008F33FD">
        <w:rPr>
          <w:color w:val="000000"/>
          <w:sz w:val="24"/>
          <w:lang w:val="en-GB"/>
        </w:rPr>
        <w:t xml:space="preserve">, A. and </w:t>
      </w:r>
      <w:proofErr w:type="spellStart"/>
      <w:r w:rsidRPr="008F33FD">
        <w:rPr>
          <w:color w:val="000000"/>
          <w:sz w:val="24"/>
          <w:lang w:val="en-GB"/>
        </w:rPr>
        <w:t>Polyportis</w:t>
      </w:r>
      <w:proofErr w:type="spellEnd"/>
      <w:r w:rsidRPr="008F33FD">
        <w:rPr>
          <w:color w:val="000000"/>
          <w:sz w:val="24"/>
          <w:lang w:val="en-GB"/>
        </w:rPr>
        <w:t xml:space="preserve">, A. (2024) </w:t>
      </w:r>
      <w:r w:rsidR="00A22DB1" w:rsidRPr="008F33FD">
        <w:rPr>
          <w:color w:val="000000"/>
          <w:sz w:val="24"/>
          <w:lang w:val="en-GB"/>
        </w:rPr>
        <w:t>‘</w:t>
      </w:r>
      <w:r w:rsidRPr="008F33FD">
        <w:rPr>
          <w:color w:val="000000"/>
          <w:sz w:val="24"/>
          <w:lang w:val="en-GB"/>
        </w:rPr>
        <w:t>Effects of consumer suspicion: A review and agenda for future research</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Consumer Marketing</w:t>
      </w:r>
      <w:r w:rsidRPr="008F33FD">
        <w:rPr>
          <w:color w:val="000000"/>
          <w:sz w:val="24"/>
          <w:lang w:val="en-GB"/>
        </w:rPr>
        <w:t>, 41(6), pp. 610</w:t>
      </w:r>
      <w:r w:rsidR="008F33FD">
        <w:rPr>
          <w:color w:val="000000"/>
          <w:sz w:val="24"/>
          <w:lang w:val="en-GB"/>
        </w:rPr>
        <w:t>-</w:t>
      </w:r>
      <w:r w:rsidRPr="008F33FD">
        <w:rPr>
          <w:color w:val="000000"/>
          <w:sz w:val="24"/>
          <w:lang w:val="en-GB"/>
        </w:rPr>
        <w:t>623. Available at: https://</w:t>
      </w:r>
      <w:proofErr w:type="spellStart"/>
      <w:r w:rsidRPr="008F33FD">
        <w:rPr>
          <w:color w:val="000000"/>
          <w:sz w:val="24"/>
          <w:lang w:val="en-GB"/>
        </w:rPr>
        <w:t>doi.org</w:t>
      </w:r>
      <w:proofErr w:type="spellEnd"/>
      <w:r w:rsidRPr="008F33FD">
        <w:rPr>
          <w:color w:val="000000"/>
          <w:sz w:val="24"/>
          <w:lang w:val="en-GB"/>
        </w:rPr>
        <w:t>/10.1108/</w:t>
      </w:r>
      <w:proofErr w:type="spellStart"/>
      <w:r w:rsidRPr="008F33FD">
        <w:rPr>
          <w:color w:val="000000"/>
          <w:sz w:val="24"/>
          <w:lang w:val="en-GB"/>
        </w:rPr>
        <w:t>jcm</w:t>
      </w:r>
      <w:proofErr w:type="spellEnd"/>
      <w:r w:rsidRPr="008F33FD">
        <w:rPr>
          <w:color w:val="000000"/>
          <w:sz w:val="24"/>
          <w:lang w:val="en-GB"/>
        </w:rPr>
        <w:t>-10-2023-6376.</w:t>
      </w:r>
    </w:p>
    <w:p w14:paraId="4A0875E6" w14:textId="25F66E8E"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Park, </w:t>
      </w:r>
      <w:proofErr w:type="spellStart"/>
      <w:r w:rsidRPr="008F33FD">
        <w:rPr>
          <w:color w:val="000000"/>
          <w:sz w:val="24"/>
          <w:lang w:val="en-GB"/>
        </w:rPr>
        <w:t>Y.S</w:t>
      </w:r>
      <w:proofErr w:type="spellEnd"/>
      <w:r w:rsidRPr="008F33FD">
        <w:rPr>
          <w:color w:val="000000"/>
          <w:sz w:val="24"/>
          <w:lang w:val="en-GB"/>
        </w:rPr>
        <w:t xml:space="preserve">., Konge, L. and Artino, A.R. (2020) </w:t>
      </w:r>
      <w:r w:rsidR="00A22DB1" w:rsidRPr="008F33FD">
        <w:rPr>
          <w:color w:val="000000"/>
          <w:sz w:val="24"/>
          <w:lang w:val="en-GB"/>
        </w:rPr>
        <w:t>‘</w:t>
      </w:r>
      <w:r w:rsidRPr="008F33FD">
        <w:rPr>
          <w:color w:val="000000"/>
          <w:sz w:val="24"/>
          <w:lang w:val="en-GB"/>
        </w:rPr>
        <w:t>The positivism paradigm of research</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Academic Medicine</w:t>
      </w:r>
      <w:r w:rsidRPr="008F33FD">
        <w:rPr>
          <w:color w:val="000000"/>
          <w:sz w:val="24"/>
          <w:lang w:val="en-GB"/>
        </w:rPr>
        <w:t>, 95(5), pp. 690</w:t>
      </w:r>
      <w:r w:rsidR="008F33FD">
        <w:rPr>
          <w:color w:val="000000"/>
          <w:sz w:val="24"/>
          <w:lang w:val="en-GB"/>
        </w:rPr>
        <w:t>-</w:t>
      </w:r>
      <w:r w:rsidRPr="008F33FD">
        <w:rPr>
          <w:color w:val="000000"/>
          <w:sz w:val="24"/>
          <w:lang w:val="en-GB"/>
        </w:rPr>
        <w:t>694. Available at: https://</w:t>
      </w:r>
      <w:proofErr w:type="spellStart"/>
      <w:r w:rsidRPr="008F33FD">
        <w:rPr>
          <w:color w:val="000000"/>
          <w:sz w:val="24"/>
          <w:lang w:val="en-GB"/>
        </w:rPr>
        <w:t>doi.org</w:t>
      </w:r>
      <w:proofErr w:type="spellEnd"/>
      <w:r w:rsidRPr="008F33FD">
        <w:rPr>
          <w:color w:val="000000"/>
          <w:sz w:val="24"/>
          <w:lang w:val="en-GB"/>
        </w:rPr>
        <w:t>/10.1097/</w:t>
      </w:r>
      <w:proofErr w:type="spellStart"/>
      <w:r w:rsidRPr="008F33FD">
        <w:rPr>
          <w:color w:val="000000"/>
          <w:sz w:val="24"/>
          <w:lang w:val="en-GB"/>
        </w:rPr>
        <w:t>ACM.0000000000003093</w:t>
      </w:r>
      <w:proofErr w:type="spellEnd"/>
      <w:r w:rsidRPr="008F33FD">
        <w:rPr>
          <w:color w:val="000000"/>
          <w:sz w:val="24"/>
          <w:lang w:val="en-GB"/>
        </w:rPr>
        <w:t>.</w:t>
      </w:r>
    </w:p>
    <w:p w14:paraId="419FCAD4" w14:textId="10C42F11"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Pedersen, G. and Andersen, </w:t>
      </w:r>
      <w:proofErr w:type="spellStart"/>
      <w:r w:rsidRPr="008F33FD">
        <w:rPr>
          <w:color w:val="000000"/>
          <w:sz w:val="24"/>
          <w:lang w:val="en-GB"/>
        </w:rPr>
        <w:t>K.R</w:t>
      </w:r>
      <w:proofErr w:type="spellEnd"/>
      <w:r w:rsidRPr="008F33FD">
        <w:rPr>
          <w:color w:val="000000"/>
          <w:sz w:val="24"/>
          <w:lang w:val="en-GB"/>
        </w:rPr>
        <w:t xml:space="preserve">. (2023) </w:t>
      </w:r>
      <w:r w:rsidR="00A22DB1" w:rsidRPr="008F33FD">
        <w:rPr>
          <w:color w:val="000000"/>
          <w:sz w:val="24"/>
          <w:lang w:val="en-GB"/>
        </w:rPr>
        <w:t>‘</w:t>
      </w:r>
      <w:r w:rsidRPr="008F33FD">
        <w:rPr>
          <w:color w:val="000000"/>
          <w:sz w:val="24"/>
          <w:lang w:val="en-GB"/>
        </w:rPr>
        <w:t>Greenwashing: A broken business model</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Business Models</w:t>
      </w:r>
      <w:r w:rsidRPr="008F33FD">
        <w:rPr>
          <w:color w:val="000000"/>
          <w:sz w:val="24"/>
          <w:lang w:val="en-GB"/>
        </w:rPr>
        <w:t>, 11(2). Available at: https://</w:t>
      </w:r>
      <w:proofErr w:type="spellStart"/>
      <w:r w:rsidRPr="008F33FD">
        <w:rPr>
          <w:color w:val="000000"/>
          <w:sz w:val="24"/>
          <w:lang w:val="en-GB"/>
        </w:rPr>
        <w:t>doi.org</w:t>
      </w:r>
      <w:proofErr w:type="spellEnd"/>
      <w:r w:rsidRPr="008F33FD">
        <w:rPr>
          <w:color w:val="000000"/>
          <w:sz w:val="24"/>
          <w:lang w:val="en-GB"/>
        </w:rPr>
        <w:t>/10.54337/</w:t>
      </w:r>
      <w:proofErr w:type="spellStart"/>
      <w:r w:rsidRPr="008F33FD">
        <w:rPr>
          <w:color w:val="000000"/>
          <w:sz w:val="24"/>
          <w:lang w:val="en-GB"/>
        </w:rPr>
        <w:t>jbm.v11i2.7352</w:t>
      </w:r>
      <w:proofErr w:type="spellEnd"/>
      <w:r w:rsidRPr="008F33FD">
        <w:rPr>
          <w:color w:val="000000"/>
          <w:sz w:val="24"/>
          <w:lang w:val="en-GB"/>
        </w:rPr>
        <w:t>.</w:t>
      </w:r>
    </w:p>
    <w:p w14:paraId="2A34EB6D" w14:textId="56FEC390"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Persakis</w:t>
      </w:r>
      <w:proofErr w:type="spellEnd"/>
      <w:r w:rsidRPr="008F33FD">
        <w:rPr>
          <w:color w:val="000000"/>
          <w:sz w:val="24"/>
          <w:lang w:val="en-GB"/>
        </w:rPr>
        <w:t xml:space="preserve">, A., Nikolopoulos, T., </w:t>
      </w:r>
      <w:proofErr w:type="spellStart"/>
      <w:r w:rsidRPr="008F33FD">
        <w:rPr>
          <w:color w:val="000000"/>
          <w:sz w:val="24"/>
          <w:lang w:val="en-GB"/>
        </w:rPr>
        <w:t>Negkakis</w:t>
      </w:r>
      <w:proofErr w:type="spellEnd"/>
      <w:r w:rsidRPr="008F33FD">
        <w:rPr>
          <w:color w:val="000000"/>
          <w:sz w:val="24"/>
          <w:lang w:val="en-GB"/>
        </w:rPr>
        <w:t xml:space="preserve">, I.C. and Pavlopoulos, A. (2025) </w:t>
      </w:r>
      <w:r w:rsidR="00A22DB1" w:rsidRPr="008F33FD">
        <w:rPr>
          <w:color w:val="000000"/>
          <w:sz w:val="24"/>
          <w:lang w:val="en-GB"/>
        </w:rPr>
        <w:t>‘</w:t>
      </w:r>
      <w:r w:rsidRPr="008F33FD">
        <w:rPr>
          <w:color w:val="000000"/>
          <w:sz w:val="24"/>
          <w:lang w:val="en-GB"/>
        </w:rPr>
        <w:t>Greenwashing in marketing: A systematic literature review and bibliometric analysis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 xml:space="preserve">International Review on Public and </w:t>
      </w:r>
      <w:proofErr w:type="spellStart"/>
      <w:r w:rsidRPr="008F33FD">
        <w:rPr>
          <w:i/>
          <w:iCs/>
          <w:color w:val="000000"/>
          <w:sz w:val="24"/>
          <w:lang w:val="en-GB"/>
        </w:rPr>
        <w:t>Nonprofit</w:t>
      </w:r>
      <w:proofErr w:type="spellEnd"/>
      <w:r w:rsidRPr="008F33FD">
        <w:rPr>
          <w:i/>
          <w:iCs/>
          <w:color w:val="000000"/>
          <w:sz w:val="24"/>
          <w:lang w:val="en-GB"/>
        </w:rPr>
        <w:t xml:space="preserve"> Marketing</w:t>
      </w:r>
      <w:r w:rsidRPr="008F33FD">
        <w:rPr>
          <w:color w:val="000000"/>
          <w:sz w:val="24"/>
          <w:lang w:val="en-GB"/>
        </w:rPr>
        <w:t>, 22(4), pp. 957</w:t>
      </w:r>
      <w:r w:rsidR="008F33FD">
        <w:rPr>
          <w:color w:val="000000"/>
          <w:sz w:val="24"/>
          <w:lang w:val="en-GB"/>
        </w:rPr>
        <w:t>-</w:t>
      </w:r>
      <w:r w:rsidRPr="008F33FD">
        <w:rPr>
          <w:color w:val="000000"/>
          <w:sz w:val="24"/>
          <w:lang w:val="en-GB"/>
        </w:rPr>
        <w:t>992. Available at: https://</w:t>
      </w:r>
      <w:proofErr w:type="spellStart"/>
      <w:r w:rsidRPr="008F33FD">
        <w:rPr>
          <w:color w:val="000000"/>
          <w:sz w:val="24"/>
          <w:lang w:val="en-GB"/>
        </w:rPr>
        <w:t>doi.org</w:t>
      </w:r>
      <w:proofErr w:type="spellEnd"/>
      <w:r w:rsidRPr="008F33FD">
        <w:rPr>
          <w:color w:val="000000"/>
          <w:sz w:val="24"/>
          <w:lang w:val="en-GB"/>
        </w:rPr>
        <w:t>/10.1007/</w:t>
      </w:r>
      <w:proofErr w:type="spellStart"/>
      <w:r w:rsidRPr="008F33FD">
        <w:rPr>
          <w:color w:val="000000"/>
          <w:sz w:val="24"/>
          <w:lang w:val="en-GB"/>
        </w:rPr>
        <w:t>s12208</w:t>
      </w:r>
      <w:proofErr w:type="spellEnd"/>
      <w:r w:rsidRPr="008F33FD">
        <w:rPr>
          <w:color w:val="000000"/>
          <w:sz w:val="24"/>
          <w:lang w:val="en-GB"/>
        </w:rPr>
        <w:t>-025-00452-x.</w:t>
      </w:r>
    </w:p>
    <w:p w14:paraId="4B388838" w14:textId="1113552C"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Pillo, F. Di, Palombi, G. and Strazzullo, S. (2025) </w:t>
      </w:r>
      <w:r w:rsidR="00A22DB1" w:rsidRPr="008F33FD">
        <w:rPr>
          <w:color w:val="000000"/>
          <w:sz w:val="24"/>
          <w:lang w:val="en-GB"/>
        </w:rPr>
        <w:t>‘</w:t>
      </w:r>
      <w:r w:rsidRPr="008F33FD">
        <w:rPr>
          <w:color w:val="000000"/>
          <w:sz w:val="24"/>
          <w:lang w:val="en-GB"/>
        </w:rPr>
        <w:t>Does greenwashing Wash away gen Z</w:t>
      </w:r>
      <w:r w:rsidR="00A22DB1" w:rsidRPr="008F33FD">
        <w:rPr>
          <w:color w:val="000000"/>
          <w:sz w:val="24"/>
          <w:lang w:val="en-GB"/>
        </w:rPr>
        <w:t>’</w:t>
      </w:r>
      <w:r w:rsidRPr="008F33FD">
        <w:rPr>
          <w:color w:val="000000"/>
          <w:sz w:val="24"/>
          <w:lang w:val="en-GB"/>
        </w:rPr>
        <w:t>s Green Purchase Intention?</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Business Strategy and the Environment</w:t>
      </w:r>
      <w:r w:rsidRPr="008F33FD">
        <w:rPr>
          <w:color w:val="000000"/>
          <w:sz w:val="24"/>
          <w:lang w:val="en-GB"/>
        </w:rPr>
        <w:t>, p. n/a. Available at: https://</w:t>
      </w:r>
      <w:proofErr w:type="spellStart"/>
      <w:r w:rsidRPr="008F33FD">
        <w:rPr>
          <w:color w:val="000000"/>
          <w:sz w:val="24"/>
          <w:lang w:val="en-GB"/>
        </w:rPr>
        <w:t>doi.org</w:t>
      </w:r>
      <w:proofErr w:type="spellEnd"/>
      <w:r w:rsidRPr="008F33FD">
        <w:rPr>
          <w:color w:val="000000"/>
          <w:sz w:val="24"/>
          <w:lang w:val="en-GB"/>
        </w:rPr>
        <w:t>/10.1002/</w:t>
      </w:r>
      <w:proofErr w:type="spellStart"/>
      <w:r w:rsidRPr="008F33FD">
        <w:rPr>
          <w:color w:val="000000"/>
          <w:sz w:val="24"/>
          <w:lang w:val="en-GB"/>
        </w:rPr>
        <w:t>bse.70064</w:t>
      </w:r>
      <w:proofErr w:type="spellEnd"/>
      <w:r w:rsidRPr="008F33FD">
        <w:rPr>
          <w:color w:val="000000"/>
          <w:sz w:val="24"/>
          <w:lang w:val="en-GB"/>
        </w:rPr>
        <w:t>.</w:t>
      </w:r>
    </w:p>
    <w:p w14:paraId="52CE9B18" w14:textId="7442B6B3"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Podsakoff, P.M., </w:t>
      </w:r>
      <w:proofErr w:type="spellStart"/>
      <w:r w:rsidRPr="008F33FD">
        <w:rPr>
          <w:color w:val="000000"/>
          <w:sz w:val="24"/>
          <w:lang w:val="en-GB"/>
        </w:rPr>
        <w:t>MacKenzie</w:t>
      </w:r>
      <w:proofErr w:type="spellEnd"/>
      <w:r w:rsidRPr="008F33FD">
        <w:rPr>
          <w:color w:val="000000"/>
          <w:sz w:val="24"/>
          <w:lang w:val="en-GB"/>
        </w:rPr>
        <w:t xml:space="preserve">, S.B., Lee, J.-Y. and Podsakoff, N.P. (2003) </w:t>
      </w:r>
      <w:r w:rsidR="00A22DB1" w:rsidRPr="008F33FD">
        <w:rPr>
          <w:color w:val="000000"/>
          <w:sz w:val="24"/>
          <w:lang w:val="en-GB"/>
        </w:rPr>
        <w:t>‘</w:t>
      </w:r>
      <w:r w:rsidRPr="008F33FD">
        <w:rPr>
          <w:color w:val="000000"/>
          <w:sz w:val="24"/>
          <w:lang w:val="en-GB"/>
        </w:rPr>
        <w:t xml:space="preserve">Common method biases in </w:t>
      </w:r>
      <w:proofErr w:type="spellStart"/>
      <w:r w:rsidRPr="008F33FD">
        <w:rPr>
          <w:color w:val="000000"/>
          <w:sz w:val="24"/>
          <w:lang w:val="en-GB"/>
        </w:rPr>
        <w:t>behavioral</w:t>
      </w:r>
      <w:proofErr w:type="spellEnd"/>
      <w:r w:rsidRPr="008F33FD">
        <w:rPr>
          <w:color w:val="000000"/>
          <w:sz w:val="24"/>
          <w:lang w:val="en-GB"/>
        </w:rPr>
        <w:t xml:space="preserve"> research: A critical review of the literature and recommended remedies.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Applied Psychology</w:t>
      </w:r>
      <w:r w:rsidRPr="008F33FD">
        <w:rPr>
          <w:color w:val="000000"/>
          <w:sz w:val="24"/>
          <w:lang w:val="en-GB"/>
        </w:rPr>
        <w:t>, 88(5), pp. 879</w:t>
      </w:r>
      <w:r w:rsidR="008F33FD">
        <w:rPr>
          <w:color w:val="000000"/>
          <w:sz w:val="24"/>
          <w:lang w:val="en-GB"/>
        </w:rPr>
        <w:t>-</w:t>
      </w:r>
      <w:r w:rsidRPr="008F33FD">
        <w:rPr>
          <w:color w:val="000000"/>
          <w:sz w:val="24"/>
          <w:lang w:val="en-GB"/>
        </w:rPr>
        <w:t>903.</w:t>
      </w:r>
    </w:p>
    <w:p w14:paraId="5B20BDE3" w14:textId="77777777"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Poth</w:t>
      </w:r>
      <w:proofErr w:type="spellEnd"/>
      <w:r w:rsidRPr="008F33FD">
        <w:rPr>
          <w:color w:val="000000"/>
          <w:sz w:val="24"/>
          <w:lang w:val="en-GB"/>
        </w:rPr>
        <w:t xml:space="preserve">, </w:t>
      </w:r>
      <w:proofErr w:type="spellStart"/>
      <w:r w:rsidRPr="008F33FD">
        <w:rPr>
          <w:color w:val="000000"/>
          <w:sz w:val="24"/>
          <w:lang w:val="en-GB"/>
        </w:rPr>
        <w:t>C.N</w:t>
      </w:r>
      <w:proofErr w:type="spellEnd"/>
      <w:r w:rsidRPr="008F33FD">
        <w:rPr>
          <w:color w:val="000000"/>
          <w:sz w:val="24"/>
          <w:lang w:val="en-GB"/>
        </w:rPr>
        <w:t>. (2020)</w:t>
      </w:r>
      <w:r w:rsidRPr="008F33FD">
        <w:rPr>
          <w:rStyle w:val="apple-converted-space"/>
          <w:rFonts w:eastAsiaTheme="majorEastAsia"/>
          <w:color w:val="000000"/>
          <w:sz w:val="24"/>
          <w:lang w:val="en-GB"/>
        </w:rPr>
        <w:t> </w:t>
      </w:r>
      <w:r w:rsidRPr="008F33FD">
        <w:rPr>
          <w:i/>
          <w:iCs/>
          <w:color w:val="000000"/>
          <w:sz w:val="24"/>
          <w:lang w:val="en-GB"/>
        </w:rPr>
        <w:t>Research Ethics</w:t>
      </w:r>
      <w:r w:rsidRPr="008F33FD">
        <w:rPr>
          <w:color w:val="000000"/>
          <w:sz w:val="24"/>
          <w:lang w:val="en-GB"/>
        </w:rPr>
        <w:t>. SAGE.</w:t>
      </w:r>
    </w:p>
    <w:p w14:paraId="122182F6" w14:textId="320913ED"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Pusparini</w:t>
      </w:r>
      <w:proofErr w:type="spellEnd"/>
      <w:r w:rsidRPr="008F33FD">
        <w:rPr>
          <w:color w:val="000000"/>
          <w:sz w:val="24"/>
          <w:lang w:val="en-GB"/>
        </w:rPr>
        <w:t xml:space="preserve">, P.A., </w:t>
      </w:r>
      <w:proofErr w:type="spellStart"/>
      <w:r w:rsidRPr="008F33FD">
        <w:rPr>
          <w:color w:val="000000"/>
          <w:sz w:val="24"/>
          <w:lang w:val="en-GB"/>
        </w:rPr>
        <w:t>Hartoyo</w:t>
      </w:r>
      <w:proofErr w:type="spellEnd"/>
      <w:r w:rsidRPr="008F33FD">
        <w:rPr>
          <w:color w:val="000000"/>
          <w:sz w:val="24"/>
          <w:lang w:val="en-GB"/>
        </w:rPr>
        <w:t xml:space="preserve"> and Simanjuntak, M. (2024) </w:t>
      </w:r>
      <w:r w:rsidR="00A22DB1" w:rsidRPr="008F33FD">
        <w:rPr>
          <w:color w:val="000000"/>
          <w:sz w:val="24"/>
          <w:lang w:val="en-GB"/>
        </w:rPr>
        <w:t>‘</w:t>
      </w:r>
      <w:r w:rsidRPr="008F33FD">
        <w:rPr>
          <w:color w:val="000000"/>
          <w:sz w:val="24"/>
          <w:lang w:val="en-GB"/>
        </w:rPr>
        <w:t xml:space="preserve">Predicting consumer purchase intention through e-catalogue: A theory of planned </w:t>
      </w:r>
      <w:proofErr w:type="spellStart"/>
      <w:r w:rsidRPr="008F33FD">
        <w:rPr>
          <w:color w:val="000000"/>
          <w:sz w:val="24"/>
          <w:lang w:val="en-GB"/>
        </w:rPr>
        <w:t>behavior</w:t>
      </w:r>
      <w:proofErr w:type="spellEnd"/>
      <w:r w:rsidRPr="008F33FD">
        <w:rPr>
          <w:color w:val="000000"/>
          <w:sz w:val="24"/>
          <w:lang w:val="en-GB"/>
        </w:rPr>
        <w:t xml:space="preserve"> approach</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proofErr w:type="spellStart"/>
      <w:r w:rsidRPr="008F33FD">
        <w:rPr>
          <w:i/>
          <w:iCs/>
          <w:color w:val="000000"/>
          <w:sz w:val="24"/>
          <w:lang w:val="en-GB"/>
        </w:rPr>
        <w:t>Jurnal</w:t>
      </w:r>
      <w:proofErr w:type="spellEnd"/>
      <w:r w:rsidRPr="008F33FD">
        <w:rPr>
          <w:i/>
          <w:iCs/>
          <w:color w:val="000000"/>
          <w:sz w:val="24"/>
          <w:lang w:val="en-GB"/>
        </w:rPr>
        <w:t xml:space="preserve"> </w:t>
      </w:r>
      <w:proofErr w:type="spellStart"/>
      <w:r w:rsidRPr="008F33FD">
        <w:rPr>
          <w:i/>
          <w:iCs/>
          <w:color w:val="000000"/>
          <w:sz w:val="24"/>
          <w:lang w:val="en-GB"/>
        </w:rPr>
        <w:t>Manajemen</w:t>
      </w:r>
      <w:proofErr w:type="spellEnd"/>
      <w:r w:rsidRPr="008F33FD">
        <w:rPr>
          <w:color w:val="000000"/>
          <w:sz w:val="24"/>
          <w:lang w:val="en-GB"/>
        </w:rPr>
        <w:t>, 28(2), pp. 318</w:t>
      </w:r>
      <w:r w:rsidR="008F33FD">
        <w:rPr>
          <w:color w:val="000000"/>
          <w:sz w:val="24"/>
          <w:lang w:val="en-GB"/>
        </w:rPr>
        <w:t>-</w:t>
      </w:r>
      <w:r w:rsidRPr="008F33FD">
        <w:rPr>
          <w:color w:val="000000"/>
          <w:sz w:val="24"/>
          <w:lang w:val="en-GB"/>
        </w:rPr>
        <w:t>340. Available at: https://</w:t>
      </w:r>
      <w:proofErr w:type="spellStart"/>
      <w:r w:rsidRPr="008F33FD">
        <w:rPr>
          <w:color w:val="000000"/>
          <w:sz w:val="24"/>
          <w:lang w:val="en-GB"/>
        </w:rPr>
        <w:t>doi.org</w:t>
      </w:r>
      <w:proofErr w:type="spellEnd"/>
      <w:r w:rsidRPr="008F33FD">
        <w:rPr>
          <w:color w:val="000000"/>
          <w:sz w:val="24"/>
          <w:lang w:val="en-GB"/>
        </w:rPr>
        <w:t>/10.24912/</w:t>
      </w:r>
      <w:proofErr w:type="spellStart"/>
      <w:r w:rsidRPr="008F33FD">
        <w:rPr>
          <w:color w:val="000000"/>
          <w:sz w:val="24"/>
          <w:lang w:val="en-GB"/>
        </w:rPr>
        <w:t>jm.v28i2.1955</w:t>
      </w:r>
      <w:proofErr w:type="spellEnd"/>
      <w:r w:rsidRPr="008F33FD">
        <w:rPr>
          <w:color w:val="000000"/>
          <w:sz w:val="24"/>
          <w:lang w:val="en-GB"/>
        </w:rPr>
        <w:t>.</w:t>
      </w:r>
    </w:p>
    <w:p w14:paraId="2AA9D483" w14:textId="52026502"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lastRenderedPageBreak/>
        <w:t xml:space="preserve">Pérez, J.M. and Pérez, L.M.H. (2025) </w:t>
      </w:r>
      <w:r w:rsidR="00A22DB1" w:rsidRPr="008F33FD">
        <w:rPr>
          <w:color w:val="000000"/>
          <w:sz w:val="24"/>
          <w:lang w:val="en-GB"/>
        </w:rPr>
        <w:t>‘</w:t>
      </w:r>
      <w:r w:rsidRPr="008F33FD">
        <w:rPr>
          <w:color w:val="000000"/>
          <w:sz w:val="24"/>
          <w:lang w:val="en-GB"/>
        </w:rPr>
        <w:t>Greenwashing and its influence on fast fashion consumption</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 xml:space="preserve">RAN. </w:t>
      </w:r>
      <w:proofErr w:type="spellStart"/>
      <w:r w:rsidRPr="008F33FD">
        <w:rPr>
          <w:i/>
          <w:iCs/>
          <w:color w:val="000000"/>
          <w:sz w:val="24"/>
          <w:lang w:val="en-GB"/>
        </w:rPr>
        <w:t>Revistas</w:t>
      </w:r>
      <w:proofErr w:type="spellEnd"/>
      <w:r w:rsidRPr="008F33FD">
        <w:rPr>
          <w:i/>
          <w:iCs/>
          <w:color w:val="000000"/>
          <w:sz w:val="24"/>
          <w:lang w:val="en-GB"/>
        </w:rPr>
        <w:t xml:space="preserve"> Academia y </w:t>
      </w:r>
      <w:proofErr w:type="spellStart"/>
      <w:r w:rsidRPr="008F33FD">
        <w:rPr>
          <w:i/>
          <w:iCs/>
          <w:color w:val="000000"/>
          <w:sz w:val="24"/>
          <w:lang w:val="en-GB"/>
        </w:rPr>
        <w:t>Negocios</w:t>
      </w:r>
      <w:proofErr w:type="spellEnd"/>
      <w:r w:rsidRPr="008F33FD">
        <w:rPr>
          <w:color w:val="000000"/>
          <w:sz w:val="24"/>
          <w:lang w:val="en-GB"/>
        </w:rPr>
        <w:t>, 12(1), pp. 1</w:t>
      </w:r>
      <w:r w:rsidR="008F33FD">
        <w:rPr>
          <w:color w:val="000000"/>
          <w:sz w:val="24"/>
          <w:lang w:val="en-GB"/>
        </w:rPr>
        <w:t>-</w:t>
      </w:r>
      <w:r w:rsidRPr="008F33FD">
        <w:rPr>
          <w:color w:val="000000"/>
          <w:sz w:val="24"/>
          <w:lang w:val="en-GB"/>
        </w:rPr>
        <w:t>12. Available at: https://</w:t>
      </w:r>
      <w:proofErr w:type="spellStart"/>
      <w:r w:rsidRPr="008F33FD">
        <w:rPr>
          <w:color w:val="000000"/>
          <w:sz w:val="24"/>
          <w:lang w:val="en-GB"/>
        </w:rPr>
        <w:t>doi.org</w:t>
      </w:r>
      <w:proofErr w:type="spellEnd"/>
      <w:r w:rsidRPr="008F33FD">
        <w:rPr>
          <w:color w:val="000000"/>
          <w:sz w:val="24"/>
          <w:lang w:val="en-GB"/>
        </w:rPr>
        <w:t>/10.29393/</w:t>
      </w:r>
      <w:proofErr w:type="spellStart"/>
      <w:r w:rsidRPr="008F33FD">
        <w:rPr>
          <w:color w:val="000000"/>
          <w:sz w:val="24"/>
          <w:lang w:val="en-GB"/>
        </w:rPr>
        <w:t>ran12-2igph20002</w:t>
      </w:r>
      <w:proofErr w:type="spellEnd"/>
      <w:r w:rsidRPr="008F33FD">
        <w:rPr>
          <w:color w:val="000000"/>
          <w:sz w:val="24"/>
          <w:lang w:val="en-GB"/>
        </w:rPr>
        <w:t>.</w:t>
      </w:r>
    </w:p>
    <w:p w14:paraId="504A6175" w14:textId="7B6713AF"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Qiu, E. and Vitone, T. (2023) </w:t>
      </w:r>
      <w:r w:rsidR="00A22DB1" w:rsidRPr="008F33FD">
        <w:rPr>
          <w:color w:val="000000"/>
          <w:sz w:val="24"/>
          <w:lang w:val="en-GB"/>
        </w:rPr>
        <w:t>‘</w:t>
      </w:r>
      <w:r w:rsidRPr="008F33FD">
        <w:rPr>
          <w:color w:val="000000"/>
          <w:sz w:val="24"/>
          <w:lang w:val="en-GB"/>
        </w:rPr>
        <w:t>Corporate sustainability in the fashion industry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Student Research</w:t>
      </w:r>
      <w:r w:rsidRPr="008F33FD">
        <w:rPr>
          <w:color w:val="000000"/>
          <w:sz w:val="24"/>
          <w:lang w:val="en-GB"/>
        </w:rPr>
        <w:t>, 12(1). Available at: https://</w:t>
      </w:r>
      <w:proofErr w:type="spellStart"/>
      <w:r w:rsidRPr="008F33FD">
        <w:rPr>
          <w:color w:val="000000"/>
          <w:sz w:val="24"/>
          <w:lang w:val="en-GB"/>
        </w:rPr>
        <w:t>doi.org</w:t>
      </w:r>
      <w:proofErr w:type="spellEnd"/>
      <w:r w:rsidRPr="008F33FD">
        <w:rPr>
          <w:color w:val="000000"/>
          <w:sz w:val="24"/>
          <w:lang w:val="en-GB"/>
        </w:rPr>
        <w:t>/10.47611/</w:t>
      </w:r>
      <w:proofErr w:type="spellStart"/>
      <w:r w:rsidRPr="008F33FD">
        <w:rPr>
          <w:color w:val="000000"/>
          <w:sz w:val="24"/>
          <w:lang w:val="en-GB"/>
        </w:rPr>
        <w:t>jsrhs.v12i1.4065</w:t>
      </w:r>
      <w:proofErr w:type="spellEnd"/>
      <w:r w:rsidRPr="008F33FD">
        <w:rPr>
          <w:color w:val="000000"/>
          <w:sz w:val="24"/>
          <w:lang w:val="en-GB"/>
        </w:rPr>
        <w:t>.</w:t>
      </w:r>
    </w:p>
    <w:p w14:paraId="5089A45D"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Rahman, M. (2023)</w:t>
      </w:r>
      <w:r w:rsidRPr="008F33FD">
        <w:rPr>
          <w:rStyle w:val="apple-converted-space"/>
          <w:rFonts w:eastAsiaTheme="majorEastAsia"/>
          <w:color w:val="000000"/>
          <w:sz w:val="24"/>
          <w:lang w:val="en-GB"/>
        </w:rPr>
        <w:t> </w:t>
      </w:r>
      <w:r w:rsidRPr="008F33FD">
        <w:rPr>
          <w:i/>
          <w:iCs/>
          <w:color w:val="000000"/>
          <w:sz w:val="24"/>
          <w:lang w:val="en-GB"/>
        </w:rPr>
        <w:t>Sample Size Determination for Survey Research and Non-Probability Sampling Techniques: A Review and Set of Recommendations | Journal of Entrepreneurship, Business and Economics</w:t>
      </w:r>
      <w:r w:rsidRPr="008F33FD">
        <w:rPr>
          <w:color w:val="000000"/>
          <w:sz w:val="24"/>
          <w:lang w:val="en-GB"/>
        </w:rPr>
        <w:t>,</w:t>
      </w:r>
      <w:r w:rsidRPr="008F33FD">
        <w:rPr>
          <w:rStyle w:val="apple-converted-space"/>
          <w:rFonts w:eastAsiaTheme="majorEastAsia"/>
          <w:color w:val="000000"/>
          <w:sz w:val="24"/>
          <w:lang w:val="en-GB"/>
        </w:rPr>
        <w:t> </w:t>
      </w:r>
      <w:proofErr w:type="spellStart"/>
      <w:r w:rsidRPr="008F33FD">
        <w:rPr>
          <w:i/>
          <w:iCs/>
          <w:color w:val="000000"/>
          <w:sz w:val="24"/>
          <w:lang w:val="en-GB"/>
        </w:rPr>
        <w:t>www.scientificia.com</w:t>
      </w:r>
      <w:proofErr w:type="spellEnd"/>
      <w:r w:rsidRPr="008F33FD">
        <w:rPr>
          <w:color w:val="000000"/>
          <w:sz w:val="24"/>
          <w:lang w:val="en-GB"/>
        </w:rPr>
        <w:t>. Available at: https://</w:t>
      </w:r>
      <w:proofErr w:type="spellStart"/>
      <w:r w:rsidRPr="008F33FD">
        <w:rPr>
          <w:color w:val="000000"/>
          <w:sz w:val="24"/>
          <w:lang w:val="en-GB"/>
        </w:rPr>
        <w:t>www.scientificia.com</w:t>
      </w:r>
      <w:proofErr w:type="spellEnd"/>
      <w:r w:rsidRPr="008F33FD">
        <w:rPr>
          <w:color w:val="000000"/>
          <w:sz w:val="24"/>
          <w:lang w:val="en-GB"/>
        </w:rPr>
        <w:t>/</w:t>
      </w:r>
      <w:proofErr w:type="spellStart"/>
      <w:r w:rsidRPr="008F33FD">
        <w:rPr>
          <w:color w:val="000000"/>
          <w:sz w:val="24"/>
          <w:lang w:val="en-GB"/>
        </w:rPr>
        <w:t>index.php</w:t>
      </w:r>
      <w:proofErr w:type="spellEnd"/>
      <w:r w:rsidRPr="008F33FD">
        <w:rPr>
          <w:color w:val="000000"/>
          <w:sz w:val="24"/>
          <w:lang w:val="en-GB"/>
        </w:rPr>
        <w:t>/JEBE/article/view/201.</w:t>
      </w:r>
    </w:p>
    <w:p w14:paraId="4B735BFA" w14:textId="64985783"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Rashid, H., Ahmad, W. and Hafizullah (2023) </w:t>
      </w:r>
      <w:r w:rsidR="00A22DB1" w:rsidRPr="008F33FD">
        <w:rPr>
          <w:color w:val="000000"/>
          <w:sz w:val="24"/>
          <w:lang w:val="en-GB"/>
        </w:rPr>
        <w:t>‘</w:t>
      </w:r>
      <w:r w:rsidRPr="008F33FD">
        <w:rPr>
          <w:color w:val="000000"/>
          <w:sz w:val="24"/>
          <w:lang w:val="en-GB"/>
        </w:rPr>
        <w:t>Green washing and brand crises: Modelling consumer trust repair</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Pakistan Journal of Humanities and Social Sciences</w:t>
      </w:r>
      <w:r w:rsidRPr="008F33FD">
        <w:rPr>
          <w:color w:val="000000"/>
          <w:sz w:val="24"/>
          <w:lang w:val="en-GB"/>
        </w:rPr>
        <w:t>, 11(2), pp. 2068</w:t>
      </w:r>
      <w:r w:rsidR="008F33FD">
        <w:rPr>
          <w:color w:val="000000"/>
          <w:sz w:val="24"/>
          <w:lang w:val="en-GB"/>
        </w:rPr>
        <w:t>-</w:t>
      </w:r>
      <w:r w:rsidRPr="008F33FD">
        <w:rPr>
          <w:color w:val="000000"/>
          <w:sz w:val="24"/>
          <w:lang w:val="en-GB"/>
        </w:rPr>
        <w:t>2080. Available at: https://</w:t>
      </w:r>
      <w:proofErr w:type="spellStart"/>
      <w:r w:rsidRPr="008F33FD">
        <w:rPr>
          <w:color w:val="000000"/>
          <w:sz w:val="24"/>
          <w:lang w:val="en-GB"/>
        </w:rPr>
        <w:t>doi.org</w:t>
      </w:r>
      <w:proofErr w:type="spellEnd"/>
      <w:r w:rsidRPr="008F33FD">
        <w:rPr>
          <w:color w:val="000000"/>
          <w:sz w:val="24"/>
          <w:lang w:val="en-GB"/>
        </w:rPr>
        <w:t>/10.52131/</w:t>
      </w:r>
      <w:proofErr w:type="spellStart"/>
      <w:r w:rsidRPr="008F33FD">
        <w:rPr>
          <w:color w:val="000000"/>
          <w:sz w:val="24"/>
          <w:lang w:val="en-GB"/>
        </w:rPr>
        <w:t>pjhss.2023.1102.0502</w:t>
      </w:r>
      <w:proofErr w:type="spellEnd"/>
      <w:r w:rsidRPr="008F33FD">
        <w:rPr>
          <w:color w:val="000000"/>
          <w:sz w:val="24"/>
          <w:lang w:val="en-GB"/>
        </w:rPr>
        <w:t>.</w:t>
      </w:r>
    </w:p>
    <w:p w14:paraId="239C57A5" w14:textId="425A0D72"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Rasu</w:t>
      </w:r>
      <w:proofErr w:type="spellEnd"/>
      <w:r w:rsidRPr="008F33FD">
        <w:rPr>
          <w:color w:val="000000"/>
          <w:sz w:val="24"/>
          <w:lang w:val="en-GB"/>
        </w:rPr>
        <w:t xml:space="preserve">, </w:t>
      </w:r>
      <w:proofErr w:type="spellStart"/>
      <w:r w:rsidRPr="008F33FD">
        <w:rPr>
          <w:color w:val="000000"/>
          <w:sz w:val="24"/>
          <w:lang w:val="en-GB"/>
        </w:rPr>
        <w:t>M.N.S</w:t>
      </w:r>
      <w:proofErr w:type="spellEnd"/>
      <w:r w:rsidRPr="008F33FD">
        <w:rPr>
          <w:color w:val="000000"/>
          <w:sz w:val="24"/>
          <w:lang w:val="en-GB"/>
        </w:rPr>
        <w:t xml:space="preserve">., Kwon, W.-S. and </w:t>
      </w:r>
      <w:proofErr w:type="spellStart"/>
      <w:r w:rsidRPr="008F33FD">
        <w:rPr>
          <w:color w:val="000000"/>
          <w:sz w:val="24"/>
          <w:lang w:val="en-GB"/>
        </w:rPr>
        <w:t>Chattaraman</w:t>
      </w:r>
      <w:proofErr w:type="spellEnd"/>
      <w:r w:rsidRPr="008F33FD">
        <w:rPr>
          <w:color w:val="000000"/>
          <w:sz w:val="24"/>
          <w:lang w:val="en-GB"/>
        </w:rPr>
        <w:t xml:space="preserve">, V. (2025) </w:t>
      </w:r>
      <w:r w:rsidR="00A22DB1" w:rsidRPr="008F33FD">
        <w:rPr>
          <w:color w:val="000000"/>
          <w:sz w:val="24"/>
          <w:lang w:val="en-GB"/>
        </w:rPr>
        <w:t>‘</w:t>
      </w:r>
      <w:r w:rsidRPr="008F33FD">
        <w:rPr>
          <w:color w:val="000000"/>
          <w:sz w:val="24"/>
          <w:lang w:val="en-GB"/>
        </w:rPr>
        <w:t>From waste to wear: Perceived risks associated with recycled post-consumer textile waste (</w:t>
      </w:r>
      <w:proofErr w:type="spellStart"/>
      <w:r w:rsidRPr="008F33FD">
        <w:rPr>
          <w:color w:val="000000"/>
          <w:sz w:val="24"/>
          <w:lang w:val="en-GB"/>
        </w:rPr>
        <w:t>PCTW</w:t>
      </w:r>
      <w:proofErr w:type="spellEnd"/>
      <w:r w:rsidRPr="008F33FD">
        <w:rPr>
          <w:color w:val="000000"/>
          <w:sz w:val="24"/>
          <w:lang w:val="en-GB"/>
        </w:rPr>
        <w:t>) denim products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Making Waves Toward A Sustainable and Equitable Future</w:t>
      </w:r>
      <w:r w:rsidRPr="008F33FD">
        <w:rPr>
          <w:color w:val="000000"/>
          <w:sz w:val="24"/>
          <w:lang w:val="en-GB"/>
        </w:rPr>
        <w:t>. Available at: https://</w:t>
      </w:r>
      <w:proofErr w:type="spellStart"/>
      <w:r w:rsidRPr="008F33FD">
        <w:rPr>
          <w:color w:val="000000"/>
          <w:sz w:val="24"/>
          <w:lang w:val="en-GB"/>
        </w:rPr>
        <w:t>doi.org</w:t>
      </w:r>
      <w:proofErr w:type="spellEnd"/>
      <w:r w:rsidRPr="008F33FD">
        <w:rPr>
          <w:color w:val="000000"/>
          <w:sz w:val="24"/>
          <w:lang w:val="en-GB"/>
        </w:rPr>
        <w:t>/10.31274/</w:t>
      </w:r>
      <w:proofErr w:type="spellStart"/>
      <w:r w:rsidRPr="008F33FD">
        <w:rPr>
          <w:color w:val="000000"/>
          <w:sz w:val="24"/>
          <w:lang w:val="en-GB"/>
        </w:rPr>
        <w:t>itaa.18728</w:t>
      </w:r>
      <w:proofErr w:type="spellEnd"/>
      <w:r w:rsidRPr="008F33FD">
        <w:rPr>
          <w:color w:val="000000"/>
          <w:sz w:val="24"/>
          <w:lang w:val="en-GB"/>
        </w:rPr>
        <w:t>.</w:t>
      </w:r>
    </w:p>
    <w:p w14:paraId="3FDB15E8" w14:textId="19552ED8"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Reck, R., Castagna, A.C., </w:t>
      </w:r>
      <w:proofErr w:type="spellStart"/>
      <w:r w:rsidRPr="008F33FD">
        <w:rPr>
          <w:color w:val="000000"/>
          <w:sz w:val="24"/>
          <w:lang w:val="en-GB"/>
        </w:rPr>
        <w:t>Shuqair</w:t>
      </w:r>
      <w:proofErr w:type="spellEnd"/>
      <w:r w:rsidRPr="008F33FD">
        <w:rPr>
          <w:color w:val="000000"/>
          <w:sz w:val="24"/>
          <w:lang w:val="en-GB"/>
        </w:rPr>
        <w:t xml:space="preserve">, S. and Costa Pinto, D. (2022) </w:t>
      </w:r>
      <w:r w:rsidR="00A22DB1" w:rsidRPr="008F33FD">
        <w:rPr>
          <w:color w:val="000000"/>
          <w:sz w:val="24"/>
          <w:lang w:val="en-GB"/>
        </w:rPr>
        <w:t>‘</w:t>
      </w:r>
      <w:r w:rsidRPr="008F33FD">
        <w:rPr>
          <w:color w:val="000000"/>
          <w:sz w:val="24"/>
          <w:lang w:val="en-GB"/>
        </w:rPr>
        <w:t>The transparency paradox: When transparency cues helps or backfires for brands?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Cleaner Production</w:t>
      </w:r>
      <w:r w:rsidRPr="008F33FD">
        <w:rPr>
          <w:color w:val="000000"/>
          <w:sz w:val="24"/>
          <w:lang w:val="en-GB"/>
        </w:rPr>
        <w:t>, 372(133381), p. 133381.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j.jclepro.2022.133381</w:t>
      </w:r>
      <w:proofErr w:type="spellEnd"/>
      <w:r w:rsidRPr="008F33FD">
        <w:rPr>
          <w:color w:val="000000"/>
          <w:sz w:val="24"/>
          <w:lang w:val="en-GB"/>
        </w:rPr>
        <w:t>.</w:t>
      </w:r>
    </w:p>
    <w:p w14:paraId="52E42B43" w14:textId="05709411"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Ringle, C.M., Sarstedt, M., Sinkovics, N. and Sinkovics, R.R. (2023) </w:t>
      </w:r>
      <w:r w:rsidR="00A22DB1" w:rsidRPr="008F33FD">
        <w:rPr>
          <w:color w:val="000000"/>
          <w:sz w:val="24"/>
          <w:lang w:val="en-GB"/>
        </w:rPr>
        <w:t>‘</w:t>
      </w:r>
      <w:r w:rsidRPr="008F33FD">
        <w:rPr>
          <w:color w:val="000000"/>
          <w:sz w:val="24"/>
          <w:lang w:val="en-GB"/>
        </w:rPr>
        <w:t>A perspective on using partial least squares structural equation modelling in data articles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Data in Brief</w:t>
      </w:r>
      <w:r w:rsidRPr="008F33FD">
        <w:rPr>
          <w:color w:val="000000"/>
          <w:sz w:val="24"/>
          <w:lang w:val="en-GB"/>
        </w:rPr>
        <w:t>, 48, p. 109074.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j.dib.2023.109074</w:t>
      </w:r>
      <w:proofErr w:type="spellEnd"/>
      <w:r w:rsidRPr="008F33FD">
        <w:rPr>
          <w:color w:val="000000"/>
          <w:sz w:val="24"/>
          <w:lang w:val="en-GB"/>
        </w:rPr>
        <w:t>.</w:t>
      </w:r>
    </w:p>
    <w:p w14:paraId="165C9C35" w14:textId="75B64FA1"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Ritch, </w:t>
      </w:r>
      <w:proofErr w:type="spellStart"/>
      <w:r w:rsidRPr="008F33FD">
        <w:rPr>
          <w:color w:val="000000"/>
          <w:sz w:val="24"/>
          <w:lang w:val="en-GB"/>
        </w:rPr>
        <w:t>E.L</w:t>
      </w:r>
      <w:proofErr w:type="spellEnd"/>
      <w:r w:rsidRPr="008F33FD">
        <w:rPr>
          <w:color w:val="000000"/>
          <w:sz w:val="24"/>
          <w:lang w:val="en-GB"/>
        </w:rPr>
        <w:t xml:space="preserve">. (2021) </w:t>
      </w:r>
      <w:r w:rsidR="00A22DB1" w:rsidRPr="008F33FD">
        <w:rPr>
          <w:color w:val="000000"/>
          <w:sz w:val="24"/>
          <w:lang w:val="en-GB"/>
        </w:rPr>
        <w:t>‘</w:t>
      </w:r>
      <w:r w:rsidRPr="008F33FD">
        <w:rPr>
          <w:color w:val="000000"/>
          <w:sz w:val="24"/>
          <w:lang w:val="en-GB"/>
        </w:rPr>
        <w:t>Consumer interpretations of fashion sustainability terminology communicated through labelling</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Fashion Marketing and Management: An International Journal</w:t>
      </w:r>
      <w:r w:rsidRPr="008F33FD">
        <w:rPr>
          <w:color w:val="000000"/>
          <w:sz w:val="24"/>
          <w:lang w:val="en-GB"/>
        </w:rPr>
        <w:t>, ahead-of-print(ahead-of-print). Available at: https://</w:t>
      </w:r>
      <w:proofErr w:type="spellStart"/>
      <w:r w:rsidRPr="008F33FD">
        <w:rPr>
          <w:color w:val="000000"/>
          <w:sz w:val="24"/>
          <w:lang w:val="en-GB"/>
        </w:rPr>
        <w:t>doi.org</w:t>
      </w:r>
      <w:proofErr w:type="spellEnd"/>
      <w:r w:rsidRPr="008F33FD">
        <w:rPr>
          <w:color w:val="000000"/>
          <w:sz w:val="24"/>
          <w:lang w:val="en-GB"/>
        </w:rPr>
        <w:t>/10.1108/</w:t>
      </w:r>
      <w:proofErr w:type="spellStart"/>
      <w:r w:rsidRPr="008F33FD">
        <w:rPr>
          <w:color w:val="000000"/>
          <w:sz w:val="24"/>
          <w:lang w:val="en-GB"/>
        </w:rPr>
        <w:t>jfmm</w:t>
      </w:r>
      <w:proofErr w:type="spellEnd"/>
      <w:r w:rsidRPr="008F33FD">
        <w:rPr>
          <w:color w:val="000000"/>
          <w:sz w:val="24"/>
          <w:lang w:val="en-GB"/>
        </w:rPr>
        <w:t>-03-2021-0075.</w:t>
      </w:r>
    </w:p>
    <w:p w14:paraId="79E1622F" w14:textId="2767901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Riva, F., </w:t>
      </w:r>
      <w:proofErr w:type="spellStart"/>
      <w:r w:rsidRPr="008F33FD">
        <w:rPr>
          <w:color w:val="000000"/>
          <w:sz w:val="24"/>
          <w:lang w:val="en-GB"/>
        </w:rPr>
        <w:t>Magrizos</w:t>
      </w:r>
      <w:proofErr w:type="spellEnd"/>
      <w:r w:rsidRPr="008F33FD">
        <w:rPr>
          <w:color w:val="000000"/>
          <w:sz w:val="24"/>
          <w:lang w:val="en-GB"/>
        </w:rPr>
        <w:t xml:space="preserve">, S., </w:t>
      </w:r>
      <w:proofErr w:type="spellStart"/>
      <w:r w:rsidRPr="008F33FD">
        <w:rPr>
          <w:color w:val="000000"/>
          <w:sz w:val="24"/>
          <w:lang w:val="en-GB"/>
        </w:rPr>
        <w:t>Rizomyliotis</w:t>
      </w:r>
      <w:proofErr w:type="spellEnd"/>
      <w:r w:rsidRPr="008F33FD">
        <w:rPr>
          <w:color w:val="000000"/>
          <w:sz w:val="24"/>
          <w:lang w:val="en-GB"/>
        </w:rPr>
        <w:t xml:space="preserve">, I. and Uddin, M.R. (2024) </w:t>
      </w:r>
      <w:r w:rsidR="00A22DB1" w:rsidRPr="008F33FD">
        <w:rPr>
          <w:color w:val="000000"/>
          <w:sz w:val="24"/>
          <w:lang w:val="en-GB"/>
        </w:rPr>
        <w:t>‘</w:t>
      </w:r>
      <w:r w:rsidRPr="008F33FD">
        <w:rPr>
          <w:color w:val="000000"/>
          <w:sz w:val="24"/>
          <w:lang w:val="en-GB"/>
        </w:rPr>
        <w:t xml:space="preserve">Beyond the hype: Deciphering brand trust amid sustainability </w:t>
      </w:r>
      <w:proofErr w:type="spellStart"/>
      <w:r w:rsidRPr="008F33FD">
        <w:rPr>
          <w:color w:val="000000"/>
          <w:sz w:val="24"/>
          <w:lang w:val="en-GB"/>
        </w:rPr>
        <w:t>skepticism</w:t>
      </w:r>
      <w:proofErr w:type="spellEnd"/>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Business Strategy and the Environment</w:t>
      </w:r>
      <w:r w:rsidRPr="008F33FD">
        <w:rPr>
          <w:color w:val="000000"/>
          <w:sz w:val="24"/>
          <w:lang w:val="en-GB"/>
        </w:rPr>
        <w:t>, 33(7), pp. 6491</w:t>
      </w:r>
      <w:r w:rsidR="008F33FD">
        <w:rPr>
          <w:color w:val="000000"/>
          <w:sz w:val="24"/>
          <w:lang w:val="en-GB"/>
        </w:rPr>
        <w:t>-</w:t>
      </w:r>
      <w:r w:rsidRPr="008F33FD">
        <w:rPr>
          <w:color w:val="000000"/>
          <w:sz w:val="24"/>
          <w:lang w:val="en-GB"/>
        </w:rPr>
        <w:t>6506. Available at: https://</w:t>
      </w:r>
      <w:proofErr w:type="spellStart"/>
      <w:r w:rsidRPr="008F33FD">
        <w:rPr>
          <w:color w:val="000000"/>
          <w:sz w:val="24"/>
          <w:lang w:val="en-GB"/>
        </w:rPr>
        <w:t>doi.org</w:t>
      </w:r>
      <w:proofErr w:type="spellEnd"/>
      <w:r w:rsidRPr="008F33FD">
        <w:rPr>
          <w:color w:val="000000"/>
          <w:sz w:val="24"/>
          <w:lang w:val="en-GB"/>
        </w:rPr>
        <w:t>/10.1002/</w:t>
      </w:r>
      <w:proofErr w:type="spellStart"/>
      <w:r w:rsidRPr="008F33FD">
        <w:rPr>
          <w:color w:val="000000"/>
          <w:sz w:val="24"/>
          <w:lang w:val="en-GB"/>
        </w:rPr>
        <w:t>bse.3829</w:t>
      </w:r>
      <w:proofErr w:type="spellEnd"/>
      <w:r w:rsidRPr="008F33FD">
        <w:rPr>
          <w:color w:val="000000"/>
          <w:sz w:val="24"/>
          <w:lang w:val="en-GB"/>
        </w:rPr>
        <w:t>.</w:t>
      </w:r>
    </w:p>
    <w:p w14:paraId="5680A979" w14:textId="334C194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lastRenderedPageBreak/>
        <w:t xml:space="preserve">Rossi, C. and Rivetti, F. (2022) </w:t>
      </w:r>
      <w:r w:rsidR="00A22DB1" w:rsidRPr="008F33FD">
        <w:rPr>
          <w:color w:val="000000"/>
          <w:sz w:val="24"/>
          <w:lang w:val="en-GB"/>
        </w:rPr>
        <w:t>‘</w:t>
      </w:r>
      <w:r w:rsidRPr="008F33FD">
        <w:rPr>
          <w:color w:val="000000"/>
          <w:sz w:val="24"/>
          <w:lang w:val="en-GB"/>
        </w:rPr>
        <w:t>Young consumers</w:t>
      </w:r>
      <w:r w:rsidR="00A22DB1" w:rsidRPr="008F33FD">
        <w:rPr>
          <w:color w:val="000000"/>
          <w:sz w:val="24"/>
          <w:lang w:val="en-GB"/>
        </w:rPr>
        <w:t>”</w:t>
      </w:r>
      <w:r w:rsidRPr="008F33FD">
        <w:rPr>
          <w:color w:val="000000"/>
          <w:sz w:val="24"/>
          <w:lang w:val="en-GB"/>
        </w:rPr>
        <w:t xml:space="preserve"> purchase behaviour of sustainably-labelled food products. What is the role of scepticism?</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Food Quality and Preference</w:t>
      </w:r>
      <w:r w:rsidRPr="008F33FD">
        <w:rPr>
          <w:color w:val="000000"/>
          <w:sz w:val="24"/>
          <w:lang w:val="en-GB"/>
        </w:rPr>
        <w:t>, 105, p. 104772.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j.foodqual.2022.104772</w:t>
      </w:r>
      <w:proofErr w:type="spellEnd"/>
      <w:r w:rsidRPr="008F33FD">
        <w:rPr>
          <w:color w:val="000000"/>
          <w:sz w:val="24"/>
          <w:lang w:val="en-GB"/>
        </w:rPr>
        <w:t>.</w:t>
      </w:r>
    </w:p>
    <w:p w14:paraId="20F25F4D" w14:textId="51953F5D"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Ruangkanjanases</w:t>
      </w:r>
      <w:proofErr w:type="spellEnd"/>
      <w:r w:rsidRPr="008F33FD">
        <w:rPr>
          <w:color w:val="000000"/>
          <w:sz w:val="24"/>
          <w:lang w:val="en-GB"/>
        </w:rPr>
        <w:t xml:space="preserve">, A., You, J.-J., Chien, S.-W., Ma, Y., Chen, S.-C. and Chao, L.-C. (2020) </w:t>
      </w:r>
      <w:r w:rsidR="00A22DB1" w:rsidRPr="008F33FD">
        <w:rPr>
          <w:color w:val="000000"/>
          <w:sz w:val="24"/>
          <w:lang w:val="en-GB"/>
        </w:rPr>
        <w:t>‘</w:t>
      </w:r>
      <w:r w:rsidRPr="008F33FD">
        <w:rPr>
          <w:color w:val="000000"/>
          <w:sz w:val="24"/>
          <w:lang w:val="en-GB"/>
        </w:rPr>
        <w:t>Elucidating the Effect of Antecedents on Consumers</w:t>
      </w:r>
      <w:r w:rsidR="00A22DB1" w:rsidRPr="008F33FD">
        <w:rPr>
          <w:color w:val="000000"/>
          <w:sz w:val="24"/>
          <w:lang w:val="en-GB"/>
        </w:rPr>
        <w:t>”</w:t>
      </w:r>
      <w:r w:rsidRPr="008F33FD">
        <w:rPr>
          <w:color w:val="000000"/>
          <w:sz w:val="24"/>
          <w:lang w:val="en-GB"/>
        </w:rPr>
        <w:t xml:space="preserve"> Green Purchase Intention: An Extension of the Theory of Planned </w:t>
      </w:r>
      <w:proofErr w:type="spellStart"/>
      <w:r w:rsidRPr="008F33FD">
        <w:rPr>
          <w:color w:val="000000"/>
          <w:sz w:val="24"/>
          <w:lang w:val="en-GB"/>
        </w:rPr>
        <w:t>Behavior</w:t>
      </w:r>
      <w:proofErr w:type="spellEnd"/>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Frontiers in Psychology</w:t>
      </w:r>
      <w:r w:rsidRPr="008F33FD">
        <w:rPr>
          <w:color w:val="000000"/>
          <w:sz w:val="24"/>
          <w:lang w:val="en-GB"/>
        </w:rPr>
        <w:t>, 11. Available at: https://</w:t>
      </w:r>
      <w:proofErr w:type="spellStart"/>
      <w:r w:rsidRPr="008F33FD">
        <w:rPr>
          <w:color w:val="000000"/>
          <w:sz w:val="24"/>
          <w:lang w:val="en-GB"/>
        </w:rPr>
        <w:t>doi.org</w:t>
      </w:r>
      <w:proofErr w:type="spellEnd"/>
      <w:r w:rsidRPr="008F33FD">
        <w:rPr>
          <w:color w:val="000000"/>
          <w:sz w:val="24"/>
          <w:lang w:val="en-GB"/>
        </w:rPr>
        <w:t>/10.3389/</w:t>
      </w:r>
      <w:proofErr w:type="spellStart"/>
      <w:r w:rsidRPr="008F33FD">
        <w:rPr>
          <w:color w:val="000000"/>
          <w:sz w:val="24"/>
          <w:lang w:val="en-GB"/>
        </w:rPr>
        <w:t>fpsyg.2020.01433</w:t>
      </w:r>
      <w:proofErr w:type="spellEnd"/>
      <w:r w:rsidRPr="008F33FD">
        <w:rPr>
          <w:color w:val="000000"/>
          <w:sz w:val="24"/>
          <w:lang w:val="en-GB"/>
        </w:rPr>
        <w:t>.</w:t>
      </w:r>
    </w:p>
    <w:p w14:paraId="0D3EC65F" w14:textId="1A6BAC89"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Sahimaa</w:t>
      </w:r>
      <w:proofErr w:type="spellEnd"/>
      <w:r w:rsidRPr="008F33FD">
        <w:rPr>
          <w:color w:val="000000"/>
          <w:sz w:val="24"/>
          <w:lang w:val="en-GB"/>
        </w:rPr>
        <w:t xml:space="preserve">, O., Miller, E.M., Halme, M., Kirsi Niinimäki, Tanner, H., Mikko Mäkelä, Rissanen, M., </w:t>
      </w:r>
      <w:proofErr w:type="spellStart"/>
      <w:r w:rsidRPr="008F33FD">
        <w:rPr>
          <w:color w:val="000000"/>
          <w:sz w:val="24"/>
          <w:lang w:val="en-GB"/>
        </w:rPr>
        <w:t>Härri</w:t>
      </w:r>
      <w:proofErr w:type="spellEnd"/>
      <w:r w:rsidRPr="008F33FD">
        <w:rPr>
          <w:color w:val="000000"/>
          <w:sz w:val="24"/>
          <w:lang w:val="en-GB"/>
        </w:rPr>
        <w:t xml:space="preserve">, A. and Hummel, M. (2023) </w:t>
      </w:r>
      <w:r w:rsidR="00A22DB1" w:rsidRPr="008F33FD">
        <w:rPr>
          <w:color w:val="000000"/>
          <w:sz w:val="24"/>
          <w:lang w:val="en-GB"/>
        </w:rPr>
        <w:t>‘</w:t>
      </w:r>
      <w:r w:rsidRPr="008F33FD">
        <w:rPr>
          <w:color w:val="000000"/>
          <w:sz w:val="24"/>
          <w:lang w:val="en-GB"/>
        </w:rPr>
        <w:t>From simplistic to systemic sustainability in the textile and fashion industry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Circular Economy and Sustainability/Circular economy and sustainability</w:t>
      </w:r>
      <w:r w:rsidRPr="008F33FD">
        <w:rPr>
          <w:color w:val="000000"/>
          <w:sz w:val="24"/>
          <w:lang w:val="en-GB"/>
        </w:rPr>
        <w:t>, 4. Available at: https://</w:t>
      </w:r>
      <w:proofErr w:type="spellStart"/>
      <w:r w:rsidRPr="008F33FD">
        <w:rPr>
          <w:color w:val="000000"/>
          <w:sz w:val="24"/>
          <w:lang w:val="en-GB"/>
        </w:rPr>
        <w:t>doi.org</w:t>
      </w:r>
      <w:proofErr w:type="spellEnd"/>
      <w:r w:rsidRPr="008F33FD">
        <w:rPr>
          <w:color w:val="000000"/>
          <w:sz w:val="24"/>
          <w:lang w:val="en-GB"/>
        </w:rPr>
        <w:t>/10.1007/</w:t>
      </w:r>
      <w:proofErr w:type="spellStart"/>
      <w:r w:rsidRPr="008F33FD">
        <w:rPr>
          <w:color w:val="000000"/>
          <w:sz w:val="24"/>
          <w:lang w:val="en-GB"/>
        </w:rPr>
        <w:t>s43615</w:t>
      </w:r>
      <w:proofErr w:type="spellEnd"/>
      <w:r w:rsidRPr="008F33FD">
        <w:rPr>
          <w:color w:val="000000"/>
          <w:sz w:val="24"/>
          <w:lang w:val="en-GB"/>
        </w:rPr>
        <w:t>-023-00322-w.</w:t>
      </w:r>
    </w:p>
    <w:p w14:paraId="3C4CE33C" w14:textId="2BC656F0"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Santos, C., Coelho, A. and Marques, A. (2023) </w:t>
      </w:r>
      <w:r w:rsidR="00A22DB1" w:rsidRPr="008F33FD">
        <w:rPr>
          <w:color w:val="000000"/>
          <w:sz w:val="24"/>
          <w:lang w:val="en-GB"/>
        </w:rPr>
        <w:t>‘</w:t>
      </w:r>
      <w:r w:rsidRPr="008F33FD">
        <w:rPr>
          <w:color w:val="000000"/>
          <w:sz w:val="24"/>
          <w:lang w:val="en-GB"/>
        </w:rPr>
        <w:t>A systematic literature review on greenwashing and its relationship to stakeholders: State of art and future research agenda</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Management Review Quarterly</w:t>
      </w:r>
      <w:r w:rsidRPr="008F33FD">
        <w:rPr>
          <w:color w:val="000000"/>
          <w:sz w:val="24"/>
          <w:lang w:val="en-GB"/>
        </w:rPr>
        <w:t>, 74(1), pp. 1397</w:t>
      </w:r>
      <w:r w:rsidR="008F33FD">
        <w:rPr>
          <w:color w:val="000000"/>
          <w:sz w:val="24"/>
          <w:lang w:val="en-GB"/>
        </w:rPr>
        <w:t>-</w:t>
      </w:r>
      <w:r w:rsidRPr="008F33FD">
        <w:rPr>
          <w:color w:val="000000"/>
          <w:sz w:val="24"/>
          <w:lang w:val="en-GB"/>
        </w:rPr>
        <w:t>1421. Available at: https://</w:t>
      </w:r>
      <w:proofErr w:type="spellStart"/>
      <w:r w:rsidRPr="008F33FD">
        <w:rPr>
          <w:color w:val="000000"/>
          <w:sz w:val="24"/>
          <w:lang w:val="en-GB"/>
        </w:rPr>
        <w:t>doi.org</w:t>
      </w:r>
      <w:proofErr w:type="spellEnd"/>
      <w:r w:rsidRPr="008F33FD">
        <w:rPr>
          <w:color w:val="000000"/>
          <w:sz w:val="24"/>
          <w:lang w:val="en-GB"/>
        </w:rPr>
        <w:t>/10.1007/</w:t>
      </w:r>
      <w:proofErr w:type="spellStart"/>
      <w:r w:rsidRPr="008F33FD">
        <w:rPr>
          <w:color w:val="000000"/>
          <w:sz w:val="24"/>
          <w:lang w:val="en-GB"/>
        </w:rPr>
        <w:t>s11301</w:t>
      </w:r>
      <w:proofErr w:type="spellEnd"/>
      <w:r w:rsidRPr="008F33FD">
        <w:rPr>
          <w:color w:val="000000"/>
          <w:sz w:val="24"/>
          <w:lang w:val="en-GB"/>
        </w:rPr>
        <w:t>-023-00337-5.</w:t>
      </w:r>
    </w:p>
    <w:p w14:paraId="6CB63B87" w14:textId="240D11EA"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Saroja, S. (2025) </w:t>
      </w:r>
      <w:r w:rsidR="00A22DB1" w:rsidRPr="008F33FD">
        <w:rPr>
          <w:color w:val="000000"/>
          <w:sz w:val="24"/>
          <w:lang w:val="en-GB"/>
        </w:rPr>
        <w:t>‘</w:t>
      </w:r>
      <w:r w:rsidRPr="008F33FD">
        <w:rPr>
          <w:color w:val="000000"/>
          <w:sz w:val="24"/>
          <w:lang w:val="en-GB"/>
        </w:rPr>
        <w:t>Sustainability or deception? Unpacking the ethical dilemmas of Greenwashing</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International Journal For Multidisciplinary Research</w:t>
      </w:r>
      <w:r w:rsidRPr="008F33FD">
        <w:rPr>
          <w:color w:val="000000"/>
          <w:sz w:val="24"/>
          <w:lang w:val="en-GB"/>
        </w:rPr>
        <w:t>, 7(2). Available at: https://</w:t>
      </w:r>
      <w:proofErr w:type="spellStart"/>
      <w:r w:rsidRPr="008F33FD">
        <w:rPr>
          <w:color w:val="000000"/>
          <w:sz w:val="24"/>
          <w:lang w:val="en-GB"/>
        </w:rPr>
        <w:t>doi.org</w:t>
      </w:r>
      <w:proofErr w:type="spellEnd"/>
      <w:r w:rsidRPr="008F33FD">
        <w:rPr>
          <w:color w:val="000000"/>
          <w:sz w:val="24"/>
          <w:lang w:val="en-GB"/>
        </w:rPr>
        <w:t>/10.36948/</w:t>
      </w:r>
      <w:proofErr w:type="spellStart"/>
      <w:r w:rsidRPr="008F33FD">
        <w:rPr>
          <w:color w:val="000000"/>
          <w:sz w:val="24"/>
          <w:lang w:val="en-GB"/>
        </w:rPr>
        <w:t>ijfmr.2025.v07i02.38797</w:t>
      </w:r>
      <w:proofErr w:type="spellEnd"/>
      <w:r w:rsidRPr="008F33FD">
        <w:rPr>
          <w:color w:val="000000"/>
          <w:sz w:val="24"/>
          <w:lang w:val="en-GB"/>
        </w:rPr>
        <w:t>.</w:t>
      </w:r>
    </w:p>
    <w:p w14:paraId="261695DE"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Saunders, M., Thornhill, A. and Lewis, P. (</w:t>
      </w:r>
      <w:proofErr w:type="spellStart"/>
      <w:r w:rsidRPr="008F33FD">
        <w:rPr>
          <w:color w:val="000000"/>
          <w:sz w:val="24"/>
          <w:lang w:val="en-GB"/>
        </w:rPr>
        <w:t>2023a</w:t>
      </w:r>
      <w:proofErr w:type="spellEnd"/>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Research Methods for Business Students</w:t>
      </w:r>
      <w:r w:rsidRPr="008F33FD">
        <w:rPr>
          <w:color w:val="000000"/>
          <w:sz w:val="24"/>
          <w:lang w:val="en-GB"/>
        </w:rPr>
        <w:t xml:space="preserve">. 9th </w:t>
      </w:r>
      <w:proofErr w:type="spellStart"/>
      <w:r w:rsidRPr="008F33FD">
        <w:rPr>
          <w:color w:val="000000"/>
          <w:sz w:val="24"/>
          <w:lang w:val="en-GB"/>
        </w:rPr>
        <w:t>edn</w:t>
      </w:r>
      <w:proofErr w:type="spellEnd"/>
      <w:r w:rsidRPr="008F33FD">
        <w:rPr>
          <w:color w:val="000000"/>
          <w:sz w:val="24"/>
          <w:lang w:val="en-GB"/>
        </w:rPr>
        <w:t>. Pearson Education.</w:t>
      </w:r>
    </w:p>
    <w:p w14:paraId="4B8027CF" w14:textId="7777777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Saunders, M., Thornhill, A. and Lewis, P. (</w:t>
      </w:r>
      <w:proofErr w:type="spellStart"/>
      <w:r w:rsidRPr="008F33FD">
        <w:rPr>
          <w:color w:val="000000"/>
          <w:sz w:val="24"/>
          <w:lang w:val="en-GB"/>
        </w:rPr>
        <w:t>2023b</w:t>
      </w:r>
      <w:proofErr w:type="spellEnd"/>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Research Methods for Business Students</w:t>
      </w:r>
      <w:r w:rsidRPr="008F33FD">
        <w:rPr>
          <w:color w:val="000000"/>
          <w:sz w:val="24"/>
          <w:lang w:val="en-GB"/>
        </w:rPr>
        <w:t xml:space="preserve">. 9th </w:t>
      </w:r>
      <w:proofErr w:type="spellStart"/>
      <w:r w:rsidRPr="008F33FD">
        <w:rPr>
          <w:color w:val="000000"/>
          <w:sz w:val="24"/>
          <w:lang w:val="en-GB"/>
        </w:rPr>
        <w:t>edn</w:t>
      </w:r>
      <w:proofErr w:type="spellEnd"/>
      <w:r w:rsidRPr="008F33FD">
        <w:rPr>
          <w:color w:val="000000"/>
          <w:sz w:val="24"/>
          <w:lang w:val="en-GB"/>
        </w:rPr>
        <w:t>. Pearson Education.</w:t>
      </w:r>
    </w:p>
    <w:p w14:paraId="0E8418F4" w14:textId="0B2B7E11"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Sedgwick, P. (2013) </w:t>
      </w:r>
      <w:r w:rsidR="00A22DB1" w:rsidRPr="008F33FD">
        <w:rPr>
          <w:color w:val="000000"/>
          <w:sz w:val="24"/>
          <w:lang w:val="en-GB"/>
        </w:rPr>
        <w:t>‘</w:t>
      </w:r>
      <w:r w:rsidRPr="008F33FD">
        <w:rPr>
          <w:color w:val="000000"/>
          <w:sz w:val="24"/>
          <w:lang w:val="en-GB"/>
        </w:rPr>
        <w:t>Convenience Sampling</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proofErr w:type="spellStart"/>
      <w:r w:rsidRPr="008F33FD">
        <w:rPr>
          <w:i/>
          <w:iCs/>
          <w:color w:val="000000"/>
          <w:sz w:val="24"/>
          <w:lang w:val="en-GB"/>
        </w:rPr>
        <w:t>BMJ</w:t>
      </w:r>
      <w:proofErr w:type="spellEnd"/>
      <w:r w:rsidRPr="008F33FD">
        <w:rPr>
          <w:color w:val="000000"/>
          <w:sz w:val="24"/>
          <w:lang w:val="en-GB"/>
        </w:rPr>
        <w:t xml:space="preserve">, 347(2), pp. </w:t>
      </w:r>
      <w:proofErr w:type="spellStart"/>
      <w:r w:rsidRPr="008F33FD">
        <w:rPr>
          <w:color w:val="000000"/>
          <w:sz w:val="24"/>
          <w:lang w:val="en-GB"/>
        </w:rPr>
        <w:t>f6304-f6304</w:t>
      </w:r>
      <w:proofErr w:type="spellEnd"/>
      <w:r w:rsidRPr="008F33FD">
        <w:rPr>
          <w:color w:val="000000"/>
          <w:sz w:val="24"/>
          <w:lang w:val="en-GB"/>
        </w:rPr>
        <w:t>. Available at: https://</w:t>
      </w:r>
      <w:proofErr w:type="spellStart"/>
      <w:r w:rsidRPr="008F33FD">
        <w:rPr>
          <w:color w:val="000000"/>
          <w:sz w:val="24"/>
          <w:lang w:val="en-GB"/>
        </w:rPr>
        <w:t>doi.org</w:t>
      </w:r>
      <w:proofErr w:type="spellEnd"/>
      <w:r w:rsidRPr="008F33FD">
        <w:rPr>
          <w:color w:val="000000"/>
          <w:sz w:val="24"/>
          <w:lang w:val="en-GB"/>
        </w:rPr>
        <w:t>/10.1136/</w:t>
      </w:r>
      <w:proofErr w:type="spellStart"/>
      <w:r w:rsidRPr="008F33FD">
        <w:rPr>
          <w:color w:val="000000"/>
          <w:sz w:val="24"/>
          <w:lang w:val="en-GB"/>
        </w:rPr>
        <w:t>bmj.f6304</w:t>
      </w:r>
      <w:proofErr w:type="spellEnd"/>
      <w:r w:rsidRPr="008F33FD">
        <w:rPr>
          <w:color w:val="000000"/>
          <w:sz w:val="24"/>
          <w:lang w:val="en-GB"/>
        </w:rPr>
        <w:t>.</w:t>
      </w:r>
    </w:p>
    <w:p w14:paraId="7CBDF991" w14:textId="2E8B8B0D"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Senan, </w:t>
      </w:r>
      <w:proofErr w:type="spellStart"/>
      <w:r w:rsidRPr="008F33FD">
        <w:rPr>
          <w:color w:val="000000"/>
          <w:sz w:val="24"/>
          <w:lang w:val="en-GB"/>
        </w:rPr>
        <w:t>N.A.M</w:t>
      </w:r>
      <w:proofErr w:type="spellEnd"/>
      <w:r w:rsidRPr="008F33FD">
        <w:rPr>
          <w:color w:val="000000"/>
          <w:sz w:val="24"/>
          <w:lang w:val="en-GB"/>
        </w:rPr>
        <w:t>., Al-</w:t>
      </w:r>
      <w:proofErr w:type="spellStart"/>
      <w:r w:rsidRPr="008F33FD">
        <w:rPr>
          <w:color w:val="000000"/>
          <w:sz w:val="24"/>
          <w:lang w:val="en-GB"/>
        </w:rPr>
        <w:t>Kahtani</w:t>
      </w:r>
      <w:proofErr w:type="spellEnd"/>
      <w:r w:rsidRPr="008F33FD">
        <w:rPr>
          <w:color w:val="000000"/>
          <w:sz w:val="24"/>
          <w:lang w:val="en-GB"/>
        </w:rPr>
        <w:t xml:space="preserve">, </w:t>
      </w:r>
      <w:proofErr w:type="spellStart"/>
      <w:r w:rsidRPr="008F33FD">
        <w:rPr>
          <w:color w:val="000000"/>
          <w:sz w:val="24"/>
          <w:lang w:val="en-GB"/>
        </w:rPr>
        <w:t>S.M</w:t>
      </w:r>
      <w:proofErr w:type="spellEnd"/>
      <w:r w:rsidRPr="008F33FD">
        <w:rPr>
          <w:color w:val="000000"/>
          <w:sz w:val="24"/>
          <w:lang w:val="en-GB"/>
        </w:rPr>
        <w:t xml:space="preserve">., Alanazi, I.D., </w:t>
      </w:r>
      <w:proofErr w:type="spellStart"/>
      <w:r w:rsidRPr="008F33FD">
        <w:rPr>
          <w:color w:val="000000"/>
          <w:sz w:val="24"/>
          <w:lang w:val="en-GB"/>
        </w:rPr>
        <w:t>AbdAlatti</w:t>
      </w:r>
      <w:proofErr w:type="spellEnd"/>
      <w:r w:rsidRPr="008F33FD">
        <w:rPr>
          <w:color w:val="000000"/>
          <w:sz w:val="24"/>
          <w:lang w:val="en-GB"/>
        </w:rPr>
        <w:t xml:space="preserve">, A., </w:t>
      </w:r>
      <w:proofErr w:type="spellStart"/>
      <w:r w:rsidRPr="008F33FD">
        <w:rPr>
          <w:color w:val="000000"/>
          <w:sz w:val="24"/>
          <w:lang w:val="en-GB"/>
        </w:rPr>
        <w:t>Alshadadi</w:t>
      </w:r>
      <w:proofErr w:type="spellEnd"/>
      <w:r w:rsidRPr="008F33FD">
        <w:rPr>
          <w:color w:val="000000"/>
          <w:sz w:val="24"/>
          <w:lang w:val="en-GB"/>
        </w:rPr>
        <w:t xml:space="preserve">, M.A., </w:t>
      </w:r>
      <w:proofErr w:type="spellStart"/>
      <w:r w:rsidRPr="008F33FD">
        <w:rPr>
          <w:color w:val="000000"/>
          <w:sz w:val="24"/>
          <w:lang w:val="en-GB"/>
        </w:rPr>
        <w:t>Alhebri</w:t>
      </w:r>
      <w:proofErr w:type="spellEnd"/>
      <w:r w:rsidRPr="008F33FD">
        <w:rPr>
          <w:color w:val="000000"/>
          <w:sz w:val="24"/>
          <w:lang w:val="en-GB"/>
        </w:rPr>
        <w:t xml:space="preserve">, A. and Mohammad, R.A. (2025) </w:t>
      </w:r>
      <w:r w:rsidR="00A22DB1" w:rsidRPr="008F33FD">
        <w:rPr>
          <w:color w:val="000000"/>
          <w:sz w:val="24"/>
          <w:lang w:val="en-GB"/>
        </w:rPr>
        <w:t>‘</w:t>
      </w:r>
      <w:r w:rsidRPr="008F33FD">
        <w:rPr>
          <w:color w:val="000000"/>
          <w:sz w:val="24"/>
          <w:lang w:val="en-GB"/>
        </w:rPr>
        <w:t xml:space="preserve">Unveiling the linkages between greenwashing, brand hate, and negative consumer </w:t>
      </w:r>
      <w:proofErr w:type="spellStart"/>
      <w:r w:rsidRPr="008F33FD">
        <w:rPr>
          <w:color w:val="000000"/>
          <w:sz w:val="24"/>
          <w:lang w:val="en-GB"/>
        </w:rPr>
        <w:t>behavior</w:t>
      </w:r>
      <w:proofErr w:type="spellEnd"/>
      <w:r w:rsidRPr="008F33FD">
        <w:rPr>
          <w:color w:val="000000"/>
          <w:sz w:val="24"/>
          <w:lang w:val="en-GB"/>
        </w:rPr>
        <w:t>: The moderating effect of environmental concern</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Discover Sustainability</w:t>
      </w:r>
      <w:r w:rsidRPr="008F33FD">
        <w:rPr>
          <w:color w:val="000000"/>
          <w:sz w:val="24"/>
          <w:lang w:val="en-GB"/>
        </w:rPr>
        <w:t>, 6(1). Available at: https://</w:t>
      </w:r>
      <w:proofErr w:type="spellStart"/>
      <w:r w:rsidRPr="008F33FD">
        <w:rPr>
          <w:color w:val="000000"/>
          <w:sz w:val="24"/>
          <w:lang w:val="en-GB"/>
        </w:rPr>
        <w:t>doi.org</w:t>
      </w:r>
      <w:proofErr w:type="spellEnd"/>
      <w:r w:rsidRPr="008F33FD">
        <w:rPr>
          <w:color w:val="000000"/>
          <w:sz w:val="24"/>
          <w:lang w:val="en-GB"/>
        </w:rPr>
        <w:t>/10.1007/</w:t>
      </w:r>
      <w:proofErr w:type="spellStart"/>
      <w:r w:rsidRPr="008F33FD">
        <w:rPr>
          <w:color w:val="000000"/>
          <w:sz w:val="24"/>
          <w:lang w:val="en-GB"/>
        </w:rPr>
        <w:t>s43621</w:t>
      </w:r>
      <w:proofErr w:type="spellEnd"/>
      <w:r w:rsidRPr="008F33FD">
        <w:rPr>
          <w:color w:val="000000"/>
          <w:sz w:val="24"/>
          <w:lang w:val="en-GB"/>
        </w:rPr>
        <w:t>-025-01179-9.</w:t>
      </w:r>
    </w:p>
    <w:p w14:paraId="1F1C20F8" w14:textId="317D2BEA"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Sharma, N., </w:t>
      </w:r>
      <w:proofErr w:type="spellStart"/>
      <w:r w:rsidRPr="008F33FD">
        <w:rPr>
          <w:color w:val="000000"/>
          <w:sz w:val="24"/>
          <w:lang w:val="en-GB"/>
        </w:rPr>
        <w:t>Paço</w:t>
      </w:r>
      <w:proofErr w:type="spellEnd"/>
      <w:r w:rsidRPr="008F33FD">
        <w:rPr>
          <w:color w:val="000000"/>
          <w:sz w:val="24"/>
          <w:lang w:val="en-GB"/>
        </w:rPr>
        <w:t xml:space="preserve">, A., Rocha, R.G., Palazzo, M. and Siano, A. (2023) </w:t>
      </w:r>
      <w:r w:rsidR="00A22DB1" w:rsidRPr="008F33FD">
        <w:rPr>
          <w:color w:val="000000"/>
          <w:sz w:val="24"/>
          <w:lang w:val="en-GB"/>
        </w:rPr>
        <w:t>‘</w:t>
      </w:r>
      <w:r w:rsidRPr="008F33FD">
        <w:rPr>
          <w:color w:val="000000"/>
          <w:sz w:val="24"/>
          <w:lang w:val="en-GB"/>
        </w:rPr>
        <w:t>Examining a theoretical model of eco‐anxiety on consumers</w:t>
      </w:r>
      <w:r w:rsidR="00A22DB1" w:rsidRPr="008F33FD">
        <w:rPr>
          <w:color w:val="000000"/>
          <w:sz w:val="24"/>
          <w:lang w:val="en-GB"/>
        </w:rPr>
        <w:t>”</w:t>
      </w:r>
      <w:r w:rsidRPr="008F33FD">
        <w:rPr>
          <w:color w:val="000000"/>
          <w:sz w:val="24"/>
          <w:lang w:val="en-GB"/>
        </w:rPr>
        <w:t xml:space="preserve"> intentions towards green products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 xml:space="preserve">Corporate </w:t>
      </w:r>
      <w:r w:rsidRPr="008F33FD">
        <w:rPr>
          <w:i/>
          <w:iCs/>
          <w:color w:val="000000"/>
          <w:sz w:val="24"/>
          <w:lang w:val="en-GB"/>
        </w:rPr>
        <w:lastRenderedPageBreak/>
        <w:t>Social Responsibility and Environmental Management</w:t>
      </w:r>
      <w:r w:rsidRPr="008F33FD">
        <w:rPr>
          <w:color w:val="000000"/>
          <w:sz w:val="24"/>
          <w:lang w:val="en-GB"/>
        </w:rPr>
        <w:t>, 31(3), pp. 1868</w:t>
      </w:r>
      <w:r w:rsidR="008F33FD">
        <w:rPr>
          <w:color w:val="000000"/>
          <w:sz w:val="24"/>
          <w:lang w:val="en-GB"/>
        </w:rPr>
        <w:t>-</w:t>
      </w:r>
      <w:r w:rsidRPr="008F33FD">
        <w:rPr>
          <w:color w:val="000000"/>
          <w:sz w:val="24"/>
          <w:lang w:val="en-GB"/>
        </w:rPr>
        <w:t>1885. Available at: https://</w:t>
      </w:r>
      <w:proofErr w:type="spellStart"/>
      <w:r w:rsidRPr="008F33FD">
        <w:rPr>
          <w:color w:val="000000"/>
          <w:sz w:val="24"/>
          <w:lang w:val="en-GB"/>
        </w:rPr>
        <w:t>doi.org</w:t>
      </w:r>
      <w:proofErr w:type="spellEnd"/>
      <w:r w:rsidRPr="008F33FD">
        <w:rPr>
          <w:color w:val="000000"/>
          <w:sz w:val="24"/>
          <w:lang w:val="en-GB"/>
        </w:rPr>
        <w:t>/10.1002/</w:t>
      </w:r>
      <w:proofErr w:type="spellStart"/>
      <w:r w:rsidRPr="008F33FD">
        <w:rPr>
          <w:color w:val="000000"/>
          <w:sz w:val="24"/>
          <w:lang w:val="en-GB"/>
        </w:rPr>
        <w:t>csr.2670</w:t>
      </w:r>
      <w:proofErr w:type="spellEnd"/>
      <w:r w:rsidRPr="008F33FD">
        <w:rPr>
          <w:color w:val="000000"/>
          <w:sz w:val="24"/>
          <w:lang w:val="en-GB"/>
        </w:rPr>
        <w:t>.</w:t>
      </w:r>
    </w:p>
    <w:p w14:paraId="15299626" w14:textId="6EF5B6EB"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Snyder, H. (2019) </w:t>
      </w:r>
      <w:r w:rsidR="00A22DB1" w:rsidRPr="008F33FD">
        <w:rPr>
          <w:color w:val="000000"/>
          <w:sz w:val="24"/>
          <w:lang w:val="en-GB"/>
        </w:rPr>
        <w:t>‘</w:t>
      </w:r>
      <w:r w:rsidRPr="008F33FD">
        <w:rPr>
          <w:color w:val="000000"/>
          <w:sz w:val="24"/>
          <w:lang w:val="en-GB"/>
        </w:rPr>
        <w:t>Literature Review as a Research methodology: an Overview and Guidelines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Business Research</w:t>
      </w:r>
      <w:r w:rsidRPr="008F33FD">
        <w:rPr>
          <w:color w:val="000000"/>
          <w:sz w:val="24"/>
          <w:lang w:val="en-GB"/>
        </w:rPr>
        <w:t>, 104(1), pp. 333</w:t>
      </w:r>
      <w:r w:rsidR="008F33FD">
        <w:rPr>
          <w:color w:val="000000"/>
          <w:sz w:val="24"/>
          <w:lang w:val="en-GB"/>
        </w:rPr>
        <w:t>-</w:t>
      </w:r>
      <w:r w:rsidRPr="008F33FD">
        <w:rPr>
          <w:color w:val="000000"/>
          <w:sz w:val="24"/>
          <w:lang w:val="en-GB"/>
        </w:rPr>
        <w:t>339.</w:t>
      </w:r>
    </w:p>
    <w:p w14:paraId="7771F14A" w14:textId="637B055F"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Spanò, R., Zampella, A., Gianluca </w:t>
      </w:r>
      <w:proofErr w:type="spellStart"/>
      <w:r w:rsidRPr="008F33FD">
        <w:rPr>
          <w:color w:val="000000"/>
          <w:sz w:val="24"/>
          <w:lang w:val="en-GB"/>
        </w:rPr>
        <w:t>Ginesti</w:t>
      </w:r>
      <w:proofErr w:type="spellEnd"/>
      <w:r w:rsidRPr="008F33FD">
        <w:rPr>
          <w:color w:val="000000"/>
          <w:sz w:val="24"/>
          <w:lang w:val="en-GB"/>
        </w:rPr>
        <w:t xml:space="preserve">, Spanò, R., Zampella, A. and Gianluca </w:t>
      </w:r>
      <w:proofErr w:type="spellStart"/>
      <w:r w:rsidRPr="008F33FD">
        <w:rPr>
          <w:color w:val="000000"/>
          <w:sz w:val="24"/>
          <w:lang w:val="en-GB"/>
        </w:rPr>
        <w:t>Ginesti</w:t>
      </w:r>
      <w:proofErr w:type="spellEnd"/>
      <w:r w:rsidRPr="008F33FD">
        <w:rPr>
          <w:color w:val="000000"/>
          <w:sz w:val="24"/>
          <w:lang w:val="en-GB"/>
        </w:rPr>
        <w:t xml:space="preserve"> (2025) </w:t>
      </w:r>
      <w:r w:rsidR="00A22DB1" w:rsidRPr="008F33FD">
        <w:rPr>
          <w:color w:val="000000"/>
          <w:sz w:val="24"/>
          <w:lang w:val="en-GB"/>
        </w:rPr>
        <w:t>‘</w:t>
      </w:r>
      <w:r w:rsidRPr="008F33FD">
        <w:rPr>
          <w:color w:val="000000"/>
          <w:sz w:val="24"/>
          <w:lang w:val="en-GB"/>
        </w:rPr>
        <w:t xml:space="preserve">Sustainability in dissonance: Investigating </w:t>
      </w:r>
      <w:proofErr w:type="spellStart"/>
      <w:r w:rsidRPr="008F33FD">
        <w:rPr>
          <w:color w:val="000000"/>
          <w:sz w:val="24"/>
          <w:lang w:val="en-GB"/>
        </w:rPr>
        <w:t>ESG</w:t>
      </w:r>
      <w:proofErr w:type="spellEnd"/>
      <w:r w:rsidRPr="008F33FD">
        <w:rPr>
          <w:color w:val="000000"/>
          <w:sz w:val="24"/>
          <w:lang w:val="en-GB"/>
        </w:rPr>
        <w:t xml:space="preserve"> misalignment within organizations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Business Strategy and the Environment</w:t>
      </w:r>
      <w:r w:rsidRPr="008F33FD">
        <w:rPr>
          <w:color w:val="000000"/>
          <w:sz w:val="24"/>
          <w:lang w:val="en-GB"/>
        </w:rPr>
        <w:t>. Available at: https://</w:t>
      </w:r>
      <w:proofErr w:type="spellStart"/>
      <w:r w:rsidRPr="008F33FD">
        <w:rPr>
          <w:color w:val="000000"/>
          <w:sz w:val="24"/>
          <w:lang w:val="en-GB"/>
        </w:rPr>
        <w:t>doi.org</w:t>
      </w:r>
      <w:proofErr w:type="spellEnd"/>
      <w:r w:rsidRPr="008F33FD">
        <w:rPr>
          <w:color w:val="000000"/>
          <w:sz w:val="24"/>
          <w:lang w:val="en-GB"/>
        </w:rPr>
        <w:t>/10.1002/</w:t>
      </w:r>
      <w:proofErr w:type="spellStart"/>
      <w:r w:rsidRPr="008F33FD">
        <w:rPr>
          <w:color w:val="000000"/>
          <w:sz w:val="24"/>
          <w:lang w:val="en-GB"/>
        </w:rPr>
        <w:t>bse.70400</w:t>
      </w:r>
      <w:proofErr w:type="spellEnd"/>
      <w:r w:rsidRPr="008F33FD">
        <w:rPr>
          <w:color w:val="000000"/>
          <w:sz w:val="24"/>
          <w:lang w:val="en-GB"/>
        </w:rPr>
        <w:t>.</w:t>
      </w:r>
    </w:p>
    <w:p w14:paraId="69429AA4" w14:textId="534847B1"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Srivastava, P. (2025) </w:t>
      </w:r>
      <w:r w:rsidR="00A22DB1" w:rsidRPr="008F33FD">
        <w:rPr>
          <w:color w:val="000000"/>
          <w:sz w:val="24"/>
          <w:lang w:val="en-GB"/>
        </w:rPr>
        <w:t>‘</w:t>
      </w:r>
      <w:r w:rsidRPr="008F33FD">
        <w:rPr>
          <w:color w:val="000000"/>
          <w:sz w:val="24"/>
          <w:lang w:val="en-GB"/>
        </w:rPr>
        <w:t>Greenwashing vs. Green Trust: A review study of consumer perceptions and responses to sustainability claims in marketing</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International Journal For Multidisciplinary Research</w:t>
      </w:r>
      <w:r w:rsidRPr="008F33FD">
        <w:rPr>
          <w:color w:val="000000"/>
          <w:sz w:val="24"/>
          <w:lang w:val="en-GB"/>
        </w:rPr>
        <w:t>, 7(4). Available at: https://</w:t>
      </w:r>
      <w:proofErr w:type="spellStart"/>
      <w:r w:rsidRPr="008F33FD">
        <w:rPr>
          <w:color w:val="000000"/>
          <w:sz w:val="24"/>
          <w:lang w:val="en-GB"/>
        </w:rPr>
        <w:t>doi.org</w:t>
      </w:r>
      <w:proofErr w:type="spellEnd"/>
      <w:r w:rsidRPr="008F33FD">
        <w:rPr>
          <w:color w:val="000000"/>
          <w:sz w:val="24"/>
          <w:lang w:val="en-GB"/>
        </w:rPr>
        <w:t>/10.36948/</w:t>
      </w:r>
      <w:proofErr w:type="spellStart"/>
      <w:r w:rsidRPr="008F33FD">
        <w:rPr>
          <w:color w:val="000000"/>
          <w:sz w:val="24"/>
          <w:lang w:val="en-GB"/>
        </w:rPr>
        <w:t>ijfmr.2025.v07i04.52697</w:t>
      </w:r>
      <w:proofErr w:type="spellEnd"/>
      <w:r w:rsidRPr="008F33FD">
        <w:rPr>
          <w:color w:val="000000"/>
          <w:sz w:val="24"/>
          <w:lang w:val="en-GB"/>
        </w:rPr>
        <w:t>.</w:t>
      </w:r>
    </w:p>
    <w:p w14:paraId="3B338209" w14:textId="72BC09ED"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Stotmeister</w:t>
      </w:r>
      <w:proofErr w:type="spellEnd"/>
      <w:r w:rsidRPr="008F33FD">
        <w:rPr>
          <w:color w:val="000000"/>
          <w:sz w:val="24"/>
          <w:lang w:val="en-GB"/>
        </w:rPr>
        <w:t xml:space="preserve">, K. (2024) </w:t>
      </w:r>
      <w:r w:rsidR="00A22DB1" w:rsidRPr="008F33FD">
        <w:rPr>
          <w:color w:val="000000"/>
          <w:sz w:val="24"/>
          <w:lang w:val="en-GB"/>
        </w:rPr>
        <w:t>‘</w:t>
      </w:r>
      <w:r w:rsidRPr="008F33FD">
        <w:rPr>
          <w:color w:val="000000"/>
          <w:sz w:val="24"/>
          <w:lang w:val="en-GB"/>
        </w:rPr>
        <w:t>Presenting the Results of the Quantitative Data Analysis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proofErr w:type="spellStart"/>
      <w:r w:rsidRPr="008F33FD">
        <w:rPr>
          <w:i/>
          <w:iCs/>
          <w:color w:val="000000"/>
          <w:sz w:val="24"/>
          <w:lang w:val="en-GB"/>
        </w:rPr>
        <w:t>Familienunternehmen</w:t>
      </w:r>
      <w:proofErr w:type="spellEnd"/>
      <w:r w:rsidRPr="008F33FD">
        <w:rPr>
          <w:i/>
          <w:iCs/>
          <w:color w:val="000000"/>
          <w:sz w:val="24"/>
          <w:lang w:val="en-GB"/>
        </w:rPr>
        <w:t xml:space="preserve"> und </w:t>
      </w:r>
      <w:proofErr w:type="spellStart"/>
      <w:r w:rsidRPr="008F33FD">
        <w:rPr>
          <w:i/>
          <w:iCs/>
          <w:color w:val="000000"/>
          <w:sz w:val="24"/>
          <w:lang w:val="en-GB"/>
        </w:rPr>
        <w:t>KMU</w:t>
      </w:r>
      <w:proofErr w:type="spellEnd"/>
      <w:r w:rsidRPr="008F33FD">
        <w:rPr>
          <w:color w:val="000000"/>
          <w:sz w:val="24"/>
          <w:lang w:val="en-GB"/>
        </w:rPr>
        <w:t>, 1(4), pp. 85</w:t>
      </w:r>
      <w:r w:rsidR="008F33FD">
        <w:rPr>
          <w:color w:val="000000"/>
          <w:sz w:val="24"/>
          <w:lang w:val="en-GB"/>
        </w:rPr>
        <w:t>-</w:t>
      </w:r>
      <w:r w:rsidRPr="008F33FD">
        <w:rPr>
          <w:color w:val="000000"/>
          <w:sz w:val="24"/>
          <w:lang w:val="en-GB"/>
        </w:rPr>
        <w:t>144. Available at: https://</w:t>
      </w:r>
      <w:proofErr w:type="spellStart"/>
      <w:r w:rsidRPr="008F33FD">
        <w:rPr>
          <w:color w:val="000000"/>
          <w:sz w:val="24"/>
          <w:lang w:val="en-GB"/>
        </w:rPr>
        <w:t>doi.org</w:t>
      </w:r>
      <w:proofErr w:type="spellEnd"/>
      <w:r w:rsidRPr="008F33FD">
        <w:rPr>
          <w:color w:val="000000"/>
          <w:sz w:val="24"/>
          <w:lang w:val="en-GB"/>
        </w:rPr>
        <w:t>/10.1007/978-3-658-44303-0_4.</w:t>
      </w:r>
    </w:p>
    <w:p w14:paraId="421061CB" w14:textId="3BA13E72"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Su</w:t>
      </w:r>
      <w:proofErr w:type="spellEnd"/>
      <w:r w:rsidRPr="008F33FD">
        <w:rPr>
          <w:color w:val="000000"/>
          <w:sz w:val="24"/>
          <w:lang w:val="en-GB"/>
        </w:rPr>
        <w:t xml:space="preserve">, L., </w:t>
      </w:r>
      <w:proofErr w:type="spellStart"/>
      <w:r w:rsidRPr="008F33FD">
        <w:rPr>
          <w:color w:val="000000"/>
          <w:sz w:val="24"/>
          <w:lang w:val="en-GB"/>
        </w:rPr>
        <w:t>Laczniak</w:t>
      </w:r>
      <w:proofErr w:type="spellEnd"/>
      <w:r w:rsidRPr="008F33FD">
        <w:rPr>
          <w:color w:val="000000"/>
          <w:sz w:val="24"/>
          <w:lang w:val="en-GB"/>
        </w:rPr>
        <w:t xml:space="preserve">, R.N., Walker, D. and Raju, S. (2023) </w:t>
      </w:r>
      <w:r w:rsidR="00A22DB1" w:rsidRPr="008F33FD">
        <w:rPr>
          <w:color w:val="000000"/>
          <w:sz w:val="24"/>
          <w:lang w:val="en-GB"/>
        </w:rPr>
        <w:t>‘</w:t>
      </w:r>
      <w:r w:rsidRPr="008F33FD">
        <w:rPr>
          <w:color w:val="000000"/>
          <w:sz w:val="24"/>
          <w:lang w:val="en-GB"/>
        </w:rPr>
        <w:t>Is strong more vulnerable? An empirical investigation of psychological contract formation, violation, and customer reactions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Business Research</w:t>
      </w:r>
      <w:r w:rsidRPr="008F33FD">
        <w:rPr>
          <w:color w:val="000000"/>
          <w:sz w:val="24"/>
          <w:lang w:val="en-GB"/>
        </w:rPr>
        <w:t>, 168, p. 114223.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j.jbusres.2023.114223</w:t>
      </w:r>
      <w:proofErr w:type="spellEnd"/>
      <w:r w:rsidRPr="008F33FD">
        <w:rPr>
          <w:color w:val="000000"/>
          <w:sz w:val="24"/>
          <w:lang w:val="en-GB"/>
        </w:rPr>
        <w:t>.</w:t>
      </w:r>
    </w:p>
    <w:p w14:paraId="09849060" w14:textId="4A6DF0A0"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Szaban</w:t>
      </w:r>
      <w:proofErr w:type="spellEnd"/>
      <w:r w:rsidRPr="008F33FD">
        <w:rPr>
          <w:color w:val="000000"/>
          <w:sz w:val="24"/>
          <w:lang w:val="en-GB"/>
        </w:rPr>
        <w:t xml:space="preserve">, M., Szymkowiak, A. and </w:t>
      </w:r>
      <w:proofErr w:type="spellStart"/>
      <w:r w:rsidRPr="008F33FD">
        <w:rPr>
          <w:color w:val="000000"/>
          <w:sz w:val="24"/>
          <w:lang w:val="en-GB"/>
        </w:rPr>
        <w:t>Chwialkowska</w:t>
      </w:r>
      <w:proofErr w:type="spellEnd"/>
      <w:r w:rsidRPr="008F33FD">
        <w:rPr>
          <w:color w:val="000000"/>
          <w:sz w:val="24"/>
          <w:lang w:val="en-GB"/>
        </w:rPr>
        <w:t xml:space="preserve">, A. (2025) </w:t>
      </w:r>
      <w:r w:rsidR="00A22DB1" w:rsidRPr="008F33FD">
        <w:rPr>
          <w:color w:val="000000"/>
          <w:sz w:val="24"/>
          <w:lang w:val="en-GB"/>
        </w:rPr>
        <w:t>‘</w:t>
      </w:r>
      <w:r w:rsidRPr="008F33FD">
        <w:rPr>
          <w:color w:val="000000"/>
          <w:sz w:val="24"/>
          <w:lang w:val="en-GB"/>
        </w:rPr>
        <w:t>Breaking barriers: Navigating the stages of the green consumer journey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Environment, Development and Sustainability</w:t>
      </w:r>
      <w:r w:rsidRPr="008F33FD">
        <w:rPr>
          <w:color w:val="000000"/>
          <w:sz w:val="24"/>
          <w:lang w:val="en-GB"/>
        </w:rPr>
        <w:t>, 28(5), pp. 13087</w:t>
      </w:r>
      <w:r w:rsidR="008F33FD">
        <w:rPr>
          <w:color w:val="000000"/>
          <w:sz w:val="24"/>
          <w:lang w:val="en-GB"/>
        </w:rPr>
        <w:t>-</w:t>
      </w:r>
      <w:r w:rsidRPr="008F33FD">
        <w:rPr>
          <w:color w:val="000000"/>
          <w:sz w:val="24"/>
          <w:lang w:val="en-GB"/>
        </w:rPr>
        <w:t>13124. Available at: https://</w:t>
      </w:r>
      <w:proofErr w:type="spellStart"/>
      <w:r w:rsidRPr="008F33FD">
        <w:rPr>
          <w:color w:val="000000"/>
          <w:sz w:val="24"/>
          <w:lang w:val="en-GB"/>
        </w:rPr>
        <w:t>doi.org</w:t>
      </w:r>
      <w:proofErr w:type="spellEnd"/>
      <w:r w:rsidRPr="008F33FD">
        <w:rPr>
          <w:color w:val="000000"/>
          <w:sz w:val="24"/>
          <w:lang w:val="en-GB"/>
        </w:rPr>
        <w:t>/10.1007/</w:t>
      </w:r>
      <w:proofErr w:type="spellStart"/>
      <w:r w:rsidRPr="008F33FD">
        <w:rPr>
          <w:color w:val="000000"/>
          <w:sz w:val="24"/>
          <w:lang w:val="en-GB"/>
        </w:rPr>
        <w:t>s10668</w:t>
      </w:r>
      <w:proofErr w:type="spellEnd"/>
      <w:r w:rsidRPr="008F33FD">
        <w:rPr>
          <w:color w:val="000000"/>
          <w:sz w:val="24"/>
          <w:lang w:val="en-GB"/>
        </w:rPr>
        <w:t>-025-06795-z.</w:t>
      </w:r>
    </w:p>
    <w:p w14:paraId="3DA36E5E" w14:textId="4320B4A1"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Sánchez, </w:t>
      </w:r>
      <w:proofErr w:type="spellStart"/>
      <w:r w:rsidRPr="008F33FD">
        <w:rPr>
          <w:color w:val="000000"/>
          <w:sz w:val="24"/>
          <w:lang w:val="en-GB"/>
        </w:rPr>
        <w:t>F.J.G</w:t>
      </w:r>
      <w:proofErr w:type="spellEnd"/>
      <w:r w:rsidRPr="008F33FD">
        <w:rPr>
          <w:color w:val="000000"/>
          <w:sz w:val="24"/>
          <w:lang w:val="en-GB"/>
        </w:rPr>
        <w:t xml:space="preserve">., Molina-Prados, A., Peña, </w:t>
      </w:r>
      <w:proofErr w:type="spellStart"/>
      <w:r w:rsidRPr="008F33FD">
        <w:rPr>
          <w:color w:val="000000"/>
          <w:sz w:val="24"/>
          <w:lang w:val="en-GB"/>
        </w:rPr>
        <w:t>Mb.P</w:t>
      </w:r>
      <w:proofErr w:type="spellEnd"/>
      <w:r w:rsidRPr="008F33FD">
        <w:rPr>
          <w:color w:val="000000"/>
          <w:sz w:val="24"/>
          <w:lang w:val="en-GB"/>
        </w:rPr>
        <w:t xml:space="preserve">. and Moreno, </w:t>
      </w:r>
      <w:proofErr w:type="spellStart"/>
      <w:r w:rsidRPr="008F33FD">
        <w:rPr>
          <w:color w:val="000000"/>
          <w:sz w:val="24"/>
          <w:lang w:val="en-GB"/>
        </w:rPr>
        <w:t>V.M</w:t>
      </w:r>
      <w:proofErr w:type="spellEnd"/>
      <w:r w:rsidRPr="008F33FD">
        <w:rPr>
          <w:color w:val="000000"/>
          <w:sz w:val="24"/>
          <w:lang w:val="en-GB"/>
        </w:rPr>
        <w:t xml:space="preserve">. (2024) </w:t>
      </w:r>
      <w:r w:rsidR="00A22DB1" w:rsidRPr="008F33FD">
        <w:rPr>
          <w:color w:val="000000"/>
          <w:sz w:val="24"/>
          <w:lang w:val="en-GB"/>
        </w:rPr>
        <w:t>‘</w:t>
      </w:r>
      <w:r w:rsidRPr="008F33FD">
        <w:rPr>
          <w:color w:val="000000"/>
          <w:sz w:val="24"/>
          <w:lang w:val="en-GB"/>
        </w:rPr>
        <w:t>Adoption of sustainability principles in the fashion industry: A systematic literature review</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the Knowledge Economy</w:t>
      </w:r>
      <w:r w:rsidRPr="008F33FD">
        <w:rPr>
          <w:color w:val="000000"/>
          <w:sz w:val="24"/>
          <w:lang w:val="en-GB"/>
        </w:rPr>
        <w:t>. Available at: https://</w:t>
      </w:r>
      <w:proofErr w:type="spellStart"/>
      <w:r w:rsidRPr="008F33FD">
        <w:rPr>
          <w:color w:val="000000"/>
          <w:sz w:val="24"/>
          <w:lang w:val="en-GB"/>
        </w:rPr>
        <w:t>doi.org</w:t>
      </w:r>
      <w:proofErr w:type="spellEnd"/>
      <w:r w:rsidRPr="008F33FD">
        <w:rPr>
          <w:color w:val="000000"/>
          <w:sz w:val="24"/>
          <w:lang w:val="en-GB"/>
        </w:rPr>
        <w:t>/10.1007/</w:t>
      </w:r>
      <w:proofErr w:type="spellStart"/>
      <w:r w:rsidRPr="008F33FD">
        <w:rPr>
          <w:color w:val="000000"/>
          <w:sz w:val="24"/>
          <w:lang w:val="en-GB"/>
        </w:rPr>
        <w:t>s13132</w:t>
      </w:r>
      <w:proofErr w:type="spellEnd"/>
      <w:r w:rsidRPr="008F33FD">
        <w:rPr>
          <w:color w:val="000000"/>
          <w:sz w:val="24"/>
          <w:lang w:val="en-GB"/>
        </w:rPr>
        <w:t>-024-02438-2.</w:t>
      </w:r>
    </w:p>
    <w:p w14:paraId="41CDEE88" w14:textId="187D16E1"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Tavakol</w:t>
      </w:r>
      <w:proofErr w:type="spellEnd"/>
      <w:r w:rsidRPr="008F33FD">
        <w:rPr>
          <w:color w:val="000000"/>
          <w:sz w:val="24"/>
          <w:lang w:val="en-GB"/>
        </w:rPr>
        <w:t xml:space="preserve">, M. and Dennick, R. (2011) </w:t>
      </w:r>
      <w:r w:rsidR="00A22DB1" w:rsidRPr="008F33FD">
        <w:rPr>
          <w:color w:val="000000"/>
          <w:sz w:val="24"/>
          <w:lang w:val="en-GB"/>
        </w:rPr>
        <w:t>‘</w:t>
      </w:r>
      <w:r w:rsidRPr="008F33FD">
        <w:rPr>
          <w:color w:val="000000"/>
          <w:sz w:val="24"/>
          <w:lang w:val="en-GB"/>
        </w:rPr>
        <w:t>Making sense of Cronbach</w:t>
      </w:r>
      <w:r w:rsidR="00A22DB1" w:rsidRPr="008F33FD">
        <w:rPr>
          <w:color w:val="000000"/>
          <w:sz w:val="24"/>
          <w:lang w:val="en-GB"/>
        </w:rPr>
        <w:t>’</w:t>
      </w:r>
      <w:r w:rsidRPr="008F33FD">
        <w:rPr>
          <w:color w:val="000000"/>
          <w:sz w:val="24"/>
          <w:lang w:val="en-GB"/>
        </w:rPr>
        <w:t>s alpha</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International Journal of Medical Education</w:t>
      </w:r>
      <w:r w:rsidRPr="008F33FD">
        <w:rPr>
          <w:color w:val="000000"/>
          <w:sz w:val="24"/>
          <w:lang w:val="en-GB"/>
        </w:rPr>
        <w:t>, 2(2), pp. 53</w:t>
      </w:r>
      <w:r w:rsidR="008F33FD">
        <w:rPr>
          <w:color w:val="000000"/>
          <w:sz w:val="24"/>
          <w:lang w:val="en-GB"/>
        </w:rPr>
        <w:t>-</w:t>
      </w:r>
      <w:r w:rsidRPr="008F33FD">
        <w:rPr>
          <w:color w:val="000000"/>
          <w:sz w:val="24"/>
          <w:lang w:val="en-GB"/>
        </w:rPr>
        <w:t>55. Available at: https://</w:t>
      </w:r>
      <w:proofErr w:type="spellStart"/>
      <w:r w:rsidRPr="008F33FD">
        <w:rPr>
          <w:color w:val="000000"/>
          <w:sz w:val="24"/>
          <w:lang w:val="en-GB"/>
        </w:rPr>
        <w:t>doi.org</w:t>
      </w:r>
      <w:proofErr w:type="spellEnd"/>
      <w:r w:rsidRPr="008F33FD">
        <w:rPr>
          <w:color w:val="000000"/>
          <w:sz w:val="24"/>
          <w:lang w:val="en-GB"/>
        </w:rPr>
        <w:t>/10.5116/</w:t>
      </w:r>
      <w:proofErr w:type="spellStart"/>
      <w:r w:rsidRPr="008F33FD">
        <w:rPr>
          <w:color w:val="000000"/>
          <w:sz w:val="24"/>
          <w:lang w:val="en-GB"/>
        </w:rPr>
        <w:t>ijme.4dfb.8dfd</w:t>
      </w:r>
      <w:proofErr w:type="spellEnd"/>
      <w:r w:rsidRPr="008F33FD">
        <w:rPr>
          <w:color w:val="000000"/>
          <w:sz w:val="24"/>
          <w:lang w:val="en-GB"/>
        </w:rPr>
        <w:t>.</w:t>
      </w:r>
    </w:p>
    <w:p w14:paraId="14449DD8" w14:textId="35AD2974"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Tiago, M.T.B., Almeida, A., Gomes, F. and Moreira, M. (2024) </w:t>
      </w:r>
      <w:r w:rsidR="00A22DB1" w:rsidRPr="008F33FD">
        <w:rPr>
          <w:color w:val="000000"/>
          <w:sz w:val="24"/>
          <w:lang w:val="en-GB"/>
        </w:rPr>
        <w:t>‘</w:t>
      </w:r>
      <w:r w:rsidRPr="008F33FD">
        <w:rPr>
          <w:color w:val="000000"/>
          <w:sz w:val="24"/>
          <w:lang w:val="en-GB"/>
        </w:rPr>
        <w:t>Bridging the innovative attitude</w:t>
      </w:r>
      <w:r w:rsidR="008F33FD">
        <w:rPr>
          <w:color w:val="000000"/>
          <w:sz w:val="24"/>
          <w:lang w:val="en-GB"/>
        </w:rPr>
        <w:t>-</w:t>
      </w:r>
      <w:proofErr w:type="spellStart"/>
      <w:r w:rsidRPr="008F33FD">
        <w:rPr>
          <w:color w:val="000000"/>
          <w:sz w:val="24"/>
          <w:lang w:val="en-GB"/>
        </w:rPr>
        <w:t>behavior</w:t>
      </w:r>
      <w:proofErr w:type="spellEnd"/>
      <w:r w:rsidRPr="008F33FD">
        <w:rPr>
          <w:color w:val="000000"/>
          <w:sz w:val="24"/>
          <w:lang w:val="en-GB"/>
        </w:rPr>
        <w:t xml:space="preserve"> gap: A dual-level analysis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 xml:space="preserve">Journal of Innovation </w:t>
      </w:r>
      <w:r w:rsidR="00944B3B" w:rsidRPr="008F33FD">
        <w:rPr>
          <w:i/>
          <w:iCs/>
          <w:color w:val="000000"/>
          <w:sz w:val="24"/>
          <w:lang w:val="en-GB"/>
        </w:rPr>
        <w:t>and</w:t>
      </w:r>
      <w:r w:rsidRPr="008F33FD">
        <w:rPr>
          <w:i/>
          <w:iCs/>
          <w:color w:val="000000"/>
          <w:sz w:val="24"/>
          <w:lang w:val="en-GB"/>
        </w:rPr>
        <w:t xml:space="preserve"> Knowledge</w:t>
      </w:r>
      <w:r w:rsidRPr="008F33FD">
        <w:rPr>
          <w:color w:val="000000"/>
          <w:sz w:val="24"/>
          <w:lang w:val="en-GB"/>
        </w:rPr>
        <w:t>, 9(4), pp. 100561</w:t>
      </w:r>
      <w:r w:rsidR="008F33FD">
        <w:rPr>
          <w:color w:val="000000"/>
          <w:sz w:val="24"/>
          <w:lang w:val="en-GB"/>
        </w:rPr>
        <w:t>-</w:t>
      </w:r>
      <w:r w:rsidRPr="008F33FD">
        <w:rPr>
          <w:color w:val="000000"/>
          <w:sz w:val="24"/>
          <w:lang w:val="en-GB"/>
        </w:rPr>
        <w:t>100561.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j.jik.2024.100561</w:t>
      </w:r>
      <w:proofErr w:type="spellEnd"/>
      <w:r w:rsidRPr="008F33FD">
        <w:rPr>
          <w:color w:val="000000"/>
          <w:sz w:val="24"/>
          <w:lang w:val="en-GB"/>
        </w:rPr>
        <w:t>.</w:t>
      </w:r>
    </w:p>
    <w:p w14:paraId="2768110E" w14:textId="05F345CE"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lastRenderedPageBreak/>
        <w:t>Vadakkepatt</w:t>
      </w:r>
      <w:proofErr w:type="spellEnd"/>
      <w:r w:rsidRPr="008F33FD">
        <w:rPr>
          <w:color w:val="000000"/>
          <w:sz w:val="24"/>
          <w:lang w:val="en-GB"/>
        </w:rPr>
        <w:t xml:space="preserve">, G.G., </w:t>
      </w:r>
      <w:proofErr w:type="spellStart"/>
      <w:r w:rsidRPr="008F33FD">
        <w:rPr>
          <w:color w:val="000000"/>
          <w:sz w:val="24"/>
          <w:lang w:val="en-GB"/>
        </w:rPr>
        <w:t>Winterich</w:t>
      </w:r>
      <w:proofErr w:type="spellEnd"/>
      <w:r w:rsidRPr="008F33FD">
        <w:rPr>
          <w:color w:val="000000"/>
          <w:sz w:val="24"/>
          <w:lang w:val="en-GB"/>
        </w:rPr>
        <w:t xml:space="preserve">, </w:t>
      </w:r>
      <w:proofErr w:type="spellStart"/>
      <w:r w:rsidRPr="008F33FD">
        <w:rPr>
          <w:color w:val="000000"/>
          <w:sz w:val="24"/>
          <w:lang w:val="en-GB"/>
        </w:rPr>
        <w:t>K.P</w:t>
      </w:r>
      <w:proofErr w:type="spellEnd"/>
      <w:r w:rsidRPr="008F33FD">
        <w:rPr>
          <w:color w:val="000000"/>
          <w:sz w:val="24"/>
          <w:lang w:val="en-GB"/>
        </w:rPr>
        <w:t xml:space="preserve">., Mittal, V., Zinn, W., Beitelspacher, L., Aloysius, J., Ginger, J. and Reilman, J. (2021) </w:t>
      </w:r>
      <w:r w:rsidR="00A22DB1" w:rsidRPr="008F33FD">
        <w:rPr>
          <w:color w:val="000000"/>
          <w:sz w:val="24"/>
          <w:lang w:val="en-GB"/>
        </w:rPr>
        <w:t>‘</w:t>
      </w:r>
      <w:r w:rsidRPr="008F33FD">
        <w:rPr>
          <w:color w:val="000000"/>
          <w:sz w:val="24"/>
          <w:lang w:val="en-GB"/>
        </w:rPr>
        <w:t>Sustainable retailing</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Retailing</w:t>
      </w:r>
      <w:r w:rsidRPr="008F33FD">
        <w:rPr>
          <w:color w:val="000000"/>
          <w:sz w:val="24"/>
          <w:lang w:val="en-GB"/>
        </w:rPr>
        <w:t>, 97(1), pp. 62</w:t>
      </w:r>
      <w:r w:rsidR="008F33FD">
        <w:rPr>
          <w:color w:val="000000"/>
          <w:sz w:val="24"/>
          <w:lang w:val="en-GB"/>
        </w:rPr>
        <w:t>-</w:t>
      </w:r>
      <w:r w:rsidRPr="008F33FD">
        <w:rPr>
          <w:color w:val="000000"/>
          <w:sz w:val="24"/>
          <w:lang w:val="en-GB"/>
        </w:rPr>
        <w:t>80. Available at: https://</w:t>
      </w:r>
      <w:proofErr w:type="spellStart"/>
      <w:r w:rsidRPr="008F33FD">
        <w:rPr>
          <w:color w:val="000000"/>
          <w:sz w:val="24"/>
          <w:lang w:val="en-GB"/>
        </w:rPr>
        <w:t>doi.org</w:t>
      </w:r>
      <w:proofErr w:type="spellEnd"/>
      <w:r w:rsidRPr="008F33FD">
        <w:rPr>
          <w:color w:val="000000"/>
          <w:sz w:val="24"/>
          <w:lang w:val="en-GB"/>
        </w:rPr>
        <w:t>/https://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j.jretai.2020.10.008</w:t>
      </w:r>
      <w:proofErr w:type="spellEnd"/>
      <w:r w:rsidRPr="008F33FD">
        <w:rPr>
          <w:color w:val="000000"/>
          <w:sz w:val="24"/>
          <w:lang w:val="en-GB"/>
        </w:rPr>
        <w:t>.</w:t>
      </w:r>
    </w:p>
    <w:p w14:paraId="5E6318A8" w14:textId="353CE6B2"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Vangeli, A., </w:t>
      </w:r>
      <w:proofErr w:type="spellStart"/>
      <w:r w:rsidRPr="008F33FD">
        <w:rPr>
          <w:color w:val="000000"/>
          <w:sz w:val="24"/>
          <w:lang w:val="en-GB"/>
        </w:rPr>
        <w:t>Małecka</w:t>
      </w:r>
      <w:proofErr w:type="spellEnd"/>
      <w:r w:rsidRPr="008F33FD">
        <w:rPr>
          <w:color w:val="000000"/>
          <w:sz w:val="24"/>
          <w:lang w:val="en-GB"/>
        </w:rPr>
        <w:t xml:space="preserve">, A., </w:t>
      </w:r>
      <w:proofErr w:type="spellStart"/>
      <w:r w:rsidRPr="008F33FD">
        <w:rPr>
          <w:color w:val="000000"/>
          <w:sz w:val="24"/>
          <w:lang w:val="en-GB"/>
        </w:rPr>
        <w:t>Mitręga</w:t>
      </w:r>
      <w:proofErr w:type="spellEnd"/>
      <w:r w:rsidRPr="008F33FD">
        <w:rPr>
          <w:color w:val="000000"/>
          <w:sz w:val="24"/>
          <w:lang w:val="en-GB"/>
        </w:rPr>
        <w:t xml:space="preserve">, M. and </w:t>
      </w:r>
      <w:proofErr w:type="spellStart"/>
      <w:r w:rsidRPr="008F33FD">
        <w:rPr>
          <w:color w:val="000000"/>
          <w:sz w:val="24"/>
          <w:lang w:val="en-GB"/>
        </w:rPr>
        <w:t>Pfajfar</w:t>
      </w:r>
      <w:proofErr w:type="spellEnd"/>
      <w:r w:rsidRPr="008F33FD">
        <w:rPr>
          <w:color w:val="000000"/>
          <w:sz w:val="24"/>
          <w:lang w:val="en-GB"/>
        </w:rPr>
        <w:t xml:space="preserve">, G. (2023) </w:t>
      </w:r>
      <w:r w:rsidR="00A22DB1" w:rsidRPr="008F33FD">
        <w:rPr>
          <w:color w:val="000000"/>
          <w:sz w:val="24"/>
          <w:lang w:val="en-GB"/>
        </w:rPr>
        <w:t>‘</w:t>
      </w:r>
      <w:r w:rsidRPr="008F33FD">
        <w:rPr>
          <w:color w:val="000000"/>
          <w:sz w:val="24"/>
          <w:lang w:val="en-GB"/>
        </w:rPr>
        <w:t xml:space="preserve">From greenwashing to green </w:t>
      </w:r>
      <w:proofErr w:type="spellStart"/>
      <w:r w:rsidRPr="008F33FD">
        <w:rPr>
          <w:color w:val="000000"/>
          <w:sz w:val="24"/>
          <w:lang w:val="en-GB"/>
        </w:rPr>
        <w:t>B2B</w:t>
      </w:r>
      <w:proofErr w:type="spellEnd"/>
      <w:r w:rsidRPr="008F33FD">
        <w:rPr>
          <w:color w:val="000000"/>
          <w:sz w:val="24"/>
          <w:lang w:val="en-GB"/>
        </w:rPr>
        <w:t xml:space="preserve"> marketing: A systematic literature review</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Industrial Marketing Management</w:t>
      </w:r>
      <w:r w:rsidRPr="008F33FD">
        <w:rPr>
          <w:color w:val="000000"/>
          <w:sz w:val="24"/>
          <w:lang w:val="en-GB"/>
        </w:rPr>
        <w:t>, 115, pp. 281</w:t>
      </w:r>
      <w:r w:rsidR="008F33FD">
        <w:rPr>
          <w:color w:val="000000"/>
          <w:sz w:val="24"/>
          <w:lang w:val="en-GB"/>
        </w:rPr>
        <w:t>-</w:t>
      </w:r>
      <w:r w:rsidRPr="008F33FD">
        <w:rPr>
          <w:color w:val="000000"/>
          <w:sz w:val="24"/>
          <w:lang w:val="en-GB"/>
        </w:rPr>
        <w:t>299.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j.indmarman.2023.10.002</w:t>
      </w:r>
      <w:proofErr w:type="spellEnd"/>
      <w:r w:rsidRPr="008F33FD">
        <w:rPr>
          <w:color w:val="000000"/>
          <w:sz w:val="24"/>
          <w:lang w:val="en-GB"/>
        </w:rPr>
        <w:t>.</w:t>
      </w:r>
    </w:p>
    <w:p w14:paraId="1AB5C551" w14:textId="05EFA456"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Vidal-</w:t>
      </w:r>
      <w:proofErr w:type="spellStart"/>
      <w:r w:rsidRPr="008F33FD">
        <w:rPr>
          <w:color w:val="000000"/>
          <w:sz w:val="24"/>
          <w:lang w:val="en-GB"/>
        </w:rPr>
        <w:t>Buitano</w:t>
      </w:r>
      <w:proofErr w:type="spellEnd"/>
      <w:r w:rsidRPr="008F33FD">
        <w:rPr>
          <w:color w:val="000000"/>
          <w:sz w:val="24"/>
          <w:lang w:val="en-GB"/>
        </w:rPr>
        <w:t xml:space="preserve">, A., Torres-Moraga, E., Montoro-Ríos, F.J. and Alonso-Dos-Santos, M. (2026) </w:t>
      </w:r>
      <w:r w:rsidR="00A22DB1" w:rsidRPr="008F33FD">
        <w:rPr>
          <w:color w:val="000000"/>
          <w:sz w:val="24"/>
          <w:lang w:val="en-GB"/>
        </w:rPr>
        <w:t>‘</w:t>
      </w:r>
      <w:r w:rsidRPr="008F33FD">
        <w:rPr>
          <w:color w:val="000000"/>
          <w:sz w:val="24"/>
          <w:lang w:val="en-GB"/>
        </w:rPr>
        <w:t>From values to motives: Dual psychological routes to green product patronage in a developing country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Humanities and Social Sciences Communications</w:t>
      </w:r>
      <w:r w:rsidRPr="008F33FD">
        <w:rPr>
          <w:color w:val="000000"/>
          <w:sz w:val="24"/>
          <w:lang w:val="en-GB"/>
        </w:rPr>
        <w:t>, 13(1). Available at: https://</w:t>
      </w:r>
      <w:proofErr w:type="spellStart"/>
      <w:r w:rsidRPr="008F33FD">
        <w:rPr>
          <w:color w:val="000000"/>
          <w:sz w:val="24"/>
          <w:lang w:val="en-GB"/>
        </w:rPr>
        <w:t>doi.org</w:t>
      </w:r>
      <w:proofErr w:type="spellEnd"/>
      <w:r w:rsidRPr="008F33FD">
        <w:rPr>
          <w:color w:val="000000"/>
          <w:sz w:val="24"/>
          <w:lang w:val="en-GB"/>
        </w:rPr>
        <w:t>/10.1057/</w:t>
      </w:r>
      <w:proofErr w:type="spellStart"/>
      <w:r w:rsidRPr="008F33FD">
        <w:rPr>
          <w:color w:val="000000"/>
          <w:sz w:val="24"/>
          <w:lang w:val="en-GB"/>
        </w:rPr>
        <w:t>s41599</w:t>
      </w:r>
      <w:proofErr w:type="spellEnd"/>
      <w:r w:rsidRPr="008F33FD">
        <w:rPr>
          <w:color w:val="000000"/>
          <w:sz w:val="24"/>
          <w:lang w:val="en-GB"/>
        </w:rPr>
        <w:t>-026-06727-w.</w:t>
      </w:r>
    </w:p>
    <w:p w14:paraId="4A5F7790" w14:textId="342F1CD4"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Villarino, J. and Font, X. (2015) </w:t>
      </w:r>
      <w:r w:rsidR="00A22DB1" w:rsidRPr="008F33FD">
        <w:rPr>
          <w:color w:val="000000"/>
          <w:sz w:val="24"/>
          <w:lang w:val="en-GB"/>
        </w:rPr>
        <w:t>‘</w:t>
      </w:r>
      <w:r w:rsidRPr="008F33FD">
        <w:rPr>
          <w:color w:val="000000"/>
          <w:sz w:val="24"/>
          <w:lang w:val="en-GB"/>
        </w:rPr>
        <w:t>Sustainability marketing myopia: The lack of persuasiveness in sustainability communication</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Vacation Marketing</w:t>
      </w:r>
      <w:r w:rsidRPr="008F33FD">
        <w:rPr>
          <w:color w:val="000000"/>
          <w:sz w:val="24"/>
          <w:lang w:val="en-GB"/>
        </w:rPr>
        <w:t>, 21(4), pp. 326</w:t>
      </w:r>
      <w:r w:rsidR="008F33FD">
        <w:rPr>
          <w:color w:val="000000"/>
          <w:sz w:val="24"/>
          <w:lang w:val="en-GB"/>
        </w:rPr>
        <w:t>-</w:t>
      </w:r>
      <w:r w:rsidRPr="008F33FD">
        <w:rPr>
          <w:color w:val="000000"/>
          <w:sz w:val="24"/>
          <w:lang w:val="en-GB"/>
        </w:rPr>
        <w:t>335. Available at: https://</w:t>
      </w:r>
      <w:proofErr w:type="spellStart"/>
      <w:r w:rsidRPr="008F33FD">
        <w:rPr>
          <w:color w:val="000000"/>
          <w:sz w:val="24"/>
          <w:lang w:val="en-GB"/>
        </w:rPr>
        <w:t>doi.org</w:t>
      </w:r>
      <w:proofErr w:type="spellEnd"/>
      <w:r w:rsidRPr="008F33FD">
        <w:rPr>
          <w:color w:val="000000"/>
          <w:sz w:val="24"/>
          <w:lang w:val="en-GB"/>
        </w:rPr>
        <w:t>/10.1177/1356766715589428.</w:t>
      </w:r>
    </w:p>
    <w:p w14:paraId="4B7A9F8F" w14:textId="4CC23546"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Villartay</w:t>
      </w:r>
      <w:proofErr w:type="spellEnd"/>
      <w:r w:rsidRPr="008F33FD">
        <w:rPr>
          <w:color w:val="000000"/>
          <w:sz w:val="24"/>
          <w:lang w:val="en-GB"/>
        </w:rPr>
        <w:t xml:space="preserve">, S. de, Julienne, E., Laporte, M.-E. and Berger-Remy, F. (2026) </w:t>
      </w:r>
      <w:r w:rsidR="00A22DB1" w:rsidRPr="008F33FD">
        <w:rPr>
          <w:color w:val="000000"/>
          <w:sz w:val="24"/>
          <w:lang w:val="en-GB"/>
        </w:rPr>
        <w:t>‘</w:t>
      </w:r>
      <w:r w:rsidRPr="008F33FD">
        <w:rPr>
          <w:color w:val="000000"/>
          <w:sz w:val="24"/>
          <w:lang w:val="en-GB"/>
        </w:rPr>
        <w:t>Why consumers react differently to brand transgressions: Functional vs. ethical breaches and psychological contracts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Retailing and Consumer Services</w:t>
      </w:r>
      <w:r w:rsidRPr="008F33FD">
        <w:rPr>
          <w:color w:val="000000"/>
          <w:sz w:val="24"/>
          <w:lang w:val="en-GB"/>
        </w:rPr>
        <w:t>, 88, p. 104565.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j.jretconser.2025.104565</w:t>
      </w:r>
      <w:proofErr w:type="spellEnd"/>
      <w:r w:rsidRPr="008F33FD">
        <w:rPr>
          <w:color w:val="000000"/>
          <w:sz w:val="24"/>
          <w:lang w:val="en-GB"/>
        </w:rPr>
        <w:t>.</w:t>
      </w:r>
    </w:p>
    <w:p w14:paraId="3A481F65" w14:textId="32CF8CC4"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Welch, E.G. and Galvan, J.M. (2024) </w:t>
      </w:r>
      <w:r w:rsidR="00A22DB1" w:rsidRPr="008F33FD">
        <w:rPr>
          <w:color w:val="000000"/>
          <w:sz w:val="24"/>
          <w:lang w:val="en-GB"/>
        </w:rPr>
        <w:t>‘</w:t>
      </w:r>
      <w:r w:rsidRPr="008F33FD">
        <w:rPr>
          <w:color w:val="000000"/>
          <w:sz w:val="24"/>
          <w:lang w:val="en-GB"/>
        </w:rPr>
        <w:t>Fifty years of deceptive marketing research: A systematic review and future research agenda</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 xml:space="preserve">Psychology </w:t>
      </w:r>
      <w:r w:rsidR="00944B3B" w:rsidRPr="008F33FD">
        <w:rPr>
          <w:i/>
          <w:iCs/>
          <w:color w:val="000000"/>
          <w:sz w:val="24"/>
          <w:lang w:val="en-GB"/>
        </w:rPr>
        <w:t>and</w:t>
      </w:r>
      <w:r w:rsidRPr="008F33FD">
        <w:rPr>
          <w:i/>
          <w:iCs/>
          <w:color w:val="000000"/>
          <w:sz w:val="24"/>
          <w:lang w:val="en-GB"/>
        </w:rPr>
        <w:t xml:space="preserve"> Marketing</w:t>
      </w:r>
      <w:r w:rsidRPr="008F33FD">
        <w:rPr>
          <w:color w:val="000000"/>
          <w:sz w:val="24"/>
          <w:lang w:val="en-GB"/>
        </w:rPr>
        <w:t>. Available at: https://</w:t>
      </w:r>
      <w:proofErr w:type="spellStart"/>
      <w:r w:rsidRPr="008F33FD">
        <w:rPr>
          <w:color w:val="000000"/>
          <w:sz w:val="24"/>
          <w:lang w:val="en-GB"/>
        </w:rPr>
        <w:t>doi.org</w:t>
      </w:r>
      <w:proofErr w:type="spellEnd"/>
      <w:r w:rsidRPr="008F33FD">
        <w:rPr>
          <w:color w:val="000000"/>
          <w:sz w:val="24"/>
          <w:lang w:val="en-GB"/>
        </w:rPr>
        <w:t>/10.1002/</w:t>
      </w:r>
      <w:proofErr w:type="spellStart"/>
      <w:r w:rsidRPr="008F33FD">
        <w:rPr>
          <w:color w:val="000000"/>
          <w:sz w:val="24"/>
          <w:lang w:val="en-GB"/>
        </w:rPr>
        <w:t>mar.22085</w:t>
      </w:r>
      <w:proofErr w:type="spellEnd"/>
      <w:r w:rsidRPr="008F33FD">
        <w:rPr>
          <w:color w:val="000000"/>
          <w:sz w:val="24"/>
          <w:lang w:val="en-GB"/>
        </w:rPr>
        <w:t>.</w:t>
      </w:r>
    </w:p>
    <w:p w14:paraId="7BE9357D" w14:textId="3C359F9D"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Woiceshyn</w:t>
      </w:r>
      <w:proofErr w:type="spellEnd"/>
      <w:r w:rsidRPr="008F33FD">
        <w:rPr>
          <w:color w:val="000000"/>
          <w:sz w:val="24"/>
          <w:lang w:val="en-GB"/>
        </w:rPr>
        <w:t xml:space="preserve">, J. and </w:t>
      </w:r>
      <w:proofErr w:type="spellStart"/>
      <w:r w:rsidRPr="008F33FD">
        <w:rPr>
          <w:color w:val="000000"/>
          <w:sz w:val="24"/>
          <w:lang w:val="en-GB"/>
        </w:rPr>
        <w:t>Daellenbach</w:t>
      </w:r>
      <w:proofErr w:type="spellEnd"/>
      <w:r w:rsidRPr="008F33FD">
        <w:rPr>
          <w:color w:val="000000"/>
          <w:sz w:val="24"/>
          <w:lang w:val="en-GB"/>
        </w:rPr>
        <w:t xml:space="preserve">, U. (2018) </w:t>
      </w:r>
      <w:r w:rsidR="00A22DB1" w:rsidRPr="008F33FD">
        <w:rPr>
          <w:color w:val="000000"/>
          <w:sz w:val="24"/>
          <w:lang w:val="en-GB"/>
        </w:rPr>
        <w:t>‘</w:t>
      </w:r>
      <w:r w:rsidRPr="008F33FD">
        <w:rPr>
          <w:color w:val="000000"/>
          <w:sz w:val="24"/>
          <w:lang w:val="en-GB"/>
        </w:rPr>
        <w:t>Evaluating Inductive Vs Deductive Research in Management Studies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Qualitative Research in Organizations and Management: an International Journal</w:t>
      </w:r>
      <w:r w:rsidRPr="008F33FD">
        <w:rPr>
          <w:color w:val="000000"/>
          <w:sz w:val="24"/>
          <w:lang w:val="en-GB"/>
        </w:rPr>
        <w:t>, 13(2), pp. 183</w:t>
      </w:r>
      <w:r w:rsidR="008F33FD">
        <w:rPr>
          <w:color w:val="000000"/>
          <w:sz w:val="24"/>
          <w:lang w:val="en-GB"/>
        </w:rPr>
        <w:t>-</w:t>
      </w:r>
      <w:r w:rsidRPr="008F33FD">
        <w:rPr>
          <w:color w:val="000000"/>
          <w:sz w:val="24"/>
          <w:lang w:val="en-GB"/>
        </w:rPr>
        <w:t>195. Available at: https://</w:t>
      </w:r>
      <w:proofErr w:type="spellStart"/>
      <w:r w:rsidRPr="008F33FD">
        <w:rPr>
          <w:color w:val="000000"/>
          <w:sz w:val="24"/>
          <w:lang w:val="en-GB"/>
        </w:rPr>
        <w:t>doi.org</w:t>
      </w:r>
      <w:proofErr w:type="spellEnd"/>
      <w:r w:rsidRPr="008F33FD">
        <w:rPr>
          <w:color w:val="000000"/>
          <w:sz w:val="24"/>
          <w:lang w:val="en-GB"/>
        </w:rPr>
        <w:t>/10.1108/</w:t>
      </w:r>
      <w:proofErr w:type="spellStart"/>
      <w:r w:rsidRPr="008F33FD">
        <w:rPr>
          <w:color w:val="000000"/>
          <w:sz w:val="24"/>
          <w:lang w:val="en-GB"/>
        </w:rPr>
        <w:t>QROM</w:t>
      </w:r>
      <w:proofErr w:type="spellEnd"/>
      <w:r w:rsidRPr="008F33FD">
        <w:rPr>
          <w:color w:val="000000"/>
          <w:sz w:val="24"/>
          <w:lang w:val="en-GB"/>
        </w:rPr>
        <w:t>-06-2017-1538.</w:t>
      </w:r>
    </w:p>
    <w:p w14:paraId="3CB5E769" w14:textId="5A926083"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Yang, Z., Nguyen, </w:t>
      </w:r>
      <w:proofErr w:type="spellStart"/>
      <w:r w:rsidRPr="008F33FD">
        <w:rPr>
          <w:color w:val="000000"/>
          <w:sz w:val="24"/>
          <w:lang w:val="en-GB"/>
        </w:rPr>
        <w:t>T.T.H</w:t>
      </w:r>
      <w:proofErr w:type="spellEnd"/>
      <w:r w:rsidRPr="008F33FD">
        <w:rPr>
          <w:color w:val="000000"/>
          <w:sz w:val="24"/>
          <w:lang w:val="en-GB"/>
        </w:rPr>
        <w:t xml:space="preserve">., Nguyen, </w:t>
      </w:r>
      <w:proofErr w:type="spellStart"/>
      <w:r w:rsidRPr="008F33FD">
        <w:rPr>
          <w:color w:val="000000"/>
          <w:sz w:val="24"/>
          <w:lang w:val="en-GB"/>
        </w:rPr>
        <w:t>H.N</w:t>
      </w:r>
      <w:proofErr w:type="spellEnd"/>
      <w:r w:rsidRPr="008F33FD">
        <w:rPr>
          <w:color w:val="000000"/>
          <w:sz w:val="24"/>
          <w:lang w:val="en-GB"/>
        </w:rPr>
        <w:t xml:space="preserve">., Nguyen, </w:t>
      </w:r>
      <w:proofErr w:type="spellStart"/>
      <w:r w:rsidRPr="008F33FD">
        <w:rPr>
          <w:color w:val="000000"/>
          <w:sz w:val="24"/>
          <w:lang w:val="en-GB"/>
        </w:rPr>
        <w:t>T.T.N</w:t>
      </w:r>
      <w:proofErr w:type="spellEnd"/>
      <w:r w:rsidRPr="008F33FD">
        <w:rPr>
          <w:color w:val="000000"/>
          <w:sz w:val="24"/>
          <w:lang w:val="en-GB"/>
        </w:rPr>
        <w:t xml:space="preserve">. and Cao, </w:t>
      </w:r>
      <w:proofErr w:type="spellStart"/>
      <w:r w:rsidRPr="008F33FD">
        <w:rPr>
          <w:color w:val="000000"/>
          <w:sz w:val="24"/>
          <w:lang w:val="en-GB"/>
        </w:rPr>
        <w:t>T.T</w:t>
      </w:r>
      <w:proofErr w:type="spellEnd"/>
      <w:r w:rsidRPr="008F33FD">
        <w:rPr>
          <w:color w:val="000000"/>
          <w:sz w:val="24"/>
          <w:lang w:val="en-GB"/>
        </w:rPr>
        <w:t xml:space="preserve">. (2020) </w:t>
      </w:r>
      <w:r w:rsidR="00A22DB1" w:rsidRPr="008F33FD">
        <w:rPr>
          <w:color w:val="000000"/>
          <w:sz w:val="24"/>
          <w:lang w:val="en-GB"/>
        </w:rPr>
        <w:t>‘</w:t>
      </w:r>
      <w:r w:rsidRPr="008F33FD">
        <w:rPr>
          <w:color w:val="000000"/>
          <w:sz w:val="24"/>
          <w:lang w:val="en-GB"/>
        </w:rPr>
        <w:t>Greenwashing behaviours: Causes, taxonomy and consequences based on a systematic literature review</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Business Economics and Management</w:t>
      </w:r>
      <w:r w:rsidRPr="008F33FD">
        <w:rPr>
          <w:color w:val="000000"/>
          <w:sz w:val="24"/>
          <w:lang w:val="en-GB"/>
        </w:rPr>
        <w:t>, 21(5), pp. 1486</w:t>
      </w:r>
      <w:r w:rsidR="008F33FD">
        <w:rPr>
          <w:color w:val="000000"/>
          <w:sz w:val="24"/>
          <w:lang w:val="en-GB"/>
        </w:rPr>
        <w:t>-</w:t>
      </w:r>
      <w:r w:rsidRPr="008F33FD">
        <w:rPr>
          <w:color w:val="000000"/>
          <w:sz w:val="24"/>
          <w:lang w:val="en-GB"/>
        </w:rPr>
        <w:t>1507. Available at: https://www.researchgate.net/publication/345844645_Greenwashing_behaviours_Causes_taxonomy_and_consequences_based_on_a_systematic_literature_review (Accessed: 14 September 2026).</w:t>
      </w:r>
    </w:p>
    <w:p w14:paraId="297B694F" w14:textId="180A44D7"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Zamil, A.M., </w:t>
      </w:r>
      <w:proofErr w:type="spellStart"/>
      <w:r w:rsidRPr="008F33FD">
        <w:rPr>
          <w:color w:val="000000"/>
          <w:sz w:val="24"/>
          <w:lang w:val="en-GB"/>
        </w:rPr>
        <w:t>Kineber</w:t>
      </w:r>
      <w:proofErr w:type="spellEnd"/>
      <w:r w:rsidRPr="008F33FD">
        <w:rPr>
          <w:color w:val="000000"/>
          <w:sz w:val="24"/>
          <w:lang w:val="en-GB"/>
        </w:rPr>
        <w:t xml:space="preserve">, A.F. and </w:t>
      </w:r>
      <w:proofErr w:type="spellStart"/>
      <w:r w:rsidRPr="008F33FD">
        <w:rPr>
          <w:color w:val="000000"/>
          <w:sz w:val="24"/>
          <w:lang w:val="en-GB"/>
        </w:rPr>
        <w:t>Alhusban</w:t>
      </w:r>
      <w:proofErr w:type="spellEnd"/>
      <w:r w:rsidRPr="008F33FD">
        <w:rPr>
          <w:color w:val="000000"/>
          <w:sz w:val="24"/>
          <w:lang w:val="en-GB"/>
        </w:rPr>
        <w:t xml:space="preserve">, M. (2024) </w:t>
      </w:r>
      <w:r w:rsidR="00A22DB1" w:rsidRPr="008F33FD">
        <w:rPr>
          <w:color w:val="000000"/>
          <w:sz w:val="24"/>
          <w:lang w:val="en-GB"/>
        </w:rPr>
        <w:t>‘</w:t>
      </w:r>
      <w:r w:rsidRPr="008F33FD">
        <w:rPr>
          <w:color w:val="000000"/>
          <w:sz w:val="24"/>
          <w:lang w:val="en-GB"/>
        </w:rPr>
        <w:t xml:space="preserve">Unveiling the impact of psychological factors on consumer purchase intentions for overall sustainable success in green </w:t>
      </w:r>
      <w:r w:rsidRPr="008F33FD">
        <w:rPr>
          <w:color w:val="000000"/>
          <w:sz w:val="24"/>
          <w:lang w:val="en-GB"/>
        </w:rPr>
        <w:lastRenderedPageBreak/>
        <w:t>residential buildings: Using SEM-ANN analysis</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Civil Engineering Journal</w:t>
      </w:r>
      <w:r w:rsidRPr="008F33FD">
        <w:rPr>
          <w:color w:val="000000"/>
          <w:sz w:val="24"/>
          <w:lang w:val="en-GB"/>
        </w:rPr>
        <w:t>, 10(5), pp. 1455</w:t>
      </w:r>
      <w:r w:rsidR="008F33FD">
        <w:rPr>
          <w:color w:val="000000"/>
          <w:sz w:val="24"/>
          <w:lang w:val="en-GB"/>
        </w:rPr>
        <w:t>-</w:t>
      </w:r>
      <w:r w:rsidRPr="008F33FD">
        <w:rPr>
          <w:color w:val="000000"/>
          <w:sz w:val="24"/>
          <w:lang w:val="en-GB"/>
        </w:rPr>
        <w:t>1474. Available at: https://</w:t>
      </w:r>
      <w:proofErr w:type="spellStart"/>
      <w:r w:rsidRPr="008F33FD">
        <w:rPr>
          <w:color w:val="000000"/>
          <w:sz w:val="24"/>
          <w:lang w:val="en-GB"/>
        </w:rPr>
        <w:t>doi.org</w:t>
      </w:r>
      <w:proofErr w:type="spellEnd"/>
      <w:r w:rsidRPr="008F33FD">
        <w:rPr>
          <w:color w:val="000000"/>
          <w:sz w:val="24"/>
          <w:lang w:val="en-GB"/>
        </w:rPr>
        <w:t>/10.28991/</w:t>
      </w:r>
      <w:proofErr w:type="spellStart"/>
      <w:r w:rsidRPr="008F33FD">
        <w:rPr>
          <w:color w:val="000000"/>
          <w:sz w:val="24"/>
          <w:lang w:val="en-GB"/>
        </w:rPr>
        <w:t>cej</w:t>
      </w:r>
      <w:proofErr w:type="spellEnd"/>
      <w:r w:rsidRPr="008F33FD">
        <w:rPr>
          <w:color w:val="000000"/>
          <w:sz w:val="24"/>
          <w:lang w:val="en-GB"/>
        </w:rPr>
        <w:t>-2024-010-05-07.</w:t>
      </w:r>
    </w:p>
    <w:p w14:paraId="7E83BE15" w14:textId="3C6C0782"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Zhang, R., Zhou, X., Liu, Q. and Wang, C. (2025) </w:t>
      </w:r>
      <w:r w:rsidR="00A22DB1" w:rsidRPr="008F33FD">
        <w:rPr>
          <w:color w:val="000000"/>
          <w:sz w:val="24"/>
          <w:lang w:val="en-GB"/>
        </w:rPr>
        <w:t>‘</w:t>
      </w:r>
      <w:r w:rsidRPr="008F33FD">
        <w:rPr>
          <w:color w:val="000000"/>
          <w:sz w:val="24"/>
          <w:lang w:val="en-GB"/>
        </w:rPr>
        <w:t xml:space="preserve">Brand attitude as the catalyst: Transforming perceived </w:t>
      </w:r>
      <w:proofErr w:type="spellStart"/>
      <w:r w:rsidRPr="008F33FD">
        <w:rPr>
          <w:color w:val="000000"/>
          <w:sz w:val="24"/>
          <w:lang w:val="en-GB"/>
        </w:rPr>
        <w:t>ESG</w:t>
      </w:r>
      <w:proofErr w:type="spellEnd"/>
      <w:r w:rsidRPr="008F33FD">
        <w:rPr>
          <w:color w:val="000000"/>
          <w:sz w:val="24"/>
          <w:lang w:val="en-GB"/>
        </w:rPr>
        <w:t xml:space="preserve"> to consumer</w:t>
      </w:r>
      <w:r w:rsidR="00A22DB1" w:rsidRPr="008F33FD">
        <w:rPr>
          <w:color w:val="000000"/>
          <w:sz w:val="24"/>
          <w:lang w:val="en-GB"/>
        </w:rPr>
        <w:t>’</w:t>
      </w:r>
      <w:r w:rsidRPr="008F33FD">
        <w:rPr>
          <w:color w:val="000000"/>
          <w:sz w:val="24"/>
          <w:lang w:val="en-GB"/>
        </w:rPr>
        <w:t>s purchase intention in low-carbon consumption</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Frontiers in Psychology</w:t>
      </w:r>
      <w:r w:rsidRPr="008F33FD">
        <w:rPr>
          <w:color w:val="000000"/>
          <w:sz w:val="24"/>
          <w:lang w:val="en-GB"/>
        </w:rPr>
        <w:t>, 16. Available at: https://</w:t>
      </w:r>
      <w:proofErr w:type="spellStart"/>
      <w:r w:rsidRPr="008F33FD">
        <w:rPr>
          <w:color w:val="000000"/>
          <w:sz w:val="24"/>
          <w:lang w:val="en-GB"/>
        </w:rPr>
        <w:t>doi.org</w:t>
      </w:r>
      <w:proofErr w:type="spellEnd"/>
      <w:r w:rsidRPr="008F33FD">
        <w:rPr>
          <w:color w:val="000000"/>
          <w:sz w:val="24"/>
          <w:lang w:val="en-GB"/>
        </w:rPr>
        <w:t>/10.3389/</w:t>
      </w:r>
      <w:proofErr w:type="spellStart"/>
      <w:r w:rsidRPr="008F33FD">
        <w:rPr>
          <w:color w:val="000000"/>
          <w:sz w:val="24"/>
          <w:lang w:val="en-GB"/>
        </w:rPr>
        <w:t>fpsyg.2025.1599472</w:t>
      </w:r>
      <w:proofErr w:type="spellEnd"/>
      <w:r w:rsidRPr="008F33FD">
        <w:rPr>
          <w:color w:val="000000"/>
          <w:sz w:val="24"/>
          <w:lang w:val="en-GB"/>
        </w:rPr>
        <w:t>.</w:t>
      </w:r>
    </w:p>
    <w:p w14:paraId="1F202949" w14:textId="56E19A0E"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Zhang, S. and Ismail, S. (2024) </w:t>
      </w:r>
      <w:r w:rsidR="00A22DB1" w:rsidRPr="008F33FD">
        <w:rPr>
          <w:color w:val="000000"/>
          <w:sz w:val="24"/>
          <w:lang w:val="en-GB"/>
        </w:rPr>
        <w:t>‘</w:t>
      </w:r>
      <w:r w:rsidRPr="008F33FD">
        <w:rPr>
          <w:color w:val="000000"/>
          <w:sz w:val="24"/>
          <w:lang w:val="en-GB"/>
        </w:rPr>
        <w:t>Exploring greenwashing: The impact on consumer trust and brand equity in China</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proofErr w:type="spellStart"/>
      <w:r w:rsidRPr="008F33FD">
        <w:rPr>
          <w:i/>
          <w:iCs/>
          <w:color w:val="000000"/>
          <w:sz w:val="24"/>
          <w:lang w:val="en-GB"/>
        </w:rPr>
        <w:t>Uniglobal</w:t>
      </w:r>
      <w:proofErr w:type="spellEnd"/>
      <w:r w:rsidRPr="008F33FD">
        <w:rPr>
          <w:i/>
          <w:iCs/>
          <w:color w:val="000000"/>
          <w:sz w:val="24"/>
          <w:lang w:val="en-GB"/>
        </w:rPr>
        <w:t xml:space="preserve"> Journal of Social Sciences and Humanities</w:t>
      </w:r>
      <w:r w:rsidRPr="008F33FD">
        <w:rPr>
          <w:color w:val="000000"/>
          <w:sz w:val="24"/>
          <w:lang w:val="en-GB"/>
        </w:rPr>
        <w:t>, 3(2), pp. 351</w:t>
      </w:r>
      <w:r w:rsidR="008F33FD">
        <w:rPr>
          <w:color w:val="000000"/>
          <w:sz w:val="24"/>
          <w:lang w:val="en-GB"/>
        </w:rPr>
        <w:t>-</w:t>
      </w:r>
      <w:r w:rsidRPr="008F33FD">
        <w:rPr>
          <w:color w:val="000000"/>
          <w:sz w:val="24"/>
          <w:lang w:val="en-GB"/>
        </w:rPr>
        <w:t>356. Available at: https://</w:t>
      </w:r>
      <w:proofErr w:type="spellStart"/>
      <w:r w:rsidRPr="008F33FD">
        <w:rPr>
          <w:color w:val="000000"/>
          <w:sz w:val="24"/>
          <w:lang w:val="en-GB"/>
        </w:rPr>
        <w:t>doi.org</w:t>
      </w:r>
      <w:proofErr w:type="spellEnd"/>
      <w:r w:rsidRPr="008F33FD">
        <w:rPr>
          <w:color w:val="000000"/>
          <w:sz w:val="24"/>
          <w:lang w:val="en-GB"/>
        </w:rPr>
        <w:t>/10.53797/</w:t>
      </w:r>
      <w:proofErr w:type="spellStart"/>
      <w:r w:rsidRPr="008F33FD">
        <w:rPr>
          <w:color w:val="000000"/>
          <w:sz w:val="24"/>
          <w:lang w:val="en-GB"/>
        </w:rPr>
        <w:t>ujssh.v3i2.37.2024</w:t>
      </w:r>
      <w:proofErr w:type="spellEnd"/>
      <w:r w:rsidRPr="008F33FD">
        <w:rPr>
          <w:color w:val="000000"/>
          <w:sz w:val="24"/>
          <w:lang w:val="en-GB"/>
        </w:rPr>
        <w:t>.</w:t>
      </w:r>
    </w:p>
    <w:p w14:paraId="2FDCA086" w14:textId="23738043"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Zhao, J., Zhou, H., Zhou, M., Zheng, C., Zhou, L. and Yang, F. (2026) </w:t>
      </w:r>
      <w:r w:rsidR="00A22DB1" w:rsidRPr="008F33FD">
        <w:rPr>
          <w:color w:val="000000"/>
          <w:sz w:val="24"/>
          <w:lang w:val="en-GB"/>
        </w:rPr>
        <w:t>‘</w:t>
      </w:r>
      <w:r w:rsidRPr="008F33FD">
        <w:rPr>
          <w:color w:val="000000"/>
          <w:sz w:val="24"/>
          <w:lang w:val="en-GB"/>
        </w:rPr>
        <w:t xml:space="preserve">From greenwashing to green trust: Understanding the consumer </w:t>
      </w:r>
      <w:proofErr w:type="spellStart"/>
      <w:r w:rsidRPr="008F33FD">
        <w:rPr>
          <w:color w:val="000000"/>
          <w:sz w:val="24"/>
          <w:lang w:val="en-GB"/>
        </w:rPr>
        <w:t>behavior</w:t>
      </w:r>
      <w:proofErr w:type="spellEnd"/>
      <w:r w:rsidRPr="008F33FD">
        <w:rPr>
          <w:color w:val="000000"/>
          <w:sz w:val="24"/>
          <w:lang w:val="en-GB"/>
        </w:rPr>
        <w:t xml:space="preserve"> in the fashion industry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 xml:space="preserve">Acta </w:t>
      </w:r>
      <w:proofErr w:type="spellStart"/>
      <w:r w:rsidRPr="008F33FD">
        <w:rPr>
          <w:i/>
          <w:iCs/>
          <w:color w:val="000000"/>
          <w:sz w:val="24"/>
          <w:lang w:val="en-GB"/>
        </w:rPr>
        <w:t>Psychologica</w:t>
      </w:r>
      <w:proofErr w:type="spellEnd"/>
      <w:r w:rsidRPr="008F33FD">
        <w:rPr>
          <w:color w:val="000000"/>
          <w:sz w:val="24"/>
          <w:lang w:val="en-GB"/>
        </w:rPr>
        <w:t>, 267, p. 106850. Available at: https://</w:t>
      </w:r>
      <w:proofErr w:type="spellStart"/>
      <w:r w:rsidRPr="008F33FD">
        <w:rPr>
          <w:color w:val="000000"/>
          <w:sz w:val="24"/>
          <w:lang w:val="en-GB"/>
        </w:rPr>
        <w:t>doi.org</w:t>
      </w:r>
      <w:proofErr w:type="spellEnd"/>
      <w:r w:rsidRPr="008F33FD">
        <w:rPr>
          <w:color w:val="000000"/>
          <w:sz w:val="24"/>
          <w:lang w:val="en-GB"/>
        </w:rPr>
        <w:t>/10.1016/</w:t>
      </w:r>
      <w:proofErr w:type="spellStart"/>
      <w:r w:rsidRPr="008F33FD">
        <w:rPr>
          <w:color w:val="000000"/>
          <w:sz w:val="24"/>
          <w:lang w:val="en-GB"/>
        </w:rPr>
        <w:t>j.actpsy.2026.106850</w:t>
      </w:r>
      <w:proofErr w:type="spellEnd"/>
      <w:r w:rsidRPr="008F33FD">
        <w:rPr>
          <w:color w:val="000000"/>
          <w:sz w:val="24"/>
          <w:lang w:val="en-GB"/>
        </w:rPr>
        <w:t>.</w:t>
      </w:r>
    </w:p>
    <w:p w14:paraId="3E0707B3" w14:textId="46E0F7FC" w:rsidR="00CD169E" w:rsidRPr="008F33FD" w:rsidRDefault="00CD169E" w:rsidP="00CD169E">
      <w:pPr>
        <w:pStyle w:val="NormalWeb"/>
        <w:spacing w:before="0" w:beforeAutospacing="0" w:after="240" w:afterAutospacing="0" w:line="360" w:lineRule="atLeast"/>
        <w:rPr>
          <w:color w:val="000000"/>
          <w:sz w:val="24"/>
          <w:lang w:val="en-GB"/>
        </w:rPr>
      </w:pPr>
      <w:r w:rsidRPr="008F33FD">
        <w:rPr>
          <w:color w:val="000000"/>
          <w:sz w:val="24"/>
          <w:lang w:val="en-GB"/>
        </w:rPr>
        <w:t xml:space="preserve">Zhou, S. and </w:t>
      </w:r>
      <w:proofErr w:type="spellStart"/>
      <w:r w:rsidRPr="008F33FD">
        <w:rPr>
          <w:color w:val="000000"/>
          <w:sz w:val="24"/>
          <w:lang w:val="en-GB"/>
        </w:rPr>
        <w:t>Seo</w:t>
      </w:r>
      <w:proofErr w:type="spellEnd"/>
      <w:r w:rsidRPr="008F33FD">
        <w:rPr>
          <w:color w:val="000000"/>
          <w:sz w:val="24"/>
          <w:lang w:val="en-GB"/>
        </w:rPr>
        <w:t xml:space="preserve">, E. (2026) </w:t>
      </w:r>
      <w:r w:rsidR="00A22DB1" w:rsidRPr="008F33FD">
        <w:rPr>
          <w:color w:val="000000"/>
          <w:sz w:val="24"/>
          <w:lang w:val="en-GB"/>
        </w:rPr>
        <w:t>‘</w:t>
      </w:r>
      <w:r w:rsidRPr="008F33FD">
        <w:rPr>
          <w:color w:val="000000"/>
          <w:sz w:val="24"/>
          <w:lang w:val="en-GB"/>
        </w:rPr>
        <w:t xml:space="preserve">How green </w:t>
      </w:r>
      <w:proofErr w:type="spellStart"/>
      <w:r w:rsidRPr="008F33FD">
        <w:rPr>
          <w:color w:val="000000"/>
          <w:sz w:val="24"/>
          <w:lang w:val="en-GB"/>
        </w:rPr>
        <w:t>skepticism</w:t>
      </w:r>
      <w:proofErr w:type="spellEnd"/>
      <w:r w:rsidRPr="008F33FD">
        <w:rPr>
          <w:color w:val="000000"/>
          <w:sz w:val="24"/>
          <w:lang w:val="en-GB"/>
        </w:rPr>
        <w:t xml:space="preserve"> undermines green purchase intention: The roles of information seeking and anticipated guilt</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Sustainability</w:t>
      </w:r>
      <w:r w:rsidRPr="008F33FD">
        <w:rPr>
          <w:color w:val="000000"/>
          <w:sz w:val="24"/>
          <w:lang w:val="en-GB"/>
        </w:rPr>
        <w:t>, 18(3), p. 1539. Available at: https://</w:t>
      </w:r>
      <w:proofErr w:type="spellStart"/>
      <w:r w:rsidRPr="008F33FD">
        <w:rPr>
          <w:color w:val="000000"/>
          <w:sz w:val="24"/>
          <w:lang w:val="en-GB"/>
        </w:rPr>
        <w:t>doi.org</w:t>
      </w:r>
      <w:proofErr w:type="spellEnd"/>
      <w:r w:rsidRPr="008F33FD">
        <w:rPr>
          <w:color w:val="000000"/>
          <w:sz w:val="24"/>
          <w:lang w:val="en-GB"/>
        </w:rPr>
        <w:t>/10.3390/</w:t>
      </w:r>
      <w:proofErr w:type="spellStart"/>
      <w:r w:rsidRPr="008F33FD">
        <w:rPr>
          <w:color w:val="000000"/>
          <w:sz w:val="24"/>
          <w:lang w:val="en-GB"/>
        </w:rPr>
        <w:t>su18031539</w:t>
      </w:r>
      <w:proofErr w:type="spellEnd"/>
      <w:r w:rsidRPr="008F33FD">
        <w:rPr>
          <w:color w:val="000000"/>
          <w:sz w:val="24"/>
          <w:lang w:val="en-GB"/>
        </w:rPr>
        <w:t>.</w:t>
      </w:r>
    </w:p>
    <w:p w14:paraId="2EBF41C2" w14:textId="57A278A0" w:rsidR="00CD169E" w:rsidRPr="008F33FD" w:rsidRDefault="00CD169E" w:rsidP="00CD169E">
      <w:pPr>
        <w:pStyle w:val="NormalWeb"/>
        <w:spacing w:before="0" w:beforeAutospacing="0" w:after="240" w:afterAutospacing="0" w:line="360" w:lineRule="atLeast"/>
        <w:rPr>
          <w:color w:val="000000"/>
          <w:sz w:val="24"/>
          <w:lang w:val="en-GB"/>
        </w:rPr>
      </w:pPr>
      <w:proofErr w:type="spellStart"/>
      <w:r w:rsidRPr="008F33FD">
        <w:rPr>
          <w:color w:val="000000"/>
          <w:sz w:val="24"/>
          <w:lang w:val="en-GB"/>
        </w:rPr>
        <w:t>Şenyapar</w:t>
      </w:r>
      <w:proofErr w:type="spellEnd"/>
      <w:r w:rsidRPr="008F33FD">
        <w:rPr>
          <w:color w:val="000000"/>
          <w:sz w:val="24"/>
          <w:lang w:val="en-GB"/>
        </w:rPr>
        <w:t xml:space="preserve">, </w:t>
      </w:r>
      <w:proofErr w:type="spellStart"/>
      <w:r w:rsidRPr="008F33FD">
        <w:rPr>
          <w:color w:val="000000"/>
          <w:sz w:val="24"/>
          <w:lang w:val="en-GB"/>
        </w:rPr>
        <w:t>H.N.D</w:t>
      </w:r>
      <w:proofErr w:type="spellEnd"/>
      <w:r w:rsidRPr="008F33FD">
        <w:rPr>
          <w:color w:val="000000"/>
          <w:sz w:val="24"/>
          <w:lang w:val="en-GB"/>
        </w:rPr>
        <w:t xml:space="preserve">. (2024) </w:t>
      </w:r>
      <w:r w:rsidR="00A22DB1" w:rsidRPr="008F33FD">
        <w:rPr>
          <w:color w:val="000000"/>
          <w:sz w:val="24"/>
          <w:lang w:val="en-GB"/>
        </w:rPr>
        <w:t>‘</w:t>
      </w:r>
      <w:r w:rsidRPr="008F33FD">
        <w:rPr>
          <w:color w:val="000000"/>
          <w:sz w:val="24"/>
          <w:lang w:val="en-GB"/>
        </w:rPr>
        <w:t>Unveiling greenwashing strategies: A comprehensive analysis of impacts on consumer trust and environmental sustainability</w:t>
      </w:r>
      <w:r w:rsidR="00A22DB1" w:rsidRPr="008F33FD">
        <w:rPr>
          <w:color w:val="000000"/>
          <w:sz w:val="24"/>
          <w:lang w:val="en-GB"/>
        </w:rPr>
        <w:t>’</w:t>
      </w:r>
      <w:r w:rsidRPr="008F33FD">
        <w:rPr>
          <w:color w:val="000000"/>
          <w:sz w:val="24"/>
          <w:lang w:val="en-GB"/>
        </w:rPr>
        <w:t>,</w:t>
      </w:r>
      <w:r w:rsidRPr="008F33FD">
        <w:rPr>
          <w:rStyle w:val="apple-converted-space"/>
          <w:rFonts w:eastAsiaTheme="majorEastAsia"/>
          <w:color w:val="000000"/>
          <w:sz w:val="24"/>
          <w:lang w:val="en-GB"/>
        </w:rPr>
        <w:t> </w:t>
      </w:r>
      <w:r w:rsidRPr="008F33FD">
        <w:rPr>
          <w:i/>
          <w:iCs/>
          <w:color w:val="000000"/>
          <w:sz w:val="24"/>
          <w:lang w:val="en-GB"/>
        </w:rPr>
        <w:t>Journal of Energy Systems</w:t>
      </w:r>
      <w:r w:rsidRPr="008F33FD">
        <w:rPr>
          <w:color w:val="000000"/>
          <w:sz w:val="24"/>
          <w:lang w:val="en-GB"/>
        </w:rPr>
        <w:t>, 8(3), pp. 164</w:t>
      </w:r>
      <w:r w:rsidR="008F33FD">
        <w:rPr>
          <w:color w:val="000000"/>
          <w:sz w:val="24"/>
          <w:lang w:val="en-GB"/>
        </w:rPr>
        <w:t>-</w:t>
      </w:r>
      <w:r w:rsidRPr="008F33FD">
        <w:rPr>
          <w:color w:val="000000"/>
          <w:sz w:val="24"/>
          <w:lang w:val="en-GB"/>
        </w:rPr>
        <w:t>181. Available at: https://</w:t>
      </w:r>
      <w:proofErr w:type="spellStart"/>
      <w:r w:rsidRPr="008F33FD">
        <w:rPr>
          <w:color w:val="000000"/>
          <w:sz w:val="24"/>
          <w:lang w:val="en-GB"/>
        </w:rPr>
        <w:t>doi.org</w:t>
      </w:r>
      <w:proofErr w:type="spellEnd"/>
      <w:r w:rsidRPr="008F33FD">
        <w:rPr>
          <w:color w:val="000000"/>
          <w:sz w:val="24"/>
          <w:lang w:val="en-GB"/>
        </w:rPr>
        <w:t>/10.30521/</w:t>
      </w:r>
      <w:proofErr w:type="spellStart"/>
      <w:r w:rsidRPr="008F33FD">
        <w:rPr>
          <w:color w:val="000000"/>
          <w:sz w:val="24"/>
          <w:lang w:val="en-GB"/>
        </w:rPr>
        <w:t>jes.1436875</w:t>
      </w:r>
      <w:proofErr w:type="spellEnd"/>
      <w:r w:rsidRPr="008F33FD">
        <w:rPr>
          <w:color w:val="000000"/>
          <w:sz w:val="24"/>
          <w:lang w:val="en-GB"/>
        </w:rPr>
        <w:t>.</w:t>
      </w:r>
    </w:p>
    <w:p w14:paraId="7A4A803F" w14:textId="77777777" w:rsidR="002A413E" w:rsidRPr="008F33FD" w:rsidRDefault="002A413E" w:rsidP="002A413E">
      <w:pPr>
        <w:rPr>
          <w:szCs w:val="24"/>
        </w:rPr>
      </w:pPr>
    </w:p>
    <w:p w14:paraId="1726E9C0" w14:textId="77777777" w:rsidR="00CD169E" w:rsidRPr="00DC500E" w:rsidRDefault="00CD169E">
      <w:pPr>
        <w:spacing w:line="240" w:lineRule="auto"/>
        <w:jc w:val="left"/>
      </w:pPr>
      <w:r w:rsidRPr="00DC500E">
        <w:br w:type="page"/>
      </w:r>
    </w:p>
    <w:p w14:paraId="7B6A2FF6" w14:textId="21C00F67" w:rsidR="008F33FD" w:rsidRDefault="008F33FD" w:rsidP="00CD169E">
      <w:pPr>
        <w:pStyle w:val="Heading1"/>
      </w:pPr>
      <w:bookmarkStart w:id="84" w:name="_Toc241147217"/>
      <w:r>
        <w:lastRenderedPageBreak/>
        <w:t>Appendices</w:t>
      </w:r>
      <w:bookmarkEnd w:id="84"/>
    </w:p>
    <w:p w14:paraId="4AE21DC7" w14:textId="0566880B" w:rsidR="00CD169E" w:rsidRPr="00DC500E" w:rsidRDefault="00CD169E" w:rsidP="008F33FD">
      <w:pPr>
        <w:pStyle w:val="Heading2"/>
      </w:pPr>
      <w:bookmarkStart w:id="85" w:name="_Toc241147218"/>
      <w:r w:rsidRPr="00DC500E">
        <w:t>Appendix A</w:t>
      </w:r>
      <w:r w:rsidR="008F33FD">
        <w:t>: Survey Questions</w:t>
      </w:r>
      <w:bookmarkEnd w:id="85"/>
    </w:p>
    <w:p w14:paraId="66C4CAA1" w14:textId="77777777" w:rsidR="00CD169E" w:rsidRPr="00DC500E" w:rsidRDefault="00CD169E" w:rsidP="00CD169E">
      <w:pPr>
        <w:rPr>
          <w:rFonts w:cs="Times New Roman"/>
          <w:szCs w:val="24"/>
        </w:rPr>
      </w:pPr>
    </w:p>
    <w:bookmarkStart w:id="86" w:name="_MON_1851488957"/>
    <w:bookmarkEnd w:id="86"/>
    <w:p w14:paraId="22DB52CD" w14:textId="77777777" w:rsidR="008F33FD" w:rsidRDefault="006379D0">
      <w:pPr>
        <w:spacing w:line="240" w:lineRule="auto"/>
        <w:jc w:val="left"/>
        <w:rPr>
          <w:noProof/>
        </w:rPr>
      </w:pPr>
      <w:r>
        <w:rPr>
          <w:noProof/>
        </w:rPr>
        <w:object w:dxaOrig="1520" w:dyaOrig="985" w14:anchorId="7F5AA5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6.8pt;height:49.2pt;mso-width-percent:0;mso-height-percent:0;mso-width-percent:0;mso-height-percent:0" o:ole="">
            <v:imagedata r:id="rId16" o:title=""/>
          </v:shape>
          <o:OLEObject Type="Embed" ProgID="Word.Document.12" ShapeID="_x0000_i1025" DrawAspect="Icon" ObjectID="_1851795500" r:id="rId17">
            <o:FieldCodes>\s</o:FieldCodes>
          </o:OLEObject>
        </w:object>
      </w:r>
    </w:p>
    <w:p w14:paraId="682B482F" w14:textId="77777777" w:rsidR="008F33FD" w:rsidRDefault="008F33FD">
      <w:pPr>
        <w:spacing w:line="240" w:lineRule="auto"/>
        <w:jc w:val="left"/>
        <w:rPr>
          <w:noProof/>
        </w:rPr>
      </w:pPr>
    </w:p>
    <w:p w14:paraId="5C50F413" w14:textId="77777777" w:rsidR="008F33FD" w:rsidRDefault="008F33FD">
      <w:pPr>
        <w:spacing w:line="240" w:lineRule="auto"/>
        <w:jc w:val="left"/>
        <w:rPr>
          <w:noProof/>
        </w:rPr>
      </w:pPr>
    </w:p>
    <w:p w14:paraId="1104FCCD" w14:textId="77777777" w:rsidR="008F33FD" w:rsidRDefault="008F33FD">
      <w:pPr>
        <w:spacing w:line="240" w:lineRule="auto"/>
        <w:jc w:val="left"/>
        <w:rPr>
          <w:noProof/>
        </w:rPr>
      </w:pPr>
    </w:p>
    <w:p w14:paraId="269E72CF" w14:textId="28B05DA3" w:rsidR="00CD169E" w:rsidRPr="00DC500E" w:rsidRDefault="00CD169E">
      <w:pPr>
        <w:spacing w:line="240" w:lineRule="auto"/>
        <w:jc w:val="left"/>
      </w:pPr>
      <w:r w:rsidRPr="00DC500E">
        <w:br w:type="page"/>
      </w:r>
    </w:p>
    <w:p w14:paraId="27A72D64" w14:textId="42C0AD79" w:rsidR="00CD169E" w:rsidRPr="00DC500E" w:rsidRDefault="00443E4D" w:rsidP="008F33FD">
      <w:pPr>
        <w:pStyle w:val="Heading2"/>
      </w:pPr>
      <w:bookmarkStart w:id="87" w:name="_Toc241147219"/>
      <w:r w:rsidRPr="00DC500E">
        <w:lastRenderedPageBreak/>
        <w:t>Appendix B</w:t>
      </w:r>
      <w:r w:rsidR="008F33FD">
        <w:t>: Data Summary</w:t>
      </w:r>
      <w:bookmarkEnd w:id="87"/>
    </w:p>
    <w:tbl>
      <w:tblPr>
        <w:tblStyle w:val="APA7"/>
        <w:tblW w:w="0" w:type="auto"/>
        <w:tblLook w:val="04A0" w:firstRow="1" w:lastRow="0" w:firstColumn="1" w:lastColumn="0" w:noHBand="0" w:noVBand="1"/>
      </w:tblPr>
      <w:tblGrid>
        <w:gridCol w:w="2950"/>
        <w:gridCol w:w="2463"/>
        <w:gridCol w:w="1663"/>
        <w:gridCol w:w="1809"/>
      </w:tblGrid>
      <w:tr w:rsidR="009C1649" w:rsidRPr="00DC500E" w14:paraId="54D82A11" w14:textId="77777777" w:rsidTr="006A3F22">
        <w:trPr>
          <w:cnfStyle w:val="100000000000" w:firstRow="1" w:lastRow="0" w:firstColumn="0" w:lastColumn="0" w:oddVBand="0" w:evenVBand="0" w:oddHBand="0" w:evenHBand="0" w:firstRowFirstColumn="0" w:firstRowLastColumn="0" w:lastRowFirstColumn="0" w:lastRowLastColumn="0"/>
        </w:trPr>
        <w:tc>
          <w:tcPr>
            <w:tcW w:w="0" w:type="auto"/>
            <w:hideMark/>
          </w:tcPr>
          <w:p w14:paraId="05A9B942"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bCs/>
                <w:color w:val="auto"/>
                <w:kern w:val="0"/>
                <w:szCs w:val="24"/>
                <w:lang w:eastAsia="en-GB" w:bidi="hi-IN"/>
                <w14:ligatures w14:val="none"/>
              </w:rPr>
              <w:t>Demographic Variable</w:t>
            </w:r>
          </w:p>
        </w:tc>
        <w:tc>
          <w:tcPr>
            <w:tcW w:w="0" w:type="auto"/>
            <w:hideMark/>
          </w:tcPr>
          <w:p w14:paraId="5B34CC87"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bCs/>
                <w:color w:val="auto"/>
                <w:kern w:val="0"/>
                <w:szCs w:val="24"/>
                <w:lang w:eastAsia="en-GB" w:bidi="hi-IN"/>
                <w14:ligatures w14:val="none"/>
              </w:rPr>
              <w:t>Category</w:t>
            </w:r>
          </w:p>
        </w:tc>
        <w:tc>
          <w:tcPr>
            <w:tcW w:w="0" w:type="auto"/>
            <w:hideMark/>
          </w:tcPr>
          <w:p w14:paraId="13972FB0"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bCs/>
                <w:color w:val="auto"/>
                <w:kern w:val="0"/>
                <w:szCs w:val="24"/>
                <w:lang w:eastAsia="en-GB" w:bidi="hi-IN"/>
                <w14:ligatures w14:val="none"/>
              </w:rPr>
              <w:t>Frequency (n)</w:t>
            </w:r>
          </w:p>
        </w:tc>
        <w:tc>
          <w:tcPr>
            <w:tcW w:w="0" w:type="auto"/>
            <w:hideMark/>
          </w:tcPr>
          <w:p w14:paraId="2A0D21D8"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bCs/>
                <w:color w:val="auto"/>
                <w:kern w:val="0"/>
                <w:szCs w:val="24"/>
                <w:lang w:eastAsia="en-GB" w:bidi="hi-IN"/>
                <w14:ligatures w14:val="none"/>
              </w:rPr>
              <w:t>Percentage (%)</w:t>
            </w:r>
          </w:p>
        </w:tc>
      </w:tr>
      <w:tr w:rsidR="009C1649" w:rsidRPr="00DC500E" w14:paraId="0F721F2E" w14:textId="77777777" w:rsidTr="006A3F22">
        <w:tc>
          <w:tcPr>
            <w:tcW w:w="0" w:type="auto"/>
            <w:hideMark/>
          </w:tcPr>
          <w:p w14:paraId="03D2BCC6"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b/>
                <w:bCs/>
                <w:color w:val="auto"/>
                <w:kern w:val="0"/>
                <w:szCs w:val="24"/>
                <w:lang w:eastAsia="en-GB" w:bidi="hi-IN"/>
                <w14:ligatures w14:val="none"/>
              </w:rPr>
              <w:t>Age Group</w:t>
            </w:r>
          </w:p>
        </w:tc>
        <w:tc>
          <w:tcPr>
            <w:tcW w:w="0" w:type="auto"/>
            <w:hideMark/>
          </w:tcPr>
          <w:p w14:paraId="46A0AF4D" w14:textId="3903E948"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 xml:space="preserve">18 </w:t>
            </w:r>
            <w:r w:rsidR="008F33FD">
              <w:rPr>
                <w:rFonts w:eastAsia="Times New Roman" w:cs="Times New Roman"/>
                <w:color w:val="auto"/>
                <w:kern w:val="0"/>
                <w:szCs w:val="24"/>
                <w:lang w:eastAsia="en-GB" w:bidi="hi-IN"/>
                <w14:ligatures w14:val="none"/>
              </w:rPr>
              <w:t>-</w:t>
            </w:r>
            <w:r w:rsidRPr="00DC500E">
              <w:rPr>
                <w:rFonts w:eastAsia="Times New Roman" w:cs="Times New Roman"/>
                <w:color w:val="auto"/>
                <w:kern w:val="0"/>
                <w:szCs w:val="24"/>
                <w:lang w:eastAsia="en-GB" w:bidi="hi-IN"/>
                <w14:ligatures w14:val="none"/>
              </w:rPr>
              <w:t xml:space="preserve"> 24 years</w:t>
            </w:r>
          </w:p>
        </w:tc>
        <w:tc>
          <w:tcPr>
            <w:tcW w:w="0" w:type="auto"/>
            <w:hideMark/>
          </w:tcPr>
          <w:p w14:paraId="1D71FFBB"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50</w:t>
            </w:r>
          </w:p>
        </w:tc>
        <w:tc>
          <w:tcPr>
            <w:tcW w:w="0" w:type="auto"/>
            <w:hideMark/>
          </w:tcPr>
          <w:p w14:paraId="396C6BD8"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31.8%</w:t>
            </w:r>
          </w:p>
        </w:tc>
      </w:tr>
      <w:tr w:rsidR="009C1649" w:rsidRPr="00DC500E" w14:paraId="0BBCFE52" w14:textId="77777777" w:rsidTr="006A3F22">
        <w:tc>
          <w:tcPr>
            <w:tcW w:w="0" w:type="auto"/>
            <w:hideMark/>
          </w:tcPr>
          <w:p w14:paraId="2822D5CB"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5B709B6B" w14:textId="71A240DC"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 xml:space="preserve">25 </w:t>
            </w:r>
            <w:r w:rsidR="008F33FD">
              <w:rPr>
                <w:rFonts w:eastAsia="Times New Roman" w:cs="Times New Roman"/>
                <w:color w:val="auto"/>
                <w:kern w:val="0"/>
                <w:szCs w:val="24"/>
                <w:lang w:eastAsia="en-GB" w:bidi="hi-IN"/>
                <w14:ligatures w14:val="none"/>
              </w:rPr>
              <w:t>-</w:t>
            </w:r>
            <w:r w:rsidRPr="00DC500E">
              <w:rPr>
                <w:rFonts w:eastAsia="Times New Roman" w:cs="Times New Roman"/>
                <w:color w:val="auto"/>
                <w:kern w:val="0"/>
                <w:szCs w:val="24"/>
                <w:lang w:eastAsia="en-GB" w:bidi="hi-IN"/>
                <w14:ligatures w14:val="none"/>
              </w:rPr>
              <w:t xml:space="preserve"> 34 years</w:t>
            </w:r>
          </w:p>
        </w:tc>
        <w:tc>
          <w:tcPr>
            <w:tcW w:w="0" w:type="auto"/>
            <w:hideMark/>
          </w:tcPr>
          <w:p w14:paraId="0A074D70"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69</w:t>
            </w:r>
          </w:p>
        </w:tc>
        <w:tc>
          <w:tcPr>
            <w:tcW w:w="0" w:type="auto"/>
            <w:hideMark/>
          </w:tcPr>
          <w:p w14:paraId="553274F0"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43.9%</w:t>
            </w:r>
          </w:p>
        </w:tc>
      </w:tr>
      <w:tr w:rsidR="009C1649" w:rsidRPr="00DC500E" w14:paraId="50CFA2A5" w14:textId="77777777" w:rsidTr="006A3F22">
        <w:tc>
          <w:tcPr>
            <w:tcW w:w="0" w:type="auto"/>
            <w:hideMark/>
          </w:tcPr>
          <w:p w14:paraId="6C754F2D"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6B6B64CF" w14:textId="0DB7C6B4"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 xml:space="preserve">35 </w:t>
            </w:r>
            <w:r w:rsidR="008F33FD">
              <w:rPr>
                <w:rFonts w:eastAsia="Times New Roman" w:cs="Times New Roman"/>
                <w:color w:val="auto"/>
                <w:kern w:val="0"/>
                <w:szCs w:val="24"/>
                <w:lang w:eastAsia="en-GB" w:bidi="hi-IN"/>
                <w14:ligatures w14:val="none"/>
              </w:rPr>
              <w:t>-</w:t>
            </w:r>
            <w:r w:rsidRPr="00DC500E">
              <w:rPr>
                <w:rFonts w:eastAsia="Times New Roman" w:cs="Times New Roman"/>
                <w:color w:val="auto"/>
                <w:kern w:val="0"/>
                <w:szCs w:val="24"/>
                <w:lang w:eastAsia="en-GB" w:bidi="hi-IN"/>
                <w14:ligatures w14:val="none"/>
              </w:rPr>
              <w:t xml:space="preserve"> 44 years</w:t>
            </w:r>
          </w:p>
        </w:tc>
        <w:tc>
          <w:tcPr>
            <w:tcW w:w="0" w:type="auto"/>
            <w:hideMark/>
          </w:tcPr>
          <w:p w14:paraId="120755F5"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23</w:t>
            </w:r>
          </w:p>
        </w:tc>
        <w:tc>
          <w:tcPr>
            <w:tcW w:w="0" w:type="auto"/>
            <w:hideMark/>
          </w:tcPr>
          <w:p w14:paraId="3E795C1D"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14.6%</w:t>
            </w:r>
          </w:p>
        </w:tc>
      </w:tr>
      <w:tr w:rsidR="009C1649" w:rsidRPr="00DC500E" w14:paraId="49E4F98C" w14:textId="77777777" w:rsidTr="006A3F22">
        <w:tc>
          <w:tcPr>
            <w:tcW w:w="0" w:type="auto"/>
            <w:hideMark/>
          </w:tcPr>
          <w:p w14:paraId="489F732D"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28125A05" w14:textId="0BD9A2D2"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 xml:space="preserve">45 </w:t>
            </w:r>
            <w:r w:rsidR="008F33FD">
              <w:rPr>
                <w:rFonts w:eastAsia="Times New Roman" w:cs="Times New Roman"/>
                <w:color w:val="auto"/>
                <w:kern w:val="0"/>
                <w:szCs w:val="24"/>
                <w:lang w:eastAsia="en-GB" w:bidi="hi-IN"/>
                <w14:ligatures w14:val="none"/>
              </w:rPr>
              <w:t>-</w:t>
            </w:r>
            <w:r w:rsidRPr="00DC500E">
              <w:rPr>
                <w:rFonts w:eastAsia="Times New Roman" w:cs="Times New Roman"/>
                <w:color w:val="auto"/>
                <w:kern w:val="0"/>
                <w:szCs w:val="24"/>
                <w:lang w:eastAsia="en-GB" w:bidi="hi-IN"/>
                <w14:ligatures w14:val="none"/>
              </w:rPr>
              <w:t xml:space="preserve"> 54 years</w:t>
            </w:r>
          </w:p>
        </w:tc>
        <w:tc>
          <w:tcPr>
            <w:tcW w:w="0" w:type="auto"/>
            <w:hideMark/>
          </w:tcPr>
          <w:p w14:paraId="63142F08"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9</w:t>
            </w:r>
          </w:p>
        </w:tc>
        <w:tc>
          <w:tcPr>
            <w:tcW w:w="0" w:type="auto"/>
            <w:hideMark/>
          </w:tcPr>
          <w:p w14:paraId="185D2F1C"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5.7%</w:t>
            </w:r>
          </w:p>
        </w:tc>
      </w:tr>
      <w:tr w:rsidR="009C1649" w:rsidRPr="00DC500E" w14:paraId="66D59B73" w14:textId="77777777" w:rsidTr="006A3F22">
        <w:tc>
          <w:tcPr>
            <w:tcW w:w="0" w:type="auto"/>
            <w:hideMark/>
          </w:tcPr>
          <w:p w14:paraId="7046486C"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53554BE6"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55 years or older</w:t>
            </w:r>
          </w:p>
        </w:tc>
        <w:tc>
          <w:tcPr>
            <w:tcW w:w="0" w:type="auto"/>
            <w:hideMark/>
          </w:tcPr>
          <w:p w14:paraId="0A4D895B"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6</w:t>
            </w:r>
          </w:p>
        </w:tc>
        <w:tc>
          <w:tcPr>
            <w:tcW w:w="0" w:type="auto"/>
            <w:hideMark/>
          </w:tcPr>
          <w:p w14:paraId="5B9B1085"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3.8%</w:t>
            </w:r>
          </w:p>
        </w:tc>
      </w:tr>
      <w:tr w:rsidR="009C1649" w:rsidRPr="00DC500E" w14:paraId="719AB1EB" w14:textId="77777777" w:rsidTr="006A3F22">
        <w:tc>
          <w:tcPr>
            <w:tcW w:w="0" w:type="auto"/>
            <w:hideMark/>
          </w:tcPr>
          <w:p w14:paraId="2BB98284"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06D0BF79"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i/>
                <w:iCs/>
                <w:color w:val="auto"/>
                <w:kern w:val="0"/>
                <w:szCs w:val="24"/>
                <w:lang w:eastAsia="en-GB" w:bidi="hi-IN"/>
                <w14:ligatures w14:val="none"/>
              </w:rPr>
              <w:t>Total</w:t>
            </w:r>
          </w:p>
        </w:tc>
        <w:tc>
          <w:tcPr>
            <w:tcW w:w="0" w:type="auto"/>
            <w:hideMark/>
          </w:tcPr>
          <w:p w14:paraId="114E3D4E"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i/>
                <w:iCs/>
                <w:color w:val="auto"/>
                <w:kern w:val="0"/>
                <w:szCs w:val="24"/>
                <w:lang w:eastAsia="en-GB" w:bidi="hi-IN"/>
                <w14:ligatures w14:val="none"/>
              </w:rPr>
              <w:t>157</w:t>
            </w:r>
          </w:p>
        </w:tc>
        <w:tc>
          <w:tcPr>
            <w:tcW w:w="0" w:type="auto"/>
            <w:hideMark/>
          </w:tcPr>
          <w:p w14:paraId="0192A398"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i/>
                <w:iCs/>
                <w:color w:val="auto"/>
                <w:kern w:val="0"/>
                <w:szCs w:val="24"/>
                <w:lang w:eastAsia="en-GB" w:bidi="hi-IN"/>
                <w14:ligatures w14:val="none"/>
              </w:rPr>
              <w:t>100.0%</w:t>
            </w:r>
          </w:p>
        </w:tc>
      </w:tr>
      <w:tr w:rsidR="009C1649" w:rsidRPr="00DC500E" w14:paraId="757486F0" w14:textId="77777777" w:rsidTr="006A3F22">
        <w:tc>
          <w:tcPr>
            <w:tcW w:w="0" w:type="auto"/>
            <w:hideMark/>
          </w:tcPr>
          <w:p w14:paraId="56A86AF3"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b/>
                <w:bCs/>
                <w:color w:val="auto"/>
                <w:kern w:val="0"/>
                <w:szCs w:val="24"/>
                <w:lang w:eastAsia="en-GB" w:bidi="hi-IN"/>
                <w14:ligatures w14:val="none"/>
              </w:rPr>
              <w:t>Gender</w:t>
            </w:r>
          </w:p>
        </w:tc>
        <w:tc>
          <w:tcPr>
            <w:tcW w:w="0" w:type="auto"/>
            <w:hideMark/>
          </w:tcPr>
          <w:p w14:paraId="161BC4EC"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Female</w:t>
            </w:r>
          </w:p>
        </w:tc>
        <w:tc>
          <w:tcPr>
            <w:tcW w:w="0" w:type="auto"/>
            <w:hideMark/>
          </w:tcPr>
          <w:p w14:paraId="425E40A4"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118</w:t>
            </w:r>
          </w:p>
        </w:tc>
        <w:tc>
          <w:tcPr>
            <w:tcW w:w="0" w:type="auto"/>
            <w:hideMark/>
          </w:tcPr>
          <w:p w14:paraId="34E2A22E"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75.2%</w:t>
            </w:r>
          </w:p>
        </w:tc>
      </w:tr>
      <w:tr w:rsidR="009C1649" w:rsidRPr="00DC500E" w14:paraId="449D6078" w14:textId="77777777" w:rsidTr="006A3F22">
        <w:tc>
          <w:tcPr>
            <w:tcW w:w="0" w:type="auto"/>
            <w:hideMark/>
          </w:tcPr>
          <w:p w14:paraId="1269A94A"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7A903859"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Male</w:t>
            </w:r>
          </w:p>
        </w:tc>
        <w:tc>
          <w:tcPr>
            <w:tcW w:w="0" w:type="auto"/>
            <w:hideMark/>
          </w:tcPr>
          <w:p w14:paraId="09CE9E94"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39</w:t>
            </w:r>
          </w:p>
        </w:tc>
        <w:tc>
          <w:tcPr>
            <w:tcW w:w="0" w:type="auto"/>
            <w:hideMark/>
          </w:tcPr>
          <w:p w14:paraId="56A64B23"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24.8%</w:t>
            </w:r>
          </w:p>
        </w:tc>
      </w:tr>
      <w:tr w:rsidR="009C1649" w:rsidRPr="00DC500E" w14:paraId="275F657C" w14:textId="77777777" w:rsidTr="006A3F22">
        <w:tc>
          <w:tcPr>
            <w:tcW w:w="0" w:type="auto"/>
            <w:hideMark/>
          </w:tcPr>
          <w:p w14:paraId="648AC4DE"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3AAF5A5B"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i/>
                <w:iCs/>
                <w:color w:val="auto"/>
                <w:kern w:val="0"/>
                <w:szCs w:val="24"/>
                <w:lang w:eastAsia="en-GB" w:bidi="hi-IN"/>
                <w14:ligatures w14:val="none"/>
              </w:rPr>
              <w:t>Total</w:t>
            </w:r>
          </w:p>
        </w:tc>
        <w:tc>
          <w:tcPr>
            <w:tcW w:w="0" w:type="auto"/>
            <w:hideMark/>
          </w:tcPr>
          <w:p w14:paraId="742A2980"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i/>
                <w:iCs/>
                <w:color w:val="auto"/>
                <w:kern w:val="0"/>
                <w:szCs w:val="24"/>
                <w:lang w:eastAsia="en-GB" w:bidi="hi-IN"/>
                <w14:ligatures w14:val="none"/>
              </w:rPr>
              <w:t>157</w:t>
            </w:r>
          </w:p>
        </w:tc>
        <w:tc>
          <w:tcPr>
            <w:tcW w:w="0" w:type="auto"/>
            <w:hideMark/>
          </w:tcPr>
          <w:p w14:paraId="1087088B"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i/>
                <w:iCs/>
                <w:color w:val="auto"/>
                <w:kern w:val="0"/>
                <w:szCs w:val="24"/>
                <w:lang w:eastAsia="en-GB" w:bidi="hi-IN"/>
                <w14:ligatures w14:val="none"/>
              </w:rPr>
              <w:t>100.0%</w:t>
            </w:r>
          </w:p>
        </w:tc>
      </w:tr>
      <w:tr w:rsidR="009C1649" w:rsidRPr="00DC500E" w14:paraId="2342E3A0" w14:textId="77777777" w:rsidTr="006A3F22">
        <w:tc>
          <w:tcPr>
            <w:tcW w:w="0" w:type="auto"/>
            <w:hideMark/>
          </w:tcPr>
          <w:p w14:paraId="11C5073D"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b/>
                <w:bCs/>
                <w:color w:val="auto"/>
                <w:kern w:val="0"/>
                <w:szCs w:val="24"/>
                <w:lang w:eastAsia="en-GB" w:bidi="hi-IN"/>
                <w14:ligatures w14:val="none"/>
              </w:rPr>
              <w:t>Annual Household Income</w:t>
            </w:r>
          </w:p>
        </w:tc>
        <w:tc>
          <w:tcPr>
            <w:tcW w:w="0" w:type="auto"/>
            <w:hideMark/>
          </w:tcPr>
          <w:p w14:paraId="4EB363AF"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Under £20,000</w:t>
            </w:r>
          </w:p>
        </w:tc>
        <w:tc>
          <w:tcPr>
            <w:tcW w:w="0" w:type="auto"/>
            <w:hideMark/>
          </w:tcPr>
          <w:p w14:paraId="53041713"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46</w:t>
            </w:r>
          </w:p>
        </w:tc>
        <w:tc>
          <w:tcPr>
            <w:tcW w:w="0" w:type="auto"/>
            <w:hideMark/>
          </w:tcPr>
          <w:p w14:paraId="5EF62052"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29.3%</w:t>
            </w:r>
          </w:p>
        </w:tc>
      </w:tr>
      <w:tr w:rsidR="009C1649" w:rsidRPr="00DC500E" w14:paraId="24D4E642" w14:textId="77777777" w:rsidTr="006A3F22">
        <w:tc>
          <w:tcPr>
            <w:tcW w:w="0" w:type="auto"/>
            <w:hideMark/>
          </w:tcPr>
          <w:p w14:paraId="582331F0"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593FA299" w14:textId="60208CBD"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 xml:space="preserve">£20,000 </w:t>
            </w:r>
            <w:r w:rsidR="008F33FD">
              <w:rPr>
                <w:rFonts w:eastAsia="Times New Roman" w:cs="Times New Roman"/>
                <w:color w:val="auto"/>
                <w:kern w:val="0"/>
                <w:szCs w:val="24"/>
                <w:lang w:eastAsia="en-GB" w:bidi="hi-IN"/>
                <w14:ligatures w14:val="none"/>
              </w:rPr>
              <w:t>-</w:t>
            </w:r>
            <w:r w:rsidRPr="00DC500E">
              <w:rPr>
                <w:rFonts w:eastAsia="Times New Roman" w:cs="Times New Roman"/>
                <w:color w:val="auto"/>
                <w:kern w:val="0"/>
                <w:szCs w:val="24"/>
                <w:lang w:eastAsia="en-GB" w:bidi="hi-IN"/>
                <w14:ligatures w14:val="none"/>
              </w:rPr>
              <w:t xml:space="preserve"> £34,999</w:t>
            </w:r>
          </w:p>
        </w:tc>
        <w:tc>
          <w:tcPr>
            <w:tcW w:w="0" w:type="auto"/>
            <w:hideMark/>
          </w:tcPr>
          <w:p w14:paraId="794D9C53"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62</w:t>
            </w:r>
          </w:p>
        </w:tc>
        <w:tc>
          <w:tcPr>
            <w:tcW w:w="0" w:type="auto"/>
            <w:hideMark/>
          </w:tcPr>
          <w:p w14:paraId="317306B4"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39.5%</w:t>
            </w:r>
          </w:p>
        </w:tc>
      </w:tr>
      <w:tr w:rsidR="009C1649" w:rsidRPr="00DC500E" w14:paraId="64C16D4F" w14:textId="77777777" w:rsidTr="006A3F22">
        <w:tc>
          <w:tcPr>
            <w:tcW w:w="0" w:type="auto"/>
            <w:hideMark/>
          </w:tcPr>
          <w:p w14:paraId="169234AA"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01FB2A90" w14:textId="0A982766"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 xml:space="preserve">£35,000 </w:t>
            </w:r>
            <w:r w:rsidR="008F33FD">
              <w:rPr>
                <w:rFonts w:eastAsia="Times New Roman" w:cs="Times New Roman"/>
                <w:color w:val="auto"/>
                <w:kern w:val="0"/>
                <w:szCs w:val="24"/>
                <w:lang w:eastAsia="en-GB" w:bidi="hi-IN"/>
                <w14:ligatures w14:val="none"/>
              </w:rPr>
              <w:t>-</w:t>
            </w:r>
            <w:r w:rsidRPr="00DC500E">
              <w:rPr>
                <w:rFonts w:eastAsia="Times New Roman" w:cs="Times New Roman"/>
                <w:color w:val="auto"/>
                <w:kern w:val="0"/>
                <w:szCs w:val="24"/>
                <w:lang w:eastAsia="en-GB" w:bidi="hi-IN"/>
                <w14:ligatures w14:val="none"/>
              </w:rPr>
              <w:t xml:space="preserve"> £49,999</w:t>
            </w:r>
          </w:p>
        </w:tc>
        <w:tc>
          <w:tcPr>
            <w:tcW w:w="0" w:type="auto"/>
            <w:hideMark/>
          </w:tcPr>
          <w:p w14:paraId="1B9C90C2"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27</w:t>
            </w:r>
          </w:p>
        </w:tc>
        <w:tc>
          <w:tcPr>
            <w:tcW w:w="0" w:type="auto"/>
            <w:hideMark/>
          </w:tcPr>
          <w:p w14:paraId="606A3007"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17.2%</w:t>
            </w:r>
          </w:p>
        </w:tc>
      </w:tr>
      <w:tr w:rsidR="009C1649" w:rsidRPr="00DC500E" w14:paraId="30E748FE" w14:textId="77777777" w:rsidTr="006A3F22">
        <w:tc>
          <w:tcPr>
            <w:tcW w:w="0" w:type="auto"/>
            <w:hideMark/>
          </w:tcPr>
          <w:p w14:paraId="6B8B57B3"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5BB04C5C" w14:textId="5CEF4751"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 xml:space="preserve">£50,000 </w:t>
            </w:r>
            <w:r w:rsidR="008F33FD">
              <w:rPr>
                <w:rFonts w:eastAsia="Times New Roman" w:cs="Times New Roman"/>
                <w:color w:val="auto"/>
                <w:kern w:val="0"/>
                <w:szCs w:val="24"/>
                <w:lang w:eastAsia="en-GB" w:bidi="hi-IN"/>
                <w14:ligatures w14:val="none"/>
              </w:rPr>
              <w:t>-</w:t>
            </w:r>
            <w:r w:rsidRPr="00DC500E">
              <w:rPr>
                <w:rFonts w:eastAsia="Times New Roman" w:cs="Times New Roman"/>
                <w:color w:val="auto"/>
                <w:kern w:val="0"/>
                <w:szCs w:val="24"/>
                <w:lang w:eastAsia="en-GB" w:bidi="hi-IN"/>
                <w14:ligatures w14:val="none"/>
              </w:rPr>
              <w:t xml:space="preserve"> £64,999</w:t>
            </w:r>
          </w:p>
        </w:tc>
        <w:tc>
          <w:tcPr>
            <w:tcW w:w="0" w:type="auto"/>
            <w:hideMark/>
          </w:tcPr>
          <w:p w14:paraId="156E59A3"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13</w:t>
            </w:r>
          </w:p>
        </w:tc>
        <w:tc>
          <w:tcPr>
            <w:tcW w:w="0" w:type="auto"/>
            <w:hideMark/>
          </w:tcPr>
          <w:p w14:paraId="4571917D"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8.3%</w:t>
            </w:r>
          </w:p>
        </w:tc>
      </w:tr>
      <w:tr w:rsidR="009C1649" w:rsidRPr="00DC500E" w14:paraId="338ECFD6" w14:textId="77777777" w:rsidTr="006A3F22">
        <w:tc>
          <w:tcPr>
            <w:tcW w:w="0" w:type="auto"/>
            <w:hideMark/>
          </w:tcPr>
          <w:p w14:paraId="33E81749"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69D20B48"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£65,000 or above</w:t>
            </w:r>
          </w:p>
        </w:tc>
        <w:tc>
          <w:tcPr>
            <w:tcW w:w="0" w:type="auto"/>
            <w:hideMark/>
          </w:tcPr>
          <w:p w14:paraId="3A07B91A"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9</w:t>
            </w:r>
          </w:p>
        </w:tc>
        <w:tc>
          <w:tcPr>
            <w:tcW w:w="0" w:type="auto"/>
            <w:hideMark/>
          </w:tcPr>
          <w:p w14:paraId="5554DC28"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5.7%</w:t>
            </w:r>
          </w:p>
        </w:tc>
      </w:tr>
      <w:tr w:rsidR="009C1649" w:rsidRPr="00DC500E" w14:paraId="4D706182" w14:textId="77777777" w:rsidTr="006A3F22">
        <w:tc>
          <w:tcPr>
            <w:tcW w:w="0" w:type="auto"/>
            <w:hideMark/>
          </w:tcPr>
          <w:p w14:paraId="08C80E67"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7DDD27BB"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i/>
                <w:iCs/>
                <w:color w:val="auto"/>
                <w:kern w:val="0"/>
                <w:szCs w:val="24"/>
                <w:lang w:eastAsia="en-GB" w:bidi="hi-IN"/>
                <w14:ligatures w14:val="none"/>
              </w:rPr>
              <w:t>Total</w:t>
            </w:r>
          </w:p>
        </w:tc>
        <w:tc>
          <w:tcPr>
            <w:tcW w:w="0" w:type="auto"/>
            <w:hideMark/>
          </w:tcPr>
          <w:p w14:paraId="284A387B"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i/>
                <w:iCs/>
                <w:color w:val="auto"/>
                <w:kern w:val="0"/>
                <w:szCs w:val="24"/>
                <w:lang w:eastAsia="en-GB" w:bidi="hi-IN"/>
                <w14:ligatures w14:val="none"/>
              </w:rPr>
              <w:t>157</w:t>
            </w:r>
          </w:p>
        </w:tc>
        <w:tc>
          <w:tcPr>
            <w:tcW w:w="0" w:type="auto"/>
            <w:hideMark/>
          </w:tcPr>
          <w:p w14:paraId="426590CA"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i/>
                <w:iCs/>
                <w:color w:val="auto"/>
                <w:kern w:val="0"/>
                <w:szCs w:val="24"/>
                <w:lang w:eastAsia="en-GB" w:bidi="hi-IN"/>
                <w14:ligatures w14:val="none"/>
              </w:rPr>
              <w:t>100.0%</w:t>
            </w:r>
          </w:p>
        </w:tc>
      </w:tr>
      <w:tr w:rsidR="009C1649" w:rsidRPr="00DC500E" w14:paraId="4D51C8AD" w14:textId="77777777" w:rsidTr="006A3F22">
        <w:tc>
          <w:tcPr>
            <w:tcW w:w="0" w:type="auto"/>
            <w:hideMark/>
          </w:tcPr>
          <w:p w14:paraId="6B59A70B"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b/>
                <w:bCs/>
                <w:color w:val="auto"/>
                <w:kern w:val="0"/>
                <w:szCs w:val="24"/>
                <w:lang w:eastAsia="en-GB" w:bidi="hi-IN"/>
                <w14:ligatures w14:val="none"/>
              </w:rPr>
              <w:t>Purchase Frequency</w:t>
            </w:r>
          </w:p>
        </w:tc>
        <w:tc>
          <w:tcPr>
            <w:tcW w:w="0" w:type="auto"/>
            <w:hideMark/>
          </w:tcPr>
          <w:p w14:paraId="696A43A2"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Multiple times a month</w:t>
            </w:r>
          </w:p>
        </w:tc>
        <w:tc>
          <w:tcPr>
            <w:tcW w:w="0" w:type="auto"/>
            <w:hideMark/>
          </w:tcPr>
          <w:p w14:paraId="2CB19AC2"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63</w:t>
            </w:r>
          </w:p>
        </w:tc>
        <w:tc>
          <w:tcPr>
            <w:tcW w:w="0" w:type="auto"/>
            <w:hideMark/>
          </w:tcPr>
          <w:p w14:paraId="348AD673"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40.1%</w:t>
            </w:r>
          </w:p>
        </w:tc>
      </w:tr>
      <w:tr w:rsidR="009C1649" w:rsidRPr="00DC500E" w14:paraId="3296BDF0" w14:textId="77777777" w:rsidTr="006A3F22">
        <w:tc>
          <w:tcPr>
            <w:tcW w:w="0" w:type="auto"/>
            <w:hideMark/>
          </w:tcPr>
          <w:p w14:paraId="558C78F3"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0908F5E5"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Once a month</w:t>
            </w:r>
          </w:p>
        </w:tc>
        <w:tc>
          <w:tcPr>
            <w:tcW w:w="0" w:type="auto"/>
            <w:hideMark/>
          </w:tcPr>
          <w:p w14:paraId="37CE1015"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66</w:t>
            </w:r>
          </w:p>
        </w:tc>
        <w:tc>
          <w:tcPr>
            <w:tcW w:w="0" w:type="auto"/>
            <w:hideMark/>
          </w:tcPr>
          <w:p w14:paraId="774BD0D0"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42.0%</w:t>
            </w:r>
          </w:p>
        </w:tc>
      </w:tr>
      <w:tr w:rsidR="009C1649" w:rsidRPr="00DC500E" w14:paraId="7B994DBE" w14:textId="77777777" w:rsidTr="006A3F22">
        <w:tc>
          <w:tcPr>
            <w:tcW w:w="0" w:type="auto"/>
            <w:hideMark/>
          </w:tcPr>
          <w:p w14:paraId="5C017C20"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4003AC98"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Every 2 to 3 months</w:t>
            </w:r>
          </w:p>
        </w:tc>
        <w:tc>
          <w:tcPr>
            <w:tcW w:w="0" w:type="auto"/>
            <w:hideMark/>
          </w:tcPr>
          <w:p w14:paraId="68011C4E"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19</w:t>
            </w:r>
          </w:p>
        </w:tc>
        <w:tc>
          <w:tcPr>
            <w:tcW w:w="0" w:type="auto"/>
            <w:hideMark/>
          </w:tcPr>
          <w:p w14:paraId="0DA7DB6B"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12.1%</w:t>
            </w:r>
          </w:p>
        </w:tc>
      </w:tr>
      <w:tr w:rsidR="009C1649" w:rsidRPr="00DC500E" w14:paraId="407B0FD0" w14:textId="77777777" w:rsidTr="006A3F22">
        <w:tc>
          <w:tcPr>
            <w:tcW w:w="0" w:type="auto"/>
            <w:hideMark/>
          </w:tcPr>
          <w:p w14:paraId="434862DE"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4B05A767"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A few times a year</w:t>
            </w:r>
          </w:p>
        </w:tc>
        <w:tc>
          <w:tcPr>
            <w:tcW w:w="0" w:type="auto"/>
            <w:hideMark/>
          </w:tcPr>
          <w:p w14:paraId="32F40292"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5</w:t>
            </w:r>
          </w:p>
        </w:tc>
        <w:tc>
          <w:tcPr>
            <w:tcW w:w="0" w:type="auto"/>
            <w:hideMark/>
          </w:tcPr>
          <w:p w14:paraId="561360F2"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3.2%</w:t>
            </w:r>
          </w:p>
        </w:tc>
      </w:tr>
      <w:tr w:rsidR="009C1649" w:rsidRPr="00DC500E" w14:paraId="04059923" w14:textId="77777777" w:rsidTr="006A3F22">
        <w:tc>
          <w:tcPr>
            <w:tcW w:w="0" w:type="auto"/>
            <w:hideMark/>
          </w:tcPr>
          <w:p w14:paraId="4C1A679E"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2C05F60F"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Rarely</w:t>
            </w:r>
          </w:p>
        </w:tc>
        <w:tc>
          <w:tcPr>
            <w:tcW w:w="0" w:type="auto"/>
            <w:hideMark/>
          </w:tcPr>
          <w:p w14:paraId="7BBD793C"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4</w:t>
            </w:r>
          </w:p>
        </w:tc>
        <w:tc>
          <w:tcPr>
            <w:tcW w:w="0" w:type="auto"/>
            <w:hideMark/>
          </w:tcPr>
          <w:p w14:paraId="2EE0E032"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color w:val="auto"/>
                <w:kern w:val="0"/>
                <w:szCs w:val="24"/>
                <w:lang w:eastAsia="en-GB" w:bidi="hi-IN"/>
                <w14:ligatures w14:val="none"/>
              </w:rPr>
              <w:t>2.5%</w:t>
            </w:r>
          </w:p>
        </w:tc>
      </w:tr>
      <w:tr w:rsidR="009C1649" w:rsidRPr="00DC500E" w14:paraId="16E25C7B" w14:textId="77777777" w:rsidTr="006A3F22">
        <w:tc>
          <w:tcPr>
            <w:tcW w:w="0" w:type="auto"/>
            <w:hideMark/>
          </w:tcPr>
          <w:p w14:paraId="65D08551" w14:textId="77777777" w:rsidR="009C1649" w:rsidRPr="00DC500E" w:rsidRDefault="009C1649" w:rsidP="006A3F22">
            <w:pPr>
              <w:jc w:val="left"/>
              <w:rPr>
                <w:rFonts w:eastAsia="Times New Roman" w:cs="Times New Roman"/>
                <w:color w:val="auto"/>
                <w:kern w:val="0"/>
                <w:szCs w:val="24"/>
                <w:lang w:eastAsia="en-GB" w:bidi="hi-IN"/>
                <w14:ligatures w14:val="none"/>
              </w:rPr>
            </w:pPr>
          </w:p>
        </w:tc>
        <w:tc>
          <w:tcPr>
            <w:tcW w:w="0" w:type="auto"/>
            <w:hideMark/>
          </w:tcPr>
          <w:p w14:paraId="0B9757B6"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i/>
                <w:iCs/>
                <w:color w:val="auto"/>
                <w:kern w:val="0"/>
                <w:szCs w:val="24"/>
                <w:lang w:eastAsia="en-GB" w:bidi="hi-IN"/>
                <w14:ligatures w14:val="none"/>
              </w:rPr>
              <w:t>Total</w:t>
            </w:r>
          </w:p>
        </w:tc>
        <w:tc>
          <w:tcPr>
            <w:tcW w:w="0" w:type="auto"/>
            <w:hideMark/>
          </w:tcPr>
          <w:p w14:paraId="480C8814"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i/>
                <w:iCs/>
                <w:color w:val="auto"/>
                <w:kern w:val="0"/>
                <w:szCs w:val="24"/>
                <w:lang w:eastAsia="en-GB" w:bidi="hi-IN"/>
                <w14:ligatures w14:val="none"/>
              </w:rPr>
              <w:t>157</w:t>
            </w:r>
          </w:p>
        </w:tc>
        <w:tc>
          <w:tcPr>
            <w:tcW w:w="0" w:type="auto"/>
            <w:hideMark/>
          </w:tcPr>
          <w:p w14:paraId="23CD527D" w14:textId="77777777" w:rsidR="009C1649" w:rsidRPr="00DC500E" w:rsidRDefault="009C1649" w:rsidP="006A3F22">
            <w:pPr>
              <w:jc w:val="left"/>
              <w:rPr>
                <w:rFonts w:eastAsia="Times New Roman" w:cs="Times New Roman"/>
                <w:color w:val="auto"/>
                <w:kern w:val="0"/>
                <w:szCs w:val="24"/>
                <w:lang w:eastAsia="en-GB" w:bidi="hi-IN"/>
                <w14:ligatures w14:val="none"/>
              </w:rPr>
            </w:pPr>
            <w:r w:rsidRPr="00DC500E">
              <w:rPr>
                <w:rFonts w:eastAsia="Times New Roman" w:cs="Times New Roman"/>
                <w:i/>
                <w:iCs/>
                <w:color w:val="auto"/>
                <w:kern w:val="0"/>
                <w:szCs w:val="24"/>
                <w:lang w:eastAsia="en-GB" w:bidi="hi-IN"/>
                <w14:ligatures w14:val="none"/>
              </w:rPr>
              <w:t>100.0%</w:t>
            </w:r>
          </w:p>
        </w:tc>
      </w:tr>
    </w:tbl>
    <w:p w14:paraId="53852606" w14:textId="77777777" w:rsidR="00443E4D" w:rsidRPr="00DC500E" w:rsidRDefault="00443E4D" w:rsidP="00443E4D"/>
    <w:p w14:paraId="4E76482B" w14:textId="77777777" w:rsidR="009C1649" w:rsidRPr="00DC500E" w:rsidRDefault="009C1649" w:rsidP="00443E4D"/>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243"/>
        <w:gridCol w:w="905"/>
        <w:gridCol w:w="904"/>
        <w:gridCol w:w="691"/>
        <w:gridCol w:w="1087"/>
        <w:gridCol w:w="1007"/>
        <w:gridCol w:w="904"/>
        <w:gridCol w:w="691"/>
        <w:gridCol w:w="904"/>
        <w:gridCol w:w="690"/>
      </w:tblGrid>
      <w:tr w:rsidR="009C1649" w:rsidRPr="00DC500E" w14:paraId="47878FAD" w14:textId="77777777" w:rsidTr="006A3F22">
        <w:trPr>
          <w:cantSplit/>
        </w:trPr>
        <w:tc>
          <w:tcPr>
            <w:tcW w:w="5000" w:type="pct"/>
            <w:gridSpan w:val="10"/>
            <w:tcBorders>
              <w:top w:val="nil"/>
              <w:left w:val="nil"/>
              <w:bottom w:val="nil"/>
              <w:right w:val="nil"/>
            </w:tcBorders>
            <w:shd w:val="clear" w:color="auto" w:fill="FFFFFF"/>
            <w:vAlign w:val="center"/>
          </w:tcPr>
          <w:p w14:paraId="3FE17663" w14:textId="77777777" w:rsidR="009C1649" w:rsidRPr="00DC500E" w:rsidRDefault="009C1649" w:rsidP="006A3F22">
            <w:pPr>
              <w:autoSpaceDE w:val="0"/>
              <w:autoSpaceDN w:val="0"/>
              <w:adjustRightInd w:val="0"/>
              <w:ind w:left="60" w:right="60"/>
              <w:jc w:val="left"/>
              <w:rPr>
                <w:rFonts w:cs="Times New Roman"/>
                <w:color w:val="000000"/>
                <w:kern w:val="0"/>
                <w:szCs w:val="24"/>
                <w:lang w:bidi="hi-IN"/>
              </w:rPr>
            </w:pPr>
            <w:r w:rsidRPr="00DC500E">
              <w:rPr>
                <w:rFonts w:cs="Times New Roman"/>
                <w:i/>
                <w:iCs/>
                <w:color w:val="000000"/>
                <w:kern w:val="0"/>
                <w:szCs w:val="24"/>
                <w:lang w:bidi="hi-IN"/>
              </w:rPr>
              <w:lastRenderedPageBreak/>
              <w:t>Descriptive Statistics</w:t>
            </w:r>
          </w:p>
        </w:tc>
      </w:tr>
      <w:tr w:rsidR="009C1649" w:rsidRPr="00DC500E" w14:paraId="69A133EC" w14:textId="77777777" w:rsidTr="006A3F22">
        <w:trPr>
          <w:cantSplit/>
        </w:trPr>
        <w:tc>
          <w:tcPr>
            <w:tcW w:w="688" w:type="pct"/>
            <w:tcBorders>
              <w:left w:val="nil"/>
              <w:bottom w:val="nil"/>
              <w:right w:val="nil"/>
            </w:tcBorders>
            <w:shd w:val="clear" w:color="auto" w:fill="FFFFFF"/>
            <w:vAlign w:val="bottom"/>
          </w:tcPr>
          <w:p w14:paraId="369FC647" w14:textId="77777777" w:rsidR="009C1649" w:rsidRPr="00DC500E" w:rsidRDefault="009C1649" w:rsidP="006A3F22">
            <w:pPr>
              <w:autoSpaceDE w:val="0"/>
              <w:autoSpaceDN w:val="0"/>
              <w:adjustRightInd w:val="0"/>
              <w:jc w:val="left"/>
              <w:rPr>
                <w:rFonts w:cs="Times New Roman"/>
                <w:color w:val="auto"/>
                <w:kern w:val="0"/>
                <w:szCs w:val="24"/>
                <w:lang w:bidi="hi-IN"/>
              </w:rPr>
            </w:pPr>
          </w:p>
        </w:tc>
        <w:tc>
          <w:tcPr>
            <w:tcW w:w="501" w:type="pct"/>
            <w:tcBorders>
              <w:left w:val="nil"/>
            </w:tcBorders>
            <w:shd w:val="clear" w:color="auto" w:fill="FFFFFF"/>
            <w:vAlign w:val="bottom"/>
          </w:tcPr>
          <w:p w14:paraId="2A8650E2"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N</w:t>
            </w:r>
          </w:p>
        </w:tc>
        <w:tc>
          <w:tcPr>
            <w:tcW w:w="884" w:type="pct"/>
            <w:gridSpan w:val="2"/>
            <w:tcBorders>
              <w:left w:val="nil"/>
            </w:tcBorders>
            <w:shd w:val="clear" w:color="auto" w:fill="FFFFFF"/>
            <w:vAlign w:val="bottom"/>
          </w:tcPr>
          <w:p w14:paraId="7DD9C5B0"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Mean</w:t>
            </w:r>
          </w:p>
        </w:tc>
        <w:tc>
          <w:tcPr>
            <w:tcW w:w="602" w:type="pct"/>
            <w:tcBorders>
              <w:left w:val="nil"/>
            </w:tcBorders>
            <w:shd w:val="clear" w:color="auto" w:fill="FFFFFF"/>
            <w:vAlign w:val="bottom"/>
          </w:tcPr>
          <w:p w14:paraId="2681FE1B"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Deviation</w:t>
            </w:r>
          </w:p>
        </w:tc>
        <w:tc>
          <w:tcPr>
            <w:tcW w:w="558" w:type="pct"/>
            <w:tcBorders>
              <w:left w:val="nil"/>
            </w:tcBorders>
            <w:shd w:val="clear" w:color="auto" w:fill="FFFFFF"/>
            <w:vAlign w:val="bottom"/>
          </w:tcPr>
          <w:p w14:paraId="63FE0D60"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Variance</w:t>
            </w:r>
          </w:p>
        </w:tc>
        <w:tc>
          <w:tcPr>
            <w:tcW w:w="884" w:type="pct"/>
            <w:gridSpan w:val="2"/>
            <w:tcBorders>
              <w:left w:val="nil"/>
            </w:tcBorders>
            <w:shd w:val="clear" w:color="auto" w:fill="FFFFFF"/>
            <w:vAlign w:val="bottom"/>
          </w:tcPr>
          <w:p w14:paraId="2454053A"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Skewness</w:t>
            </w:r>
          </w:p>
        </w:tc>
        <w:tc>
          <w:tcPr>
            <w:tcW w:w="884" w:type="pct"/>
            <w:gridSpan w:val="2"/>
            <w:tcBorders>
              <w:left w:val="nil"/>
              <w:right w:val="nil"/>
            </w:tcBorders>
            <w:shd w:val="clear" w:color="auto" w:fill="FFFFFF"/>
            <w:vAlign w:val="bottom"/>
          </w:tcPr>
          <w:p w14:paraId="46594462"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Kurtosis</w:t>
            </w:r>
          </w:p>
        </w:tc>
      </w:tr>
      <w:tr w:rsidR="009C1649" w:rsidRPr="00DC500E" w14:paraId="1C8E334C" w14:textId="77777777" w:rsidTr="006A3F22">
        <w:trPr>
          <w:cantSplit/>
        </w:trPr>
        <w:tc>
          <w:tcPr>
            <w:tcW w:w="688" w:type="pct"/>
            <w:tcBorders>
              <w:left w:val="nil"/>
              <w:bottom w:val="nil"/>
              <w:right w:val="nil"/>
            </w:tcBorders>
            <w:shd w:val="clear" w:color="auto" w:fill="FFFFFF"/>
            <w:vAlign w:val="bottom"/>
          </w:tcPr>
          <w:p w14:paraId="6851DA25" w14:textId="77777777" w:rsidR="009C1649" w:rsidRPr="00DC500E" w:rsidRDefault="009C1649" w:rsidP="006A3F22">
            <w:pPr>
              <w:autoSpaceDE w:val="0"/>
              <w:autoSpaceDN w:val="0"/>
              <w:adjustRightInd w:val="0"/>
              <w:jc w:val="left"/>
              <w:rPr>
                <w:rFonts w:cs="Times New Roman"/>
                <w:color w:val="000000"/>
                <w:kern w:val="0"/>
                <w:szCs w:val="24"/>
                <w:lang w:bidi="hi-IN"/>
              </w:rPr>
            </w:pPr>
          </w:p>
        </w:tc>
        <w:tc>
          <w:tcPr>
            <w:tcW w:w="501" w:type="pct"/>
            <w:tcBorders>
              <w:left w:val="nil"/>
            </w:tcBorders>
            <w:shd w:val="clear" w:color="auto" w:fill="FFFFFF"/>
            <w:vAlign w:val="bottom"/>
          </w:tcPr>
          <w:p w14:paraId="272AAF7C"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501" w:type="pct"/>
            <w:tcBorders>
              <w:left w:val="nil"/>
              <w:right w:val="nil"/>
            </w:tcBorders>
            <w:shd w:val="clear" w:color="auto" w:fill="FFFFFF"/>
            <w:vAlign w:val="bottom"/>
          </w:tcPr>
          <w:p w14:paraId="2B9AED0F"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383" w:type="pct"/>
            <w:tcBorders>
              <w:left w:val="nil"/>
            </w:tcBorders>
            <w:shd w:val="clear" w:color="auto" w:fill="FFFFFF"/>
            <w:vAlign w:val="bottom"/>
          </w:tcPr>
          <w:p w14:paraId="71851716"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c>
          <w:tcPr>
            <w:tcW w:w="602" w:type="pct"/>
            <w:tcBorders>
              <w:left w:val="nil"/>
            </w:tcBorders>
            <w:shd w:val="clear" w:color="auto" w:fill="FFFFFF"/>
            <w:vAlign w:val="bottom"/>
          </w:tcPr>
          <w:p w14:paraId="19D3A181"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558" w:type="pct"/>
            <w:tcBorders>
              <w:left w:val="nil"/>
            </w:tcBorders>
            <w:shd w:val="clear" w:color="auto" w:fill="FFFFFF"/>
            <w:vAlign w:val="bottom"/>
          </w:tcPr>
          <w:p w14:paraId="66E784BD"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501" w:type="pct"/>
            <w:tcBorders>
              <w:left w:val="nil"/>
              <w:right w:val="nil"/>
            </w:tcBorders>
            <w:shd w:val="clear" w:color="auto" w:fill="FFFFFF"/>
            <w:vAlign w:val="bottom"/>
          </w:tcPr>
          <w:p w14:paraId="5ADC2D50"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383" w:type="pct"/>
            <w:tcBorders>
              <w:left w:val="nil"/>
            </w:tcBorders>
            <w:shd w:val="clear" w:color="auto" w:fill="FFFFFF"/>
            <w:vAlign w:val="bottom"/>
          </w:tcPr>
          <w:p w14:paraId="4BC32A0F"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c>
          <w:tcPr>
            <w:tcW w:w="501" w:type="pct"/>
            <w:tcBorders>
              <w:left w:val="nil"/>
              <w:right w:val="nil"/>
            </w:tcBorders>
            <w:shd w:val="clear" w:color="auto" w:fill="FFFFFF"/>
            <w:vAlign w:val="bottom"/>
          </w:tcPr>
          <w:p w14:paraId="19314CAE"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383" w:type="pct"/>
            <w:tcBorders>
              <w:left w:val="nil"/>
              <w:right w:val="nil"/>
            </w:tcBorders>
            <w:shd w:val="clear" w:color="auto" w:fill="FFFFFF"/>
            <w:vAlign w:val="bottom"/>
          </w:tcPr>
          <w:p w14:paraId="135770C7"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r>
      <w:tr w:rsidR="009C1649" w:rsidRPr="00DC500E" w14:paraId="081100DA" w14:textId="77777777" w:rsidTr="006A3F22">
        <w:trPr>
          <w:cantSplit/>
        </w:trPr>
        <w:tc>
          <w:tcPr>
            <w:tcW w:w="688" w:type="pct"/>
            <w:tcBorders>
              <w:left w:val="nil"/>
              <w:bottom w:val="nil"/>
              <w:right w:val="nil"/>
            </w:tcBorders>
            <w:shd w:val="clear" w:color="auto" w:fill="FFFFFF"/>
          </w:tcPr>
          <w:p w14:paraId="1652BC82" w14:textId="77777777" w:rsidR="009C1649" w:rsidRPr="00DC500E" w:rsidRDefault="009C1649" w:rsidP="006A3F22">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GWS1</w:t>
            </w:r>
            <w:proofErr w:type="spellEnd"/>
          </w:p>
        </w:tc>
        <w:tc>
          <w:tcPr>
            <w:tcW w:w="501" w:type="pct"/>
            <w:tcBorders>
              <w:left w:val="nil"/>
              <w:bottom w:val="nil"/>
            </w:tcBorders>
            <w:shd w:val="clear" w:color="auto" w:fill="FFFFFF"/>
          </w:tcPr>
          <w:p w14:paraId="7F168F27"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left w:val="nil"/>
              <w:bottom w:val="nil"/>
              <w:right w:val="nil"/>
            </w:tcBorders>
            <w:shd w:val="clear" w:color="auto" w:fill="FFFFFF"/>
          </w:tcPr>
          <w:p w14:paraId="1F7ED9C2"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4.00</w:t>
            </w:r>
          </w:p>
        </w:tc>
        <w:tc>
          <w:tcPr>
            <w:tcW w:w="383" w:type="pct"/>
            <w:tcBorders>
              <w:left w:val="nil"/>
              <w:bottom w:val="nil"/>
            </w:tcBorders>
            <w:shd w:val="clear" w:color="auto" w:fill="FFFFFF"/>
          </w:tcPr>
          <w:p w14:paraId="6074B46D"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.070</w:t>
            </w:r>
          </w:p>
        </w:tc>
        <w:tc>
          <w:tcPr>
            <w:tcW w:w="602" w:type="pct"/>
            <w:tcBorders>
              <w:left w:val="nil"/>
              <w:bottom w:val="nil"/>
            </w:tcBorders>
            <w:shd w:val="clear" w:color="auto" w:fill="FFFFFF"/>
          </w:tcPr>
          <w:p w14:paraId="783AA857"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.877</w:t>
            </w:r>
          </w:p>
        </w:tc>
        <w:tc>
          <w:tcPr>
            <w:tcW w:w="558" w:type="pct"/>
            <w:tcBorders>
              <w:left w:val="nil"/>
              <w:bottom w:val="nil"/>
            </w:tcBorders>
            <w:shd w:val="clear" w:color="auto" w:fill="FFFFFF"/>
          </w:tcPr>
          <w:p w14:paraId="7D58FD46"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.769</w:t>
            </w:r>
          </w:p>
        </w:tc>
        <w:tc>
          <w:tcPr>
            <w:tcW w:w="501" w:type="pct"/>
            <w:tcBorders>
              <w:left w:val="nil"/>
              <w:bottom w:val="nil"/>
              <w:right w:val="nil"/>
            </w:tcBorders>
            <w:shd w:val="clear" w:color="auto" w:fill="FFFFFF"/>
          </w:tcPr>
          <w:p w14:paraId="59F96761"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-1.675</w:t>
            </w:r>
          </w:p>
        </w:tc>
        <w:tc>
          <w:tcPr>
            <w:tcW w:w="383" w:type="pct"/>
            <w:tcBorders>
              <w:left w:val="nil"/>
              <w:bottom w:val="nil"/>
            </w:tcBorders>
            <w:shd w:val="clear" w:color="auto" w:fill="FFFFFF"/>
          </w:tcPr>
          <w:p w14:paraId="4FFFE54E"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left w:val="nil"/>
              <w:bottom w:val="nil"/>
              <w:right w:val="nil"/>
            </w:tcBorders>
            <w:shd w:val="clear" w:color="auto" w:fill="FFFFFF"/>
          </w:tcPr>
          <w:p w14:paraId="270CBED9"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3.561</w:t>
            </w:r>
          </w:p>
        </w:tc>
        <w:tc>
          <w:tcPr>
            <w:tcW w:w="383" w:type="pct"/>
            <w:tcBorders>
              <w:left w:val="nil"/>
              <w:bottom w:val="nil"/>
              <w:right w:val="nil"/>
            </w:tcBorders>
            <w:shd w:val="clear" w:color="auto" w:fill="FFFFFF"/>
          </w:tcPr>
          <w:p w14:paraId="2F0258AF"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9C1649" w:rsidRPr="00DC500E" w14:paraId="2B24F0D8" w14:textId="77777777" w:rsidTr="006A3F22">
        <w:trPr>
          <w:cantSplit/>
        </w:trPr>
        <w:tc>
          <w:tcPr>
            <w:tcW w:w="688" w:type="pct"/>
            <w:tcBorders>
              <w:top w:val="nil"/>
              <w:left w:val="nil"/>
              <w:bottom w:val="nil"/>
              <w:right w:val="nil"/>
            </w:tcBorders>
            <w:shd w:val="clear" w:color="auto" w:fill="FFFFFF"/>
          </w:tcPr>
          <w:p w14:paraId="0F5A656B" w14:textId="77777777" w:rsidR="009C1649" w:rsidRPr="00DC500E" w:rsidRDefault="009C1649" w:rsidP="006A3F22">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GWS2</w:t>
            </w:r>
            <w:proofErr w:type="spellEnd"/>
          </w:p>
        </w:tc>
        <w:tc>
          <w:tcPr>
            <w:tcW w:w="501" w:type="pct"/>
            <w:tcBorders>
              <w:top w:val="nil"/>
              <w:left w:val="nil"/>
              <w:bottom w:val="nil"/>
            </w:tcBorders>
            <w:shd w:val="clear" w:color="auto" w:fill="FFFFFF"/>
          </w:tcPr>
          <w:p w14:paraId="19F17285"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top w:val="nil"/>
              <w:left w:val="nil"/>
              <w:bottom w:val="nil"/>
              <w:right w:val="nil"/>
            </w:tcBorders>
            <w:shd w:val="clear" w:color="auto" w:fill="FFFFFF"/>
          </w:tcPr>
          <w:p w14:paraId="5EC31814"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4.05</w:t>
            </w:r>
          </w:p>
        </w:tc>
        <w:tc>
          <w:tcPr>
            <w:tcW w:w="383" w:type="pct"/>
            <w:tcBorders>
              <w:top w:val="nil"/>
              <w:left w:val="nil"/>
              <w:bottom w:val="nil"/>
            </w:tcBorders>
            <w:shd w:val="clear" w:color="auto" w:fill="FFFFFF"/>
          </w:tcPr>
          <w:p w14:paraId="7D7FA734"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.065</w:t>
            </w:r>
          </w:p>
        </w:tc>
        <w:tc>
          <w:tcPr>
            <w:tcW w:w="602" w:type="pct"/>
            <w:tcBorders>
              <w:top w:val="nil"/>
              <w:left w:val="nil"/>
              <w:bottom w:val="nil"/>
            </w:tcBorders>
            <w:shd w:val="clear" w:color="auto" w:fill="FFFFFF"/>
          </w:tcPr>
          <w:p w14:paraId="253E8455"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.815</w:t>
            </w:r>
          </w:p>
        </w:tc>
        <w:tc>
          <w:tcPr>
            <w:tcW w:w="558" w:type="pct"/>
            <w:tcBorders>
              <w:top w:val="nil"/>
              <w:left w:val="nil"/>
              <w:bottom w:val="nil"/>
            </w:tcBorders>
            <w:shd w:val="clear" w:color="auto" w:fill="FFFFFF"/>
          </w:tcPr>
          <w:p w14:paraId="6A676FE4"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.664</w:t>
            </w:r>
          </w:p>
        </w:tc>
        <w:tc>
          <w:tcPr>
            <w:tcW w:w="501" w:type="pct"/>
            <w:tcBorders>
              <w:top w:val="nil"/>
              <w:left w:val="nil"/>
              <w:bottom w:val="nil"/>
              <w:right w:val="nil"/>
            </w:tcBorders>
            <w:shd w:val="clear" w:color="auto" w:fill="FFFFFF"/>
          </w:tcPr>
          <w:p w14:paraId="1D3C74D1"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-1.534</w:t>
            </w:r>
          </w:p>
        </w:tc>
        <w:tc>
          <w:tcPr>
            <w:tcW w:w="383" w:type="pct"/>
            <w:tcBorders>
              <w:top w:val="nil"/>
              <w:left w:val="nil"/>
              <w:bottom w:val="nil"/>
            </w:tcBorders>
            <w:shd w:val="clear" w:color="auto" w:fill="FFFFFF"/>
          </w:tcPr>
          <w:p w14:paraId="335A3A7C"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top w:val="nil"/>
              <w:left w:val="nil"/>
              <w:bottom w:val="nil"/>
              <w:right w:val="nil"/>
            </w:tcBorders>
            <w:shd w:val="clear" w:color="auto" w:fill="FFFFFF"/>
          </w:tcPr>
          <w:p w14:paraId="2782889B"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3.595</w:t>
            </w:r>
          </w:p>
        </w:tc>
        <w:tc>
          <w:tcPr>
            <w:tcW w:w="383" w:type="pct"/>
            <w:tcBorders>
              <w:top w:val="nil"/>
              <w:left w:val="nil"/>
              <w:bottom w:val="nil"/>
              <w:right w:val="nil"/>
            </w:tcBorders>
            <w:shd w:val="clear" w:color="auto" w:fill="FFFFFF"/>
          </w:tcPr>
          <w:p w14:paraId="55BF68D1"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9C1649" w:rsidRPr="00DC500E" w14:paraId="6A38DA5B" w14:textId="77777777" w:rsidTr="006A3F22">
        <w:trPr>
          <w:cantSplit/>
        </w:trPr>
        <w:tc>
          <w:tcPr>
            <w:tcW w:w="688" w:type="pct"/>
            <w:tcBorders>
              <w:top w:val="nil"/>
              <w:left w:val="nil"/>
              <w:bottom w:val="nil"/>
              <w:right w:val="nil"/>
            </w:tcBorders>
            <w:shd w:val="clear" w:color="auto" w:fill="FFFFFF"/>
          </w:tcPr>
          <w:p w14:paraId="43385CEB" w14:textId="77777777" w:rsidR="009C1649" w:rsidRPr="00DC500E" w:rsidRDefault="009C1649" w:rsidP="006A3F22">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GWS3</w:t>
            </w:r>
            <w:proofErr w:type="spellEnd"/>
          </w:p>
        </w:tc>
        <w:tc>
          <w:tcPr>
            <w:tcW w:w="501" w:type="pct"/>
            <w:tcBorders>
              <w:top w:val="nil"/>
              <w:left w:val="nil"/>
              <w:bottom w:val="nil"/>
            </w:tcBorders>
            <w:shd w:val="clear" w:color="auto" w:fill="FFFFFF"/>
          </w:tcPr>
          <w:p w14:paraId="64518407"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top w:val="nil"/>
              <w:left w:val="nil"/>
              <w:bottom w:val="nil"/>
              <w:right w:val="nil"/>
            </w:tcBorders>
            <w:shd w:val="clear" w:color="auto" w:fill="FFFFFF"/>
          </w:tcPr>
          <w:p w14:paraId="2642E686"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3.99</w:t>
            </w:r>
          </w:p>
        </w:tc>
        <w:tc>
          <w:tcPr>
            <w:tcW w:w="383" w:type="pct"/>
            <w:tcBorders>
              <w:top w:val="nil"/>
              <w:left w:val="nil"/>
              <w:bottom w:val="nil"/>
            </w:tcBorders>
            <w:shd w:val="clear" w:color="auto" w:fill="FFFFFF"/>
          </w:tcPr>
          <w:p w14:paraId="6F925E52"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.067</w:t>
            </w:r>
          </w:p>
        </w:tc>
        <w:tc>
          <w:tcPr>
            <w:tcW w:w="602" w:type="pct"/>
            <w:tcBorders>
              <w:top w:val="nil"/>
              <w:left w:val="nil"/>
              <w:bottom w:val="nil"/>
            </w:tcBorders>
            <w:shd w:val="clear" w:color="auto" w:fill="FFFFFF"/>
          </w:tcPr>
          <w:p w14:paraId="5D39601B"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.844</w:t>
            </w:r>
          </w:p>
        </w:tc>
        <w:tc>
          <w:tcPr>
            <w:tcW w:w="558" w:type="pct"/>
            <w:tcBorders>
              <w:top w:val="nil"/>
              <w:left w:val="nil"/>
              <w:bottom w:val="nil"/>
            </w:tcBorders>
            <w:shd w:val="clear" w:color="auto" w:fill="FFFFFF"/>
          </w:tcPr>
          <w:p w14:paraId="7D28D06F"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.711</w:t>
            </w:r>
          </w:p>
        </w:tc>
        <w:tc>
          <w:tcPr>
            <w:tcW w:w="501" w:type="pct"/>
            <w:tcBorders>
              <w:top w:val="nil"/>
              <w:left w:val="nil"/>
              <w:bottom w:val="nil"/>
              <w:right w:val="nil"/>
            </w:tcBorders>
            <w:shd w:val="clear" w:color="auto" w:fill="FFFFFF"/>
          </w:tcPr>
          <w:p w14:paraId="21D1305B"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-1.351</w:t>
            </w:r>
          </w:p>
        </w:tc>
        <w:tc>
          <w:tcPr>
            <w:tcW w:w="383" w:type="pct"/>
            <w:tcBorders>
              <w:top w:val="nil"/>
              <w:left w:val="nil"/>
              <w:bottom w:val="nil"/>
            </w:tcBorders>
            <w:shd w:val="clear" w:color="auto" w:fill="FFFFFF"/>
          </w:tcPr>
          <w:p w14:paraId="7138DA9D"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top w:val="nil"/>
              <w:left w:val="nil"/>
              <w:bottom w:val="nil"/>
              <w:right w:val="nil"/>
            </w:tcBorders>
            <w:shd w:val="clear" w:color="auto" w:fill="FFFFFF"/>
          </w:tcPr>
          <w:p w14:paraId="2D27A4C9"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2.624</w:t>
            </w:r>
          </w:p>
        </w:tc>
        <w:tc>
          <w:tcPr>
            <w:tcW w:w="383" w:type="pct"/>
            <w:tcBorders>
              <w:top w:val="nil"/>
              <w:left w:val="nil"/>
              <w:bottom w:val="nil"/>
              <w:right w:val="nil"/>
            </w:tcBorders>
            <w:shd w:val="clear" w:color="auto" w:fill="FFFFFF"/>
          </w:tcPr>
          <w:p w14:paraId="64E96E49"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9C1649" w:rsidRPr="00DC500E" w14:paraId="174B5AAA" w14:textId="77777777" w:rsidTr="006A3F22">
        <w:trPr>
          <w:cantSplit/>
        </w:trPr>
        <w:tc>
          <w:tcPr>
            <w:tcW w:w="688" w:type="pct"/>
            <w:tcBorders>
              <w:top w:val="nil"/>
              <w:left w:val="nil"/>
              <w:bottom w:val="single" w:sz="4" w:space="0" w:color="auto"/>
              <w:right w:val="nil"/>
            </w:tcBorders>
            <w:shd w:val="clear" w:color="auto" w:fill="FFFFFF"/>
          </w:tcPr>
          <w:p w14:paraId="221DCE38" w14:textId="77777777" w:rsidR="009C1649" w:rsidRPr="00DC500E" w:rsidRDefault="009C1649" w:rsidP="006A3F22">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GWS4</w:t>
            </w:r>
            <w:proofErr w:type="spellEnd"/>
          </w:p>
        </w:tc>
        <w:tc>
          <w:tcPr>
            <w:tcW w:w="501" w:type="pct"/>
            <w:tcBorders>
              <w:top w:val="nil"/>
              <w:left w:val="nil"/>
              <w:bottom w:val="single" w:sz="4" w:space="0" w:color="auto"/>
            </w:tcBorders>
            <w:shd w:val="clear" w:color="auto" w:fill="FFFFFF"/>
          </w:tcPr>
          <w:p w14:paraId="6C7D092A"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501" w:type="pct"/>
            <w:tcBorders>
              <w:top w:val="nil"/>
              <w:left w:val="nil"/>
              <w:bottom w:val="single" w:sz="4" w:space="0" w:color="auto"/>
              <w:right w:val="nil"/>
            </w:tcBorders>
            <w:shd w:val="clear" w:color="auto" w:fill="FFFFFF"/>
          </w:tcPr>
          <w:p w14:paraId="13D593C3"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3.94</w:t>
            </w:r>
          </w:p>
        </w:tc>
        <w:tc>
          <w:tcPr>
            <w:tcW w:w="383" w:type="pct"/>
            <w:tcBorders>
              <w:top w:val="nil"/>
              <w:left w:val="nil"/>
              <w:bottom w:val="single" w:sz="4" w:space="0" w:color="auto"/>
            </w:tcBorders>
            <w:shd w:val="clear" w:color="auto" w:fill="FFFFFF"/>
          </w:tcPr>
          <w:p w14:paraId="03924AED"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.076</w:t>
            </w:r>
          </w:p>
        </w:tc>
        <w:tc>
          <w:tcPr>
            <w:tcW w:w="602" w:type="pct"/>
            <w:tcBorders>
              <w:top w:val="nil"/>
              <w:left w:val="nil"/>
              <w:bottom w:val="single" w:sz="4" w:space="0" w:color="auto"/>
            </w:tcBorders>
            <w:shd w:val="clear" w:color="auto" w:fill="FFFFFF"/>
          </w:tcPr>
          <w:p w14:paraId="1E512A96"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.952</w:t>
            </w:r>
          </w:p>
        </w:tc>
        <w:tc>
          <w:tcPr>
            <w:tcW w:w="558" w:type="pct"/>
            <w:tcBorders>
              <w:top w:val="nil"/>
              <w:left w:val="nil"/>
              <w:bottom w:val="single" w:sz="4" w:space="0" w:color="auto"/>
            </w:tcBorders>
            <w:shd w:val="clear" w:color="auto" w:fill="FFFFFF"/>
          </w:tcPr>
          <w:p w14:paraId="2ADB70B8"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.906</w:t>
            </w:r>
          </w:p>
        </w:tc>
        <w:tc>
          <w:tcPr>
            <w:tcW w:w="501" w:type="pct"/>
            <w:tcBorders>
              <w:top w:val="nil"/>
              <w:left w:val="nil"/>
              <w:bottom w:val="single" w:sz="4" w:space="0" w:color="auto"/>
              <w:right w:val="nil"/>
            </w:tcBorders>
            <w:shd w:val="clear" w:color="auto" w:fill="FFFFFF"/>
          </w:tcPr>
          <w:p w14:paraId="3F800D79"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-1.407</w:t>
            </w:r>
          </w:p>
        </w:tc>
        <w:tc>
          <w:tcPr>
            <w:tcW w:w="383" w:type="pct"/>
            <w:tcBorders>
              <w:top w:val="nil"/>
              <w:left w:val="nil"/>
              <w:bottom w:val="single" w:sz="4" w:space="0" w:color="auto"/>
            </w:tcBorders>
            <w:shd w:val="clear" w:color="auto" w:fill="FFFFFF"/>
          </w:tcPr>
          <w:p w14:paraId="2E91B180"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501" w:type="pct"/>
            <w:tcBorders>
              <w:top w:val="nil"/>
              <w:left w:val="nil"/>
              <w:bottom w:val="single" w:sz="4" w:space="0" w:color="auto"/>
              <w:right w:val="nil"/>
            </w:tcBorders>
            <w:shd w:val="clear" w:color="auto" w:fill="FFFFFF"/>
          </w:tcPr>
          <w:p w14:paraId="26534D79"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1.963</w:t>
            </w:r>
          </w:p>
        </w:tc>
        <w:tc>
          <w:tcPr>
            <w:tcW w:w="383" w:type="pct"/>
            <w:tcBorders>
              <w:top w:val="nil"/>
              <w:left w:val="nil"/>
              <w:bottom w:val="single" w:sz="4" w:space="0" w:color="auto"/>
              <w:right w:val="nil"/>
            </w:tcBorders>
            <w:shd w:val="clear" w:color="auto" w:fill="FFFFFF"/>
          </w:tcPr>
          <w:p w14:paraId="64CFE9DB"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bl>
    <w:p w14:paraId="7637B14B" w14:textId="77777777" w:rsidR="009C1649" w:rsidRPr="00DC500E" w:rsidRDefault="009C1649" w:rsidP="00443E4D"/>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242"/>
        <w:gridCol w:w="904"/>
        <w:gridCol w:w="904"/>
        <w:gridCol w:w="691"/>
        <w:gridCol w:w="1087"/>
        <w:gridCol w:w="1007"/>
        <w:gridCol w:w="904"/>
        <w:gridCol w:w="691"/>
        <w:gridCol w:w="904"/>
        <w:gridCol w:w="692"/>
      </w:tblGrid>
      <w:tr w:rsidR="009C1649" w:rsidRPr="00DC500E" w14:paraId="7AAAFBEA" w14:textId="77777777" w:rsidTr="006A3F22">
        <w:trPr>
          <w:cantSplit/>
        </w:trPr>
        <w:tc>
          <w:tcPr>
            <w:tcW w:w="5000" w:type="pct"/>
            <w:gridSpan w:val="10"/>
            <w:tcBorders>
              <w:top w:val="nil"/>
              <w:left w:val="nil"/>
              <w:bottom w:val="nil"/>
              <w:right w:val="nil"/>
            </w:tcBorders>
            <w:shd w:val="clear" w:color="auto" w:fill="FFFFFF"/>
            <w:vAlign w:val="center"/>
          </w:tcPr>
          <w:p w14:paraId="73CC2B6D" w14:textId="77777777" w:rsidR="009C1649" w:rsidRPr="00DC500E" w:rsidRDefault="009C1649" w:rsidP="006A3F22">
            <w:pPr>
              <w:autoSpaceDE w:val="0"/>
              <w:autoSpaceDN w:val="0"/>
              <w:adjustRightInd w:val="0"/>
              <w:ind w:left="60" w:right="60"/>
              <w:jc w:val="left"/>
              <w:rPr>
                <w:rFonts w:cs="Times New Roman"/>
                <w:color w:val="000000"/>
                <w:kern w:val="0"/>
                <w:szCs w:val="24"/>
                <w:lang w:bidi="hi-IN"/>
              </w:rPr>
            </w:pPr>
            <w:r w:rsidRPr="00DC500E">
              <w:rPr>
                <w:rFonts w:cs="Times New Roman"/>
                <w:i/>
                <w:iCs/>
                <w:color w:val="000000"/>
                <w:kern w:val="0"/>
                <w:szCs w:val="24"/>
                <w:lang w:bidi="hi-IN"/>
              </w:rPr>
              <w:t>Descriptive Statistics</w:t>
            </w:r>
          </w:p>
        </w:tc>
      </w:tr>
      <w:tr w:rsidR="009C1649" w:rsidRPr="00DC500E" w14:paraId="694FC0E1" w14:textId="77777777" w:rsidTr="006A3F22">
        <w:trPr>
          <w:cantSplit/>
        </w:trPr>
        <w:tc>
          <w:tcPr>
            <w:tcW w:w="801" w:type="pct"/>
            <w:tcBorders>
              <w:left w:val="nil"/>
              <w:bottom w:val="nil"/>
              <w:right w:val="nil"/>
            </w:tcBorders>
            <w:shd w:val="clear" w:color="auto" w:fill="FFFFFF"/>
            <w:vAlign w:val="bottom"/>
          </w:tcPr>
          <w:p w14:paraId="0C8F4203" w14:textId="77777777" w:rsidR="009C1649" w:rsidRPr="00DC500E" w:rsidRDefault="009C1649" w:rsidP="006A3F22">
            <w:pPr>
              <w:autoSpaceDE w:val="0"/>
              <w:autoSpaceDN w:val="0"/>
              <w:adjustRightInd w:val="0"/>
              <w:jc w:val="left"/>
              <w:rPr>
                <w:rFonts w:cs="Mangal"/>
                <w:color w:val="auto"/>
                <w:kern w:val="0"/>
                <w:szCs w:val="24"/>
                <w:lang w:bidi="hi-IN"/>
              </w:rPr>
            </w:pPr>
          </w:p>
        </w:tc>
        <w:tc>
          <w:tcPr>
            <w:tcW w:w="416" w:type="pct"/>
            <w:tcBorders>
              <w:left w:val="nil"/>
            </w:tcBorders>
            <w:shd w:val="clear" w:color="auto" w:fill="FFFFFF"/>
            <w:vAlign w:val="bottom"/>
          </w:tcPr>
          <w:p w14:paraId="6EE42642"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N</w:t>
            </w:r>
          </w:p>
        </w:tc>
        <w:tc>
          <w:tcPr>
            <w:tcW w:w="911" w:type="pct"/>
            <w:gridSpan w:val="2"/>
            <w:tcBorders>
              <w:left w:val="nil"/>
            </w:tcBorders>
            <w:shd w:val="clear" w:color="auto" w:fill="FFFFFF"/>
            <w:vAlign w:val="bottom"/>
          </w:tcPr>
          <w:p w14:paraId="419CA285"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Mean</w:t>
            </w:r>
          </w:p>
        </w:tc>
        <w:tc>
          <w:tcPr>
            <w:tcW w:w="587" w:type="pct"/>
            <w:tcBorders>
              <w:left w:val="nil"/>
            </w:tcBorders>
            <w:shd w:val="clear" w:color="auto" w:fill="FFFFFF"/>
            <w:vAlign w:val="bottom"/>
          </w:tcPr>
          <w:p w14:paraId="31139B90"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Deviation</w:t>
            </w:r>
          </w:p>
        </w:tc>
        <w:tc>
          <w:tcPr>
            <w:tcW w:w="464" w:type="pct"/>
            <w:tcBorders>
              <w:left w:val="nil"/>
            </w:tcBorders>
            <w:shd w:val="clear" w:color="auto" w:fill="FFFFFF"/>
            <w:vAlign w:val="bottom"/>
          </w:tcPr>
          <w:p w14:paraId="5843B595"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Variance</w:t>
            </w:r>
          </w:p>
        </w:tc>
        <w:tc>
          <w:tcPr>
            <w:tcW w:w="910" w:type="pct"/>
            <w:gridSpan w:val="2"/>
            <w:tcBorders>
              <w:left w:val="nil"/>
            </w:tcBorders>
            <w:shd w:val="clear" w:color="auto" w:fill="FFFFFF"/>
            <w:vAlign w:val="bottom"/>
          </w:tcPr>
          <w:p w14:paraId="3899FFE7"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Skewness</w:t>
            </w:r>
          </w:p>
        </w:tc>
        <w:tc>
          <w:tcPr>
            <w:tcW w:w="910" w:type="pct"/>
            <w:gridSpan w:val="2"/>
            <w:tcBorders>
              <w:left w:val="nil"/>
              <w:right w:val="nil"/>
            </w:tcBorders>
            <w:shd w:val="clear" w:color="auto" w:fill="FFFFFF"/>
            <w:vAlign w:val="bottom"/>
          </w:tcPr>
          <w:p w14:paraId="06FB148B"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Kurtosis</w:t>
            </w:r>
          </w:p>
        </w:tc>
      </w:tr>
      <w:tr w:rsidR="009C1649" w:rsidRPr="00DC500E" w14:paraId="0714EDA0" w14:textId="77777777" w:rsidTr="006A3F22">
        <w:trPr>
          <w:cantSplit/>
        </w:trPr>
        <w:tc>
          <w:tcPr>
            <w:tcW w:w="801" w:type="pct"/>
            <w:tcBorders>
              <w:left w:val="nil"/>
              <w:bottom w:val="nil"/>
              <w:right w:val="nil"/>
            </w:tcBorders>
            <w:shd w:val="clear" w:color="auto" w:fill="FFFFFF"/>
            <w:vAlign w:val="bottom"/>
          </w:tcPr>
          <w:p w14:paraId="33A77445" w14:textId="77777777" w:rsidR="009C1649" w:rsidRPr="00DC500E" w:rsidRDefault="009C1649" w:rsidP="006A3F22">
            <w:pPr>
              <w:autoSpaceDE w:val="0"/>
              <w:autoSpaceDN w:val="0"/>
              <w:adjustRightInd w:val="0"/>
              <w:jc w:val="left"/>
              <w:rPr>
                <w:rFonts w:cs="Times New Roman"/>
                <w:color w:val="000000"/>
                <w:kern w:val="0"/>
                <w:szCs w:val="24"/>
                <w:lang w:bidi="hi-IN"/>
              </w:rPr>
            </w:pPr>
          </w:p>
        </w:tc>
        <w:tc>
          <w:tcPr>
            <w:tcW w:w="416" w:type="pct"/>
            <w:tcBorders>
              <w:left w:val="nil"/>
            </w:tcBorders>
            <w:shd w:val="clear" w:color="auto" w:fill="FFFFFF"/>
            <w:vAlign w:val="bottom"/>
          </w:tcPr>
          <w:p w14:paraId="3A24508F"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416" w:type="pct"/>
            <w:tcBorders>
              <w:left w:val="nil"/>
              <w:right w:val="nil"/>
            </w:tcBorders>
            <w:shd w:val="clear" w:color="auto" w:fill="FFFFFF"/>
            <w:vAlign w:val="bottom"/>
          </w:tcPr>
          <w:p w14:paraId="1E336175"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495" w:type="pct"/>
            <w:tcBorders>
              <w:left w:val="nil"/>
            </w:tcBorders>
            <w:shd w:val="clear" w:color="auto" w:fill="FFFFFF"/>
            <w:vAlign w:val="bottom"/>
          </w:tcPr>
          <w:p w14:paraId="342E815F"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c>
          <w:tcPr>
            <w:tcW w:w="587" w:type="pct"/>
            <w:tcBorders>
              <w:left w:val="nil"/>
            </w:tcBorders>
            <w:shd w:val="clear" w:color="auto" w:fill="FFFFFF"/>
            <w:vAlign w:val="bottom"/>
          </w:tcPr>
          <w:p w14:paraId="7725F85E"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464" w:type="pct"/>
            <w:tcBorders>
              <w:left w:val="nil"/>
            </w:tcBorders>
            <w:shd w:val="clear" w:color="auto" w:fill="FFFFFF"/>
            <w:vAlign w:val="bottom"/>
          </w:tcPr>
          <w:p w14:paraId="06B62CB5"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415" w:type="pct"/>
            <w:tcBorders>
              <w:left w:val="nil"/>
              <w:right w:val="nil"/>
            </w:tcBorders>
            <w:shd w:val="clear" w:color="auto" w:fill="FFFFFF"/>
            <w:vAlign w:val="bottom"/>
          </w:tcPr>
          <w:p w14:paraId="15DDC74A"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495" w:type="pct"/>
            <w:tcBorders>
              <w:left w:val="nil"/>
            </w:tcBorders>
            <w:shd w:val="clear" w:color="auto" w:fill="FFFFFF"/>
            <w:vAlign w:val="bottom"/>
          </w:tcPr>
          <w:p w14:paraId="783329D0"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c>
          <w:tcPr>
            <w:tcW w:w="415" w:type="pct"/>
            <w:tcBorders>
              <w:left w:val="nil"/>
              <w:right w:val="nil"/>
            </w:tcBorders>
            <w:shd w:val="clear" w:color="auto" w:fill="FFFFFF"/>
            <w:vAlign w:val="bottom"/>
          </w:tcPr>
          <w:p w14:paraId="5DD7F8C9"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495" w:type="pct"/>
            <w:tcBorders>
              <w:left w:val="nil"/>
              <w:right w:val="nil"/>
            </w:tcBorders>
            <w:shd w:val="clear" w:color="auto" w:fill="FFFFFF"/>
            <w:vAlign w:val="bottom"/>
          </w:tcPr>
          <w:p w14:paraId="41702A56"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r>
      <w:tr w:rsidR="009C1649" w:rsidRPr="00DC500E" w14:paraId="55FE813E" w14:textId="77777777" w:rsidTr="006A3F22">
        <w:trPr>
          <w:cantSplit/>
        </w:trPr>
        <w:tc>
          <w:tcPr>
            <w:tcW w:w="801" w:type="pct"/>
            <w:tcBorders>
              <w:left w:val="nil"/>
              <w:bottom w:val="nil"/>
              <w:right w:val="nil"/>
            </w:tcBorders>
            <w:shd w:val="clear" w:color="auto" w:fill="FFFFFF"/>
          </w:tcPr>
          <w:p w14:paraId="48ECD86F" w14:textId="77777777" w:rsidR="009C1649" w:rsidRPr="00DC500E" w:rsidRDefault="009C1649" w:rsidP="006A3F22">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CT1</w:t>
            </w:r>
            <w:proofErr w:type="spellEnd"/>
          </w:p>
        </w:tc>
        <w:tc>
          <w:tcPr>
            <w:tcW w:w="416" w:type="pct"/>
            <w:tcBorders>
              <w:left w:val="nil"/>
              <w:bottom w:val="nil"/>
            </w:tcBorders>
            <w:shd w:val="clear" w:color="auto" w:fill="FFFFFF"/>
          </w:tcPr>
          <w:p w14:paraId="4137F4D6"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416" w:type="pct"/>
            <w:tcBorders>
              <w:left w:val="nil"/>
              <w:bottom w:val="nil"/>
              <w:right w:val="nil"/>
            </w:tcBorders>
            <w:shd w:val="clear" w:color="auto" w:fill="FFFFFF"/>
          </w:tcPr>
          <w:p w14:paraId="1AB89FC5"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3.97</w:t>
            </w:r>
          </w:p>
        </w:tc>
        <w:tc>
          <w:tcPr>
            <w:tcW w:w="495" w:type="pct"/>
            <w:tcBorders>
              <w:left w:val="nil"/>
              <w:bottom w:val="nil"/>
            </w:tcBorders>
            <w:shd w:val="clear" w:color="auto" w:fill="FFFFFF"/>
          </w:tcPr>
          <w:p w14:paraId="37D5FCDE"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.077</w:t>
            </w:r>
          </w:p>
        </w:tc>
        <w:tc>
          <w:tcPr>
            <w:tcW w:w="587" w:type="pct"/>
            <w:tcBorders>
              <w:left w:val="nil"/>
              <w:bottom w:val="nil"/>
            </w:tcBorders>
            <w:shd w:val="clear" w:color="auto" w:fill="FFFFFF"/>
          </w:tcPr>
          <w:p w14:paraId="2752A23F"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.964</w:t>
            </w:r>
          </w:p>
        </w:tc>
        <w:tc>
          <w:tcPr>
            <w:tcW w:w="464" w:type="pct"/>
            <w:tcBorders>
              <w:left w:val="nil"/>
              <w:bottom w:val="nil"/>
            </w:tcBorders>
            <w:shd w:val="clear" w:color="auto" w:fill="FFFFFF"/>
          </w:tcPr>
          <w:p w14:paraId="28271D4F"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.928</w:t>
            </w:r>
          </w:p>
        </w:tc>
        <w:tc>
          <w:tcPr>
            <w:tcW w:w="415" w:type="pct"/>
            <w:tcBorders>
              <w:left w:val="nil"/>
              <w:bottom w:val="nil"/>
              <w:right w:val="nil"/>
            </w:tcBorders>
            <w:shd w:val="clear" w:color="auto" w:fill="FFFFFF"/>
          </w:tcPr>
          <w:p w14:paraId="7F9C320B"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-1.591</w:t>
            </w:r>
          </w:p>
        </w:tc>
        <w:tc>
          <w:tcPr>
            <w:tcW w:w="495" w:type="pct"/>
            <w:tcBorders>
              <w:left w:val="nil"/>
              <w:bottom w:val="nil"/>
            </w:tcBorders>
            <w:shd w:val="clear" w:color="auto" w:fill="FFFFFF"/>
          </w:tcPr>
          <w:p w14:paraId="2638C1BD"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415" w:type="pct"/>
            <w:tcBorders>
              <w:left w:val="nil"/>
              <w:bottom w:val="nil"/>
              <w:right w:val="nil"/>
            </w:tcBorders>
            <w:shd w:val="clear" w:color="auto" w:fill="FFFFFF"/>
          </w:tcPr>
          <w:p w14:paraId="6A6D3F4F"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2.661</w:t>
            </w:r>
          </w:p>
        </w:tc>
        <w:tc>
          <w:tcPr>
            <w:tcW w:w="495" w:type="pct"/>
            <w:tcBorders>
              <w:left w:val="nil"/>
              <w:bottom w:val="nil"/>
              <w:right w:val="nil"/>
            </w:tcBorders>
            <w:shd w:val="clear" w:color="auto" w:fill="FFFFFF"/>
          </w:tcPr>
          <w:p w14:paraId="7C2296C2"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9C1649" w:rsidRPr="00DC500E" w14:paraId="4628805A" w14:textId="77777777" w:rsidTr="006A3F22">
        <w:trPr>
          <w:cantSplit/>
        </w:trPr>
        <w:tc>
          <w:tcPr>
            <w:tcW w:w="801" w:type="pct"/>
            <w:tcBorders>
              <w:top w:val="nil"/>
              <w:left w:val="nil"/>
              <w:bottom w:val="nil"/>
              <w:right w:val="nil"/>
            </w:tcBorders>
            <w:shd w:val="clear" w:color="auto" w:fill="FFFFFF"/>
          </w:tcPr>
          <w:p w14:paraId="1FB10F9A" w14:textId="77777777" w:rsidR="009C1649" w:rsidRPr="00DC500E" w:rsidRDefault="009C1649" w:rsidP="006A3F22">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CT2</w:t>
            </w:r>
            <w:proofErr w:type="spellEnd"/>
          </w:p>
        </w:tc>
        <w:tc>
          <w:tcPr>
            <w:tcW w:w="416" w:type="pct"/>
            <w:tcBorders>
              <w:top w:val="nil"/>
              <w:left w:val="nil"/>
              <w:bottom w:val="nil"/>
            </w:tcBorders>
            <w:shd w:val="clear" w:color="auto" w:fill="FFFFFF"/>
          </w:tcPr>
          <w:p w14:paraId="66B045E2"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416" w:type="pct"/>
            <w:tcBorders>
              <w:top w:val="nil"/>
              <w:left w:val="nil"/>
              <w:bottom w:val="nil"/>
              <w:right w:val="nil"/>
            </w:tcBorders>
            <w:shd w:val="clear" w:color="auto" w:fill="FFFFFF"/>
          </w:tcPr>
          <w:p w14:paraId="1375DF1F"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3.75</w:t>
            </w:r>
          </w:p>
        </w:tc>
        <w:tc>
          <w:tcPr>
            <w:tcW w:w="495" w:type="pct"/>
            <w:tcBorders>
              <w:top w:val="nil"/>
              <w:left w:val="nil"/>
              <w:bottom w:val="nil"/>
            </w:tcBorders>
            <w:shd w:val="clear" w:color="auto" w:fill="FFFFFF"/>
          </w:tcPr>
          <w:p w14:paraId="2BFD70F2"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.064</w:t>
            </w:r>
          </w:p>
        </w:tc>
        <w:tc>
          <w:tcPr>
            <w:tcW w:w="587" w:type="pct"/>
            <w:tcBorders>
              <w:top w:val="nil"/>
              <w:left w:val="nil"/>
              <w:bottom w:val="nil"/>
            </w:tcBorders>
            <w:shd w:val="clear" w:color="auto" w:fill="FFFFFF"/>
          </w:tcPr>
          <w:p w14:paraId="34E2AEBC"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.808</w:t>
            </w:r>
          </w:p>
        </w:tc>
        <w:tc>
          <w:tcPr>
            <w:tcW w:w="464" w:type="pct"/>
            <w:tcBorders>
              <w:top w:val="nil"/>
              <w:left w:val="nil"/>
              <w:bottom w:val="nil"/>
            </w:tcBorders>
            <w:shd w:val="clear" w:color="auto" w:fill="FFFFFF"/>
          </w:tcPr>
          <w:p w14:paraId="77562C53"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.653</w:t>
            </w:r>
          </w:p>
        </w:tc>
        <w:tc>
          <w:tcPr>
            <w:tcW w:w="415" w:type="pct"/>
            <w:tcBorders>
              <w:top w:val="nil"/>
              <w:left w:val="nil"/>
              <w:bottom w:val="nil"/>
              <w:right w:val="nil"/>
            </w:tcBorders>
            <w:shd w:val="clear" w:color="auto" w:fill="FFFFFF"/>
          </w:tcPr>
          <w:p w14:paraId="3FEF57AD"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-2.310</w:t>
            </w:r>
          </w:p>
        </w:tc>
        <w:tc>
          <w:tcPr>
            <w:tcW w:w="495" w:type="pct"/>
            <w:tcBorders>
              <w:top w:val="nil"/>
              <w:left w:val="nil"/>
              <w:bottom w:val="nil"/>
            </w:tcBorders>
            <w:shd w:val="clear" w:color="auto" w:fill="FFFFFF"/>
          </w:tcPr>
          <w:p w14:paraId="5C03547F"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415" w:type="pct"/>
            <w:tcBorders>
              <w:top w:val="nil"/>
              <w:left w:val="nil"/>
              <w:bottom w:val="nil"/>
              <w:right w:val="nil"/>
            </w:tcBorders>
            <w:shd w:val="clear" w:color="auto" w:fill="FFFFFF"/>
          </w:tcPr>
          <w:p w14:paraId="06CD8560"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5.208</w:t>
            </w:r>
          </w:p>
        </w:tc>
        <w:tc>
          <w:tcPr>
            <w:tcW w:w="495" w:type="pct"/>
            <w:tcBorders>
              <w:top w:val="nil"/>
              <w:left w:val="nil"/>
              <w:bottom w:val="nil"/>
              <w:right w:val="nil"/>
            </w:tcBorders>
            <w:shd w:val="clear" w:color="auto" w:fill="FFFFFF"/>
          </w:tcPr>
          <w:p w14:paraId="1582634F"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9C1649" w:rsidRPr="00DC500E" w14:paraId="5E9DC75D" w14:textId="77777777" w:rsidTr="006A3F22">
        <w:trPr>
          <w:cantSplit/>
        </w:trPr>
        <w:tc>
          <w:tcPr>
            <w:tcW w:w="801" w:type="pct"/>
            <w:tcBorders>
              <w:top w:val="nil"/>
              <w:left w:val="nil"/>
              <w:bottom w:val="nil"/>
              <w:right w:val="nil"/>
            </w:tcBorders>
            <w:shd w:val="clear" w:color="auto" w:fill="FFFFFF"/>
          </w:tcPr>
          <w:p w14:paraId="1AD0CE72" w14:textId="77777777" w:rsidR="009C1649" w:rsidRPr="00DC500E" w:rsidRDefault="009C1649" w:rsidP="006A3F22">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CT3</w:t>
            </w:r>
            <w:proofErr w:type="spellEnd"/>
          </w:p>
        </w:tc>
        <w:tc>
          <w:tcPr>
            <w:tcW w:w="416" w:type="pct"/>
            <w:tcBorders>
              <w:top w:val="nil"/>
              <w:left w:val="nil"/>
              <w:bottom w:val="nil"/>
            </w:tcBorders>
            <w:shd w:val="clear" w:color="auto" w:fill="FFFFFF"/>
          </w:tcPr>
          <w:p w14:paraId="578CA568"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416" w:type="pct"/>
            <w:tcBorders>
              <w:top w:val="nil"/>
              <w:left w:val="nil"/>
              <w:bottom w:val="nil"/>
              <w:right w:val="nil"/>
            </w:tcBorders>
            <w:shd w:val="clear" w:color="auto" w:fill="FFFFFF"/>
          </w:tcPr>
          <w:p w14:paraId="49B27740"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4.20</w:t>
            </w:r>
          </w:p>
        </w:tc>
        <w:tc>
          <w:tcPr>
            <w:tcW w:w="495" w:type="pct"/>
            <w:tcBorders>
              <w:top w:val="nil"/>
              <w:left w:val="nil"/>
              <w:bottom w:val="nil"/>
            </w:tcBorders>
            <w:shd w:val="clear" w:color="auto" w:fill="FFFFFF"/>
          </w:tcPr>
          <w:p w14:paraId="5E959E60"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.072</w:t>
            </w:r>
          </w:p>
        </w:tc>
        <w:tc>
          <w:tcPr>
            <w:tcW w:w="587" w:type="pct"/>
            <w:tcBorders>
              <w:top w:val="nil"/>
              <w:left w:val="nil"/>
              <w:bottom w:val="nil"/>
            </w:tcBorders>
            <w:shd w:val="clear" w:color="auto" w:fill="FFFFFF"/>
          </w:tcPr>
          <w:p w14:paraId="2CE9B7B2"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.902</w:t>
            </w:r>
          </w:p>
        </w:tc>
        <w:tc>
          <w:tcPr>
            <w:tcW w:w="464" w:type="pct"/>
            <w:tcBorders>
              <w:top w:val="nil"/>
              <w:left w:val="nil"/>
              <w:bottom w:val="nil"/>
            </w:tcBorders>
            <w:shd w:val="clear" w:color="auto" w:fill="FFFFFF"/>
          </w:tcPr>
          <w:p w14:paraId="1D38F3F2"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.813</w:t>
            </w:r>
          </w:p>
        </w:tc>
        <w:tc>
          <w:tcPr>
            <w:tcW w:w="415" w:type="pct"/>
            <w:tcBorders>
              <w:top w:val="nil"/>
              <w:left w:val="nil"/>
              <w:bottom w:val="nil"/>
              <w:right w:val="nil"/>
            </w:tcBorders>
            <w:shd w:val="clear" w:color="auto" w:fill="FFFFFF"/>
          </w:tcPr>
          <w:p w14:paraId="2CF33AF2"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-1.251</w:t>
            </w:r>
          </w:p>
        </w:tc>
        <w:tc>
          <w:tcPr>
            <w:tcW w:w="495" w:type="pct"/>
            <w:tcBorders>
              <w:top w:val="nil"/>
              <w:left w:val="nil"/>
              <w:bottom w:val="nil"/>
            </w:tcBorders>
            <w:shd w:val="clear" w:color="auto" w:fill="FFFFFF"/>
          </w:tcPr>
          <w:p w14:paraId="0A2919F4"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415" w:type="pct"/>
            <w:tcBorders>
              <w:top w:val="nil"/>
              <w:left w:val="nil"/>
              <w:bottom w:val="nil"/>
              <w:right w:val="nil"/>
            </w:tcBorders>
            <w:shd w:val="clear" w:color="auto" w:fill="FFFFFF"/>
          </w:tcPr>
          <w:p w14:paraId="65D5566B"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1.037</w:t>
            </w:r>
          </w:p>
        </w:tc>
        <w:tc>
          <w:tcPr>
            <w:tcW w:w="495" w:type="pct"/>
            <w:tcBorders>
              <w:top w:val="nil"/>
              <w:left w:val="nil"/>
              <w:bottom w:val="nil"/>
              <w:right w:val="nil"/>
            </w:tcBorders>
            <w:shd w:val="clear" w:color="auto" w:fill="FFFFFF"/>
          </w:tcPr>
          <w:p w14:paraId="44612A3A"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9C1649" w:rsidRPr="00DC500E" w14:paraId="7DA62A8C" w14:textId="77777777" w:rsidTr="006A3F22">
        <w:trPr>
          <w:cantSplit/>
        </w:trPr>
        <w:tc>
          <w:tcPr>
            <w:tcW w:w="801" w:type="pct"/>
            <w:tcBorders>
              <w:top w:val="nil"/>
              <w:left w:val="nil"/>
              <w:bottom w:val="single" w:sz="4" w:space="0" w:color="auto"/>
              <w:right w:val="nil"/>
            </w:tcBorders>
            <w:shd w:val="clear" w:color="auto" w:fill="FFFFFF"/>
          </w:tcPr>
          <w:p w14:paraId="65F621E2" w14:textId="77777777" w:rsidR="009C1649" w:rsidRPr="00DC500E" w:rsidRDefault="009C1649" w:rsidP="006A3F22">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CT4</w:t>
            </w:r>
            <w:proofErr w:type="spellEnd"/>
          </w:p>
        </w:tc>
        <w:tc>
          <w:tcPr>
            <w:tcW w:w="416" w:type="pct"/>
            <w:tcBorders>
              <w:top w:val="nil"/>
              <w:left w:val="nil"/>
              <w:bottom w:val="single" w:sz="4" w:space="0" w:color="auto"/>
            </w:tcBorders>
            <w:shd w:val="clear" w:color="auto" w:fill="FFFFFF"/>
          </w:tcPr>
          <w:p w14:paraId="2E7ED8E8"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416" w:type="pct"/>
            <w:tcBorders>
              <w:top w:val="nil"/>
              <w:left w:val="nil"/>
              <w:bottom w:val="single" w:sz="4" w:space="0" w:color="auto"/>
              <w:right w:val="nil"/>
            </w:tcBorders>
            <w:shd w:val="clear" w:color="auto" w:fill="FFFFFF"/>
          </w:tcPr>
          <w:p w14:paraId="53541525"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3.75</w:t>
            </w:r>
          </w:p>
        </w:tc>
        <w:tc>
          <w:tcPr>
            <w:tcW w:w="495" w:type="pct"/>
            <w:tcBorders>
              <w:top w:val="nil"/>
              <w:left w:val="nil"/>
              <w:bottom w:val="single" w:sz="4" w:space="0" w:color="auto"/>
            </w:tcBorders>
            <w:shd w:val="clear" w:color="auto" w:fill="FFFFFF"/>
          </w:tcPr>
          <w:p w14:paraId="5BBC169D"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.070</w:t>
            </w:r>
          </w:p>
        </w:tc>
        <w:tc>
          <w:tcPr>
            <w:tcW w:w="587" w:type="pct"/>
            <w:tcBorders>
              <w:top w:val="nil"/>
              <w:left w:val="nil"/>
              <w:bottom w:val="single" w:sz="4" w:space="0" w:color="auto"/>
            </w:tcBorders>
            <w:shd w:val="clear" w:color="auto" w:fill="FFFFFF"/>
          </w:tcPr>
          <w:p w14:paraId="59BC6DA2"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.882</w:t>
            </w:r>
          </w:p>
        </w:tc>
        <w:tc>
          <w:tcPr>
            <w:tcW w:w="464" w:type="pct"/>
            <w:tcBorders>
              <w:top w:val="nil"/>
              <w:left w:val="nil"/>
              <w:bottom w:val="single" w:sz="4" w:space="0" w:color="auto"/>
            </w:tcBorders>
            <w:shd w:val="clear" w:color="auto" w:fill="FFFFFF"/>
          </w:tcPr>
          <w:p w14:paraId="2CC6CF92"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.778</w:t>
            </w:r>
          </w:p>
        </w:tc>
        <w:tc>
          <w:tcPr>
            <w:tcW w:w="415" w:type="pct"/>
            <w:tcBorders>
              <w:top w:val="nil"/>
              <w:left w:val="nil"/>
              <w:bottom w:val="single" w:sz="4" w:space="0" w:color="auto"/>
              <w:right w:val="nil"/>
            </w:tcBorders>
            <w:shd w:val="clear" w:color="auto" w:fill="FFFFFF"/>
          </w:tcPr>
          <w:p w14:paraId="6215E735"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-2.104</w:t>
            </w:r>
          </w:p>
        </w:tc>
        <w:tc>
          <w:tcPr>
            <w:tcW w:w="495" w:type="pct"/>
            <w:tcBorders>
              <w:top w:val="nil"/>
              <w:left w:val="nil"/>
              <w:bottom w:val="single" w:sz="4" w:space="0" w:color="auto"/>
            </w:tcBorders>
            <w:shd w:val="clear" w:color="auto" w:fill="FFFFFF"/>
          </w:tcPr>
          <w:p w14:paraId="7D53CDEB"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415" w:type="pct"/>
            <w:tcBorders>
              <w:top w:val="nil"/>
              <w:left w:val="nil"/>
              <w:bottom w:val="single" w:sz="4" w:space="0" w:color="auto"/>
              <w:right w:val="nil"/>
            </w:tcBorders>
            <w:shd w:val="clear" w:color="auto" w:fill="FFFFFF"/>
          </w:tcPr>
          <w:p w14:paraId="130F9F45"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4.176</w:t>
            </w:r>
          </w:p>
        </w:tc>
        <w:tc>
          <w:tcPr>
            <w:tcW w:w="495" w:type="pct"/>
            <w:tcBorders>
              <w:top w:val="nil"/>
              <w:left w:val="nil"/>
              <w:bottom w:val="single" w:sz="4" w:space="0" w:color="auto"/>
              <w:right w:val="nil"/>
            </w:tcBorders>
            <w:shd w:val="clear" w:color="auto" w:fill="FFFFFF"/>
          </w:tcPr>
          <w:p w14:paraId="595DC6F2"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bl>
    <w:p w14:paraId="381AA5FB" w14:textId="4F0D174C" w:rsidR="009C1649" w:rsidRDefault="009C1649" w:rsidP="00443E4D"/>
    <w:p w14:paraId="4443AC87" w14:textId="733EA2C9" w:rsidR="008F33FD" w:rsidRDefault="008F33FD" w:rsidP="00443E4D"/>
    <w:p w14:paraId="44F800DD" w14:textId="79460442" w:rsidR="008F33FD" w:rsidRDefault="008F33FD" w:rsidP="00443E4D"/>
    <w:p w14:paraId="0E1E6059" w14:textId="3E630049" w:rsidR="008F33FD" w:rsidRDefault="008F33FD" w:rsidP="00443E4D"/>
    <w:p w14:paraId="770ED512" w14:textId="0F110A9A" w:rsidR="008F33FD" w:rsidRDefault="008F33FD" w:rsidP="00443E4D"/>
    <w:p w14:paraId="1BD0818D" w14:textId="77777777" w:rsidR="008F33FD" w:rsidRPr="00DC500E" w:rsidRDefault="008F33FD" w:rsidP="00443E4D"/>
    <w:p w14:paraId="28EC458C" w14:textId="77777777" w:rsidR="009C1649" w:rsidRPr="00DC500E" w:rsidRDefault="009C1649" w:rsidP="00443E4D"/>
    <w:tbl>
      <w:tblPr>
        <w:tblW w:w="5000" w:type="pct"/>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CellMar>
          <w:left w:w="0" w:type="dxa"/>
          <w:right w:w="0" w:type="dxa"/>
        </w:tblCellMar>
        <w:tblLook w:val="0000" w:firstRow="0" w:lastRow="0" w:firstColumn="0" w:lastColumn="0" w:noHBand="0" w:noVBand="0"/>
      </w:tblPr>
      <w:tblGrid>
        <w:gridCol w:w="1242"/>
        <w:gridCol w:w="904"/>
        <w:gridCol w:w="904"/>
        <w:gridCol w:w="691"/>
        <w:gridCol w:w="1087"/>
        <w:gridCol w:w="1007"/>
        <w:gridCol w:w="904"/>
        <w:gridCol w:w="691"/>
        <w:gridCol w:w="904"/>
        <w:gridCol w:w="692"/>
      </w:tblGrid>
      <w:tr w:rsidR="009C1649" w:rsidRPr="00DC500E" w14:paraId="74AFF2A5" w14:textId="77777777" w:rsidTr="006A3F22">
        <w:trPr>
          <w:cantSplit/>
        </w:trPr>
        <w:tc>
          <w:tcPr>
            <w:tcW w:w="5000" w:type="pct"/>
            <w:gridSpan w:val="10"/>
            <w:tcBorders>
              <w:top w:val="nil"/>
              <w:left w:val="nil"/>
              <w:bottom w:val="nil"/>
              <w:right w:val="nil"/>
            </w:tcBorders>
            <w:shd w:val="clear" w:color="auto" w:fill="FFFFFF"/>
            <w:vAlign w:val="center"/>
          </w:tcPr>
          <w:p w14:paraId="5BD42583" w14:textId="77777777" w:rsidR="009C1649" w:rsidRPr="00DC500E" w:rsidRDefault="009C1649" w:rsidP="006A3F22">
            <w:pPr>
              <w:autoSpaceDE w:val="0"/>
              <w:autoSpaceDN w:val="0"/>
              <w:adjustRightInd w:val="0"/>
              <w:ind w:left="60" w:right="60"/>
              <w:jc w:val="left"/>
              <w:rPr>
                <w:rFonts w:cs="Times New Roman"/>
                <w:color w:val="000000"/>
                <w:kern w:val="0"/>
                <w:szCs w:val="24"/>
                <w:lang w:bidi="hi-IN"/>
              </w:rPr>
            </w:pPr>
            <w:r w:rsidRPr="00DC500E">
              <w:rPr>
                <w:rFonts w:cs="Times New Roman"/>
                <w:i/>
                <w:iCs/>
                <w:color w:val="000000"/>
                <w:kern w:val="0"/>
                <w:szCs w:val="24"/>
                <w:lang w:bidi="hi-IN"/>
              </w:rPr>
              <w:t>Descriptive Statistics</w:t>
            </w:r>
          </w:p>
        </w:tc>
      </w:tr>
      <w:tr w:rsidR="009C1649" w:rsidRPr="00DC500E" w14:paraId="259C86FB" w14:textId="77777777" w:rsidTr="006A3F22">
        <w:trPr>
          <w:cantSplit/>
        </w:trPr>
        <w:tc>
          <w:tcPr>
            <w:tcW w:w="801" w:type="pct"/>
            <w:tcBorders>
              <w:left w:val="nil"/>
              <w:bottom w:val="nil"/>
              <w:right w:val="nil"/>
            </w:tcBorders>
            <w:shd w:val="clear" w:color="auto" w:fill="FFFFFF"/>
            <w:vAlign w:val="bottom"/>
          </w:tcPr>
          <w:p w14:paraId="1CFC9EE7" w14:textId="77777777" w:rsidR="009C1649" w:rsidRPr="00DC500E" w:rsidRDefault="009C1649" w:rsidP="006A3F22">
            <w:pPr>
              <w:autoSpaceDE w:val="0"/>
              <w:autoSpaceDN w:val="0"/>
              <w:adjustRightInd w:val="0"/>
              <w:jc w:val="left"/>
              <w:rPr>
                <w:rFonts w:cs="Mangal"/>
                <w:color w:val="auto"/>
                <w:kern w:val="0"/>
                <w:szCs w:val="24"/>
                <w:lang w:bidi="hi-IN"/>
              </w:rPr>
            </w:pPr>
          </w:p>
        </w:tc>
        <w:tc>
          <w:tcPr>
            <w:tcW w:w="416" w:type="pct"/>
            <w:tcBorders>
              <w:left w:val="nil"/>
            </w:tcBorders>
            <w:shd w:val="clear" w:color="auto" w:fill="FFFFFF"/>
            <w:vAlign w:val="bottom"/>
          </w:tcPr>
          <w:p w14:paraId="2268BA3E"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N</w:t>
            </w:r>
          </w:p>
        </w:tc>
        <w:tc>
          <w:tcPr>
            <w:tcW w:w="911" w:type="pct"/>
            <w:gridSpan w:val="2"/>
            <w:tcBorders>
              <w:left w:val="nil"/>
            </w:tcBorders>
            <w:shd w:val="clear" w:color="auto" w:fill="FFFFFF"/>
            <w:vAlign w:val="bottom"/>
          </w:tcPr>
          <w:p w14:paraId="26BDAA73"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Mean</w:t>
            </w:r>
          </w:p>
        </w:tc>
        <w:tc>
          <w:tcPr>
            <w:tcW w:w="587" w:type="pct"/>
            <w:tcBorders>
              <w:left w:val="nil"/>
            </w:tcBorders>
            <w:shd w:val="clear" w:color="auto" w:fill="FFFFFF"/>
            <w:vAlign w:val="bottom"/>
          </w:tcPr>
          <w:p w14:paraId="5540D405"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Deviation</w:t>
            </w:r>
          </w:p>
        </w:tc>
        <w:tc>
          <w:tcPr>
            <w:tcW w:w="464" w:type="pct"/>
            <w:tcBorders>
              <w:left w:val="nil"/>
            </w:tcBorders>
            <w:shd w:val="clear" w:color="auto" w:fill="FFFFFF"/>
            <w:vAlign w:val="bottom"/>
          </w:tcPr>
          <w:p w14:paraId="3312A047"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Variance</w:t>
            </w:r>
          </w:p>
        </w:tc>
        <w:tc>
          <w:tcPr>
            <w:tcW w:w="910" w:type="pct"/>
            <w:gridSpan w:val="2"/>
            <w:tcBorders>
              <w:left w:val="nil"/>
            </w:tcBorders>
            <w:shd w:val="clear" w:color="auto" w:fill="FFFFFF"/>
            <w:vAlign w:val="bottom"/>
          </w:tcPr>
          <w:p w14:paraId="6C9BA32D"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Skewness</w:t>
            </w:r>
          </w:p>
        </w:tc>
        <w:tc>
          <w:tcPr>
            <w:tcW w:w="910" w:type="pct"/>
            <w:gridSpan w:val="2"/>
            <w:tcBorders>
              <w:left w:val="nil"/>
              <w:right w:val="nil"/>
            </w:tcBorders>
            <w:shd w:val="clear" w:color="auto" w:fill="FFFFFF"/>
            <w:vAlign w:val="bottom"/>
          </w:tcPr>
          <w:p w14:paraId="29CFD7F4"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Kurtosis</w:t>
            </w:r>
          </w:p>
        </w:tc>
      </w:tr>
      <w:tr w:rsidR="009C1649" w:rsidRPr="00DC500E" w14:paraId="4536E34A" w14:textId="77777777" w:rsidTr="006A3F22">
        <w:trPr>
          <w:cantSplit/>
        </w:trPr>
        <w:tc>
          <w:tcPr>
            <w:tcW w:w="801" w:type="pct"/>
            <w:tcBorders>
              <w:left w:val="nil"/>
              <w:bottom w:val="nil"/>
              <w:right w:val="nil"/>
            </w:tcBorders>
            <w:shd w:val="clear" w:color="auto" w:fill="FFFFFF"/>
            <w:vAlign w:val="bottom"/>
          </w:tcPr>
          <w:p w14:paraId="00F30EC6" w14:textId="77777777" w:rsidR="009C1649" w:rsidRPr="00DC500E" w:rsidRDefault="009C1649" w:rsidP="006A3F22">
            <w:pPr>
              <w:autoSpaceDE w:val="0"/>
              <w:autoSpaceDN w:val="0"/>
              <w:adjustRightInd w:val="0"/>
              <w:jc w:val="left"/>
              <w:rPr>
                <w:rFonts w:cs="Times New Roman"/>
                <w:color w:val="000000"/>
                <w:kern w:val="0"/>
                <w:szCs w:val="24"/>
                <w:lang w:bidi="hi-IN"/>
              </w:rPr>
            </w:pPr>
          </w:p>
        </w:tc>
        <w:tc>
          <w:tcPr>
            <w:tcW w:w="416" w:type="pct"/>
            <w:tcBorders>
              <w:left w:val="nil"/>
            </w:tcBorders>
            <w:shd w:val="clear" w:color="auto" w:fill="FFFFFF"/>
            <w:vAlign w:val="bottom"/>
          </w:tcPr>
          <w:p w14:paraId="078A6F44"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416" w:type="pct"/>
            <w:tcBorders>
              <w:left w:val="nil"/>
              <w:right w:val="nil"/>
            </w:tcBorders>
            <w:shd w:val="clear" w:color="auto" w:fill="FFFFFF"/>
            <w:vAlign w:val="bottom"/>
          </w:tcPr>
          <w:p w14:paraId="64DB330F"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495" w:type="pct"/>
            <w:tcBorders>
              <w:left w:val="nil"/>
            </w:tcBorders>
            <w:shd w:val="clear" w:color="auto" w:fill="FFFFFF"/>
            <w:vAlign w:val="bottom"/>
          </w:tcPr>
          <w:p w14:paraId="4842A3FF"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c>
          <w:tcPr>
            <w:tcW w:w="587" w:type="pct"/>
            <w:tcBorders>
              <w:left w:val="nil"/>
            </w:tcBorders>
            <w:shd w:val="clear" w:color="auto" w:fill="FFFFFF"/>
            <w:vAlign w:val="bottom"/>
          </w:tcPr>
          <w:p w14:paraId="3F9A5231"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464" w:type="pct"/>
            <w:tcBorders>
              <w:left w:val="nil"/>
            </w:tcBorders>
            <w:shd w:val="clear" w:color="auto" w:fill="FFFFFF"/>
            <w:vAlign w:val="bottom"/>
          </w:tcPr>
          <w:p w14:paraId="1E4FF280"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415" w:type="pct"/>
            <w:tcBorders>
              <w:left w:val="nil"/>
              <w:right w:val="nil"/>
            </w:tcBorders>
            <w:shd w:val="clear" w:color="auto" w:fill="FFFFFF"/>
            <w:vAlign w:val="bottom"/>
          </w:tcPr>
          <w:p w14:paraId="7C16E406"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495" w:type="pct"/>
            <w:tcBorders>
              <w:left w:val="nil"/>
            </w:tcBorders>
            <w:shd w:val="clear" w:color="auto" w:fill="FFFFFF"/>
            <w:vAlign w:val="bottom"/>
          </w:tcPr>
          <w:p w14:paraId="1536BDFB"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c>
          <w:tcPr>
            <w:tcW w:w="415" w:type="pct"/>
            <w:tcBorders>
              <w:left w:val="nil"/>
              <w:right w:val="nil"/>
            </w:tcBorders>
            <w:shd w:val="clear" w:color="auto" w:fill="FFFFFF"/>
            <w:vAlign w:val="bottom"/>
          </w:tcPr>
          <w:p w14:paraId="70230D23"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Statistic</w:t>
            </w:r>
          </w:p>
        </w:tc>
        <w:tc>
          <w:tcPr>
            <w:tcW w:w="495" w:type="pct"/>
            <w:tcBorders>
              <w:left w:val="nil"/>
              <w:right w:val="nil"/>
            </w:tcBorders>
            <w:shd w:val="clear" w:color="auto" w:fill="FFFFFF"/>
            <w:vAlign w:val="bottom"/>
          </w:tcPr>
          <w:p w14:paraId="0BBBF872" w14:textId="77777777" w:rsidR="009C1649" w:rsidRPr="00DC500E" w:rsidRDefault="009C1649" w:rsidP="006A3F22">
            <w:pPr>
              <w:autoSpaceDE w:val="0"/>
              <w:autoSpaceDN w:val="0"/>
              <w:adjustRightInd w:val="0"/>
              <w:ind w:left="60" w:right="60"/>
              <w:jc w:val="center"/>
              <w:rPr>
                <w:rFonts w:cs="Times New Roman"/>
                <w:color w:val="000000"/>
                <w:kern w:val="0"/>
                <w:szCs w:val="24"/>
                <w:lang w:bidi="hi-IN"/>
              </w:rPr>
            </w:pPr>
            <w:r w:rsidRPr="00DC500E">
              <w:rPr>
                <w:rFonts w:cs="Times New Roman"/>
                <w:color w:val="000000"/>
                <w:kern w:val="0"/>
                <w:szCs w:val="24"/>
                <w:lang w:bidi="hi-IN"/>
              </w:rPr>
              <w:t>Std. Error</w:t>
            </w:r>
          </w:p>
        </w:tc>
      </w:tr>
      <w:tr w:rsidR="009C1649" w:rsidRPr="00DC500E" w14:paraId="0EB1106B" w14:textId="77777777" w:rsidTr="006A3F22">
        <w:trPr>
          <w:cantSplit/>
        </w:trPr>
        <w:tc>
          <w:tcPr>
            <w:tcW w:w="801" w:type="pct"/>
            <w:tcBorders>
              <w:left w:val="nil"/>
              <w:bottom w:val="nil"/>
              <w:right w:val="nil"/>
            </w:tcBorders>
            <w:shd w:val="clear" w:color="auto" w:fill="FFFFFF"/>
          </w:tcPr>
          <w:p w14:paraId="65BA585C" w14:textId="77777777" w:rsidR="009C1649" w:rsidRPr="00DC500E" w:rsidRDefault="009C1649" w:rsidP="006A3F22">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SPI1</w:t>
            </w:r>
            <w:proofErr w:type="spellEnd"/>
          </w:p>
        </w:tc>
        <w:tc>
          <w:tcPr>
            <w:tcW w:w="416" w:type="pct"/>
            <w:tcBorders>
              <w:left w:val="nil"/>
              <w:bottom w:val="nil"/>
            </w:tcBorders>
            <w:shd w:val="clear" w:color="auto" w:fill="FFFFFF"/>
          </w:tcPr>
          <w:p w14:paraId="38DCB064"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416" w:type="pct"/>
            <w:tcBorders>
              <w:left w:val="nil"/>
              <w:bottom w:val="nil"/>
              <w:right w:val="nil"/>
            </w:tcBorders>
            <w:shd w:val="clear" w:color="auto" w:fill="FFFFFF"/>
          </w:tcPr>
          <w:p w14:paraId="0567C68C"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4.38</w:t>
            </w:r>
          </w:p>
        </w:tc>
        <w:tc>
          <w:tcPr>
            <w:tcW w:w="495" w:type="pct"/>
            <w:tcBorders>
              <w:left w:val="nil"/>
              <w:bottom w:val="nil"/>
            </w:tcBorders>
            <w:shd w:val="clear" w:color="auto" w:fill="FFFFFF"/>
          </w:tcPr>
          <w:p w14:paraId="793890A5"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.061</w:t>
            </w:r>
          </w:p>
        </w:tc>
        <w:tc>
          <w:tcPr>
            <w:tcW w:w="587" w:type="pct"/>
            <w:tcBorders>
              <w:left w:val="nil"/>
              <w:bottom w:val="nil"/>
            </w:tcBorders>
            <w:shd w:val="clear" w:color="auto" w:fill="FFFFFF"/>
          </w:tcPr>
          <w:p w14:paraId="0A11F518"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.763</w:t>
            </w:r>
          </w:p>
        </w:tc>
        <w:tc>
          <w:tcPr>
            <w:tcW w:w="464" w:type="pct"/>
            <w:tcBorders>
              <w:left w:val="nil"/>
              <w:bottom w:val="nil"/>
            </w:tcBorders>
            <w:shd w:val="clear" w:color="auto" w:fill="FFFFFF"/>
          </w:tcPr>
          <w:p w14:paraId="6DF4439A"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.582</w:t>
            </w:r>
          </w:p>
        </w:tc>
        <w:tc>
          <w:tcPr>
            <w:tcW w:w="415" w:type="pct"/>
            <w:tcBorders>
              <w:left w:val="nil"/>
              <w:bottom w:val="nil"/>
              <w:right w:val="nil"/>
            </w:tcBorders>
            <w:shd w:val="clear" w:color="auto" w:fill="FFFFFF"/>
          </w:tcPr>
          <w:p w14:paraId="4ED25964"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-1.458</w:t>
            </w:r>
          </w:p>
        </w:tc>
        <w:tc>
          <w:tcPr>
            <w:tcW w:w="495" w:type="pct"/>
            <w:tcBorders>
              <w:left w:val="nil"/>
              <w:bottom w:val="nil"/>
            </w:tcBorders>
            <w:shd w:val="clear" w:color="auto" w:fill="FFFFFF"/>
          </w:tcPr>
          <w:p w14:paraId="76BC2146"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415" w:type="pct"/>
            <w:tcBorders>
              <w:left w:val="nil"/>
              <w:bottom w:val="nil"/>
              <w:right w:val="nil"/>
            </w:tcBorders>
            <w:shd w:val="clear" w:color="auto" w:fill="FFFFFF"/>
          </w:tcPr>
          <w:p w14:paraId="2A55735E"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2.421</w:t>
            </w:r>
          </w:p>
        </w:tc>
        <w:tc>
          <w:tcPr>
            <w:tcW w:w="495" w:type="pct"/>
            <w:tcBorders>
              <w:left w:val="nil"/>
              <w:bottom w:val="nil"/>
              <w:right w:val="nil"/>
            </w:tcBorders>
            <w:shd w:val="clear" w:color="auto" w:fill="FFFFFF"/>
          </w:tcPr>
          <w:p w14:paraId="2B379738"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9C1649" w:rsidRPr="00DC500E" w14:paraId="6F81F528" w14:textId="77777777" w:rsidTr="006A3F22">
        <w:trPr>
          <w:cantSplit/>
        </w:trPr>
        <w:tc>
          <w:tcPr>
            <w:tcW w:w="801" w:type="pct"/>
            <w:tcBorders>
              <w:top w:val="nil"/>
              <w:left w:val="nil"/>
              <w:bottom w:val="nil"/>
              <w:right w:val="nil"/>
            </w:tcBorders>
            <w:shd w:val="clear" w:color="auto" w:fill="FFFFFF"/>
          </w:tcPr>
          <w:p w14:paraId="39CFA0E1" w14:textId="77777777" w:rsidR="009C1649" w:rsidRPr="00DC500E" w:rsidRDefault="009C1649" w:rsidP="006A3F22">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SPI2</w:t>
            </w:r>
            <w:proofErr w:type="spellEnd"/>
          </w:p>
        </w:tc>
        <w:tc>
          <w:tcPr>
            <w:tcW w:w="416" w:type="pct"/>
            <w:tcBorders>
              <w:top w:val="nil"/>
              <w:left w:val="nil"/>
              <w:bottom w:val="nil"/>
            </w:tcBorders>
            <w:shd w:val="clear" w:color="auto" w:fill="FFFFFF"/>
          </w:tcPr>
          <w:p w14:paraId="6D5BA091"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416" w:type="pct"/>
            <w:tcBorders>
              <w:top w:val="nil"/>
              <w:left w:val="nil"/>
              <w:bottom w:val="nil"/>
              <w:right w:val="nil"/>
            </w:tcBorders>
            <w:shd w:val="clear" w:color="auto" w:fill="FFFFFF"/>
          </w:tcPr>
          <w:p w14:paraId="6F2BC9CB"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3.91</w:t>
            </w:r>
          </w:p>
        </w:tc>
        <w:tc>
          <w:tcPr>
            <w:tcW w:w="495" w:type="pct"/>
            <w:tcBorders>
              <w:top w:val="nil"/>
              <w:left w:val="nil"/>
              <w:bottom w:val="nil"/>
            </w:tcBorders>
            <w:shd w:val="clear" w:color="auto" w:fill="FFFFFF"/>
          </w:tcPr>
          <w:p w14:paraId="7DE958F8"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.047</w:t>
            </w:r>
          </w:p>
        </w:tc>
        <w:tc>
          <w:tcPr>
            <w:tcW w:w="587" w:type="pct"/>
            <w:tcBorders>
              <w:top w:val="nil"/>
              <w:left w:val="nil"/>
              <w:bottom w:val="nil"/>
            </w:tcBorders>
            <w:shd w:val="clear" w:color="auto" w:fill="FFFFFF"/>
          </w:tcPr>
          <w:p w14:paraId="7C071568"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.592</w:t>
            </w:r>
          </w:p>
        </w:tc>
        <w:tc>
          <w:tcPr>
            <w:tcW w:w="464" w:type="pct"/>
            <w:tcBorders>
              <w:top w:val="nil"/>
              <w:left w:val="nil"/>
              <w:bottom w:val="nil"/>
            </w:tcBorders>
            <w:shd w:val="clear" w:color="auto" w:fill="FFFFFF"/>
          </w:tcPr>
          <w:p w14:paraId="36CD259A"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.351</w:t>
            </w:r>
          </w:p>
        </w:tc>
        <w:tc>
          <w:tcPr>
            <w:tcW w:w="415" w:type="pct"/>
            <w:tcBorders>
              <w:top w:val="nil"/>
              <w:left w:val="nil"/>
              <w:bottom w:val="nil"/>
              <w:right w:val="nil"/>
            </w:tcBorders>
            <w:shd w:val="clear" w:color="auto" w:fill="FFFFFF"/>
          </w:tcPr>
          <w:p w14:paraId="7728514B"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-2.974</w:t>
            </w:r>
          </w:p>
        </w:tc>
        <w:tc>
          <w:tcPr>
            <w:tcW w:w="495" w:type="pct"/>
            <w:tcBorders>
              <w:top w:val="nil"/>
              <w:left w:val="nil"/>
              <w:bottom w:val="nil"/>
            </w:tcBorders>
            <w:shd w:val="clear" w:color="auto" w:fill="FFFFFF"/>
          </w:tcPr>
          <w:p w14:paraId="60C3ADF8"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415" w:type="pct"/>
            <w:tcBorders>
              <w:top w:val="nil"/>
              <w:left w:val="nil"/>
              <w:bottom w:val="nil"/>
              <w:right w:val="nil"/>
            </w:tcBorders>
            <w:shd w:val="clear" w:color="auto" w:fill="FFFFFF"/>
          </w:tcPr>
          <w:p w14:paraId="4DF5E985"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12.268</w:t>
            </w:r>
          </w:p>
        </w:tc>
        <w:tc>
          <w:tcPr>
            <w:tcW w:w="495" w:type="pct"/>
            <w:tcBorders>
              <w:top w:val="nil"/>
              <w:left w:val="nil"/>
              <w:bottom w:val="nil"/>
              <w:right w:val="nil"/>
            </w:tcBorders>
            <w:shd w:val="clear" w:color="auto" w:fill="FFFFFF"/>
          </w:tcPr>
          <w:p w14:paraId="6E0C78C4"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9C1649" w:rsidRPr="00DC500E" w14:paraId="083D7B75" w14:textId="77777777" w:rsidTr="006A3F22">
        <w:trPr>
          <w:cantSplit/>
        </w:trPr>
        <w:tc>
          <w:tcPr>
            <w:tcW w:w="801" w:type="pct"/>
            <w:tcBorders>
              <w:top w:val="nil"/>
              <w:left w:val="nil"/>
              <w:bottom w:val="nil"/>
              <w:right w:val="nil"/>
            </w:tcBorders>
            <w:shd w:val="clear" w:color="auto" w:fill="FFFFFF"/>
          </w:tcPr>
          <w:p w14:paraId="67A6E668" w14:textId="77777777" w:rsidR="009C1649" w:rsidRPr="00DC500E" w:rsidRDefault="009C1649" w:rsidP="006A3F22">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SPI3</w:t>
            </w:r>
            <w:proofErr w:type="spellEnd"/>
          </w:p>
        </w:tc>
        <w:tc>
          <w:tcPr>
            <w:tcW w:w="416" w:type="pct"/>
            <w:tcBorders>
              <w:top w:val="nil"/>
              <w:left w:val="nil"/>
              <w:bottom w:val="nil"/>
            </w:tcBorders>
            <w:shd w:val="clear" w:color="auto" w:fill="FFFFFF"/>
          </w:tcPr>
          <w:p w14:paraId="08E20CC2"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416" w:type="pct"/>
            <w:tcBorders>
              <w:top w:val="nil"/>
              <w:left w:val="nil"/>
              <w:bottom w:val="nil"/>
              <w:right w:val="nil"/>
            </w:tcBorders>
            <w:shd w:val="clear" w:color="auto" w:fill="FFFFFF"/>
          </w:tcPr>
          <w:p w14:paraId="6310344F"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4.26</w:t>
            </w:r>
          </w:p>
        </w:tc>
        <w:tc>
          <w:tcPr>
            <w:tcW w:w="495" w:type="pct"/>
            <w:tcBorders>
              <w:top w:val="nil"/>
              <w:left w:val="nil"/>
              <w:bottom w:val="nil"/>
            </w:tcBorders>
            <w:shd w:val="clear" w:color="auto" w:fill="FFFFFF"/>
          </w:tcPr>
          <w:p w14:paraId="7FB39FA0"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.064</w:t>
            </w:r>
          </w:p>
        </w:tc>
        <w:tc>
          <w:tcPr>
            <w:tcW w:w="587" w:type="pct"/>
            <w:tcBorders>
              <w:top w:val="nil"/>
              <w:left w:val="nil"/>
              <w:bottom w:val="nil"/>
            </w:tcBorders>
            <w:shd w:val="clear" w:color="auto" w:fill="FFFFFF"/>
          </w:tcPr>
          <w:p w14:paraId="28FFB0AB"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.802</w:t>
            </w:r>
          </w:p>
        </w:tc>
        <w:tc>
          <w:tcPr>
            <w:tcW w:w="464" w:type="pct"/>
            <w:tcBorders>
              <w:top w:val="nil"/>
              <w:left w:val="nil"/>
              <w:bottom w:val="nil"/>
            </w:tcBorders>
            <w:shd w:val="clear" w:color="auto" w:fill="FFFFFF"/>
          </w:tcPr>
          <w:p w14:paraId="74294731"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.643</w:t>
            </w:r>
          </w:p>
        </w:tc>
        <w:tc>
          <w:tcPr>
            <w:tcW w:w="415" w:type="pct"/>
            <w:tcBorders>
              <w:top w:val="nil"/>
              <w:left w:val="nil"/>
              <w:bottom w:val="nil"/>
              <w:right w:val="nil"/>
            </w:tcBorders>
            <w:shd w:val="clear" w:color="auto" w:fill="FFFFFF"/>
          </w:tcPr>
          <w:p w14:paraId="6E9D100B"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-1.264</w:t>
            </w:r>
          </w:p>
        </w:tc>
        <w:tc>
          <w:tcPr>
            <w:tcW w:w="495" w:type="pct"/>
            <w:tcBorders>
              <w:top w:val="nil"/>
              <w:left w:val="nil"/>
              <w:bottom w:val="nil"/>
            </w:tcBorders>
            <w:shd w:val="clear" w:color="auto" w:fill="FFFFFF"/>
          </w:tcPr>
          <w:p w14:paraId="1A7D6FE8"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415" w:type="pct"/>
            <w:tcBorders>
              <w:top w:val="nil"/>
              <w:left w:val="nil"/>
              <w:bottom w:val="nil"/>
              <w:right w:val="nil"/>
            </w:tcBorders>
            <w:shd w:val="clear" w:color="auto" w:fill="FFFFFF"/>
          </w:tcPr>
          <w:p w14:paraId="593ADF23"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1.681</w:t>
            </w:r>
          </w:p>
        </w:tc>
        <w:tc>
          <w:tcPr>
            <w:tcW w:w="495" w:type="pct"/>
            <w:tcBorders>
              <w:top w:val="nil"/>
              <w:left w:val="nil"/>
              <w:bottom w:val="nil"/>
              <w:right w:val="nil"/>
            </w:tcBorders>
            <w:shd w:val="clear" w:color="auto" w:fill="FFFFFF"/>
          </w:tcPr>
          <w:p w14:paraId="428F22F9"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r w:rsidR="009C1649" w:rsidRPr="00DC500E" w14:paraId="5FA2DAE5" w14:textId="77777777" w:rsidTr="006A3F22">
        <w:trPr>
          <w:cantSplit/>
        </w:trPr>
        <w:tc>
          <w:tcPr>
            <w:tcW w:w="801" w:type="pct"/>
            <w:tcBorders>
              <w:top w:val="nil"/>
              <w:left w:val="nil"/>
              <w:bottom w:val="single" w:sz="4" w:space="0" w:color="auto"/>
              <w:right w:val="nil"/>
            </w:tcBorders>
            <w:shd w:val="clear" w:color="auto" w:fill="FFFFFF"/>
          </w:tcPr>
          <w:p w14:paraId="39B5F88B" w14:textId="77777777" w:rsidR="009C1649" w:rsidRPr="00DC500E" w:rsidRDefault="009C1649" w:rsidP="006A3F22">
            <w:pPr>
              <w:autoSpaceDE w:val="0"/>
              <w:autoSpaceDN w:val="0"/>
              <w:adjustRightInd w:val="0"/>
              <w:ind w:left="60" w:right="60"/>
              <w:jc w:val="left"/>
              <w:rPr>
                <w:rFonts w:cs="Times New Roman"/>
                <w:color w:val="000000"/>
                <w:kern w:val="0"/>
                <w:szCs w:val="24"/>
                <w:lang w:bidi="hi-IN"/>
              </w:rPr>
            </w:pPr>
            <w:proofErr w:type="spellStart"/>
            <w:r w:rsidRPr="00DC500E">
              <w:rPr>
                <w:rFonts w:cs="Times New Roman"/>
                <w:color w:val="000000"/>
                <w:kern w:val="0"/>
                <w:szCs w:val="24"/>
                <w:lang w:bidi="hi-IN"/>
              </w:rPr>
              <w:t>SPI4</w:t>
            </w:r>
            <w:proofErr w:type="spellEnd"/>
          </w:p>
        </w:tc>
        <w:tc>
          <w:tcPr>
            <w:tcW w:w="416" w:type="pct"/>
            <w:tcBorders>
              <w:top w:val="nil"/>
              <w:left w:val="nil"/>
              <w:bottom w:val="single" w:sz="4" w:space="0" w:color="auto"/>
            </w:tcBorders>
            <w:shd w:val="clear" w:color="auto" w:fill="FFFFFF"/>
          </w:tcPr>
          <w:p w14:paraId="150CB973"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157</w:t>
            </w:r>
          </w:p>
        </w:tc>
        <w:tc>
          <w:tcPr>
            <w:tcW w:w="416" w:type="pct"/>
            <w:tcBorders>
              <w:top w:val="nil"/>
              <w:left w:val="nil"/>
              <w:bottom w:val="single" w:sz="4" w:space="0" w:color="auto"/>
              <w:right w:val="nil"/>
            </w:tcBorders>
            <w:shd w:val="clear" w:color="auto" w:fill="FFFFFF"/>
          </w:tcPr>
          <w:p w14:paraId="24333929"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3.83</w:t>
            </w:r>
          </w:p>
        </w:tc>
        <w:tc>
          <w:tcPr>
            <w:tcW w:w="495" w:type="pct"/>
            <w:tcBorders>
              <w:top w:val="nil"/>
              <w:left w:val="nil"/>
              <w:bottom w:val="single" w:sz="4" w:space="0" w:color="auto"/>
            </w:tcBorders>
            <w:shd w:val="clear" w:color="auto" w:fill="FFFFFF"/>
          </w:tcPr>
          <w:p w14:paraId="5C249F34"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.060</w:t>
            </w:r>
          </w:p>
        </w:tc>
        <w:tc>
          <w:tcPr>
            <w:tcW w:w="587" w:type="pct"/>
            <w:tcBorders>
              <w:top w:val="nil"/>
              <w:left w:val="nil"/>
              <w:bottom w:val="single" w:sz="4" w:space="0" w:color="auto"/>
            </w:tcBorders>
            <w:shd w:val="clear" w:color="auto" w:fill="FFFFFF"/>
          </w:tcPr>
          <w:p w14:paraId="03FC6868"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.753</w:t>
            </w:r>
          </w:p>
        </w:tc>
        <w:tc>
          <w:tcPr>
            <w:tcW w:w="464" w:type="pct"/>
            <w:tcBorders>
              <w:top w:val="nil"/>
              <w:left w:val="nil"/>
              <w:bottom w:val="single" w:sz="4" w:space="0" w:color="auto"/>
            </w:tcBorders>
            <w:shd w:val="clear" w:color="auto" w:fill="FFFFFF"/>
          </w:tcPr>
          <w:p w14:paraId="053E2172"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.566</w:t>
            </w:r>
          </w:p>
        </w:tc>
        <w:tc>
          <w:tcPr>
            <w:tcW w:w="415" w:type="pct"/>
            <w:tcBorders>
              <w:top w:val="nil"/>
              <w:left w:val="nil"/>
              <w:bottom w:val="single" w:sz="4" w:space="0" w:color="auto"/>
              <w:right w:val="nil"/>
            </w:tcBorders>
            <w:shd w:val="clear" w:color="auto" w:fill="FFFFFF"/>
          </w:tcPr>
          <w:p w14:paraId="3B95C6B7"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-2.447</w:t>
            </w:r>
          </w:p>
        </w:tc>
        <w:tc>
          <w:tcPr>
            <w:tcW w:w="495" w:type="pct"/>
            <w:tcBorders>
              <w:top w:val="nil"/>
              <w:left w:val="nil"/>
              <w:bottom w:val="single" w:sz="4" w:space="0" w:color="auto"/>
            </w:tcBorders>
            <w:shd w:val="clear" w:color="auto" w:fill="FFFFFF"/>
          </w:tcPr>
          <w:p w14:paraId="7BF52C13"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.194</w:t>
            </w:r>
          </w:p>
        </w:tc>
        <w:tc>
          <w:tcPr>
            <w:tcW w:w="415" w:type="pct"/>
            <w:tcBorders>
              <w:top w:val="nil"/>
              <w:left w:val="nil"/>
              <w:bottom w:val="single" w:sz="4" w:space="0" w:color="auto"/>
              <w:right w:val="nil"/>
            </w:tcBorders>
            <w:shd w:val="clear" w:color="auto" w:fill="FFFFFF"/>
          </w:tcPr>
          <w:p w14:paraId="07A8CDB1"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6.716</w:t>
            </w:r>
          </w:p>
        </w:tc>
        <w:tc>
          <w:tcPr>
            <w:tcW w:w="495" w:type="pct"/>
            <w:tcBorders>
              <w:top w:val="nil"/>
              <w:left w:val="nil"/>
              <w:bottom w:val="single" w:sz="4" w:space="0" w:color="auto"/>
              <w:right w:val="nil"/>
            </w:tcBorders>
            <w:shd w:val="clear" w:color="auto" w:fill="FFFFFF"/>
          </w:tcPr>
          <w:p w14:paraId="71E7AB48" w14:textId="77777777" w:rsidR="009C1649" w:rsidRPr="00DC500E" w:rsidRDefault="009C1649" w:rsidP="006A3F22">
            <w:pPr>
              <w:autoSpaceDE w:val="0"/>
              <w:autoSpaceDN w:val="0"/>
              <w:adjustRightInd w:val="0"/>
              <w:ind w:left="60" w:right="60"/>
              <w:jc w:val="right"/>
              <w:rPr>
                <w:rFonts w:cs="Times New Roman"/>
                <w:color w:val="000000"/>
                <w:kern w:val="0"/>
                <w:szCs w:val="24"/>
                <w:lang w:bidi="hi-IN"/>
              </w:rPr>
            </w:pPr>
            <w:r w:rsidRPr="00DC500E">
              <w:rPr>
                <w:rFonts w:cs="Times New Roman"/>
                <w:color w:val="000000"/>
                <w:kern w:val="0"/>
                <w:szCs w:val="24"/>
                <w:lang w:bidi="hi-IN"/>
              </w:rPr>
              <w:t>.385</w:t>
            </w:r>
          </w:p>
        </w:tc>
      </w:tr>
    </w:tbl>
    <w:p w14:paraId="7D1DB349" w14:textId="77777777" w:rsidR="008F33FD" w:rsidRDefault="008F33FD">
      <w:pPr>
        <w:spacing w:line="240" w:lineRule="auto"/>
        <w:jc w:val="left"/>
      </w:pPr>
    </w:p>
    <w:p w14:paraId="37AB3DAE" w14:textId="77777777" w:rsidR="008F33FD" w:rsidRDefault="008F33FD">
      <w:pPr>
        <w:spacing w:line="240" w:lineRule="auto"/>
        <w:jc w:val="left"/>
      </w:pPr>
    </w:p>
    <w:p w14:paraId="3610A612" w14:textId="7773FC84" w:rsidR="00443E4D" w:rsidRPr="00DC500E" w:rsidRDefault="00443E4D">
      <w:pPr>
        <w:spacing w:line="240" w:lineRule="auto"/>
        <w:jc w:val="left"/>
      </w:pPr>
      <w:r w:rsidRPr="00DC500E">
        <w:br w:type="page"/>
      </w:r>
    </w:p>
    <w:p w14:paraId="37BFDDFA" w14:textId="3E5C468B" w:rsidR="00443E4D" w:rsidRDefault="00443E4D" w:rsidP="008F33FD">
      <w:pPr>
        <w:pStyle w:val="Heading2"/>
      </w:pPr>
      <w:bookmarkStart w:id="88" w:name="_Toc241147220"/>
      <w:r w:rsidRPr="00DC500E">
        <w:lastRenderedPageBreak/>
        <w:t>Appendix C</w:t>
      </w:r>
      <w:r w:rsidR="008F33FD">
        <w:t>: Ethics Form</w:t>
      </w:r>
      <w:bookmarkEnd w:id="88"/>
    </w:p>
    <w:p w14:paraId="750B0DF2" w14:textId="77777777" w:rsidR="008F33FD" w:rsidRPr="008F33FD" w:rsidRDefault="008F33FD" w:rsidP="008F33FD"/>
    <w:bookmarkStart w:id="89" w:name="_MON_1851409921"/>
    <w:bookmarkEnd w:id="89"/>
    <w:p w14:paraId="56B386B4" w14:textId="4422F9BF" w:rsidR="00443E4D" w:rsidRDefault="006379D0" w:rsidP="00443E4D">
      <w:pPr>
        <w:rPr>
          <w:noProof/>
        </w:rPr>
      </w:pPr>
      <w:r>
        <w:rPr>
          <w:noProof/>
        </w:rPr>
        <w:object w:dxaOrig="1520" w:dyaOrig="985" w14:anchorId="781A10ED">
          <v:shape id="_x0000_i1026" type="#_x0000_t75" alt="" style="width:76.8pt;height:49.2pt;mso-width-percent:0;mso-height-percent:0;mso-width-percent:0;mso-height-percent:0" o:ole="">
            <v:imagedata r:id="rId18" o:title=""/>
          </v:shape>
          <o:OLEObject Type="Embed" ProgID="Word.Document.12" ShapeID="_x0000_i1026" DrawAspect="Icon" ObjectID="_1851795501" r:id="rId19">
            <o:FieldCodes>\s</o:FieldCodes>
          </o:OLEObject>
        </w:object>
      </w:r>
    </w:p>
    <w:p w14:paraId="0CD3DF8B" w14:textId="77777777" w:rsidR="008F33FD" w:rsidRPr="00DC500E" w:rsidRDefault="008F33FD" w:rsidP="00443E4D"/>
    <w:p w14:paraId="40437AC9" w14:textId="77777777" w:rsidR="00443E4D" w:rsidRPr="00DC500E" w:rsidRDefault="00443E4D">
      <w:pPr>
        <w:spacing w:line="240" w:lineRule="auto"/>
        <w:jc w:val="left"/>
      </w:pPr>
      <w:r w:rsidRPr="00DC500E">
        <w:br w:type="page"/>
      </w:r>
    </w:p>
    <w:p w14:paraId="77CA5139" w14:textId="7A77276F" w:rsidR="00443E4D" w:rsidRPr="00DC500E" w:rsidRDefault="00443E4D" w:rsidP="008F33FD">
      <w:pPr>
        <w:pStyle w:val="Heading2"/>
      </w:pPr>
      <w:bookmarkStart w:id="90" w:name="_Toc241147221"/>
      <w:r w:rsidRPr="00DC500E">
        <w:lastRenderedPageBreak/>
        <w:t>Appendix D</w:t>
      </w:r>
      <w:r w:rsidR="008F33FD">
        <w:t>: Collected Data &amp; SPSS File</w:t>
      </w:r>
      <w:bookmarkEnd w:id="90"/>
    </w:p>
    <w:p w14:paraId="5F61C861" w14:textId="77777777" w:rsidR="009C1649" w:rsidRPr="00DC500E" w:rsidRDefault="009C1649" w:rsidP="009C1649"/>
    <w:p w14:paraId="54A96754" w14:textId="5DC9FB0F" w:rsidR="009C1649" w:rsidRPr="00DC500E" w:rsidRDefault="006379D0" w:rsidP="009C1649">
      <w:r>
        <w:rPr>
          <w:noProof/>
        </w:rPr>
        <w:object w:dxaOrig="1520" w:dyaOrig="985" w14:anchorId="21F8B87B">
          <v:shape id="_x0000_i1027" type="#_x0000_t75" alt="" style="width:76.8pt;height:49.2pt;mso-width-percent:0;mso-height-percent:0;mso-width-percent:0;mso-height-percent:0" o:ole="">
            <v:imagedata r:id="rId20" o:title=""/>
          </v:shape>
          <o:OLEObject Type="Embed" ProgID="Excel.Sheet.12" ShapeID="_x0000_i1027" DrawAspect="Icon" ObjectID="_1851795502" r:id="rId21"/>
        </w:object>
      </w:r>
    </w:p>
    <w:p w14:paraId="39EDE8D6" w14:textId="77777777" w:rsidR="009C1649" w:rsidRPr="00DC500E" w:rsidRDefault="009C1649" w:rsidP="009C1649"/>
    <w:p w14:paraId="5AB7CBD6" w14:textId="66EB2603" w:rsidR="009C1649" w:rsidRPr="00DC500E" w:rsidRDefault="006379D0" w:rsidP="009C1649">
      <w:r>
        <w:rPr>
          <w:noProof/>
        </w:rPr>
        <w:object w:dxaOrig="1520" w:dyaOrig="985" w14:anchorId="661E286A">
          <v:shape id="_x0000_i1028" type="#_x0000_t75" alt="" style="width:76.8pt;height:49.2pt;mso-width-percent:0;mso-height-percent:0;mso-width-percent:0;mso-height-percent:0" o:ole="">
            <v:imagedata r:id="rId22" o:title=""/>
          </v:shape>
          <o:OLEObject Type="Embed" ProgID="Package" ShapeID="_x0000_i1028" DrawAspect="Icon" ObjectID="_1851795503" r:id="rId23"/>
        </w:object>
      </w:r>
    </w:p>
    <w:sectPr w:rsidR="009C1649" w:rsidRPr="00DC500E" w:rsidSect="008F33FD">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A59B8" w14:textId="77777777" w:rsidR="009B233B" w:rsidRDefault="009B233B" w:rsidP="008F33FD">
      <w:pPr>
        <w:spacing w:line="240" w:lineRule="auto"/>
      </w:pPr>
      <w:r>
        <w:separator/>
      </w:r>
    </w:p>
  </w:endnote>
  <w:endnote w:type="continuationSeparator" w:id="0">
    <w:p w14:paraId="63E7D3AE" w14:textId="77777777" w:rsidR="009B233B" w:rsidRDefault="009B233B" w:rsidP="008F33F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webkit-standard">
    <w:altName w:val="Cambria"/>
    <w:charset w:val="00"/>
    <w:family w:val="roman"/>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24265794"/>
      <w:docPartObj>
        <w:docPartGallery w:val="Page Numbers (Bottom of Page)"/>
        <w:docPartUnique/>
      </w:docPartObj>
    </w:sdtPr>
    <w:sdtEndPr>
      <w:rPr>
        <w:noProof/>
      </w:rPr>
    </w:sdtEndPr>
    <w:sdtContent>
      <w:p w14:paraId="0D8A2F3D" w14:textId="1456C1D8" w:rsidR="008F33FD" w:rsidRDefault="008F33FD" w:rsidP="008F33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96A366" w14:textId="77777777" w:rsidR="009B233B" w:rsidRDefault="009B233B" w:rsidP="008F33FD">
      <w:pPr>
        <w:spacing w:line="240" w:lineRule="auto"/>
      </w:pPr>
      <w:r>
        <w:separator/>
      </w:r>
    </w:p>
  </w:footnote>
  <w:footnote w:type="continuationSeparator" w:id="0">
    <w:p w14:paraId="026F7F1C" w14:textId="77777777" w:rsidR="009B233B" w:rsidRDefault="009B233B" w:rsidP="008F33F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91B0D"/>
    <w:multiLevelType w:val="multilevel"/>
    <w:tmpl w:val="DD42DC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350DF0"/>
    <w:multiLevelType w:val="multilevel"/>
    <w:tmpl w:val="D37E2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B524EA"/>
    <w:multiLevelType w:val="multilevel"/>
    <w:tmpl w:val="C3ECAF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6B7A78"/>
    <w:multiLevelType w:val="multilevel"/>
    <w:tmpl w:val="313A0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C40C97"/>
    <w:multiLevelType w:val="multilevel"/>
    <w:tmpl w:val="408CA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9B5391"/>
    <w:multiLevelType w:val="multilevel"/>
    <w:tmpl w:val="31063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2C4AA7"/>
    <w:multiLevelType w:val="multilevel"/>
    <w:tmpl w:val="608C3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DB80F9E"/>
    <w:multiLevelType w:val="multilevel"/>
    <w:tmpl w:val="AE56A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C340C3"/>
    <w:multiLevelType w:val="multilevel"/>
    <w:tmpl w:val="8A704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12D48EE"/>
    <w:multiLevelType w:val="multilevel"/>
    <w:tmpl w:val="11286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625741A"/>
    <w:multiLevelType w:val="multilevel"/>
    <w:tmpl w:val="C93A4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BF86222"/>
    <w:multiLevelType w:val="multilevel"/>
    <w:tmpl w:val="03A06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D42358"/>
    <w:multiLevelType w:val="hybridMultilevel"/>
    <w:tmpl w:val="670CAFF0"/>
    <w:lvl w:ilvl="0" w:tplc="D35C1E9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2"/>
  </w:num>
  <w:num w:numId="2">
    <w:abstractNumId w:val="10"/>
  </w:num>
  <w:num w:numId="3">
    <w:abstractNumId w:val="3"/>
  </w:num>
  <w:num w:numId="4">
    <w:abstractNumId w:val="0"/>
  </w:num>
  <w:num w:numId="5">
    <w:abstractNumId w:val="4"/>
  </w:num>
  <w:num w:numId="6">
    <w:abstractNumId w:val="6"/>
  </w:num>
  <w:num w:numId="7">
    <w:abstractNumId w:val="8"/>
  </w:num>
  <w:num w:numId="8">
    <w:abstractNumId w:val="5"/>
  </w:num>
  <w:num w:numId="9">
    <w:abstractNumId w:val="2"/>
  </w:num>
  <w:num w:numId="10">
    <w:abstractNumId w:val="1"/>
  </w:num>
  <w:num w:numId="11">
    <w:abstractNumId w:val="7"/>
  </w:num>
  <w:num w:numId="12">
    <w:abstractNumId w:val="11"/>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607"/>
    <w:rsid w:val="00156E38"/>
    <w:rsid w:val="00190E70"/>
    <w:rsid w:val="001E6B0A"/>
    <w:rsid w:val="00253BC5"/>
    <w:rsid w:val="002A413E"/>
    <w:rsid w:val="00337F4E"/>
    <w:rsid w:val="003772B5"/>
    <w:rsid w:val="00392CCC"/>
    <w:rsid w:val="003F4573"/>
    <w:rsid w:val="00443E4D"/>
    <w:rsid w:val="00492F89"/>
    <w:rsid w:val="004D387E"/>
    <w:rsid w:val="0055244E"/>
    <w:rsid w:val="005B2A3D"/>
    <w:rsid w:val="005E4486"/>
    <w:rsid w:val="005F6DB2"/>
    <w:rsid w:val="00603018"/>
    <w:rsid w:val="00631669"/>
    <w:rsid w:val="006379D0"/>
    <w:rsid w:val="006513A8"/>
    <w:rsid w:val="006A7441"/>
    <w:rsid w:val="006D01BC"/>
    <w:rsid w:val="00731402"/>
    <w:rsid w:val="00742CAE"/>
    <w:rsid w:val="007443FF"/>
    <w:rsid w:val="00797CC3"/>
    <w:rsid w:val="008166FF"/>
    <w:rsid w:val="00861969"/>
    <w:rsid w:val="00872E18"/>
    <w:rsid w:val="008B78A6"/>
    <w:rsid w:val="008F33FD"/>
    <w:rsid w:val="009035E4"/>
    <w:rsid w:val="00922FD5"/>
    <w:rsid w:val="009355BB"/>
    <w:rsid w:val="00944B3B"/>
    <w:rsid w:val="00970609"/>
    <w:rsid w:val="009B233B"/>
    <w:rsid w:val="009C1649"/>
    <w:rsid w:val="009D1E4A"/>
    <w:rsid w:val="00A22DB1"/>
    <w:rsid w:val="00A37317"/>
    <w:rsid w:val="00A70E51"/>
    <w:rsid w:val="00A76526"/>
    <w:rsid w:val="00A9360E"/>
    <w:rsid w:val="00A97193"/>
    <w:rsid w:val="00AF0A49"/>
    <w:rsid w:val="00B435A2"/>
    <w:rsid w:val="00B56029"/>
    <w:rsid w:val="00BA32AC"/>
    <w:rsid w:val="00BD25F6"/>
    <w:rsid w:val="00BE3490"/>
    <w:rsid w:val="00BF7607"/>
    <w:rsid w:val="00C02CEA"/>
    <w:rsid w:val="00C15955"/>
    <w:rsid w:val="00C25BB9"/>
    <w:rsid w:val="00C34DD0"/>
    <w:rsid w:val="00C41BEB"/>
    <w:rsid w:val="00C842CD"/>
    <w:rsid w:val="00CD169E"/>
    <w:rsid w:val="00D71887"/>
    <w:rsid w:val="00DC500E"/>
    <w:rsid w:val="00E37ECD"/>
    <w:rsid w:val="00E46B3A"/>
    <w:rsid w:val="00E912C6"/>
    <w:rsid w:val="00EA0178"/>
    <w:rsid w:val="00EA6C9A"/>
    <w:rsid w:val="00ED0A28"/>
    <w:rsid w:val="00F01882"/>
    <w:rsid w:val="00F01F65"/>
    <w:rsid w:val="00F3756F"/>
    <w:rsid w:val="00F44DB9"/>
    <w:rsid w:val="00F5483A"/>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BC7DC9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30"/>
        <w:lang w:val="en-US"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33FD"/>
    <w:pPr>
      <w:spacing w:line="480" w:lineRule="auto"/>
      <w:jc w:val="both"/>
    </w:pPr>
    <w:rPr>
      <w:rFonts w:ascii="Times New Roman" w:hAnsi="Times New Roman" w:cs="Vrinda"/>
      <w:color w:val="000000" w:themeColor="text1"/>
      <w:lang w:val="en-GB"/>
    </w:rPr>
  </w:style>
  <w:style w:type="paragraph" w:styleId="Heading1">
    <w:name w:val="heading 1"/>
    <w:basedOn w:val="Normal"/>
    <w:next w:val="Normal"/>
    <w:link w:val="Heading1Char"/>
    <w:uiPriority w:val="9"/>
    <w:qFormat/>
    <w:rsid w:val="00861969"/>
    <w:pPr>
      <w:jc w:val="center"/>
      <w:outlineLvl w:val="0"/>
    </w:pPr>
    <w:rPr>
      <w:b/>
      <w:sz w:val="32"/>
    </w:rPr>
  </w:style>
  <w:style w:type="paragraph" w:styleId="Heading2">
    <w:name w:val="heading 2"/>
    <w:basedOn w:val="Normal"/>
    <w:next w:val="Normal"/>
    <w:link w:val="Heading2Char"/>
    <w:uiPriority w:val="9"/>
    <w:unhideWhenUsed/>
    <w:qFormat/>
    <w:rsid w:val="00861969"/>
    <w:pPr>
      <w:keepNext/>
      <w:keepLines/>
      <w:spacing w:before="40"/>
      <w:outlineLvl w:val="1"/>
    </w:pPr>
    <w:rPr>
      <w:rFonts w:eastAsiaTheme="majorEastAsia" w:cstheme="majorBidi"/>
      <w:b/>
      <w:sz w:val="28"/>
      <w:szCs w:val="33"/>
    </w:rPr>
  </w:style>
  <w:style w:type="paragraph" w:styleId="Heading3">
    <w:name w:val="heading 3"/>
    <w:basedOn w:val="Normal"/>
    <w:next w:val="Normal"/>
    <w:link w:val="Heading3Char"/>
    <w:uiPriority w:val="9"/>
    <w:unhideWhenUsed/>
    <w:qFormat/>
    <w:rsid w:val="00A70E51"/>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unhideWhenUsed/>
    <w:qFormat/>
    <w:rsid w:val="003F4573"/>
    <w:pPr>
      <w:keepNext/>
      <w:keepLines/>
      <w:spacing w:before="4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631669"/>
    <w:pPr>
      <w:contextualSpacing/>
      <w:jc w:val="center"/>
    </w:pPr>
    <w:rPr>
      <w:rFonts w:eastAsiaTheme="majorEastAsia" w:cstheme="majorBidi"/>
      <w:b/>
      <w:spacing w:val="-10"/>
      <w:kern w:val="28"/>
      <w:sz w:val="40"/>
      <w:szCs w:val="71"/>
    </w:rPr>
  </w:style>
  <w:style w:type="character" w:customStyle="1" w:styleId="TitleChar">
    <w:name w:val="Title Char"/>
    <w:basedOn w:val="DefaultParagraphFont"/>
    <w:link w:val="Title"/>
    <w:uiPriority w:val="10"/>
    <w:rsid w:val="00631669"/>
    <w:rPr>
      <w:rFonts w:ascii="Times New Roman" w:eastAsiaTheme="majorEastAsia" w:hAnsi="Times New Roman" w:cstheme="majorBidi"/>
      <w:b/>
      <w:color w:val="404040" w:themeColor="text1" w:themeTint="BF"/>
      <w:spacing w:val="-10"/>
      <w:kern w:val="28"/>
      <w:sz w:val="40"/>
      <w:szCs w:val="71"/>
      <w:lang w:val="en-GB"/>
    </w:rPr>
  </w:style>
  <w:style w:type="character" w:customStyle="1" w:styleId="Heading1Char">
    <w:name w:val="Heading 1 Char"/>
    <w:basedOn w:val="DefaultParagraphFont"/>
    <w:link w:val="Heading1"/>
    <w:uiPriority w:val="9"/>
    <w:rsid w:val="00861969"/>
    <w:rPr>
      <w:rFonts w:ascii="Times New Roman" w:hAnsi="Times New Roman" w:cs="Vrinda"/>
      <w:b/>
      <w:color w:val="000000" w:themeColor="text1"/>
      <w:sz w:val="32"/>
      <w:lang w:val="en-GB"/>
    </w:rPr>
  </w:style>
  <w:style w:type="character" w:customStyle="1" w:styleId="Heading3Char">
    <w:name w:val="Heading 3 Char"/>
    <w:basedOn w:val="DefaultParagraphFont"/>
    <w:link w:val="Heading3"/>
    <w:uiPriority w:val="9"/>
    <w:rsid w:val="00A70E51"/>
    <w:rPr>
      <w:rFonts w:ascii="Times New Roman" w:eastAsiaTheme="majorEastAsia" w:hAnsi="Times New Roman" w:cstheme="majorBidi"/>
      <w:b/>
      <w:color w:val="000000" w:themeColor="text1"/>
      <w:lang w:val="en-GB"/>
    </w:rPr>
  </w:style>
  <w:style w:type="character" w:customStyle="1" w:styleId="Heading2Char">
    <w:name w:val="Heading 2 Char"/>
    <w:basedOn w:val="DefaultParagraphFont"/>
    <w:link w:val="Heading2"/>
    <w:uiPriority w:val="9"/>
    <w:rsid w:val="00861969"/>
    <w:rPr>
      <w:rFonts w:ascii="Times New Roman" w:eastAsiaTheme="majorEastAsia" w:hAnsi="Times New Roman" w:cstheme="majorBidi"/>
      <w:b/>
      <w:color w:val="000000" w:themeColor="text1"/>
      <w:sz w:val="28"/>
      <w:szCs w:val="33"/>
      <w:lang w:val="en-GB"/>
    </w:rPr>
  </w:style>
  <w:style w:type="paragraph" w:styleId="TOC1">
    <w:name w:val="toc 1"/>
    <w:basedOn w:val="Normal"/>
    <w:next w:val="Normal"/>
    <w:autoRedefine/>
    <w:uiPriority w:val="39"/>
    <w:unhideWhenUsed/>
    <w:rsid w:val="00970609"/>
    <w:pPr>
      <w:spacing w:before="120"/>
      <w:jc w:val="left"/>
    </w:pPr>
    <w:rPr>
      <w:b/>
      <w:bCs/>
      <w:i/>
      <w:iCs/>
      <w:szCs w:val="24"/>
    </w:rPr>
  </w:style>
  <w:style w:type="paragraph" w:styleId="TOC2">
    <w:name w:val="toc 2"/>
    <w:basedOn w:val="Normal"/>
    <w:next w:val="Normal"/>
    <w:autoRedefine/>
    <w:uiPriority w:val="39"/>
    <w:unhideWhenUsed/>
    <w:qFormat/>
    <w:rsid w:val="00970609"/>
    <w:pPr>
      <w:spacing w:before="120"/>
      <w:ind w:left="240"/>
      <w:jc w:val="left"/>
    </w:pPr>
    <w:rPr>
      <w:b/>
      <w:bCs/>
      <w:sz w:val="22"/>
      <w:szCs w:val="22"/>
    </w:rPr>
  </w:style>
  <w:style w:type="paragraph" w:styleId="TOC3">
    <w:name w:val="toc 3"/>
    <w:basedOn w:val="Normal"/>
    <w:next w:val="Normal"/>
    <w:autoRedefine/>
    <w:uiPriority w:val="39"/>
    <w:unhideWhenUsed/>
    <w:rsid w:val="00EA6C9A"/>
    <w:pPr>
      <w:ind w:left="480"/>
      <w:jc w:val="left"/>
    </w:pPr>
    <w:rPr>
      <w:rFonts w:asciiTheme="minorHAnsi" w:hAnsiTheme="minorHAnsi"/>
      <w:sz w:val="20"/>
      <w:szCs w:val="20"/>
    </w:rPr>
  </w:style>
  <w:style w:type="paragraph" w:styleId="Caption">
    <w:name w:val="caption"/>
    <w:basedOn w:val="Normal"/>
    <w:next w:val="Normal"/>
    <w:uiPriority w:val="35"/>
    <w:unhideWhenUsed/>
    <w:qFormat/>
    <w:rsid w:val="00DC500E"/>
    <w:pPr>
      <w:jc w:val="center"/>
    </w:pPr>
    <w:rPr>
      <w:iCs/>
      <w:szCs w:val="22"/>
    </w:rPr>
  </w:style>
  <w:style w:type="paragraph" w:styleId="Subtitle">
    <w:name w:val="Subtitle"/>
    <w:basedOn w:val="Normal"/>
    <w:next w:val="Normal"/>
    <w:link w:val="SubtitleChar"/>
    <w:uiPriority w:val="11"/>
    <w:qFormat/>
    <w:rsid w:val="006A7441"/>
    <w:pPr>
      <w:numPr>
        <w:ilvl w:val="1"/>
      </w:numPr>
      <w:pBdr>
        <w:top w:val="single" w:sz="4" w:space="1" w:color="auto"/>
        <w:left w:val="single" w:sz="4" w:space="4" w:color="auto"/>
        <w:bottom w:val="single" w:sz="4" w:space="1" w:color="auto"/>
        <w:right w:val="single" w:sz="4" w:space="4" w:color="auto"/>
      </w:pBdr>
      <w:spacing w:after="40"/>
      <w:ind w:left="737" w:right="737"/>
      <w:jc w:val="center"/>
    </w:pPr>
    <w:rPr>
      <w:rFonts w:eastAsiaTheme="minorEastAsia" w:cstheme="minorBidi"/>
      <w:spacing w:val="15"/>
      <w:szCs w:val="28"/>
    </w:rPr>
  </w:style>
  <w:style w:type="character" w:customStyle="1" w:styleId="SubtitleChar">
    <w:name w:val="Subtitle Char"/>
    <w:basedOn w:val="DefaultParagraphFont"/>
    <w:link w:val="Subtitle"/>
    <w:uiPriority w:val="11"/>
    <w:rsid w:val="006A7441"/>
    <w:rPr>
      <w:rFonts w:ascii="Times New Roman" w:eastAsiaTheme="minorEastAsia" w:hAnsi="Times New Roman"/>
      <w:color w:val="000000" w:themeColor="text1"/>
      <w:spacing w:val="15"/>
      <w:szCs w:val="28"/>
      <w:lang w:val="en-GB"/>
    </w:rPr>
  </w:style>
  <w:style w:type="character" w:customStyle="1" w:styleId="Heading4Char">
    <w:name w:val="Heading 4 Char"/>
    <w:basedOn w:val="DefaultParagraphFont"/>
    <w:link w:val="Heading4"/>
    <w:uiPriority w:val="9"/>
    <w:rsid w:val="003F4573"/>
    <w:rPr>
      <w:rFonts w:ascii="Times New Roman" w:eastAsiaTheme="majorEastAsia" w:hAnsi="Times New Roman" w:cstheme="majorBidi"/>
      <w:i/>
      <w:iCs/>
      <w:color w:val="2F5496" w:themeColor="accent1" w:themeShade="BF"/>
      <w:lang w:val="en-GB"/>
    </w:rPr>
  </w:style>
  <w:style w:type="paragraph" w:styleId="NormalWeb">
    <w:name w:val="Normal (Web)"/>
    <w:aliases w:val="APA style"/>
    <w:basedOn w:val="Normal"/>
    <w:uiPriority w:val="99"/>
    <w:unhideWhenUsed/>
    <w:rsid w:val="00EA0178"/>
    <w:pPr>
      <w:spacing w:before="100" w:beforeAutospacing="1" w:after="100" w:afterAutospacing="1" w:line="240" w:lineRule="auto"/>
      <w:ind w:left="720" w:hanging="720"/>
    </w:pPr>
    <w:rPr>
      <w:rFonts w:eastAsia="Times New Roman" w:cs="Times New Roman"/>
      <w:color w:val="auto"/>
      <w:sz w:val="22"/>
      <w:szCs w:val="24"/>
      <w:lang w:val="en-US" w:bidi="ar-SA"/>
    </w:rPr>
  </w:style>
  <w:style w:type="character" w:customStyle="1" w:styleId="apple-converted-space">
    <w:name w:val="apple-converted-space"/>
    <w:basedOn w:val="DefaultParagraphFont"/>
    <w:rsid w:val="00872E18"/>
  </w:style>
  <w:style w:type="paragraph" w:styleId="ListParagraph">
    <w:name w:val="List Paragraph"/>
    <w:basedOn w:val="Normal"/>
    <w:uiPriority w:val="34"/>
    <w:qFormat/>
    <w:rsid w:val="00B435A2"/>
    <w:pPr>
      <w:ind w:left="720"/>
      <w:contextualSpacing/>
    </w:pPr>
  </w:style>
  <w:style w:type="character" w:customStyle="1" w:styleId="citation-179">
    <w:name w:val="citation-179"/>
    <w:basedOn w:val="DefaultParagraphFont"/>
    <w:rsid w:val="003772B5"/>
  </w:style>
  <w:style w:type="character" w:customStyle="1" w:styleId="citation-178">
    <w:name w:val="citation-178"/>
    <w:basedOn w:val="DefaultParagraphFont"/>
    <w:rsid w:val="003772B5"/>
  </w:style>
  <w:style w:type="character" w:customStyle="1" w:styleId="citation-177">
    <w:name w:val="citation-177"/>
    <w:basedOn w:val="DefaultParagraphFont"/>
    <w:rsid w:val="003772B5"/>
  </w:style>
  <w:style w:type="character" w:customStyle="1" w:styleId="citation-176">
    <w:name w:val="citation-176"/>
    <w:basedOn w:val="DefaultParagraphFont"/>
    <w:rsid w:val="003772B5"/>
  </w:style>
  <w:style w:type="character" w:customStyle="1" w:styleId="citation-239">
    <w:name w:val="citation-239"/>
    <w:basedOn w:val="DefaultParagraphFont"/>
    <w:rsid w:val="005E4486"/>
  </w:style>
  <w:style w:type="character" w:customStyle="1" w:styleId="citation-238">
    <w:name w:val="citation-238"/>
    <w:basedOn w:val="DefaultParagraphFont"/>
    <w:rsid w:val="005E4486"/>
  </w:style>
  <w:style w:type="character" w:customStyle="1" w:styleId="citation-237">
    <w:name w:val="citation-237"/>
    <w:basedOn w:val="DefaultParagraphFont"/>
    <w:rsid w:val="005E4486"/>
  </w:style>
  <w:style w:type="character" w:customStyle="1" w:styleId="citation-236">
    <w:name w:val="citation-236"/>
    <w:basedOn w:val="DefaultParagraphFont"/>
    <w:rsid w:val="005E4486"/>
  </w:style>
  <w:style w:type="character" w:customStyle="1" w:styleId="citation-235">
    <w:name w:val="citation-235"/>
    <w:basedOn w:val="DefaultParagraphFont"/>
    <w:rsid w:val="005E4486"/>
  </w:style>
  <w:style w:type="character" w:customStyle="1" w:styleId="citation-234">
    <w:name w:val="citation-234"/>
    <w:basedOn w:val="DefaultParagraphFont"/>
    <w:rsid w:val="005E4486"/>
  </w:style>
  <w:style w:type="character" w:customStyle="1" w:styleId="citation-233">
    <w:name w:val="citation-233"/>
    <w:basedOn w:val="DefaultParagraphFont"/>
    <w:rsid w:val="005E4486"/>
  </w:style>
  <w:style w:type="character" w:customStyle="1" w:styleId="citation-232">
    <w:name w:val="citation-232"/>
    <w:basedOn w:val="DefaultParagraphFont"/>
    <w:rsid w:val="005E4486"/>
  </w:style>
  <w:style w:type="character" w:customStyle="1" w:styleId="citation-231">
    <w:name w:val="citation-231"/>
    <w:basedOn w:val="DefaultParagraphFont"/>
    <w:rsid w:val="005E4486"/>
  </w:style>
  <w:style w:type="character" w:customStyle="1" w:styleId="citation-230">
    <w:name w:val="citation-230"/>
    <w:basedOn w:val="DefaultParagraphFont"/>
    <w:rsid w:val="005E4486"/>
  </w:style>
  <w:style w:type="character" w:customStyle="1" w:styleId="citation-229">
    <w:name w:val="citation-229"/>
    <w:basedOn w:val="DefaultParagraphFont"/>
    <w:rsid w:val="005E4486"/>
  </w:style>
  <w:style w:type="character" w:customStyle="1" w:styleId="citation-228">
    <w:name w:val="citation-228"/>
    <w:basedOn w:val="DefaultParagraphFont"/>
    <w:rsid w:val="005E4486"/>
  </w:style>
  <w:style w:type="table" w:customStyle="1" w:styleId="APA7">
    <w:name w:val="APA 7"/>
    <w:basedOn w:val="TableNormal"/>
    <w:uiPriority w:val="99"/>
    <w:rsid w:val="004D387E"/>
    <w:pPr>
      <w:spacing w:line="360" w:lineRule="auto"/>
    </w:pPr>
    <w:rPr>
      <w:rFonts w:ascii="Times New Roman" w:hAnsi="Times New Roman"/>
    </w:rPr>
    <w:tblPr>
      <w:tblBorders>
        <w:top w:val="single" w:sz="4" w:space="0" w:color="auto"/>
        <w:bottom w:val="single" w:sz="4" w:space="0" w:color="auto"/>
      </w:tblBorders>
    </w:tblPr>
    <w:tblStylePr w:type="firstRow">
      <w:rPr>
        <w:b/>
      </w:rPr>
      <w:tblPr/>
      <w:tcPr>
        <w:tcBorders>
          <w:bottom w:val="single" w:sz="4" w:space="0" w:color="auto"/>
        </w:tcBorders>
      </w:tcPr>
    </w:tblStylePr>
  </w:style>
  <w:style w:type="character" w:customStyle="1" w:styleId="mord">
    <w:name w:val="mord"/>
    <w:basedOn w:val="DefaultParagraphFont"/>
    <w:rsid w:val="004D387E"/>
  </w:style>
  <w:style w:type="character" w:customStyle="1" w:styleId="vlist-s">
    <w:name w:val="vlist-s"/>
    <w:basedOn w:val="DefaultParagraphFont"/>
    <w:rsid w:val="004D387E"/>
  </w:style>
  <w:style w:type="character" w:customStyle="1" w:styleId="mrel">
    <w:name w:val="mrel"/>
    <w:basedOn w:val="DefaultParagraphFont"/>
    <w:rsid w:val="004D387E"/>
  </w:style>
  <w:style w:type="character" w:customStyle="1" w:styleId="mpunct">
    <w:name w:val="mpunct"/>
    <w:basedOn w:val="DefaultParagraphFont"/>
    <w:rsid w:val="004D387E"/>
  </w:style>
  <w:style w:type="paragraph" w:styleId="TOCHeading">
    <w:name w:val="TOC Heading"/>
    <w:basedOn w:val="Heading1"/>
    <w:next w:val="Normal"/>
    <w:uiPriority w:val="39"/>
    <w:unhideWhenUsed/>
    <w:qFormat/>
    <w:rsid w:val="00970609"/>
    <w:pPr>
      <w:keepNext/>
      <w:keepLines/>
      <w:spacing w:before="480" w:line="276" w:lineRule="auto"/>
      <w:jc w:val="left"/>
      <w:outlineLvl w:val="9"/>
    </w:pPr>
    <w:rPr>
      <w:rFonts w:eastAsiaTheme="majorEastAsia" w:cstheme="majorBidi"/>
      <w:bCs/>
      <w:color w:val="2F5496" w:themeColor="accent1" w:themeShade="BF"/>
      <w:kern w:val="0"/>
      <w:sz w:val="28"/>
      <w:szCs w:val="28"/>
      <w:lang w:val="en-US" w:bidi="ar-SA"/>
      <w14:ligatures w14:val="none"/>
    </w:rPr>
  </w:style>
  <w:style w:type="character" w:styleId="Hyperlink">
    <w:name w:val="Hyperlink"/>
    <w:basedOn w:val="DefaultParagraphFont"/>
    <w:uiPriority w:val="99"/>
    <w:unhideWhenUsed/>
    <w:rsid w:val="002A413E"/>
    <w:rPr>
      <w:color w:val="0563C1" w:themeColor="hyperlink"/>
      <w:u w:val="single"/>
    </w:rPr>
  </w:style>
  <w:style w:type="paragraph" w:styleId="TOC4">
    <w:name w:val="toc 4"/>
    <w:basedOn w:val="Normal"/>
    <w:next w:val="Normal"/>
    <w:autoRedefine/>
    <w:uiPriority w:val="39"/>
    <w:semiHidden/>
    <w:unhideWhenUsed/>
    <w:rsid w:val="002A413E"/>
    <w:pPr>
      <w:ind w:left="720"/>
      <w:jc w:val="left"/>
    </w:pPr>
    <w:rPr>
      <w:rFonts w:asciiTheme="minorHAnsi" w:hAnsiTheme="minorHAnsi"/>
      <w:sz w:val="20"/>
      <w:szCs w:val="20"/>
    </w:rPr>
  </w:style>
  <w:style w:type="paragraph" w:styleId="TOC5">
    <w:name w:val="toc 5"/>
    <w:basedOn w:val="Normal"/>
    <w:next w:val="Normal"/>
    <w:autoRedefine/>
    <w:uiPriority w:val="39"/>
    <w:semiHidden/>
    <w:unhideWhenUsed/>
    <w:rsid w:val="002A413E"/>
    <w:pPr>
      <w:ind w:left="960"/>
      <w:jc w:val="left"/>
    </w:pPr>
    <w:rPr>
      <w:rFonts w:asciiTheme="minorHAnsi" w:hAnsiTheme="minorHAnsi"/>
      <w:sz w:val="20"/>
      <w:szCs w:val="20"/>
    </w:rPr>
  </w:style>
  <w:style w:type="paragraph" w:styleId="TOC6">
    <w:name w:val="toc 6"/>
    <w:basedOn w:val="Normal"/>
    <w:next w:val="Normal"/>
    <w:autoRedefine/>
    <w:uiPriority w:val="39"/>
    <w:semiHidden/>
    <w:unhideWhenUsed/>
    <w:rsid w:val="002A413E"/>
    <w:pPr>
      <w:ind w:left="1200"/>
      <w:jc w:val="left"/>
    </w:pPr>
    <w:rPr>
      <w:rFonts w:asciiTheme="minorHAnsi" w:hAnsiTheme="minorHAnsi"/>
      <w:sz w:val="20"/>
      <w:szCs w:val="20"/>
    </w:rPr>
  </w:style>
  <w:style w:type="paragraph" w:styleId="TOC7">
    <w:name w:val="toc 7"/>
    <w:basedOn w:val="Normal"/>
    <w:next w:val="Normal"/>
    <w:autoRedefine/>
    <w:uiPriority w:val="39"/>
    <w:semiHidden/>
    <w:unhideWhenUsed/>
    <w:rsid w:val="002A413E"/>
    <w:pPr>
      <w:ind w:left="1440"/>
      <w:jc w:val="left"/>
    </w:pPr>
    <w:rPr>
      <w:rFonts w:asciiTheme="minorHAnsi" w:hAnsiTheme="minorHAnsi"/>
      <w:sz w:val="20"/>
      <w:szCs w:val="20"/>
    </w:rPr>
  </w:style>
  <w:style w:type="paragraph" w:styleId="TOC8">
    <w:name w:val="toc 8"/>
    <w:basedOn w:val="Normal"/>
    <w:next w:val="Normal"/>
    <w:autoRedefine/>
    <w:uiPriority w:val="39"/>
    <w:semiHidden/>
    <w:unhideWhenUsed/>
    <w:rsid w:val="002A413E"/>
    <w:pPr>
      <w:ind w:left="1680"/>
      <w:jc w:val="left"/>
    </w:pPr>
    <w:rPr>
      <w:rFonts w:asciiTheme="minorHAnsi" w:hAnsiTheme="minorHAnsi"/>
      <w:sz w:val="20"/>
      <w:szCs w:val="20"/>
    </w:rPr>
  </w:style>
  <w:style w:type="paragraph" w:styleId="TOC9">
    <w:name w:val="toc 9"/>
    <w:basedOn w:val="Normal"/>
    <w:next w:val="Normal"/>
    <w:autoRedefine/>
    <w:uiPriority w:val="39"/>
    <w:semiHidden/>
    <w:unhideWhenUsed/>
    <w:rsid w:val="002A413E"/>
    <w:pPr>
      <w:ind w:left="1920"/>
      <w:jc w:val="left"/>
    </w:pPr>
    <w:rPr>
      <w:rFonts w:asciiTheme="minorHAnsi" w:hAnsiTheme="minorHAnsi"/>
      <w:sz w:val="20"/>
      <w:szCs w:val="20"/>
    </w:rPr>
  </w:style>
  <w:style w:type="paragraph" w:styleId="TableofFigures">
    <w:name w:val="table of figures"/>
    <w:basedOn w:val="Normal"/>
    <w:next w:val="Normal"/>
    <w:uiPriority w:val="99"/>
    <w:unhideWhenUsed/>
    <w:rsid w:val="00DC500E"/>
  </w:style>
  <w:style w:type="paragraph" w:styleId="Header">
    <w:name w:val="header"/>
    <w:basedOn w:val="Normal"/>
    <w:link w:val="HeaderChar"/>
    <w:uiPriority w:val="99"/>
    <w:unhideWhenUsed/>
    <w:rsid w:val="008F33FD"/>
    <w:pPr>
      <w:tabs>
        <w:tab w:val="center" w:pos="4513"/>
        <w:tab w:val="right" w:pos="9026"/>
      </w:tabs>
      <w:spacing w:line="240" w:lineRule="auto"/>
    </w:pPr>
  </w:style>
  <w:style w:type="character" w:customStyle="1" w:styleId="HeaderChar">
    <w:name w:val="Header Char"/>
    <w:basedOn w:val="DefaultParagraphFont"/>
    <w:link w:val="Header"/>
    <w:uiPriority w:val="99"/>
    <w:rsid w:val="008F33FD"/>
    <w:rPr>
      <w:rFonts w:ascii="Times New Roman" w:hAnsi="Times New Roman" w:cs="Vrinda"/>
      <w:color w:val="000000" w:themeColor="text1"/>
      <w:lang w:val="en-GB"/>
    </w:rPr>
  </w:style>
  <w:style w:type="paragraph" w:styleId="Footer">
    <w:name w:val="footer"/>
    <w:basedOn w:val="Normal"/>
    <w:link w:val="FooterChar"/>
    <w:uiPriority w:val="99"/>
    <w:unhideWhenUsed/>
    <w:rsid w:val="008F33FD"/>
    <w:pPr>
      <w:tabs>
        <w:tab w:val="center" w:pos="4513"/>
        <w:tab w:val="right" w:pos="9026"/>
      </w:tabs>
      <w:spacing w:line="240" w:lineRule="auto"/>
    </w:pPr>
  </w:style>
  <w:style w:type="character" w:customStyle="1" w:styleId="FooterChar">
    <w:name w:val="Footer Char"/>
    <w:basedOn w:val="DefaultParagraphFont"/>
    <w:link w:val="Footer"/>
    <w:uiPriority w:val="99"/>
    <w:rsid w:val="008F33FD"/>
    <w:rPr>
      <w:rFonts w:ascii="Times New Roman" w:hAnsi="Times New Roman" w:cs="Vrinda"/>
      <w:color w:val="000000" w:themeColor="text1"/>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026343">
      <w:bodyDiv w:val="1"/>
      <w:marLeft w:val="0"/>
      <w:marRight w:val="0"/>
      <w:marTop w:val="0"/>
      <w:marBottom w:val="0"/>
      <w:divBdr>
        <w:top w:val="none" w:sz="0" w:space="0" w:color="auto"/>
        <w:left w:val="none" w:sz="0" w:space="0" w:color="auto"/>
        <w:bottom w:val="none" w:sz="0" w:space="0" w:color="auto"/>
        <w:right w:val="none" w:sz="0" w:space="0" w:color="auto"/>
      </w:divBdr>
      <w:divsChild>
        <w:div w:id="1305156360">
          <w:marLeft w:val="0"/>
          <w:marRight w:val="0"/>
          <w:marTop w:val="0"/>
          <w:marBottom w:val="0"/>
          <w:divBdr>
            <w:top w:val="none" w:sz="0" w:space="0" w:color="auto"/>
            <w:left w:val="none" w:sz="0" w:space="0" w:color="auto"/>
            <w:bottom w:val="none" w:sz="0" w:space="0" w:color="auto"/>
            <w:right w:val="none" w:sz="0" w:space="0" w:color="auto"/>
          </w:divBdr>
        </w:div>
      </w:divsChild>
    </w:div>
    <w:div w:id="177282155">
      <w:bodyDiv w:val="1"/>
      <w:marLeft w:val="0"/>
      <w:marRight w:val="0"/>
      <w:marTop w:val="0"/>
      <w:marBottom w:val="0"/>
      <w:divBdr>
        <w:top w:val="none" w:sz="0" w:space="0" w:color="auto"/>
        <w:left w:val="none" w:sz="0" w:space="0" w:color="auto"/>
        <w:bottom w:val="none" w:sz="0" w:space="0" w:color="auto"/>
        <w:right w:val="none" w:sz="0" w:space="0" w:color="auto"/>
      </w:divBdr>
    </w:div>
    <w:div w:id="738947220">
      <w:bodyDiv w:val="1"/>
      <w:marLeft w:val="0"/>
      <w:marRight w:val="0"/>
      <w:marTop w:val="0"/>
      <w:marBottom w:val="0"/>
      <w:divBdr>
        <w:top w:val="none" w:sz="0" w:space="0" w:color="auto"/>
        <w:left w:val="none" w:sz="0" w:space="0" w:color="auto"/>
        <w:bottom w:val="none" w:sz="0" w:space="0" w:color="auto"/>
        <w:right w:val="none" w:sz="0" w:space="0" w:color="auto"/>
      </w:divBdr>
    </w:div>
    <w:div w:id="814490689">
      <w:bodyDiv w:val="1"/>
      <w:marLeft w:val="0"/>
      <w:marRight w:val="0"/>
      <w:marTop w:val="0"/>
      <w:marBottom w:val="0"/>
      <w:divBdr>
        <w:top w:val="none" w:sz="0" w:space="0" w:color="auto"/>
        <w:left w:val="none" w:sz="0" w:space="0" w:color="auto"/>
        <w:bottom w:val="none" w:sz="0" w:space="0" w:color="auto"/>
        <w:right w:val="none" w:sz="0" w:space="0" w:color="auto"/>
      </w:divBdr>
      <w:divsChild>
        <w:div w:id="934557951">
          <w:marLeft w:val="0"/>
          <w:marRight w:val="0"/>
          <w:marTop w:val="0"/>
          <w:marBottom w:val="0"/>
          <w:divBdr>
            <w:top w:val="none" w:sz="0" w:space="0" w:color="auto"/>
            <w:left w:val="none" w:sz="0" w:space="0" w:color="auto"/>
            <w:bottom w:val="none" w:sz="0" w:space="0" w:color="auto"/>
            <w:right w:val="none" w:sz="0" w:space="0" w:color="auto"/>
          </w:divBdr>
        </w:div>
      </w:divsChild>
    </w:div>
    <w:div w:id="873271894">
      <w:bodyDiv w:val="1"/>
      <w:marLeft w:val="0"/>
      <w:marRight w:val="0"/>
      <w:marTop w:val="0"/>
      <w:marBottom w:val="0"/>
      <w:divBdr>
        <w:top w:val="none" w:sz="0" w:space="0" w:color="auto"/>
        <w:left w:val="none" w:sz="0" w:space="0" w:color="auto"/>
        <w:bottom w:val="none" w:sz="0" w:space="0" w:color="auto"/>
        <w:right w:val="none" w:sz="0" w:space="0" w:color="auto"/>
      </w:divBdr>
      <w:divsChild>
        <w:div w:id="737828465">
          <w:marLeft w:val="0"/>
          <w:marRight w:val="0"/>
          <w:marTop w:val="0"/>
          <w:marBottom w:val="0"/>
          <w:divBdr>
            <w:top w:val="none" w:sz="0" w:space="0" w:color="auto"/>
            <w:left w:val="none" w:sz="0" w:space="0" w:color="auto"/>
            <w:bottom w:val="none" w:sz="0" w:space="0" w:color="auto"/>
            <w:right w:val="none" w:sz="0" w:space="0" w:color="auto"/>
          </w:divBdr>
        </w:div>
      </w:divsChild>
    </w:div>
    <w:div w:id="949436248">
      <w:bodyDiv w:val="1"/>
      <w:marLeft w:val="0"/>
      <w:marRight w:val="0"/>
      <w:marTop w:val="0"/>
      <w:marBottom w:val="0"/>
      <w:divBdr>
        <w:top w:val="none" w:sz="0" w:space="0" w:color="auto"/>
        <w:left w:val="none" w:sz="0" w:space="0" w:color="auto"/>
        <w:bottom w:val="none" w:sz="0" w:space="0" w:color="auto"/>
        <w:right w:val="none" w:sz="0" w:space="0" w:color="auto"/>
      </w:divBdr>
    </w:div>
    <w:div w:id="978849566">
      <w:bodyDiv w:val="1"/>
      <w:marLeft w:val="0"/>
      <w:marRight w:val="0"/>
      <w:marTop w:val="0"/>
      <w:marBottom w:val="0"/>
      <w:divBdr>
        <w:top w:val="none" w:sz="0" w:space="0" w:color="auto"/>
        <w:left w:val="none" w:sz="0" w:space="0" w:color="auto"/>
        <w:bottom w:val="none" w:sz="0" w:space="0" w:color="auto"/>
        <w:right w:val="none" w:sz="0" w:space="0" w:color="auto"/>
      </w:divBdr>
      <w:divsChild>
        <w:div w:id="1764689999">
          <w:marLeft w:val="0"/>
          <w:marRight w:val="0"/>
          <w:marTop w:val="0"/>
          <w:marBottom w:val="0"/>
          <w:divBdr>
            <w:top w:val="none" w:sz="0" w:space="0" w:color="auto"/>
            <w:left w:val="none" w:sz="0" w:space="0" w:color="auto"/>
            <w:bottom w:val="none" w:sz="0" w:space="0" w:color="auto"/>
            <w:right w:val="none" w:sz="0" w:space="0" w:color="auto"/>
          </w:divBdr>
        </w:div>
      </w:divsChild>
    </w:div>
    <w:div w:id="981927474">
      <w:bodyDiv w:val="1"/>
      <w:marLeft w:val="0"/>
      <w:marRight w:val="0"/>
      <w:marTop w:val="0"/>
      <w:marBottom w:val="0"/>
      <w:divBdr>
        <w:top w:val="none" w:sz="0" w:space="0" w:color="auto"/>
        <w:left w:val="none" w:sz="0" w:space="0" w:color="auto"/>
        <w:bottom w:val="none" w:sz="0" w:space="0" w:color="auto"/>
        <w:right w:val="none" w:sz="0" w:space="0" w:color="auto"/>
      </w:divBdr>
    </w:div>
    <w:div w:id="1040016030">
      <w:bodyDiv w:val="1"/>
      <w:marLeft w:val="0"/>
      <w:marRight w:val="0"/>
      <w:marTop w:val="0"/>
      <w:marBottom w:val="0"/>
      <w:divBdr>
        <w:top w:val="none" w:sz="0" w:space="0" w:color="auto"/>
        <w:left w:val="none" w:sz="0" w:space="0" w:color="auto"/>
        <w:bottom w:val="none" w:sz="0" w:space="0" w:color="auto"/>
        <w:right w:val="none" w:sz="0" w:space="0" w:color="auto"/>
      </w:divBdr>
      <w:divsChild>
        <w:div w:id="621307052">
          <w:marLeft w:val="0"/>
          <w:marRight w:val="0"/>
          <w:marTop w:val="0"/>
          <w:marBottom w:val="0"/>
          <w:divBdr>
            <w:top w:val="none" w:sz="0" w:space="0" w:color="auto"/>
            <w:left w:val="none" w:sz="0" w:space="0" w:color="auto"/>
            <w:bottom w:val="none" w:sz="0" w:space="0" w:color="auto"/>
            <w:right w:val="none" w:sz="0" w:space="0" w:color="auto"/>
          </w:divBdr>
        </w:div>
      </w:divsChild>
    </w:div>
    <w:div w:id="1077558994">
      <w:bodyDiv w:val="1"/>
      <w:marLeft w:val="0"/>
      <w:marRight w:val="0"/>
      <w:marTop w:val="0"/>
      <w:marBottom w:val="0"/>
      <w:divBdr>
        <w:top w:val="none" w:sz="0" w:space="0" w:color="auto"/>
        <w:left w:val="none" w:sz="0" w:space="0" w:color="auto"/>
        <w:bottom w:val="none" w:sz="0" w:space="0" w:color="auto"/>
        <w:right w:val="none" w:sz="0" w:space="0" w:color="auto"/>
      </w:divBdr>
      <w:divsChild>
        <w:div w:id="350570369">
          <w:marLeft w:val="0"/>
          <w:marRight w:val="0"/>
          <w:marTop w:val="0"/>
          <w:marBottom w:val="0"/>
          <w:divBdr>
            <w:top w:val="none" w:sz="0" w:space="0" w:color="auto"/>
            <w:left w:val="none" w:sz="0" w:space="0" w:color="auto"/>
            <w:bottom w:val="none" w:sz="0" w:space="0" w:color="auto"/>
            <w:right w:val="none" w:sz="0" w:space="0" w:color="auto"/>
          </w:divBdr>
        </w:div>
      </w:divsChild>
    </w:div>
    <w:div w:id="1098018817">
      <w:bodyDiv w:val="1"/>
      <w:marLeft w:val="0"/>
      <w:marRight w:val="0"/>
      <w:marTop w:val="0"/>
      <w:marBottom w:val="0"/>
      <w:divBdr>
        <w:top w:val="none" w:sz="0" w:space="0" w:color="auto"/>
        <w:left w:val="none" w:sz="0" w:space="0" w:color="auto"/>
        <w:bottom w:val="none" w:sz="0" w:space="0" w:color="auto"/>
        <w:right w:val="none" w:sz="0" w:space="0" w:color="auto"/>
      </w:divBdr>
      <w:divsChild>
        <w:div w:id="1259291221">
          <w:marLeft w:val="0"/>
          <w:marRight w:val="0"/>
          <w:marTop w:val="0"/>
          <w:marBottom w:val="0"/>
          <w:divBdr>
            <w:top w:val="none" w:sz="0" w:space="0" w:color="auto"/>
            <w:left w:val="none" w:sz="0" w:space="0" w:color="auto"/>
            <w:bottom w:val="none" w:sz="0" w:space="0" w:color="auto"/>
            <w:right w:val="none" w:sz="0" w:space="0" w:color="auto"/>
          </w:divBdr>
        </w:div>
      </w:divsChild>
    </w:div>
    <w:div w:id="1237403690">
      <w:bodyDiv w:val="1"/>
      <w:marLeft w:val="0"/>
      <w:marRight w:val="0"/>
      <w:marTop w:val="0"/>
      <w:marBottom w:val="0"/>
      <w:divBdr>
        <w:top w:val="none" w:sz="0" w:space="0" w:color="auto"/>
        <w:left w:val="none" w:sz="0" w:space="0" w:color="auto"/>
        <w:bottom w:val="none" w:sz="0" w:space="0" w:color="auto"/>
        <w:right w:val="none" w:sz="0" w:space="0" w:color="auto"/>
      </w:divBdr>
    </w:div>
    <w:div w:id="1245339759">
      <w:bodyDiv w:val="1"/>
      <w:marLeft w:val="0"/>
      <w:marRight w:val="0"/>
      <w:marTop w:val="0"/>
      <w:marBottom w:val="0"/>
      <w:divBdr>
        <w:top w:val="none" w:sz="0" w:space="0" w:color="auto"/>
        <w:left w:val="none" w:sz="0" w:space="0" w:color="auto"/>
        <w:bottom w:val="none" w:sz="0" w:space="0" w:color="auto"/>
        <w:right w:val="none" w:sz="0" w:space="0" w:color="auto"/>
      </w:divBdr>
    </w:div>
    <w:div w:id="1252545725">
      <w:bodyDiv w:val="1"/>
      <w:marLeft w:val="0"/>
      <w:marRight w:val="0"/>
      <w:marTop w:val="0"/>
      <w:marBottom w:val="0"/>
      <w:divBdr>
        <w:top w:val="none" w:sz="0" w:space="0" w:color="auto"/>
        <w:left w:val="none" w:sz="0" w:space="0" w:color="auto"/>
        <w:bottom w:val="none" w:sz="0" w:space="0" w:color="auto"/>
        <w:right w:val="none" w:sz="0" w:space="0" w:color="auto"/>
      </w:divBdr>
      <w:divsChild>
        <w:div w:id="237904994">
          <w:marLeft w:val="0"/>
          <w:marRight w:val="0"/>
          <w:marTop w:val="0"/>
          <w:marBottom w:val="0"/>
          <w:divBdr>
            <w:top w:val="none" w:sz="0" w:space="0" w:color="auto"/>
            <w:left w:val="none" w:sz="0" w:space="0" w:color="auto"/>
            <w:bottom w:val="none" w:sz="0" w:space="0" w:color="auto"/>
            <w:right w:val="none" w:sz="0" w:space="0" w:color="auto"/>
          </w:divBdr>
        </w:div>
      </w:divsChild>
    </w:div>
    <w:div w:id="1294750363">
      <w:bodyDiv w:val="1"/>
      <w:marLeft w:val="0"/>
      <w:marRight w:val="0"/>
      <w:marTop w:val="0"/>
      <w:marBottom w:val="0"/>
      <w:divBdr>
        <w:top w:val="none" w:sz="0" w:space="0" w:color="auto"/>
        <w:left w:val="none" w:sz="0" w:space="0" w:color="auto"/>
        <w:bottom w:val="none" w:sz="0" w:space="0" w:color="auto"/>
        <w:right w:val="none" w:sz="0" w:space="0" w:color="auto"/>
      </w:divBdr>
      <w:divsChild>
        <w:div w:id="1334911567">
          <w:marLeft w:val="0"/>
          <w:marRight w:val="0"/>
          <w:marTop w:val="0"/>
          <w:marBottom w:val="0"/>
          <w:divBdr>
            <w:top w:val="none" w:sz="0" w:space="0" w:color="auto"/>
            <w:left w:val="none" w:sz="0" w:space="0" w:color="auto"/>
            <w:bottom w:val="none" w:sz="0" w:space="0" w:color="auto"/>
            <w:right w:val="none" w:sz="0" w:space="0" w:color="auto"/>
          </w:divBdr>
        </w:div>
      </w:divsChild>
    </w:div>
    <w:div w:id="1339505827">
      <w:bodyDiv w:val="1"/>
      <w:marLeft w:val="0"/>
      <w:marRight w:val="0"/>
      <w:marTop w:val="0"/>
      <w:marBottom w:val="0"/>
      <w:divBdr>
        <w:top w:val="none" w:sz="0" w:space="0" w:color="auto"/>
        <w:left w:val="none" w:sz="0" w:space="0" w:color="auto"/>
        <w:bottom w:val="none" w:sz="0" w:space="0" w:color="auto"/>
        <w:right w:val="none" w:sz="0" w:space="0" w:color="auto"/>
      </w:divBdr>
      <w:divsChild>
        <w:div w:id="1462532864">
          <w:marLeft w:val="0"/>
          <w:marRight w:val="0"/>
          <w:marTop w:val="0"/>
          <w:marBottom w:val="0"/>
          <w:divBdr>
            <w:top w:val="none" w:sz="0" w:space="0" w:color="auto"/>
            <w:left w:val="none" w:sz="0" w:space="0" w:color="auto"/>
            <w:bottom w:val="none" w:sz="0" w:space="0" w:color="auto"/>
            <w:right w:val="none" w:sz="0" w:space="0" w:color="auto"/>
          </w:divBdr>
        </w:div>
      </w:divsChild>
    </w:div>
    <w:div w:id="1586500909">
      <w:bodyDiv w:val="1"/>
      <w:marLeft w:val="0"/>
      <w:marRight w:val="0"/>
      <w:marTop w:val="0"/>
      <w:marBottom w:val="0"/>
      <w:divBdr>
        <w:top w:val="none" w:sz="0" w:space="0" w:color="auto"/>
        <w:left w:val="none" w:sz="0" w:space="0" w:color="auto"/>
        <w:bottom w:val="none" w:sz="0" w:space="0" w:color="auto"/>
        <w:right w:val="none" w:sz="0" w:space="0" w:color="auto"/>
      </w:divBdr>
      <w:divsChild>
        <w:div w:id="420178951">
          <w:marLeft w:val="0"/>
          <w:marRight w:val="0"/>
          <w:marTop w:val="0"/>
          <w:marBottom w:val="0"/>
          <w:divBdr>
            <w:top w:val="none" w:sz="0" w:space="0" w:color="auto"/>
            <w:left w:val="none" w:sz="0" w:space="0" w:color="auto"/>
            <w:bottom w:val="none" w:sz="0" w:space="0" w:color="auto"/>
            <w:right w:val="none" w:sz="0" w:space="0" w:color="auto"/>
          </w:divBdr>
        </w:div>
      </w:divsChild>
    </w:div>
    <w:div w:id="1601716413">
      <w:bodyDiv w:val="1"/>
      <w:marLeft w:val="0"/>
      <w:marRight w:val="0"/>
      <w:marTop w:val="0"/>
      <w:marBottom w:val="0"/>
      <w:divBdr>
        <w:top w:val="none" w:sz="0" w:space="0" w:color="auto"/>
        <w:left w:val="none" w:sz="0" w:space="0" w:color="auto"/>
        <w:bottom w:val="none" w:sz="0" w:space="0" w:color="auto"/>
        <w:right w:val="none" w:sz="0" w:space="0" w:color="auto"/>
      </w:divBdr>
    </w:div>
    <w:div w:id="1613055689">
      <w:bodyDiv w:val="1"/>
      <w:marLeft w:val="0"/>
      <w:marRight w:val="0"/>
      <w:marTop w:val="0"/>
      <w:marBottom w:val="0"/>
      <w:divBdr>
        <w:top w:val="none" w:sz="0" w:space="0" w:color="auto"/>
        <w:left w:val="none" w:sz="0" w:space="0" w:color="auto"/>
        <w:bottom w:val="none" w:sz="0" w:space="0" w:color="auto"/>
        <w:right w:val="none" w:sz="0" w:space="0" w:color="auto"/>
      </w:divBdr>
    </w:div>
    <w:div w:id="1667592357">
      <w:bodyDiv w:val="1"/>
      <w:marLeft w:val="0"/>
      <w:marRight w:val="0"/>
      <w:marTop w:val="0"/>
      <w:marBottom w:val="0"/>
      <w:divBdr>
        <w:top w:val="none" w:sz="0" w:space="0" w:color="auto"/>
        <w:left w:val="none" w:sz="0" w:space="0" w:color="auto"/>
        <w:bottom w:val="none" w:sz="0" w:space="0" w:color="auto"/>
        <w:right w:val="none" w:sz="0" w:space="0" w:color="auto"/>
      </w:divBdr>
    </w:div>
    <w:div w:id="1813018994">
      <w:bodyDiv w:val="1"/>
      <w:marLeft w:val="0"/>
      <w:marRight w:val="0"/>
      <w:marTop w:val="0"/>
      <w:marBottom w:val="0"/>
      <w:divBdr>
        <w:top w:val="none" w:sz="0" w:space="0" w:color="auto"/>
        <w:left w:val="none" w:sz="0" w:space="0" w:color="auto"/>
        <w:bottom w:val="none" w:sz="0" w:space="0" w:color="auto"/>
        <w:right w:val="none" w:sz="0" w:space="0" w:color="auto"/>
      </w:divBdr>
    </w:div>
    <w:div w:id="1858501504">
      <w:bodyDiv w:val="1"/>
      <w:marLeft w:val="0"/>
      <w:marRight w:val="0"/>
      <w:marTop w:val="0"/>
      <w:marBottom w:val="0"/>
      <w:divBdr>
        <w:top w:val="none" w:sz="0" w:space="0" w:color="auto"/>
        <w:left w:val="none" w:sz="0" w:space="0" w:color="auto"/>
        <w:bottom w:val="none" w:sz="0" w:space="0" w:color="auto"/>
        <w:right w:val="none" w:sz="0" w:space="0" w:color="auto"/>
      </w:divBdr>
    </w:div>
    <w:div w:id="1881167044">
      <w:bodyDiv w:val="1"/>
      <w:marLeft w:val="0"/>
      <w:marRight w:val="0"/>
      <w:marTop w:val="0"/>
      <w:marBottom w:val="0"/>
      <w:divBdr>
        <w:top w:val="none" w:sz="0" w:space="0" w:color="auto"/>
        <w:left w:val="none" w:sz="0" w:space="0" w:color="auto"/>
        <w:bottom w:val="none" w:sz="0" w:space="0" w:color="auto"/>
        <w:right w:val="none" w:sz="0" w:space="0" w:color="auto"/>
      </w:divBdr>
      <w:divsChild>
        <w:div w:id="797380362">
          <w:marLeft w:val="0"/>
          <w:marRight w:val="0"/>
          <w:marTop w:val="0"/>
          <w:marBottom w:val="0"/>
          <w:divBdr>
            <w:top w:val="none" w:sz="0" w:space="0" w:color="auto"/>
            <w:left w:val="none" w:sz="0" w:space="0" w:color="auto"/>
            <w:bottom w:val="none" w:sz="0" w:space="0" w:color="auto"/>
            <w:right w:val="none" w:sz="0" w:space="0" w:color="auto"/>
          </w:divBdr>
          <w:divsChild>
            <w:div w:id="1555777976">
              <w:marLeft w:val="0"/>
              <w:marRight w:val="0"/>
              <w:marTop w:val="0"/>
              <w:marBottom w:val="0"/>
              <w:divBdr>
                <w:top w:val="none" w:sz="0" w:space="0" w:color="auto"/>
                <w:left w:val="none" w:sz="0" w:space="0" w:color="auto"/>
                <w:bottom w:val="none" w:sz="0" w:space="0" w:color="auto"/>
                <w:right w:val="none" w:sz="0" w:space="0" w:color="auto"/>
              </w:divBdr>
              <w:divsChild>
                <w:div w:id="537359390">
                  <w:marLeft w:val="0"/>
                  <w:marRight w:val="0"/>
                  <w:marTop w:val="0"/>
                  <w:marBottom w:val="0"/>
                  <w:divBdr>
                    <w:top w:val="none" w:sz="0" w:space="0" w:color="auto"/>
                    <w:left w:val="none" w:sz="0" w:space="0" w:color="auto"/>
                    <w:bottom w:val="none" w:sz="0" w:space="0" w:color="auto"/>
                    <w:right w:val="none" w:sz="0" w:space="0" w:color="auto"/>
                  </w:divBdr>
                  <w:divsChild>
                    <w:div w:id="886986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32002100">
          <w:marLeft w:val="0"/>
          <w:marRight w:val="0"/>
          <w:marTop w:val="0"/>
          <w:marBottom w:val="0"/>
          <w:divBdr>
            <w:top w:val="none" w:sz="0" w:space="0" w:color="auto"/>
            <w:left w:val="none" w:sz="0" w:space="0" w:color="auto"/>
            <w:bottom w:val="none" w:sz="0" w:space="0" w:color="auto"/>
            <w:right w:val="none" w:sz="0" w:space="0" w:color="auto"/>
          </w:divBdr>
          <w:divsChild>
            <w:div w:id="1662538485">
              <w:marLeft w:val="0"/>
              <w:marRight w:val="0"/>
              <w:marTop w:val="0"/>
              <w:marBottom w:val="0"/>
              <w:divBdr>
                <w:top w:val="none" w:sz="0" w:space="0" w:color="auto"/>
                <w:left w:val="none" w:sz="0" w:space="0" w:color="auto"/>
                <w:bottom w:val="none" w:sz="0" w:space="0" w:color="auto"/>
                <w:right w:val="none" w:sz="0" w:space="0" w:color="auto"/>
              </w:divBdr>
              <w:divsChild>
                <w:div w:id="681855921">
                  <w:marLeft w:val="0"/>
                  <w:marRight w:val="0"/>
                  <w:marTop w:val="0"/>
                  <w:marBottom w:val="0"/>
                  <w:divBdr>
                    <w:top w:val="none" w:sz="0" w:space="0" w:color="auto"/>
                    <w:left w:val="none" w:sz="0" w:space="0" w:color="auto"/>
                    <w:bottom w:val="none" w:sz="0" w:space="0" w:color="auto"/>
                    <w:right w:val="none" w:sz="0" w:space="0" w:color="auto"/>
                  </w:divBdr>
                  <w:divsChild>
                    <w:div w:id="198739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3180600">
          <w:marLeft w:val="0"/>
          <w:marRight w:val="0"/>
          <w:marTop w:val="0"/>
          <w:marBottom w:val="0"/>
          <w:divBdr>
            <w:top w:val="none" w:sz="0" w:space="0" w:color="auto"/>
            <w:left w:val="none" w:sz="0" w:space="0" w:color="auto"/>
            <w:bottom w:val="none" w:sz="0" w:space="0" w:color="auto"/>
            <w:right w:val="none" w:sz="0" w:space="0" w:color="auto"/>
          </w:divBdr>
          <w:divsChild>
            <w:div w:id="376441256">
              <w:marLeft w:val="0"/>
              <w:marRight w:val="0"/>
              <w:marTop w:val="0"/>
              <w:marBottom w:val="0"/>
              <w:divBdr>
                <w:top w:val="none" w:sz="0" w:space="0" w:color="auto"/>
                <w:left w:val="none" w:sz="0" w:space="0" w:color="auto"/>
                <w:bottom w:val="none" w:sz="0" w:space="0" w:color="auto"/>
                <w:right w:val="none" w:sz="0" w:space="0" w:color="auto"/>
              </w:divBdr>
              <w:divsChild>
                <w:div w:id="90201362">
                  <w:marLeft w:val="0"/>
                  <w:marRight w:val="0"/>
                  <w:marTop w:val="0"/>
                  <w:marBottom w:val="0"/>
                  <w:divBdr>
                    <w:top w:val="none" w:sz="0" w:space="0" w:color="auto"/>
                    <w:left w:val="none" w:sz="0" w:space="0" w:color="auto"/>
                    <w:bottom w:val="none" w:sz="0" w:space="0" w:color="auto"/>
                    <w:right w:val="none" w:sz="0" w:space="0" w:color="auto"/>
                  </w:divBdr>
                  <w:divsChild>
                    <w:div w:id="615596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350534">
          <w:marLeft w:val="0"/>
          <w:marRight w:val="0"/>
          <w:marTop w:val="0"/>
          <w:marBottom w:val="0"/>
          <w:divBdr>
            <w:top w:val="none" w:sz="0" w:space="0" w:color="auto"/>
            <w:left w:val="none" w:sz="0" w:space="0" w:color="auto"/>
            <w:bottom w:val="none" w:sz="0" w:space="0" w:color="auto"/>
            <w:right w:val="none" w:sz="0" w:space="0" w:color="auto"/>
          </w:divBdr>
          <w:divsChild>
            <w:div w:id="1168012079">
              <w:marLeft w:val="0"/>
              <w:marRight w:val="0"/>
              <w:marTop w:val="0"/>
              <w:marBottom w:val="0"/>
              <w:divBdr>
                <w:top w:val="none" w:sz="0" w:space="0" w:color="auto"/>
                <w:left w:val="none" w:sz="0" w:space="0" w:color="auto"/>
                <w:bottom w:val="none" w:sz="0" w:space="0" w:color="auto"/>
                <w:right w:val="none" w:sz="0" w:space="0" w:color="auto"/>
              </w:divBdr>
              <w:divsChild>
                <w:div w:id="1669753298">
                  <w:marLeft w:val="0"/>
                  <w:marRight w:val="0"/>
                  <w:marTop w:val="0"/>
                  <w:marBottom w:val="0"/>
                  <w:divBdr>
                    <w:top w:val="none" w:sz="0" w:space="0" w:color="auto"/>
                    <w:left w:val="none" w:sz="0" w:space="0" w:color="auto"/>
                    <w:bottom w:val="none" w:sz="0" w:space="0" w:color="auto"/>
                    <w:right w:val="none" w:sz="0" w:space="0" w:color="auto"/>
                  </w:divBdr>
                  <w:divsChild>
                    <w:div w:id="551233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993293">
          <w:blockQuote w:val="1"/>
          <w:marLeft w:val="720"/>
          <w:marRight w:val="720"/>
          <w:marTop w:val="100"/>
          <w:marBottom w:val="100"/>
          <w:divBdr>
            <w:top w:val="none" w:sz="0" w:space="0" w:color="auto"/>
            <w:left w:val="none" w:sz="0" w:space="0" w:color="auto"/>
            <w:bottom w:val="none" w:sz="0" w:space="0" w:color="auto"/>
            <w:right w:val="none" w:sz="0" w:space="0" w:color="auto"/>
          </w:divBdr>
        </w:div>
        <w:div w:id="950671191">
          <w:marLeft w:val="0"/>
          <w:marRight w:val="0"/>
          <w:marTop w:val="0"/>
          <w:marBottom w:val="0"/>
          <w:divBdr>
            <w:top w:val="none" w:sz="0" w:space="0" w:color="auto"/>
            <w:left w:val="none" w:sz="0" w:space="0" w:color="auto"/>
            <w:bottom w:val="none" w:sz="0" w:space="0" w:color="auto"/>
            <w:right w:val="none" w:sz="0" w:space="0" w:color="auto"/>
          </w:divBdr>
          <w:divsChild>
            <w:div w:id="647590064">
              <w:marLeft w:val="0"/>
              <w:marRight w:val="0"/>
              <w:marTop w:val="0"/>
              <w:marBottom w:val="0"/>
              <w:divBdr>
                <w:top w:val="none" w:sz="0" w:space="0" w:color="auto"/>
                <w:left w:val="none" w:sz="0" w:space="0" w:color="auto"/>
                <w:bottom w:val="none" w:sz="0" w:space="0" w:color="auto"/>
                <w:right w:val="none" w:sz="0" w:space="0" w:color="auto"/>
              </w:divBdr>
              <w:divsChild>
                <w:div w:id="1571041037">
                  <w:marLeft w:val="0"/>
                  <w:marRight w:val="0"/>
                  <w:marTop w:val="0"/>
                  <w:marBottom w:val="0"/>
                  <w:divBdr>
                    <w:top w:val="none" w:sz="0" w:space="0" w:color="auto"/>
                    <w:left w:val="none" w:sz="0" w:space="0" w:color="auto"/>
                    <w:bottom w:val="none" w:sz="0" w:space="0" w:color="auto"/>
                    <w:right w:val="none" w:sz="0" w:space="0" w:color="auto"/>
                  </w:divBdr>
                  <w:divsChild>
                    <w:div w:id="168428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1458019">
          <w:marLeft w:val="0"/>
          <w:marRight w:val="0"/>
          <w:marTop w:val="0"/>
          <w:marBottom w:val="0"/>
          <w:divBdr>
            <w:top w:val="none" w:sz="0" w:space="0" w:color="auto"/>
            <w:left w:val="none" w:sz="0" w:space="0" w:color="auto"/>
            <w:bottom w:val="none" w:sz="0" w:space="0" w:color="auto"/>
            <w:right w:val="none" w:sz="0" w:space="0" w:color="auto"/>
          </w:divBdr>
          <w:divsChild>
            <w:div w:id="1472094494">
              <w:marLeft w:val="0"/>
              <w:marRight w:val="0"/>
              <w:marTop w:val="0"/>
              <w:marBottom w:val="0"/>
              <w:divBdr>
                <w:top w:val="none" w:sz="0" w:space="0" w:color="auto"/>
                <w:left w:val="none" w:sz="0" w:space="0" w:color="auto"/>
                <w:bottom w:val="none" w:sz="0" w:space="0" w:color="auto"/>
                <w:right w:val="none" w:sz="0" w:space="0" w:color="auto"/>
              </w:divBdr>
              <w:divsChild>
                <w:div w:id="919483992">
                  <w:marLeft w:val="0"/>
                  <w:marRight w:val="0"/>
                  <w:marTop w:val="0"/>
                  <w:marBottom w:val="0"/>
                  <w:divBdr>
                    <w:top w:val="none" w:sz="0" w:space="0" w:color="auto"/>
                    <w:left w:val="none" w:sz="0" w:space="0" w:color="auto"/>
                    <w:bottom w:val="none" w:sz="0" w:space="0" w:color="auto"/>
                    <w:right w:val="none" w:sz="0" w:space="0" w:color="auto"/>
                  </w:divBdr>
                  <w:divsChild>
                    <w:div w:id="302857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0145013">
      <w:bodyDiv w:val="1"/>
      <w:marLeft w:val="0"/>
      <w:marRight w:val="0"/>
      <w:marTop w:val="0"/>
      <w:marBottom w:val="0"/>
      <w:divBdr>
        <w:top w:val="none" w:sz="0" w:space="0" w:color="auto"/>
        <w:left w:val="none" w:sz="0" w:space="0" w:color="auto"/>
        <w:bottom w:val="none" w:sz="0" w:space="0" w:color="auto"/>
        <w:right w:val="none" w:sz="0" w:space="0" w:color="auto"/>
      </w:divBdr>
      <w:divsChild>
        <w:div w:id="5436428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emf"/><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package" Target="embeddings/Microsoft_Excel_Worksheet.xlsx"/><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package" Target="embeddings/Microsoft_Word_Document.docx"/><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oleObject" Target="embeddings/oleObject1.bin"/><Relationship Id="rId10" Type="http://schemas.openxmlformats.org/officeDocument/2006/relationships/image" Target="media/image3.emf"/><Relationship Id="rId19" Type="http://schemas.openxmlformats.org/officeDocument/2006/relationships/package" Target="embeddings/Microsoft_Word_Document1.docx"/><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AEFFCF-C087-4CE9-96DD-3BD10CAB10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88</Pages>
  <Words>22995</Words>
  <Characters>131078</Characters>
  <Application>Microsoft Office Word</Application>
  <DocSecurity>0</DocSecurity>
  <Lines>1092</Lines>
  <Paragraphs>307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2026-09-24T06:59:00Z</dcterms:created>
  <dcterms:modified xsi:type="dcterms:W3CDTF">2026-09-24T21:52:00Z</dcterms:modified>
</cp:coreProperties>
</file>