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5AF1" w:rsidRDefault="004315C7">
      <w:r>
        <w:t>Character Dossier</w:t>
      </w:r>
    </w:p>
    <w:p w:rsidR="00435AF1" w:rsidRDefault="00F11B95">
      <w:r>
        <w:t xml:space="preserve">My character for the module, is a high ranking official within the court of the </w:t>
      </w:r>
      <w:r w:rsidR="0064758E">
        <w:t>S</w:t>
      </w:r>
      <w:r>
        <w:t xml:space="preserve">atrapy of Media and Persia. She serves as an advisor to the </w:t>
      </w:r>
      <w:r w:rsidR="0064758E">
        <w:t>S</w:t>
      </w:r>
      <w:r>
        <w:t>atrap on both economic and military matters and when the need arises has also served as an ambassador to other civilisations and to the S</w:t>
      </w:r>
      <w:r w:rsidRPr="00F11B95">
        <w:t>eleucid</w:t>
      </w:r>
      <w:r>
        <w:t xml:space="preserve"> Royal Court. My character is from Persia as is historically accurate for the time, as despite the area being under the official control of the </w:t>
      </w:r>
      <w:r>
        <w:t>S</w:t>
      </w:r>
      <w:r w:rsidRPr="00F11B95">
        <w:t>eleucid</w:t>
      </w:r>
      <w:r>
        <w:t xml:space="preserve"> </w:t>
      </w:r>
      <w:r>
        <w:t xml:space="preserve">Empire, day to day governance continued much as it had during the </w:t>
      </w:r>
      <w:proofErr w:type="spellStart"/>
      <w:r>
        <w:t>Achaemenid</w:t>
      </w:r>
      <w:proofErr w:type="spellEnd"/>
      <w:r>
        <w:t xml:space="preserve"> </w:t>
      </w:r>
      <w:r w:rsidR="0064758E">
        <w:t xml:space="preserve">Empire with both </w:t>
      </w:r>
      <w:r w:rsidR="0064758E">
        <w:t>S</w:t>
      </w:r>
      <w:r w:rsidR="0064758E" w:rsidRPr="00F11B95">
        <w:t>eleucid</w:t>
      </w:r>
      <w:r w:rsidR="0064758E">
        <w:t xml:space="preserve"> </w:t>
      </w:r>
      <w:r w:rsidR="0064758E">
        <w:t>and Persian officials being members of the Satraps court</w:t>
      </w:r>
      <w:sdt>
        <w:sdtPr>
          <w:id w:val="-1810241837"/>
          <w:citation/>
        </w:sdtPr>
        <w:sdtContent>
          <w:r w:rsidR="006E4F13">
            <w:fldChar w:fldCharType="begin"/>
          </w:r>
          <w:r w:rsidR="006E4F13">
            <w:instrText xml:space="preserve">CITATION Dus13 \p 32 \l 2057 </w:instrText>
          </w:r>
          <w:r w:rsidR="006E4F13">
            <w:fldChar w:fldCharType="separate"/>
          </w:r>
          <w:r w:rsidR="008B59B0">
            <w:rPr>
              <w:noProof/>
            </w:rPr>
            <w:t xml:space="preserve"> </w:t>
          </w:r>
          <w:r w:rsidR="008B59B0" w:rsidRPr="008B59B0">
            <w:rPr>
              <w:noProof/>
            </w:rPr>
            <w:t>(Dusinberre, 2013, p. 32)</w:t>
          </w:r>
          <w:r w:rsidR="006E4F13">
            <w:fldChar w:fldCharType="end"/>
          </w:r>
        </w:sdtContent>
      </w:sdt>
      <w:r w:rsidR="0064758E">
        <w:t>.</w:t>
      </w:r>
    </w:p>
    <w:p w:rsidR="0064758E" w:rsidRPr="004E28EA" w:rsidRDefault="0064758E">
      <w:pPr>
        <w:rPr>
          <w:rFonts w:cs="Arial"/>
          <w:shd w:val="clear" w:color="auto" w:fill="FFFFFF"/>
          <w:lang w:val="en"/>
        </w:rPr>
      </w:pPr>
      <w:r>
        <w:t xml:space="preserve">My character’s name is </w:t>
      </w:r>
      <w:proofErr w:type="spellStart"/>
      <w:r>
        <w:t>Amitis</w:t>
      </w:r>
      <w:proofErr w:type="spellEnd"/>
      <w:r>
        <w:t>, having been named after both the wife of Cyrus the Great</w:t>
      </w:r>
      <w:sdt>
        <w:sdtPr>
          <w:id w:val="897328390"/>
          <w:citation/>
        </w:sdtPr>
        <w:sdtContent>
          <w:r w:rsidR="00AC2FC6">
            <w:fldChar w:fldCharType="begin"/>
          </w:r>
          <w:r w:rsidR="00AC2FC6">
            <w:instrText xml:space="preserve">CITATION Mal72 \p 1-17 \l 2057 </w:instrText>
          </w:r>
          <w:r w:rsidR="00AC2FC6">
            <w:fldChar w:fldCharType="separate"/>
          </w:r>
          <w:r w:rsidR="008B59B0">
            <w:rPr>
              <w:noProof/>
            </w:rPr>
            <w:t xml:space="preserve"> </w:t>
          </w:r>
          <w:r w:rsidR="008B59B0" w:rsidRPr="008B59B0">
            <w:rPr>
              <w:noProof/>
            </w:rPr>
            <w:t>(Mallowan, 1972, pp. 1-17)</w:t>
          </w:r>
          <w:r w:rsidR="00AC2FC6">
            <w:fldChar w:fldCharType="end"/>
          </w:r>
        </w:sdtContent>
      </w:sdt>
      <w:r>
        <w:t xml:space="preserve"> and </w:t>
      </w:r>
      <w:proofErr w:type="spellStart"/>
      <w:r>
        <w:t>Amytis</w:t>
      </w:r>
      <w:proofErr w:type="spellEnd"/>
      <w:r>
        <w:t xml:space="preserve"> a princess of the </w:t>
      </w:r>
      <w:proofErr w:type="spellStart"/>
      <w:r>
        <w:t>Achaemenid</w:t>
      </w:r>
      <w:proofErr w:type="spellEnd"/>
      <w:r>
        <w:t xml:space="preserve"> Empire and </w:t>
      </w:r>
      <w:r w:rsidR="0042359C">
        <w:t>the wife of</w:t>
      </w:r>
      <w:r w:rsidR="0042359C">
        <w:rPr>
          <w:rFonts w:ascii="Arial" w:hAnsi="Arial" w:cs="Arial"/>
          <w:color w:val="222222"/>
          <w:sz w:val="21"/>
          <w:szCs w:val="21"/>
          <w:shd w:val="clear" w:color="auto" w:fill="FFFFFF"/>
        </w:rPr>
        <w:t xml:space="preserve"> </w:t>
      </w:r>
      <w:proofErr w:type="spellStart"/>
      <w:r w:rsidR="0042359C" w:rsidRPr="0042359C">
        <w:rPr>
          <w:rFonts w:cs="Arial"/>
          <w:shd w:val="clear" w:color="auto" w:fill="FFFFFF"/>
        </w:rPr>
        <w:t>Megabyzus</w:t>
      </w:r>
      <w:proofErr w:type="spellEnd"/>
      <w:sdt>
        <w:sdtPr>
          <w:rPr>
            <w:rFonts w:cs="Arial"/>
            <w:shd w:val="clear" w:color="auto" w:fill="FFFFFF"/>
          </w:rPr>
          <w:id w:val="297502706"/>
          <w:citation/>
        </w:sdtPr>
        <w:sdtContent>
          <w:r w:rsidR="00066DA4">
            <w:rPr>
              <w:rFonts w:cs="Arial"/>
              <w:shd w:val="clear" w:color="auto" w:fill="FFFFFF"/>
            </w:rPr>
            <w:fldChar w:fldCharType="begin"/>
          </w:r>
          <w:r w:rsidR="00066DA4">
            <w:rPr>
              <w:rFonts w:cs="Arial"/>
              <w:shd w:val="clear" w:color="auto" w:fill="FFFFFF"/>
            </w:rPr>
            <w:instrText xml:space="preserve">CITATION Gra96 \p 119 \l 2057 </w:instrText>
          </w:r>
          <w:r w:rsidR="00066DA4">
            <w:rPr>
              <w:rFonts w:cs="Arial"/>
              <w:shd w:val="clear" w:color="auto" w:fill="FFFFFF"/>
            </w:rPr>
            <w:fldChar w:fldCharType="separate"/>
          </w:r>
          <w:r w:rsidR="008B59B0">
            <w:rPr>
              <w:rFonts w:cs="Arial"/>
              <w:noProof/>
              <w:shd w:val="clear" w:color="auto" w:fill="FFFFFF"/>
            </w:rPr>
            <w:t xml:space="preserve"> </w:t>
          </w:r>
          <w:r w:rsidR="008B59B0" w:rsidRPr="008B59B0">
            <w:rPr>
              <w:rFonts w:cs="Arial"/>
              <w:noProof/>
              <w:shd w:val="clear" w:color="auto" w:fill="FFFFFF"/>
            </w:rPr>
            <w:t>(Granger, 1996, p. 119)</w:t>
          </w:r>
          <w:r w:rsidR="00066DA4">
            <w:rPr>
              <w:rFonts w:cs="Arial"/>
              <w:shd w:val="clear" w:color="auto" w:fill="FFFFFF"/>
            </w:rPr>
            <w:fldChar w:fldCharType="end"/>
          </w:r>
        </w:sdtContent>
      </w:sdt>
      <w:r w:rsidR="0042359C">
        <w:rPr>
          <w:rFonts w:cs="Arial"/>
          <w:shd w:val="clear" w:color="auto" w:fill="FFFFFF"/>
        </w:rPr>
        <w:t>. My character, despite being a member of the court of the Satrapy of Media and Persia, was born in a more rural area of the Satrapy</w:t>
      </w:r>
      <w:sdt>
        <w:sdtPr>
          <w:rPr>
            <w:rFonts w:cs="Arial"/>
            <w:shd w:val="clear" w:color="auto" w:fill="FFFFFF"/>
          </w:rPr>
          <w:id w:val="-982465029"/>
          <w:citation/>
        </w:sdtPr>
        <w:sdtContent>
          <w:r w:rsidR="006E4F13">
            <w:rPr>
              <w:rFonts w:cs="Arial"/>
              <w:shd w:val="clear" w:color="auto" w:fill="FFFFFF"/>
            </w:rPr>
            <w:fldChar w:fldCharType="begin"/>
          </w:r>
          <w:r w:rsidR="006E4F13">
            <w:rPr>
              <w:rFonts w:cs="Arial"/>
              <w:shd w:val="clear" w:color="auto" w:fill="FFFFFF"/>
            </w:rPr>
            <w:instrText xml:space="preserve">CITATION Tup87 \p 110 \l 2057 </w:instrText>
          </w:r>
          <w:r w:rsidR="006E4F13">
            <w:rPr>
              <w:rFonts w:cs="Arial"/>
              <w:shd w:val="clear" w:color="auto" w:fill="FFFFFF"/>
            </w:rPr>
            <w:fldChar w:fldCharType="separate"/>
          </w:r>
          <w:r w:rsidR="008B59B0">
            <w:rPr>
              <w:rFonts w:cs="Arial"/>
              <w:noProof/>
              <w:shd w:val="clear" w:color="auto" w:fill="FFFFFF"/>
            </w:rPr>
            <w:t xml:space="preserve"> </w:t>
          </w:r>
          <w:r w:rsidR="008B59B0" w:rsidRPr="008B59B0">
            <w:rPr>
              <w:rFonts w:cs="Arial"/>
              <w:noProof/>
              <w:shd w:val="clear" w:color="auto" w:fill="FFFFFF"/>
            </w:rPr>
            <w:t>(Tuplin, 1987, p. 110)</w:t>
          </w:r>
          <w:r w:rsidR="006E4F13">
            <w:rPr>
              <w:rFonts w:cs="Arial"/>
              <w:shd w:val="clear" w:color="auto" w:fill="FFFFFF"/>
            </w:rPr>
            <w:fldChar w:fldCharType="end"/>
          </w:r>
        </w:sdtContent>
      </w:sdt>
      <w:r w:rsidR="0042359C">
        <w:rPr>
          <w:rFonts w:cs="Arial"/>
          <w:shd w:val="clear" w:color="auto" w:fill="FFFFFF"/>
        </w:rPr>
        <w:t xml:space="preserve">. </w:t>
      </w:r>
      <w:r w:rsidR="00315BC3">
        <w:rPr>
          <w:rFonts w:cs="Arial"/>
          <w:shd w:val="clear" w:color="auto" w:fill="FFFFFF"/>
        </w:rPr>
        <w:t>H</w:t>
      </w:r>
      <w:r w:rsidR="0042359C">
        <w:rPr>
          <w:rFonts w:cs="Arial"/>
          <w:shd w:val="clear" w:color="auto" w:fill="FFFFFF"/>
        </w:rPr>
        <w:t>owever</w:t>
      </w:r>
      <w:r w:rsidR="00315BC3">
        <w:rPr>
          <w:rFonts w:cs="Arial"/>
          <w:shd w:val="clear" w:color="auto" w:fill="FFFFFF"/>
        </w:rPr>
        <w:t>,</w:t>
      </w:r>
      <w:r w:rsidR="0042359C">
        <w:rPr>
          <w:rFonts w:cs="Arial"/>
          <w:shd w:val="clear" w:color="auto" w:fill="FFFFFF"/>
        </w:rPr>
        <w:t xml:space="preserve"> due to of her father’s business, him being a high ranking merchant that travelled to many places for his business, she spent much of her young life in Persepolis </w:t>
      </w:r>
      <w:r w:rsidR="00315BC3">
        <w:rPr>
          <w:rFonts w:cs="Arial"/>
          <w:shd w:val="clear" w:color="auto" w:fill="FFFFFF"/>
        </w:rPr>
        <w:t>giving her a wider understanding of how different peoples live their lives</w:t>
      </w:r>
      <w:sdt>
        <w:sdtPr>
          <w:rPr>
            <w:rFonts w:cs="Arial"/>
            <w:shd w:val="clear" w:color="auto" w:fill="FFFFFF"/>
          </w:rPr>
          <w:id w:val="-322591963"/>
          <w:citation/>
        </w:sdtPr>
        <w:sdtContent>
          <w:r w:rsidR="00AC2FC6">
            <w:rPr>
              <w:rFonts w:cs="Arial"/>
              <w:shd w:val="clear" w:color="auto" w:fill="FFFFFF"/>
            </w:rPr>
            <w:fldChar w:fldCharType="begin"/>
          </w:r>
          <w:r w:rsidR="00AC2FC6">
            <w:rPr>
              <w:rFonts w:cs="Arial"/>
              <w:shd w:val="clear" w:color="auto" w:fill="FFFFFF"/>
            </w:rPr>
            <w:instrText xml:space="preserve">CITATION Nem98 \p 28 \l 2057 </w:instrText>
          </w:r>
          <w:r w:rsidR="00AC2FC6">
            <w:rPr>
              <w:rFonts w:cs="Arial"/>
              <w:shd w:val="clear" w:color="auto" w:fill="FFFFFF"/>
            </w:rPr>
            <w:fldChar w:fldCharType="separate"/>
          </w:r>
          <w:r w:rsidR="008B59B0">
            <w:rPr>
              <w:rFonts w:cs="Arial"/>
              <w:noProof/>
              <w:shd w:val="clear" w:color="auto" w:fill="FFFFFF"/>
            </w:rPr>
            <w:t xml:space="preserve"> </w:t>
          </w:r>
          <w:r w:rsidR="008B59B0" w:rsidRPr="008B59B0">
            <w:rPr>
              <w:rFonts w:cs="Arial"/>
              <w:noProof/>
              <w:shd w:val="clear" w:color="auto" w:fill="FFFFFF"/>
            </w:rPr>
            <w:t>(Nemet-Nejat, 1998, p. 28)</w:t>
          </w:r>
          <w:r w:rsidR="00AC2FC6">
            <w:rPr>
              <w:rFonts w:cs="Arial"/>
              <w:shd w:val="clear" w:color="auto" w:fill="FFFFFF"/>
            </w:rPr>
            <w:fldChar w:fldCharType="end"/>
          </w:r>
        </w:sdtContent>
      </w:sdt>
      <w:r w:rsidR="00315BC3">
        <w:rPr>
          <w:rFonts w:cs="Arial"/>
          <w:shd w:val="clear" w:color="auto" w:fill="FFFFFF"/>
        </w:rPr>
        <w:t xml:space="preserve">. </w:t>
      </w:r>
      <w:r w:rsidR="00D90217">
        <w:rPr>
          <w:rFonts w:cs="Arial"/>
          <w:shd w:val="clear" w:color="auto" w:fill="FFFFFF"/>
        </w:rPr>
        <w:t xml:space="preserve">Due to the great amount of time she spent within the cities, she has a great appreciation for </w:t>
      </w:r>
      <w:r w:rsidR="004E28EA">
        <w:rPr>
          <w:rFonts w:cs="Arial"/>
          <w:shd w:val="clear" w:color="auto" w:fill="FFFFFF"/>
        </w:rPr>
        <w:t xml:space="preserve">nature, and when not working, she spends much of her time in the gardens of where she is, though her favourite gardens are those at </w:t>
      </w:r>
      <w:r w:rsidR="004E28EA" w:rsidRPr="004E28EA">
        <w:rPr>
          <w:rFonts w:cs="Arial"/>
          <w:shd w:val="clear" w:color="auto" w:fill="FFFFFF"/>
        </w:rPr>
        <w:t>Pasargadae</w:t>
      </w:r>
      <w:r w:rsidR="004E28EA">
        <w:rPr>
          <w:rFonts w:cs="Arial"/>
          <w:shd w:val="clear" w:color="auto" w:fill="FFFFFF"/>
        </w:rPr>
        <w:t>.</w:t>
      </w:r>
    </w:p>
    <w:p w:rsidR="004D1248" w:rsidRDefault="00D7457A">
      <w:pPr>
        <w:rPr>
          <w:rFonts w:cs="Arial"/>
          <w:shd w:val="clear" w:color="auto" w:fill="FFFFFF"/>
        </w:rPr>
      </w:pPr>
      <w:r>
        <w:rPr>
          <w:rFonts w:cs="Arial"/>
          <w:shd w:val="clear" w:color="auto" w:fill="FFFFFF"/>
        </w:rPr>
        <w:t>Despite having a head for trade and for figures and numbers, as taught to her by her father</w:t>
      </w:r>
      <w:sdt>
        <w:sdtPr>
          <w:rPr>
            <w:rFonts w:cs="Arial"/>
            <w:shd w:val="clear" w:color="auto" w:fill="FFFFFF"/>
          </w:rPr>
          <w:id w:val="1202989355"/>
          <w:citation/>
        </w:sdtPr>
        <w:sdtContent>
          <w:r w:rsidR="00AC2FC6">
            <w:rPr>
              <w:rFonts w:cs="Arial"/>
              <w:shd w:val="clear" w:color="auto" w:fill="FFFFFF"/>
            </w:rPr>
            <w:fldChar w:fldCharType="begin"/>
          </w:r>
          <w:r w:rsidR="00AC2FC6">
            <w:rPr>
              <w:rFonts w:cs="Arial"/>
              <w:shd w:val="clear" w:color="auto" w:fill="FFFFFF"/>
            </w:rPr>
            <w:instrText xml:space="preserve">CITATION Fis84 \p 12 \l 2057 </w:instrText>
          </w:r>
          <w:r w:rsidR="00AC2FC6">
            <w:rPr>
              <w:rFonts w:cs="Arial"/>
              <w:shd w:val="clear" w:color="auto" w:fill="FFFFFF"/>
            </w:rPr>
            <w:fldChar w:fldCharType="separate"/>
          </w:r>
          <w:r w:rsidR="008B59B0">
            <w:rPr>
              <w:rFonts w:cs="Arial"/>
              <w:noProof/>
              <w:shd w:val="clear" w:color="auto" w:fill="FFFFFF"/>
            </w:rPr>
            <w:t xml:space="preserve"> </w:t>
          </w:r>
          <w:r w:rsidR="008B59B0" w:rsidRPr="008B59B0">
            <w:rPr>
              <w:rFonts w:cs="Arial"/>
              <w:noProof/>
              <w:shd w:val="clear" w:color="auto" w:fill="FFFFFF"/>
            </w:rPr>
            <w:t>(Fisher, 1984, p. 12)</w:t>
          </w:r>
          <w:r w:rsidR="00AC2FC6">
            <w:rPr>
              <w:rFonts w:cs="Arial"/>
              <w:shd w:val="clear" w:color="auto" w:fill="FFFFFF"/>
            </w:rPr>
            <w:fldChar w:fldCharType="end"/>
          </w:r>
        </w:sdtContent>
      </w:sdt>
      <w:r w:rsidR="004D1248">
        <w:rPr>
          <w:rFonts w:cs="Arial"/>
          <w:shd w:val="clear" w:color="auto" w:fill="FFFFFF"/>
        </w:rPr>
        <w:t>, and despite having travelled with him on several of his trading excursions as she got older, my character is not comfortable on the road, and much prefers to stay within her homeland and keep her attention on internal matters. However due to her position in the court when she is called upon to travel to different courts to serve as an ambassador she does so, if with bad grace.</w:t>
      </w:r>
    </w:p>
    <w:p w:rsidR="0015245E" w:rsidRDefault="0015245E">
      <w:pPr>
        <w:rPr>
          <w:rFonts w:cs="Arial"/>
          <w:shd w:val="clear" w:color="auto" w:fill="FFFFFF"/>
        </w:rPr>
      </w:pPr>
      <w:r>
        <w:rPr>
          <w:rFonts w:cs="Arial"/>
          <w:shd w:val="clear" w:color="auto" w:fill="FFFFFF"/>
        </w:rPr>
        <w:t>Due to her position with dealing with economic matters my character has to be aware of the trade that is going on within and without Media and Persia, what goods are in demand outside Media and Persia and what goods are in demand within the society. One of the ways in which goods could travel at the time was by the Royal road built by Darius the Great and still in use during 225BC with stations that could provide fresh horses to riders along the route</w:t>
      </w:r>
      <w:sdt>
        <w:sdtPr>
          <w:rPr>
            <w:rFonts w:cs="Arial"/>
            <w:shd w:val="clear" w:color="auto" w:fill="FFFFFF"/>
          </w:rPr>
          <w:id w:val="-828601099"/>
          <w:citation/>
        </w:sdtPr>
        <w:sdtContent>
          <w:r w:rsidR="00004DEB">
            <w:rPr>
              <w:rFonts w:cs="Arial"/>
              <w:shd w:val="clear" w:color="auto" w:fill="FFFFFF"/>
            </w:rPr>
            <w:fldChar w:fldCharType="begin"/>
          </w:r>
          <w:r w:rsidR="00004DEB">
            <w:rPr>
              <w:rFonts w:cs="Arial"/>
              <w:shd w:val="clear" w:color="auto" w:fill="FFFFFF"/>
            </w:rPr>
            <w:instrText xml:space="preserve">CITATION Gra94 \p 189 \l 2057 </w:instrText>
          </w:r>
          <w:r w:rsidR="00004DEB">
            <w:rPr>
              <w:rFonts w:cs="Arial"/>
              <w:shd w:val="clear" w:color="auto" w:fill="FFFFFF"/>
            </w:rPr>
            <w:fldChar w:fldCharType="separate"/>
          </w:r>
          <w:r w:rsidR="008B59B0">
            <w:rPr>
              <w:rFonts w:cs="Arial"/>
              <w:noProof/>
              <w:shd w:val="clear" w:color="auto" w:fill="FFFFFF"/>
            </w:rPr>
            <w:t xml:space="preserve"> </w:t>
          </w:r>
          <w:r w:rsidR="008B59B0" w:rsidRPr="008B59B0">
            <w:rPr>
              <w:rFonts w:cs="Arial"/>
              <w:noProof/>
              <w:shd w:val="clear" w:color="auto" w:fill="FFFFFF"/>
            </w:rPr>
            <w:t>(Graf, 1994, p. 189)</w:t>
          </w:r>
          <w:r w:rsidR="00004DEB">
            <w:rPr>
              <w:rFonts w:cs="Arial"/>
              <w:shd w:val="clear" w:color="auto" w:fill="FFFFFF"/>
            </w:rPr>
            <w:fldChar w:fldCharType="end"/>
          </w:r>
        </w:sdtContent>
      </w:sdt>
      <w:r>
        <w:rPr>
          <w:rFonts w:cs="Arial"/>
          <w:shd w:val="clear" w:color="auto" w:fill="FFFFFF"/>
        </w:rPr>
        <w:t xml:space="preserve">. </w:t>
      </w:r>
      <w:r w:rsidR="0078227B">
        <w:rPr>
          <w:rFonts w:cs="Arial"/>
          <w:shd w:val="clear" w:color="auto" w:fill="FFFFFF"/>
        </w:rPr>
        <w:t>Media and Persia could export luxury items such as mirrors and vases, with some being exported as far as Egypt. They could also serve as a way point between East Asia and the Western courts and societies allowing the control of the trade of ivory, gold and perfumes from India</w:t>
      </w:r>
      <w:sdt>
        <w:sdtPr>
          <w:rPr>
            <w:rFonts w:cs="Arial"/>
            <w:shd w:val="clear" w:color="auto" w:fill="FFFFFF"/>
          </w:rPr>
          <w:id w:val="1332882093"/>
          <w:citation/>
        </w:sdtPr>
        <w:sdtContent>
          <w:r w:rsidR="00FF5BCE">
            <w:rPr>
              <w:rFonts w:cs="Arial"/>
              <w:shd w:val="clear" w:color="auto" w:fill="FFFFFF"/>
            </w:rPr>
            <w:fldChar w:fldCharType="begin"/>
          </w:r>
          <w:r w:rsidR="00FF5BCE">
            <w:rPr>
              <w:rFonts w:cs="Arial"/>
              <w:shd w:val="clear" w:color="auto" w:fill="FFFFFF"/>
            </w:rPr>
            <w:instrText xml:space="preserve">CITATION Fin73 \p 23 \l 2057 </w:instrText>
          </w:r>
          <w:r w:rsidR="00FF5BCE">
            <w:rPr>
              <w:rFonts w:cs="Arial"/>
              <w:shd w:val="clear" w:color="auto" w:fill="FFFFFF"/>
            </w:rPr>
            <w:fldChar w:fldCharType="separate"/>
          </w:r>
          <w:r w:rsidR="008B59B0">
            <w:rPr>
              <w:rFonts w:cs="Arial"/>
              <w:noProof/>
              <w:shd w:val="clear" w:color="auto" w:fill="FFFFFF"/>
            </w:rPr>
            <w:t xml:space="preserve"> </w:t>
          </w:r>
          <w:r w:rsidR="008B59B0" w:rsidRPr="008B59B0">
            <w:rPr>
              <w:rFonts w:cs="Arial"/>
              <w:noProof/>
              <w:shd w:val="clear" w:color="auto" w:fill="FFFFFF"/>
            </w:rPr>
            <w:t>(Finley, 1973, p. 23)</w:t>
          </w:r>
          <w:r w:rsidR="00FF5BCE">
            <w:rPr>
              <w:rFonts w:cs="Arial"/>
              <w:shd w:val="clear" w:color="auto" w:fill="FFFFFF"/>
            </w:rPr>
            <w:fldChar w:fldCharType="end"/>
          </w:r>
        </w:sdtContent>
      </w:sdt>
      <w:r w:rsidR="0078227B">
        <w:rPr>
          <w:rFonts w:cs="Arial"/>
          <w:shd w:val="clear" w:color="auto" w:fill="FFFFFF"/>
        </w:rPr>
        <w:t xml:space="preserve">, </w:t>
      </w:r>
      <w:r w:rsidR="00F535AF">
        <w:rPr>
          <w:rFonts w:cs="Arial"/>
          <w:shd w:val="clear" w:color="auto" w:fill="FFFFFF"/>
        </w:rPr>
        <w:t>whist the agriculture of Media and Persia would allow for the production and exportation of Barley and other crops to any society that would have need of them</w:t>
      </w:r>
      <w:sdt>
        <w:sdtPr>
          <w:rPr>
            <w:rFonts w:cs="Arial"/>
            <w:shd w:val="clear" w:color="auto" w:fill="FFFFFF"/>
          </w:rPr>
          <w:id w:val="1486824997"/>
          <w:citation/>
        </w:sdtPr>
        <w:sdtContent>
          <w:r w:rsidR="00004DEB">
            <w:rPr>
              <w:rFonts w:cs="Arial"/>
              <w:shd w:val="clear" w:color="auto" w:fill="FFFFFF"/>
            </w:rPr>
            <w:fldChar w:fldCharType="begin"/>
          </w:r>
          <w:r w:rsidR="00004DEB">
            <w:rPr>
              <w:rFonts w:cs="Arial"/>
              <w:shd w:val="clear" w:color="auto" w:fill="FFFFFF"/>
            </w:rPr>
            <w:instrText xml:space="preserve">CITATION Dan72 \p 258-64 \l 2057 </w:instrText>
          </w:r>
          <w:r w:rsidR="00004DEB">
            <w:rPr>
              <w:rFonts w:cs="Arial"/>
              <w:shd w:val="clear" w:color="auto" w:fill="FFFFFF"/>
            </w:rPr>
            <w:fldChar w:fldCharType="separate"/>
          </w:r>
          <w:r w:rsidR="008B59B0">
            <w:rPr>
              <w:rFonts w:cs="Arial"/>
              <w:noProof/>
              <w:shd w:val="clear" w:color="auto" w:fill="FFFFFF"/>
            </w:rPr>
            <w:t xml:space="preserve"> </w:t>
          </w:r>
          <w:r w:rsidR="008B59B0" w:rsidRPr="008B59B0">
            <w:rPr>
              <w:rFonts w:cs="Arial"/>
              <w:noProof/>
              <w:shd w:val="clear" w:color="auto" w:fill="FFFFFF"/>
            </w:rPr>
            <w:t>(Dandamayev, 1972, pp. 258-64)</w:t>
          </w:r>
          <w:r w:rsidR="00004DEB">
            <w:rPr>
              <w:rFonts w:cs="Arial"/>
              <w:shd w:val="clear" w:color="auto" w:fill="FFFFFF"/>
            </w:rPr>
            <w:fldChar w:fldCharType="end"/>
          </w:r>
        </w:sdtContent>
      </w:sdt>
      <w:r w:rsidR="00F535AF">
        <w:rPr>
          <w:rFonts w:cs="Arial"/>
          <w:shd w:val="clear" w:color="auto" w:fill="FFFFFF"/>
        </w:rPr>
        <w:t>. Furthermore, my character would have to keep a watchful eye on the production and yield of grapes, as Persian wine would have been a wealthy export</w:t>
      </w:r>
      <w:sdt>
        <w:sdtPr>
          <w:rPr>
            <w:rFonts w:cs="Arial"/>
            <w:shd w:val="clear" w:color="auto" w:fill="FFFFFF"/>
          </w:rPr>
          <w:id w:val="-957567059"/>
          <w:citation/>
        </w:sdtPr>
        <w:sdtContent>
          <w:r w:rsidR="00FF5BCE">
            <w:rPr>
              <w:rFonts w:cs="Arial"/>
              <w:shd w:val="clear" w:color="auto" w:fill="FFFFFF"/>
            </w:rPr>
            <w:fldChar w:fldCharType="begin"/>
          </w:r>
          <w:r w:rsidR="00FF5BCE">
            <w:rPr>
              <w:rFonts w:cs="Arial"/>
              <w:shd w:val="clear" w:color="auto" w:fill="FFFFFF"/>
            </w:rPr>
            <w:instrText xml:space="preserve">CITATION Wat14 \p 37 \l 2057 </w:instrText>
          </w:r>
          <w:r w:rsidR="00FF5BCE">
            <w:rPr>
              <w:rFonts w:cs="Arial"/>
              <w:shd w:val="clear" w:color="auto" w:fill="FFFFFF"/>
            </w:rPr>
            <w:fldChar w:fldCharType="separate"/>
          </w:r>
          <w:r w:rsidR="008B59B0">
            <w:rPr>
              <w:rFonts w:cs="Arial"/>
              <w:noProof/>
              <w:shd w:val="clear" w:color="auto" w:fill="FFFFFF"/>
            </w:rPr>
            <w:t xml:space="preserve"> </w:t>
          </w:r>
          <w:r w:rsidR="008B59B0" w:rsidRPr="008B59B0">
            <w:rPr>
              <w:rFonts w:cs="Arial"/>
              <w:noProof/>
              <w:shd w:val="clear" w:color="auto" w:fill="FFFFFF"/>
            </w:rPr>
            <w:t>(Waters, 2014, p. 37)</w:t>
          </w:r>
          <w:r w:rsidR="00FF5BCE">
            <w:rPr>
              <w:rFonts w:cs="Arial"/>
              <w:shd w:val="clear" w:color="auto" w:fill="FFFFFF"/>
            </w:rPr>
            <w:fldChar w:fldCharType="end"/>
          </w:r>
        </w:sdtContent>
      </w:sdt>
      <w:r w:rsidR="00F535AF">
        <w:rPr>
          <w:rFonts w:cs="Arial"/>
          <w:shd w:val="clear" w:color="auto" w:fill="FFFFFF"/>
        </w:rPr>
        <w:t>.</w:t>
      </w:r>
      <w:r w:rsidR="00485822">
        <w:rPr>
          <w:rFonts w:cs="Arial"/>
          <w:shd w:val="clear" w:color="auto" w:fill="FFFFFF"/>
        </w:rPr>
        <w:t xml:space="preserve"> </w:t>
      </w:r>
    </w:p>
    <w:p w:rsidR="00485822" w:rsidRDefault="00485822">
      <w:pPr>
        <w:rPr>
          <w:rFonts w:cs="Arial"/>
          <w:shd w:val="clear" w:color="auto" w:fill="FFFFFF"/>
        </w:rPr>
      </w:pPr>
      <w:r>
        <w:rPr>
          <w:rFonts w:cs="Arial"/>
          <w:shd w:val="clear" w:color="auto" w:fill="FFFFFF"/>
        </w:rPr>
        <w:t xml:space="preserve">Due to the way that Media and Persia control the land mass between the Caspian Sea and the Persian Gulf it is essential that my character keep tight control of the taxes and trade both internally and externally as they have a level of responsibility if there are difficulties in the movement of goods over land and in the harbours of the cities on the Caspian Sea and the Persian Gulf. </w:t>
      </w:r>
    </w:p>
    <w:p w:rsidR="00485822" w:rsidRDefault="00485822">
      <w:pPr>
        <w:rPr>
          <w:rFonts w:cs="Arial"/>
          <w:shd w:val="clear" w:color="auto" w:fill="FFFFFF"/>
        </w:rPr>
      </w:pPr>
      <w:r>
        <w:rPr>
          <w:rFonts w:cs="Arial"/>
          <w:shd w:val="clear" w:color="auto" w:fill="FFFFFF"/>
        </w:rPr>
        <w:t xml:space="preserve">Furthermore, in my character’s responsibilities as a military advisor to the Satrap, it is important for my character to know the ways in which the army is formed, and the best ways to both transport and supply any troops that are in battle, traveling to or from battle, or not currently engaged in any tactical manoeuvres in order to ensure that in the event of a conflict involving my character’s country that the conflict is as expedient as possible. As an extension of my character’s role within </w:t>
      </w:r>
      <w:r>
        <w:rPr>
          <w:rFonts w:cs="Arial"/>
          <w:shd w:val="clear" w:color="auto" w:fill="FFFFFF"/>
        </w:rPr>
        <w:lastRenderedPageBreak/>
        <w:t xml:space="preserve">the court, they must also be available to petition the Kings of other courts in order to ensure an advantageous position for the court of </w:t>
      </w:r>
      <w:r>
        <w:rPr>
          <w:rFonts w:cs="Arial"/>
          <w:shd w:val="clear" w:color="auto" w:fill="FFFFFF"/>
        </w:rPr>
        <w:t>Media and Persia</w:t>
      </w:r>
      <w:r>
        <w:rPr>
          <w:rFonts w:cs="Arial"/>
          <w:shd w:val="clear" w:color="auto" w:fill="FFFFFF"/>
        </w:rPr>
        <w:t xml:space="preserve">. </w:t>
      </w:r>
    </w:p>
    <w:p w:rsidR="00485822" w:rsidRDefault="007F2A83">
      <w:r>
        <w:rPr>
          <w:rFonts w:cs="Arial"/>
          <w:shd w:val="clear" w:color="auto" w:fill="FFFFFF"/>
        </w:rPr>
        <w:t>One of the aims of my character is to preserve the existing trade routes that we already have into the Seleucid empire and into East Asia and to potentially expand them even further to the West and East</w:t>
      </w:r>
      <w:sdt>
        <w:sdtPr>
          <w:rPr>
            <w:rFonts w:cs="Arial"/>
            <w:shd w:val="clear" w:color="auto" w:fill="FFFFFF"/>
          </w:rPr>
          <w:id w:val="1798943870"/>
          <w:citation/>
        </w:sdtPr>
        <w:sdtContent>
          <w:r w:rsidR="00640563">
            <w:rPr>
              <w:rFonts w:cs="Arial"/>
              <w:shd w:val="clear" w:color="auto" w:fill="FFFFFF"/>
            </w:rPr>
            <w:fldChar w:fldCharType="begin"/>
          </w:r>
          <w:r w:rsidR="00640563">
            <w:rPr>
              <w:rFonts w:cs="Arial"/>
              <w:shd w:val="clear" w:color="auto" w:fill="FFFFFF"/>
            </w:rPr>
            <w:instrText xml:space="preserve">CITATION Kha72 \p 123 \l 2057 </w:instrText>
          </w:r>
          <w:r w:rsidR="00640563">
            <w:rPr>
              <w:rFonts w:cs="Arial"/>
              <w:shd w:val="clear" w:color="auto" w:fill="FFFFFF"/>
            </w:rPr>
            <w:fldChar w:fldCharType="separate"/>
          </w:r>
          <w:r w:rsidR="008B59B0">
            <w:rPr>
              <w:rFonts w:cs="Arial"/>
              <w:noProof/>
              <w:shd w:val="clear" w:color="auto" w:fill="FFFFFF"/>
            </w:rPr>
            <w:t xml:space="preserve"> </w:t>
          </w:r>
          <w:r w:rsidR="008B59B0" w:rsidRPr="008B59B0">
            <w:rPr>
              <w:rFonts w:cs="Arial"/>
              <w:noProof/>
              <w:shd w:val="clear" w:color="auto" w:fill="FFFFFF"/>
            </w:rPr>
            <w:t>( Khan, 1972, p. 123)</w:t>
          </w:r>
          <w:r w:rsidR="00640563">
            <w:rPr>
              <w:rFonts w:cs="Arial"/>
              <w:shd w:val="clear" w:color="auto" w:fill="FFFFFF"/>
            </w:rPr>
            <w:fldChar w:fldCharType="end"/>
          </w:r>
        </w:sdtContent>
      </w:sdt>
      <w:r>
        <w:rPr>
          <w:rFonts w:cs="Arial"/>
          <w:shd w:val="clear" w:color="auto" w:fill="FFFFFF"/>
        </w:rPr>
        <w:t xml:space="preserve">. My character would like to perpetuate a monopoly on the trade between the East and the West in order to strengthen </w:t>
      </w:r>
      <w:r>
        <w:rPr>
          <w:rFonts w:cs="Arial"/>
          <w:shd w:val="clear" w:color="auto" w:fill="FFFFFF"/>
        </w:rPr>
        <w:t>Media and Persia</w:t>
      </w:r>
      <w:r>
        <w:rPr>
          <w:rFonts w:cs="Arial"/>
          <w:shd w:val="clear" w:color="auto" w:fill="FFFFFF"/>
        </w:rPr>
        <w:t xml:space="preserve">’s position on the world stage. In line with this, my character would also like to expand the boundaries of </w:t>
      </w:r>
      <w:r>
        <w:rPr>
          <w:rFonts w:cs="Arial"/>
          <w:shd w:val="clear" w:color="auto" w:fill="FFFFFF"/>
        </w:rPr>
        <w:t>Media and Persia</w:t>
      </w:r>
      <w:r>
        <w:rPr>
          <w:rFonts w:cs="Arial"/>
          <w:shd w:val="clear" w:color="auto" w:fill="FFFFFF"/>
        </w:rPr>
        <w:t xml:space="preserve">, either by a cultural and economic exchange of ideas, or by military action in order to help </w:t>
      </w:r>
      <w:r>
        <w:rPr>
          <w:rFonts w:cs="Arial"/>
          <w:shd w:val="clear" w:color="auto" w:fill="FFFFFF"/>
        </w:rPr>
        <w:t>Media and Persia</w:t>
      </w:r>
      <w:r>
        <w:rPr>
          <w:rFonts w:cs="Arial"/>
          <w:shd w:val="clear" w:color="auto" w:fill="FFFFFF"/>
        </w:rPr>
        <w:t xml:space="preserve"> to regain some of the strength and power of the </w:t>
      </w:r>
      <w:proofErr w:type="spellStart"/>
      <w:r>
        <w:t>Achaemenid</w:t>
      </w:r>
      <w:proofErr w:type="spellEnd"/>
      <w:r>
        <w:t xml:space="preserve"> Empire</w:t>
      </w:r>
      <w:r>
        <w:t xml:space="preserve">. </w:t>
      </w:r>
    </w:p>
    <w:p w:rsidR="007F2A83" w:rsidRDefault="007F2A83">
      <w:r>
        <w:t xml:space="preserve">In my character’s position as </w:t>
      </w:r>
      <w:r w:rsidR="00C037EE">
        <w:t>the official</w:t>
      </w:r>
      <w:r>
        <w:t xml:space="preserve"> of trade and economics, she would like to combat the sale and keeping of slaves, helping to foment rebellion in cases where prevention is not possible. This is due to both my character’s experiences with people of less fortunate station than herself, and as an extension of the history of</w:t>
      </w:r>
      <w:r w:rsidR="00C037EE">
        <w:t xml:space="preserve"> Persia within</w:t>
      </w:r>
      <w:r>
        <w:t xml:space="preserve"> the </w:t>
      </w:r>
      <w:proofErr w:type="spellStart"/>
      <w:r>
        <w:t>Achaemenid</w:t>
      </w:r>
      <w:proofErr w:type="spellEnd"/>
      <w:r>
        <w:t xml:space="preserve"> Empire</w:t>
      </w:r>
      <w:r>
        <w:t xml:space="preserve"> not having an existing institution of mass slavery</w:t>
      </w:r>
      <w:sdt>
        <w:sdtPr>
          <w:id w:val="-1426177593"/>
          <w:citation/>
        </w:sdtPr>
        <w:sdtContent>
          <w:r w:rsidR="007F40E8">
            <w:fldChar w:fldCharType="begin"/>
          </w:r>
          <w:r w:rsidR="007F40E8">
            <w:instrText xml:space="preserve">CITATION Far98 \p 1643 \l 2057 </w:instrText>
          </w:r>
          <w:r w:rsidR="007F40E8">
            <w:fldChar w:fldCharType="separate"/>
          </w:r>
          <w:r w:rsidR="008B59B0">
            <w:rPr>
              <w:noProof/>
            </w:rPr>
            <w:t xml:space="preserve"> </w:t>
          </w:r>
          <w:r w:rsidR="008B59B0" w:rsidRPr="008B59B0">
            <w:rPr>
              <w:noProof/>
            </w:rPr>
            <w:t>(Farazmand, 1998, p. 1643)</w:t>
          </w:r>
          <w:r w:rsidR="007F40E8">
            <w:fldChar w:fldCharType="end"/>
          </w:r>
        </w:sdtContent>
      </w:sdt>
      <w:r>
        <w:t xml:space="preserve">. </w:t>
      </w:r>
      <w:r w:rsidR="00C037EE">
        <w:t xml:space="preserve">Due to the way that people who might have been considered slaves within the </w:t>
      </w:r>
      <w:proofErr w:type="spellStart"/>
      <w:r w:rsidR="00C037EE">
        <w:t>Achaemenid</w:t>
      </w:r>
      <w:proofErr w:type="spellEnd"/>
      <w:r w:rsidR="00C037EE">
        <w:t xml:space="preserve"> Empire</w:t>
      </w:r>
      <w:r w:rsidR="00C037EE">
        <w:t xml:space="preserve"> often having similar lives to the average member of Persian society</w:t>
      </w:r>
      <w:sdt>
        <w:sdtPr>
          <w:id w:val="-836227740"/>
          <w:citation/>
        </w:sdtPr>
        <w:sdtContent>
          <w:r w:rsidR="00EF3B0F">
            <w:fldChar w:fldCharType="begin"/>
          </w:r>
          <w:r w:rsidR="00EF3B0F">
            <w:instrText xml:space="preserve">CITATION Far98 \p 1642 \l 2057 </w:instrText>
          </w:r>
          <w:r w:rsidR="00EF3B0F">
            <w:fldChar w:fldCharType="separate"/>
          </w:r>
          <w:r w:rsidR="008B59B0">
            <w:rPr>
              <w:noProof/>
            </w:rPr>
            <w:t xml:space="preserve"> </w:t>
          </w:r>
          <w:r w:rsidR="008B59B0" w:rsidRPr="008B59B0">
            <w:rPr>
              <w:noProof/>
            </w:rPr>
            <w:t>(Farazmand, 1998, p. 1642)</w:t>
          </w:r>
          <w:r w:rsidR="00EF3B0F">
            <w:fldChar w:fldCharType="end"/>
          </w:r>
        </w:sdtContent>
      </w:sdt>
      <w:r w:rsidR="00C037EE">
        <w:t xml:space="preserve">. As there is little information regarding Media and Persia under the Seleucid Empire it can be assumed that similar practices were taking place within Media and Persia as might have been under the </w:t>
      </w:r>
      <w:proofErr w:type="spellStart"/>
      <w:r w:rsidR="00C037EE">
        <w:t>Achaemenid</w:t>
      </w:r>
      <w:proofErr w:type="spellEnd"/>
      <w:r w:rsidR="00C037EE">
        <w:t xml:space="preserve"> Empire</w:t>
      </w:r>
      <w:r w:rsidR="00C037EE">
        <w:t xml:space="preserve"> and allows it to form a basis for my character to be against mass institutional slavery outside of their society. </w:t>
      </w:r>
    </w:p>
    <w:p w:rsidR="002F5DD8" w:rsidRDefault="002F5DD8"/>
    <w:sdt>
      <w:sdtPr>
        <w:id w:val="2052418260"/>
        <w:docPartObj>
          <w:docPartGallery w:val="Bibliographies"/>
          <w:docPartUnique/>
        </w:docPartObj>
      </w:sdtPr>
      <w:sdtEndPr>
        <w:rPr>
          <w:rFonts w:asciiTheme="minorHAnsi" w:eastAsiaTheme="minorEastAsia" w:hAnsiTheme="minorHAnsi" w:cstheme="minorBidi"/>
          <w:color w:val="auto"/>
          <w:sz w:val="22"/>
          <w:szCs w:val="22"/>
          <w:lang w:val="en-GB" w:eastAsia="ja-JP"/>
        </w:rPr>
      </w:sdtEndPr>
      <w:sdtContent>
        <w:p w:rsidR="002F5DD8" w:rsidRDefault="002F5DD8">
          <w:pPr>
            <w:pStyle w:val="Heading1"/>
          </w:pPr>
          <w:r>
            <w:t>Bibliography</w:t>
          </w:r>
        </w:p>
        <w:sdt>
          <w:sdtPr>
            <w:id w:val="111145805"/>
            <w:bibliography/>
          </w:sdtPr>
          <w:sdtContent>
            <w:p w:rsidR="008B59B0" w:rsidRDefault="002F5DD8" w:rsidP="008B59B0">
              <w:pPr>
                <w:pStyle w:val="Bibliography"/>
                <w:rPr>
                  <w:noProof/>
                  <w:sz w:val="24"/>
                  <w:szCs w:val="24"/>
                  <w:lang w:val="en-US"/>
                </w:rPr>
              </w:pPr>
              <w:r>
                <w:fldChar w:fldCharType="begin"/>
              </w:r>
              <w:r>
                <w:instrText xml:space="preserve"> BIBLIOGRAPHY </w:instrText>
              </w:r>
              <w:r>
                <w:fldChar w:fldCharType="separate"/>
              </w:r>
              <w:r w:rsidR="008B59B0">
                <w:rPr>
                  <w:noProof/>
                  <w:lang w:val="en-US"/>
                </w:rPr>
                <w:t xml:space="preserve">Khan, F. A., 1972. Ancient Routes between the Indus Valley and Iran. In: </w:t>
              </w:r>
              <w:r w:rsidR="008B59B0">
                <w:rPr>
                  <w:i/>
                  <w:iCs/>
                  <w:noProof/>
                  <w:lang w:val="en-US"/>
                </w:rPr>
                <w:t xml:space="preserve">The Memorial Volume of the Vth International Congress of Iranian Art and Archaeology I. </w:t>
              </w:r>
              <w:r w:rsidR="008B59B0">
                <w:rPr>
                  <w:noProof/>
                  <w:lang w:val="en-US"/>
                </w:rPr>
                <w:t>Tehran: s.n., pp. 120-27..</w:t>
              </w:r>
            </w:p>
            <w:p w:rsidR="008B59B0" w:rsidRDefault="008B59B0" w:rsidP="008B59B0">
              <w:pPr>
                <w:pStyle w:val="Bibliography"/>
                <w:rPr>
                  <w:noProof/>
                  <w:lang w:val="en-US"/>
                </w:rPr>
              </w:pPr>
              <w:bookmarkStart w:id="0" w:name="_GoBack"/>
              <w:r>
                <w:rPr>
                  <w:noProof/>
                  <w:lang w:val="en-US"/>
                </w:rPr>
                <w:t xml:space="preserve">Dandamayev, M. A., 1972. </w:t>
              </w:r>
              <w:r>
                <w:rPr>
                  <w:i/>
                  <w:iCs/>
                  <w:noProof/>
                  <w:lang w:val="en-US"/>
                </w:rPr>
                <w:t xml:space="preserve">“Connections between Elam and Babylonia in the Achaemenid Period,” </w:t>
              </w:r>
              <w:bookmarkEnd w:id="0"/>
              <w:r>
                <w:rPr>
                  <w:i/>
                  <w:iCs/>
                  <w:noProof/>
                  <w:lang w:val="en-US"/>
                </w:rPr>
                <w:t xml:space="preserve">The Memorial Volume of the Vth International Congress of Iranian Art and Archaeology I. </w:t>
              </w:r>
              <w:r>
                <w:rPr>
                  <w:noProof/>
                  <w:lang w:val="en-US"/>
                </w:rPr>
                <w:t>Tehran: s.n.</w:t>
              </w:r>
            </w:p>
            <w:p w:rsidR="008B59B0" w:rsidRDefault="008B59B0" w:rsidP="008B59B0">
              <w:pPr>
                <w:pStyle w:val="Bibliography"/>
                <w:rPr>
                  <w:noProof/>
                  <w:lang w:val="en-US"/>
                </w:rPr>
              </w:pPr>
              <w:r>
                <w:rPr>
                  <w:noProof/>
                  <w:lang w:val="en-US"/>
                </w:rPr>
                <w:t xml:space="preserve">Dusinberre, E., 2013. </w:t>
              </w:r>
              <w:r>
                <w:rPr>
                  <w:i/>
                  <w:iCs/>
                  <w:noProof/>
                  <w:lang w:val="en-US"/>
                </w:rPr>
                <w:t xml:space="preserve">Empire, authority, and autonomy in Achaemenid Anatolia. </w:t>
              </w:r>
              <w:r>
                <w:rPr>
                  <w:noProof/>
                  <w:lang w:val="en-US"/>
                </w:rPr>
                <w:t>Cambridge: Cambridge University Press.</w:t>
              </w:r>
            </w:p>
            <w:p w:rsidR="008B59B0" w:rsidRDefault="008B59B0" w:rsidP="008B59B0">
              <w:pPr>
                <w:pStyle w:val="Bibliography"/>
                <w:rPr>
                  <w:noProof/>
                  <w:lang w:val="en-US"/>
                </w:rPr>
              </w:pPr>
              <w:r>
                <w:rPr>
                  <w:noProof/>
                  <w:lang w:val="en-US"/>
                </w:rPr>
                <w:t xml:space="preserve">Farazmand, A., 1998. </w:t>
              </w:r>
              <w:r>
                <w:rPr>
                  <w:i/>
                  <w:iCs/>
                  <w:noProof/>
                  <w:lang w:val="en-US"/>
                </w:rPr>
                <w:t xml:space="preserve">“Persian/Iranian Administrative Tradition”, in Jay M. Shafritz (Editor), International Encyclopedia of Public Policy and Administration. </w:t>
              </w:r>
              <w:r>
                <w:rPr>
                  <w:noProof/>
                  <w:lang w:val="en-US"/>
                </w:rPr>
                <w:t>pp.1640–1645 ed. s.l.:Westview Press.</w:t>
              </w:r>
            </w:p>
            <w:p w:rsidR="008B59B0" w:rsidRDefault="008B59B0" w:rsidP="008B59B0">
              <w:pPr>
                <w:pStyle w:val="Bibliography"/>
                <w:rPr>
                  <w:noProof/>
                  <w:lang w:val="en-US"/>
                </w:rPr>
              </w:pPr>
              <w:r>
                <w:rPr>
                  <w:noProof/>
                  <w:lang w:val="en-US"/>
                </w:rPr>
                <w:t xml:space="preserve">Finley, M. I., 1973. </w:t>
              </w:r>
              <w:r>
                <w:rPr>
                  <w:i/>
                  <w:iCs/>
                  <w:noProof/>
                  <w:lang w:val="en-US"/>
                </w:rPr>
                <w:t xml:space="preserve">The Ancient Economy. </w:t>
              </w:r>
              <w:r>
                <w:rPr>
                  <w:noProof/>
                  <w:lang w:val="en-US"/>
                </w:rPr>
                <w:t>London: s.n.</w:t>
              </w:r>
            </w:p>
            <w:p w:rsidR="008B59B0" w:rsidRDefault="008B59B0" w:rsidP="008B59B0">
              <w:pPr>
                <w:pStyle w:val="Bibliography"/>
                <w:rPr>
                  <w:noProof/>
                  <w:lang w:val="en-US"/>
                </w:rPr>
              </w:pPr>
              <w:r>
                <w:rPr>
                  <w:noProof/>
                  <w:lang w:val="en-US"/>
                </w:rPr>
                <w:t xml:space="preserve">Fisher, N., 1984. </w:t>
              </w:r>
              <w:r>
                <w:rPr>
                  <w:i/>
                  <w:iCs/>
                  <w:noProof/>
                  <w:lang w:val="en-US"/>
                </w:rPr>
                <w:t xml:space="preserve">Women in the Ancient World. </w:t>
              </w:r>
              <w:r>
                <w:rPr>
                  <w:noProof/>
                  <w:lang w:val="en-US"/>
                </w:rPr>
                <w:t>s.l.:s.n.</w:t>
              </w:r>
            </w:p>
            <w:p w:rsidR="008B59B0" w:rsidRDefault="008B59B0" w:rsidP="008B59B0">
              <w:pPr>
                <w:pStyle w:val="Bibliography"/>
                <w:rPr>
                  <w:noProof/>
                  <w:lang w:val="en-US"/>
                </w:rPr>
              </w:pPr>
              <w:r>
                <w:rPr>
                  <w:noProof/>
                  <w:lang w:val="en-US"/>
                </w:rPr>
                <w:t xml:space="preserve">Graf, D., 1994. The Persian royal road system.. In: </w:t>
              </w:r>
              <w:r>
                <w:rPr>
                  <w:i/>
                  <w:iCs/>
                  <w:noProof/>
                  <w:lang w:val="en-US"/>
                </w:rPr>
                <w:t xml:space="preserve">Achaemenid History. </w:t>
              </w:r>
              <w:r>
                <w:rPr>
                  <w:noProof/>
                  <w:lang w:val="en-US"/>
                </w:rPr>
                <w:t>s.l.:s.n., pp. 167-89..</w:t>
              </w:r>
            </w:p>
            <w:p w:rsidR="008B59B0" w:rsidRDefault="008B59B0" w:rsidP="008B59B0">
              <w:pPr>
                <w:pStyle w:val="Bibliography"/>
                <w:rPr>
                  <w:noProof/>
                  <w:lang w:val="en-US"/>
                </w:rPr>
              </w:pPr>
              <w:r>
                <w:rPr>
                  <w:noProof/>
                  <w:lang w:val="en-US"/>
                </w:rPr>
                <w:t xml:space="preserve">Granger, R., 1996. Persian Society as seen by some of the Ancients. </w:t>
              </w:r>
              <w:r>
                <w:rPr>
                  <w:i/>
                  <w:iCs/>
                  <w:noProof/>
                  <w:lang w:val="en-US"/>
                </w:rPr>
                <w:t xml:space="preserve">Ancient History Resources for Teachers, </w:t>
              </w:r>
              <w:r>
                <w:rPr>
                  <w:noProof/>
                  <w:lang w:val="en-US"/>
                </w:rPr>
                <w:t>26(2), p. 119.</w:t>
              </w:r>
            </w:p>
            <w:p w:rsidR="008B59B0" w:rsidRDefault="008B59B0" w:rsidP="008B59B0">
              <w:pPr>
                <w:pStyle w:val="Bibliography"/>
                <w:rPr>
                  <w:noProof/>
                  <w:lang w:val="en-US"/>
                </w:rPr>
              </w:pPr>
              <w:r>
                <w:rPr>
                  <w:noProof/>
                  <w:lang w:val="en-US"/>
                </w:rPr>
                <w:t xml:space="preserve">Mallowan, M., 1972. </w:t>
              </w:r>
              <w:r>
                <w:rPr>
                  <w:i/>
                  <w:iCs/>
                  <w:noProof/>
                  <w:lang w:val="en-US"/>
                </w:rPr>
                <w:t xml:space="preserve">Cyrus the Great (558–529 BC). </w:t>
              </w:r>
              <w:r>
                <w:rPr>
                  <w:noProof/>
                  <w:lang w:val="en-US"/>
                </w:rPr>
                <w:t>10(1) ed. Iran: s.n.</w:t>
              </w:r>
            </w:p>
            <w:p w:rsidR="008B59B0" w:rsidRDefault="008B59B0" w:rsidP="008B59B0">
              <w:pPr>
                <w:pStyle w:val="Bibliography"/>
                <w:rPr>
                  <w:noProof/>
                  <w:lang w:val="en-US"/>
                </w:rPr>
              </w:pPr>
              <w:r>
                <w:rPr>
                  <w:noProof/>
                  <w:lang w:val="en-US"/>
                </w:rPr>
                <w:t xml:space="preserve">Nemet-Nejat, K., 1998. </w:t>
              </w:r>
              <w:r>
                <w:rPr>
                  <w:i/>
                  <w:iCs/>
                  <w:noProof/>
                  <w:lang w:val="en-US"/>
                </w:rPr>
                <w:t xml:space="preserve">Daily life in ancient Mesopotamia. </w:t>
              </w:r>
              <w:r>
                <w:rPr>
                  <w:noProof/>
                  <w:lang w:val="en-US"/>
                </w:rPr>
                <w:t>s.l.:Greenwood Publishing Group.</w:t>
              </w:r>
            </w:p>
            <w:p w:rsidR="008B59B0" w:rsidRDefault="008B59B0" w:rsidP="008B59B0">
              <w:pPr>
                <w:pStyle w:val="Bibliography"/>
                <w:rPr>
                  <w:noProof/>
                  <w:lang w:val="en-US"/>
                </w:rPr>
              </w:pPr>
              <w:r>
                <w:rPr>
                  <w:noProof/>
                  <w:lang w:val="en-US"/>
                </w:rPr>
                <w:lastRenderedPageBreak/>
                <w:t xml:space="preserve">Tuplin, C., 1987. Coinage and administration in the Athenian and Persian empires. In: </w:t>
              </w:r>
              <w:r>
                <w:rPr>
                  <w:i/>
                  <w:iCs/>
                  <w:noProof/>
                  <w:lang w:val="en-US"/>
                </w:rPr>
                <w:t xml:space="preserve">The administration of the Achaemenid empire. </w:t>
              </w:r>
              <w:r>
                <w:rPr>
                  <w:noProof/>
                  <w:lang w:val="en-US"/>
                </w:rPr>
                <w:t>343 ed. s.l.:s.n., pp. 109-167.</w:t>
              </w:r>
            </w:p>
            <w:p w:rsidR="008B59B0" w:rsidRDefault="008B59B0" w:rsidP="008B59B0">
              <w:pPr>
                <w:pStyle w:val="Bibliography"/>
                <w:rPr>
                  <w:noProof/>
                  <w:lang w:val="en-US"/>
                </w:rPr>
              </w:pPr>
              <w:r>
                <w:rPr>
                  <w:noProof/>
                  <w:lang w:val="en-US"/>
                </w:rPr>
                <w:t xml:space="preserve">Waters, M., 2014. </w:t>
              </w:r>
              <w:r>
                <w:rPr>
                  <w:i/>
                  <w:iCs/>
                  <w:noProof/>
                  <w:lang w:val="en-US"/>
                </w:rPr>
                <w:t xml:space="preserve">Ancient Persia: a concise history of the Achaemenid Empire, 550–330 BCE. </w:t>
              </w:r>
              <w:r>
                <w:rPr>
                  <w:noProof/>
                  <w:lang w:val="en-US"/>
                </w:rPr>
                <w:t>Cambridge: Cambridge University Press.</w:t>
              </w:r>
            </w:p>
            <w:p w:rsidR="002F5DD8" w:rsidRDefault="002F5DD8" w:rsidP="008B59B0">
              <w:r>
                <w:rPr>
                  <w:b/>
                  <w:bCs/>
                  <w:noProof/>
                </w:rPr>
                <w:fldChar w:fldCharType="end"/>
              </w:r>
            </w:p>
          </w:sdtContent>
        </w:sdt>
      </w:sdtContent>
    </w:sdt>
    <w:p w:rsidR="002F5DD8" w:rsidRPr="004D1248" w:rsidRDefault="002F5DD8">
      <w:pPr>
        <w:rPr>
          <w:rFonts w:cs="Arial"/>
          <w:shd w:val="clear" w:color="auto" w:fill="FFFFFF"/>
        </w:rPr>
      </w:pPr>
    </w:p>
    <w:sectPr w:rsidR="002F5DD8" w:rsidRPr="004D12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AF1"/>
    <w:rsid w:val="00004DEB"/>
    <w:rsid w:val="00066DA4"/>
    <w:rsid w:val="0015245E"/>
    <w:rsid w:val="001E2E8E"/>
    <w:rsid w:val="002F5DD8"/>
    <w:rsid w:val="00315BC3"/>
    <w:rsid w:val="00336854"/>
    <w:rsid w:val="00355D70"/>
    <w:rsid w:val="0042359C"/>
    <w:rsid w:val="004315C7"/>
    <w:rsid w:val="00435AF1"/>
    <w:rsid w:val="00485822"/>
    <w:rsid w:val="004D1248"/>
    <w:rsid w:val="004E28EA"/>
    <w:rsid w:val="00640563"/>
    <w:rsid w:val="0064758E"/>
    <w:rsid w:val="006E4F13"/>
    <w:rsid w:val="00723B52"/>
    <w:rsid w:val="0078227B"/>
    <w:rsid w:val="007F2A83"/>
    <w:rsid w:val="007F40E8"/>
    <w:rsid w:val="008B59B0"/>
    <w:rsid w:val="00AC2FC6"/>
    <w:rsid w:val="00AD68CD"/>
    <w:rsid w:val="00C037EE"/>
    <w:rsid w:val="00D7457A"/>
    <w:rsid w:val="00D90217"/>
    <w:rsid w:val="00DC66FC"/>
    <w:rsid w:val="00DF7D63"/>
    <w:rsid w:val="00EF3B0F"/>
    <w:rsid w:val="00F11B95"/>
    <w:rsid w:val="00F349BC"/>
    <w:rsid w:val="00F535AF"/>
    <w:rsid w:val="00FF5BC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62265"/>
  <w15:chartTrackingRefBased/>
  <w15:docId w15:val="{ABDEE51C-D944-484C-B880-0C728BAA6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5DD8"/>
    <w:pPr>
      <w:keepNext/>
      <w:keepLines/>
      <w:spacing w:before="240" w:after="0"/>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DD8"/>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6E4F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72661">
      <w:bodyDiv w:val="1"/>
      <w:marLeft w:val="0"/>
      <w:marRight w:val="0"/>
      <w:marTop w:val="0"/>
      <w:marBottom w:val="0"/>
      <w:divBdr>
        <w:top w:val="none" w:sz="0" w:space="0" w:color="auto"/>
        <w:left w:val="none" w:sz="0" w:space="0" w:color="auto"/>
        <w:bottom w:val="none" w:sz="0" w:space="0" w:color="auto"/>
        <w:right w:val="none" w:sz="0" w:space="0" w:color="auto"/>
      </w:divBdr>
    </w:div>
    <w:div w:id="58289170">
      <w:bodyDiv w:val="1"/>
      <w:marLeft w:val="0"/>
      <w:marRight w:val="0"/>
      <w:marTop w:val="0"/>
      <w:marBottom w:val="0"/>
      <w:divBdr>
        <w:top w:val="none" w:sz="0" w:space="0" w:color="auto"/>
        <w:left w:val="none" w:sz="0" w:space="0" w:color="auto"/>
        <w:bottom w:val="none" w:sz="0" w:space="0" w:color="auto"/>
        <w:right w:val="none" w:sz="0" w:space="0" w:color="auto"/>
      </w:divBdr>
    </w:div>
    <w:div w:id="114637545">
      <w:bodyDiv w:val="1"/>
      <w:marLeft w:val="0"/>
      <w:marRight w:val="0"/>
      <w:marTop w:val="0"/>
      <w:marBottom w:val="0"/>
      <w:divBdr>
        <w:top w:val="none" w:sz="0" w:space="0" w:color="auto"/>
        <w:left w:val="none" w:sz="0" w:space="0" w:color="auto"/>
        <w:bottom w:val="none" w:sz="0" w:space="0" w:color="auto"/>
        <w:right w:val="none" w:sz="0" w:space="0" w:color="auto"/>
      </w:divBdr>
    </w:div>
    <w:div w:id="153886865">
      <w:bodyDiv w:val="1"/>
      <w:marLeft w:val="0"/>
      <w:marRight w:val="0"/>
      <w:marTop w:val="0"/>
      <w:marBottom w:val="0"/>
      <w:divBdr>
        <w:top w:val="none" w:sz="0" w:space="0" w:color="auto"/>
        <w:left w:val="none" w:sz="0" w:space="0" w:color="auto"/>
        <w:bottom w:val="none" w:sz="0" w:space="0" w:color="auto"/>
        <w:right w:val="none" w:sz="0" w:space="0" w:color="auto"/>
      </w:divBdr>
    </w:div>
    <w:div w:id="171262756">
      <w:bodyDiv w:val="1"/>
      <w:marLeft w:val="0"/>
      <w:marRight w:val="0"/>
      <w:marTop w:val="0"/>
      <w:marBottom w:val="0"/>
      <w:divBdr>
        <w:top w:val="none" w:sz="0" w:space="0" w:color="auto"/>
        <w:left w:val="none" w:sz="0" w:space="0" w:color="auto"/>
        <w:bottom w:val="none" w:sz="0" w:space="0" w:color="auto"/>
        <w:right w:val="none" w:sz="0" w:space="0" w:color="auto"/>
      </w:divBdr>
    </w:div>
    <w:div w:id="229196703">
      <w:bodyDiv w:val="1"/>
      <w:marLeft w:val="0"/>
      <w:marRight w:val="0"/>
      <w:marTop w:val="0"/>
      <w:marBottom w:val="0"/>
      <w:divBdr>
        <w:top w:val="none" w:sz="0" w:space="0" w:color="auto"/>
        <w:left w:val="none" w:sz="0" w:space="0" w:color="auto"/>
        <w:bottom w:val="none" w:sz="0" w:space="0" w:color="auto"/>
        <w:right w:val="none" w:sz="0" w:space="0" w:color="auto"/>
      </w:divBdr>
    </w:div>
    <w:div w:id="268633653">
      <w:bodyDiv w:val="1"/>
      <w:marLeft w:val="0"/>
      <w:marRight w:val="0"/>
      <w:marTop w:val="0"/>
      <w:marBottom w:val="0"/>
      <w:divBdr>
        <w:top w:val="none" w:sz="0" w:space="0" w:color="auto"/>
        <w:left w:val="none" w:sz="0" w:space="0" w:color="auto"/>
        <w:bottom w:val="none" w:sz="0" w:space="0" w:color="auto"/>
        <w:right w:val="none" w:sz="0" w:space="0" w:color="auto"/>
      </w:divBdr>
    </w:div>
    <w:div w:id="287661754">
      <w:bodyDiv w:val="1"/>
      <w:marLeft w:val="0"/>
      <w:marRight w:val="0"/>
      <w:marTop w:val="0"/>
      <w:marBottom w:val="0"/>
      <w:divBdr>
        <w:top w:val="none" w:sz="0" w:space="0" w:color="auto"/>
        <w:left w:val="none" w:sz="0" w:space="0" w:color="auto"/>
        <w:bottom w:val="none" w:sz="0" w:space="0" w:color="auto"/>
        <w:right w:val="none" w:sz="0" w:space="0" w:color="auto"/>
      </w:divBdr>
    </w:div>
    <w:div w:id="293797904">
      <w:bodyDiv w:val="1"/>
      <w:marLeft w:val="0"/>
      <w:marRight w:val="0"/>
      <w:marTop w:val="0"/>
      <w:marBottom w:val="0"/>
      <w:divBdr>
        <w:top w:val="none" w:sz="0" w:space="0" w:color="auto"/>
        <w:left w:val="none" w:sz="0" w:space="0" w:color="auto"/>
        <w:bottom w:val="none" w:sz="0" w:space="0" w:color="auto"/>
        <w:right w:val="none" w:sz="0" w:space="0" w:color="auto"/>
      </w:divBdr>
    </w:div>
    <w:div w:id="328296391">
      <w:bodyDiv w:val="1"/>
      <w:marLeft w:val="0"/>
      <w:marRight w:val="0"/>
      <w:marTop w:val="0"/>
      <w:marBottom w:val="0"/>
      <w:divBdr>
        <w:top w:val="none" w:sz="0" w:space="0" w:color="auto"/>
        <w:left w:val="none" w:sz="0" w:space="0" w:color="auto"/>
        <w:bottom w:val="none" w:sz="0" w:space="0" w:color="auto"/>
        <w:right w:val="none" w:sz="0" w:space="0" w:color="auto"/>
      </w:divBdr>
    </w:div>
    <w:div w:id="369493699">
      <w:bodyDiv w:val="1"/>
      <w:marLeft w:val="0"/>
      <w:marRight w:val="0"/>
      <w:marTop w:val="0"/>
      <w:marBottom w:val="0"/>
      <w:divBdr>
        <w:top w:val="none" w:sz="0" w:space="0" w:color="auto"/>
        <w:left w:val="none" w:sz="0" w:space="0" w:color="auto"/>
        <w:bottom w:val="none" w:sz="0" w:space="0" w:color="auto"/>
        <w:right w:val="none" w:sz="0" w:space="0" w:color="auto"/>
      </w:divBdr>
    </w:div>
    <w:div w:id="369842386">
      <w:bodyDiv w:val="1"/>
      <w:marLeft w:val="0"/>
      <w:marRight w:val="0"/>
      <w:marTop w:val="0"/>
      <w:marBottom w:val="0"/>
      <w:divBdr>
        <w:top w:val="none" w:sz="0" w:space="0" w:color="auto"/>
        <w:left w:val="none" w:sz="0" w:space="0" w:color="auto"/>
        <w:bottom w:val="none" w:sz="0" w:space="0" w:color="auto"/>
        <w:right w:val="none" w:sz="0" w:space="0" w:color="auto"/>
      </w:divBdr>
    </w:div>
    <w:div w:id="377557198">
      <w:bodyDiv w:val="1"/>
      <w:marLeft w:val="0"/>
      <w:marRight w:val="0"/>
      <w:marTop w:val="0"/>
      <w:marBottom w:val="0"/>
      <w:divBdr>
        <w:top w:val="none" w:sz="0" w:space="0" w:color="auto"/>
        <w:left w:val="none" w:sz="0" w:space="0" w:color="auto"/>
        <w:bottom w:val="none" w:sz="0" w:space="0" w:color="auto"/>
        <w:right w:val="none" w:sz="0" w:space="0" w:color="auto"/>
      </w:divBdr>
    </w:div>
    <w:div w:id="378170933">
      <w:bodyDiv w:val="1"/>
      <w:marLeft w:val="0"/>
      <w:marRight w:val="0"/>
      <w:marTop w:val="0"/>
      <w:marBottom w:val="0"/>
      <w:divBdr>
        <w:top w:val="none" w:sz="0" w:space="0" w:color="auto"/>
        <w:left w:val="none" w:sz="0" w:space="0" w:color="auto"/>
        <w:bottom w:val="none" w:sz="0" w:space="0" w:color="auto"/>
        <w:right w:val="none" w:sz="0" w:space="0" w:color="auto"/>
      </w:divBdr>
    </w:div>
    <w:div w:id="381099242">
      <w:bodyDiv w:val="1"/>
      <w:marLeft w:val="0"/>
      <w:marRight w:val="0"/>
      <w:marTop w:val="0"/>
      <w:marBottom w:val="0"/>
      <w:divBdr>
        <w:top w:val="none" w:sz="0" w:space="0" w:color="auto"/>
        <w:left w:val="none" w:sz="0" w:space="0" w:color="auto"/>
        <w:bottom w:val="none" w:sz="0" w:space="0" w:color="auto"/>
        <w:right w:val="none" w:sz="0" w:space="0" w:color="auto"/>
      </w:divBdr>
    </w:div>
    <w:div w:id="395476121">
      <w:bodyDiv w:val="1"/>
      <w:marLeft w:val="0"/>
      <w:marRight w:val="0"/>
      <w:marTop w:val="0"/>
      <w:marBottom w:val="0"/>
      <w:divBdr>
        <w:top w:val="none" w:sz="0" w:space="0" w:color="auto"/>
        <w:left w:val="none" w:sz="0" w:space="0" w:color="auto"/>
        <w:bottom w:val="none" w:sz="0" w:space="0" w:color="auto"/>
        <w:right w:val="none" w:sz="0" w:space="0" w:color="auto"/>
      </w:divBdr>
    </w:div>
    <w:div w:id="427386201">
      <w:bodyDiv w:val="1"/>
      <w:marLeft w:val="0"/>
      <w:marRight w:val="0"/>
      <w:marTop w:val="0"/>
      <w:marBottom w:val="0"/>
      <w:divBdr>
        <w:top w:val="none" w:sz="0" w:space="0" w:color="auto"/>
        <w:left w:val="none" w:sz="0" w:space="0" w:color="auto"/>
        <w:bottom w:val="none" w:sz="0" w:space="0" w:color="auto"/>
        <w:right w:val="none" w:sz="0" w:space="0" w:color="auto"/>
      </w:divBdr>
    </w:div>
    <w:div w:id="430205503">
      <w:bodyDiv w:val="1"/>
      <w:marLeft w:val="0"/>
      <w:marRight w:val="0"/>
      <w:marTop w:val="0"/>
      <w:marBottom w:val="0"/>
      <w:divBdr>
        <w:top w:val="none" w:sz="0" w:space="0" w:color="auto"/>
        <w:left w:val="none" w:sz="0" w:space="0" w:color="auto"/>
        <w:bottom w:val="none" w:sz="0" w:space="0" w:color="auto"/>
        <w:right w:val="none" w:sz="0" w:space="0" w:color="auto"/>
      </w:divBdr>
    </w:div>
    <w:div w:id="456991595">
      <w:bodyDiv w:val="1"/>
      <w:marLeft w:val="0"/>
      <w:marRight w:val="0"/>
      <w:marTop w:val="0"/>
      <w:marBottom w:val="0"/>
      <w:divBdr>
        <w:top w:val="none" w:sz="0" w:space="0" w:color="auto"/>
        <w:left w:val="none" w:sz="0" w:space="0" w:color="auto"/>
        <w:bottom w:val="none" w:sz="0" w:space="0" w:color="auto"/>
        <w:right w:val="none" w:sz="0" w:space="0" w:color="auto"/>
      </w:divBdr>
    </w:div>
    <w:div w:id="481044477">
      <w:bodyDiv w:val="1"/>
      <w:marLeft w:val="0"/>
      <w:marRight w:val="0"/>
      <w:marTop w:val="0"/>
      <w:marBottom w:val="0"/>
      <w:divBdr>
        <w:top w:val="none" w:sz="0" w:space="0" w:color="auto"/>
        <w:left w:val="none" w:sz="0" w:space="0" w:color="auto"/>
        <w:bottom w:val="none" w:sz="0" w:space="0" w:color="auto"/>
        <w:right w:val="none" w:sz="0" w:space="0" w:color="auto"/>
      </w:divBdr>
    </w:div>
    <w:div w:id="494152325">
      <w:bodyDiv w:val="1"/>
      <w:marLeft w:val="0"/>
      <w:marRight w:val="0"/>
      <w:marTop w:val="0"/>
      <w:marBottom w:val="0"/>
      <w:divBdr>
        <w:top w:val="none" w:sz="0" w:space="0" w:color="auto"/>
        <w:left w:val="none" w:sz="0" w:space="0" w:color="auto"/>
        <w:bottom w:val="none" w:sz="0" w:space="0" w:color="auto"/>
        <w:right w:val="none" w:sz="0" w:space="0" w:color="auto"/>
      </w:divBdr>
    </w:div>
    <w:div w:id="519780344">
      <w:bodyDiv w:val="1"/>
      <w:marLeft w:val="0"/>
      <w:marRight w:val="0"/>
      <w:marTop w:val="0"/>
      <w:marBottom w:val="0"/>
      <w:divBdr>
        <w:top w:val="none" w:sz="0" w:space="0" w:color="auto"/>
        <w:left w:val="none" w:sz="0" w:space="0" w:color="auto"/>
        <w:bottom w:val="none" w:sz="0" w:space="0" w:color="auto"/>
        <w:right w:val="none" w:sz="0" w:space="0" w:color="auto"/>
      </w:divBdr>
    </w:div>
    <w:div w:id="527063201">
      <w:bodyDiv w:val="1"/>
      <w:marLeft w:val="0"/>
      <w:marRight w:val="0"/>
      <w:marTop w:val="0"/>
      <w:marBottom w:val="0"/>
      <w:divBdr>
        <w:top w:val="none" w:sz="0" w:space="0" w:color="auto"/>
        <w:left w:val="none" w:sz="0" w:space="0" w:color="auto"/>
        <w:bottom w:val="none" w:sz="0" w:space="0" w:color="auto"/>
        <w:right w:val="none" w:sz="0" w:space="0" w:color="auto"/>
      </w:divBdr>
    </w:div>
    <w:div w:id="541484599">
      <w:bodyDiv w:val="1"/>
      <w:marLeft w:val="0"/>
      <w:marRight w:val="0"/>
      <w:marTop w:val="0"/>
      <w:marBottom w:val="0"/>
      <w:divBdr>
        <w:top w:val="none" w:sz="0" w:space="0" w:color="auto"/>
        <w:left w:val="none" w:sz="0" w:space="0" w:color="auto"/>
        <w:bottom w:val="none" w:sz="0" w:space="0" w:color="auto"/>
        <w:right w:val="none" w:sz="0" w:space="0" w:color="auto"/>
      </w:divBdr>
    </w:div>
    <w:div w:id="553352686">
      <w:bodyDiv w:val="1"/>
      <w:marLeft w:val="0"/>
      <w:marRight w:val="0"/>
      <w:marTop w:val="0"/>
      <w:marBottom w:val="0"/>
      <w:divBdr>
        <w:top w:val="none" w:sz="0" w:space="0" w:color="auto"/>
        <w:left w:val="none" w:sz="0" w:space="0" w:color="auto"/>
        <w:bottom w:val="none" w:sz="0" w:space="0" w:color="auto"/>
        <w:right w:val="none" w:sz="0" w:space="0" w:color="auto"/>
      </w:divBdr>
    </w:div>
    <w:div w:id="555163869">
      <w:bodyDiv w:val="1"/>
      <w:marLeft w:val="0"/>
      <w:marRight w:val="0"/>
      <w:marTop w:val="0"/>
      <w:marBottom w:val="0"/>
      <w:divBdr>
        <w:top w:val="none" w:sz="0" w:space="0" w:color="auto"/>
        <w:left w:val="none" w:sz="0" w:space="0" w:color="auto"/>
        <w:bottom w:val="none" w:sz="0" w:space="0" w:color="auto"/>
        <w:right w:val="none" w:sz="0" w:space="0" w:color="auto"/>
      </w:divBdr>
    </w:div>
    <w:div w:id="555893160">
      <w:bodyDiv w:val="1"/>
      <w:marLeft w:val="0"/>
      <w:marRight w:val="0"/>
      <w:marTop w:val="0"/>
      <w:marBottom w:val="0"/>
      <w:divBdr>
        <w:top w:val="none" w:sz="0" w:space="0" w:color="auto"/>
        <w:left w:val="none" w:sz="0" w:space="0" w:color="auto"/>
        <w:bottom w:val="none" w:sz="0" w:space="0" w:color="auto"/>
        <w:right w:val="none" w:sz="0" w:space="0" w:color="auto"/>
      </w:divBdr>
    </w:div>
    <w:div w:id="622468173">
      <w:bodyDiv w:val="1"/>
      <w:marLeft w:val="0"/>
      <w:marRight w:val="0"/>
      <w:marTop w:val="0"/>
      <w:marBottom w:val="0"/>
      <w:divBdr>
        <w:top w:val="none" w:sz="0" w:space="0" w:color="auto"/>
        <w:left w:val="none" w:sz="0" w:space="0" w:color="auto"/>
        <w:bottom w:val="none" w:sz="0" w:space="0" w:color="auto"/>
        <w:right w:val="none" w:sz="0" w:space="0" w:color="auto"/>
      </w:divBdr>
    </w:div>
    <w:div w:id="637104747">
      <w:bodyDiv w:val="1"/>
      <w:marLeft w:val="0"/>
      <w:marRight w:val="0"/>
      <w:marTop w:val="0"/>
      <w:marBottom w:val="0"/>
      <w:divBdr>
        <w:top w:val="none" w:sz="0" w:space="0" w:color="auto"/>
        <w:left w:val="none" w:sz="0" w:space="0" w:color="auto"/>
        <w:bottom w:val="none" w:sz="0" w:space="0" w:color="auto"/>
        <w:right w:val="none" w:sz="0" w:space="0" w:color="auto"/>
      </w:divBdr>
    </w:div>
    <w:div w:id="646086432">
      <w:bodyDiv w:val="1"/>
      <w:marLeft w:val="0"/>
      <w:marRight w:val="0"/>
      <w:marTop w:val="0"/>
      <w:marBottom w:val="0"/>
      <w:divBdr>
        <w:top w:val="none" w:sz="0" w:space="0" w:color="auto"/>
        <w:left w:val="none" w:sz="0" w:space="0" w:color="auto"/>
        <w:bottom w:val="none" w:sz="0" w:space="0" w:color="auto"/>
        <w:right w:val="none" w:sz="0" w:space="0" w:color="auto"/>
      </w:divBdr>
    </w:div>
    <w:div w:id="668485390">
      <w:bodyDiv w:val="1"/>
      <w:marLeft w:val="0"/>
      <w:marRight w:val="0"/>
      <w:marTop w:val="0"/>
      <w:marBottom w:val="0"/>
      <w:divBdr>
        <w:top w:val="none" w:sz="0" w:space="0" w:color="auto"/>
        <w:left w:val="none" w:sz="0" w:space="0" w:color="auto"/>
        <w:bottom w:val="none" w:sz="0" w:space="0" w:color="auto"/>
        <w:right w:val="none" w:sz="0" w:space="0" w:color="auto"/>
      </w:divBdr>
    </w:div>
    <w:div w:id="677734176">
      <w:bodyDiv w:val="1"/>
      <w:marLeft w:val="0"/>
      <w:marRight w:val="0"/>
      <w:marTop w:val="0"/>
      <w:marBottom w:val="0"/>
      <w:divBdr>
        <w:top w:val="none" w:sz="0" w:space="0" w:color="auto"/>
        <w:left w:val="none" w:sz="0" w:space="0" w:color="auto"/>
        <w:bottom w:val="none" w:sz="0" w:space="0" w:color="auto"/>
        <w:right w:val="none" w:sz="0" w:space="0" w:color="auto"/>
      </w:divBdr>
    </w:div>
    <w:div w:id="696202655">
      <w:bodyDiv w:val="1"/>
      <w:marLeft w:val="0"/>
      <w:marRight w:val="0"/>
      <w:marTop w:val="0"/>
      <w:marBottom w:val="0"/>
      <w:divBdr>
        <w:top w:val="none" w:sz="0" w:space="0" w:color="auto"/>
        <w:left w:val="none" w:sz="0" w:space="0" w:color="auto"/>
        <w:bottom w:val="none" w:sz="0" w:space="0" w:color="auto"/>
        <w:right w:val="none" w:sz="0" w:space="0" w:color="auto"/>
      </w:divBdr>
    </w:div>
    <w:div w:id="789976833">
      <w:bodyDiv w:val="1"/>
      <w:marLeft w:val="0"/>
      <w:marRight w:val="0"/>
      <w:marTop w:val="0"/>
      <w:marBottom w:val="0"/>
      <w:divBdr>
        <w:top w:val="none" w:sz="0" w:space="0" w:color="auto"/>
        <w:left w:val="none" w:sz="0" w:space="0" w:color="auto"/>
        <w:bottom w:val="none" w:sz="0" w:space="0" w:color="auto"/>
        <w:right w:val="none" w:sz="0" w:space="0" w:color="auto"/>
      </w:divBdr>
    </w:div>
    <w:div w:id="822741820">
      <w:bodyDiv w:val="1"/>
      <w:marLeft w:val="0"/>
      <w:marRight w:val="0"/>
      <w:marTop w:val="0"/>
      <w:marBottom w:val="0"/>
      <w:divBdr>
        <w:top w:val="none" w:sz="0" w:space="0" w:color="auto"/>
        <w:left w:val="none" w:sz="0" w:space="0" w:color="auto"/>
        <w:bottom w:val="none" w:sz="0" w:space="0" w:color="auto"/>
        <w:right w:val="none" w:sz="0" w:space="0" w:color="auto"/>
      </w:divBdr>
    </w:div>
    <w:div w:id="853543120">
      <w:bodyDiv w:val="1"/>
      <w:marLeft w:val="0"/>
      <w:marRight w:val="0"/>
      <w:marTop w:val="0"/>
      <w:marBottom w:val="0"/>
      <w:divBdr>
        <w:top w:val="none" w:sz="0" w:space="0" w:color="auto"/>
        <w:left w:val="none" w:sz="0" w:space="0" w:color="auto"/>
        <w:bottom w:val="none" w:sz="0" w:space="0" w:color="auto"/>
        <w:right w:val="none" w:sz="0" w:space="0" w:color="auto"/>
      </w:divBdr>
    </w:div>
    <w:div w:id="858664656">
      <w:bodyDiv w:val="1"/>
      <w:marLeft w:val="0"/>
      <w:marRight w:val="0"/>
      <w:marTop w:val="0"/>
      <w:marBottom w:val="0"/>
      <w:divBdr>
        <w:top w:val="none" w:sz="0" w:space="0" w:color="auto"/>
        <w:left w:val="none" w:sz="0" w:space="0" w:color="auto"/>
        <w:bottom w:val="none" w:sz="0" w:space="0" w:color="auto"/>
        <w:right w:val="none" w:sz="0" w:space="0" w:color="auto"/>
      </w:divBdr>
    </w:div>
    <w:div w:id="882256608">
      <w:bodyDiv w:val="1"/>
      <w:marLeft w:val="0"/>
      <w:marRight w:val="0"/>
      <w:marTop w:val="0"/>
      <w:marBottom w:val="0"/>
      <w:divBdr>
        <w:top w:val="none" w:sz="0" w:space="0" w:color="auto"/>
        <w:left w:val="none" w:sz="0" w:space="0" w:color="auto"/>
        <w:bottom w:val="none" w:sz="0" w:space="0" w:color="auto"/>
        <w:right w:val="none" w:sz="0" w:space="0" w:color="auto"/>
      </w:divBdr>
    </w:div>
    <w:div w:id="904683933">
      <w:bodyDiv w:val="1"/>
      <w:marLeft w:val="0"/>
      <w:marRight w:val="0"/>
      <w:marTop w:val="0"/>
      <w:marBottom w:val="0"/>
      <w:divBdr>
        <w:top w:val="none" w:sz="0" w:space="0" w:color="auto"/>
        <w:left w:val="none" w:sz="0" w:space="0" w:color="auto"/>
        <w:bottom w:val="none" w:sz="0" w:space="0" w:color="auto"/>
        <w:right w:val="none" w:sz="0" w:space="0" w:color="auto"/>
      </w:divBdr>
    </w:div>
    <w:div w:id="912736629">
      <w:bodyDiv w:val="1"/>
      <w:marLeft w:val="0"/>
      <w:marRight w:val="0"/>
      <w:marTop w:val="0"/>
      <w:marBottom w:val="0"/>
      <w:divBdr>
        <w:top w:val="none" w:sz="0" w:space="0" w:color="auto"/>
        <w:left w:val="none" w:sz="0" w:space="0" w:color="auto"/>
        <w:bottom w:val="none" w:sz="0" w:space="0" w:color="auto"/>
        <w:right w:val="none" w:sz="0" w:space="0" w:color="auto"/>
      </w:divBdr>
    </w:div>
    <w:div w:id="941450310">
      <w:bodyDiv w:val="1"/>
      <w:marLeft w:val="0"/>
      <w:marRight w:val="0"/>
      <w:marTop w:val="0"/>
      <w:marBottom w:val="0"/>
      <w:divBdr>
        <w:top w:val="none" w:sz="0" w:space="0" w:color="auto"/>
        <w:left w:val="none" w:sz="0" w:space="0" w:color="auto"/>
        <w:bottom w:val="none" w:sz="0" w:space="0" w:color="auto"/>
        <w:right w:val="none" w:sz="0" w:space="0" w:color="auto"/>
      </w:divBdr>
    </w:div>
    <w:div w:id="999581780">
      <w:bodyDiv w:val="1"/>
      <w:marLeft w:val="0"/>
      <w:marRight w:val="0"/>
      <w:marTop w:val="0"/>
      <w:marBottom w:val="0"/>
      <w:divBdr>
        <w:top w:val="none" w:sz="0" w:space="0" w:color="auto"/>
        <w:left w:val="none" w:sz="0" w:space="0" w:color="auto"/>
        <w:bottom w:val="none" w:sz="0" w:space="0" w:color="auto"/>
        <w:right w:val="none" w:sz="0" w:space="0" w:color="auto"/>
      </w:divBdr>
    </w:div>
    <w:div w:id="1038314658">
      <w:bodyDiv w:val="1"/>
      <w:marLeft w:val="0"/>
      <w:marRight w:val="0"/>
      <w:marTop w:val="0"/>
      <w:marBottom w:val="0"/>
      <w:divBdr>
        <w:top w:val="none" w:sz="0" w:space="0" w:color="auto"/>
        <w:left w:val="none" w:sz="0" w:space="0" w:color="auto"/>
        <w:bottom w:val="none" w:sz="0" w:space="0" w:color="auto"/>
        <w:right w:val="none" w:sz="0" w:space="0" w:color="auto"/>
      </w:divBdr>
    </w:div>
    <w:div w:id="1077895867">
      <w:bodyDiv w:val="1"/>
      <w:marLeft w:val="0"/>
      <w:marRight w:val="0"/>
      <w:marTop w:val="0"/>
      <w:marBottom w:val="0"/>
      <w:divBdr>
        <w:top w:val="none" w:sz="0" w:space="0" w:color="auto"/>
        <w:left w:val="none" w:sz="0" w:space="0" w:color="auto"/>
        <w:bottom w:val="none" w:sz="0" w:space="0" w:color="auto"/>
        <w:right w:val="none" w:sz="0" w:space="0" w:color="auto"/>
      </w:divBdr>
    </w:div>
    <w:div w:id="1082996001">
      <w:bodyDiv w:val="1"/>
      <w:marLeft w:val="0"/>
      <w:marRight w:val="0"/>
      <w:marTop w:val="0"/>
      <w:marBottom w:val="0"/>
      <w:divBdr>
        <w:top w:val="none" w:sz="0" w:space="0" w:color="auto"/>
        <w:left w:val="none" w:sz="0" w:space="0" w:color="auto"/>
        <w:bottom w:val="none" w:sz="0" w:space="0" w:color="auto"/>
        <w:right w:val="none" w:sz="0" w:space="0" w:color="auto"/>
      </w:divBdr>
    </w:div>
    <w:div w:id="1087967726">
      <w:bodyDiv w:val="1"/>
      <w:marLeft w:val="0"/>
      <w:marRight w:val="0"/>
      <w:marTop w:val="0"/>
      <w:marBottom w:val="0"/>
      <w:divBdr>
        <w:top w:val="none" w:sz="0" w:space="0" w:color="auto"/>
        <w:left w:val="none" w:sz="0" w:space="0" w:color="auto"/>
        <w:bottom w:val="none" w:sz="0" w:space="0" w:color="auto"/>
        <w:right w:val="none" w:sz="0" w:space="0" w:color="auto"/>
      </w:divBdr>
    </w:div>
    <w:div w:id="1130591766">
      <w:bodyDiv w:val="1"/>
      <w:marLeft w:val="0"/>
      <w:marRight w:val="0"/>
      <w:marTop w:val="0"/>
      <w:marBottom w:val="0"/>
      <w:divBdr>
        <w:top w:val="none" w:sz="0" w:space="0" w:color="auto"/>
        <w:left w:val="none" w:sz="0" w:space="0" w:color="auto"/>
        <w:bottom w:val="none" w:sz="0" w:space="0" w:color="auto"/>
        <w:right w:val="none" w:sz="0" w:space="0" w:color="auto"/>
      </w:divBdr>
    </w:div>
    <w:div w:id="1151943079">
      <w:bodyDiv w:val="1"/>
      <w:marLeft w:val="0"/>
      <w:marRight w:val="0"/>
      <w:marTop w:val="0"/>
      <w:marBottom w:val="0"/>
      <w:divBdr>
        <w:top w:val="none" w:sz="0" w:space="0" w:color="auto"/>
        <w:left w:val="none" w:sz="0" w:space="0" w:color="auto"/>
        <w:bottom w:val="none" w:sz="0" w:space="0" w:color="auto"/>
        <w:right w:val="none" w:sz="0" w:space="0" w:color="auto"/>
      </w:divBdr>
    </w:div>
    <w:div w:id="1186215876">
      <w:bodyDiv w:val="1"/>
      <w:marLeft w:val="0"/>
      <w:marRight w:val="0"/>
      <w:marTop w:val="0"/>
      <w:marBottom w:val="0"/>
      <w:divBdr>
        <w:top w:val="none" w:sz="0" w:space="0" w:color="auto"/>
        <w:left w:val="none" w:sz="0" w:space="0" w:color="auto"/>
        <w:bottom w:val="none" w:sz="0" w:space="0" w:color="auto"/>
        <w:right w:val="none" w:sz="0" w:space="0" w:color="auto"/>
      </w:divBdr>
    </w:div>
    <w:div w:id="1215002991">
      <w:bodyDiv w:val="1"/>
      <w:marLeft w:val="0"/>
      <w:marRight w:val="0"/>
      <w:marTop w:val="0"/>
      <w:marBottom w:val="0"/>
      <w:divBdr>
        <w:top w:val="none" w:sz="0" w:space="0" w:color="auto"/>
        <w:left w:val="none" w:sz="0" w:space="0" w:color="auto"/>
        <w:bottom w:val="none" w:sz="0" w:space="0" w:color="auto"/>
        <w:right w:val="none" w:sz="0" w:space="0" w:color="auto"/>
      </w:divBdr>
    </w:div>
    <w:div w:id="1224176733">
      <w:bodyDiv w:val="1"/>
      <w:marLeft w:val="0"/>
      <w:marRight w:val="0"/>
      <w:marTop w:val="0"/>
      <w:marBottom w:val="0"/>
      <w:divBdr>
        <w:top w:val="none" w:sz="0" w:space="0" w:color="auto"/>
        <w:left w:val="none" w:sz="0" w:space="0" w:color="auto"/>
        <w:bottom w:val="none" w:sz="0" w:space="0" w:color="auto"/>
        <w:right w:val="none" w:sz="0" w:space="0" w:color="auto"/>
      </w:divBdr>
    </w:div>
    <w:div w:id="1239250797">
      <w:bodyDiv w:val="1"/>
      <w:marLeft w:val="0"/>
      <w:marRight w:val="0"/>
      <w:marTop w:val="0"/>
      <w:marBottom w:val="0"/>
      <w:divBdr>
        <w:top w:val="none" w:sz="0" w:space="0" w:color="auto"/>
        <w:left w:val="none" w:sz="0" w:space="0" w:color="auto"/>
        <w:bottom w:val="none" w:sz="0" w:space="0" w:color="auto"/>
        <w:right w:val="none" w:sz="0" w:space="0" w:color="auto"/>
      </w:divBdr>
    </w:div>
    <w:div w:id="1259630549">
      <w:bodyDiv w:val="1"/>
      <w:marLeft w:val="0"/>
      <w:marRight w:val="0"/>
      <w:marTop w:val="0"/>
      <w:marBottom w:val="0"/>
      <w:divBdr>
        <w:top w:val="none" w:sz="0" w:space="0" w:color="auto"/>
        <w:left w:val="none" w:sz="0" w:space="0" w:color="auto"/>
        <w:bottom w:val="none" w:sz="0" w:space="0" w:color="auto"/>
        <w:right w:val="none" w:sz="0" w:space="0" w:color="auto"/>
      </w:divBdr>
    </w:div>
    <w:div w:id="1269433018">
      <w:bodyDiv w:val="1"/>
      <w:marLeft w:val="0"/>
      <w:marRight w:val="0"/>
      <w:marTop w:val="0"/>
      <w:marBottom w:val="0"/>
      <w:divBdr>
        <w:top w:val="none" w:sz="0" w:space="0" w:color="auto"/>
        <w:left w:val="none" w:sz="0" w:space="0" w:color="auto"/>
        <w:bottom w:val="none" w:sz="0" w:space="0" w:color="auto"/>
        <w:right w:val="none" w:sz="0" w:space="0" w:color="auto"/>
      </w:divBdr>
    </w:div>
    <w:div w:id="1272786865">
      <w:bodyDiv w:val="1"/>
      <w:marLeft w:val="0"/>
      <w:marRight w:val="0"/>
      <w:marTop w:val="0"/>
      <w:marBottom w:val="0"/>
      <w:divBdr>
        <w:top w:val="none" w:sz="0" w:space="0" w:color="auto"/>
        <w:left w:val="none" w:sz="0" w:space="0" w:color="auto"/>
        <w:bottom w:val="none" w:sz="0" w:space="0" w:color="auto"/>
        <w:right w:val="none" w:sz="0" w:space="0" w:color="auto"/>
      </w:divBdr>
    </w:div>
    <w:div w:id="1283540128">
      <w:bodyDiv w:val="1"/>
      <w:marLeft w:val="0"/>
      <w:marRight w:val="0"/>
      <w:marTop w:val="0"/>
      <w:marBottom w:val="0"/>
      <w:divBdr>
        <w:top w:val="none" w:sz="0" w:space="0" w:color="auto"/>
        <w:left w:val="none" w:sz="0" w:space="0" w:color="auto"/>
        <w:bottom w:val="none" w:sz="0" w:space="0" w:color="auto"/>
        <w:right w:val="none" w:sz="0" w:space="0" w:color="auto"/>
      </w:divBdr>
    </w:div>
    <w:div w:id="1296374462">
      <w:bodyDiv w:val="1"/>
      <w:marLeft w:val="0"/>
      <w:marRight w:val="0"/>
      <w:marTop w:val="0"/>
      <w:marBottom w:val="0"/>
      <w:divBdr>
        <w:top w:val="none" w:sz="0" w:space="0" w:color="auto"/>
        <w:left w:val="none" w:sz="0" w:space="0" w:color="auto"/>
        <w:bottom w:val="none" w:sz="0" w:space="0" w:color="auto"/>
        <w:right w:val="none" w:sz="0" w:space="0" w:color="auto"/>
      </w:divBdr>
    </w:div>
    <w:div w:id="1308587837">
      <w:bodyDiv w:val="1"/>
      <w:marLeft w:val="0"/>
      <w:marRight w:val="0"/>
      <w:marTop w:val="0"/>
      <w:marBottom w:val="0"/>
      <w:divBdr>
        <w:top w:val="none" w:sz="0" w:space="0" w:color="auto"/>
        <w:left w:val="none" w:sz="0" w:space="0" w:color="auto"/>
        <w:bottom w:val="none" w:sz="0" w:space="0" w:color="auto"/>
        <w:right w:val="none" w:sz="0" w:space="0" w:color="auto"/>
      </w:divBdr>
    </w:div>
    <w:div w:id="1310788248">
      <w:bodyDiv w:val="1"/>
      <w:marLeft w:val="0"/>
      <w:marRight w:val="0"/>
      <w:marTop w:val="0"/>
      <w:marBottom w:val="0"/>
      <w:divBdr>
        <w:top w:val="none" w:sz="0" w:space="0" w:color="auto"/>
        <w:left w:val="none" w:sz="0" w:space="0" w:color="auto"/>
        <w:bottom w:val="none" w:sz="0" w:space="0" w:color="auto"/>
        <w:right w:val="none" w:sz="0" w:space="0" w:color="auto"/>
      </w:divBdr>
    </w:div>
    <w:div w:id="1311717650">
      <w:bodyDiv w:val="1"/>
      <w:marLeft w:val="0"/>
      <w:marRight w:val="0"/>
      <w:marTop w:val="0"/>
      <w:marBottom w:val="0"/>
      <w:divBdr>
        <w:top w:val="none" w:sz="0" w:space="0" w:color="auto"/>
        <w:left w:val="none" w:sz="0" w:space="0" w:color="auto"/>
        <w:bottom w:val="none" w:sz="0" w:space="0" w:color="auto"/>
        <w:right w:val="none" w:sz="0" w:space="0" w:color="auto"/>
      </w:divBdr>
    </w:div>
    <w:div w:id="1320885350">
      <w:bodyDiv w:val="1"/>
      <w:marLeft w:val="0"/>
      <w:marRight w:val="0"/>
      <w:marTop w:val="0"/>
      <w:marBottom w:val="0"/>
      <w:divBdr>
        <w:top w:val="none" w:sz="0" w:space="0" w:color="auto"/>
        <w:left w:val="none" w:sz="0" w:space="0" w:color="auto"/>
        <w:bottom w:val="none" w:sz="0" w:space="0" w:color="auto"/>
        <w:right w:val="none" w:sz="0" w:space="0" w:color="auto"/>
      </w:divBdr>
    </w:div>
    <w:div w:id="1354452095">
      <w:bodyDiv w:val="1"/>
      <w:marLeft w:val="0"/>
      <w:marRight w:val="0"/>
      <w:marTop w:val="0"/>
      <w:marBottom w:val="0"/>
      <w:divBdr>
        <w:top w:val="none" w:sz="0" w:space="0" w:color="auto"/>
        <w:left w:val="none" w:sz="0" w:space="0" w:color="auto"/>
        <w:bottom w:val="none" w:sz="0" w:space="0" w:color="auto"/>
        <w:right w:val="none" w:sz="0" w:space="0" w:color="auto"/>
      </w:divBdr>
    </w:div>
    <w:div w:id="1367291878">
      <w:bodyDiv w:val="1"/>
      <w:marLeft w:val="0"/>
      <w:marRight w:val="0"/>
      <w:marTop w:val="0"/>
      <w:marBottom w:val="0"/>
      <w:divBdr>
        <w:top w:val="none" w:sz="0" w:space="0" w:color="auto"/>
        <w:left w:val="none" w:sz="0" w:space="0" w:color="auto"/>
        <w:bottom w:val="none" w:sz="0" w:space="0" w:color="auto"/>
        <w:right w:val="none" w:sz="0" w:space="0" w:color="auto"/>
      </w:divBdr>
    </w:div>
    <w:div w:id="1379937286">
      <w:bodyDiv w:val="1"/>
      <w:marLeft w:val="0"/>
      <w:marRight w:val="0"/>
      <w:marTop w:val="0"/>
      <w:marBottom w:val="0"/>
      <w:divBdr>
        <w:top w:val="none" w:sz="0" w:space="0" w:color="auto"/>
        <w:left w:val="none" w:sz="0" w:space="0" w:color="auto"/>
        <w:bottom w:val="none" w:sz="0" w:space="0" w:color="auto"/>
        <w:right w:val="none" w:sz="0" w:space="0" w:color="auto"/>
      </w:divBdr>
    </w:div>
    <w:div w:id="1394430666">
      <w:bodyDiv w:val="1"/>
      <w:marLeft w:val="0"/>
      <w:marRight w:val="0"/>
      <w:marTop w:val="0"/>
      <w:marBottom w:val="0"/>
      <w:divBdr>
        <w:top w:val="none" w:sz="0" w:space="0" w:color="auto"/>
        <w:left w:val="none" w:sz="0" w:space="0" w:color="auto"/>
        <w:bottom w:val="none" w:sz="0" w:space="0" w:color="auto"/>
        <w:right w:val="none" w:sz="0" w:space="0" w:color="auto"/>
      </w:divBdr>
    </w:div>
    <w:div w:id="1404376283">
      <w:bodyDiv w:val="1"/>
      <w:marLeft w:val="0"/>
      <w:marRight w:val="0"/>
      <w:marTop w:val="0"/>
      <w:marBottom w:val="0"/>
      <w:divBdr>
        <w:top w:val="none" w:sz="0" w:space="0" w:color="auto"/>
        <w:left w:val="none" w:sz="0" w:space="0" w:color="auto"/>
        <w:bottom w:val="none" w:sz="0" w:space="0" w:color="auto"/>
        <w:right w:val="none" w:sz="0" w:space="0" w:color="auto"/>
      </w:divBdr>
    </w:div>
    <w:div w:id="1404524696">
      <w:bodyDiv w:val="1"/>
      <w:marLeft w:val="0"/>
      <w:marRight w:val="0"/>
      <w:marTop w:val="0"/>
      <w:marBottom w:val="0"/>
      <w:divBdr>
        <w:top w:val="none" w:sz="0" w:space="0" w:color="auto"/>
        <w:left w:val="none" w:sz="0" w:space="0" w:color="auto"/>
        <w:bottom w:val="none" w:sz="0" w:space="0" w:color="auto"/>
        <w:right w:val="none" w:sz="0" w:space="0" w:color="auto"/>
      </w:divBdr>
    </w:div>
    <w:div w:id="1444299484">
      <w:bodyDiv w:val="1"/>
      <w:marLeft w:val="0"/>
      <w:marRight w:val="0"/>
      <w:marTop w:val="0"/>
      <w:marBottom w:val="0"/>
      <w:divBdr>
        <w:top w:val="none" w:sz="0" w:space="0" w:color="auto"/>
        <w:left w:val="none" w:sz="0" w:space="0" w:color="auto"/>
        <w:bottom w:val="none" w:sz="0" w:space="0" w:color="auto"/>
        <w:right w:val="none" w:sz="0" w:space="0" w:color="auto"/>
      </w:divBdr>
    </w:div>
    <w:div w:id="1446460403">
      <w:bodyDiv w:val="1"/>
      <w:marLeft w:val="0"/>
      <w:marRight w:val="0"/>
      <w:marTop w:val="0"/>
      <w:marBottom w:val="0"/>
      <w:divBdr>
        <w:top w:val="none" w:sz="0" w:space="0" w:color="auto"/>
        <w:left w:val="none" w:sz="0" w:space="0" w:color="auto"/>
        <w:bottom w:val="none" w:sz="0" w:space="0" w:color="auto"/>
        <w:right w:val="none" w:sz="0" w:space="0" w:color="auto"/>
      </w:divBdr>
    </w:div>
    <w:div w:id="1457136239">
      <w:bodyDiv w:val="1"/>
      <w:marLeft w:val="0"/>
      <w:marRight w:val="0"/>
      <w:marTop w:val="0"/>
      <w:marBottom w:val="0"/>
      <w:divBdr>
        <w:top w:val="none" w:sz="0" w:space="0" w:color="auto"/>
        <w:left w:val="none" w:sz="0" w:space="0" w:color="auto"/>
        <w:bottom w:val="none" w:sz="0" w:space="0" w:color="auto"/>
        <w:right w:val="none" w:sz="0" w:space="0" w:color="auto"/>
      </w:divBdr>
    </w:div>
    <w:div w:id="1474710656">
      <w:bodyDiv w:val="1"/>
      <w:marLeft w:val="0"/>
      <w:marRight w:val="0"/>
      <w:marTop w:val="0"/>
      <w:marBottom w:val="0"/>
      <w:divBdr>
        <w:top w:val="none" w:sz="0" w:space="0" w:color="auto"/>
        <w:left w:val="none" w:sz="0" w:space="0" w:color="auto"/>
        <w:bottom w:val="none" w:sz="0" w:space="0" w:color="auto"/>
        <w:right w:val="none" w:sz="0" w:space="0" w:color="auto"/>
      </w:divBdr>
    </w:div>
    <w:div w:id="1508445562">
      <w:bodyDiv w:val="1"/>
      <w:marLeft w:val="0"/>
      <w:marRight w:val="0"/>
      <w:marTop w:val="0"/>
      <w:marBottom w:val="0"/>
      <w:divBdr>
        <w:top w:val="none" w:sz="0" w:space="0" w:color="auto"/>
        <w:left w:val="none" w:sz="0" w:space="0" w:color="auto"/>
        <w:bottom w:val="none" w:sz="0" w:space="0" w:color="auto"/>
        <w:right w:val="none" w:sz="0" w:space="0" w:color="auto"/>
      </w:divBdr>
    </w:div>
    <w:div w:id="1530217604">
      <w:bodyDiv w:val="1"/>
      <w:marLeft w:val="0"/>
      <w:marRight w:val="0"/>
      <w:marTop w:val="0"/>
      <w:marBottom w:val="0"/>
      <w:divBdr>
        <w:top w:val="none" w:sz="0" w:space="0" w:color="auto"/>
        <w:left w:val="none" w:sz="0" w:space="0" w:color="auto"/>
        <w:bottom w:val="none" w:sz="0" w:space="0" w:color="auto"/>
        <w:right w:val="none" w:sz="0" w:space="0" w:color="auto"/>
      </w:divBdr>
    </w:div>
    <w:div w:id="1547525606">
      <w:bodyDiv w:val="1"/>
      <w:marLeft w:val="0"/>
      <w:marRight w:val="0"/>
      <w:marTop w:val="0"/>
      <w:marBottom w:val="0"/>
      <w:divBdr>
        <w:top w:val="none" w:sz="0" w:space="0" w:color="auto"/>
        <w:left w:val="none" w:sz="0" w:space="0" w:color="auto"/>
        <w:bottom w:val="none" w:sz="0" w:space="0" w:color="auto"/>
        <w:right w:val="none" w:sz="0" w:space="0" w:color="auto"/>
      </w:divBdr>
    </w:div>
    <w:div w:id="1561819919">
      <w:bodyDiv w:val="1"/>
      <w:marLeft w:val="0"/>
      <w:marRight w:val="0"/>
      <w:marTop w:val="0"/>
      <w:marBottom w:val="0"/>
      <w:divBdr>
        <w:top w:val="none" w:sz="0" w:space="0" w:color="auto"/>
        <w:left w:val="none" w:sz="0" w:space="0" w:color="auto"/>
        <w:bottom w:val="none" w:sz="0" w:space="0" w:color="auto"/>
        <w:right w:val="none" w:sz="0" w:space="0" w:color="auto"/>
      </w:divBdr>
    </w:div>
    <w:div w:id="1567380867">
      <w:bodyDiv w:val="1"/>
      <w:marLeft w:val="0"/>
      <w:marRight w:val="0"/>
      <w:marTop w:val="0"/>
      <w:marBottom w:val="0"/>
      <w:divBdr>
        <w:top w:val="none" w:sz="0" w:space="0" w:color="auto"/>
        <w:left w:val="none" w:sz="0" w:space="0" w:color="auto"/>
        <w:bottom w:val="none" w:sz="0" w:space="0" w:color="auto"/>
        <w:right w:val="none" w:sz="0" w:space="0" w:color="auto"/>
      </w:divBdr>
    </w:div>
    <w:div w:id="1596206668">
      <w:bodyDiv w:val="1"/>
      <w:marLeft w:val="0"/>
      <w:marRight w:val="0"/>
      <w:marTop w:val="0"/>
      <w:marBottom w:val="0"/>
      <w:divBdr>
        <w:top w:val="none" w:sz="0" w:space="0" w:color="auto"/>
        <w:left w:val="none" w:sz="0" w:space="0" w:color="auto"/>
        <w:bottom w:val="none" w:sz="0" w:space="0" w:color="auto"/>
        <w:right w:val="none" w:sz="0" w:space="0" w:color="auto"/>
      </w:divBdr>
    </w:div>
    <w:div w:id="1634363999">
      <w:bodyDiv w:val="1"/>
      <w:marLeft w:val="0"/>
      <w:marRight w:val="0"/>
      <w:marTop w:val="0"/>
      <w:marBottom w:val="0"/>
      <w:divBdr>
        <w:top w:val="none" w:sz="0" w:space="0" w:color="auto"/>
        <w:left w:val="none" w:sz="0" w:space="0" w:color="auto"/>
        <w:bottom w:val="none" w:sz="0" w:space="0" w:color="auto"/>
        <w:right w:val="none" w:sz="0" w:space="0" w:color="auto"/>
      </w:divBdr>
    </w:div>
    <w:div w:id="1658026626">
      <w:bodyDiv w:val="1"/>
      <w:marLeft w:val="0"/>
      <w:marRight w:val="0"/>
      <w:marTop w:val="0"/>
      <w:marBottom w:val="0"/>
      <w:divBdr>
        <w:top w:val="none" w:sz="0" w:space="0" w:color="auto"/>
        <w:left w:val="none" w:sz="0" w:space="0" w:color="auto"/>
        <w:bottom w:val="none" w:sz="0" w:space="0" w:color="auto"/>
        <w:right w:val="none" w:sz="0" w:space="0" w:color="auto"/>
      </w:divBdr>
    </w:div>
    <w:div w:id="1730376903">
      <w:bodyDiv w:val="1"/>
      <w:marLeft w:val="0"/>
      <w:marRight w:val="0"/>
      <w:marTop w:val="0"/>
      <w:marBottom w:val="0"/>
      <w:divBdr>
        <w:top w:val="none" w:sz="0" w:space="0" w:color="auto"/>
        <w:left w:val="none" w:sz="0" w:space="0" w:color="auto"/>
        <w:bottom w:val="none" w:sz="0" w:space="0" w:color="auto"/>
        <w:right w:val="none" w:sz="0" w:space="0" w:color="auto"/>
      </w:divBdr>
    </w:div>
    <w:div w:id="1750809121">
      <w:bodyDiv w:val="1"/>
      <w:marLeft w:val="0"/>
      <w:marRight w:val="0"/>
      <w:marTop w:val="0"/>
      <w:marBottom w:val="0"/>
      <w:divBdr>
        <w:top w:val="none" w:sz="0" w:space="0" w:color="auto"/>
        <w:left w:val="none" w:sz="0" w:space="0" w:color="auto"/>
        <w:bottom w:val="none" w:sz="0" w:space="0" w:color="auto"/>
        <w:right w:val="none" w:sz="0" w:space="0" w:color="auto"/>
      </w:divBdr>
    </w:div>
    <w:div w:id="1759936144">
      <w:bodyDiv w:val="1"/>
      <w:marLeft w:val="0"/>
      <w:marRight w:val="0"/>
      <w:marTop w:val="0"/>
      <w:marBottom w:val="0"/>
      <w:divBdr>
        <w:top w:val="none" w:sz="0" w:space="0" w:color="auto"/>
        <w:left w:val="none" w:sz="0" w:space="0" w:color="auto"/>
        <w:bottom w:val="none" w:sz="0" w:space="0" w:color="auto"/>
        <w:right w:val="none" w:sz="0" w:space="0" w:color="auto"/>
      </w:divBdr>
    </w:div>
    <w:div w:id="1760297796">
      <w:bodyDiv w:val="1"/>
      <w:marLeft w:val="0"/>
      <w:marRight w:val="0"/>
      <w:marTop w:val="0"/>
      <w:marBottom w:val="0"/>
      <w:divBdr>
        <w:top w:val="none" w:sz="0" w:space="0" w:color="auto"/>
        <w:left w:val="none" w:sz="0" w:space="0" w:color="auto"/>
        <w:bottom w:val="none" w:sz="0" w:space="0" w:color="auto"/>
        <w:right w:val="none" w:sz="0" w:space="0" w:color="auto"/>
      </w:divBdr>
    </w:div>
    <w:div w:id="1761414313">
      <w:bodyDiv w:val="1"/>
      <w:marLeft w:val="0"/>
      <w:marRight w:val="0"/>
      <w:marTop w:val="0"/>
      <w:marBottom w:val="0"/>
      <w:divBdr>
        <w:top w:val="none" w:sz="0" w:space="0" w:color="auto"/>
        <w:left w:val="none" w:sz="0" w:space="0" w:color="auto"/>
        <w:bottom w:val="none" w:sz="0" w:space="0" w:color="auto"/>
        <w:right w:val="none" w:sz="0" w:space="0" w:color="auto"/>
      </w:divBdr>
    </w:div>
    <w:div w:id="1802845163">
      <w:bodyDiv w:val="1"/>
      <w:marLeft w:val="0"/>
      <w:marRight w:val="0"/>
      <w:marTop w:val="0"/>
      <w:marBottom w:val="0"/>
      <w:divBdr>
        <w:top w:val="none" w:sz="0" w:space="0" w:color="auto"/>
        <w:left w:val="none" w:sz="0" w:space="0" w:color="auto"/>
        <w:bottom w:val="none" w:sz="0" w:space="0" w:color="auto"/>
        <w:right w:val="none" w:sz="0" w:space="0" w:color="auto"/>
      </w:divBdr>
    </w:div>
    <w:div w:id="1907257264">
      <w:bodyDiv w:val="1"/>
      <w:marLeft w:val="0"/>
      <w:marRight w:val="0"/>
      <w:marTop w:val="0"/>
      <w:marBottom w:val="0"/>
      <w:divBdr>
        <w:top w:val="none" w:sz="0" w:space="0" w:color="auto"/>
        <w:left w:val="none" w:sz="0" w:space="0" w:color="auto"/>
        <w:bottom w:val="none" w:sz="0" w:space="0" w:color="auto"/>
        <w:right w:val="none" w:sz="0" w:space="0" w:color="auto"/>
      </w:divBdr>
    </w:div>
    <w:div w:id="1915816365">
      <w:bodyDiv w:val="1"/>
      <w:marLeft w:val="0"/>
      <w:marRight w:val="0"/>
      <w:marTop w:val="0"/>
      <w:marBottom w:val="0"/>
      <w:divBdr>
        <w:top w:val="none" w:sz="0" w:space="0" w:color="auto"/>
        <w:left w:val="none" w:sz="0" w:space="0" w:color="auto"/>
        <w:bottom w:val="none" w:sz="0" w:space="0" w:color="auto"/>
        <w:right w:val="none" w:sz="0" w:space="0" w:color="auto"/>
      </w:divBdr>
    </w:div>
    <w:div w:id="1943495383">
      <w:bodyDiv w:val="1"/>
      <w:marLeft w:val="0"/>
      <w:marRight w:val="0"/>
      <w:marTop w:val="0"/>
      <w:marBottom w:val="0"/>
      <w:divBdr>
        <w:top w:val="none" w:sz="0" w:space="0" w:color="auto"/>
        <w:left w:val="none" w:sz="0" w:space="0" w:color="auto"/>
        <w:bottom w:val="none" w:sz="0" w:space="0" w:color="auto"/>
        <w:right w:val="none" w:sz="0" w:space="0" w:color="auto"/>
      </w:divBdr>
    </w:div>
    <w:div w:id="1945577429">
      <w:bodyDiv w:val="1"/>
      <w:marLeft w:val="0"/>
      <w:marRight w:val="0"/>
      <w:marTop w:val="0"/>
      <w:marBottom w:val="0"/>
      <w:divBdr>
        <w:top w:val="none" w:sz="0" w:space="0" w:color="auto"/>
        <w:left w:val="none" w:sz="0" w:space="0" w:color="auto"/>
        <w:bottom w:val="none" w:sz="0" w:space="0" w:color="auto"/>
        <w:right w:val="none" w:sz="0" w:space="0" w:color="auto"/>
      </w:divBdr>
    </w:div>
    <w:div w:id="1948586862">
      <w:bodyDiv w:val="1"/>
      <w:marLeft w:val="0"/>
      <w:marRight w:val="0"/>
      <w:marTop w:val="0"/>
      <w:marBottom w:val="0"/>
      <w:divBdr>
        <w:top w:val="none" w:sz="0" w:space="0" w:color="auto"/>
        <w:left w:val="none" w:sz="0" w:space="0" w:color="auto"/>
        <w:bottom w:val="none" w:sz="0" w:space="0" w:color="auto"/>
        <w:right w:val="none" w:sz="0" w:space="0" w:color="auto"/>
      </w:divBdr>
    </w:div>
    <w:div w:id="2039232101">
      <w:bodyDiv w:val="1"/>
      <w:marLeft w:val="0"/>
      <w:marRight w:val="0"/>
      <w:marTop w:val="0"/>
      <w:marBottom w:val="0"/>
      <w:divBdr>
        <w:top w:val="none" w:sz="0" w:space="0" w:color="auto"/>
        <w:left w:val="none" w:sz="0" w:space="0" w:color="auto"/>
        <w:bottom w:val="none" w:sz="0" w:space="0" w:color="auto"/>
        <w:right w:val="none" w:sz="0" w:space="0" w:color="auto"/>
      </w:divBdr>
    </w:div>
    <w:div w:id="2047294346">
      <w:bodyDiv w:val="1"/>
      <w:marLeft w:val="0"/>
      <w:marRight w:val="0"/>
      <w:marTop w:val="0"/>
      <w:marBottom w:val="0"/>
      <w:divBdr>
        <w:top w:val="none" w:sz="0" w:space="0" w:color="auto"/>
        <w:left w:val="none" w:sz="0" w:space="0" w:color="auto"/>
        <w:bottom w:val="none" w:sz="0" w:space="0" w:color="auto"/>
        <w:right w:val="none" w:sz="0" w:space="0" w:color="auto"/>
      </w:divBdr>
    </w:div>
    <w:div w:id="2057774030">
      <w:bodyDiv w:val="1"/>
      <w:marLeft w:val="0"/>
      <w:marRight w:val="0"/>
      <w:marTop w:val="0"/>
      <w:marBottom w:val="0"/>
      <w:divBdr>
        <w:top w:val="none" w:sz="0" w:space="0" w:color="auto"/>
        <w:left w:val="none" w:sz="0" w:space="0" w:color="auto"/>
        <w:bottom w:val="none" w:sz="0" w:space="0" w:color="auto"/>
        <w:right w:val="none" w:sz="0" w:space="0" w:color="auto"/>
      </w:divBdr>
    </w:div>
    <w:div w:id="2072843548">
      <w:bodyDiv w:val="1"/>
      <w:marLeft w:val="0"/>
      <w:marRight w:val="0"/>
      <w:marTop w:val="0"/>
      <w:marBottom w:val="0"/>
      <w:divBdr>
        <w:top w:val="none" w:sz="0" w:space="0" w:color="auto"/>
        <w:left w:val="none" w:sz="0" w:space="0" w:color="auto"/>
        <w:bottom w:val="none" w:sz="0" w:space="0" w:color="auto"/>
        <w:right w:val="none" w:sz="0" w:space="0" w:color="auto"/>
      </w:divBdr>
    </w:div>
    <w:div w:id="2086416854">
      <w:bodyDiv w:val="1"/>
      <w:marLeft w:val="0"/>
      <w:marRight w:val="0"/>
      <w:marTop w:val="0"/>
      <w:marBottom w:val="0"/>
      <w:divBdr>
        <w:top w:val="none" w:sz="0" w:space="0" w:color="auto"/>
        <w:left w:val="none" w:sz="0" w:space="0" w:color="auto"/>
        <w:bottom w:val="none" w:sz="0" w:space="0" w:color="auto"/>
        <w:right w:val="none" w:sz="0" w:space="0" w:color="auto"/>
      </w:divBdr>
    </w:div>
    <w:div w:id="2087603067">
      <w:bodyDiv w:val="1"/>
      <w:marLeft w:val="0"/>
      <w:marRight w:val="0"/>
      <w:marTop w:val="0"/>
      <w:marBottom w:val="0"/>
      <w:divBdr>
        <w:top w:val="none" w:sz="0" w:space="0" w:color="auto"/>
        <w:left w:val="none" w:sz="0" w:space="0" w:color="auto"/>
        <w:bottom w:val="none" w:sz="0" w:space="0" w:color="auto"/>
        <w:right w:val="none" w:sz="0" w:space="0" w:color="auto"/>
      </w:divBdr>
    </w:div>
    <w:div w:id="2096314303">
      <w:bodyDiv w:val="1"/>
      <w:marLeft w:val="0"/>
      <w:marRight w:val="0"/>
      <w:marTop w:val="0"/>
      <w:marBottom w:val="0"/>
      <w:divBdr>
        <w:top w:val="none" w:sz="0" w:space="0" w:color="auto"/>
        <w:left w:val="none" w:sz="0" w:space="0" w:color="auto"/>
        <w:bottom w:val="none" w:sz="0" w:space="0" w:color="auto"/>
        <w:right w:val="none" w:sz="0" w:space="0" w:color="auto"/>
      </w:divBdr>
    </w:div>
    <w:div w:id="2113738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Tup87</b:Tag>
    <b:SourceType>BookSection</b:SourceType>
    <b:Guid>{F312BA3C-E968-4846-8B9B-9AC988B27CD2}</b:Guid>
    <b:Title>Coinage and administration in the Athenian and Persian empires</b:Title>
    <b:Year>1987</b:Year>
    <b:Edition>343</b:Edition>
    <b:Author>
      <b:Author>
        <b:NameList>
          <b:Person>
            <b:Last>Tuplin</b:Last>
            <b:First>C</b:First>
          </b:Person>
        </b:NameList>
      </b:Author>
    </b:Author>
    <b:BookTitle>The administration of the Achaemenid empire</b:BookTitle>
    <b:Pages>109-167</b:Pages>
    <b:RefOrder>4</b:RefOrder>
  </b:Source>
  <b:Source>
    <b:Tag>Dus13</b:Tag>
    <b:SourceType>Book</b:SourceType>
    <b:Guid>{0AD79CA2-89D7-494A-BD59-67CD3C961FF5}</b:Guid>
    <b:Title>Empire, authority, and autonomy in Achaemenid Anatolia</b:Title>
    <b:Year>2013</b:Year>
    <b:City>Cambridge</b:City>
    <b:Publisher>Cambridge University Press</b:Publisher>
    <b:Author>
      <b:Author>
        <b:NameList>
          <b:Person>
            <b:Last>Dusinberre</b:Last>
            <b:First>E.R.</b:First>
          </b:Person>
        </b:NameList>
      </b:Author>
    </b:Author>
    <b:RefOrder>1</b:RefOrder>
  </b:Source>
  <b:Source>
    <b:Tag>Nem98</b:Tag>
    <b:SourceType>Book</b:SourceType>
    <b:Guid>{02C05EFE-D0D4-41F0-B347-C0E454099A1C}</b:Guid>
    <b:Title>Daily life in ancient Mesopotamia</b:Title>
    <b:Year>1998</b:Year>
    <b:Publisher>Greenwood Publishing Group</b:Publisher>
    <b:Author>
      <b:Author>
        <b:NameList>
          <b:Person>
            <b:Last>Nemet-Nejat</b:Last>
            <b:First>K.R.</b:First>
          </b:Person>
        </b:NameList>
      </b:Author>
    </b:Author>
    <b:RefOrder>5</b:RefOrder>
  </b:Source>
  <b:Source>
    <b:Tag>Fis84</b:Tag>
    <b:SourceType>Book</b:SourceType>
    <b:Guid>{43ED3C5D-753C-4332-80F9-EE30D856D89C}</b:Guid>
    <b:Title>Women in the Ancient World</b:Title>
    <b:Year>1984</b:Year>
    <b:Author>
      <b:Author>
        <b:NameList>
          <b:Person>
            <b:Last>Fisher</b:Last>
            <b:First>N.R.E.</b:First>
          </b:Person>
        </b:NameList>
      </b:Author>
    </b:Author>
    <b:RefOrder>6</b:RefOrder>
  </b:Source>
  <b:Source>
    <b:Tag>Mal72</b:Tag>
    <b:SourceType>Book</b:SourceType>
    <b:Guid>{B4BC68E5-CEF7-45FF-B3E6-E9F900D32557}</b:Guid>
    <b:Title>Cyrus the Great (558–529 BC)</b:Title>
    <b:Year>1972</b:Year>
    <b:City>Iran</b:City>
    <b:Edition>10(1)</b:Edition>
    <b:Author>
      <b:Author>
        <b:NameList>
          <b:Person>
            <b:Last>Mallowan</b:Last>
            <b:First>M</b:First>
          </b:Person>
        </b:NameList>
      </b:Author>
    </b:Author>
    <b:RefOrder>2</b:RefOrder>
  </b:Source>
  <b:Source>
    <b:Tag>Gra96</b:Tag>
    <b:SourceType>JournalArticle</b:SourceType>
    <b:Guid>{B3DC4F4D-85E9-43B7-8AE8-3A7FBEB94376}</b:Guid>
    <b:Title>Persian Society as seen by some of the Ancients</b:Title>
    <b:Year>1996</b:Year>
    <b:Author>
      <b:Author>
        <b:NameList>
          <b:Person>
            <b:Last>Granger</b:Last>
            <b:First>R.</b:First>
          </b:Person>
        </b:NameList>
      </b:Author>
    </b:Author>
    <b:BookTitle>Ancient History Resources for Teachers</b:BookTitle>
    <b:Pages>119</b:Pages>
    <b:JournalName>Ancient History Resources for Teachers</b:JournalName>
    <b:Volume>26</b:Volume>
    <b:Issue>2</b:Issue>
    <b:RefOrder>3</b:RefOrder>
  </b:Source>
  <b:Source>
    <b:Tag>Gra94</b:Tag>
    <b:SourceType>BookSection</b:SourceType>
    <b:Guid>{B7064620-F6A7-4AE4-8FE0-2E4EF6CA572F}</b:Guid>
    <b:Title>The Persian royal road system.</b:Title>
    <b:JournalName>Achaemenid History</b:JournalName>
    <b:Year>1994</b:Year>
    <b:Pages>167-89.</b:Pages>
    <b:Author>
      <b:Author>
        <b:NameList>
          <b:Person>
            <b:Last>Graf</b:Last>
            <b:First>D.F</b:First>
          </b:Person>
        </b:NameList>
      </b:Author>
    </b:Author>
    <b:BookTitle>Achaemenid History</b:BookTitle>
    <b:RefOrder>7</b:RefOrder>
  </b:Source>
  <b:Source>
    <b:Tag>Dan72</b:Tag>
    <b:SourceType>Book</b:SourceType>
    <b:Guid>{E5153310-8686-4315-A4B8-D83F399139F9}</b:Guid>
    <b:Title>“Connections between Elam and Babylonia in the Achaemenid Period,” The Memorial Volume of the Vth International Congress of Iranian Art and Archaeology I</b:Title>
    <b:Year>1972</b:Year>
    <b:City>Tehran</b:City>
    <b:Author>
      <b:Author>
        <b:NameList>
          <b:Person>
            <b:Last>Dandamayev</b:Last>
            <b:First>M. A. </b:First>
          </b:Person>
        </b:NameList>
      </b:Author>
    </b:Author>
    <b:RefOrder>9</b:RefOrder>
  </b:Source>
  <b:Source>
    <b:Tag>Fin73</b:Tag>
    <b:SourceType>Book</b:SourceType>
    <b:Guid>{E696D41E-A0AF-4ACB-AF8C-8DA8D08E27DE}</b:Guid>
    <b:Title>The Ancient Economy</b:Title>
    <b:Year>1973</b:Year>
    <b:City>London</b:City>
    <b:Author>
      <b:Author>
        <b:NameList>
          <b:Person>
            <b:Last>Finley</b:Last>
            <b:First>M. I.</b:First>
          </b:Person>
        </b:NameList>
      </b:Author>
    </b:Author>
    <b:RefOrder>8</b:RefOrder>
  </b:Source>
  <b:Source>
    <b:Tag>Wat14</b:Tag>
    <b:SourceType>Book</b:SourceType>
    <b:Guid>{1CFD4F27-639D-440B-9601-D0B2375F9A34}</b:Guid>
    <b:Title>Ancient Persia: a concise history of the Achaemenid Empire, 550–330 BCE</b:Title>
    <b:Year>2014</b:Year>
    <b:City>Cambridge</b:City>
    <b:Publisher>Cambridge University Press</b:Publisher>
    <b:Author>
      <b:Author>
        <b:NameList>
          <b:Person>
            <b:Last>Waters</b:Last>
            <b:First>M</b:First>
          </b:Person>
        </b:NameList>
      </b:Author>
    </b:Author>
    <b:RefOrder>10</b:RefOrder>
  </b:Source>
  <b:Source>
    <b:Tag>Far98</b:Tag>
    <b:SourceType>Book</b:SourceType>
    <b:Guid>{375D439C-285D-47A7-8931-98DA04145130}</b:Guid>
    <b:Title>“Persian/Iranian Administrative Tradition”, in Jay M. Shafritz (Editor), International Encyclopedia of Public Policy and Administration</b:Title>
    <b:Year>1998</b:Year>
    <b:Publisher>Westview Press</b:Publisher>
    <b:Author>
      <b:Author>
        <b:NameList>
          <b:Person>
            <b:Last>Farazmand</b:Last>
            <b:First>Ali</b:First>
          </b:Person>
        </b:NameList>
      </b:Author>
    </b:Author>
    <b:Edition>pp.1640–1645</b:Edition>
    <b:RefOrder>12</b:RefOrder>
  </b:Source>
  <b:Source>
    <b:Tag>Kha72</b:Tag>
    <b:SourceType>BookSection</b:SourceType>
    <b:Guid>{F915D29D-93EF-45EB-A0BB-5F002DB4E397}</b:Guid>
    <b:Title>Ancient Routes between the Indus Valley and Iran</b:Title>
    <b:Year>1972</b:Year>
    <b:City>Tehran</b:City>
    <b:Author>
      <b:Author>
        <b:NameList>
          <b:Person>
            <b:Last> Khan</b:Last>
            <b:First>F. A.</b:First>
          </b:Person>
        </b:NameList>
      </b:Author>
    </b:Author>
    <b:JournalName>The Memorial Volume of the Vth International Congress of Iranian Art and Archaeology I</b:JournalName>
    <b:Pages>120-27.</b:Pages>
    <b:BookTitle>The Memorial Volume of the Vth International Congress of Iranian Art and Archaeology I</b:BookTitle>
    <b:RefOrder>11</b:RefOrder>
  </b:Source>
</b:Sources>
</file>

<file path=customXml/itemProps1.xml><?xml version="1.0" encoding="utf-8"?>
<ds:datastoreItem xmlns:ds="http://schemas.openxmlformats.org/officeDocument/2006/customXml" ds:itemID="{3B4052CA-E495-4D3B-866A-71685B83B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1164</Words>
  <Characters>6638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2</cp:revision>
  <dcterms:created xsi:type="dcterms:W3CDTF">2018-02-13T23:38:00Z</dcterms:created>
  <dcterms:modified xsi:type="dcterms:W3CDTF">2018-02-13T23:38:00Z</dcterms:modified>
</cp:coreProperties>
</file>