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before="0" w:line="240" w:lineRule="auto"/>
        <w:jc w:val="center"/>
        <w:rPr/>
      </w:pPr>
      <w:bookmarkStart w:colFirst="0" w:colLast="0" w:name="_wnc2qnuz6zrb" w:id="0"/>
      <w:bookmarkEnd w:id="0"/>
      <w:r w:rsidDel="00000000" w:rsidR="00000000" w:rsidRPr="00000000">
        <w:rPr>
          <w:rtl w:val="0"/>
        </w:rPr>
        <w:t xml:space="preserve">CORONAVIRUS COVID 19</w:t>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before="0" w:line="240" w:lineRule="auto"/>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DANIELA BABAN </w:t>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spacing w:before="0" w:line="240" w:lineRule="auto"/>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Id student 2131547</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0" w:line="240" w:lineRule="auto"/>
        <w:rPr>
          <w:rFonts w:ascii="Economica" w:cs="Economica" w:eastAsia="Economica" w:hAnsi="Economica"/>
          <w:sz w:val="32"/>
          <w:szCs w:val="32"/>
        </w:rPr>
      </w:pPr>
      <w:r w:rsidDel="00000000" w:rsidR="00000000" w:rsidRPr="00000000">
        <w:rPr>
          <w:rFonts w:ascii="Economica" w:cs="Economica" w:eastAsia="Economica" w:hAnsi="Economica"/>
          <w:sz w:val="32"/>
          <w:szCs w:val="32"/>
          <w:rtl w:val="0"/>
        </w:rPr>
        <w:t xml:space="preserve">Academic and employability skills </w:t>
      </w:r>
      <w:r w:rsidDel="00000000" w:rsidR="00000000" w:rsidRPr="00000000">
        <w:rPr>
          <w:rtl w:val="0"/>
        </w:rPr>
      </w:r>
    </w:p>
    <w:p w:rsidR="00000000" w:rsidDel="00000000" w:rsidP="00000000" w:rsidRDefault="00000000" w:rsidRPr="00000000" w14:paraId="00000005">
      <w:pPr>
        <w:pStyle w:val="Title"/>
        <w:pageBreakBefore w:val="0"/>
        <w:pBdr>
          <w:top w:space="0" w:sz="0" w:val="nil"/>
          <w:left w:space="0" w:sz="0" w:val="nil"/>
          <w:bottom w:space="0" w:sz="0" w:val="nil"/>
          <w:right w:space="0" w:sz="0" w:val="nil"/>
          <w:between w:space="0" w:sz="0" w:val="nil"/>
        </w:pBdr>
        <w:shd w:fill="auto" w:val="clear"/>
        <w:rPr>
          <w:rFonts w:ascii="Economica" w:cs="Economica" w:eastAsia="Economica" w:hAnsi="Economica"/>
          <w:b w:val="1"/>
          <w:sz w:val="60"/>
          <w:szCs w:val="60"/>
        </w:rPr>
      </w:pPr>
      <w:bookmarkStart w:colFirst="0" w:colLast="0" w:name="_mbjsiz6n6jlo" w:id="1"/>
      <w:bookmarkEnd w:id="1"/>
      <w:r w:rsidDel="00000000" w:rsidR="00000000" w:rsidRPr="00000000">
        <w:rPr>
          <w:b w:val="1"/>
          <w:rtl w:val="0"/>
        </w:rPr>
        <w:t xml:space="preserve">COVID 19</w:t>
      </w:r>
      <w:r w:rsidDel="00000000" w:rsidR="00000000" w:rsidRPr="00000000">
        <w:rPr>
          <w:rtl w:val="0"/>
        </w:rPr>
      </w:r>
    </w:p>
    <w:p w:rsidR="00000000" w:rsidDel="00000000" w:rsidP="00000000" w:rsidRDefault="00000000" w:rsidRPr="00000000" w14:paraId="00000006">
      <w:pPr>
        <w:pStyle w:val="Subtitle"/>
        <w:pageBreakBefore w:val="0"/>
        <w:pBdr>
          <w:top w:space="0" w:sz="0" w:val="nil"/>
          <w:left w:space="0" w:sz="0" w:val="nil"/>
          <w:bottom w:space="0" w:sz="0" w:val="nil"/>
          <w:right w:space="0" w:sz="0" w:val="nil"/>
          <w:between w:space="0" w:sz="0" w:val="nil"/>
        </w:pBdr>
        <w:shd w:fill="auto" w:val="clear"/>
        <w:rPr/>
      </w:pPr>
      <w:bookmarkStart w:colFirst="0" w:colLast="0" w:name="_vb8p0lepu9vn" w:id="2"/>
      <w:bookmarkEnd w:id="2"/>
      <w:r w:rsidDel="00000000" w:rsidR="00000000" w:rsidRPr="00000000">
        <w:rPr>
          <w:rtl w:val="0"/>
        </w:rPr>
      </w:r>
    </w:p>
    <w:p w:rsidR="00000000" w:rsidDel="00000000" w:rsidP="00000000" w:rsidRDefault="00000000" w:rsidRPr="00000000" w14:paraId="00000007">
      <w:pPr>
        <w:pageBreakBefore w:val="0"/>
        <w:pBdr>
          <w:top w:space="0" w:sz="0" w:val="nil"/>
          <w:left w:space="0" w:sz="0" w:val="nil"/>
          <w:bottom w:space="0" w:sz="0" w:val="nil"/>
          <w:right w:space="0" w:sz="0" w:val="nil"/>
          <w:between w:space="0" w:sz="0" w:val="nil"/>
        </w:pBdr>
        <w:shd w:fill="auto" w:val="clear"/>
        <w:spacing w:after="0" w:before="60" w:lineRule="auto"/>
        <w:rPr/>
      </w:pPr>
      <w:r w:rsidDel="00000000" w:rsidR="00000000" w:rsidRPr="00000000">
        <w:rPr>
          <w:sz w:val="24"/>
          <w:szCs w:val="24"/>
        </w:rPr>
        <w:drawing>
          <wp:inline distB="114300" distT="114300" distL="114300" distR="114300">
            <wp:extent cx="5943600" cy="38100"/>
            <wp:effectExtent b="0" l="0" r="0" t="0"/>
            <wp:docPr descr="horizontal line" id="1" name="image2.png"/>
            <a:graphic>
              <a:graphicData uri="http://schemas.openxmlformats.org/drawingml/2006/picture">
                <pic:pic>
                  <pic:nvPicPr>
                    <pic:cNvPr descr="horizontal line" id="0" name="image2.png"/>
                    <pic:cNvPicPr preferRelativeResize="0"/>
                  </pic:nvPicPr>
                  <pic:blipFill>
                    <a:blip r:embed="rId6"/>
                    <a:srcRect b="0" l="0" r="0" t="0"/>
                    <a:stretch>
                      <a:fillRect/>
                    </a:stretch>
                  </pic:blipFill>
                  <pic:spPr>
                    <a:xfrm>
                      <a:off x="0" y="0"/>
                      <a:ext cx="5943600" cy="381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pStyle w:val="Heading1"/>
        <w:pageBreakBefore w:val="0"/>
        <w:pBdr>
          <w:top w:space="0" w:sz="0" w:val="nil"/>
          <w:left w:space="0" w:sz="0" w:val="nil"/>
          <w:bottom w:space="0" w:sz="0" w:val="nil"/>
          <w:right w:space="0" w:sz="0" w:val="nil"/>
          <w:between w:space="0" w:sz="0" w:val="nil"/>
        </w:pBdr>
        <w:shd w:fill="auto" w:val="clear"/>
        <w:spacing w:before="120" w:lineRule="auto"/>
        <w:rPr>
          <w:b w:val="0"/>
          <w:sz w:val="22"/>
          <w:szCs w:val="22"/>
        </w:rPr>
      </w:pPr>
      <w:bookmarkStart w:colFirst="0" w:colLast="0" w:name="_vydniszftb1n" w:id="3"/>
      <w:bookmarkEnd w:id="3"/>
      <w:r w:rsidDel="00000000" w:rsidR="00000000" w:rsidRPr="00000000">
        <w:rPr>
          <w:b w:val="0"/>
          <w:sz w:val="22"/>
          <w:szCs w:val="22"/>
        </w:rPr>
        <w:drawing>
          <wp:inline distB="114300" distT="114300" distL="114300" distR="114300">
            <wp:extent cx="2133600" cy="2133600"/>
            <wp:effectExtent b="0" l="0" r="0" t="0"/>
            <wp:docPr id="4"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2133600" cy="2133600"/>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pStyle w:val="Heading1"/>
        <w:pageBreakBefore w:val="0"/>
        <w:pBdr>
          <w:top w:space="0" w:sz="0" w:val="nil"/>
          <w:left w:space="0" w:sz="0" w:val="nil"/>
          <w:bottom w:space="0" w:sz="0" w:val="nil"/>
          <w:right w:space="0" w:sz="0" w:val="nil"/>
          <w:between w:space="0" w:sz="0" w:val="nil"/>
        </w:pBdr>
        <w:shd w:fill="auto" w:val="clear"/>
        <w:rPr/>
      </w:pPr>
      <w:bookmarkStart w:colFirst="0" w:colLast="0" w:name="_arolcxe0i15c" w:id="4"/>
      <w:bookmarkEnd w:id="4"/>
      <w:r w:rsidDel="00000000" w:rsidR="00000000" w:rsidRPr="00000000">
        <w:rPr>
          <w:rtl w:val="0"/>
        </w:rPr>
        <w:t xml:space="preserve">Introduction</w:t>
      </w:r>
    </w:p>
    <w:p w:rsidR="00000000" w:rsidDel="00000000" w:rsidP="00000000" w:rsidRDefault="00000000" w:rsidRPr="00000000" w14:paraId="0000000A">
      <w:pPr>
        <w:rPr>
          <w:color w:val="505050"/>
          <w:sz w:val="27"/>
          <w:szCs w:val="27"/>
        </w:rPr>
      </w:pPr>
      <w:r w:rsidDel="00000000" w:rsidR="00000000" w:rsidRPr="00000000">
        <w:rPr>
          <w:color w:val="1c1d1e"/>
          <w:sz w:val="24"/>
          <w:szCs w:val="24"/>
          <w:rtl w:val="0"/>
        </w:rPr>
        <w:t xml:space="preserve">Severe acute respiratory syndrome coronavirus 2 (SARS-CoV-2) causing coronavirus disease 2019 (COVID-19) has rapidly evolved from an epidemic outbreak in Wuhan, China</w:t>
      </w:r>
      <w:hyperlink r:id="rId8">
        <w:r w:rsidDel="00000000" w:rsidR="00000000" w:rsidRPr="00000000">
          <w:rPr>
            <w:color w:val="1155cc"/>
            <w:sz w:val="30"/>
            <w:szCs w:val="30"/>
            <w:u w:val="single"/>
            <w:vertAlign w:val="superscript"/>
            <w:rtl w:val="0"/>
          </w:rPr>
          <w:t xml:space="preserve">1</w:t>
        </w:r>
      </w:hyperlink>
      <w:r w:rsidDel="00000000" w:rsidR="00000000" w:rsidRPr="00000000">
        <w:rPr>
          <w:color w:val="1c1d1e"/>
          <w:sz w:val="24"/>
          <w:szCs w:val="24"/>
          <w:rtl w:val="0"/>
        </w:rPr>
        <w:t xml:space="preserve"> into a pandemic infecting more than 1 million individuals all over the world. Billions of citizens are affected by measures of social distancing and the socioeconomic impact of the pandemic. Note, SARS-CoV-2 is approximately 80% similar to SARS-CoV, and invades host human cells by binding to the angiotensin-converting enzyme 2 (ACE2) receptor.</w:t>
      </w:r>
      <w:hyperlink r:id="rId9">
        <w:r w:rsidDel="00000000" w:rsidR="00000000" w:rsidRPr="00000000">
          <w:rPr>
            <w:color w:val="1155cc"/>
            <w:sz w:val="30"/>
            <w:szCs w:val="30"/>
            <w:u w:val="single"/>
            <w:vertAlign w:val="superscript"/>
            <w:rtl w:val="0"/>
          </w:rPr>
          <w:t xml:space="preserve">1</w:t>
        </w:r>
      </w:hyperlink>
      <w:r w:rsidDel="00000000" w:rsidR="00000000" w:rsidRPr="00000000">
        <w:rPr>
          <w:color w:val="1c1d1e"/>
          <w:sz w:val="24"/>
          <w:szCs w:val="24"/>
          <w:rtl w:val="0"/>
        </w:rPr>
        <w:t xml:space="preserve">Although it is well documented that COVID-19 is primarily manifested as a respiratory tract infection, emerging data indicate that it should be regarded as a systemic disease involving multiple systems, including cardiovascular, respiratory, gastrointestinal, neurological, hematopoietic and immune system.</w:t>
      </w:r>
      <w:hyperlink r:id="rId10">
        <w:r w:rsidDel="00000000" w:rsidR="00000000" w:rsidRPr="00000000">
          <w:rPr>
            <w:color w:val="1155cc"/>
            <w:sz w:val="30"/>
            <w:szCs w:val="30"/>
            <w:u w:val="single"/>
            <w:vertAlign w:val="superscript"/>
            <w:rtl w:val="0"/>
          </w:rPr>
          <w:t xml:space="preserve">2</w:t>
        </w:r>
      </w:hyperlink>
      <w:r w:rsidDel="00000000" w:rsidR="00000000" w:rsidRPr="00000000">
        <w:rPr>
          <w:color w:val="1c1d1e"/>
          <w:sz w:val="30"/>
          <w:szCs w:val="30"/>
          <w:vertAlign w:val="superscript"/>
          <w:rtl w:val="0"/>
        </w:rPr>
        <w:t xml:space="preserve">-</w:t>
      </w:r>
      <w:hyperlink r:id="rId11">
        <w:r w:rsidDel="00000000" w:rsidR="00000000" w:rsidRPr="00000000">
          <w:rPr>
            <w:color w:val="1155cc"/>
            <w:sz w:val="30"/>
            <w:szCs w:val="30"/>
            <w:u w:val="single"/>
            <w:vertAlign w:val="superscript"/>
            <w:rtl w:val="0"/>
          </w:rPr>
          <w:t xml:space="preserve">4</w:t>
        </w:r>
      </w:hyperlink>
      <w:r w:rsidDel="00000000" w:rsidR="00000000" w:rsidRPr="00000000">
        <w:rPr>
          <w:color w:val="1c1d1e"/>
          <w:sz w:val="24"/>
          <w:szCs w:val="24"/>
          <w:rtl w:val="0"/>
        </w:rPr>
        <w:t xml:space="preserve"> Mortality rates of COVID-19 are lower than SARS and Middle East Respiratory Syndrome (MERS)</w:t>
      </w:r>
      <w:hyperlink r:id="rId12">
        <w:r w:rsidDel="00000000" w:rsidR="00000000" w:rsidRPr="00000000">
          <w:rPr>
            <w:color w:val="1155cc"/>
            <w:sz w:val="30"/>
            <w:szCs w:val="30"/>
            <w:u w:val="single"/>
            <w:vertAlign w:val="superscript"/>
            <w:rtl w:val="0"/>
          </w:rPr>
          <w:t xml:space="preserve">5</w:t>
        </w:r>
      </w:hyperlink>
      <w:r w:rsidDel="00000000" w:rsidR="00000000" w:rsidRPr="00000000">
        <w:rPr>
          <w:color w:val="1c1d1e"/>
          <w:sz w:val="24"/>
          <w:szCs w:val="24"/>
          <w:rtl w:val="0"/>
        </w:rPr>
        <w:t xml:space="preserve">; however, COVID-19 is more lethal than seasonal flu. Older people and those with comorbidities are at increased risk of death from COVID-19, but younger people without major underlying diseases may also present with potentially lethal complications such as fulminant myocarditis and disseminated intravascular coagulopathy (DIC).</w:t>
      </w:r>
      <w:hyperlink r:id="rId13">
        <w:r w:rsidDel="00000000" w:rsidR="00000000" w:rsidRPr="00000000">
          <w:rPr>
            <w:color w:val="1155cc"/>
            <w:sz w:val="30"/>
            <w:szCs w:val="30"/>
            <w:u w:val="single"/>
            <w:vertAlign w:val="superscript"/>
            <w:rtl w:val="0"/>
          </w:rPr>
          <w:t xml:space="preserve">6</w:t>
        </w:r>
      </w:hyperlink>
      <w:r w:rsidDel="00000000" w:rsidR="00000000" w:rsidRPr="00000000">
        <w:rPr>
          <w:color w:val="1c1d1e"/>
          <w:sz w:val="30"/>
          <w:szCs w:val="30"/>
          <w:vertAlign w:val="superscript"/>
          <w:rtl w:val="0"/>
        </w:rPr>
        <w:t xml:space="preserve">, </w:t>
      </w:r>
      <w:hyperlink r:id="rId14">
        <w:r w:rsidDel="00000000" w:rsidR="00000000" w:rsidRPr="00000000">
          <w:rPr>
            <w:color w:val="1155cc"/>
            <w:sz w:val="30"/>
            <w:szCs w:val="30"/>
            <w:u w:val="single"/>
            <w:vertAlign w:val="superscript"/>
            <w:rtl w:val="0"/>
          </w:rPr>
          <w:t xml:space="preserve">7</w:t>
        </w:r>
      </w:hyperlink>
      <w:r w:rsidDel="00000000" w:rsidR="00000000" w:rsidRPr="00000000">
        <w:rPr>
          <w:color w:val="1c1d1e"/>
          <w:sz w:val="24"/>
          <w:szCs w:val="24"/>
          <w:rtl w:val="0"/>
        </w:rPr>
        <w:t xml:space="preserve"> Herein, we summarize the numerous hematologic findings and complications of COVID-19 and we provide guidance for early prevention and management of the latter.</w:t>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160" w:line="360" w:lineRule="auto"/>
        <w:ind w:left="-15" w:right="0" w:firstLine="15"/>
        <w:jc w:val="left"/>
        <w:rPr>
          <w:rFonts w:ascii="Arial" w:cs="Arial" w:eastAsia="Arial" w:hAnsi="Arial"/>
          <w:color w:val="505050"/>
          <w:sz w:val="27"/>
          <w:szCs w:val="27"/>
          <w:highlight w:val="white"/>
        </w:rPr>
      </w:pPr>
      <w:r w:rsidDel="00000000" w:rsidR="00000000" w:rsidRPr="00000000">
        <w:rPr>
          <w:rFonts w:ascii="Arial" w:cs="Arial" w:eastAsia="Arial" w:hAnsi="Arial"/>
          <w:color w:val="505050"/>
          <w:sz w:val="27"/>
          <w:szCs w:val="27"/>
          <w:rtl w:val="0"/>
        </w:rPr>
        <w:t xml:space="preserve">With the ongoing COVID-19 pandemic, growing evidence shows that a considerable proportion of people who have recovered from COVID-19 have long-term effects on multiple organs and systems. A few longitudinal studies have reported on the persistent health effects of COVID-19, but the follow-up was limited to 1 year after acute infection. What they have found to do  was to characterize the longitudinal evolution of health outcomes in hospital survivors with different initial disease severity throughout 2 years after acute COVID-19 infection and to determine their recovery status.</w:t>
      </w:r>
      <w:r w:rsidDel="00000000" w:rsidR="00000000" w:rsidRPr="00000000">
        <w:rPr>
          <w:rFonts w:ascii="Arial" w:cs="Arial" w:eastAsia="Arial" w:hAnsi="Arial"/>
          <w:color w:val="505050"/>
          <w:sz w:val="27"/>
          <w:szCs w:val="27"/>
          <w:highlight w:val="white"/>
          <w:rtl w:val="0"/>
        </w:rPr>
        <w:t xml:space="preserve">Regardless of initial disease severity, COVID-19 survivors had longitudinal improvements in physical and mental health, with most returning to their original work within 2 years; however, the burden of symptomatic sequelae remained fairly high. COVID-19 survivors had a remarkably lower health status than the general population at 2 years. The study findings indicate that there is an urgent need to explore the pathogenesis of long COVID and develop effective interventions to reduce the risk of long COVID.</w:t>
      </w:r>
    </w:p>
    <w:p w:rsidR="00000000" w:rsidDel="00000000" w:rsidP="00000000" w:rsidRDefault="00000000" w:rsidRPr="00000000" w14:paraId="0000000C">
      <w:pPr>
        <w:rPr/>
      </w:pPr>
      <w:r w:rsidDel="00000000" w:rsidR="00000000" w:rsidRPr="00000000">
        <w:rPr>
          <w:rtl w:val="0"/>
        </w:rPr>
        <w:t xml:space="preserve">Coronaviruses are a large family of viruses that are known to cause illness ranging from the common cold to more severe diseases such as Middle East Respiratory Syndrome (MERS) and Severe Acute Respiratory Syndrome (SARS).</w:t>
      </w:r>
    </w:p>
    <w:p w:rsidR="00000000" w:rsidDel="00000000" w:rsidP="00000000" w:rsidRDefault="00000000" w:rsidRPr="00000000" w14:paraId="0000000D">
      <w:pPr>
        <w:rPr>
          <w:rFonts w:ascii="Times New Roman" w:cs="Times New Roman" w:eastAsia="Times New Roman" w:hAnsi="Times New Roman"/>
          <w:color w:val="734126"/>
          <w:sz w:val="32"/>
          <w:szCs w:val="32"/>
        </w:rPr>
      </w:pPr>
      <w:r w:rsidDel="00000000" w:rsidR="00000000" w:rsidRPr="00000000">
        <w:rPr>
          <w:rFonts w:ascii="Times New Roman" w:cs="Times New Roman" w:eastAsia="Times New Roman" w:hAnsi="Times New Roman"/>
          <w:b w:val="0"/>
          <w:color w:val="734126"/>
          <w:sz w:val="32"/>
          <w:szCs w:val="32"/>
          <w:rtl w:val="0"/>
        </w:rPr>
        <w:t xml:space="preserve">Coronavirus Versus Seasonal Influenza </w:t>
      </w:r>
      <w:r w:rsidDel="00000000" w:rsidR="00000000" w:rsidRPr="00000000">
        <w:rPr>
          <w:rFonts w:ascii="Times New Roman" w:cs="Times New Roman" w:eastAsia="Times New Roman" w:hAnsi="Times New Roman"/>
          <w:color w:val="734126"/>
          <w:sz w:val="32"/>
          <w:szCs w:val="32"/>
          <w:rtl w:val="0"/>
        </w:rPr>
        <w:t xml:space="preserve"> </w:t>
      </w:r>
    </w:p>
    <w:p w:rsidR="00000000" w:rsidDel="00000000" w:rsidP="00000000" w:rsidRDefault="00000000" w:rsidRPr="00000000" w14:paraId="0000000E">
      <w:pPr>
        <w:rPr/>
      </w:pPr>
      <w:r w:rsidDel="00000000" w:rsidR="00000000" w:rsidRPr="00000000">
        <w:rPr>
          <w:rtl w:val="0"/>
        </w:rPr>
        <w:t xml:space="preserve">Influenza, or seasonal flu, occurs globally every year–usually between December and February. It is impossible to determine the number of reports per year because it is not a reportable infection (so no need to be recorded </w:t>
      </w:r>
      <w:r w:rsidDel="00000000" w:rsidR="00000000" w:rsidRPr="00000000">
        <w:rPr>
          <w:rtl w:val="0"/>
        </w:rPr>
        <w:t xml:space="preserve">to municipality</w:t>
      </w:r>
      <w:r w:rsidDel="00000000" w:rsidR="00000000" w:rsidRPr="00000000">
        <w:rPr>
          <w:rtl w:val="0"/>
        </w:rPr>
        <w:t xml:space="preserve">), so often patients with minor symptoms do not go to a physician. Recent figures placed the Rate of Case Fatality at 0.1% [</w:t>
      </w:r>
      <w:hyperlink r:id="rId15">
        <w:r w:rsidDel="00000000" w:rsidR="00000000" w:rsidRPr="00000000">
          <w:rPr>
            <w:color w:val="1155cc"/>
            <w:u w:val="single"/>
            <w:rtl w:val="0"/>
          </w:rPr>
          <w:t xml:space="preserve">21</w:t>
        </w:r>
      </w:hyperlink>
      <w:r w:rsidDel="00000000" w:rsidR="00000000" w:rsidRPr="00000000">
        <w:rPr>
          <w:rtl w:val="0"/>
        </w:rPr>
        <w:t xml:space="preserve">–</w:t>
      </w:r>
      <w:hyperlink r:id="rId16">
        <w:r w:rsidDel="00000000" w:rsidR="00000000" w:rsidRPr="00000000">
          <w:rPr>
            <w:color w:val="1155cc"/>
            <w:u w:val="single"/>
            <w:rtl w:val="0"/>
          </w:rPr>
          <w:t xml:space="preserve">23</w:t>
        </w:r>
      </w:hyperlink>
      <w:r w:rsidDel="00000000" w:rsidR="00000000" w:rsidRPr="00000000">
        <w:rPr>
          <w:rtl w:val="0"/>
        </w:rPr>
        <w:t xml:space="preserve">].There are approximately 3–5 million reports of serious influenza a year, and about 250,000–500,000 deaths globally. In most developed nations, the majority of deaths arise in persons over 65 years of age. Moreover, it is unsafe for pregnant mothers, children under 59 months of age and individuals with serious illnesses.The annual vaccination eliminates infection and severe risks in most developing countries but is nevertheless a recognized yet uncomfortable aspect of the season.In contrast to the seasonal influenza, coronavirus is not so common, has led to fewer cases till now, has a higher rate of case fatality and has no antidote</w:t>
      </w:r>
    </w:p>
    <w:p w:rsidR="00000000" w:rsidDel="00000000" w:rsidP="00000000" w:rsidRDefault="00000000" w:rsidRPr="00000000" w14:paraId="0000000F">
      <w:pPr>
        <w:pStyle w:val="Heading3"/>
        <w:shd w:fill="ffffff" w:val="clear"/>
        <w:spacing w:after="200" w:before="400" w:line="415.3846153846154" w:lineRule="auto"/>
        <w:ind w:left="0" w:firstLine="0"/>
        <w:rPr>
          <w:rFonts w:ascii="Times New Roman" w:cs="Times New Roman" w:eastAsia="Times New Roman" w:hAnsi="Times New Roman"/>
          <w:b w:val="0"/>
          <w:color w:val="734126"/>
          <w:sz w:val="32"/>
          <w:szCs w:val="32"/>
        </w:rPr>
      </w:pPr>
      <w:bookmarkStart w:colFirst="0" w:colLast="0" w:name="_grulmnljmak3" w:id="5"/>
      <w:bookmarkEnd w:id="5"/>
      <w:r w:rsidDel="00000000" w:rsidR="00000000" w:rsidRPr="00000000">
        <w:rPr>
          <w:rFonts w:ascii="Times New Roman" w:cs="Times New Roman" w:eastAsia="Times New Roman" w:hAnsi="Times New Roman"/>
          <w:b w:val="0"/>
          <w:color w:val="734126"/>
          <w:sz w:val="32"/>
          <w:szCs w:val="32"/>
          <w:rtl w:val="0"/>
        </w:rPr>
        <w:t xml:space="preserve">Coronavirus Versus Bird Flu (H5N1 and H7N9</w:t>
      </w:r>
    </w:p>
    <w:p w:rsidR="00000000" w:rsidDel="00000000" w:rsidP="00000000" w:rsidRDefault="00000000" w:rsidRPr="00000000" w14:paraId="00000010">
      <w:pPr>
        <w:rPr/>
      </w:pPr>
      <w:r w:rsidDel="00000000" w:rsidR="00000000" w:rsidRPr="00000000">
        <w:rPr>
          <w:rtl w:val="0"/>
        </w:rPr>
        <w:t xml:space="preserve">Several cases of bird flu have existed over the years, with the most severe in 2013 and 2016. This is usually from two separate strains—H5N1 and H7N9 [</w:t>
      </w:r>
      <w:hyperlink r:id="rId17">
        <w:r w:rsidDel="00000000" w:rsidR="00000000" w:rsidRPr="00000000">
          <w:rPr>
            <w:color w:val="1155cc"/>
            <w:u w:val="single"/>
            <w:rtl w:val="0"/>
          </w:rPr>
          <w:t xml:space="preserve">24</w:t>
        </w:r>
      </w:hyperlink>
      <w:r w:rsidDel="00000000" w:rsidR="00000000" w:rsidRPr="00000000">
        <w:rPr>
          <w:rtl w:val="0"/>
        </w:rPr>
        <w:t xml:space="preserve">–</w:t>
      </w:r>
      <w:hyperlink r:id="rId18">
        <w:r w:rsidDel="00000000" w:rsidR="00000000" w:rsidRPr="00000000">
          <w:rPr>
            <w:color w:val="1155cc"/>
            <w:u w:val="single"/>
            <w:rtl w:val="0"/>
          </w:rPr>
          <w:t xml:space="preserve">26</w:t>
        </w:r>
      </w:hyperlink>
      <w:r w:rsidDel="00000000" w:rsidR="00000000" w:rsidRPr="00000000">
        <w:rPr>
          <w:rtl w:val="0"/>
        </w:rPr>
        <w:t xml:space="preserve">].The H7N9 outbreak in 2016 accounted for one-third of all confirmed human cases but remained confined relative to both coronavirus and other pandemics/outbreak cases. After the first outbreak, about 1,233 laboratory-confirmed reports of bird flu have occurred. The disease has a Rate of Case Fatality of 20–40%.</w:t>
      </w:r>
    </w:p>
    <w:p w:rsidR="00000000" w:rsidDel="00000000" w:rsidP="00000000" w:rsidRDefault="00000000" w:rsidRPr="00000000" w14:paraId="00000011">
      <w:pPr>
        <w:rPr/>
      </w:pPr>
      <w:r w:rsidDel="00000000" w:rsidR="00000000" w:rsidRPr="00000000">
        <w:rPr>
          <w:rtl w:val="0"/>
        </w:rPr>
        <w:t xml:space="preserve">Although the percentage is very high, the blowout from individual to individual is restricted, which, in effect, has minimized the number of related deaths. It is also impossible to monitor as birds do not necessarily expire from sickness.In contrast to the bird flu, coronavirus becomes more common, travels more quickly through human to human interaction, has an inferior cardiothoracic ratio, resulting in further total fatalities and spread from the initial source</w:t>
      </w:r>
    </w:p>
    <w:p w:rsidR="00000000" w:rsidDel="00000000" w:rsidP="00000000" w:rsidRDefault="00000000" w:rsidRPr="00000000" w14:paraId="00000012">
      <w:pPr>
        <w:pStyle w:val="Heading3"/>
        <w:shd w:fill="ffffff" w:val="clear"/>
        <w:spacing w:after="200" w:before="400" w:line="415.3846153846154" w:lineRule="auto"/>
        <w:ind w:left="0" w:firstLine="0"/>
        <w:rPr>
          <w:rFonts w:ascii="Times New Roman" w:cs="Times New Roman" w:eastAsia="Times New Roman" w:hAnsi="Times New Roman"/>
          <w:b w:val="0"/>
          <w:color w:val="734126"/>
          <w:sz w:val="32"/>
          <w:szCs w:val="32"/>
        </w:rPr>
      </w:pPr>
      <w:bookmarkStart w:colFirst="0" w:colLast="0" w:name="_r7swhtky3vhg" w:id="6"/>
      <w:bookmarkEnd w:id="6"/>
      <w:r w:rsidDel="00000000" w:rsidR="00000000" w:rsidRPr="00000000">
        <w:rPr>
          <w:rFonts w:ascii="Times New Roman" w:cs="Times New Roman" w:eastAsia="Times New Roman" w:hAnsi="Times New Roman"/>
          <w:b w:val="0"/>
          <w:color w:val="734126"/>
          <w:sz w:val="32"/>
          <w:szCs w:val="32"/>
          <w:rtl w:val="0"/>
        </w:rPr>
        <w:t xml:space="preserve">Coronavirus Versus Ebola Epidemic</w:t>
      </w:r>
    </w:p>
    <w:p w:rsidR="00000000" w:rsidDel="00000000" w:rsidP="00000000" w:rsidRDefault="00000000" w:rsidRPr="00000000" w14:paraId="00000013">
      <w:pPr>
        <w:rPr/>
      </w:pPr>
      <w:r w:rsidDel="00000000" w:rsidR="00000000" w:rsidRPr="00000000">
        <w:rPr>
          <w:rtl w:val="0"/>
        </w:rPr>
        <w:t xml:space="preserve">The Ebola epidemic of 2013 was primarily centred in 10 nations, including Sierra Leone, Guinea and Liberia have the greatest effects, but the extremely high Case Fatality Rate of 40% has created this as a significant problem for health professionals nationwide.Around 2013 and 2016, there were about 28,646 suspicious incidents and about 11,323 fatalities, although these are expected to be overlooked. Those who survived from the original epidemic may still become sick months or even years later, because the infection may stay inactive for prolonged periods. Thankfully, a vaccination was launched in December 2016 and is perceived to be effective.In contrast to Ebola, coronavirus is more common globally, has caused in fewer fatalities, has a lesser case fatality rate, has no reported problems during treatment and after recovery, does not have an appropriate vaccination.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pStyle w:val="Heading4"/>
        <w:rPr/>
      </w:pPr>
      <w:bookmarkStart w:colFirst="0" w:colLast="0" w:name="_bpttfre1spsu" w:id="7"/>
      <w:bookmarkEnd w:id="7"/>
      <w:r w:rsidDel="00000000" w:rsidR="00000000" w:rsidRPr="00000000">
        <w:rPr>
          <w:rtl w:val="0"/>
        </w:rPr>
        <w:t xml:space="preserve">MAIN FINDINGS </w:t>
      </w:r>
    </w:p>
    <w:p w:rsidR="00000000" w:rsidDel="00000000" w:rsidP="00000000" w:rsidRDefault="00000000" w:rsidRPr="00000000" w14:paraId="00000016">
      <w:pPr>
        <w:rPr>
          <w:rFonts w:ascii="Arial" w:cs="Arial" w:eastAsia="Arial" w:hAnsi="Arial"/>
          <w:color w:val="595859"/>
          <w:sz w:val="24"/>
          <w:szCs w:val="24"/>
        </w:rPr>
      </w:pPr>
      <w:r w:rsidDel="00000000" w:rsidR="00000000" w:rsidRPr="00000000">
        <w:rPr>
          <w:rFonts w:ascii="Arial" w:cs="Arial" w:eastAsia="Arial" w:hAnsi="Arial"/>
          <w:color w:val="595859"/>
          <w:sz w:val="24"/>
          <w:szCs w:val="24"/>
          <w:rtl w:val="0"/>
        </w:rPr>
        <w:t xml:space="preserve">COVID-19 is killing people on a large scale. As of October 10, 2020, more than 7.7 million people across every state in the United States and its four territories had tested positive for COVID-19. According to the </w:t>
      </w:r>
      <w:r w:rsidDel="00000000" w:rsidR="00000000" w:rsidRPr="00000000">
        <w:rPr>
          <w:rFonts w:ascii="Arial" w:cs="Arial" w:eastAsia="Arial" w:hAnsi="Arial"/>
          <w:i w:val="1"/>
          <w:color w:val="595859"/>
          <w:sz w:val="24"/>
          <w:szCs w:val="24"/>
          <w:rtl w:val="0"/>
        </w:rPr>
        <w:t xml:space="preserve">New York Times</w:t>
      </w:r>
      <w:r w:rsidDel="00000000" w:rsidR="00000000" w:rsidRPr="00000000">
        <w:rPr>
          <w:rFonts w:ascii="Arial" w:cs="Arial" w:eastAsia="Arial" w:hAnsi="Arial"/>
          <w:color w:val="595859"/>
          <w:sz w:val="24"/>
          <w:szCs w:val="24"/>
          <w:rtl w:val="0"/>
        </w:rPr>
        <w:t xml:space="preserve"> database, at least 213,876 people with the virus have died in the United States.</w:t>
      </w:r>
      <w:hyperlink r:id="rId19">
        <w:r w:rsidDel="00000000" w:rsidR="00000000" w:rsidRPr="00000000">
          <w:rPr>
            <w:rFonts w:ascii="Arial" w:cs="Arial" w:eastAsia="Arial" w:hAnsi="Arial"/>
            <w:color w:val="a51c30"/>
            <w:sz w:val="30"/>
            <w:szCs w:val="30"/>
            <w:vertAlign w:val="superscript"/>
            <w:rtl w:val="0"/>
          </w:rPr>
          <w:t xml:space="preserve">[1]</w:t>
        </w:r>
      </w:hyperlink>
      <w:r w:rsidDel="00000000" w:rsidR="00000000" w:rsidRPr="00000000">
        <w:rPr>
          <w:rFonts w:ascii="Arial" w:cs="Arial" w:eastAsia="Arial" w:hAnsi="Arial"/>
          <w:color w:val="595859"/>
          <w:sz w:val="24"/>
          <w:szCs w:val="24"/>
          <w:rtl w:val="0"/>
        </w:rPr>
        <w:t xml:space="preserve"> However, these alarming numbers give us only half of the picture; a closer look at data by different social identities (such as class, gender, age, race, and medical history) shows that minorities have been disproportionately affected by the pandemic. These minorities in the United States are not having their right to health fulfilled.</w:t>
      </w:r>
    </w:p>
    <w:p w:rsidR="00000000" w:rsidDel="00000000" w:rsidP="00000000" w:rsidRDefault="00000000" w:rsidRPr="00000000" w14:paraId="00000017">
      <w:pPr>
        <w:rPr>
          <w:rFonts w:ascii="Arial" w:cs="Arial" w:eastAsia="Arial" w:hAnsi="Arial"/>
          <w:color w:val="595859"/>
          <w:sz w:val="24"/>
          <w:szCs w:val="24"/>
        </w:rPr>
      </w:pPr>
      <w:r w:rsidDel="00000000" w:rsidR="00000000" w:rsidRPr="00000000">
        <w:rPr>
          <w:rFonts w:ascii="Arial" w:cs="Arial" w:eastAsia="Arial" w:hAnsi="Arial"/>
          <w:color w:val="595859"/>
          <w:sz w:val="24"/>
          <w:szCs w:val="24"/>
          <w:rtl w:val="0"/>
        </w:rPr>
        <w:t xml:space="preserve">CONCLUSION </w:t>
      </w:r>
    </w:p>
    <w:p w:rsidR="00000000" w:rsidDel="00000000" w:rsidP="00000000" w:rsidRDefault="00000000" w:rsidRPr="00000000" w14:paraId="00000018">
      <w:pPr>
        <w:rPr>
          <w:rFonts w:ascii="Arial" w:cs="Arial" w:eastAsia="Arial" w:hAnsi="Arial"/>
          <w:color w:val="230050"/>
          <w:sz w:val="23"/>
          <w:szCs w:val="23"/>
          <w:highlight w:val="white"/>
        </w:rPr>
      </w:pPr>
      <w:r w:rsidDel="00000000" w:rsidR="00000000" w:rsidRPr="00000000">
        <w:rPr>
          <w:rtl w:val="0"/>
        </w:rPr>
        <w:t xml:space="preserve">The </w:t>
      </w:r>
      <w:hyperlink r:id="rId20">
        <w:r w:rsidDel="00000000" w:rsidR="00000000" w:rsidRPr="00000000">
          <w:rPr>
            <w:color w:val="1155cc"/>
            <w:u w:val="single"/>
            <w:rtl w:val="0"/>
          </w:rPr>
          <w:t xml:space="preserve">coronavirus  covid 19  </w:t>
        </w:r>
      </w:hyperlink>
      <w:r w:rsidDel="00000000" w:rsidR="00000000" w:rsidRPr="00000000">
        <w:rPr>
          <w:rtl w:val="0"/>
        </w:rPr>
        <w:t xml:space="preserve"> continues to spread across the world following a trajectory that is difficult to predict. The health, humanitarian and socio-economic policies adopted bycountries will determine the speed and strength of the recovery. The ILO’s four pillar policy framework presented in this brief provides guidance not only for countries as they progress through the various phases of the crisis, but also for the international community as a whole. There must be a global human-centered response which is grounded in solidarity.A coordinated global effort is required to support countries that currently do not have sufficient medications and space to finance social policy, in particular most of people find it hard with buying medication , most of them are famyliis that are not working and have no support in the house {no job , no money }.</w:t>
      </w:r>
      <w:r w:rsidDel="00000000" w:rsidR="00000000" w:rsidRPr="00000000">
        <w:rPr>
          <w:rtl w:val="0"/>
        </w:rPr>
      </w:r>
    </w:p>
    <w:p w:rsidR="00000000" w:rsidDel="00000000" w:rsidP="00000000" w:rsidRDefault="00000000" w:rsidRPr="00000000" w14:paraId="00000019">
      <w:pPr>
        <w:rPr>
          <w:rFonts w:ascii="Arial" w:cs="Arial" w:eastAsia="Arial" w:hAnsi="Arial"/>
          <w:color w:val="595859"/>
          <w:sz w:val="24"/>
          <w:szCs w:val="24"/>
        </w:rPr>
      </w:pPr>
      <w:r w:rsidDel="00000000" w:rsidR="00000000" w:rsidRPr="00000000">
        <w:rPr>
          <w:rFonts w:ascii="Arial" w:cs="Arial" w:eastAsia="Arial" w:hAnsi="Arial"/>
          <w:color w:val="595859"/>
          <w:sz w:val="24"/>
          <w:szCs w:val="24"/>
          <w:rtl w:val="0"/>
        </w:rPr>
        <w:t xml:space="preserve">REFERENCE LIST     </w:t>
      </w:r>
    </w:p>
    <w:p w:rsidR="00000000" w:rsidDel="00000000" w:rsidP="00000000" w:rsidRDefault="00000000" w:rsidRPr="00000000" w14:paraId="0000001A">
      <w:pPr>
        <w:rPr/>
      </w:pPr>
      <w:r w:rsidDel="00000000" w:rsidR="00000000" w:rsidRPr="00000000">
        <w:rPr>
          <w:rtl w:val="0"/>
        </w:rPr>
        <w:t xml:space="preserve">The COVID-19 response has highlighted the need for a multidisciplinary public health approach—with surveillance, laboratory and health care systems/networks, and others, intersecting and coordinating as part of a larger emergency response system. This disease-specific guidance builds on the all-hazard approach for RRTs outlined in the RRT General Guidance </w:t>
      </w:r>
      <w:hyperlink r:id="rId21">
        <w:r w:rsidDel="00000000" w:rsidR="00000000" w:rsidRPr="00000000">
          <w:rPr>
            <w:color w:val="1155cc"/>
            <w:u w:val="single"/>
            <w:vertAlign w:val="superscript"/>
            <w:rtl w:val="0"/>
          </w:rPr>
          <w:t xml:space="preserve">3</w:t>
        </w:r>
      </w:hyperlink>
      <w:r w:rsidDel="00000000" w:rsidR="00000000" w:rsidRPr="00000000">
        <w:rPr>
          <w:rtl w:val="0"/>
        </w:rPr>
        <w:t xml:space="preserve"> and assumes an RRT has been established using the RRT Non-Emergency Phase processes. The considerations presented, though written specifically for COVID-19, can be useful for and applied to other disease contexts. CDC staff should adapt this supplement according to a country’s emergency response context and existing resources.</w:t>
      </w:r>
    </w:p>
    <w:p w:rsidR="00000000" w:rsidDel="00000000" w:rsidP="00000000" w:rsidRDefault="00000000" w:rsidRPr="00000000" w14:paraId="0000001B">
      <w:pPr>
        <w:rPr/>
      </w:pPr>
      <w:r w:rsidDel="00000000" w:rsidR="00000000" w:rsidRPr="00000000">
        <w:rPr>
          <w:rtl w:val="0"/>
        </w:rPr>
        <w:t xml:space="preserve">Coronaviruses are a large family of viruses that usually cause mild to moderate upper-respiratory tract illnesses in humans. However, three coronaviruses have caused more serious and fatal disease in people: SARS coronavirus (SARS-CoV), which emerged in November 2002 and causes severe acute respiratory syndrome (SARS); MERS coronavirus (MERS-CoV), which emerged in 2012 and causes Middle East respiratory syndrome (MERS); and SARS-CoV-2, which emerged in 2019 and causes coronavirus disease 2019 (COVID-19).Building on previous research on SARS and MERS, NIAID scientists and NIAID-supported researchers mobilized quickly to develop COVID-19 therapeutics, vaccines and diagnostics. Researchers continue to conduct basic research to understand how coronaviruses infect cells and causes disease, and what interventions can detect, prevent and stop the spread of disease</w:t>
      </w:r>
    </w:p>
    <w:p w:rsidR="00000000" w:rsidDel="00000000" w:rsidP="00000000" w:rsidRDefault="00000000" w:rsidRPr="00000000" w14:paraId="0000001C">
      <w:pPr>
        <w:rPr/>
      </w:pPr>
      <w:r w:rsidDel="00000000" w:rsidR="00000000" w:rsidRPr="00000000">
        <w:rPr>
          <w:rtl w:val="0"/>
        </w:rPr>
        <w:t xml:space="preserve">EMPLOYABILITY SKILLS </w:t>
      </w:r>
    </w:p>
    <w:p w:rsidR="00000000" w:rsidDel="00000000" w:rsidP="00000000" w:rsidRDefault="00000000" w:rsidRPr="00000000" w14:paraId="0000001D">
      <w:pPr>
        <w:rPr/>
      </w:pPr>
      <w:r w:rsidDel="00000000" w:rsidR="00000000" w:rsidRPr="00000000">
        <w:rPr>
          <w:rtl w:val="0"/>
        </w:rPr>
        <w:t xml:space="preserve"> .Many of the most highly sought-after skills today are soft skills pertaining to your ability to communicate and work with a team or hard skills focused on technology. These are the in-demand skills that make you a successful candidate for employment when you're job hunting or seeking a promotion.</w:t>
      </w:r>
    </w:p>
    <w:p w:rsidR="00000000" w:rsidDel="00000000" w:rsidP="00000000" w:rsidRDefault="00000000" w:rsidRPr="00000000" w14:paraId="0000001E">
      <w:pPr>
        <w:rPr/>
      </w:pPr>
      <w:r w:rsidDel="00000000" w:rsidR="00000000" w:rsidRPr="00000000">
        <w:rPr>
          <w:rtl w:val="0"/>
        </w:rPr>
        <w:t xml:space="preserve">Employability skills include the </w:t>
      </w:r>
      <w:hyperlink r:id="rId22">
        <w:r w:rsidDel="00000000" w:rsidR="00000000" w:rsidRPr="00000000">
          <w:rPr>
            <w:color w:val="1155cc"/>
            <w:u w:val="single"/>
            <w:rtl w:val="0"/>
          </w:rPr>
          <w:t xml:space="preserve">soft skills</w:t>
        </w:r>
      </w:hyperlink>
      <w:r w:rsidDel="00000000" w:rsidR="00000000" w:rsidRPr="00000000">
        <w:rPr>
          <w:rtl w:val="0"/>
        </w:rPr>
        <w:t xml:space="preserve"> that allow you to </w:t>
      </w:r>
      <w:hyperlink r:id="rId23">
        <w:r w:rsidDel="00000000" w:rsidR="00000000" w:rsidRPr="00000000">
          <w:rPr>
            <w:color w:val="1155cc"/>
            <w:u w:val="single"/>
            <w:rtl w:val="0"/>
          </w:rPr>
          <w:t xml:space="preserve">work well with others</w:t>
        </w:r>
      </w:hyperlink>
      <w:r w:rsidDel="00000000" w:rsidR="00000000" w:rsidRPr="00000000">
        <w:rPr>
          <w:rtl w:val="0"/>
        </w:rPr>
        <w:t xml:space="preserve">, apply knowledge to solve problems, and to fit into any work environment. They also include the </w:t>
      </w:r>
      <w:hyperlink r:id="rId24">
        <w:r w:rsidDel="00000000" w:rsidR="00000000" w:rsidRPr="00000000">
          <w:rPr>
            <w:color w:val="1155cc"/>
            <w:u w:val="single"/>
            <w:rtl w:val="0"/>
          </w:rPr>
          <w:t xml:space="preserve">professional skills</w:t>
        </w:r>
      </w:hyperlink>
      <w:r w:rsidDel="00000000" w:rsidR="00000000" w:rsidRPr="00000000">
        <w:rPr>
          <w:rtl w:val="0"/>
        </w:rPr>
        <w:t xml:space="preserve"> that enable you to be successful in the workplace. These are also considered as </w:t>
      </w:r>
      <w:hyperlink r:id="rId25">
        <w:r w:rsidDel="00000000" w:rsidR="00000000" w:rsidRPr="00000000">
          <w:rPr>
            <w:color w:val="1155cc"/>
            <w:u w:val="single"/>
            <w:rtl w:val="0"/>
          </w:rPr>
          <w:t xml:space="preserve">transferable skills</w:t>
        </w:r>
      </w:hyperlink>
      <w:r w:rsidDel="00000000" w:rsidR="00000000" w:rsidRPr="00000000">
        <w:rPr>
          <w:rtl w:val="0"/>
        </w:rPr>
        <w:t xml:space="preserve"> because you can apply them to a job in any industry.</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All employers look for job candidates with strong </w:t>
      </w:r>
      <w:hyperlink r:id="rId26">
        <w:r w:rsidDel="00000000" w:rsidR="00000000" w:rsidRPr="00000000">
          <w:rPr>
            <w:color w:val="1155cc"/>
            <w:u w:val="single"/>
            <w:rtl w:val="0"/>
          </w:rPr>
          <w:t xml:space="preserve">communication skills</w:t>
        </w:r>
      </w:hyperlink>
      <w:r w:rsidDel="00000000" w:rsidR="00000000" w:rsidRPr="00000000">
        <w:rPr>
          <w:rtl w:val="0"/>
        </w:rPr>
        <w:t xml:space="preserve">. These refer to one’s ability to convey information clearly to others. Employers want employees with strong written, </w:t>
      </w:r>
      <w:hyperlink r:id="rId27">
        <w:r w:rsidDel="00000000" w:rsidR="00000000" w:rsidRPr="00000000">
          <w:rPr>
            <w:color w:val="1155cc"/>
            <w:u w:val="single"/>
            <w:rtl w:val="0"/>
          </w:rPr>
          <w:t xml:space="preserve">verbal</w:t>
        </w:r>
      </w:hyperlink>
      <w:r w:rsidDel="00000000" w:rsidR="00000000" w:rsidRPr="00000000">
        <w:rPr>
          <w:rtl w:val="0"/>
        </w:rPr>
        <w:t xml:space="preserve">, and </w:t>
      </w:r>
      <w:hyperlink r:id="rId28">
        <w:r w:rsidDel="00000000" w:rsidR="00000000" w:rsidRPr="00000000">
          <w:rPr>
            <w:color w:val="1155cc"/>
            <w:u w:val="single"/>
            <w:rtl w:val="0"/>
          </w:rPr>
          <w:t xml:space="preserve">nonverbal communication</w:t>
        </w:r>
      </w:hyperlink>
      <w:r w:rsidDel="00000000" w:rsidR="00000000" w:rsidRPr="00000000">
        <w:rPr>
          <w:rtl w:val="0"/>
        </w:rPr>
        <w:t xml:space="preserve"> skills. Part of being a strong communicator also includes being a </w:t>
      </w:r>
      <w:hyperlink r:id="rId29">
        <w:r w:rsidDel="00000000" w:rsidR="00000000" w:rsidRPr="00000000">
          <w:rPr>
            <w:color w:val="1155cc"/>
            <w:u w:val="single"/>
            <w:rtl w:val="0"/>
          </w:rPr>
          <w:t xml:space="preserve">good listener</w:t>
        </w:r>
      </w:hyperlink>
      <w:r w:rsidDel="00000000" w:rsidR="00000000" w:rsidRPr="00000000">
        <w:rPr>
          <w:rtl w:val="0"/>
        </w:rPr>
        <w:t xml:space="preserve">; employees need to be able to understand the questions and concerns of their clients and listen to their employer’s directions</w:t>
      </w:r>
    </w:p>
    <w:p w:rsidR="00000000" w:rsidDel="00000000" w:rsidP="00000000" w:rsidRDefault="00000000" w:rsidRPr="00000000" w14:paraId="00000024">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before="300" w:lineRule="auto"/>
        <w:ind w:left="720" w:hanging="360"/>
      </w:pPr>
      <w:r w:rsidDel="00000000" w:rsidR="00000000" w:rsidRPr="00000000">
        <w:rPr>
          <w:rFonts w:ascii="Arial" w:cs="Arial" w:eastAsia="Arial" w:hAnsi="Arial"/>
          <w:color w:val="222222"/>
          <w:sz w:val="26"/>
          <w:szCs w:val="26"/>
          <w:rtl w:val="0"/>
        </w:rPr>
        <w:t xml:space="preserve">Written Communication</w:t>
      </w:r>
    </w:p>
    <w:p w:rsidR="00000000" w:rsidDel="00000000" w:rsidP="00000000" w:rsidRDefault="00000000" w:rsidRPr="00000000" w14:paraId="00000025">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before="0" w:beforeAutospacing="0" w:lineRule="auto"/>
        <w:ind w:left="720" w:hanging="360"/>
      </w:pPr>
      <w:r w:rsidDel="00000000" w:rsidR="00000000" w:rsidRPr="00000000">
        <w:rPr>
          <w:rFonts w:ascii="Arial" w:cs="Arial" w:eastAsia="Arial" w:hAnsi="Arial"/>
          <w:color w:val="222222"/>
          <w:sz w:val="26"/>
          <w:szCs w:val="26"/>
          <w:rtl w:val="0"/>
        </w:rPr>
        <w:t xml:space="preserve">Oral Communication</w:t>
      </w:r>
    </w:p>
    <w:p w:rsidR="00000000" w:rsidDel="00000000" w:rsidP="00000000" w:rsidRDefault="00000000" w:rsidRPr="00000000" w14:paraId="00000026">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before="0" w:beforeAutospacing="0" w:lineRule="auto"/>
        <w:ind w:left="720" w:hanging="360"/>
      </w:pPr>
      <w:hyperlink r:id="rId30">
        <w:r w:rsidDel="00000000" w:rsidR="00000000" w:rsidRPr="00000000">
          <w:rPr>
            <w:rFonts w:ascii="Arial" w:cs="Arial" w:eastAsia="Arial" w:hAnsi="Arial"/>
            <w:color w:val="246fc8"/>
            <w:sz w:val="26"/>
            <w:szCs w:val="26"/>
            <w:rtl w:val="0"/>
          </w:rPr>
          <w:t xml:space="preserve">Interpersonal Skills</w:t>
        </w:r>
      </w:hyperlink>
      <w:r w:rsidDel="00000000" w:rsidR="00000000" w:rsidRPr="00000000">
        <w:rPr>
          <w:rtl w:val="0"/>
        </w:rPr>
      </w:r>
    </w:p>
    <w:p w:rsidR="00000000" w:rsidDel="00000000" w:rsidP="00000000" w:rsidRDefault="00000000" w:rsidRPr="00000000" w14:paraId="00000027">
      <w:pPr>
        <w:numPr>
          <w:ilvl w:val="0"/>
          <w:numId w:val="1"/>
        </w:numPr>
        <w:pBdr>
          <w:top w:color="auto" w:space="0" w:sz="0" w:val="none"/>
          <w:bottom w:color="auto" w:space="0" w:sz="0" w:val="none"/>
          <w:right w:color="auto" w:space="0" w:sz="0" w:val="none"/>
          <w:between w:color="auto" w:space="0" w:sz="0" w:val="none"/>
        </w:pBdr>
        <w:shd w:fill="ffffff" w:val="clear"/>
        <w:spacing w:after="0" w:afterAutospacing="0" w:before="0" w:beforeAutospacing="0" w:lineRule="auto"/>
        <w:ind w:left="720" w:hanging="360"/>
      </w:pPr>
      <w:hyperlink r:id="rId31">
        <w:r w:rsidDel="00000000" w:rsidR="00000000" w:rsidRPr="00000000">
          <w:rPr>
            <w:rFonts w:ascii="Arial" w:cs="Arial" w:eastAsia="Arial" w:hAnsi="Arial"/>
            <w:color w:val="246fc8"/>
            <w:sz w:val="26"/>
            <w:szCs w:val="26"/>
            <w:rtl w:val="0"/>
          </w:rPr>
          <w:t xml:space="preserve">Active Listening</w:t>
        </w:r>
      </w:hyperlink>
      <w:r w:rsidDel="00000000" w:rsidR="00000000" w:rsidRPr="00000000">
        <w:rPr>
          <w:rtl w:val="0"/>
        </w:rPr>
      </w:r>
    </w:p>
    <w:p w:rsidR="00000000" w:rsidDel="00000000" w:rsidP="00000000" w:rsidRDefault="00000000" w:rsidRPr="00000000" w14:paraId="00000028">
      <w:pPr>
        <w:numPr>
          <w:ilvl w:val="0"/>
          <w:numId w:val="1"/>
        </w:numPr>
        <w:pBdr>
          <w:top w:color="auto" w:space="0" w:sz="0" w:val="none"/>
          <w:bottom w:color="auto" w:space="0" w:sz="0" w:val="none"/>
          <w:right w:color="auto" w:space="0" w:sz="0" w:val="none"/>
          <w:between w:color="auto" w:space="0" w:sz="0" w:val="none"/>
        </w:pBdr>
        <w:shd w:fill="ffffff" w:val="clear"/>
        <w:spacing w:after="300" w:before="0" w:beforeAutospacing="0" w:lineRule="auto"/>
        <w:ind w:left="720" w:hanging="360"/>
      </w:pPr>
      <w:r w:rsidDel="00000000" w:rsidR="00000000" w:rsidRPr="00000000">
        <w:rPr>
          <w:rFonts w:ascii="Arial" w:cs="Arial" w:eastAsia="Arial" w:hAnsi="Arial"/>
          <w:color w:val="222222"/>
          <w:sz w:val="26"/>
          <w:szCs w:val="26"/>
          <w:rtl w:val="0"/>
        </w:rPr>
        <w:t xml:space="preserve">Attentive</w:t>
      </w:r>
    </w:p>
    <w:p w:rsidR="00000000" w:rsidDel="00000000" w:rsidP="00000000" w:rsidRDefault="00000000" w:rsidRPr="00000000" w14:paraId="00000029">
      <w:pPr>
        <w:rPr/>
      </w:pPr>
      <w:hyperlink r:id="rId32">
        <w:r w:rsidDel="00000000" w:rsidR="00000000" w:rsidRPr="00000000">
          <w:rPr>
            <w:color w:val="1155cc"/>
            <w:u w:val="single"/>
            <w:rtl w:val="0"/>
          </w:rPr>
          <w:t xml:space="preserve">Teamwork</w:t>
        </w:r>
      </w:hyperlink>
      <w:r w:rsidDel="00000000" w:rsidR="00000000" w:rsidRPr="00000000">
        <w:rPr>
          <w:rtl w:val="0"/>
        </w:rPr>
        <w:t xml:space="preserve"> is important in almost any work setting. If an employee works on a number of group projects, they need to be able to get along well with others and carry their share of the workload. Even if an employee does not do a lot of team projects, they still need to be able to work well with colleagues and managers.</w:t>
      </w:r>
    </w:p>
    <w:p w:rsidR="00000000" w:rsidDel="00000000" w:rsidP="00000000" w:rsidRDefault="00000000" w:rsidRPr="00000000" w14:paraId="0000002A">
      <w:pPr>
        <w:rPr/>
      </w:pPr>
      <w:r w:rsidDel="00000000" w:rsidR="00000000" w:rsidRPr="00000000">
        <w:rPr>
          <w:rtl w:val="0"/>
        </w:rPr>
        <w:t xml:space="preserve">Critical thinking refers to your ability to understand, analyze, and interpret information and draw conclusions. In any job, an employee will have to assess situations and solve problems. Employees need to think logically and make sensible judgments.</w:t>
      </w:r>
    </w:p>
    <w:p w:rsidR="00000000" w:rsidDel="00000000" w:rsidP="00000000" w:rsidRDefault="00000000" w:rsidRPr="00000000" w14:paraId="0000002B">
      <w:pPr>
        <w:rPr/>
      </w:pPr>
      <w:r w:rsidDel="00000000" w:rsidR="00000000" w:rsidRPr="00000000">
        <w:rPr>
          <w:rtl w:val="0"/>
        </w:rPr>
        <w:t xml:space="preserve">Employers value employability skills because they regard these as indications of how you get along with other team members and customers, and how efficiently you are likely to handle your job performance and career succes.“a set of achievements – skills, understandings and personal attributes – that makes graduates more likely to gain employment and be successful in their chosen occupations, which benefits themselves, the workforce, the community and the economy.The world of work changes very rapidly. Your career is likely to involve many different job roles and employers, and even if you stay in the same job it is likely to change its nature over time</w:t>
      </w:r>
    </w:p>
    <w:p w:rsidR="00000000" w:rsidDel="00000000" w:rsidP="00000000" w:rsidRDefault="00000000" w:rsidRPr="00000000" w14:paraId="0000002C">
      <w:pPr>
        <w:rPr/>
      </w:pPr>
      <w:r w:rsidDel="00000000" w:rsidR="00000000" w:rsidRPr="00000000">
        <w:rPr>
          <w:rtl w:val="0"/>
        </w:rPr>
        <w:t xml:space="preserve">Therefore, employability skills are useful as they are transferable; you can adapt them to whichever situation you find yourself in it .Employability skills are personal qualities that make you “employable”. They are sometimes called “soft skills” or “transferable skills” because they are separate from your technical knowledge and work experience and can be applied to almost any job, in any industry.</w:t>
      </w:r>
    </w:p>
    <w:p w:rsidR="00000000" w:rsidDel="00000000" w:rsidP="00000000" w:rsidRDefault="00000000" w:rsidRPr="00000000" w14:paraId="0000002D">
      <w:pPr>
        <w:rPr/>
      </w:pPr>
      <w:r w:rsidDel="00000000" w:rsidR="00000000" w:rsidRPr="00000000">
        <w:rPr>
          <w:rtl w:val="0"/>
        </w:rPr>
        <w:t xml:space="preserve">Resilience </w:t>
      </w:r>
    </w:p>
    <w:p w:rsidR="00000000" w:rsidDel="00000000" w:rsidP="00000000" w:rsidRDefault="00000000" w:rsidRPr="00000000" w14:paraId="0000002E">
      <w:pPr>
        <w:rPr>
          <w:rFonts w:ascii="Arial" w:cs="Arial" w:eastAsia="Arial" w:hAnsi="Arial"/>
          <w:color w:val="202124"/>
          <w:sz w:val="24"/>
          <w:szCs w:val="24"/>
          <w:highlight w:val="white"/>
        </w:rPr>
      </w:pPr>
      <w:r w:rsidDel="00000000" w:rsidR="00000000" w:rsidRPr="00000000">
        <w:rPr>
          <w:rtl w:val="0"/>
        </w:rPr>
        <w:t xml:space="preserve">Exemple : </w:t>
      </w:r>
      <w:r w:rsidDel="00000000" w:rsidR="00000000" w:rsidRPr="00000000">
        <w:rPr>
          <w:rFonts w:ascii="Arial" w:cs="Arial" w:eastAsia="Arial" w:hAnsi="Arial"/>
          <w:color w:val="202124"/>
          <w:sz w:val="24"/>
          <w:szCs w:val="24"/>
          <w:highlight w:val="white"/>
          <w:rtl w:val="0"/>
        </w:rPr>
        <w:t xml:space="preserve"> </w:t>
      </w:r>
      <w:r w:rsidDel="00000000" w:rsidR="00000000" w:rsidRPr="00000000">
        <w:rPr>
          <w:rFonts w:ascii="Arial" w:cs="Arial" w:eastAsia="Arial" w:hAnsi="Arial"/>
          <w:b w:val="1"/>
          <w:color w:val="202124"/>
          <w:sz w:val="24"/>
          <w:szCs w:val="24"/>
          <w:highlight w:val="white"/>
          <w:rtl w:val="0"/>
        </w:rPr>
        <w:t xml:space="preserve">self-awareness, mindfulness, self-care, positive relationships and purpose</w:t>
      </w:r>
      <w:r w:rsidDel="00000000" w:rsidR="00000000" w:rsidRPr="00000000">
        <w:rPr>
          <w:rtl w:val="0"/>
        </w:rPr>
      </w:r>
    </w:p>
    <w:p w:rsidR="00000000" w:rsidDel="00000000" w:rsidP="00000000" w:rsidRDefault="00000000" w:rsidRPr="00000000" w14:paraId="0000002F">
      <w:pPr>
        <w:rPr>
          <w:rFonts w:ascii="Arial" w:cs="Arial" w:eastAsia="Arial" w:hAnsi="Arial"/>
          <w:color w:val="202124"/>
          <w:sz w:val="24"/>
          <w:szCs w:val="24"/>
          <w:highlight w:val="white"/>
        </w:rPr>
      </w:pPr>
      <w:r w:rsidDel="00000000" w:rsidR="00000000" w:rsidRPr="00000000">
        <w:rPr>
          <w:rFonts w:ascii="Arial" w:cs="Arial" w:eastAsia="Arial" w:hAnsi="Arial"/>
          <w:color w:val="202124"/>
          <w:sz w:val="24"/>
          <w:szCs w:val="24"/>
          <w:highlight w:val="white"/>
          <w:rtl w:val="0"/>
        </w:rPr>
        <w:t xml:space="preserve">Emotional inteligente </w:t>
      </w:r>
    </w:p>
    <w:p w:rsidR="00000000" w:rsidDel="00000000" w:rsidP="00000000" w:rsidRDefault="00000000" w:rsidRPr="00000000" w14:paraId="00000030">
      <w:pPr>
        <w:rPr>
          <w:rFonts w:ascii="Arial" w:cs="Arial" w:eastAsia="Arial" w:hAnsi="Arial"/>
          <w:color w:val="202124"/>
          <w:sz w:val="24"/>
          <w:szCs w:val="24"/>
          <w:highlight w:val="white"/>
        </w:rPr>
      </w:pPr>
      <w:r w:rsidDel="00000000" w:rsidR="00000000" w:rsidRPr="00000000">
        <w:rPr>
          <w:rFonts w:ascii="Arial" w:cs="Arial" w:eastAsia="Arial" w:hAnsi="Arial"/>
          <w:color w:val="202124"/>
          <w:sz w:val="24"/>
          <w:szCs w:val="24"/>
          <w:highlight w:val="white"/>
          <w:rtl w:val="0"/>
        </w:rPr>
        <w:t xml:space="preserve">Exemple :</w:t>
      </w:r>
    </w:p>
    <w:p w:rsidR="00000000" w:rsidDel="00000000" w:rsidP="00000000" w:rsidRDefault="00000000" w:rsidRPr="00000000" w14:paraId="00000031">
      <w:pPr>
        <w:numPr>
          <w:ilvl w:val="0"/>
          <w:numId w:val="3"/>
        </w:numPr>
        <w:pBdr>
          <w:top w:color="auto" w:space="0" w:sz="0" w:val="none"/>
          <w:bottom w:color="auto" w:space="0" w:sz="0" w:val="none"/>
          <w:right w:color="auto" w:space="0" w:sz="0" w:val="none"/>
          <w:between w:color="auto" w:space="0" w:sz="0" w:val="none"/>
        </w:pBdr>
        <w:shd w:fill="ffffff" w:val="clear"/>
        <w:spacing w:after="0" w:afterAutospacing="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Being able to accept criticism and responsibility.</w:t>
      </w:r>
    </w:p>
    <w:p w:rsidR="00000000" w:rsidDel="00000000" w:rsidP="00000000" w:rsidRDefault="00000000" w:rsidRPr="00000000" w14:paraId="00000032">
      <w:pPr>
        <w:numPr>
          <w:ilvl w:val="0"/>
          <w:numId w:val="3"/>
        </w:numPr>
        <w:pBdr>
          <w:top w:color="auto" w:space="0" w:sz="0" w:val="none"/>
          <w:bottom w:color="auto" w:space="0" w:sz="0" w:val="none"/>
          <w:right w:color="auto" w:space="0" w:sz="0" w:val="none"/>
          <w:between w:color="auto" w:space="0" w:sz="0" w:val="none"/>
        </w:pBdr>
        <w:shd w:fill="ffffff" w:val="clear"/>
        <w:spacing w:after="0" w:afterAutospacing="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Being able to move on after making a mistake.</w:t>
      </w:r>
    </w:p>
    <w:p w:rsidR="00000000" w:rsidDel="00000000" w:rsidP="00000000" w:rsidRDefault="00000000" w:rsidRPr="00000000" w14:paraId="00000033">
      <w:pPr>
        <w:numPr>
          <w:ilvl w:val="0"/>
          <w:numId w:val="3"/>
        </w:numPr>
        <w:pBdr>
          <w:top w:color="auto" w:space="0" w:sz="0" w:val="none"/>
          <w:bottom w:color="auto" w:space="0" w:sz="0" w:val="none"/>
          <w:right w:color="auto" w:space="0" w:sz="0" w:val="none"/>
          <w:between w:color="auto" w:space="0" w:sz="0" w:val="none"/>
        </w:pBdr>
        <w:shd w:fill="ffffff" w:val="clear"/>
        <w:spacing w:after="0" w:afterAutospacing="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Being able to say no when you need to.</w:t>
      </w:r>
    </w:p>
    <w:p w:rsidR="00000000" w:rsidDel="00000000" w:rsidP="00000000" w:rsidRDefault="00000000" w:rsidRPr="00000000" w14:paraId="00000034">
      <w:pPr>
        <w:numPr>
          <w:ilvl w:val="0"/>
          <w:numId w:val="3"/>
        </w:numPr>
        <w:pBdr>
          <w:top w:color="auto" w:space="0" w:sz="0" w:val="none"/>
          <w:bottom w:color="auto" w:space="0" w:sz="0" w:val="none"/>
          <w:right w:color="auto" w:space="0" w:sz="0" w:val="none"/>
          <w:between w:color="auto" w:space="0" w:sz="0" w:val="none"/>
        </w:pBdr>
        <w:shd w:fill="ffffff" w:val="clear"/>
        <w:spacing w:after="0" w:afterAutospacing="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Being able to share your feelings with others.</w:t>
      </w:r>
    </w:p>
    <w:p w:rsidR="00000000" w:rsidDel="00000000" w:rsidP="00000000" w:rsidRDefault="00000000" w:rsidRPr="00000000" w14:paraId="00000035">
      <w:pPr>
        <w:numPr>
          <w:ilvl w:val="0"/>
          <w:numId w:val="3"/>
        </w:numPr>
        <w:pBdr>
          <w:top w:color="auto" w:space="0" w:sz="0" w:val="none"/>
          <w:bottom w:color="auto" w:space="0" w:sz="0" w:val="none"/>
          <w:right w:color="auto" w:space="0" w:sz="0" w:val="none"/>
          <w:between w:color="auto" w:space="0" w:sz="0" w:val="none"/>
        </w:pBdr>
        <w:shd w:fill="ffffff" w:val="clear"/>
        <w:spacing w:after="0" w:afterAutospacing="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Being able to solve problems in ways that work for everyone.</w:t>
      </w:r>
    </w:p>
    <w:p w:rsidR="00000000" w:rsidDel="00000000" w:rsidP="00000000" w:rsidRDefault="00000000" w:rsidRPr="00000000" w14:paraId="00000036">
      <w:pPr>
        <w:numPr>
          <w:ilvl w:val="0"/>
          <w:numId w:val="3"/>
        </w:numPr>
        <w:pBdr>
          <w:top w:color="auto" w:space="0" w:sz="0" w:val="none"/>
          <w:bottom w:color="auto" w:space="0" w:sz="0" w:val="none"/>
          <w:right w:color="auto" w:space="0" w:sz="0" w:val="none"/>
          <w:between w:color="auto" w:space="0" w:sz="0" w:val="none"/>
        </w:pBdr>
        <w:shd w:fill="ffffff" w:val="clear"/>
        <w:spacing w:after="0" w:afterAutospacing="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Having empathy for other people.</w:t>
      </w:r>
    </w:p>
    <w:p w:rsidR="00000000" w:rsidDel="00000000" w:rsidP="00000000" w:rsidRDefault="00000000" w:rsidRPr="00000000" w14:paraId="00000037">
      <w:pPr>
        <w:numPr>
          <w:ilvl w:val="0"/>
          <w:numId w:val="3"/>
        </w:numPr>
        <w:pBdr>
          <w:top w:color="auto" w:space="0" w:sz="0" w:val="none"/>
          <w:bottom w:color="auto" w:space="0" w:sz="0" w:val="none"/>
          <w:right w:color="auto" w:space="0" w:sz="0" w:val="none"/>
          <w:between w:color="auto" w:space="0" w:sz="0" w:val="none"/>
        </w:pBdr>
        <w:shd w:fill="ffffff" w:val="clear"/>
        <w:spacing w:after="6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Having great listening skills.</w:t>
      </w:r>
    </w:p>
    <w:p w:rsidR="00000000" w:rsidDel="00000000" w:rsidP="00000000" w:rsidRDefault="00000000" w:rsidRPr="00000000" w14:paraId="00000038">
      <w:pPr>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39">
      <w:pPr>
        <w:rPr>
          <w:rFonts w:ascii="Arial" w:cs="Arial" w:eastAsia="Arial" w:hAnsi="Arial"/>
          <w:color w:val="202124"/>
          <w:sz w:val="24"/>
          <w:szCs w:val="24"/>
          <w:highlight w:val="white"/>
        </w:rPr>
      </w:pPr>
      <w:r w:rsidDel="00000000" w:rsidR="00000000" w:rsidRPr="00000000">
        <w:rPr>
          <w:rFonts w:ascii="Arial" w:cs="Arial" w:eastAsia="Arial" w:hAnsi="Arial"/>
          <w:color w:val="202124"/>
          <w:sz w:val="24"/>
          <w:szCs w:val="24"/>
          <w:highlight w:val="white"/>
          <w:rtl w:val="0"/>
        </w:rPr>
        <w:t xml:space="preserve">Digital competence :</w:t>
      </w:r>
    </w:p>
    <w:p w:rsidR="00000000" w:rsidDel="00000000" w:rsidP="00000000" w:rsidRDefault="00000000" w:rsidRPr="00000000" w14:paraId="0000003A">
      <w:pPr>
        <w:rPr>
          <w:rFonts w:ascii="Arial" w:cs="Arial" w:eastAsia="Arial" w:hAnsi="Arial"/>
          <w:b w:val="1"/>
          <w:color w:val="202124"/>
          <w:sz w:val="24"/>
          <w:szCs w:val="24"/>
          <w:highlight w:val="white"/>
        </w:rPr>
      </w:pPr>
      <w:r w:rsidDel="00000000" w:rsidR="00000000" w:rsidRPr="00000000">
        <w:rPr>
          <w:rFonts w:ascii="Arial" w:cs="Arial" w:eastAsia="Arial" w:hAnsi="Arial"/>
          <w:b w:val="1"/>
          <w:color w:val="202124"/>
          <w:sz w:val="24"/>
          <w:szCs w:val="24"/>
          <w:highlight w:val="white"/>
          <w:rtl w:val="0"/>
        </w:rPr>
        <w:t xml:space="preserve">The five competencies of digital citizenship</w:t>
      </w:r>
    </w:p>
    <w:p w:rsidR="00000000" w:rsidDel="00000000" w:rsidP="00000000" w:rsidRDefault="00000000" w:rsidRPr="00000000" w14:paraId="0000003B">
      <w:pPr>
        <w:numPr>
          <w:ilvl w:val="0"/>
          <w:numId w:val="2"/>
        </w:numPr>
        <w:pBdr>
          <w:top w:color="auto" w:space="0" w:sz="0" w:val="none"/>
          <w:bottom w:color="auto" w:space="0" w:sz="0" w:val="none"/>
          <w:right w:color="auto" w:space="0" w:sz="0" w:val="none"/>
          <w:between w:color="auto" w:space="0" w:sz="0" w:val="none"/>
        </w:pBdr>
        <w:spacing w:after="0" w:afterAutospacing="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Inclusive: I am open to hearing and respectfully recognizing multiple viewpoints, and I engage with others online with respect and empathy.</w:t>
      </w:r>
    </w:p>
    <w:p w:rsidR="00000000" w:rsidDel="00000000" w:rsidP="00000000" w:rsidRDefault="00000000" w:rsidRPr="00000000" w14:paraId="0000003C">
      <w:pPr>
        <w:numPr>
          <w:ilvl w:val="0"/>
          <w:numId w:val="2"/>
        </w:numPr>
        <w:pBdr>
          <w:top w:color="auto" w:space="0" w:sz="0" w:val="none"/>
          <w:bottom w:color="auto" w:space="0" w:sz="0" w:val="none"/>
          <w:right w:color="auto" w:space="0" w:sz="0" w:val="none"/>
          <w:between w:color="auto" w:space="0" w:sz="0" w:val="none"/>
        </w:pBdr>
        <w:spacing w:after="0" w:afterAutospacing="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Informed: I evaluate the accuracy, perspective, and validity of digital media and social posts.</w:t>
      </w:r>
    </w:p>
    <w:p w:rsidR="00000000" w:rsidDel="00000000" w:rsidP="00000000" w:rsidRDefault="00000000" w:rsidRPr="00000000" w14:paraId="0000003D">
      <w:pPr>
        <w:numPr>
          <w:ilvl w:val="0"/>
          <w:numId w:val="2"/>
        </w:numPr>
        <w:pBdr>
          <w:top w:color="auto" w:space="0" w:sz="0" w:val="none"/>
          <w:bottom w:color="auto" w:space="0" w:sz="0" w:val="none"/>
          <w:right w:color="auto" w:space="0" w:sz="0" w:val="none"/>
          <w:between w:color="auto" w:space="0" w:sz="0" w:val="none"/>
        </w:pBdr>
        <w:spacing w:after="0" w:afterAutospacing="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Engaged: ...</w:t>
      </w:r>
    </w:p>
    <w:p w:rsidR="00000000" w:rsidDel="00000000" w:rsidP="00000000" w:rsidRDefault="00000000" w:rsidRPr="00000000" w14:paraId="0000003E">
      <w:pPr>
        <w:numPr>
          <w:ilvl w:val="0"/>
          <w:numId w:val="2"/>
        </w:numPr>
        <w:pBdr>
          <w:top w:color="auto" w:space="0" w:sz="0" w:val="none"/>
          <w:bottom w:color="auto" w:space="0" w:sz="0" w:val="none"/>
          <w:right w:color="auto" w:space="0" w:sz="0" w:val="none"/>
          <w:between w:color="auto" w:space="0" w:sz="0" w:val="none"/>
        </w:pBdr>
        <w:spacing w:after="0" w:afterAutospacing="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Balanced: ...</w:t>
      </w:r>
    </w:p>
    <w:p w:rsidR="00000000" w:rsidDel="00000000" w:rsidP="00000000" w:rsidRDefault="00000000" w:rsidRPr="00000000" w14:paraId="0000003F">
      <w:pPr>
        <w:numPr>
          <w:ilvl w:val="0"/>
          <w:numId w:val="2"/>
        </w:numPr>
        <w:pBdr>
          <w:top w:color="auto" w:space="0" w:sz="0" w:val="none"/>
          <w:bottom w:color="auto" w:space="0" w:sz="0" w:val="none"/>
          <w:right w:color="auto" w:space="0" w:sz="0" w:val="none"/>
          <w:between w:color="auto" w:space="0" w:sz="0" w:val="none"/>
        </w:pBdr>
        <w:spacing w:after="360" w:before="0" w:lineRule="auto"/>
        <w:ind w:left="720" w:hanging="360"/>
        <w:rPr>
          <w:highlight w:val="white"/>
        </w:rPr>
      </w:pPr>
      <w:r w:rsidDel="00000000" w:rsidR="00000000" w:rsidRPr="00000000">
        <w:rPr>
          <w:rFonts w:ascii="Arial" w:cs="Arial" w:eastAsia="Arial" w:hAnsi="Arial"/>
          <w:color w:val="202124"/>
          <w:sz w:val="24"/>
          <w:szCs w:val="24"/>
          <w:highlight w:val="white"/>
          <w:rtl w:val="0"/>
        </w:rPr>
        <w:t xml:space="preserve">Alert:</w:t>
      </w:r>
    </w:p>
    <w:p w:rsidR="00000000" w:rsidDel="00000000" w:rsidP="00000000" w:rsidRDefault="00000000" w:rsidRPr="00000000" w14:paraId="00000040">
      <w:pPr>
        <w:pBdr>
          <w:top w:color="auto" w:space="0" w:sz="0" w:val="none"/>
          <w:bottom w:color="auto" w:space="0" w:sz="0" w:val="none"/>
          <w:right w:color="auto" w:space="0" w:sz="0" w:val="none"/>
          <w:between w:color="auto" w:space="0" w:sz="0" w:val="none"/>
        </w:pBdr>
        <w:spacing w:after="360" w:before="0" w:lineRule="auto"/>
        <w:ind w:left="0" w:firstLine="0"/>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1">
      <w:pPr>
        <w:pBdr>
          <w:top w:color="auto" w:space="0" w:sz="0" w:val="none"/>
          <w:bottom w:color="auto" w:space="0" w:sz="0" w:val="none"/>
          <w:right w:color="auto" w:space="0" w:sz="0" w:val="none"/>
          <w:between w:color="auto" w:space="0" w:sz="0" w:val="none"/>
        </w:pBdr>
        <w:spacing w:after="360" w:before="0" w:lineRule="auto"/>
        <w:ind w:left="0" w:firstLine="0"/>
        <w:rPr>
          <w:rFonts w:ascii="Merriweather" w:cs="Merriweather" w:eastAsia="Merriweather" w:hAnsi="Merriweather"/>
          <w:color w:val="212121"/>
          <w:sz w:val="24"/>
          <w:szCs w:val="24"/>
          <w:highlight w:val="white"/>
        </w:rPr>
      </w:pPr>
      <w:r w:rsidDel="00000000" w:rsidR="00000000" w:rsidRPr="00000000">
        <w:rPr>
          <w:rFonts w:ascii="Arial" w:cs="Arial" w:eastAsia="Arial" w:hAnsi="Arial"/>
          <w:color w:val="202124"/>
          <w:sz w:val="24"/>
          <w:szCs w:val="24"/>
          <w:highlight w:val="white"/>
          <w:rtl w:val="0"/>
        </w:rPr>
        <w:t xml:space="preserve">Why resilience , emotional inteligence and digital competence are needed in work place :</w:t>
      </w: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Emotional intelligence, sometimes referred to as EQ ("emotional quotient"), refers to a person's ability to recognize, understand, manage, and reason with It ,is a critical ability when it comes to interpersonal communication—and a hot topic not only in psychology, but in the business world. The term was coined by psychologists in the 1990s. Its use quickly spread into other areas including business, education, and popular culture.</w:t>
      </w:r>
    </w:p>
    <w:p w:rsidR="00000000" w:rsidDel="00000000" w:rsidP="00000000" w:rsidRDefault="00000000" w:rsidRPr="00000000" w14:paraId="00000043">
      <w:pPr>
        <w:rPr/>
      </w:pPr>
      <w:r w:rsidDel="00000000" w:rsidR="00000000" w:rsidRPr="00000000">
        <w:rPr>
          <w:rtl w:val="0"/>
        </w:rPr>
        <w:t xml:space="preserve">Because of covid most of people have  been working from home  and few lost their jobs .</w:t>
      </w:r>
    </w:p>
    <w:p w:rsidR="00000000" w:rsidDel="00000000" w:rsidP="00000000" w:rsidRDefault="00000000" w:rsidRPr="00000000" w14:paraId="00000044">
      <w:pPr>
        <w:pBdr>
          <w:top w:color="auto" w:space="0" w:sz="0" w:val="none"/>
          <w:bottom w:color="auto" w:space="0" w:sz="0" w:val="none"/>
          <w:right w:color="auto" w:space="0" w:sz="0" w:val="none"/>
          <w:between w:color="auto" w:space="0" w:sz="0" w:val="none"/>
        </w:pBdr>
        <w:spacing w:after="360" w:before="0" w:lineRule="auto"/>
        <w:ind w:left="0" w:firstLine="0"/>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5">
      <w:pPr>
        <w:pBdr>
          <w:top w:color="auto" w:space="0" w:sz="0" w:val="none"/>
          <w:bottom w:color="auto" w:space="0" w:sz="0" w:val="none"/>
          <w:right w:color="auto" w:space="0" w:sz="0" w:val="none"/>
          <w:between w:color="auto" w:space="0" w:sz="0" w:val="none"/>
        </w:pBdr>
        <w:spacing w:after="360" w:before="0" w:lineRule="auto"/>
        <w:ind w:left="0" w:firstLine="0"/>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6">
      <w:pPr>
        <w:pBdr>
          <w:top w:color="auto" w:space="0" w:sz="0" w:val="none"/>
          <w:bottom w:color="auto" w:space="0" w:sz="0" w:val="none"/>
          <w:right w:color="auto" w:space="0" w:sz="0" w:val="none"/>
          <w:between w:color="auto" w:space="0" w:sz="0" w:val="none"/>
        </w:pBdr>
        <w:spacing w:after="360" w:before="0" w:lineRule="auto"/>
        <w:ind w:left="0" w:firstLine="0"/>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7">
      <w:pPr>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8">
      <w:pPr>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9">
      <w:pPr>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A">
      <w:pPr>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B">
      <w:pPr>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C">
      <w:pPr>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D">
      <w:pPr>
        <w:rPr>
          <w:rFonts w:ascii="Arial" w:cs="Arial" w:eastAsia="Arial" w:hAnsi="Arial"/>
          <w:color w:val="202124"/>
          <w:sz w:val="24"/>
          <w:szCs w:val="24"/>
          <w:highlight w:val="white"/>
        </w:rPr>
      </w:pPr>
      <w:r w:rsidDel="00000000" w:rsidR="00000000" w:rsidRPr="00000000">
        <w:rPr>
          <w:rtl w:val="0"/>
        </w:rPr>
      </w:r>
    </w:p>
    <w:p w:rsidR="00000000" w:rsidDel="00000000" w:rsidP="00000000" w:rsidRDefault="00000000" w:rsidRPr="00000000" w14:paraId="0000004E">
      <w:pPr>
        <w:rPr>
          <w:rFonts w:ascii="Arial" w:cs="Arial" w:eastAsia="Arial" w:hAnsi="Arial"/>
          <w:color w:val="202124"/>
          <w:sz w:val="24"/>
          <w:szCs w:val="24"/>
          <w:highlight w:val="white"/>
        </w:rPr>
      </w:pPr>
      <w:r w:rsidDel="00000000" w:rsidR="00000000" w:rsidRPr="00000000">
        <w:rPr>
          <w:rtl w:val="0"/>
        </w:rPr>
      </w:r>
    </w:p>
    <w:sectPr>
      <w:headerReference r:id="rId33" w:type="default"/>
      <w:headerReference r:id="rId34" w:type="first"/>
      <w:footerReference r:id="rId35" w:type="first"/>
      <w:pgSz w:h="15840" w:w="12240" w:orient="portrait"/>
      <w:pgMar w:bottom="1440" w:top="144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Times New Roman"/>
  <w:font w:name="Economic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Merriweather">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Open Sans">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pageBreakBefore w:val="0"/>
      <w:pBdr>
        <w:top w:space="0" w:sz="0" w:val="nil"/>
        <w:left w:space="0" w:sz="0" w:val="nil"/>
        <w:bottom w:space="0" w:sz="0" w:val="nil"/>
        <w:right w:space="0" w:sz="0" w:val="nil"/>
        <w:between w:space="0" w:sz="0" w:val="nil"/>
      </w:pBdr>
      <w:shd w:fill="auto" w:val="clear"/>
      <w:spacing w:before="0" w:lineRule="auto"/>
      <w:rPr/>
    </w:pPr>
    <w:r w:rsidDel="00000000" w:rsidR="00000000" w:rsidRPr="00000000">
      <w:rPr/>
      <w:drawing>
        <wp:inline distB="114300" distT="114300" distL="114300" distR="114300">
          <wp:extent cx="5943600" cy="25400"/>
          <wp:effectExtent b="0" l="0" r="0" t="0"/>
          <wp:docPr descr="horizontal line" id="2" name="image1.png"/>
          <a:graphic>
            <a:graphicData uri="http://schemas.openxmlformats.org/drawingml/2006/picture">
              <pic:pic>
                <pic:nvPicPr>
                  <pic:cNvPr descr="horizontal line" id="0" name="image1.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pStyle w:val="Subtitle"/>
      <w:pageBreakBefore w:val="0"/>
      <w:pBdr>
        <w:top w:space="0" w:sz="0" w:val="nil"/>
        <w:left w:space="0" w:sz="0" w:val="nil"/>
        <w:bottom w:space="0" w:sz="0" w:val="nil"/>
        <w:right w:space="0" w:sz="0" w:val="nil"/>
        <w:between w:space="0" w:sz="0" w:val="nil"/>
      </w:pBdr>
      <w:shd w:fill="auto" w:val="clear"/>
      <w:spacing w:before="0" w:lineRule="auto"/>
      <w:rPr/>
    </w:pPr>
    <w:bookmarkStart w:colFirst="0" w:colLast="0" w:name="_w494w0yg8rg0" w:id="9"/>
    <w:bookmarkEnd w:id="9"/>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F">
    <w:pPr>
      <w:pStyle w:val="Subtitle"/>
      <w:pageBreakBefore w:val="0"/>
      <w:pBdr>
        <w:top w:space="0" w:sz="0" w:val="nil"/>
        <w:left w:space="0" w:sz="0" w:val="nil"/>
        <w:bottom w:space="0" w:sz="0" w:val="nil"/>
        <w:right w:space="0" w:sz="0" w:val="nil"/>
        <w:between w:space="0" w:sz="0" w:val="nil"/>
      </w:pBdr>
      <w:shd w:fill="auto" w:val="clear"/>
      <w:spacing w:before="600" w:lineRule="auto"/>
      <w:rPr/>
    </w:pPr>
    <w:bookmarkStart w:colFirst="0" w:colLast="0" w:name="_leajue2ys1lr" w:id="8"/>
    <w:bookmarkEnd w:id="8"/>
    <w:r w:rsidDel="00000000" w:rsidR="00000000" w:rsidRPr="00000000">
      <w:rPr>
        <w:rtl w:val="0"/>
      </w:rPr>
    </w:r>
  </w:p>
  <w:p w:rsidR="00000000" w:rsidDel="00000000" w:rsidP="00000000" w:rsidRDefault="00000000" w:rsidRPr="00000000" w14:paraId="00000050">
    <w:pPr>
      <w:pageBreakBefore w:val="0"/>
      <w:pBdr>
        <w:top w:space="0" w:sz="0" w:val="nil"/>
        <w:left w:space="0" w:sz="0" w:val="nil"/>
        <w:bottom w:space="0" w:sz="0" w:val="nil"/>
        <w:right w:space="0" w:sz="0" w:val="nil"/>
        <w:between w:space="0" w:sz="0" w:val="nil"/>
      </w:pBdr>
      <w:shd w:fill="auto" w:val="clear"/>
      <w:spacing w:before="0" w:line="240" w:lineRule="auto"/>
      <w:rPr/>
    </w:pPr>
    <w:r w:rsidDel="00000000" w:rsidR="00000000" w:rsidRPr="00000000">
      <w:rPr/>
      <w:drawing>
        <wp:inline distB="114300" distT="114300" distL="114300" distR="114300">
          <wp:extent cx="5943600" cy="25400"/>
          <wp:effectExtent b="0" l="0" r="0" t="0"/>
          <wp:docPr descr="horizontal line" id="3" name="image4.png"/>
          <a:graphic>
            <a:graphicData uri="http://schemas.openxmlformats.org/drawingml/2006/picture">
              <pic:pic>
                <pic:nvPicPr>
                  <pic:cNvPr descr="horizontal line" id="0" name="image4.png"/>
                  <pic:cNvPicPr preferRelativeResize="0"/>
                </pic:nvPicPr>
                <pic:blipFill>
                  <a:blip r:embed="rId1"/>
                  <a:srcRect b="0" l="0" r="0" t="0"/>
                  <a:stretch>
                    <a:fillRect/>
                  </a:stretch>
                </pic:blipFill>
                <pic:spPr>
                  <a:xfrm>
                    <a:off x="0" y="0"/>
                    <a:ext cx="5943600" cy="25400"/>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1">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b w:val="0"/>
        <w:i w:val="0"/>
        <w:color w:val="222222"/>
        <w:sz w:val="26"/>
        <w:szCs w:val="26"/>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b w:val="0"/>
        <w:i w:val="0"/>
        <w:color w:val="2021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b w:val="0"/>
        <w:i w:val="0"/>
        <w:color w:val="2021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sz w:val="22"/>
        <w:szCs w:val="22"/>
        <w:lang w:val="en"/>
      </w:rPr>
    </w:rPrDefault>
    <w:pPrDefault>
      <w:pPr>
        <w:spacing w:before="200" w:line="360"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ageBreakBefore w:val="0"/>
      <w:spacing w:after="0" w:lineRule="auto"/>
    </w:pPr>
    <w:rPr>
      <w:b w:val="1"/>
      <w:sz w:val="32"/>
      <w:szCs w:val="32"/>
    </w:rPr>
  </w:style>
  <w:style w:type="paragraph" w:styleId="Heading2">
    <w:name w:val="heading 2"/>
    <w:basedOn w:val="Normal"/>
    <w:next w:val="Normal"/>
    <w:pPr>
      <w:pageBreakBefore w:val="0"/>
      <w:spacing w:after="0" w:before="480" w:line="240" w:lineRule="auto"/>
      <w:ind w:right="1785"/>
    </w:pPr>
    <w:rPr>
      <w:b w:val="1"/>
      <w:sz w:val="26"/>
      <w:szCs w:val="26"/>
    </w:rPr>
  </w:style>
  <w:style w:type="paragraph" w:styleId="Heading3">
    <w:name w:val="heading 3"/>
    <w:basedOn w:val="Normal"/>
    <w:next w:val="Normal"/>
    <w:pPr>
      <w:pageBreakBefore w:val="0"/>
    </w:pPr>
    <w:rPr>
      <w:b w:val="1"/>
      <w:color w:val="8c7252"/>
      <w:sz w:val="24"/>
      <w:szCs w:val="24"/>
    </w:rPr>
  </w:style>
  <w:style w:type="paragraph" w:styleId="Heading4">
    <w:name w:val="heading 4"/>
    <w:basedOn w:val="Normal"/>
    <w:next w:val="Normal"/>
    <w:pPr>
      <w:keepNext w:val="1"/>
      <w:keepLines w:val="1"/>
      <w:pageBreakBefore w:val="0"/>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pageBreakBefore w:val="0"/>
      <w:spacing w:before="0" w:line="240" w:lineRule="auto"/>
      <w:ind w:left="0" w:firstLine="15"/>
    </w:pPr>
    <w:rPr>
      <w:rFonts w:ascii="Economica" w:cs="Economica" w:eastAsia="Economica" w:hAnsi="Economica"/>
      <w:sz w:val="60"/>
      <w:szCs w:val="60"/>
    </w:rPr>
  </w:style>
  <w:style w:type="paragraph" w:styleId="Subtitle">
    <w:name w:val="Subtitle"/>
    <w:basedOn w:val="Normal"/>
    <w:next w:val="Normal"/>
    <w:pPr>
      <w:pageBreakBefore w:val="0"/>
      <w:spacing w:before="0" w:line="240" w:lineRule="auto"/>
    </w:pPr>
    <w:rPr>
      <w:rFonts w:ascii="Economica" w:cs="Economica" w:eastAsia="Economica" w:hAnsi="Economica"/>
      <w:color w:val="99999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ilo.org/global/topics/coronavirus/lang--en/index.htm" TargetMode="External"/><Relationship Id="rId22" Type="http://schemas.openxmlformats.org/officeDocument/2006/relationships/hyperlink" Target="https://www.thebalancecareers.com/what-are-soft-skills-2060852" TargetMode="External"/><Relationship Id="rId21" Type="http://schemas.openxmlformats.org/officeDocument/2006/relationships/hyperlink" Target="https://www.cdc.gov/coronavirus/2019-ncov/global-covid-19/acknowledgements-references.html#r3" TargetMode="External"/><Relationship Id="rId24" Type="http://schemas.openxmlformats.org/officeDocument/2006/relationships/hyperlink" Target="https://www.thebalancecareers.com/top-skills-every-professional-needs-to-have-4150386" TargetMode="External"/><Relationship Id="rId23" Type="http://schemas.openxmlformats.org/officeDocument/2006/relationships/hyperlink" Target="https://www.thebalancecareers.com/interpersonal-skills-list-206372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onlinelibrary.wiley.com/doi/full/10.1002/ajh.25829#ajh25829-bib-0001" TargetMode="External"/><Relationship Id="rId26" Type="http://schemas.openxmlformats.org/officeDocument/2006/relationships/hyperlink" Target="https://www.thebalancecareers.com/communication-skills-list-2063779" TargetMode="External"/><Relationship Id="rId25" Type="http://schemas.openxmlformats.org/officeDocument/2006/relationships/hyperlink" Target="https://www.thebalancecareers.com/transferable-skills-cover-letter-example-2060265" TargetMode="External"/><Relationship Id="rId28" Type="http://schemas.openxmlformats.org/officeDocument/2006/relationships/hyperlink" Target="https://www.thebalancecareers.com/nonverbal-communication-skills-2059693" TargetMode="External"/><Relationship Id="rId27" Type="http://schemas.openxmlformats.org/officeDocument/2006/relationships/hyperlink" Target="https://www.thebalancecareers.com/verbal-communication-skills-list-2059698"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www.thebalancecareers.com/types-of-listening-skills-with-examples-2063759" TargetMode="External"/><Relationship Id="rId7" Type="http://schemas.openxmlformats.org/officeDocument/2006/relationships/image" Target="media/image3.jpg"/><Relationship Id="rId8" Type="http://schemas.openxmlformats.org/officeDocument/2006/relationships/hyperlink" Target="https://onlinelibrary.wiley.com/doi/full/10.1002/ajh.25829#ajh25829-bib-0001" TargetMode="External"/><Relationship Id="rId31" Type="http://schemas.openxmlformats.org/officeDocument/2006/relationships/hyperlink" Target="https://www.thebalancecareers.com/active-listening-skills-with-examples-2059684" TargetMode="External"/><Relationship Id="rId30" Type="http://schemas.openxmlformats.org/officeDocument/2006/relationships/hyperlink" Target="https://www.thebalancecareers.com/interpersonal-skills-list-2063724" TargetMode="External"/><Relationship Id="rId11" Type="http://schemas.openxmlformats.org/officeDocument/2006/relationships/hyperlink" Target="https://onlinelibrary.wiley.com/doi/full/10.1002/ajh.25829#ajh25829-bib-0004" TargetMode="External"/><Relationship Id="rId33" Type="http://schemas.openxmlformats.org/officeDocument/2006/relationships/header" Target="header1.xml"/><Relationship Id="rId10" Type="http://schemas.openxmlformats.org/officeDocument/2006/relationships/hyperlink" Target="https://onlinelibrary.wiley.com/doi/full/10.1002/ajh.25829#ajh25829-bib-0002" TargetMode="External"/><Relationship Id="rId32" Type="http://schemas.openxmlformats.org/officeDocument/2006/relationships/hyperlink" Target="https://www.thebalancecareers.com/list-of-teamwork-skills-2063773" TargetMode="External"/><Relationship Id="rId13" Type="http://schemas.openxmlformats.org/officeDocument/2006/relationships/hyperlink" Target="https://onlinelibrary.wiley.com/doi/full/10.1002/ajh.25829#ajh25829-bib-0006" TargetMode="External"/><Relationship Id="rId35" Type="http://schemas.openxmlformats.org/officeDocument/2006/relationships/footer" Target="footer1.xml"/><Relationship Id="rId12" Type="http://schemas.openxmlformats.org/officeDocument/2006/relationships/hyperlink" Target="https://onlinelibrary.wiley.com/doi/full/10.1002/ajh.25829#ajh25829-bib-0005" TargetMode="External"/><Relationship Id="rId34" Type="http://schemas.openxmlformats.org/officeDocument/2006/relationships/header" Target="header2.xml"/><Relationship Id="rId15" Type="http://schemas.openxmlformats.org/officeDocument/2006/relationships/hyperlink" Target="https://www.ncbi.nlm.nih.gov/pmc/articles/PMC7307707/#CR21" TargetMode="External"/><Relationship Id="rId14" Type="http://schemas.openxmlformats.org/officeDocument/2006/relationships/hyperlink" Target="https://onlinelibrary.wiley.com/doi/full/10.1002/ajh.25829#ajh25829-bib-0007" TargetMode="External"/><Relationship Id="rId17" Type="http://schemas.openxmlformats.org/officeDocument/2006/relationships/hyperlink" Target="https://www.ncbi.nlm.nih.gov/pmc/articles/PMC7307707/#CR24" TargetMode="External"/><Relationship Id="rId16" Type="http://schemas.openxmlformats.org/officeDocument/2006/relationships/hyperlink" Target="https://www.ncbi.nlm.nih.gov/pmc/articles/PMC7307707/#CR23" TargetMode="External"/><Relationship Id="rId19" Type="http://schemas.openxmlformats.org/officeDocument/2006/relationships/hyperlink" Target="https://www.hhrjournal.org/2020/12/student-essay-the-disproportional-impact-of-covid-19-on-african-americans/#_edn1" TargetMode="External"/><Relationship Id="rId18" Type="http://schemas.openxmlformats.org/officeDocument/2006/relationships/hyperlink" Target="https://www.ncbi.nlm.nih.gov/pmc/articles/PMC7307707/#CR26"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Economica-regular.ttf"/><Relationship Id="rId2" Type="http://schemas.openxmlformats.org/officeDocument/2006/relationships/font" Target="fonts/Economica-bold.ttf"/><Relationship Id="rId3" Type="http://schemas.openxmlformats.org/officeDocument/2006/relationships/font" Target="fonts/Economica-italic.ttf"/><Relationship Id="rId4" Type="http://schemas.openxmlformats.org/officeDocument/2006/relationships/font" Target="fonts/Economica-boldItalic.ttf"/><Relationship Id="rId11" Type="http://schemas.openxmlformats.org/officeDocument/2006/relationships/font" Target="fonts/OpenSans-italic.ttf"/><Relationship Id="rId10" Type="http://schemas.openxmlformats.org/officeDocument/2006/relationships/font" Target="fonts/OpenSans-bold.ttf"/><Relationship Id="rId12" Type="http://schemas.openxmlformats.org/officeDocument/2006/relationships/font" Target="fonts/OpenSans-boldItalic.ttf"/><Relationship Id="rId9" Type="http://schemas.openxmlformats.org/officeDocument/2006/relationships/font" Target="fonts/OpenSans-regular.ttf"/><Relationship Id="rId5" Type="http://schemas.openxmlformats.org/officeDocument/2006/relationships/font" Target="fonts/Merriweather-regular.ttf"/><Relationship Id="rId6" Type="http://schemas.openxmlformats.org/officeDocument/2006/relationships/font" Target="fonts/Merriweather-bold.ttf"/><Relationship Id="rId7" Type="http://schemas.openxmlformats.org/officeDocument/2006/relationships/font" Target="fonts/Merriweather-italic.ttf"/><Relationship Id="rId8" Type="http://schemas.openxmlformats.org/officeDocument/2006/relationships/font" Target="fonts/Merriweather-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