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6393B"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44A8EC1A"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21F99373"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0389BAAB"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61198FCF" w14:textId="77777777" w:rsidR="002E3AA9" w:rsidRPr="009C7842" w:rsidRDefault="002E3AA9" w:rsidP="009C7842">
      <w:pPr>
        <w:spacing w:line="360" w:lineRule="auto"/>
        <w:jc w:val="center"/>
        <w:rPr>
          <w:rFonts w:ascii="Times New Roman" w:hAnsi="Times New Roman" w:cs="Times New Roman"/>
          <w:b/>
          <w:bCs/>
          <w:sz w:val="36"/>
          <w:szCs w:val="36"/>
          <w:lang w:val="en-US"/>
        </w:rPr>
      </w:pPr>
      <w:r w:rsidRPr="009C7842">
        <w:rPr>
          <w:rFonts w:ascii="Times New Roman" w:hAnsi="Times New Roman" w:cs="Times New Roman"/>
          <w:b/>
          <w:bCs/>
          <w:sz w:val="36"/>
          <w:szCs w:val="36"/>
          <w:lang w:val="en-US"/>
        </w:rPr>
        <w:t>Community Engagement</w:t>
      </w:r>
    </w:p>
    <w:p w14:paraId="4AE1CE1D"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30551A7B"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42FE68B8"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7E576461"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148EE65E" w14:textId="77777777" w:rsidR="00013683" w:rsidRDefault="00013683" w:rsidP="00013683">
      <w:pPr>
        <w:spacing w:before="240"/>
        <w:ind w:firstLine="720"/>
        <w:jc w:val="center"/>
        <w:rPr>
          <w:bCs/>
        </w:rPr>
      </w:pPr>
      <w:r>
        <w:rPr>
          <w:b/>
        </w:rPr>
        <w:t>Module Code</w:t>
      </w:r>
      <w:r>
        <w:rPr>
          <w:bCs/>
        </w:rPr>
        <w:t>: LCBB4002</w:t>
      </w:r>
    </w:p>
    <w:p w14:paraId="49286FC0" w14:textId="77777777" w:rsidR="00013683" w:rsidRDefault="00013683" w:rsidP="00013683">
      <w:pPr>
        <w:spacing w:before="240"/>
        <w:ind w:firstLine="720"/>
        <w:jc w:val="center"/>
        <w:rPr>
          <w:bCs/>
        </w:rPr>
      </w:pPr>
      <w:r>
        <w:rPr>
          <w:b/>
        </w:rPr>
        <w:t>Module</w:t>
      </w:r>
      <w:r>
        <w:rPr>
          <w:bCs/>
        </w:rPr>
        <w:t>: Community Engagement</w:t>
      </w:r>
    </w:p>
    <w:p w14:paraId="2F53FD28" w14:textId="0974ABF9" w:rsidR="00013683" w:rsidRDefault="007E64E9" w:rsidP="00013683">
      <w:pPr>
        <w:spacing w:before="240"/>
        <w:ind w:firstLine="720"/>
        <w:jc w:val="center"/>
        <w:rPr>
          <w:bCs/>
        </w:rPr>
      </w:pPr>
      <w:r>
        <w:rPr>
          <w:b/>
          <w:bCs/>
        </w:rPr>
        <w:t>Lecturer</w:t>
      </w:r>
      <w:r>
        <w:rPr>
          <w:bCs/>
        </w:rPr>
        <w:t xml:space="preserve">: </w:t>
      </w:r>
      <w:proofErr w:type="spellStart"/>
      <w:r w:rsidR="00013683">
        <w:rPr>
          <w:bCs/>
        </w:rPr>
        <w:t>Akinseye</w:t>
      </w:r>
      <w:proofErr w:type="spellEnd"/>
      <w:r w:rsidR="00013683">
        <w:rPr>
          <w:bCs/>
        </w:rPr>
        <w:t xml:space="preserve"> Rahman</w:t>
      </w:r>
    </w:p>
    <w:p w14:paraId="5DB24C20" w14:textId="77777777" w:rsidR="002E3AA9" w:rsidRPr="00EF18DC" w:rsidRDefault="002E3AA9" w:rsidP="009C7842">
      <w:pPr>
        <w:spacing w:line="360" w:lineRule="auto"/>
        <w:jc w:val="center"/>
        <w:rPr>
          <w:rFonts w:ascii="Times New Roman" w:hAnsi="Times New Roman" w:cs="Times New Roman"/>
          <w:b/>
          <w:bCs/>
          <w:sz w:val="24"/>
          <w:szCs w:val="24"/>
          <w:lang w:val="en-US"/>
        </w:rPr>
      </w:pPr>
    </w:p>
    <w:p w14:paraId="4E9392A4" w14:textId="5D6DEB7D" w:rsidR="002E3AA9" w:rsidRPr="00EF18DC" w:rsidRDefault="002E3AA9" w:rsidP="009C7842">
      <w:pPr>
        <w:spacing w:line="360" w:lineRule="auto"/>
        <w:jc w:val="center"/>
        <w:rPr>
          <w:rFonts w:ascii="Times New Roman" w:hAnsi="Times New Roman" w:cs="Times New Roman"/>
          <w:b/>
          <w:bCs/>
          <w:sz w:val="24"/>
          <w:szCs w:val="24"/>
          <w:lang w:val="en-US"/>
        </w:rPr>
      </w:pPr>
      <w:r w:rsidRPr="00EF18DC">
        <w:rPr>
          <w:rFonts w:ascii="Times New Roman" w:hAnsi="Times New Roman" w:cs="Times New Roman"/>
          <w:b/>
          <w:bCs/>
          <w:sz w:val="24"/>
          <w:szCs w:val="24"/>
          <w:lang w:val="en-US"/>
        </w:rPr>
        <w:t>Name of the student:</w:t>
      </w:r>
      <w:r w:rsidR="00013683">
        <w:rPr>
          <w:rFonts w:ascii="Times New Roman" w:hAnsi="Times New Roman" w:cs="Times New Roman"/>
          <w:b/>
          <w:bCs/>
          <w:sz w:val="24"/>
          <w:szCs w:val="24"/>
          <w:lang w:val="en-US"/>
        </w:rPr>
        <w:t xml:space="preserve"> Razvan Pavel Mocanu</w:t>
      </w:r>
    </w:p>
    <w:p w14:paraId="0B9F7856" w14:textId="69489D22" w:rsidR="009C7842" w:rsidRDefault="00013683" w:rsidP="009C7842">
      <w:pPr>
        <w:spacing w:line="360" w:lineRule="auto"/>
        <w:jc w:val="center"/>
        <w:rPr>
          <w:rFonts w:ascii="Times New Roman" w:hAnsi="Times New Roman" w:cs="Times New Roman"/>
          <w:b/>
          <w:bCs/>
          <w:sz w:val="24"/>
          <w:szCs w:val="24"/>
          <w:lang w:val="en-US"/>
        </w:rPr>
      </w:pPr>
      <w:r w:rsidRPr="00EF18DC">
        <w:rPr>
          <w:rFonts w:ascii="Times New Roman" w:hAnsi="Times New Roman" w:cs="Times New Roman"/>
          <w:b/>
          <w:bCs/>
          <w:sz w:val="24"/>
          <w:szCs w:val="24"/>
          <w:lang w:val="en-US"/>
        </w:rPr>
        <w:t>Student</w:t>
      </w:r>
      <w:r w:rsidR="002E3AA9" w:rsidRPr="00EF18DC">
        <w:rPr>
          <w:rFonts w:ascii="Times New Roman" w:hAnsi="Times New Roman" w:cs="Times New Roman"/>
          <w:b/>
          <w:bCs/>
          <w:sz w:val="24"/>
          <w:szCs w:val="24"/>
          <w:lang w:val="en-US"/>
        </w:rPr>
        <w:t xml:space="preserve"> ID: </w:t>
      </w:r>
      <w:r>
        <w:rPr>
          <w:rFonts w:ascii="Roboto" w:hAnsi="Roboto"/>
          <w:color w:val="1B1B1B"/>
          <w:sz w:val="23"/>
          <w:szCs w:val="23"/>
          <w:shd w:val="clear" w:color="auto" w:fill="FFFFFF"/>
        </w:rPr>
        <w:t>2131739</w:t>
      </w:r>
    </w:p>
    <w:p w14:paraId="247C4F65" w14:textId="77777777" w:rsidR="009C7842" w:rsidRDefault="009C7842" w:rsidP="009C7842">
      <w:pPr>
        <w:spacing w:line="360" w:lineRule="auto"/>
        <w:jc w:val="center"/>
        <w:rPr>
          <w:rFonts w:ascii="Times New Roman" w:hAnsi="Times New Roman" w:cs="Times New Roman"/>
          <w:b/>
          <w:bCs/>
          <w:sz w:val="24"/>
          <w:szCs w:val="24"/>
          <w:lang w:val="en-US"/>
        </w:rPr>
      </w:pPr>
    </w:p>
    <w:p w14:paraId="7730D6A1" w14:textId="77777777" w:rsidR="009C7842" w:rsidRDefault="009C7842">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4E4E8F5" w14:textId="77777777" w:rsidR="009C7842" w:rsidRDefault="009C7842" w:rsidP="009C7842">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Executive Summary</w:t>
      </w:r>
    </w:p>
    <w:p w14:paraId="398D45D1" w14:textId="33A53B6E" w:rsidR="009C7842" w:rsidRPr="00EF18DC" w:rsidRDefault="009C7842"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The </w:t>
      </w:r>
      <w:r>
        <w:rPr>
          <w:rFonts w:ascii="Times New Roman" w:hAnsi="Times New Roman" w:cs="Times New Roman"/>
          <w:sz w:val="24"/>
          <w:szCs w:val="24"/>
        </w:rPr>
        <w:t>study shed light on elaboration of the</w:t>
      </w:r>
      <w:r w:rsidRPr="00EF18DC">
        <w:rPr>
          <w:rFonts w:ascii="Times New Roman" w:hAnsi="Times New Roman" w:cs="Times New Roman"/>
          <w:sz w:val="24"/>
          <w:szCs w:val="24"/>
        </w:rPr>
        <w:t xml:space="preserve"> </w:t>
      </w:r>
      <w:proofErr w:type="gramStart"/>
      <w:r w:rsidRPr="00EF18DC">
        <w:rPr>
          <w:rFonts w:ascii="Times New Roman" w:hAnsi="Times New Roman" w:cs="Times New Roman"/>
          <w:sz w:val="24"/>
          <w:szCs w:val="24"/>
        </w:rPr>
        <w:t>particular understanding</w:t>
      </w:r>
      <w:proofErr w:type="gramEnd"/>
      <w:r w:rsidRPr="00EF18DC">
        <w:rPr>
          <w:rFonts w:ascii="Times New Roman" w:hAnsi="Times New Roman" w:cs="Times New Roman"/>
          <w:sz w:val="24"/>
          <w:szCs w:val="24"/>
        </w:rPr>
        <w:t xml:space="preserve"> with respect to community engagement. </w:t>
      </w:r>
      <w:r>
        <w:rPr>
          <w:rFonts w:ascii="Times New Roman" w:hAnsi="Times New Roman" w:cs="Times New Roman"/>
          <w:sz w:val="24"/>
          <w:szCs w:val="24"/>
        </w:rPr>
        <w:t xml:space="preserve">Consequently, the study has also depicted </w:t>
      </w:r>
      <w:r w:rsidRPr="00EF18DC">
        <w:rPr>
          <w:rFonts w:ascii="Times New Roman" w:hAnsi="Times New Roman" w:cs="Times New Roman"/>
          <w:sz w:val="24"/>
          <w:szCs w:val="24"/>
        </w:rPr>
        <w:t xml:space="preserve">advantages, which can be properly gained by the concern of an individual. </w:t>
      </w:r>
      <w:r>
        <w:rPr>
          <w:rFonts w:ascii="Times New Roman" w:hAnsi="Times New Roman" w:cs="Times New Roman"/>
          <w:sz w:val="24"/>
          <w:szCs w:val="24"/>
        </w:rPr>
        <w:t>The study has also elaborated the responsibility to submit</w:t>
      </w:r>
      <w:r w:rsidRPr="00EF18DC">
        <w:rPr>
          <w:rFonts w:ascii="Times New Roman" w:hAnsi="Times New Roman" w:cs="Times New Roman"/>
          <w:sz w:val="24"/>
          <w:szCs w:val="24"/>
        </w:rPr>
        <w:t xml:space="preserve"> reports as the community engagement practice on the recent commonwealth game that was held in Birmingham. </w:t>
      </w:r>
      <w:r>
        <w:rPr>
          <w:rFonts w:ascii="Times New Roman" w:hAnsi="Times New Roman" w:cs="Times New Roman"/>
          <w:sz w:val="24"/>
          <w:szCs w:val="24"/>
        </w:rPr>
        <w:t xml:space="preserve">Moreover, the study has highlighted </w:t>
      </w:r>
      <w:r w:rsidRPr="00EF18DC">
        <w:rPr>
          <w:rFonts w:ascii="Times New Roman" w:hAnsi="Times New Roman" w:cs="Times New Roman"/>
          <w:sz w:val="24"/>
          <w:szCs w:val="24"/>
        </w:rPr>
        <w:t>how the local community conducted community engagem</w:t>
      </w:r>
      <w:r w:rsidR="00557BBD">
        <w:rPr>
          <w:rFonts w:ascii="Times New Roman" w:hAnsi="Times New Roman" w:cs="Times New Roman"/>
          <w:sz w:val="24"/>
          <w:szCs w:val="24"/>
        </w:rPr>
        <w:t>ent. Moreover, an identification of</w:t>
      </w:r>
      <w:r w:rsidRPr="00EF18DC">
        <w:rPr>
          <w:rFonts w:ascii="Times New Roman" w:hAnsi="Times New Roman" w:cs="Times New Roman"/>
          <w:sz w:val="24"/>
          <w:szCs w:val="24"/>
        </w:rPr>
        <w:t xml:space="preserve"> the areas that were most active </w:t>
      </w:r>
      <w:r w:rsidR="000C115F">
        <w:rPr>
          <w:rFonts w:ascii="Times New Roman" w:hAnsi="Times New Roman" w:cs="Times New Roman"/>
          <w:sz w:val="24"/>
          <w:szCs w:val="24"/>
        </w:rPr>
        <w:t xml:space="preserve">has been done along with the discussion of the </w:t>
      </w:r>
      <w:r w:rsidRPr="00EF18DC">
        <w:rPr>
          <w:rFonts w:ascii="Times New Roman" w:hAnsi="Times New Roman" w:cs="Times New Roman"/>
          <w:sz w:val="24"/>
          <w:szCs w:val="24"/>
        </w:rPr>
        <w:t xml:space="preserve">approaches that were adopted properly. </w:t>
      </w:r>
    </w:p>
    <w:p w14:paraId="1F80CB4D" w14:textId="0CC9ECC7" w:rsidR="002E3AA9" w:rsidRPr="00EF18DC" w:rsidRDefault="002E3AA9" w:rsidP="009C7842">
      <w:pPr>
        <w:spacing w:line="360" w:lineRule="auto"/>
        <w:jc w:val="center"/>
        <w:rPr>
          <w:rFonts w:ascii="Times New Roman" w:eastAsiaTheme="majorEastAsia" w:hAnsi="Times New Roman" w:cs="Times New Roman"/>
          <w:b/>
          <w:bCs/>
          <w:sz w:val="24"/>
          <w:szCs w:val="24"/>
          <w:lang w:val="en-US"/>
        </w:rPr>
      </w:pPr>
      <w:r w:rsidRPr="00EF18DC">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IN"/>
        </w:rPr>
        <w:id w:val="1477024785"/>
        <w:docPartObj>
          <w:docPartGallery w:val="Table of Contents"/>
          <w:docPartUnique/>
        </w:docPartObj>
      </w:sdtPr>
      <w:sdtEndPr>
        <w:rPr>
          <w:b/>
          <w:bCs/>
          <w:noProof/>
        </w:rPr>
      </w:sdtEndPr>
      <w:sdtContent>
        <w:p w14:paraId="0F888684" w14:textId="208C05B3" w:rsidR="00EF18DC" w:rsidRPr="00EF18DC" w:rsidRDefault="00EF18DC" w:rsidP="009C7842">
          <w:pPr>
            <w:pStyle w:val="TOCHeading"/>
            <w:spacing w:line="360" w:lineRule="auto"/>
            <w:rPr>
              <w:rFonts w:ascii="Times New Roman" w:hAnsi="Times New Roman" w:cs="Times New Roman"/>
              <w:b/>
              <w:bCs/>
              <w:color w:val="auto"/>
              <w:sz w:val="24"/>
              <w:szCs w:val="24"/>
            </w:rPr>
          </w:pPr>
          <w:r w:rsidRPr="00EF18DC">
            <w:rPr>
              <w:rFonts w:ascii="Times New Roman" w:hAnsi="Times New Roman" w:cs="Times New Roman"/>
              <w:b/>
              <w:bCs/>
              <w:color w:val="auto"/>
              <w:sz w:val="24"/>
              <w:szCs w:val="24"/>
            </w:rPr>
            <w:t>Table of Contents</w:t>
          </w:r>
        </w:p>
        <w:p w14:paraId="1724D81E" w14:textId="1938511A" w:rsidR="00EF18DC" w:rsidRPr="00EF18DC" w:rsidRDefault="00EF18DC" w:rsidP="009C7842">
          <w:pPr>
            <w:pStyle w:val="TOC1"/>
            <w:tabs>
              <w:tab w:val="right" w:leader="dot" w:pos="9350"/>
            </w:tabs>
            <w:spacing w:line="360" w:lineRule="auto"/>
            <w:rPr>
              <w:rFonts w:ascii="Times New Roman" w:hAnsi="Times New Roman" w:cs="Times New Roman"/>
              <w:noProof/>
              <w:sz w:val="24"/>
              <w:szCs w:val="24"/>
            </w:rPr>
          </w:pPr>
          <w:r w:rsidRPr="00EF18DC">
            <w:rPr>
              <w:rFonts w:ascii="Times New Roman" w:hAnsi="Times New Roman" w:cs="Times New Roman"/>
              <w:sz w:val="24"/>
              <w:szCs w:val="24"/>
            </w:rPr>
            <w:fldChar w:fldCharType="begin"/>
          </w:r>
          <w:r w:rsidRPr="00EF18DC">
            <w:rPr>
              <w:rFonts w:ascii="Times New Roman" w:hAnsi="Times New Roman" w:cs="Times New Roman"/>
              <w:sz w:val="24"/>
              <w:szCs w:val="24"/>
            </w:rPr>
            <w:instrText xml:space="preserve"> TOC \o "1-3" \h \z \u </w:instrText>
          </w:r>
          <w:r w:rsidRPr="00EF18DC">
            <w:rPr>
              <w:rFonts w:ascii="Times New Roman" w:hAnsi="Times New Roman" w:cs="Times New Roman"/>
              <w:sz w:val="24"/>
              <w:szCs w:val="24"/>
            </w:rPr>
            <w:fldChar w:fldCharType="separate"/>
          </w:r>
          <w:hyperlink w:anchor="_Toc120725991" w:history="1">
            <w:r w:rsidRPr="00EF18DC">
              <w:rPr>
                <w:rStyle w:val="Hyperlink"/>
                <w:rFonts w:ascii="Times New Roman" w:hAnsi="Times New Roman" w:cs="Times New Roman"/>
                <w:noProof/>
                <w:color w:val="auto"/>
                <w:sz w:val="24"/>
                <w:szCs w:val="24"/>
              </w:rPr>
              <w:t>Assessment component 1</w:t>
            </w:r>
            <w:r w:rsidRPr="00EF18DC">
              <w:rPr>
                <w:rFonts w:ascii="Times New Roman" w:hAnsi="Times New Roman" w:cs="Times New Roman"/>
                <w:noProof/>
                <w:webHidden/>
                <w:sz w:val="24"/>
                <w:szCs w:val="24"/>
              </w:rPr>
              <w:tab/>
            </w:r>
            <w:r w:rsidRPr="00EF18DC">
              <w:rPr>
                <w:rFonts w:ascii="Times New Roman" w:hAnsi="Times New Roman" w:cs="Times New Roman"/>
                <w:noProof/>
                <w:webHidden/>
                <w:sz w:val="24"/>
                <w:szCs w:val="24"/>
              </w:rPr>
              <w:fldChar w:fldCharType="begin"/>
            </w:r>
            <w:r w:rsidRPr="00EF18DC">
              <w:rPr>
                <w:rFonts w:ascii="Times New Roman" w:hAnsi="Times New Roman" w:cs="Times New Roman"/>
                <w:noProof/>
                <w:webHidden/>
                <w:sz w:val="24"/>
                <w:szCs w:val="24"/>
              </w:rPr>
              <w:instrText xml:space="preserve"> PAGEREF _Toc120725991 \h </w:instrText>
            </w:r>
            <w:r w:rsidRPr="00EF18DC">
              <w:rPr>
                <w:rFonts w:ascii="Times New Roman" w:hAnsi="Times New Roman" w:cs="Times New Roman"/>
                <w:noProof/>
                <w:webHidden/>
                <w:sz w:val="24"/>
                <w:szCs w:val="24"/>
              </w:rPr>
            </w:r>
            <w:r w:rsidRPr="00EF18DC">
              <w:rPr>
                <w:rFonts w:ascii="Times New Roman" w:hAnsi="Times New Roman" w:cs="Times New Roman"/>
                <w:noProof/>
                <w:webHidden/>
                <w:sz w:val="24"/>
                <w:szCs w:val="24"/>
              </w:rPr>
              <w:fldChar w:fldCharType="separate"/>
            </w:r>
            <w:r w:rsidRPr="00EF18DC">
              <w:rPr>
                <w:rFonts w:ascii="Times New Roman" w:hAnsi="Times New Roman" w:cs="Times New Roman"/>
                <w:noProof/>
                <w:webHidden/>
                <w:sz w:val="24"/>
                <w:szCs w:val="24"/>
              </w:rPr>
              <w:t>3</w:t>
            </w:r>
            <w:r w:rsidRPr="00EF18DC">
              <w:rPr>
                <w:rFonts w:ascii="Times New Roman" w:hAnsi="Times New Roman" w:cs="Times New Roman"/>
                <w:noProof/>
                <w:webHidden/>
                <w:sz w:val="24"/>
                <w:szCs w:val="24"/>
              </w:rPr>
              <w:fldChar w:fldCharType="end"/>
            </w:r>
          </w:hyperlink>
        </w:p>
        <w:p w14:paraId="7B83A4C0" w14:textId="5E165A9B"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2" w:history="1">
            <w:r w:rsidR="00EF18DC" w:rsidRPr="00EF18DC">
              <w:rPr>
                <w:rStyle w:val="Hyperlink"/>
                <w:rFonts w:ascii="Times New Roman" w:hAnsi="Times New Roman" w:cs="Times New Roman"/>
                <w:noProof/>
                <w:color w:val="auto"/>
                <w:sz w:val="24"/>
                <w:szCs w:val="24"/>
              </w:rPr>
              <w:t>Introduction</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_Toc120725992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3</w:t>
            </w:r>
            <w:r w:rsidR="00EF18DC" w:rsidRPr="00EF18DC">
              <w:rPr>
                <w:rFonts w:ascii="Times New Roman" w:hAnsi="Times New Roman" w:cs="Times New Roman"/>
                <w:noProof/>
                <w:webHidden/>
                <w:sz w:val="24"/>
                <w:szCs w:val="24"/>
              </w:rPr>
              <w:fldChar w:fldCharType="end"/>
            </w:r>
          </w:hyperlink>
        </w:p>
        <w:p w14:paraId="04546040" w14:textId="7BE1E83B"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3" w:history="1">
            <w:r w:rsidR="00EF18DC" w:rsidRPr="00EF18DC">
              <w:rPr>
                <w:rStyle w:val="Hyperlink"/>
                <w:rFonts w:ascii="Times New Roman" w:hAnsi="Times New Roman" w:cs="Times New Roman"/>
                <w:noProof/>
                <w:color w:val="auto"/>
                <w:sz w:val="24"/>
                <w:szCs w:val="24"/>
              </w:rPr>
              <w:t>Describe the project and analyse the best practices within the report</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_Toc120725993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3</w:t>
            </w:r>
            <w:r w:rsidR="00EF18DC" w:rsidRPr="00EF18DC">
              <w:rPr>
                <w:rFonts w:ascii="Times New Roman" w:hAnsi="Times New Roman" w:cs="Times New Roman"/>
                <w:noProof/>
                <w:webHidden/>
                <w:sz w:val="24"/>
                <w:szCs w:val="24"/>
              </w:rPr>
              <w:fldChar w:fldCharType="end"/>
            </w:r>
          </w:hyperlink>
        </w:p>
        <w:p w14:paraId="33FD2C86" w14:textId="761C0C05"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4" w:history="1">
            <w:r w:rsidR="00EF18DC" w:rsidRPr="00EF18DC">
              <w:rPr>
                <w:rStyle w:val="Hyperlink"/>
                <w:rFonts w:ascii="Times New Roman" w:hAnsi="Times New Roman" w:cs="Times New Roman"/>
                <w:noProof/>
                <w:color w:val="auto"/>
                <w:sz w:val="24"/>
                <w:szCs w:val="24"/>
              </w:rPr>
              <w:t>Community engagement principles</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_Toc120725994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4</w:t>
            </w:r>
            <w:r w:rsidR="00EF18DC" w:rsidRPr="00EF18DC">
              <w:rPr>
                <w:rFonts w:ascii="Times New Roman" w:hAnsi="Times New Roman" w:cs="Times New Roman"/>
                <w:noProof/>
                <w:webHidden/>
                <w:sz w:val="24"/>
                <w:szCs w:val="24"/>
              </w:rPr>
              <w:fldChar w:fldCharType="end"/>
            </w:r>
          </w:hyperlink>
        </w:p>
        <w:p w14:paraId="12A1F024" w14:textId="2F7E8FC2"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5" w:history="1">
            <w:r w:rsidR="00EF18DC" w:rsidRPr="00EF18DC">
              <w:rPr>
                <w:rStyle w:val="Hyperlink"/>
                <w:rFonts w:ascii="Times New Roman" w:hAnsi="Times New Roman" w:cs="Times New Roman"/>
                <w:noProof/>
                <w:color w:val="auto"/>
                <w:sz w:val="24"/>
                <w:szCs w:val="24"/>
              </w:rPr>
              <w:t>Community engagement standards</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_Toc120725995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5</w:t>
            </w:r>
            <w:r w:rsidR="00EF18DC" w:rsidRPr="00EF18DC">
              <w:rPr>
                <w:rFonts w:ascii="Times New Roman" w:hAnsi="Times New Roman" w:cs="Times New Roman"/>
                <w:noProof/>
                <w:webHidden/>
                <w:sz w:val="24"/>
                <w:szCs w:val="24"/>
              </w:rPr>
              <w:fldChar w:fldCharType="end"/>
            </w:r>
          </w:hyperlink>
        </w:p>
        <w:p w14:paraId="69865849" w14:textId="3EED9DE7"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6" w:history="1">
            <w:r w:rsidR="00EF18DC" w:rsidRPr="00EF18DC">
              <w:rPr>
                <w:rStyle w:val="Hyperlink"/>
                <w:rFonts w:ascii="Times New Roman" w:hAnsi="Times New Roman" w:cs="Times New Roman"/>
                <w:noProof/>
                <w:color w:val="auto"/>
                <w:sz w:val="24"/>
                <w:szCs w:val="24"/>
              </w:rPr>
              <w:t>Stakeholders’ participation</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_Toc120725996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6</w:t>
            </w:r>
            <w:r w:rsidR="00EF18DC" w:rsidRPr="00EF18DC">
              <w:rPr>
                <w:rFonts w:ascii="Times New Roman" w:hAnsi="Times New Roman" w:cs="Times New Roman"/>
                <w:noProof/>
                <w:webHidden/>
                <w:sz w:val="24"/>
                <w:szCs w:val="24"/>
              </w:rPr>
              <w:fldChar w:fldCharType="end"/>
            </w:r>
          </w:hyperlink>
        </w:p>
        <w:p w14:paraId="61F5E619" w14:textId="5105F554"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7" w:history="1">
            <w:r w:rsidR="00EF18DC" w:rsidRPr="00EF18DC">
              <w:rPr>
                <w:rStyle w:val="Hyperlink"/>
                <w:rFonts w:ascii="Times New Roman" w:hAnsi="Times New Roman" w:cs="Times New Roman"/>
                <w:noProof/>
                <w:color w:val="auto"/>
                <w:sz w:val="24"/>
                <w:szCs w:val="24"/>
              </w:rPr>
              <w:t>Different social media platforms to support the project</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_Toc120725997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7</w:t>
            </w:r>
            <w:r w:rsidR="00EF18DC" w:rsidRPr="00EF18DC">
              <w:rPr>
                <w:rFonts w:ascii="Times New Roman" w:hAnsi="Times New Roman" w:cs="Times New Roman"/>
                <w:noProof/>
                <w:webHidden/>
                <w:sz w:val="24"/>
                <w:szCs w:val="24"/>
              </w:rPr>
              <w:fldChar w:fldCharType="end"/>
            </w:r>
          </w:hyperlink>
        </w:p>
        <w:p w14:paraId="31893768" w14:textId="4A1671EC"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8" w:history="1">
            <w:r w:rsidR="00EF18DC" w:rsidRPr="00EF18DC">
              <w:rPr>
                <w:rStyle w:val="Hyperlink"/>
                <w:rFonts w:ascii="Times New Roman" w:hAnsi="Times New Roman" w:cs="Times New Roman"/>
                <w:noProof/>
                <w:color w:val="auto"/>
                <w:sz w:val="24"/>
                <w:szCs w:val="24"/>
              </w:rPr>
              <w:t>Traditional social networking sites</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_Toc120725998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8</w:t>
            </w:r>
            <w:r w:rsidR="00EF18DC" w:rsidRPr="00EF18DC">
              <w:rPr>
                <w:rFonts w:ascii="Times New Roman" w:hAnsi="Times New Roman" w:cs="Times New Roman"/>
                <w:noProof/>
                <w:webHidden/>
                <w:sz w:val="24"/>
                <w:szCs w:val="24"/>
              </w:rPr>
              <w:fldChar w:fldCharType="end"/>
            </w:r>
          </w:hyperlink>
        </w:p>
        <w:p w14:paraId="781F60F4" w14:textId="09BDF118"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5999" w:history="1">
            <w:r w:rsidR="00EF18DC" w:rsidRPr="00EF18DC">
              <w:rPr>
                <w:rStyle w:val="Hyperlink"/>
                <w:rFonts w:ascii="Times New Roman" w:hAnsi="Times New Roman" w:cs="Times New Roman"/>
                <w:noProof/>
                <w:color w:val="auto"/>
                <w:sz w:val="24"/>
                <w:szCs w:val="24"/>
              </w:rPr>
              <w:t>Reach the target audience through advertisement</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_Toc120725999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8</w:t>
            </w:r>
            <w:r w:rsidR="00EF18DC" w:rsidRPr="00EF18DC">
              <w:rPr>
                <w:rFonts w:ascii="Times New Roman" w:hAnsi="Times New Roman" w:cs="Times New Roman"/>
                <w:noProof/>
                <w:webHidden/>
                <w:sz w:val="24"/>
                <w:szCs w:val="24"/>
              </w:rPr>
              <w:fldChar w:fldCharType="end"/>
            </w:r>
          </w:hyperlink>
        </w:p>
        <w:p w14:paraId="66D7581D" w14:textId="6DAFFF13"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6000" w:history="1">
            <w:r w:rsidR="00EF18DC" w:rsidRPr="00EF18DC">
              <w:rPr>
                <w:rStyle w:val="Hyperlink"/>
                <w:rFonts w:ascii="Times New Roman" w:hAnsi="Times New Roman" w:cs="Times New Roman"/>
                <w:noProof/>
                <w:color w:val="auto"/>
                <w:sz w:val="24"/>
                <w:szCs w:val="24"/>
              </w:rPr>
              <w:t>Different ways for promoting community participation</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_Toc120726000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8</w:t>
            </w:r>
            <w:r w:rsidR="00EF18DC" w:rsidRPr="00EF18DC">
              <w:rPr>
                <w:rFonts w:ascii="Times New Roman" w:hAnsi="Times New Roman" w:cs="Times New Roman"/>
                <w:noProof/>
                <w:webHidden/>
                <w:sz w:val="24"/>
                <w:szCs w:val="24"/>
              </w:rPr>
              <w:fldChar w:fldCharType="end"/>
            </w:r>
          </w:hyperlink>
        </w:p>
        <w:p w14:paraId="6E5C4AE4" w14:textId="13A13FB7"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6001" w:history="1">
            <w:r w:rsidR="00EF18DC" w:rsidRPr="00EF18DC">
              <w:rPr>
                <w:rStyle w:val="Hyperlink"/>
                <w:rFonts w:ascii="Times New Roman" w:hAnsi="Times New Roman" w:cs="Times New Roman"/>
                <w:noProof/>
                <w:color w:val="auto"/>
                <w:sz w:val="24"/>
                <w:szCs w:val="24"/>
              </w:rPr>
              <w:t>Importance of undertaking a forward-looking approach in the project</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_Toc120726001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9</w:t>
            </w:r>
            <w:r w:rsidR="00EF18DC" w:rsidRPr="00EF18DC">
              <w:rPr>
                <w:rFonts w:ascii="Times New Roman" w:hAnsi="Times New Roman" w:cs="Times New Roman"/>
                <w:noProof/>
                <w:webHidden/>
                <w:sz w:val="24"/>
                <w:szCs w:val="24"/>
              </w:rPr>
              <w:fldChar w:fldCharType="end"/>
            </w:r>
          </w:hyperlink>
        </w:p>
        <w:p w14:paraId="65B1FE6B" w14:textId="52A30864" w:rsidR="00EF18DC" w:rsidRPr="00EF18DC" w:rsidRDefault="00000000" w:rsidP="009C7842">
          <w:pPr>
            <w:pStyle w:val="TOC2"/>
            <w:tabs>
              <w:tab w:val="right" w:leader="dot" w:pos="9350"/>
            </w:tabs>
            <w:spacing w:line="360" w:lineRule="auto"/>
            <w:rPr>
              <w:rFonts w:ascii="Times New Roman" w:hAnsi="Times New Roman" w:cs="Times New Roman"/>
              <w:noProof/>
              <w:sz w:val="24"/>
              <w:szCs w:val="24"/>
            </w:rPr>
          </w:pPr>
          <w:hyperlink w:anchor="_Toc120726002" w:history="1">
            <w:r w:rsidR="00EF18DC" w:rsidRPr="00EF18DC">
              <w:rPr>
                <w:rStyle w:val="Hyperlink"/>
                <w:rFonts w:ascii="Times New Roman" w:hAnsi="Times New Roman" w:cs="Times New Roman"/>
                <w:noProof/>
                <w:color w:val="auto"/>
                <w:sz w:val="24"/>
                <w:szCs w:val="24"/>
              </w:rPr>
              <w:t>Conclusion</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_Toc120726002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10</w:t>
            </w:r>
            <w:r w:rsidR="00EF18DC" w:rsidRPr="00EF18DC">
              <w:rPr>
                <w:rFonts w:ascii="Times New Roman" w:hAnsi="Times New Roman" w:cs="Times New Roman"/>
                <w:noProof/>
                <w:webHidden/>
                <w:sz w:val="24"/>
                <w:szCs w:val="24"/>
              </w:rPr>
              <w:fldChar w:fldCharType="end"/>
            </w:r>
          </w:hyperlink>
        </w:p>
        <w:p w14:paraId="787A36CB" w14:textId="5040AF60" w:rsidR="00EF18DC" w:rsidRPr="00EF18DC" w:rsidRDefault="00000000" w:rsidP="009C7842">
          <w:pPr>
            <w:pStyle w:val="TOC1"/>
            <w:tabs>
              <w:tab w:val="right" w:leader="dot" w:pos="9350"/>
            </w:tabs>
            <w:spacing w:line="360" w:lineRule="auto"/>
            <w:rPr>
              <w:rFonts w:ascii="Times New Roman" w:hAnsi="Times New Roman" w:cs="Times New Roman"/>
              <w:noProof/>
              <w:sz w:val="24"/>
              <w:szCs w:val="24"/>
            </w:rPr>
          </w:pPr>
          <w:hyperlink w:anchor="_Toc120726003" w:history="1">
            <w:r w:rsidR="00EF18DC" w:rsidRPr="00EF18DC">
              <w:rPr>
                <w:rStyle w:val="Hyperlink"/>
                <w:rFonts w:ascii="Times New Roman" w:hAnsi="Times New Roman" w:cs="Times New Roman"/>
                <w:noProof/>
                <w:color w:val="auto"/>
                <w:sz w:val="24"/>
                <w:szCs w:val="24"/>
                <w:lang w:val="en-US"/>
              </w:rPr>
              <w:t>References:</w:t>
            </w:r>
            <w:r w:rsidR="00EF18DC" w:rsidRPr="00EF18DC">
              <w:rPr>
                <w:rFonts w:ascii="Times New Roman" w:hAnsi="Times New Roman" w:cs="Times New Roman"/>
                <w:noProof/>
                <w:webHidden/>
                <w:sz w:val="24"/>
                <w:szCs w:val="24"/>
              </w:rPr>
              <w:tab/>
            </w:r>
            <w:r w:rsidR="00EF18DC" w:rsidRPr="00EF18DC">
              <w:rPr>
                <w:rFonts w:ascii="Times New Roman" w:hAnsi="Times New Roman" w:cs="Times New Roman"/>
                <w:noProof/>
                <w:webHidden/>
                <w:sz w:val="24"/>
                <w:szCs w:val="24"/>
              </w:rPr>
              <w:fldChar w:fldCharType="begin"/>
            </w:r>
            <w:r w:rsidR="00EF18DC" w:rsidRPr="00EF18DC">
              <w:rPr>
                <w:rFonts w:ascii="Times New Roman" w:hAnsi="Times New Roman" w:cs="Times New Roman"/>
                <w:noProof/>
                <w:webHidden/>
                <w:sz w:val="24"/>
                <w:szCs w:val="24"/>
              </w:rPr>
              <w:instrText xml:space="preserve"> PAGEREF _Toc120726003 \h </w:instrText>
            </w:r>
            <w:r w:rsidR="00EF18DC" w:rsidRPr="00EF18DC">
              <w:rPr>
                <w:rFonts w:ascii="Times New Roman" w:hAnsi="Times New Roman" w:cs="Times New Roman"/>
                <w:noProof/>
                <w:webHidden/>
                <w:sz w:val="24"/>
                <w:szCs w:val="24"/>
              </w:rPr>
            </w:r>
            <w:r w:rsidR="00EF18DC" w:rsidRPr="00EF18DC">
              <w:rPr>
                <w:rFonts w:ascii="Times New Roman" w:hAnsi="Times New Roman" w:cs="Times New Roman"/>
                <w:noProof/>
                <w:webHidden/>
                <w:sz w:val="24"/>
                <w:szCs w:val="24"/>
              </w:rPr>
              <w:fldChar w:fldCharType="separate"/>
            </w:r>
            <w:r w:rsidR="00EF18DC" w:rsidRPr="00EF18DC">
              <w:rPr>
                <w:rFonts w:ascii="Times New Roman" w:hAnsi="Times New Roman" w:cs="Times New Roman"/>
                <w:noProof/>
                <w:webHidden/>
                <w:sz w:val="24"/>
                <w:szCs w:val="24"/>
              </w:rPr>
              <w:t>11</w:t>
            </w:r>
            <w:r w:rsidR="00EF18DC" w:rsidRPr="00EF18DC">
              <w:rPr>
                <w:rFonts w:ascii="Times New Roman" w:hAnsi="Times New Roman" w:cs="Times New Roman"/>
                <w:noProof/>
                <w:webHidden/>
                <w:sz w:val="24"/>
                <w:szCs w:val="24"/>
              </w:rPr>
              <w:fldChar w:fldCharType="end"/>
            </w:r>
          </w:hyperlink>
        </w:p>
        <w:p w14:paraId="039D3113" w14:textId="5C94DC4D" w:rsidR="00EF18DC" w:rsidRPr="00EF18DC" w:rsidRDefault="00EF18DC" w:rsidP="009C7842">
          <w:pPr>
            <w:spacing w:line="360" w:lineRule="auto"/>
            <w:rPr>
              <w:rFonts w:ascii="Times New Roman" w:hAnsi="Times New Roman" w:cs="Times New Roman"/>
              <w:sz w:val="24"/>
              <w:szCs w:val="24"/>
            </w:rPr>
          </w:pPr>
          <w:r w:rsidRPr="00EF18DC">
            <w:rPr>
              <w:rFonts w:ascii="Times New Roman" w:hAnsi="Times New Roman" w:cs="Times New Roman"/>
              <w:b/>
              <w:bCs/>
              <w:noProof/>
              <w:sz w:val="24"/>
              <w:szCs w:val="24"/>
            </w:rPr>
            <w:fldChar w:fldCharType="end"/>
          </w:r>
        </w:p>
      </w:sdtContent>
    </w:sdt>
    <w:p w14:paraId="2E93A4DA" w14:textId="77777777" w:rsidR="00EF18DC" w:rsidRPr="00EF18DC" w:rsidRDefault="00EF18DC" w:rsidP="009C7842">
      <w:pPr>
        <w:spacing w:line="360" w:lineRule="auto"/>
        <w:rPr>
          <w:rFonts w:ascii="Times New Roman" w:hAnsi="Times New Roman" w:cs="Times New Roman"/>
          <w:b/>
          <w:bCs/>
          <w:sz w:val="24"/>
          <w:szCs w:val="24"/>
          <w:lang w:val="en-US"/>
        </w:rPr>
      </w:pPr>
      <w:r w:rsidRPr="00EF18DC">
        <w:rPr>
          <w:rFonts w:ascii="Times New Roman" w:hAnsi="Times New Roman" w:cs="Times New Roman"/>
          <w:b/>
          <w:bCs/>
          <w:sz w:val="24"/>
          <w:szCs w:val="24"/>
          <w:lang w:val="en-US"/>
        </w:rPr>
        <w:br w:type="page"/>
      </w:r>
    </w:p>
    <w:p w14:paraId="59DA51F7" w14:textId="77777777" w:rsidR="00EF18DC" w:rsidRPr="00EF18DC" w:rsidRDefault="00EF18DC" w:rsidP="009C7842">
      <w:pPr>
        <w:pStyle w:val="Heading1"/>
        <w:spacing w:line="360" w:lineRule="auto"/>
        <w:jc w:val="both"/>
        <w:rPr>
          <w:rFonts w:ascii="Times New Roman" w:hAnsi="Times New Roman" w:cs="Times New Roman"/>
          <w:b/>
          <w:bCs/>
          <w:color w:val="auto"/>
          <w:sz w:val="24"/>
          <w:szCs w:val="24"/>
        </w:rPr>
      </w:pPr>
      <w:bookmarkStart w:id="0" w:name="_Toc120725991"/>
      <w:r w:rsidRPr="00EF18DC">
        <w:rPr>
          <w:rFonts w:ascii="Times New Roman" w:hAnsi="Times New Roman" w:cs="Times New Roman"/>
          <w:b/>
          <w:bCs/>
          <w:color w:val="auto"/>
          <w:sz w:val="24"/>
          <w:szCs w:val="24"/>
        </w:rPr>
        <w:t>Assessment component 1</w:t>
      </w:r>
      <w:bookmarkEnd w:id="0"/>
    </w:p>
    <w:p w14:paraId="27875A62"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1" w:name="_Toc120725992"/>
      <w:r w:rsidRPr="00EF18DC">
        <w:rPr>
          <w:rFonts w:ascii="Times New Roman" w:hAnsi="Times New Roman" w:cs="Times New Roman"/>
          <w:b/>
          <w:bCs/>
          <w:color w:val="auto"/>
          <w:sz w:val="24"/>
          <w:szCs w:val="24"/>
        </w:rPr>
        <w:t>Introduction</w:t>
      </w:r>
      <w:bookmarkEnd w:id="1"/>
    </w:p>
    <w:p w14:paraId="0EA3196D"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The entire project work is responsible for elaborating as well as illustrating a particular understanding with respect to community engagement. The report is responsible for elaborating a series of advantages, which can be properly gained by the concern of an individual. The individuals are also responsible to submitted reports as the community engagement practice on the recent commonwealth game that was held in Birmingham. The individual also availability how the local community conducted community engagement as well as identified the areas that were most active and discussed the approaches that were adopted properly. </w:t>
      </w:r>
    </w:p>
    <w:p w14:paraId="22132A70"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The individual is also responsible to describe the project and analyse the best practices that include community engagement principles as well as shareholders' participation in the commonwealth game. Reflect upon the relevant avenues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promote community participation, inclusion as well as diversity in order to enable socio-cultural integration along with multi-culturalism.  </w:t>
      </w:r>
    </w:p>
    <w:p w14:paraId="544FDB3C"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2" w:name="_Toc120725993"/>
      <w:r w:rsidRPr="00EF18DC">
        <w:rPr>
          <w:rFonts w:ascii="Times New Roman" w:hAnsi="Times New Roman" w:cs="Times New Roman"/>
          <w:b/>
          <w:bCs/>
          <w:color w:val="auto"/>
          <w:sz w:val="24"/>
          <w:szCs w:val="24"/>
        </w:rPr>
        <w:t>Describe the project and analyse the best practices within the report</w:t>
      </w:r>
      <w:bookmarkEnd w:id="2"/>
    </w:p>
    <w:p w14:paraId="169A70C1" w14:textId="45370651"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Community engagement is demonstrated as the strategic procedure, which also has the particular purpose of working with the identified groups of individuals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identify had addressed the groups of individuals. Various kinds of projects that lead to providing service or product to the individual, community as well as group are stated to be reflected as the community engagement prospect. For example, community engagement consists of filling a volunteer shift within the local organisation as well as creating social media tools for the organisation </w:t>
      </w:r>
      <w:r w:rsidRPr="00EF18DC">
        <w:rPr>
          <w:rFonts w:ascii="Times New Roman" w:hAnsi="Times New Roman" w:cs="Times New Roman"/>
          <w:sz w:val="24"/>
          <w:szCs w:val="24"/>
          <w:shd w:val="clear" w:color="auto" w:fill="FFFFFF"/>
        </w:rPr>
        <w:t>(Campbell-</w:t>
      </w:r>
      <w:proofErr w:type="spellStart"/>
      <w:r w:rsidRPr="00EF18DC">
        <w:rPr>
          <w:rFonts w:ascii="Times New Roman" w:hAnsi="Times New Roman" w:cs="Times New Roman"/>
          <w:sz w:val="24"/>
          <w:szCs w:val="24"/>
          <w:shd w:val="clear" w:color="auto" w:fill="FFFFFF"/>
        </w:rPr>
        <w:t>Arvai</w:t>
      </w:r>
      <w:proofErr w:type="spellEnd"/>
      <w:r w:rsidRPr="00EF18DC">
        <w:rPr>
          <w:rFonts w:ascii="Times New Roman" w:hAnsi="Times New Roman" w:cs="Times New Roman"/>
          <w:sz w:val="24"/>
          <w:szCs w:val="24"/>
          <w:shd w:val="clear" w:color="auto" w:fill="FFFFFF"/>
        </w:rPr>
        <w:t xml:space="preserve"> and Lindquist, 2021)</w:t>
      </w:r>
      <w:r w:rsidRPr="00EF18DC">
        <w:rPr>
          <w:rFonts w:ascii="Times New Roman" w:hAnsi="Times New Roman" w:cs="Times New Roman"/>
          <w:sz w:val="24"/>
          <w:szCs w:val="24"/>
        </w:rPr>
        <w:t xml:space="preserve">. The prospect of community engagement is also responsible to look upon the engaging community for achieving sustainable outcomes as well as creating trust between the government organisation along with the communities. Community engagement also ensures that community members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access and provide value to the social setting and activities </w:t>
      </w:r>
      <w:r w:rsidRPr="00EF18DC">
        <w:rPr>
          <w:rFonts w:ascii="Times New Roman" w:hAnsi="Times New Roman" w:cs="Times New Roman"/>
          <w:sz w:val="24"/>
          <w:szCs w:val="24"/>
          <w:shd w:val="clear" w:color="auto" w:fill="FFFFFF"/>
        </w:rPr>
        <w:t>(Tembo et al., 2021)</w:t>
      </w:r>
      <w:r w:rsidRPr="00EF18DC">
        <w:rPr>
          <w:rFonts w:ascii="Times New Roman" w:hAnsi="Times New Roman" w:cs="Times New Roman"/>
          <w:sz w:val="24"/>
          <w:szCs w:val="24"/>
        </w:rPr>
        <w:t xml:space="preserve">. They are also responsible to develop function capabilities that enable them to participate to a full extent. </w:t>
      </w:r>
    </w:p>
    <w:p w14:paraId="3DE45B6E" w14:textId="1C6626A5"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Community engagement is demonstrated to be the elaborative procedure, which properly focuses on the major performance of work operations in a collaborative way by involving a group of people. The author also addresses it as a powerful vehicle, which is responsible to assist in bringing behavioural as well as environmental changes and its plays a beneficial role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enhance the engagement of the members as well as the local and regional community. In a similar context, the author is also able to address that community engagement is the strategic process that has the major purpose of working with the identified group of people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Croeser</w:t>
      </w:r>
      <w:proofErr w:type="spellEnd"/>
      <w:r w:rsidRPr="00EF18DC">
        <w:rPr>
          <w:rFonts w:ascii="Times New Roman" w:hAnsi="Times New Roman" w:cs="Times New Roman"/>
          <w:sz w:val="24"/>
          <w:szCs w:val="24"/>
          <w:shd w:val="clear" w:color="auto" w:fill="FFFFFF"/>
        </w:rPr>
        <w:t xml:space="preserve"> et al., 2021)</w:t>
      </w:r>
      <w:r w:rsidRPr="00EF18DC">
        <w:rPr>
          <w:rFonts w:ascii="Times New Roman" w:hAnsi="Times New Roman" w:cs="Times New Roman"/>
          <w:sz w:val="24"/>
          <w:szCs w:val="24"/>
        </w:rPr>
        <w:t xml:space="preserve">. </w:t>
      </w:r>
    </w:p>
    <w:p w14:paraId="7C945117"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3" w:name="_Toc120725994"/>
      <w:r w:rsidRPr="00EF18DC">
        <w:rPr>
          <w:rFonts w:ascii="Times New Roman" w:hAnsi="Times New Roman" w:cs="Times New Roman"/>
          <w:b/>
          <w:bCs/>
          <w:color w:val="auto"/>
          <w:sz w:val="24"/>
          <w:szCs w:val="24"/>
        </w:rPr>
        <w:t>Community engagement principles</w:t>
      </w:r>
      <w:bookmarkEnd w:id="3"/>
    </w:p>
    <w:p w14:paraId="60F7E028" w14:textId="77777777" w:rsidR="00EF18DC" w:rsidRPr="00EF18DC" w:rsidRDefault="00EF18DC" w:rsidP="009C7842">
      <w:pPr>
        <w:spacing w:line="360" w:lineRule="auto"/>
        <w:jc w:val="both"/>
        <w:rPr>
          <w:rFonts w:ascii="Times New Roman" w:hAnsi="Times New Roman" w:cs="Times New Roman"/>
          <w:sz w:val="24"/>
          <w:szCs w:val="24"/>
        </w:rPr>
      </w:pP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reflect upon the recent commonwealth game, it is also demonstrated that the community engagement practitioner is able to reflect upon the major principles of community engagement. The principles of community engagement are demonstrated below:</w:t>
      </w:r>
    </w:p>
    <w:p w14:paraId="205F41AA"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Understand the community</w:t>
      </w:r>
    </w:p>
    <w:p w14:paraId="0166D627" w14:textId="4F3E26FF"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For properly driving engagement, the individual is responsible to understand the members and their engagement within the community. The stakeholders are also responsible to research the customer base as well as working in a cross-functional way with the entities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learn about the established customer personas </w:t>
      </w:r>
      <w:r w:rsidRPr="00EF18DC">
        <w:rPr>
          <w:rFonts w:ascii="Times New Roman" w:hAnsi="Times New Roman" w:cs="Times New Roman"/>
          <w:sz w:val="24"/>
          <w:szCs w:val="24"/>
          <w:shd w:val="clear" w:color="auto" w:fill="FFFFFF"/>
        </w:rPr>
        <w:t>(den Houting et al., 2021)</w:t>
      </w:r>
      <w:r w:rsidRPr="00EF18DC">
        <w:rPr>
          <w:rFonts w:ascii="Times New Roman" w:hAnsi="Times New Roman" w:cs="Times New Roman"/>
          <w:sz w:val="24"/>
          <w:szCs w:val="24"/>
        </w:rPr>
        <w:t xml:space="preserve">. Responsible to understand the members are based upon the community surveys as well as the individuals are responsible to learn about the job titles of the members and motivate them to join and participate properly. </w:t>
      </w:r>
    </w:p>
    <w:p w14:paraId="61323CE7"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Make it easy to participate</w:t>
      </w:r>
    </w:p>
    <w:p w14:paraId="5F576699" w14:textId="0005F905"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The brainstorming approaches are also used by the individuals within the commonwealth game for encouraging engagement to the local and regional individuals. It is also demonstrated that engaging in conversation should begin by genuinely offering the discussion from within the online community spaces. This type of prompt providing the members to answer different questions according to their expertise level. Different types of engagement opportunities do not have to be time intensive for the community as well as some of the members may not have time to participate in hour-long webinars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Tricarico</w:t>
      </w:r>
      <w:proofErr w:type="spellEnd"/>
      <w:r w:rsidRPr="00EF18DC">
        <w:rPr>
          <w:rFonts w:ascii="Times New Roman" w:hAnsi="Times New Roman" w:cs="Times New Roman"/>
          <w:sz w:val="24"/>
          <w:szCs w:val="24"/>
          <w:shd w:val="clear" w:color="auto" w:fill="FFFFFF"/>
        </w:rPr>
        <w:t>, 2021)</w:t>
      </w:r>
      <w:r w:rsidRPr="00EF18DC">
        <w:rPr>
          <w:rFonts w:ascii="Times New Roman" w:hAnsi="Times New Roman" w:cs="Times New Roman"/>
          <w:sz w:val="24"/>
          <w:szCs w:val="24"/>
        </w:rPr>
        <w:t xml:space="preserve">. On the other hand, it is also demonstrated that the </w:t>
      </w:r>
      <w:proofErr w:type="gramStart"/>
      <w:r w:rsidRPr="00EF18DC">
        <w:rPr>
          <w:rFonts w:ascii="Times New Roman" w:hAnsi="Times New Roman" w:cs="Times New Roman"/>
          <w:sz w:val="24"/>
          <w:szCs w:val="24"/>
        </w:rPr>
        <w:t>particular nature</w:t>
      </w:r>
      <w:proofErr w:type="gramEnd"/>
      <w:r w:rsidRPr="00EF18DC">
        <w:rPr>
          <w:rFonts w:ascii="Times New Roman" w:hAnsi="Times New Roman" w:cs="Times New Roman"/>
          <w:sz w:val="24"/>
          <w:szCs w:val="24"/>
        </w:rPr>
        <w:t xml:space="preserve"> of the community is also responsible to dictate the proper direction of the promise and the individual is responsible to increase the proper amount of vulnerability and time for increasing community engagement.</w:t>
      </w:r>
    </w:p>
    <w:p w14:paraId="3707EA7A"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Be consistent as well as thoughtful</w:t>
      </w:r>
    </w:p>
    <w:p w14:paraId="45BB1D91" w14:textId="0239A6C8"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A proper plan is also required for the individual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make an engagement. A content calendar is also </w:t>
      </w:r>
      <w:proofErr w:type="gramStart"/>
      <w:r w:rsidRPr="00EF18DC">
        <w:rPr>
          <w:rFonts w:ascii="Times New Roman" w:hAnsi="Times New Roman" w:cs="Times New Roman"/>
          <w:sz w:val="24"/>
          <w:szCs w:val="24"/>
        </w:rPr>
        <w:t>provided as well as crap</w:t>
      </w:r>
      <w:proofErr w:type="gramEnd"/>
      <w:r w:rsidRPr="00EF18DC">
        <w:rPr>
          <w:rFonts w:ascii="Times New Roman" w:hAnsi="Times New Roman" w:cs="Times New Roman"/>
          <w:sz w:val="24"/>
          <w:szCs w:val="24"/>
        </w:rPr>
        <w:t xml:space="preserve"> to reflect upon the engagement touchpoints. On the other hand, the plan is also responsible to measure and track the results and looking at the performance data behind the activities can be studied to be a great way for evaluating the prospect of working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Fancourt</w:t>
      </w:r>
      <w:proofErr w:type="spellEnd"/>
      <w:r w:rsidRPr="00EF18DC">
        <w:rPr>
          <w:rFonts w:ascii="Times New Roman" w:hAnsi="Times New Roman" w:cs="Times New Roman"/>
          <w:sz w:val="24"/>
          <w:szCs w:val="24"/>
          <w:shd w:val="clear" w:color="auto" w:fill="FFFFFF"/>
        </w:rPr>
        <w:t xml:space="preserve"> et al., 2021)</w:t>
      </w:r>
      <w:r w:rsidRPr="00EF18DC">
        <w:rPr>
          <w:rFonts w:ascii="Times New Roman" w:hAnsi="Times New Roman" w:cs="Times New Roman"/>
          <w:sz w:val="24"/>
          <w:szCs w:val="24"/>
        </w:rPr>
        <w:t xml:space="preserve">. Experimentation is also demonstrated to be part of community life and this kind of principle also helps to reflect upon the activities for the availability of the prospect in an appropriate manner within the platform of the commonwealth game. </w:t>
      </w:r>
    </w:p>
    <w:p w14:paraId="366A15F3"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4" w:name="_Toc120725995"/>
      <w:r w:rsidRPr="00EF18DC">
        <w:rPr>
          <w:rFonts w:ascii="Times New Roman" w:hAnsi="Times New Roman" w:cs="Times New Roman"/>
          <w:b/>
          <w:bCs/>
          <w:color w:val="auto"/>
          <w:sz w:val="24"/>
          <w:szCs w:val="24"/>
        </w:rPr>
        <w:t>Community engagement standards</w:t>
      </w:r>
      <w:bookmarkEnd w:id="4"/>
    </w:p>
    <w:p w14:paraId="1ED8CFB0"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The national standards for community engagement are demonstrated to be good practice principles, which are properly designed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enhance and guide the procedure of community engagement. Within the prospect of engaging the community at the commonwealth game, the individual is responsible to build and sustain the relationship between the public services as well as the community groups.</w:t>
      </w:r>
    </w:p>
    <w:p w14:paraId="7EA4668E" w14:textId="6502CE53"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The minimum quality standards as well as indicators in community engagement are responsible to provide globally established guidance at the time of contributing the community engagement in development practices. The major objectives of the standard are to genuinely support the implementation of high-quality as well as evidence-based community engagement for developing the humanitarian context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Kliskey</w:t>
      </w:r>
      <w:proofErr w:type="spellEnd"/>
      <w:r w:rsidRPr="00EF18DC">
        <w:rPr>
          <w:rFonts w:ascii="Times New Roman" w:hAnsi="Times New Roman" w:cs="Times New Roman"/>
          <w:sz w:val="24"/>
          <w:szCs w:val="24"/>
          <w:shd w:val="clear" w:color="auto" w:fill="FFFFFF"/>
        </w:rPr>
        <w:t xml:space="preserve"> et al., 2021)</w:t>
      </w:r>
      <w:r w:rsidRPr="00EF18DC">
        <w:rPr>
          <w:rFonts w:ascii="Times New Roman" w:hAnsi="Times New Roman" w:cs="Times New Roman"/>
          <w:sz w:val="24"/>
          <w:szCs w:val="24"/>
        </w:rPr>
        <w:t xml:space="preserve">. On the other hand, this type of standards also resulted from the wide range of consulting processes that begin in the year 2018 and it was built on recent practices as well as research. Community engagement is also demonstrated to be the technical approach that leads to directly involving the local populations in all prospects of decision-making as well as policy.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create a participatory approach, community engagement is responsible for strengthening the local capacities, local ownership as well as community structures for enhancing accountability, transparency as well as optimal resource allocations on behalf of diversified settings. </w:t>
      </w:r>
    </w:p>
    <w:p w14:paraId="03FF4AB4"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5" w:name="_Toc120725996"/>
      <w:r w:rsidRPr="00EF18DC">
        <w:rPr>
          <w:rFonts w:ascii="Times New Roman" w:hAnsi="Times New Roman" w:cs="Times New Roman"/>
          <w:b/>
          <w:bCs/>
          <w:color w:val="auto"/>
          <w:sz w:val="24"/>
          <w:szCs w:val="24"/>
        </w:rPr>
        <w:t>Stakeholders’ participation</w:t>
      </w:r>
      <w:bookmarkEnd w:id="5"/>
    </w:p>
    <w:p w14:paraId="73E18B44" w14:textId="63E5EDDB"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The commonwealth game in Birmingham is responsible to reflect upon their organising committee for providing operation and delivery as well as planning of the game. This also consists of Venue, competition management, sports program and many more. Different types of stakeholder engagement within the commonwealth game association of England include the majesty's government, Birmingham City council as well as the West Midlands combined authority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Larmar</w:t>
      </w:r>
      <w:proofErr w:type="spellEnd"/>
      <w:r w:rsidRPr="00EF18DC">
        <w:rPr>
          <w:rFonts w:ascii="Times New Roman" w:hAnsi="Times New Roman" w:cs="Times New Roman"/>
          <w:sz w:val="24"/>
          <w:szCs w:val="24"/>
          <w:shd w:val="clear" w:color="auto" w:fill="FFFFFF"/>
        </w:rPr>
        <w:t xml:space="preserve"> et al., 2021)</w:t>
      </w:r>
      <w:r w:rsidRPr="00EF18DC">
        <w:rPr>
          <w:rFonts w:ascii="Times New Roman" w:hAnsi="Times New Roman" w:cs="Times New Roman"/>
          <w:sz w:val="24"/>
          <w:szCs w:val="24"/>
        </w:rPr>
        <w:t xml:space="preserve">. The organising commit he was properly established for defining the purpose of organising the games as well as it is also working with all the games partners. </w:t>
      </w:r>
    </w:p>
    <w:p w14:paraId="2EA8B288" w14:textId="61F784ED"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The aspect of the sport properly underpinning to create a unique connection as well as a friendship among the stakeholders as well as the community. This is also responsible to bring together a third of the world's population as the citizens of 72 Nations and territories of the Commonwealth. It is also demonstrated that the commonwealth games federation properly took the global leadership role of uniting the commonwealth athletes, the community as well as citizens with the help of providing a transformer team and connecting the power of the sport. The commonwealth game federation is demonstrated to be the organisation that is responsible for providing a strategic direction for the commonwealth games </w:t>
      </w:r>
      <w:r w:rsidRPr="00EF18DC">
        <w:rPr>
          <w:rFonts w:ascii="Times New Roman" w:hAnsi="Times New Roman" w:cs="Times New Roman"/>
          <w:sz w:val="24"/>
          <w:szCs w:val="24"/>
          <w:shd w:val="clear" w:color="auto" w:fill="FFFFFF"/>
        </w:rPr>
        <w:t>(Murphy et al., 2021)</w:t>
      </w:r>
      <w:r w:rsidRPr="00EF18DC">
        <w:rPr>
          <w:rFonts w:ascii="Times New Roman" w:hAnsi="Times New Roman" w:cs="Times New Roman"/>
          <w:sz w:val="24"/>
          <w:szCs w:val="24"/>
        </w:rPr>
        <w:t xml:space="preserve">. The commonwealth game federation was established in 2017 as a joint venture between the commonwealth game federation that also seeks to genuinely identify sustainable as well as long-term commercial partnerships. The commonwealth games federation organisation is responsible for generating commercial income for the games with the help of corporate partnerships. The proper movement of the commonwealth game federation is responsible for developing its brand as well as enhancing the capabilities for revenue generation. </w:t>
      </w:r>
    </w:p>
    <w:p w14:paraId="18D5C494"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6" w:name="_Toc120725997"/>
      <w:r w:rsidRPr="00EF18DC">
        <w:rPr>
          <w:rFonts w:ascii="Times New Roman" w:hAnsi="Times New Roman" w:cs="Times New Roman"/>
          <w:b/>
          <w:bCs/>
          <w:color w:val="auto"/>
          <w:sz w:val="24"/>
          <w:szCs w:val="24"/>
        </w:rPr>
        <w:t>Different social media platforms to support the project</w:t>
      </w:r>
      <w:bookmarkEnd w:id="6"/>
    </w:p>
    <w:p w14:paraId="5BE32BF1" w14:textId="4C54997A"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Social media networking properly goes far beyond Twitter and Instagram. It is also demonstrated that a colossal social media network like Facebook is responsible to attract billions of people every day and it is a beneficial part of marketing strategy for most businesses. Social media sites like Facebook are responsible to represent one of the many types of social networking platforms. The commonwealth game federation limited is also responsible to engage the shareholders as well as the local and regional individuals properly by undertaking different types of social media platforms </w:t>
      </w:r>
      <w:r w:rsidRPr="00EF18DC">
        <w:rPr>
          <w:rFonts w:ascii="Times New Roman" w:hAnsi="Times New Roman" w:cs="Times New Roman"/>
          <w:sz w:val="24"/>
          <w:szCs w:val="24"/>
          <w:shd w:val="clear" w:color="auto" w:fill="FFFFFF"/>
        </w:rPr>
        <w:t>(Perrotta, 2021)</w:t>
      </w:r>
      <w:r w:rsidRPr="00EF18DC">
        <w:rPr>
          <w:rFonts w:ascii="Times New Roman" w:hAnsi="Times New Roman" w:cs="Times New Roman"/>
          <w:sz w:val="24"/>
          <w:szCs w:val="24"/>
        </w:rPr>
        <w:t xml:space="preserve">. </w:t>
      </w:r>
    </w:p>
    <w:p w14:paraId="3519B603"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7" w:name="_Toc120725998"/>
      <w:r w:rsidRPr="00EF18DC">
        <w:rPr>
          <w:rFonts w:ascii="Times New Roman" w:hAnsi="Times New Roman" w:cs="Times New Roman"/>
          <w:b/>
          <w:bCs/>
          <w:color w:val="auto"/>
          <w:sz w:val="24"/>
          <w:szCs w:val="24"/>
        </w:rPr>
        <w:t>Traditional social networking sites</w:t>
      </w:r>
      <w:bookmarkEnd w:id="7"/>
    </w:p>
    <w:p w14:paraId="3668556D"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Most organisations are properly familiar with the social networking sites like Twitter, and Facebook as well as brands. The social networking site is responsible to focus on the group </w:t>
      </w:r>
      <w:proofErr w:type="gramStart"/>
      <w:r w:rsidRPr="00EF18DC">
        <w:rPr>
          <w:rFonts w:ascii="Times New Roman" w:hAnsi="Times New Roman" w:cs="Times New Roman"/>
          <w:sz w:val="24"/>
          <w:szCs w:val="24"/>
        </w:rPr>
        <w:t>on the basis of</w:t>
      </w:r>
      <w:proofErr w:type="gramEnd"/>
      <w:r w:rsidRPr="00EF18DC">
        <w:rPr>
          <w:rFonts w:ascii="Times New Roman" w:hAnsi="Times New Roman" w:cs="Times New Roman"/>
          <w:sz w:val="24"/>
          <w:szCs w:val="24"/>
        </w:rPr>
        <w:t xml:space="preserve"> interest as well as participating in a lively discussion. This type of traditional social networking site is also responsible to provide the organisation with an order to measure the social media ROI. </w:t>
      </w:r>
    </w:p>
    <w:p w14:paraId="5BA2033F"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8" w:name="_Toc120725999"/>
      <w:r w:rsidRPr="00EF18DC">
        <w:rPr>
          <w:rFonts w:ascii="Times New Roman" w:hAnsi="Times New Roman" w:cs="Times New Roman"/>
          <w:b/>
          <w:bCs/>
          <w:color w:val="auto"/>
          <w:sz w:val="24"/>
          <w:szCs w:val="24"/>
        </w:rPr>
        <w:t>Reach the target audience through advertisement</w:t>
      </w:r>
      <w:bookmarkEnd w:id="8"/>
    </w:p>
    <w:p w14:paraId="7163811E" w14:textId="67F68F27"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Facebook and Twitter are stated to be beneficial social media platform that is responsible to cultivate large and diverse communities. The advertisers are responsible to interact with the individuals </w:t>
      </w:r>
      <w:proofErr w:type="gramStart"/>
      <w:r w:rsidRPr="00EF18DC">
        <w:rPr>
          <w:rFonts w:ascii="Times New Roman" w:hAnsi="Times New Roman" w:cs="Times New Roman"/>
          <w:sz w:val="24"/>
          <w:szCs w:val="24"/>
        </w:rPr>
        <w:t>on the basis of</w:t>
      </w:r>
      <w:proofErr w:type="gramEnd"/>
      <w:r w:rsidRPr="00EF18DC">
        <w:rPr>
          <w:rFonts w:ascii="Times New Roman" w:hAnsi="Times New Roman" w:cs="Times New Roman"/>
          <w:sz w:val="24"/>
          <w:szCs w:val="24"/>
        </w:rPr>
        <w:t xml:space="preserve"> particular targeting metrics </w:t>
      </w:r>
      <w:r w:rsidRPr="00EF18DC">
        <w:rPr>
          <w:rFonts w:ascii="Times New Roman" w:hAnsi="Times New Roman" w:cs="Times New Roman"/>
          <w:sz w:val="24"/>
          <w:szCs w:val="24"/>
          <w:shd w:val="clear" w:color="auto" w:fill="FFFFFF"/>
        </w:rPr>
        <w:t>(Rodriguez Espinosa and Verney, 2021)</w:t>
      </w:r>
      <w:r w:rsidRPr="00EF18DC">
        <w:rPr>
          <w:rFonts w:ascii="Times New Roman" w:hAnsi="Times New Roman" w:cs="Times New Roman"/>
          <w:sz w:val="24"/>
          <w:szCs w:val="24"/>
        </w:rPr>
        <w:t xml:space="preserve">. On the other hand, these types of social networking sites are also responsible to engage followers and properly finding like-minded people as beneficial business partners to build connections. </w:t>
      </w:r>
    </w:p>
    <w:p w14:paraId="115D580F"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On the other hand, social networking platforms are also responsible to provide a great place for genuinely digging up consumer research as well as using the social listening equipment leads to track conversations around </w:t>
      </w:r>
      <w:proofErr w:type="gramStart"/>
      <w:r w:rsidRPr="00EF18DC">
        <w:rPr>
          <w:rFonts w:ascii="Times New Roman" w:hAnsi="Times New Roman" w:cs="Times New Roman"/>
          <w:sz w:val="24"/>
          <w:szCs w:val="24"/>
        </w:rPr>
        <w:t>particular terms</w:t>
      </w:r>
      <w:proofErr w:type="gramEnd"/>
      <w:r w:rsidRPr="00EF18DC">
        <w:rPr>
          <w:rFonts w:ascii="Times New Roman" w:hAnsi="Times New Roman" w:cs="Times New Roman"/>
          <w:sz w:val="24"/>
          <w:szCs w:val="24"/>
        </w:rPr>
        <w:t xml:space="preserve">. </w:t>
      </w:r>
    </w:p>
    <w:p w14:paraId="4507EA2D"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9" w:name="_Toc120726000"/>
      <w:r w:rsidRPr="00EF18DC">
        <w:rPr>
          <w:rFonts w:ascii="Times New Roman" w:hAnsi="Times New Roman" w:cs="Times New Roman"/>
          <w:b/>
          <w:bCs/>
          <w:color w:val="auto"/>
          <w:sz w:val="24"/>
          <w:szCs w:val="24"/>
        </w:rPr>
        <w:t>Different ways for promoting community participation</w:t>
      </w:r>
      <w:bookmarkEnd w:id="9"/>
    </w:p>
    <w:p w14:paraId="5BAF9910"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Various kinds of strategic ways are taken into consideration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promote the community engagement project. The strategic ways are demonstrated below:</w:t>
      </w:r>
    </w:p>
    <w:p w14:paraId="7A8FD70C"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Defining the target audience</w:t>
      </w:r>
    </w:p>
    <w:p w14:paraId="7B39D833" w14:textId="02BFF044" w:rsidR="00EF18DC" w:rsidRPr="00EF18DC" w:rsidRDefault="00EF18DC"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rPr>
        <w:t xml:space="preserve">The individuals are responsible to get clear aspects as well as reflecting on the research where the Hangout is and find out how to reach them. The individuals within the commonwealth game participation are responsible for hangout out properly and finding out the prospects to reach the audience </w:t>
      </w:r>
      <w:r w:rsidRPr="00EF18DC">
        <w:rPr>
          <w:rFonts w:ascii="Times New Roman" w:hAnsi="Times New Roman" w:cs="Times New Roman"/>
          <w:sz w:val="24"/>
          <w:szCs w:val="24"/>
          <w:shd w:val="clear" w:color="auto" w:fill="FFFFFF"/>
        </w:rPr>
        <w:t>(Sanders Thompson et al., 2021)</w:t>
      </w:r>
      <w:r w:rsidRPr="00EF18DC">
        <w:rPr>
          <w:rFonts w:ascii="Times New Roman" w:hAnsi="Times New Roman" w:cs="Times New Roman"/>
          <w:sz w:val="24"/>
          <w:szCs w:val="24"/>
        </w:rPr>
        <w:t xml:space="preserve">. They are also able to be clear on the level of impact of each stakeholder or group </w:t>
      </w:r>
      <w:proofErr w:type="gramStart"/>
      <w:r w:rsidRPr="00EF18DC">
        <w:rPr>
          <w:rFonts w:ascii="Times New Roman" w:hAnsi="Times New Roman" w:cs="Times New Roman"/>
          <w:sz w:val="24"/>
          <w:szCs w:val="24"/>
        </w:rPr>
        <w:t>and also</w:t>
      </w:r>
      <w:proofErr w:type="gramEnd"/>
      <w:r w:rsidRPr="00EF18DC">
        <w:rPr>
          <w:rFonts w:ascii="Times New Roman" w:hAnsi="Times New Roman" w:cs="Times New Roman"/>
          <w:sz w:val="24"/>
          <w:szCs w:val="24"/>
        </w:rPr>
        <w:t xml:space="preserve"> to have on the project in order to help the major aspects and prioritise efforts.</w:t>
      </w:r>
    </w:p>
    <w:p w14:paraId="75280BA5"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Audience segmentation</w:t>
      </w:r>
    </w:p>
    <w:p w14:paraId="1C53A12B"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The individuals are also responsible to divide the audience into various segments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target them in the best possible way. They are also able to tailor the messages to segments and it must be demographic, geographical as well as based upon interest.</w:t>
      </w:r>
    </w:p>
    <w:p w14:paraId="4F5ABB92" w14:textId="77777777" w:rsidR="00EF18DC" w:rsidRPr="00EF18DC" w:rsidRDefault="00EF18DC" w:rsidP="009C7842">
      <w:pPr>
        <w:spacing w:line="360" w:lineRule="auto"/>
        <w:jc w:val="both"/>
        <w:rPr>
          <w:rFonts w:ascii="Times New Roman" w:hAnsi="Times New Roman" w:cs="Times New Roman"/>
          <w:b/>
          <w:bCs/>
          <w:sz w:val="24"/>
          <w:szCs w:val="24"/>
        </w:rPr>
      </w:pPr>
      <w:r w:rsidRPr="00EF18DC">
        <w:rPr>
          <w:rFonts w:ascii="Times New Roman" w:hAnsi="Times New Roman" w:cs="Times New Roman"/>
          <w:b/>
          <w:bCs/>
          <w:sz w:val="24"/>
          <w:szCs w:val="24"/>
        </w:rPr>
        <w:t>Brand</w:t>
      </w:r>
    </w:p>
    <w:p w14:paraId="66DABEC8" w14:textId="56373898" w:rsidR="00EF18DC" w:rsidRPr="00EF18DC" w:rsidRDefault="00EF18DC" w:rsidP="009C7842">
      <w:pPr>
        <w:spacing w:line="360" w:lineRule="auto"/>
        <w:jc w:val="both"/>
        <w:rPr>
          <w:rFonts w:ascii="Times New Roman" w:hAnsi="Times New Roman" w:cs="Times New Roman"/>
          <w:sz w:val="24"/>
          <w:szCs w:val="24"/>
          <w:lang w:val="en-US"/>
        </w:rPr>
      </w:pPr>
      <w:r w:rsidRPr="00EF18DC">
        <w:rPr>
          <w:rFonts w:ascii="Times New Roman" w:hAnsi="Times New Roman" w:cs="Times New Roman"/>
          <w:sz w:val="24"/>
          <w:szCs w:val="24"/>
        </w:rPr>
        <w:t xml:space="preserve">The visible, as well as clear brand, is responsible to bring different types of engagement activity as well as helping the audience for recognising the materials in a quick and easy way </w:t>
      </w:r>
      <w:r w:rsidRPr="00EF18DC">
        <w:rPr>
          <w:rFonts w:ascii="Times New Roman" w:hAnsi="Times New Roman" w:cs="Times New Roman"/>
          <w:sz w:val="24"/>
          <w:szCs w:val="24"/>
          <w:shd w:val="clear" w:color="auto" w:fill="FFFFFF"/>
        </w:rPr>
        <w:t>(Shannon et al., 2021)</w:t>
      </w:r>
      <w:r w:rsidRPr="00EF18DC">
        <w:rPr>
          <w:rFonts w:ascii="Times New Roman" w:hAnsi="Times New Roman" w:cs="Times New Roman"/>
          <w:sz w:val="24"/>
          <w:szCs w:val="24"/>
        </w:rPr>
        <w:t xml:space="preserve">. For example, if the individual is responsible for using the brand of the organisation, then he/she is required to create a particular look as well as a tagline that is specific to the engagement project. </w:t>
      </w:r>
    </w:p>
    <w:p w14:paraId="70D5EA53"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10" w:name="_Toc120726001"/>
      <w:r w:rsidRPr="00EF18DC">
        <w:rPr>
          <w:rFonts w:ascii="Times New Roman" w:hAnsi="Times New Roman" w:cs="Times New Roman"/>
          <w:b/>
          <w:bCs/>
          <w:color w:val="auto"/>
          <w:sz w:val="24"/>
          <w:szCs w:val="24"/>
        </w:rPr>
        <w:t>Importance of undertaking a forward-looking approach in the project</w:t>
      </w:r>
      <w:bookmarkEnd w:id="10"/>
    </w:p>
    <w:p w14:paraId="598B7307" w14:textId="5DE80A8E" w:rsidR="00EF18DC" w:rsidRPr="00EF18DC" w:rsidRDefault="00EF18DC" w:rsidP="009C7842">
      <w:pPr>
        <w:spacing w:line="360" w:lineRule="auto"/>
        <w:jc w:val="both"/>
        <w:rPr>
          <w:rFonts w:ascii="Times New Roman" w:hAnsi="Times New Roman" w:cs="Times New Roman"/>
          <w:sz w:val="24"/>
          <w:szCs w:val="24"/>
          <w:shd w:val="clear" w:color="auto" w:fill="FFFFFF"/>
        </w:rPr>
      </w:pP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demonstrate the project of conducting community engagement within the commonwealth game, forward-looking approaches are also able to ensure the prospect without any kind of obstacle </w:t>
      </w:r>
      <w:r w:rsidRPr="00EF18DC">
        <w:rPr>
          <w:rFonts w:ascii="Times New Roman" w:hAnsi="Times New Roman" w:cs="Times New Roman"/>
          <w:sz w:val="24"/>
          <w:szCs w:val="24"/>
          <w:shd w:val="clear" w:color="auto" w:fill="FFFFFF"/>
        </w:rPr>
        <w:t>(</w:t>
      </w:r>
      <w:proofErr w:type="spellStart"/>
      <w:r w:rsidRPr="00EF18DC">
        <w:rPr>
          <w:rFonts w:ascii="Times New Roman" w:hAnsi="Times New Roman" w:cs="Times New Roman"/>
          <w:sz w:val="24"/>
          <w:szCs w:val="24"/>
          <w:shd w:val="clear" w:color="auto" w:fill="FFFFFF"/>
        </w:rPr>
        <w:t>Stadelmann</w:t>
      </w:r>
      <w:proofErr w:type="spellEnd"/>
      <w:r w:rsidRPr="00EF18DC">
        <w:rPr>
          <w:rFonts w:ascii="Times New Roman" w:hAnsi="Times New Roman" w:cs="Times New Roman"/>
          <w:sz w:val="24"/>
          <w:szCs w:val="24"/>
          <w:shd w:val="clear" w:color="auto" w:fill="FFFFFF"/>
        </w:rPr>
        <w:t xml:space="preserve">-Steffen and </w:t>
      </w:r>
      <w:proofErr w:type="spellStart"/>
      <w:r w:rsidRPr="00EF18DC">
        <w:rPr>
          <w:rFonts w:ascii="Times New Roman" w:hAnsi="Times New Roman" w:cs="Times New Roman"/>
          <w:sz w:val="24"/>
          <w:szCs w:val="24"/>
          <w:shd w:val="clear" w:color="auto" w:fill="FFFFFF"/>
        </w:rPr>
        <w:t>Dermont</w:t>
      </w:r>
      <w:proofErr w:type="spellEnd"/>
      <w:r w:rsidRPr="00EF18DC">
        <w:rPr>
          <w:rFonts w:ascii="Times New Roman" w:hAnsi="Times New Roman" w:cs="Times New Roman"/>
          <w:sz w:val="24"/>
          <w:szCs w:val="24"/>
          <w:shd w:val="clear" w:color="auto" w:fill="FFFFFF"/>
        </w:rPr>
        <w:t>, 2021)</w:t>
      </w:r>
      <w:r w:rsidRPr="00EF18DC">
        <w:rPr>
          <w:rFonts w:ascii="Times New Roman" w:hAnsi="Times New Roman" w:cs="Times New Roman"/>
          <w:sz w:val="24"/>
          <w:szCs w:val="24"/>
        </w:rPr>
        <w:t xml:space="preserve">. The forward calculation or forward planning is properly used within production planning as well as project planning that leads to creating scheduling or sequencing. These are also responsible to reflect upon the possible buffers that are properly scheduled in a logical way until the end of the project. </w:t>
      </w:r>
    </w:p>
    <w:p w14:paraId="55C8BD91" w14:textId="77777777" w:rsidR="00EF18DC" w:rsidRPr="00EF18DC" w:rsidRDefault="00EF18DC" w:rsidP="009C7842">
      <w:pPr>
        <w:pStyle w:val="Heading2"/>
        <w:spacing w:line="360" w:lineRule="auto"/>
        <w:rPr>
          <w:rFonts w:ascii="Times New Roman" w:hAnsi="Times New Roman" w:cs="Times New Roman"/>
          <w:b/>
          <w:bCs/>
          <w:color w:val="auto"/>
          <w:sz w:val="24"/>
          <w:szCs w:val="24"/>
        </w:rPr>
      </w:pPr>
      <w:bookmarkStart w:id="11" w:name="_Toc120726002"/>
      <w:r w:rsidRPr="00EF18DC">
        <w:rPr>
          <w:rFonts w:ascii="Times New Roman" w:hAnsi="Times New Roman" w:cs="Times New Roman"/>
          <w:b/>
          <w:bCs/>
          <w:color w:val="auto"/>
          <w:sz w:val="24"/>
          <w:szCs w:val="24"/>
        </w:rPr>
        <w:t>Conclusion</w:t>
      </w:r>
      <w:bookmarkEnd w:id="11"/>
    </w:p>
    <w:p w14:paraId="111D3E58" w14:textId="77777777" w:rsidR="00EF18DC" w:rsidRPr="00EF18DC" w:rsidRDefault="00EF18DC" w:rsidP="009C7842">
      <w:pPr>
        <w:spacing w:line="360" w:lineRule="auto"/>
        <w:jc w:val="both"/>
        <w:rPr>
          <w:rFonts w:ascii="Times New Roman" w:hAnsi="Times New Roman" w:cs="Times New Roman"/>
          <w:sz w:val="24"/>
          <w:szCs w:val="24"/>
        </w:rPr>
      </w:pPr>
      <w:r w:rsidRPr="00EF18DC">
        <w:rPr>
          <w:rFonts w:ascii="Times New Roman" w:hAnsi="Times New Roman" w:cs="Times New Roman"/>
          <w:sz w:val="24"/>
          <w:szCs w:val="24"/>
        </w:rPr>
        <w:t xml:space="preserve">From the above discussion, it can be concluded that the prospect of community engagement provided the individual concern with different types of benefits at the time of working with the commonwealth game federation organisation. The aspect of community engagement is responsible to address the prospects and assist individuals </w:t>
      </w:r>
      <w:proofErr w:type="gramStart"/>
      <w:r w:rsidRPr="00EF18DC">
        <w:rPr>
          <w:rFonts w:ascii="Times New Roman" w:hAnsi="Times New Roman" w:cs="Times New Roman"/>
          <w:sz w:val="24"/>
          <w:szCs w:val="24"/>
        </w:rPr>
        <w:t>in order to</w:t>
      </w:r>
      <w:proofErr w:type="gramEnd"/>
      <w:r w:rsidRPr="00EF18DC">
        <w:rPr>
          <w:rFonts w:ascii="Times New Roman" w:hAnsi="Times New Roman" w:cs="Times New Roman"/>
          <w:sz w:val="24"/>
          <w:szCs w:val="24"/>
        </w:rPr>
        <w:t xml:space="preserve"> bring behaviour as well as environmental changes. This is also responsible to play a beneficial role at the time of enhancing the prospects of the local and regional members as well as the communities. The author properly addresses the prospect of community engagement as the strategic </w:t>
      </w:r>
      <w:proofErr w:type="gramStart"/>
      <w:r w:rsidRPr="00EF18DC">
        <w:rPr>
          <w:rFonts w:ascii="Times New Roman" w:hAnsi="Times New Roman" w:cs="Times New Roman"/>
          <w:sz w:val="24"/>
          <w:szCs w:val="24"/>
        </w:rPr>
        <w:t>process</w:t>
      </w:r>
      <w:proofErr w:type="gramEnd"/>
      <w:r w:rsidRPr="00EF18DC">
        <w:rPr>
          <w:rFonts w:ascii="Times New Roman" w:hAnsi="Times New Roman" w:cs="Times New Roman"/>
          <w:sz w:val="24"/>
          <w:szCs w:val="24"/>
        </w:rPr>
        <w:t xml:space="preserve"> and it is also demonstrated to be the major purpose of working with the identified group of individuals. The prospect of community engagement principles as well as the standards are demonstrated properly on behalf of the project. The major relationship among the stakeholders as well as the strategies for undertaking the social media platforms are also demonstrated properly in the report. The relevant prospects that are responsible for promoting community participation and collaboration on behalf of the project are also demonstrated properly in the report and provided ample information.</w:t>
      </w:r>
    </w:p>
    <w:p w14:paraId="57064AC3" w14:textId="49DC96D7" w:rsidR="002E3AA9" w:rsidRPr="00EF18DC" w:rsidRDefault="002E3AA9" w:rsidP="009C7842">
      <w:pPr>
        <w:spacing w:line="360" w:lineRule="auto"/>
        <w:rPr>
          <w:rFonts w:ascii="Times New Roman" w:eastAsiaTheme="majorEastAsia" w:hAnsi="Times New Roman" w:cs="Times New Roman"/>
          <w:b/>
          <w:bCs/>
          <w:sz w:val="24"/>
          <w:szCs w:val="24"/>
          <w:lang w:val="en-US"/>
        </w:rPr>
      </w:pPr>
      <w:r w:rsidRPr="00EF18DC">
        <w:rPr>
          <w:rFonts w:ascii="Times New Roman" w:hAnsi="Times New Roman" w:cs="Times New Roman"/>
          <w:b/>
          <w:bCs/>
          <w:sz w:val="24"/>
          <w:szCs w:val="24"/>
          <w:lang w:val="en-US"/>
        </w:rPr>
        <w:br w:type="page"/>
      </w:r>
    </w:p>
    <w:p w14:paraId="5C41C677" w14:textId="2B041780" w:rsidR="002E3AA9" w:rsidRPr="00EF18DC" w:rsidRDefault="002E3AA9" w:rsidP="009C7842">
      <w:pPr>
        <w:pStyle w:val="Heading1"/>
        <w:spacing w:line="360" w:lineRule="auto"/>
        <w:rPr>
          <w:rFonts w:ascii="Times New Roman" w:hAnsi="Times New Roman" w:cs="Times New Roman"/>
          <w:b/>
          <w:bCs/>
          <w:color w:val="auto"/>
          <w:sz w:val="24"/>
          <w:szCs w:val="24"/>
          <w:lang w:val="en-US"/>
        </w:rPr>
      </w:pPr>
      <w:bookmarkStart w:id="12" w:name="_Toc120726003"/>
      <w:r w:rsidRPr="00EF18DC">
        <w:rPr>
          <w:rFonts w:ascii="Times New Roman" w:hAnsi="Times New Roman" w:cs="Times New Roman"/>
          <w:b/>
          <w:bCs/>
          <w:color w:val="auto"/>
          <w:sz w:val="24"/>
          <w:szCs w:val="24"/>
          <w:lang w:val="en-US"/>
        </w:rPr>
        <w:t>References:</w:t>
      </w:r>
      <w:bookmarkEnd w:id="12"/>
    </w:p>
    <w:p w14:paraId="0B0D67EB"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Campbell-</w:t>
      </w:r>
      <w:proofErr w:type="spellStart"/>
      <w:r w:rsidRPr="00EF18DC">
        <w:rPr>
          <w:rFonts w:ascii="Times New Roman" w:hAnsi="Times New Roman" w:cs="Times New Roman"/>
          <w:sz w:val="24"/>
          <w:szCs w:val="24"/>
          <w:shd w:val="clear" w:color="auto" w:fill="FFFFFF"/>
        </w:rPr>
        <w:t>Arvai</w:t>
      </w:r>
      <w:proofErr w:type="spellEnd"/>
      <w:r w:rsidRPr="00EF18DC">
        <w:rPr>
          <w:rFonts w:ascii="Times New Roman" w:hAnsi="Times New Roman" w:cs="Times New Roman"/>
          <w:sz w:val="24"/>
          <w:szCs w:val="24"/>
          <w:shd w:val="clear" w:color="auto" w:fill="FFFFFF"/>
        </w:rPr>
        <w:t xml:space="preserve">, V. and Lindquist, M.,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From the ground up: Using structured community engagement to identify objectives for urban green infrastructure planning. </w:t>
      </w:r>
      <w:r w:rsidRPr="00EF18DC">
        <w:rPr>
          <w:rFonts w:ascii="Times New Roman" w:hAnsi="Times New Roman" w:cs="Times New Roman"/>
          <w:i/>
          <w:iCs/>
          <w:sz w:val="24"/>
          <w:szCs w:val="24"/>
          <w:shd w:val="clear" w:color="auto" w:fill="FFFFFF"/>
        </w:rPr>
        <w:t>Urban Forestry &amp; Urban Greening</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59</w:t>
      </w:r>
      <w:r w:rsidRPr="00EF18DC">
        <w:rPr>
          <w:rFonts w:ascii="Times New Roman" w:hAnsi="Times New Roman" w:cs="Times New Roman"/>
          <w:sz w:val="24"/>
          <w:szCs w:val="24"/>
          <w:shd w:val="clear" w:color="auto" w:fill="FFFFFF"/>
        </w:rPr>
        <w:t>, p.127013.</w:t>
      </w:r>
    </w:p>
    <w:p w14:paraId="1C585E04"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Croeser</w:t>
      </w:r>
      <w:proofErr w:type="spellEnd"/>
      <w:r w:rsidRPr="00EF18DC">
        <w:rPr>
          <w:rFonts w:ascii="Times New Roman" w:hAnsi="Times New Roman" w:cs="Times New Roman"/>
          <w:sz w:val="24"/>
          <w:szCs w:val="24"/>
          <w:shd w:val="clear" w:color="auto" w:fill="FFFFFF"/>
        </w:rPr>
        <w:t xml:space="preserve">, T., </w:t>
      </w:r>
      <w:proofErr w:type="spellStart"/>
      <w:r w:rsidRPr="00EF18DC">
        <w:rPr>
          <w:rFonts w:ascii="Times New Roman" w:hAnsi="Times New Roman" w:cs="Times New Roman"/>
          <w:sz w:val="24"/>
          <w:szCs w:val="24"/>
          <w:shd w:val="clear" w:color="auto" w:fill="FFFFFF"/>
        </w:rPr>
        <w:t>Garrard</w:t>
      </w:r>
      <w:proofErr w:type="spellEnd"/>
      <w:r w:rsidRPr="00EF18DC">
        <w:rPr>
          <w:rFonts w:ascii="Times New Roman" w:hAnsi="Times New Roman" w:cs="Times New Roman"/>
          <w:sz w:val="24"/>
          <w:szCs w:val="24"/>
          <w:shd w:val="clear" w:color="auto" w:fill="FFFFFF"/>
        </w:rPr>
        <w:t xml:space="preserve">, G.E., Thomas, F.M., Tran, T.D., Mell, I., Clement, S., Sánchez, R. and </w:t>
      </w:r>
      <w:proofErr w:type="spellStart"/>
      <w:r w:rsidRPr="00EF18DC">
        <w:rPr>
          <w:rFonts w:ascii="Times New Roman" w:hAnsi="Times New Roman" w:cs="Times New Roman"/>
          <w:sz w:val="24"/>
          <w:szCs w:val="24"/>
          <w:shd w:val="clear" w:color="auto" w:fill="FFFFFF"/>
        </w:rPr>
        <w:t>Bekessy</w:t>
      </w:r>
      <w:proofErr w:type="spellEnd"/>
      <w:r w:rsidRPr="00EF18DC">
        <w:rPr>
          <w:rFonts w:ascii="Times New Roman" w:hAnsi="Times New Roman" w:cs="Times New Roman"/>
          <w:sz w:val="24"/>
          <w:szCs w:val="24"/>
          <w:shd w:val="clear" w:color="auto" w:fill="FFFFFF"/>
        </w:rPr>
        <w:t xml:space="preserve">, S.,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Diagnosing delivery capabilities on a large international nature-based solutions project. </w:t>
      </w:r>
      <w:proofErr w:type="spellStart"/>
      <w:r w:rsidRPr="00EF18DC">
        <w:rPr>
          <w:rFonts w:ascii="Times New Roman" w:hAnsi="Times New Roman" w:cs="Times New Roman"/>
          <w:i/>
          <w:iCs/>
          <w:sz w:val="24"/>
          <w:szCs w:val="24"/>
          <w:shd w:val="clear" w:color="auto" w:fill="FFFFFF"/>
        </w:rPr>
        <w:t>npj</w:t>
      </w:r>
      <w:proofErr w:type="spellEnd"/>
      <w:r w:rsidRPr="00EF18DC">
        <w:rPr>
          <w:rFonts w:ascii="Times New Roman" w:hAnsi="Times New Roman" w:cs="Times New Roman"/>
          <w:i/>
          <w:iCs/>
          <w:sz w:val="24"/>
          <w:szCs w:val="24"/>
          <w:shd w:val="clear" w:color="auto" w:fill="FFFFFF"/>
        </w:rPr>
        <w:t xml:space="preserve"> Urban Sustainability</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1</w:t>
      </w:r>
      <w:r w:rsidRPr="00EF18DC">
        <w:rPr>
          <w:rFonts w:ascii="Times New Roman" w:hAnsi="Times New Roman" w:cs="Times New Roman"/>
          <w:sz w:val="24"/>
          <w:szCs w:val="24"/>
          <w:shd w:val="clear" w:color="auto" w:fill="FFFFFF"/>
        </w:rPr>
        <w:t>(1), pp.1-9.</w:t>
      </w:r>
    </w:p>
    <w:p w14:paraId="051B8969"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den Houting, J., Higgins, J., Isaacs, K., Mahony, J. and </w:t>
      </w:r>
      <w:proofErr w:type="spellStart"/>
      <w:r w:rsidRPr="00EF18DC">
        <w:rPr>
          <w:rFonts w:ascii="Times New Roman" w:hAnsi="Times New Roman" w:cs="Times New Roman"/>
          <w:sz w:val="24"/>
          <w:szCs w:val="24"/>
          <w:shd w:val="clear" w:color="auto" w:fill="FFFFFF"/>
        </w:rPr>
        <w:t>Pellicano</w:t>
      </w:r>
      <w:proofErr w:type="spellEnd"/>
      <w:r w:rsidRPr="00EF18DC">
        <w:rPr>
          <w:rFonts w:ascii="Times New Roman" w:hAnsi="Times New Roman" w:cs="Times New Roman"/>
          <w:sz w:val="24"/>
          <w:szCs w:val="24"/>
          <w:shd w:val="clear" w:color="auto" w:fill="FFFFFF"/>
        </w:rPr>
        <w:t xml:space="preserve">, E.,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‘I’m not just a guinea pig’: Academic and community perceptions of participatory autism research. </w:t>
      </w:r>
      <w:r w:rsidRPr="00EF18DC">
        <w:rPr>
          <w:rFonts w:ascii="Times New Roman" w:hAnsi="Times New Roman" w:cs="Times New Roman"/>
          <w:i/>
          <w:iCs/>
          <w:sz w:val="24"/>
          <w:szCs w:val="24"/>
          <w:shd w:val="clear" w:color="auto" w:fill="FFFFFF"/>
        </w:rPr>
        <w:t>Autism</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25</w:t>
      </w:r>
      <w:r w:rsidRPr="00EF18DC">
        <w:rPr>
          <w:rFonts w:ascii="Times New Roman" w:hAnsi="Times New Roman" w:cs="Times New Roman"/>
          <w:sz w:val="24"/>
          <w:szCs w:val="24"/>
          <w:shd w:val="clear" w:color="auto" w:fill="FFFFFF"/>
        </w:rPr>
        <w:t>(1), pp.148-163.</w:t>
      </w:r>
    </w:p>
    <w:p w14:paraId="0C733F57"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Fancourt</w:t>
      </w:r>
      <w:proofErr w:type="spellEnd"/>
      <w:r w:rsidRPr="00EF18DC">
        <w:rPr>
          <w:rFonts w:ascii="Times New Roman" w:hAnsi="Times New Roman" w:cs="Times New Roman"/>
          <w:sz w:val="24"/>
          <w:szCs w:val="24"/>
          <w:shd w:val="clear" w:color="auto" w:fill="FFFFFF"/>
        </w:rPr>
        <w:t xml:space="preserve">, D., </w:t>
      </w:r>
      <w:proofErr w:type="spellStart"/>
      <w:r w:rsidRPr="00EF18DC">
        <w:rPr>
          <w:rFonts w:ascii="Times New Roman" w:hAnsi="Times New Roman" w:cs="Times New Roman"/>
          <w:sz w:val="24"/>
          <w:szCs w:val="24"/>
          <w:shd w:val="clear" w:color="auto" w:fill="FFFFFF"/>
        </w:rPr>
        <w:t>Bhui</w:t>
      </w:r>
      <w:proofErr w:type="spellEnd"/>
      <w:r w:rsidRPr="00EF18DC">
        <w:rPr>
          <w:rFonts w:ascii="Times New Roman" w:hAnsi="Times New Roman" w:cs="Times New Roman"/>
          <w:sz w:val="24"/>
          <w:szCs w:val="24"/>
          <w:shd w:val="clear" w:color="auto" w:fill="FFFFFF"/>
        </w:rPr>
        <w:t xml:space="preserve">, K., Chatterjee, H., Crawford, P., </w:t>
      </w:r>
      <w:proofErr w:type="spellStart"/>
      <w:r w:rsidRPr="00EF18DC">
        <w:rPr>
          <w:rFonts w:ascii="Times New Roman" w:hAnsi="Times New Roman" w:cs="Times New Roman"/>
          <w:sz w:val="24"/>
          <w:szCs w:val="24"/>
          <w:shd w:val="clear" w:color="auto" w:fill="FFFFFF"/>
        </w:rPr>
        <w:t>Crossick</w:t>
      </w:r>
      <w:proofErr w:type="spellEnd"/>
      <w:r w:rsidRPr="00EF18DC">
        <w:rPr>
          <w:rFonts w:ascii="Times New Roman" w:hAnsi="Times New Roman" w:cs="Times New Roman"/>
          <w:sz w:val="24"/>
          <w:szCs w:val="24"/>
          <w:shd w:val="clear" w:color="auto" w:fill="FFFFFF"/>
        </w:rPr>
        <w:t xml:space="preserve">, G., </w:t>
      </w:r>
      <w:proofErr w:type="spellStart"/>
      <w:r w:rsidRPr="00EF18DC">
        <w:rPr>
          <w:rFonts w:ascii="Times New Roman" w:hAnsi="Times New Roman" w:cs="Times New Roman"/>
          <w:sz w:val="24"/>
          <w:szCs w:val="24"/>
          <w:shd w:val="clear" w:color="auto" w:fill="FFFFFF"/>
        </w:rPr>
        <w:t>DeNora</w:t>
      </w:r>
      <w:proofErr w:type="spellEnd"/>
      <w:r w:rsidRPr="00EF18DC">
        <w:rPr>
          <w:rFonts w:ascii="Times New Roman" w:hAnsi="Times New Roman" w:cs="Times New Roman"/>
          <w:sz w:val="24"/>
          <w:szCs w:val="24"/>
          <w:shd w:val="clear" w:color="auto" w:fill="FFFFFF"/>
        </w:rPr>
        <w:t xml:space="preserve">, T. and South, J.,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Social, cultural and community engagement and mental health: cross-disciplinary, co-produced research agenda. </w:t>
      </w:r>
      <w:proofErr w:type="spellStart"/>
      <w:r w:rsidRPr="00EF18DC">
        <w:rPr>
          <w:rFonts w:ascii="Times New Roman" w:hAnsi="Times New Roman" w:cs="Times New Roman"/>
          <w:i/>
          <w:iCs/>
          <w:sz w:val="24"/>
          <w:szCs w:val="24"/>
          <w:shd w:val="clear" w:color="auto" w:fill="FFFFFF"/>
        </w:rPr>
        <w:t>BJPsych</w:t>
      </w:r>
      <w:proofErr w:type="spellEnd"/>
      <w:r w:rsidRPr="00EF18DC">
        <w:rPr>
          <w:rFonts w:ascii="Times New Roman" w:hAnsi="Times New Roman" w:cs="Times New Roman"/>
          <w:i/>
          <w:iCs/>
          <w:sz w:val="24"/>
          <w:szCs w:val="24"/>
          <w:shd w:val="clear" w:color="auto" w:fill="FFFFFF"/>
        </w:rPr>
        <w:t xml:space="preserve"> open</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7</w:t>
      </w:r>
      <w:r w:rsidRPr="00EF18DC">
        <w:rPr>
          <w:rFonts w:ascii="Times New Roman" w:hAnsi="Times New Roman" w:cs="Times New Roman"/>
          <w:sz w:val="24"/>
          <w:szCs w:val="24"/>
          <w:shd w:val="clear" w:color="auto" w:fill="FFFFFF"/>
        </w:rPr>
        <w:t>(1).</w:t>
      </w:r>
    </w:p>
    <w:p w14:paraId="3C5196F1"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Kliskey</w:t>
      </w:r>
      <w:proofErr w:type="spellEnd"/>
      <w:r w:rsidRPr="00EF18DC">
        <w:rPr>
          <w:rFonts w:ascii="Times New Roman" w:hAnsi="Times New Roman" w:cs="Times New Roman"/>
          <w:sz w:val="24"/>
          <w:szCs w:val="24"/>
          <w:shd w:val="clear" w:color="auto" w:fill="FFFFFF"/>
        </w:rPr>
        <w:t xml:space="preserve">, A., Williams, P., Griffith, D.L., Dale, V.H., </w:t>
      </w:r>
      <w:proofErr w:type="spellStart"/>
      <w:r w:rsidRPr="00EF18DC">
        <w:rPr>
          <w:rFonts w:ascii="Times New Roman" w:hAnsi="Times New Roman" w:cs="Times New Roman"/>
          <w:sz w:val="24"/>
          <w:szCs w:val="24"/>
          <w:shd w:val="clear" w:color="auto" w:fill="FFFFFF"/>
        </w:rPr>
        <w:t>Schelly</w:t>
      </w:r>
      <w:proofErr w:type="spellEnd"/>
      <w:r w:rsidRPr="00EF18DC">
        <w:rPr>
          <w:rFonts w:ascii="Times New Roman" w:hAnsi="Times New Roman" w:cs="Times New Roman"/>
          <w:sz w:val="24"/>
          <w:szCs w:val="24"/>
          <w:shd w:val="clear" w:color="auto" w:fill="FFFFFF"/>
        </w:rPr>
        <w:t xml:space="preserve">, C., Marshall, A.M., Gagnon, V.S., Eaton, W.M. and </w:t>
      </w:r>
      <w:proofErr w:type="spellStart"/>
      <w:r w:rsidRPr="00EF18DC">
        <w:rPr>
          <w:rFonts w:ascii="Times New Roman" w:hAnsi="Times New Roman" w:cs="Times New Roman"/>
          <w:sz w:val="24"/>
          <w:szCs w:val="24"/>
          <w:shd w:val="clear" w:color="auto" w:fill="FFFFFF"/>
        </w:rPr>
        <w:t>Floress</w:t>
      </w:r>
      <w:proofErr w:type="spellEnd"/>
      <w:r w:rsidRPr="00EF18DC">
        <w:rPr>
          <w:rFonts w:ascii="Times New Roman" w:hAnsi="Times New Roman" w:cs="Times New Roman"/>
          <w:sz w:val="24"/>
          <w:szCs w:val="24"/>
          <w:shd w:val="clear" w:color="auto" w:fill="FFFFFF"/>
        </w:rPr>
        <w:t xml:space="preserve">, K.,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Thinking big and thinking small: A conceptual framework for best practices in community and stakeholder engagement in food, energy, and water systems. </w:t>
      </w:r>
      <w:r w:rsidRPr="00EF18DC">
        <w:rPr>
          <w:rFonts w:ascii="Times New Roman" w:hAnsi="Times New Roman" w:cs="Times New Roman"/>
          <w:i/>
          <w:iCs/>
          <w:sz w:val="24"/>
          <w:szCs w:val="24"/>
          <w:shd w:val="clear" w:color="auto" w:fill="FFFFFF"/>
        </w:rPr>
        <w:t>Sustainability</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13</w:t>
      </w:r>
      <w:r w:rsidRPr="00EF18DC">
        <w:rPr>
          <w:rFonts w:ascii="Times New Roman" w:hAnsi="Times New Roman" w:cs="Times New Roman"/>
          <w:sz w:val="24"/>
          <w:szCs w:val="24"/>
          <w:shd w:val="clear" w:color="auto" w:fill="FFFFFF"/>
        </w:rPr>
        <w:t>(4), p.2160.</w:t>
      </w:r>
    </w:p>
    <w:p w14:paraId="21186715"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Larmar</w:t>
      </w:r>
      <w:proofErr w:type="spellEnd"/>
      <w:r w:rsidRPr="00EF18DC">
        <w:rPr>
          <w:rFonts w:ascii="Times New Roman" w:hAnsi="Times New Roman" w:cs="Times New Roman"/>
          <w:sz w:val="24"/>
          <w:szCs w:val="24"/>
          <w:shd w:val="clear" w:color="auto" w:fill="FFFFFF"/>
        </w:rPr>
        <w:t xml:space="preserve">, S., </w:t>
      </w:r>
      <w:proofErr w:type="spellStart"/>
      <w:r w:rsidRPr="00EF18DC">
        <w:rPr>
          <w:rFonts w:ascii="Times New Roman" w:hAnsi="Times New Roman" w:cs="Times New Roman"/>
          <w:sz w:val="24"/>
          <w:szCs w:val="24"/>
          <w:shd w:val="clear" w:color="auto" w:fill="FFFFFF"/>
        </w:rPr>
        <w:t>Sunuwar</w:t>
      </w:r>
      <w:proofErr w:type="spellEnd"/>
      <w:r w:rsidRPr="00EF18DC">
        <w:rPr>
          <w:rFonts w:ascii="Times New Roman" w:hAnsi="Times New Roman" w:cs="Times New Roman"/>
          <w:sz w:val="24"/>
          <w:szCs w:val="24"/>
          <w:shd w:val="clear" w:color="auto" w:fill="FFFFFF"/>
        </w:rPr>
        <w:t xml:space="preserve">, M., Sherpa, H., Joshi, R. and Jordan, L.P.,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Strengthening community engagement in Nepal during COVID-19: Community-based training and development to reduce child labour. </w:t>
      </w:r>
      <w:r w:rsidRPr="00EF18DC">
        <w:rPr>
          <w:rFonts w:ascii="Times New Roman" w:hAnsi="Times New Roman" w:cs="Times New Roman"/>
          <w:i/>
          <w:iCs/>
          <w:sz w:val="24"/>
          <w:szCs w:val="24"/>
          <w:shd w:val="clear" w:color="auto" w:fill="FFFFFF"/>
        </w:rPr>
        <w:t>Asia Pacific Journal of Social Work and Development</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31</w:t>
      </w:r>
      <w:r w:rsidRPr="00EF18DC">
        <w:rPr>
          <w:rFonts w:ascii="Times New Roman" w:hAnsi="Times New Roman" w:cs="Times New Roman"/>
          <w:sz w:val="24"/>
          <w:szCs w:val="24"/>
          <w:shd w:val="clear" w:color="auto" w:fill="FFFFFF"/>
        </w:rPr>
        <w:t>(1-2), pp.23-30.</w:t>
      </w:r>
    </w:p>
    <w:p w14:paraId="403747B4"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Murphy, J., Qureshi, O., </w:t>
      </w:r>
      <w:proofErr w:type="spellStart"/>
      <w:r w:rsidRPr="00EF18DC">
        <w:rPr>
          <w:rFonts w:ascii="Times New Roman" w:hAnsi="Times New Roman" w:cs="Times New Roman"/>
          <w:sz w:val="24"/>
          <w:szCs w:val="24"/>
          <w:shd w:val="clear" w:color="auto" w:fill="FFFFFF"/>
        </w:rPr>
        <w:t>Endale</w:t>
      </w:r>
      <w:proofErr w:type="spellEnd"/>
      <w:r w:rsidRPr="00EF18DC">
        <w:rPr>
          <w:rFonts w:ascii="Times New Roman" w:hAnsi="Times New Roman" w:cs="Times New Roman"/>
          <w:sz w:val="24"/>
          <w:szCs w:val="24"/>
          <w:shd w:val="clear" w:color="auto" w:fill="FFFFFF"/>
        </w:rPr>
        <w:t xml:space="preserve">, T., </w:t>
      </w:r>
      <w:proofErr w:type="spellStart"/>
      <w:r w:rsidRPr="00EF18DC">
        <w:rPr>
          <w:rFonts w:ascii="Times New Roman" w:hAnsi="Times New Roman" w:cs="Times New Roman"/>
          <w:sz w:val="24"/>
          <w:szCs w:val="24"/>
          <w:shd w:val="clear" w:color="auto" w:fill="FFFFFF"/>
        </w:rPr>
        <w:t>Esponda</w:t>
      </w:r>
      <w:proofErr w:type="spellEnd"/>
      <w:r w:rsidRPr="00EF18DC">
        <w:rPr>
          <w:rFonts w:ascii="Times New Roman" w:hAnsi="Times New Roman" w:cs="Times New Roman"/>
          <w:sz w:val="24"/>
          <w:szCs w:val="24"/>
          <w:shd w:val="clear" w:color="auto" w:fill="FFFFFF"/>
        </w:rPr>
        <w:t xml:space="preserve">, G.M., </w:t>
      </w:r>
      <w:proofErr w:type="spellStart"/>
      <w:r w:rsidRPr="00EF18DC">
        <w:rPr>
          <w:rFonts w:ascii="Times New Roman" w:hAnsi="Times New Roman" w:cs="Times New Roman"/>
          <w:sz w:val="24"/>
          <w:szCs w:val="24"/>
          <w:shd w:val="clear" w:color="auto" w:fill="FFFFFF"/>
        </w:rPr>
        <w:t>Pathare</w:t>
      </w:r>
      <w:proofErr w:type="spellEnd"/>
      <w:r w:rsidRPr="00EF18DC">
        <w:rPr>
          <w:rFonts w:ascii="Times New Roman" w:hAnsi="Times New Roman" w:cs="Times New Roman"/>
          <w:sz w:val="24"/>
          <w:szCs w:val="24"/>
          <w:shd w:val="clear" w:color="auto" w:fill="FFFFFF"/>
        </w:rPr>
        <w:t xml:space="preserve">, S., Eaton, J., De Silva, M. and Ryan, G.,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Barriers and drivers to stakeholder engagement in global mental health projects. </w:t>
      </w:r>
      <w:r w:rsidRPr="00EF18DC">
        <w:rPr>
          <w:rFonts w:ascii="Times New Roman" w:hAnsi="Times New Roman" w:cs="Times New Roman"/>
          <w:i/>
          <w:iCs/>
          <w:sz w:val="24"/>
          <w:szCs w:val="24"/>
          <w:shd w:val="clear" w:color="auto" w:fill="FFFFFF"/>
        </w:rPr>
        <w:t>International Journal of Mental Health Systems</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15</w:t>
      </w:r>
      <w:r w:rsidRPr="00EF18DC">
        <w:rPr>
          <w:rFonts w:ascii="Times New Roman" w:hAnsi="Times New Roman" w:cs="Times New Roman"/>
          <w:sz w:val="24"/>
          <w:szCs w:val="24"/>
          <w:shd w:val="clear" w:color="auto" w:fill="FFFFFF"/>
        </w:rPr>
        <w:t>(1), pp.1-13.</w:t>
      </w:r>
    </w:p>
    <w:p w14:paraId="23C68B46"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Perrotta, D.,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Universities and Covid-19 in Argentina: from community engagement to regulation. </w:t>
      </w:r>
      <w:r w:rsidRPr="00EF18DC">
        <w:rPr>
          <w:rFonts w:ascii="Times New Roman" w:hAnsi="Times New Roman" w:cs="Times New Roman"/>
          <w:i/>
          <w:iCs/>
          <w:sz w:val="24"/>
          <w:szCs w:val="24"/>
          <w:shd w:val="clear" w:color="auto" w:fill="FFFFFF"/>
        </w:rPr>
        <w:t>Studies in Higher Education</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46</w:t>
      </w:r>
      <w:r w:rsidRPr="00EF18DC">
        <w:rPr>
          <w:rFonts w:ascii="Times New Roman" w:hAnsi="Times New Roman" w:cs="Times New Roman"/>
          <w:sz w:val="24"/>
          <w:szCs w:val="24"/>
          <w:shd w:val="clear" w:color="auto" w:fill="FFFFFF"/>
        </w:rPr>
        <w:t>(1), pp.30-43.</w:t>
      </w:r>
    </w:p>
    <w:p w14:paraId="12D9CFD4"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Rodriguez Espinosa, P. and Verney, S.P.,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The underutilization of community‐based participatory research in psychology: A systematic review. </w:t>
      </w:r>
      <w:r w:rsidRPr="00EF18DC">
        <w:rPr>
          <w:rFonts w:ascii="Times New Roman" w:hAnsi="Times New Roman" w:cs="Times New Roman"/>
          <w:i/>
          <w:iCs/>
          <w:sz w:val="24"/>
          <w:szCs w:val="24"/>
          <w:shd w:val="clear" w:color="auto" w:fill="FFFFFF"/>
        </w:rPr>
        <w:t>American Journal of Community Psychology</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67</w:t>
      </w:r>
      <w:r w:rsidRPr="00EF18DC">
        <w:rPr>
          <w:rFonts w:ascii="Times New Roman" w:hAnsi="Times New Roman" w:cs="Times New Roman"/>
          <w:sz w:val="24"/>
          <w:szCs w:val="24"/>
          <w:shd w:val="clear" w:color="auto" w:fill="FFFFFF"/>
        </w:rPr>
        <w:t>(3-4), pp.312-326.</w:t>
      </w:r>
    </w:p>
    <w:p w14:paraId="4906B1DC"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Sanders Thompson, V.L., Ackermann, N., Bauer, K.L., Bowen, D.J. and Goodman, M.S.,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Strategies of community engagement in research: definitions and classifications. </w:t>
      </w:r>
      <w:r w:rsidRPr="00EF18DC">
        <w:rPr>
          <w:rFonts w:ascii="Times New Roman" w:hAnsi="Times New Roman" w:cs="Times New Roman"/>
          <w:i/>
          <w:iCs/>
          <w:sz w:val="24"/>
          <w:szCs w:val="24"/>
          <w:shd w:val="clear" w:color="auto" w:fill="FFFFFF"/>
        </w:rPr>
        <w:t xml:space="preserve">Translational </w:t>
      </w:r>
      <w:proofErr w:type="spellStart"/>
      <w:r w:rsidRPr="00EF18DC">
        <w:rPr>
          <w:rFonts w:ascii="Times New Roman" w:hAnsi="Times New Roman" w:cs="Times New Roman"/>
          <w:i/>
          <w:iCs/>
          <w:sz w:val="24"/>
          <w:szCs w:val="24"/>
          <w:shd w:val="clear" w:color="auto" w:fill="FFFFFF"/>
        </w:rPr>
        <w:t>Behavioral</w:t>
      </w:r>
      <w:proofErr w:type="spellEnd"/>
      <w:r w:rsidRPr="00EF18DC">
        <w:rPr>
          <w:rFonts w:ascii="Times New Roman" w:hAnsi="Times New Roman" w:cs="Times New Roman"/>
          <w:i/>
          <w:iCs/>
          <w:sz w:val="24"/>
          <w:szCs w:val="24"/>
          <w:shd w:val="clear" w:color="auto" w:fill="FFFFFF"/>
        </w:rPr>
        <w:t xml:space="preserve"> Medicine</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11</w:t>
      </w:r>
      <w:r w:rsidRPr="00EF18DC">
        <w:rPr>
          <w:rFonts w:ascii="Times New Roman" w:hAnsi="Times New Roman" w:cs="Times New Roman"/>
          <w:sz w:val="24"/>
          <w:szCs w:val="24"/>
          <w:shd w:val="clear" w:color="auto" w:fill="FFFFFF"/>
        </w:rPr>
        <w:t>(2), pp.441-451.</w:t>
      </w:r>
    </w:p>
    <w:p w14:paraId="20E22774"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Shannon, J., Hankins, K.B., Shelton, T., </w:t>
      </w:r>
      <w:proofErr w:type="spellStart"/>
      <w:r w:rsidRPr="00EF18DC">
        <w:rPr>
          <w:rFonts w:ascii="Times New Roman" w:hAnsi="Times New Roman" w:cs="Times New Roman"/>
          <w:sz w:val="24"/>
          <w:szCs w:val="24"/>
          <w:shd w:val="clear" w:color="auto" w:fill="FFFFFF"/>
        </w:rPr>
        <w:t>Bosse</w:t>
      </w:r>
      <w:proofErr w:type="spellEnd"/>
      <w:r w:rsidRPr="00EF18DC">
        <w:rPr>
          <w:rFonts w:ascii="Times New Roman" w:hAnsi="Times New Roman" w:cs="Times New Roman"/>
          <w:sz w:val="24"/>
          <w:szCs w:val="24"/>
          <w:shd w:val="clear" w:color="auto" w:fill="FFFFFF"/>
        </w:rPr>
        <w:t xml:space="preserve">, A.J., Scott, D., Block, D., Fischer, H., Eaves, L.E., Jung, J.K., Robinson, J. and Solís, P.,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Community geography: Toward a disciplinary framework. </w:t>
      </w:r>
      <w:r w:rsidRPr="00EF18DC">
        <w:rPr>
          <w:rFonts w:ascii="Times New Roman" w:hAnsi="Times New Roman" w:cs="Times New Roman"/>
          <w:i/>
          <w:iCs/>
          <w:sz w:val="24"/>
          <w:szCs w:val="24"/>
          <w:shd w:val="clear" w:color="auto" w:fill="FFFFFF"/>
        </w:rPr>
        <w:t>Progress in Human Geography</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45</w:t>
      </w:r>
      <w:r w:rsidRPr="00EF18DC">
        <w:rPr>
          <w:rFonts w:ascii="Times New Roman" w:hAnsi="Times New Roman" w:cs="Times New Roman"/>
          <w:sz w:val="24"/>
          <w:szCs w:val="24"/>
          <w:shd w:val="clear" w:color="auto" w:fill="FFFFFF"/>
        </w:rPr>
        <w:t>(5), pp.1147-1168.</w:t>
      </w:r>
    </w:p>
    <w:p w14:paraId="1F106183"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Stadelmann</w:t>
      </w:r>
      <w:proofErr w:type="spellEnd"/>
      <w:r w:rsidRPr="00EF18DC">
        <w:rPr>
          <w:rFonts w:ascii="Times New Roman" w:hAnsi="Times New Roman" w:cs="Times New Roman"/>
          <w:sz w:val="24"/>
          <w:szCs w:val="24"/>
          <w:shd w:val="clear" w:color="auto" w:fill="FFFFFF"/>
        </w:rPr>
        <w:t xml:space="preserve">-Steffen, I. and </w:t>
      </w:r>
      <w:proofErr w:type="spellStart"/>
      <w:r w:rsidRPr="00EF18DC">
        <w:rPr>
          <w:rFonts w:ascii="Times New Roman" w:hAnsi="Times New Roman" w:cs="Times New Roman"/>
          <w:sz w:val="24"/>
          <w:szCs w:val="24"/>
          <w:shd w:val="clear" w:color="auto" w:fill="FFFFFF"/>
        </w:rPr>
        <w:t>Dermont</w:t>
      </w:r>
      <w:proofErr w:type="spellEnd"/>
      <w:r w:rsidRPr="00EF18DC">
        <w:rPr>
          <w:rFonts w:ascii="Times New Roman" w:hAnsi="Times New Roman" w:cs="Times New Roman"/>
          <w:sz w:val="24"/>
          <w:szCs w:val="24"/>
          <w:shd w:val="clear" w:color="auto" w:fill="FFFFFF"/>
        </w:rPr>
        <w:t xml:space="preserve">, C.,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Acceptance through inclusion? Political and economic participation and the acceptance of local renewable energy projects in Switzerland. </w:t>
      </w:r>
      <w:r w:rsidRPr="00EF18DC">
        <w:rPr>
          <w:rFonts w:ascii="Times New Roman" w:hAnsi="Times New Roman" w:cs="Times New Roman"/>
          <w:i/>
          <w:iCs/>
          <w:sz w:val="24"/>
          <w:szCs w:val="24"/>
          <w:shd w:val="clear" w:color="auto" w:fill="FFFFFF"/>
        </w:rPr>
        <w:t>Energy research &amp; social science</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71</w:t>
      </w:r>
      <w:r w:rsidRPr="00EF18DC">
        <w:rPr>
          <w:rFonts w:ascii="Times New Roman" w:hAnsi="Times New Roman" w:cs="Times New Roman"/>
          <w:sz w:val="24"/>
          <w:szCs w:val="24"/>
          <w:shd w:val="clear" w:color="auto" w:fill="FFFFFF"/>
        </w:rPr>
        <w:t>, p.101818.</w:t>
      </w:r>
    </w:p>
    <w:p w14:paraId="5279A64C"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r w:rsidRPr="00EF18DC">
        <w:rPr>
          <w:rFonts w:ascii="Times New Roman" w:hAnsi="Times New Roman" w:cs="Times New Roman"/>
          <w:sz w:val="24"/>
          <w:szCs w:val="24"/>
          <w:shd w:val="clear" w:color="auto" w:fill="FFFFFF"/>
        </w:rPr>
        <w:t xml:space="preserve">Tembo, D., Hickey, G., Montenegro, C., Chandler, D., Nelson, E., Porter, K., </w:t>
      </w:r>
      <w:proofErr w:type="spellStart"/>
      <w:r w:rsidRPr="00EF18DC">
        <w:rPr>
          <w:rFonts w:ascii="Times New Roman" w:hAnsi="Times New Roman" w:cs="Times New Roman"/>
          <w:sz w:val="24"/>
          <w:szCs w:val="24"/>
          <w:shd w:val="clear" w:color="auto" w:fill="FFFFFF"/>
        </w:rPr>
        <w:t>Dikomitis</w:t>
      </w:r>
      <w:proofErr w:type="spellEnd"/>
      <w:r w:rsidRPr="00EF18DC">
        <w:rPr>
          <w:rFonts w:ascii="Times New Roman" w:hAnsi="Times New Roman" w:cs="Times New Roman"/>
          <w:sz w:val="24"/>
          <w:szCs w:val="24"/>
          <w:shd w:val="clear" w:color="auto" w:fill="FFFFFF"/>
        </w:rPr>
        <w:t xml:space="preserve">, L., Chambers, M., </w:t>
      </w:r>
      <w:proofErr w:type="spellStart"/>
      <w:r w:rsidRPr="00EF18DC">
        <w:rPr>
          <w:rFonts w:ascii="Times New Roman" w:hAnsi="Times New Roman" w:cs="Times New Roman"/>
          <w:sz w:val="24"/>
          <w:szCs w:val="24"/>
          <w:shd w:val="clear" w:color="auto" w:fill="FFFFFF"/>
        </w:rPr>
        <w:t>Chimbari</w:t>
      </w:r>
      <w:proofErr w:type="spellEnd"/>
      <w:r w:rsidRPr="00EF18DC">
        <w:rPr>
          <w:rFonts w:ascii="Times New Roman" w:hAnsi="Times New Roman" w:cs="Times New Roman"/>
          <w:sz w:val="24"/>
          <w:szCs w:val="24"/>
          <w:shd w:val="clear" w:color="auto" w:fill="FFFFFF"/>
        </w:rPr>
        <w:t xml:space="preserve">, M., Mumba, N. and Beresford, P.,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Effective engagement and involvement with community stakeholders in the co-production of global health research. </w:t>
      </w:r>
      <w:proofErr w:type="spellStart"/>
      <w:r w:rsidRPr="00EF18DC">
        <w:rPr>
          <w:rFonts w:ascii="Times New Roman" w:hAnsi="Times New Roman" w:cs="Times New Roman"/>
          <w:i/>
          <w:iCs/>
          <w:sz w:val="24"/>
          <w:szCs w:val="24"/>
          <w:shd w:val="clear" w:color="auto" w:fill="FFFFFF"/>
        </w:rPr>
        <w:t>bmj</w:t>
      </w:r>
      <w:proofErr w:type="spellEnd"/>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372</w:t>
      </w:r>
      <w:r w:rsidRPr="00EF18DC">
        <w:rPr>
          <w:rFonts w:ascii="Times New Roman" w:hAnsi="Times New Roman" w:cs="Times New Roman"/>
          <w:sz w:val="24"/>
          <w:szCs w:val="24"/>
          <w:shd w:val="clear" w:color="auto" w:fill="FFFFFF"/>
        </w:rPr>
        <w:t>.</w:t>
      </w:r>
    </w:p>
    <w:p w14:paraId="1FED84EF" w14:textId="77777777" w:rsidR="00823D13" w:rsidRPr="00EF18DC" w:rsidRDefault="00823D13" w:rsidP="009C7842">
      <w:pPr>
        <w:spacing w:line="360" w:lineRule="auto"/>
        <w:jc w:val="both"/>
        <w:rPr>
          <w:rFonts w:ascii="Times New Roman" w:hAnsi="Times New Roman" w:cs="Times New Roman"/>
          <w:sz w:val="24"/>
          <w:szCs w:val="24"/>
          <w:shd w:val="clear" w:color="auto" w:fill="FFFFFF"/>
        </w:rPr>
      </w:pPr>
      <w:proofErr w:type="spellStart"/>
      <w:r w:rsidRPr="00EF18DC">
        <w:rPr>
          <w:rFonts w:ascii="Times New Roman" w:hAnsi="Times New Roman" w:cs="Times New Roman"/>
          <w:sz w:val="24"/>
          <w:szCs w:val="24"/>
          <w:shd w:val="clear" w:color="auto" w:fill="FFFFFF"/>
        </w:rPr>
        <w:t>Tricarico</w:t>
      </w:r>
      <w:proofErr w:type="spellEnd"/>
      <w:r w:rsidRPr="00EF18DC">
        <w:rPr>
          <w:rFonts w:ascii="Times New Roman" w:hAnsi="Times New Roman" w:cs="Times New Roman"/>
          <w:sz w:val="24"/>
          <w:szCs w:val="24"/>
          <w:shd w:val="clear" w:color="auto" w:fill="FFFFFF"/>
        </w:rPr>
        <w:t xml:space="preserve">, L., </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F18DC">
        <w:rPr>
          <w:rFonts w:ascii="Times New Roman" w:hAnsi="Times New Roman" w:cs="Times New Roman"/>
          <w:sz w:val="24"/>
          <w:szCs w:val="24"/>
          <w:shd w:val="clear" w:color="auto" w:fill="FFFFFF"/>
        </w:rPr>
        <w:t>. Is community earning enough? Reflections on engagement processes and drivers in two Italian energy communities. </w:t>
      </w:r>
      <w:r w:rsidRPr="00EF18DC">
        <w:rPr>
          <w:rFonts w:ascii="Times New Roman" w:hAnsi="Times New Roman" w:cs="Times New Roman"/>
          <w:i/>
          <w:iCs/>
          <w:sz w:val="24"/>
          <w:szCs w:val="24"/>
          <w:shd w:val="clear" w:color="auto" w:fill="FFFFFF"/>
        </w:rPr>
        <w:t>Energy Research &amp; Social Science</w:t>
      </w:r>
      <w:r w:rsidRPr="00EF18DC">
        <w:rPr>
          <w:rFonts w:ascii="Times New Roman" w:hAnsi="Times New Roman" w:cs="Times New Roman"/>
          <w:sz w:val="24"/>
          <w:szCs w:val="24"/>
          <w:shd w:val="clear" w:color="auto" w:fill="FFFFFF"/>
        </w:rPr>
        <w:t>, </w:t>
      </w:r>
      <w:r w:rsidRPr="00EF18DC">
        <w:rPr>
          <w:rFonts w:ascii="Times New Roman" w:hAnsi="Times New Roman" w:cs="Times New Roman"/>
          <w:i/>
          <w:iCs/>
          <w:sz w:val="24"/>
          <w:szCs w:val="24"/>
          <w:shd w:val="clear" w:color="auto" w:fill="FFFFFF"/>
        </w:rPr>
        <w:t>72</w:t>
      </w:r>
      <w:r w:rsidRPr="00EF18DC">
        <w:rPr>
          <w:rFonts w:ascii="Times New Roman" w:hAnsi="Times New Roman" w:cs="Times New Roman"/>
          <w:sz w:val="24"/>
          <w:szCs w:val="24"/>
          <w:shd w:val="clear" w:color="auto" w:fill="FFFFFF"/>
        </w:rPr>
        <w:t>, p.101899.</w:t>
      </w:r>
    </w:p>
    <w:p w14:paraId="361674AE" w14:textId="77777777" w:rsidR="002E3AA9" w:rsidRPr="00EF18DC" w:rsidRDefault="002E3AA9" w:rsidP="009C7842">
      <w:pPr>
        <w:spacing w:line="360" w:lineRule="auto"/>
        <w:rPr>
          <w:rFonts w:ascii="Times New Roman" w:hAnsi="Times New Roman" w:cs="Times New Roman"/>
          <w:sz w:val="24"/>
          <w:szCs w:val="24"/>
          <w:lang w:val="en-US"/>
        </w:rPr>
      </w:pPr>
    </w:p>
    <w:sectPr w:rsidR="002E3AA9" w:rsidRPr="00EF18D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A5E8" w14:textId="77777777" w:rsidR="00CE3142" w:rsidRDefault="00CE3142" w:rsidP="002E3AA9">
      <w:pPr>
        <w:spacing w:after="0" w:line="240" w:lineRule="auto"/>
      </w:pPr>
      <w:r>
        <w:separator/>
      </w:r>
    </w:p>
  </w:endnote>
  <w:endnote w:type="continuationSeparator" w:id="0">
    <w:p w14:paraId="79E05DB9" w14:textId="77777777" w:rsidR="00CE3142" w:rsidRDefault="00CE3142" w:rsidP="002E3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44123799"/>
      <w:docPartObj>
        <w:docPartGallery w:val="Page Numbers (Bottom of Page)"/>
        <w:docPartUnique/>
      </w:docPartObj>
    </w:sdtPr>
    <w:sdtEndPr>
      <w:rPr>
        <w:noProof/>
      </w:rPr>
    </w:sdtEndPr>
    <w:sdtContent>
      <w:p w14:paraId="0F9896F6" w14:textId="282B59DB" w:rsidR="002E3AA9" w:rsidRPr="002E3AA9" w:rsidRDefault="002E3AA9">
        <w:pPr>
          <w:pStyle w:val="Footer"/>
          <w:jc w:val="center"/>
          <w:rPr>
            <w:rFonts w:ascii="Times New Roman" w:hAnsi="Times New Roman" w:cs="Times New Roman"/>
            <w:sz w:val="24"/>
            <w:szCs w:val="24"/>
          </w:rPr>
        </w:pPr>
        <w:r w:rsidRPr="002E3AA9">
          <w:rPr>
            <w:rFonts w:ascii="Times New Roman" w:hAnsi="Times New Roman" w:cs="Times New Roman"/>
            <w:sz w:val="24"/>
            <w:szCs w:val="24"/>
          </w:rPr>
          <w:fldChar w:fldCharType="begin"/>
        </w:r>
        <w:r w:rsidRPr="002E3AA9">
          <w:rPr>
            <w:rFonts w:ascii="Times New Roman" w:hAnsi="Times New Roman" w:cs="Times New Roman"/>
            <w:sz w:val="24"/>
            <w:szCs w:val="24"/>
          </w:rPr>
          <w:instrText xml:space="preserve"> PAGE   \* MERGEFORMAT </w:instrText>
        </w:r>
        <w:r w:rsidRPr="002E3AA9">
          <w:rPr>
            <w:rFonts w:ascii="Times New Roman" w:hAnsi="Times New Roman" w:cs="Times New Roman"/>
            <w:sz w:val="24"/>
            <w:szCs w:val="24"/>
          </w:rPr>
          <w:fldChar w:fldCharType="separate"/>
        </w:r>
        <w:r w:rsidR="00823D13">
          <w:rPr>
            <w:rFonts w:ascii="Times New Roman" w:hAnsi="Times New Roman" w:cs="Times New Roman"/>
            <w:noProof/>
            <w:sz w:val="24"/>
            <w:szCs w:val="24"/>
          </w:rPr>
          <w:t>10</w:t>
        </w:r>
        <w:r w:rsidRPr="002E3AA9">
          <w:rPr>
            <w:rFonts w:ascii="Times New Roman" w:hAnsi="Times New Roman" w:cs="Times New Roman"/>
            <w:noProof/>
            <w:sz w:val="24"/>
            <w:szCs w:val="24"/>
          </w:rPr>
          <w:fldChar w:fldCharType="end"/>
        </w:r>
      </w:p>
    </w:sdtContent>
  </w:sdt>
  <w:p w14:paraId="5502EB86" w14:textId="77777777" w:rsidR="002E3AA9" w:rsidRDefault="002E3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0E1DF" w14:textId="77777777" w:rsidR="00CE3142" w:rsidRDefault="00CE3142" w:rsidP="002E3AA9">
      <w:pPr>
        <w:spacing w:after="0" w:line="240" w:lineRule="auto"/>
      </w:pPr>
      <w:r>
        <w:separator/>
      </w:r>
    </w:p>
  </w:footnote>
  <w:footnote w:type="continuationSeparator" w:id="0">
    <w:p w14:paraId="5AA664C9" w14:textId="77777777" w:rsidR="00CE3142" w:rsidRDefault="00CE3142" w:rsidP="002E3A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AA9"/>
    <w:rsid w:val="00013683"/>
    <w:rsid w:val="000C115F"/>
    <w:rsid w:val="002E3AA9"/>
    <w:rsid w:val="004E6A65"/>
    <w:rsid w:val="00557BBD"/>
    <w:rsid w:val="007E64E9"/>
    <w:rsid w:val="00823D13"/>
    <w:rsid w:val="009C7842"/>
    <w:rsid w:val="00A4149D"/>
    <w:rsid w:val="00C214BE"/>
    <w:rsid w:val="00CE3142"/>
    <w:rsid w:val="00D24021"/>
    <w:rsid w:val="00D37F77"/>
    <w:rsid w:val="00EF18DC"/>
    <w:rsid w:val="00FE21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011EC"/>
  <w15:chartTrackingRefBased/>
  <w15:docId w15:val="{F013E01D-225D-4DEA-BFCC-D2A8DA00A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A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18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AA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E3A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3AA9"/>
  </w:style>
  <w:style w:type="paragraph" w:styleId="Footer">
    <w:name w:val="footer"/>
    <w:basedOn w:val="Normal"/>
    <w:link w:val="FooterChar"/>
    <w:uiPriority w:val="99"/>
    <w:unhideWhenUsed/>
    <w:rsid w:val="002E3A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3AA9"/>
  </w:style>
  <w:style w:type="character" w:customStyle="1" w:styleId="Heading2Char">
    <w:name w:val="Heading 2 Char"/>
    <w:basedOn w:val="DefaultParagraphFont"/>
    <w:link w:val="Heading2"/>
    <w:uiPriority w:val="9"/>
    <w:semiHidden/>
    <w:rsid w:val="00EF18D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F18DC"/>
    <w:pPr>
      <w:outlineLvl w:val="9"/>
    </w:pPr>
    <w:rPr>
      <w:lang w:val="en-US"/>
    </w:rPr>
  </w:style>
  <w:style w:type="paragraph" w:styleId="TOC1">
    <w:name w:val="toc 1"/>
    <w:basedOn w:val="Normal"/>
    <w:next w:val="Normal"/>
    <w:autoRedefine/>
    <w:uiPriority w:val="39"/>
    <w:unhideWhenUsed/>
    <w:rsid w:val="00EF18DC"/>
    <w:pPr>
      <w:spacing w:after="100"/>
    </w:pPr>
  </w:style>
  <w:style w:type="paragraph" w:styleId="TOC2">
    <w:name w:val="toc 2"/>
    <w:basedOn w:val="Normal"/>
    <w:next w:val="Normal"/>
    <w:autoRedefine/>
    <w:uiPriority w:val="39"/>
    <w:unhideWhenUsed/>
    <w:rsid w:val="00EF18DC"/>
    <w:pPr>
      <w:spacing w:after="100"/>
      <w:ind w:left="220"/>
    </w:pPr>
  </w:style>
  <w:style w:type="character" w:styleId="Hyperlink">
    <w:name w:val="Hyperlink"/>
    <w:basedOn w:val="DefaultParagraphFont"/>
    <w:uiPriority w:val="99"/>
    <w:unhideWhenUsed/>
    <w:rsid w:val="00EF18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43528">
      <w:bodyDiv w:val="1"/>
      <w:marLeft w:val="0"/>
      <w:marRight w:val="0"/>
      <w:marTop w:val="0"/>
      <w:marBottom w:val="0"/>
      <w:divBdr>
        <w:top w:val="none" w:sz="0" w:space="0" w:color="auto"/>
        <w:left w:val="none" w:sz="0" w:space="0" w:color="auto"/>
        <w:bottom w:val="none" w:sz="0" w:space="0" w:color="auto"/>
        <w:right w:val="none" w:sz="0" w:space="0" w:color="auto"/>
      </w:divBdr>
    </w:div>
    <w:div w:id="502666136">
      <w:bodyDiv w:val="1"/>
      <w:marLeft w:val="0"/>
      <w:marRight w:val="0"/>
      <w:marTop w:val="0"/>
      <w:marBottom w:val="0"/>
      <w:divBdr>
        <w:top w:val="none" w:sz="0" w:space="0" w:color="auto"/>
        <w:left w:val="none" w:sz="0" w:space="0" w:color="auto"/>
        <w:bottom w:val="none" w:sz="0" w:space="0" w:color="auto"/>
        <w:right w:val="none" w:sz="0" w:space="0" w:color="auto"/>
      </w:divBdr>
    </w:div>
    <w:div w:id="150755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5F18ED-6BAF-4D41-B7CE-599AF0FCD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Razvan Mocanu</cp:lastModifiedBy>
  <cp:revision>4</cp:revision>
  <dcterms:created xsi:type="dcterms:W3CDTF">2022-11-30T17:43:00Z</dcterms:created>
  <dcterms:modified xsi:type="dcterms:W3CDTF">2022-12-01T15:30:00Z</dcterms:modified>
</cp:coreProperties>
</file>