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F5BCE" w14:textId="77777777" w:rsidR="001B74D1" w:rsidRDefault="00000000" w:rsidP="00322F4F">
      <w:pPr>
        <w:jc w:val="center"/>
      </w:pPr>
      <w:r>
        <w:rPr>
          <w:noProof/>
        </w:rPr>
        <w:drawing>
          <wp:inline distT="0" distB="0" distL="0" distR="0" wp14:anchorId="1C12176A" wp14:editId="7D1905A9">
            <wp:extent cx="3378200" cy="1185257"/>
            <wp:effectExtent l="0" t="0" r="0" b="0"/>
            <wp:docPr id="910225136"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225136"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07124" cy="1195405"/>
                    </a:xfrm>
                    <a:prstGeom prst="rect">
                      <a:avLst/>
                    </a:prstGeom>
                    <a:noFill/>
                    <a:ln>
                      <a:noFill/>
                    </a:ln>
                  </pic:spPr>
                </pic:pic>
              </a:graphicData>
            </a:graphic>
          </wp:inline>
        </w:drawing>
      </w:r>
    </w:p>
    <w:p w14:paraId="70C1A2BC" w14:textId="77777777" w:rsidR="00322F4F" w:rsidRDefault="00322F4F" w:rsidP="00322F4F">
      <w:pPr>
        <w:jc w:val="center"/>
      </w:pPr>
    </w:p>
    <w:p w14:paraId="4F8CE947" w14:textId="77777777" w:rsidR="00322F4F" w:rsidRPr="00322F4F" w:rsidRDefault="00000000" w:rsidP="00322F4F">
      <w:pPr>
        <w:jc w:val="center"/>
        <w:rPr>
          <w:b/>
          <w:bCs/>
          <w:sz w:val="28"/>
          <w:szCs w:val="24"/>
        </w:rPr>
      </w:pPr>
      <w:r w:rsidRPr="00322F4F">
        <w:rPr>
          <w:b/>
          <w:bCs/>
          <w:sz w:val="28"/>
          <w:szCs w:val="24"/>
        </w:rPr>
        <w:t>Module Code: LCMB7034</w:t>
      </w:r>
    </w:p>
    <w:p w14:paraId="6BDE20AE" w14:textId="77777777" w:rsidR="00322F4F" w:rsidRPr="00322F4F" w:rsidRDefault="00000000" w:rsidP="00322F4F">
      <w:pPr>
        <w:jc w:val="center"/>
        <w:rPr>
          <w:b/>
          <w:bCs/>
          <w:sz w:val="28"/>
          <w:szCs w:val="24"/>
        </w:rPr>
      </w:pPr>
      <w:r w:rsidRPr="00322F4F">
        <w:rPr>
          <w:b/>
          <w:bCs/>
          <w:sz w:val="28"/>
          <w:szCs w:val="24"/>
        </w:rPr>
        <w:t>Module Name: International Business Concepts</w:t>
      </w:r>
    </w:p>
    <w:p w14:paraId="4398B5E3" w14:textId="77777777" w:rsidR="00322F4F" w:rsidRPr="00322F4F" w:rsidRDefault="00000000" w:rsidP="00322F4F">
      <w:pPr>
        <w:jc w:val="center"/>
        <w:rPr>
          <w:b/>
          <w:bCs/>
          <w:sz w:val="28"/>
          <w:szCs w:val="24"/>
        </w:rPr>
      </w:pPr>
      <w:r w:rsidRPr="00322F4F">
        <w:rPr>
          <w:b/>
          <w:bCs/>
          <w:sz w:val="28"/>
          <w:szCs w:val="24"/>
        </w:rPr>
        <w:t>Assignment Title: Report</w:t>
      </w:r>
    </w:p>
    <w:p w14:paraId="548696E9" w14:textId="77777777" w:rsidR="00322F4F" w:rsidRPr="00322F4F" w:rsidRDefault="00322F4F" w:rsidP="00322F4F">
      <w:pPr>
        <w:jc w:val="center"/>
        <w:rPr>
          <w:b/>
          <w:bCs/>
          <w:sz w:val="28"/>
          <w:szCs w:val="24"/>
        </w:rPr>
      </w:pPr>
    </w:p>
    <w:p w14:paraId="4A58537E" w14:textId="77777777" w:rsidR="00322F4F" w:rsidRPr="00322F4F" w:rsidRDefault="00322F4F" w:rsidP="00322F4F">
      <w:pPr>
        <w:jc w:val="center"/>
        <w:rPr>
          <w:b/>
          <w:bCs/>
          <w:sz w:val="28"/>
          <w:szCs w:val="24"/>
        </w:rPr>
      </w:pPr>
    </w:p>
    <w:p w14:paraId="3987E35D" w14:textId="1C0769A1" w:rsidR="00322F4F" w:rsidRPr="00322F4F" w:rsidRDefault="00000000" w:rsidP="00322F4F">
      <w:pPr>
        <w:jc w:val="center"/>
        <w:rPr>
          <w:b/>
          <w:bCs/>
          <w:sz w:val="28"/>
          <w:szCs w:val="24"/>
        </w:rPr>
      </w:pPr>
      <w:r w:rsidRPr="00322F4F">
        <w:rPr>
          <w:b/>
          <w:bCs/>
          <w:sz w:val="28"/>
          <w:szCs w:val="24"/>
        </w:rPr>
        <w:t>Student Name:</w:t>
      </w:r>
      <w:r w:rsidR="00E055F5">
        <w:rPr>
          <w:b/>
          <w:bCs/>
          <w:sz w:val="28"/>
          <w:szCs w:val="24"/>
        </w:rPr>
        <w:t xml:space="preserve"> Md Shadhin</w:t>
      </w:r>
    </w:p>
    <w:p w14:paraId="2D2A316A" w14:textId="651B1FBF" w:rsidR="00322F4F" w:rsidRPr="00322F4F" w:rsidRDefault="00000000" w:rsidP="00322F4F">
      <w:pPr>
        <w:jc w:val="center"/>
        <w:rPr>
          <w:b/>
          <w:bCs/>
          <w:sz w:val="28"/>
          <w:szCs w:val="24"/>
        </w:rPr>
      </w:pPr>
      <w:r w:rsidRPr="00322F4F">
        <w:rPr>
          <w:b/>
          <w:bCs/>
          <w:sz w:val="28"/>
          <w:szCs w:val="24"/>
        </w:rPr>
        <w:t>Student ID:</w:t>
      </w:r>
      <w:r w:rsidR="00E055F5">
        <w:rPr>
          <w:b/>
          <w:bCs/>
          <w:sz w:val="28"/>
          <w:szCs w:val="24"/>
        </w:rPr>
        <w:t xml:space="preserve"> 2505230</w:t>
      </w:r>
    </w:p>
    <w:p w14:paraId="46B6860D" w14:textId="77777777" w:rsidR="00322F4F" w:rsidRPr="00322F4F" w:rsidRDefault="00322F4F" w:rsidP="00322F4F">
      <w:pPr>
        <w:jc w:val="center"/>
        <w:rPr>
          <w:b/>
          <w:bCs/>
          <w:sz w:val="28"/>
          <w:szCs w:val="24"/>
        </w:rPr>
      </w:pPr>
    </w:p>
    <w:p w14:paraId="634172B1" w14:textId="77777777" w:rsidR="00322F4F" w:rsidRPr="00322F4F" w:rsidRDefault="00000000" w:rsidP="00322F4F">
      <w:pPr>
        <w:jc w:val="center"/>
        <w:rPr>
          <w:b/>
          <w:bCs/>
          <w:sz w:val="28"/>
          <w:szCs w:val="24"/>
        </w:rPr>
      </w:pPr>
      <w:r w:rsidRPr="00322F4F">
        <w:rPr>
          <w:b/>
          <w:bCs/>
          <w:sz w:val="28"/>
          <w:szCs w:val="24"/>
        </w:rPr>
        <w:t>Lecturer Name: Akshay Narayanan</w:t>
      </w:r>
    </w:p>
    <w:p w14:paraId="60D9E590" w14:textId="77777777" w:rsidR="00322F4F" w:rsidRPr="00322F4F" w:rsidRDefault="00322F4F" w:rsidP="00322F4F">
      <w:pPr>
        <w:jc w:val="center"/>
        <w:rPr>
          <w:b/>
          <w:bCs/>
          <w:sz w:val="28"/>
          <w:szCs w:val="24"/>
        </w:rPr>
      </w:pPr>
    </w:p>
    <w:p w14:paraId="2248A96B" w14:textId="79553E09" w:rsidR="00322F4F" w:rsidRPr="00322F4F" w:rsidRDefault="00000000" w:rsidP="00322F4F">
      <w:pPr>
        <w:jc w:val="center"/>
        <w:rPr>
          <w:b/>
          <w:bCs/>
          <w:sz w:val="28"/>
          <w:szCs w:val="24"/>
        </w:rPr>
      </w:pPr>
      <w:r w:rsidRPr="00322F4F">
        <w:rPr>
          <w:b/>
          <w:bCs/>
          <w:sz w:val="28"/>
          <w:szCs w:val="24"/>
        </w:rPr>
        <w:t>Word Count:</w:t>
      </w:r>
      <w:r w:rsidR="00696F7B">
        <w:rPr>
          <w:b/>
          <w:bCs/>
          <w:sz w:val="28"/>
          <w:szCs w:val="24"/>
        </w:rPr>
        <w:t xml:space="preserve"> 5371</w:t>
      </w:r>
    </w:p>
    <w:p w14:paraId="58983B1F" w14:textId="77777777" w:rsidR="00322F4F" w:rsidRDefault="00000000">
      <w:pPr>
        <w:spacing w:line="259" w:lineRule="auto"/>
        <w:jc w:val="left"/>
      </w:pPr>
      <w:r>
        <w:br w:type="page"/>
      </w:r>
    </w:p>
    <w:p w14:paraId="39519F45" w14:textId="77777777" w:rsidR="00696F7B" w:rsidRPr="00696F7B" w:rsidRDefault="00696F7B" w:rsidP="00696F7B">
      <w:pPr>
        <w:rPr>
          <w:rFonts w:eastAsiaTheme="majorEastAsia" w:cstheme="majorBidi"/>
          <w:b/>
          <w:sz w:val="30"/>
          <w:szCs w:val="32"/>
        </w:rPr>
      </w:pPr>
      <w:r>
        <w:lastRenderedPageBreak/>
        <w:t>-</w:t>
      </w:r>
    </w:p>
    <w:sdt>
      <w:sdtPr>
        <w:rPr>
          <w:rFonts w:eastAsiaTheme="minorHAnsi" w:cstheme="minorBidi"/>
          <w:b w:val="0"/>
          <w:kern w:val="2"/>
          <w:sz w:val="24"/>
          <w:szCs w:val="22"/>
          <w14:ligatures w14:val="standardContextual"/>
        </w:rPr>
        <w:id w:val="525760626"/>
        <w:docPartObj>
          <w:docPartGallery w:val="Table of Contents"/>
          <w:docPartUnique/>
        </w:docPartObj>
      </w:sdtPr>
      <w:sdtEndPr>
        <w:rPr>
          <w:bCs/>
          <w:noProof/>
        </w:rPr>
      </w:sdtEndPr>
      <w:sdtContent>
        <w:p w14:paraId="0B57FC73" w14:textId="07602D02" w:rsidR="00696F7B" w:rsidRDefault="00696F7B">
          <w:pPr>
            <w:pStyle w:val="TOCHeading"/>
          </w:pPr>
          <w:r>
            <w:t>Table of Contents</w:t>
          </w:r>
        </w:p>
        <w:p w14:paraId="134D6930" w14:textId="490BBF78" w:rsidR="002E1A27" w:rsidRDefault="00696F7B">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27273892" w:history="1">
            <w:r w:rsidR="002E1A27" w:rsidRPr="00D65B99">
              <w:rPr>
                <w:rStyle w:val="Hyperlink"/>
                <w:noProof/>
              </w:rPr>
              <w:t>Section 1: Report</w:t>
            </w:r>
            <w:r w:rsidR="002E1A27">
              <w:rPr>
                <w:noProof/>
                <w:webHidden/>
              </w:rPr>
              <w:tab/>
            </w:r>
            <w:r w:rsidR="002E1A27">
              <w:rPr>
                <w:noProof/>
                <w:webHidden/>
              </w:rPr>
              <w:fldChar w:fldCharType="begin"/>
            </w:r>
            <w:r w:rsidR="002E1A27">
              <w:rPr>
                <w:noProof/>
                <w:webHidden/>
              </w:rPr>
              <w:instrText xml:space="preserve"> PAGEREF _Toc227273892 \h </w:instrText>
            </w:r>
            <w:r w:rsidR="002E1A27">
              <w:rPr>
                <w:noProof/>
                <w:webHidden/>
              </w:rPr>
            </w:r>
            <w:r w:rsidR="002E1A27">
              <w:rPr>
                <w:noProof/>
                <w:webHidden/>
              </w:rPr>
              <w:fldChar w:fldCharType="separate"/>
            </w:r>
            <w:r w:rsidR="002E1A27">
              <w:rPr>
                <w:noProof/>
                <w:webHidden/>
              </w:rPr>
              <w:t>3</w:t>
            </w:r>
            <w:r w:rsidR="002E1A27">
              <w:rPr>
                <w:noProof/>
                <w:webHidden/>
              </w:rPr>
              <w:fldChar w:fldCharType="end"/>
            </w:r>
          </w:hyperlink>
        </w:p>
        <w:p w14:paraId="1BC90F16" w14:textId="0EDD5B00" w:rsidR="002E1A27" w:rsidRDefault="002E1A27">
          <w:pPr>
            <w:pStyle w:val="TOC1"/>
            <w:tabs>
              <w:tab w:val="right" w:leader="dot" w:pos="9350"/>
            </w:tabs>
            <w:rPr>
              <w:rFonts w:asciiTheme="minorHAnsi" w:eastAsiaTheme="minorEastAsia" w:hAnsiTheme="minorHAnsi"/>
              <w:noProof/>
              <w:szCs w:val="24"/>
            </w:rPr>
          </w:pPr>
          <w:hyperlink w:anchor="_Toc227273893" w:history="1">
            <w:r w:rsidRPr="00D65B99">
              <w:rPr>
                <w:rStyle w:val="Hyperlink"/>
                <w:noProof/>
              </w:rPr>
              <w:t>1. Introduction</w:t>
            </w:r>
            <w:r>
              <w:rPr>
                <w:noProof/>
                <w:webHidden/>
              </w:rPr>
              <w:tab/>
            </w:r>
            <w:r>
              <w:rPr>
                <w:noProof/>
                <w:webHidden/>
              </w:rPr>
              <w:fldChar w:fldCharType="begin"/>
            </w:r>
            <w:r>
              <w:rPr>
                <w:noProof/>
                <w:webHidden/>
              </w:rPr>
              <w:instrText xml:space="preserve"> PAGEREF _Toc227273893 \h </w:instrText>
            </w:r>
            <w:r>
              <w:rPr>
                <w:noProof/>
                <w:webHidden/>
              </w:rPr>
            </w:r>
            <w:r>
              <w:rPr>
                <w:noProof/>
                <w:webHidden/>
              </w:rPr>
              <w:fldChar w:fldCharType="separate"/>
            </w:r>
            <w:r>
              <w:rPr>
                <w:noProof/>
                <w:webHidden/>
              </w:rPr>
              <w:t>3</w:t>
            </w:r>
            <w:r>
              <w:rPr>
                <w:noProof/>
                <w:webHidden/>
              </w:rPr>
              <w:fldChar w:fldCharType="end"/>
            </w:r>
          </w:hyperlink>
        </w:p>
        <w:p w14:paraId="0B547EC2" w14:textId="50DEB63F" w:rsidR="002E1A27" w:rsidRDefault="002E1A27">
          <w:pPr>
            <w:pStyle w:val="TOC1"/>
            <w:tabs>
              <w:tab w:val="right" w:leader="dot" w:pos="9350"/>
            </w:tabs>
            <w:rPr>
              <w:rFonts w:asciiTheme="minorHAnsi" w:eastAsiaTheme="minorEastAsia" w:hAnsiTheme="minorHAnsi"/>
              <w:noProof/>
              <w:szCs w:val="24"/>
            </w:rPr>
          </w:pPr>
          <w:hyperlink w:anchor="_Toc227273894" w:history="1">
            <w:r w:rsidRPr="00D65B99">
              <w:rPr>
                <w:rStyle w:val="Hyperlink"/>
                <w:noProof/>
              </w:rPr>
              <w:t>2. Industry and Country Overview</w:t>
            </w:r>
            <w:r>
              <w:rPr>
                <w:noProof/>
                <w:webHidden/>
              </w:rPr>
              <w:tab/>
            </w:r>
            <w:r>
              <w:rPr>
                <w:noProof/>
                <w:webHidden/>
              </w:rPr>
              <w:fldChar w:fldCharType="begin"/>
            </w:r>
            <w:r>
              <w:rPr>
                <w:noProof/>
                <w:webHidden/>
              </w:rPr>
              <w:instrText xml:space="preserve"> PAGEREF _Toc227273894 \h </w:instrText>
            </w:r>
            <w:r>
              <w:rPr>
                <w:noProof/>
                <w:webHidden/>
              </w:rPr>
            </w:r>
            <w:r>
              <w:rPr>
                <w:noProof/>
                <w:webHidden/>
              </w:rPr>
              <w:fldChar w:fldCharType="separate"/>
            </w:r>
            <w:r>
              <w:rPr>
                <w:noProof/>
                <w:webHidden/>
              </w:rPr>
              <w:t>4</w:t>
            </w:r>
            <w:r>
              <w:rPr>
                <w:noProof/>
                <w:webHidden/>
              </w:rPr>
              <w:fldChar w:fldCharType="end"/>
            </w:r>
          </w:hyperlink>
        </w:p>
        <w:p w14:paraId="438FA20E" w14:textId="7816669E" w:rsidR="002E1A27" w:rsidRDefault="002E1A27">
          <w:pPr>
            <w:pStyle w:val="TOC2"/>
            <w:tabs>
              <w:tab w:val="right" w:leader="dot" w:pos="9350"/>
            </w:tabs>
            <w:rPr>
              <w:rFonts w:asciiTheme="minorHAnsi" w:eastAsiaTheme="minorEastAsia" w:hAnsiTheme="minorHAnsi"/>
              <w:noProof/>
              <w:szCs w:val="24"/>
            </w:rPr>
          </w:pPr>
          <w:hyperlink w:anchor="_Toc227273895" w:history="1">
            <w:r w:rsidRPr="00D65B99">
              <w:rPr>
                <w:rStyle w:val="Hyperlink"/>
                <w:noProof/>
              </w:rPr>
              <w:t>a. Introduction to the Food and Beverage Industry in the United Kingdom</w:t>
            </w:r>
            <w:r>
              <w:rPr>
                <w:noProof/>
                <w:webHidden/>
              </w:rPr>
              <w:tab/>
            </w:r>
            <w:r>
              <w:rPr>
                <w:noProof/>
                <w:webHidden/>
              </w:rPr>
              <w:fldChar w:fldCharType="begin"/>
            </w:r>
            <w:r>
              <w:rPr>
                <w:noProof/>
                <w:webHidden/>
              </w:rPr>
              <w:instrText xml:space="preserve"> PAGEREF _Toc227273895 \h </w:instrText>
            </w:r>
            <w:r>
              <w:rPr>
                <w:noProof/>
                <w:webHidden/>
              </w:rPr>
            </w:r>
            <w:r>
              <w:rPr>
                <w:noProof/>
                <w:webHidden/>
              </w:rPr>
              <w:fldChar w:fldCharType="separate"/>
            </w:r>
            <w:r>
              <w:rPr>
                <w:noProof/>
                <w:webHidden/>
              </w:rPr>
              <w:t>4</w:t>
            </w:r>
            <w:r>
              <w:rPr>
                <w:noProof/>
                <w:webHidden/>
              </w:rPr>
              <w:fldChar w:fldCharType="end"/>
            </w:r>
          </w:hyperlink>
        </w:p>
        <w:p w14:paraId="7848DB29" w14:textId="5345B481" w:rsidR="002E1A27" w:rsidRDefault="002E1A27">
          <w:pPr>
            <w:pStyle w:val="TOC2"/>
            <w:tabs>
              <w:tab w:val="right" w:leader="dot" w:pos="9350"/>
            </w:tabs>
            <w:rPr>
              <w:rFonts w:asciiTheme="minorHAnsi" w:eastAsiaTheme="minorEastAsia" w:hAnsiTheme="minorHAnsi"/>
              <w:noProof/>
              <w:szCs w:val="24"/>
            </w:rPr>
          </w:pPr>
          <w:hyperlink w:anchor="_Toc227273896" w:history="1">
            <w:r w:rsidRPr="00D65B99">
              <w:rPr>
                <w:rStyle w:val="Hyperlink"/>
                <w:noProof/>
              </w:rPr>
              <w:t>b. Size, Scope and Economic Importance</w:t>
            </w:r>
            <w:r>
              <w:rPr>
                <w:noProof/>
                <w:webHidden/>
              </w:rPr>
              <w:tab/>
            </w:r>
            <w:r>
              <w:rPr>
                <w:noProof/>
                <w:webHidden/>
              </w:rPr>
              <w:fldChar w:fldCharType="begin"/>
            </w:r>
            <w:r>
              <w:rPr>
                <w:noProof/>
                <w:webHidden/>
              </w:rPr>
              <w:instrText xml:space="preserve"> PAGEREF _Toc227273896 \h </w:instrText>
            </w:r>
            <w:r>
              <w:rPr>
                <w:noProof/>
                <w:webHidden/>
              </w:rPr>
            </w:r>
            <w:r>
              <w:rPr>
                <w:noProof/>
                <w:webHidden/>
              </w:rPr>
              <w:fldChar w:fldCharType="separate"/>
            </w:r>
            <w:r>
              <w:rPr>
                <w:noProof/>
                <w:webHidden/>
              </w:rPr>
              <w:t>4</w:t>
            </w:r>
            <w:r>
              <w:rPr>
                <w:noProof/>
                <w:webHidden/>
              </w:rPr>
              <w:fldChar w:fldCharType="end"/>
            </w:r>
          </w:hyperlink>
        </w:p>
        <w:p w14:paraId="1E0C9933" w14:textId="63B78D9E" w:rsidR="002E1A27" w:rsidRDefault="002E1A27">
          <w:pPr>
            <w:pStyle w:val="TOC2"/>
            <w:tabs>
              <w:tab w:val="right" w:leader="dot" w:pos="9350"/>
            </w:tabs>
            <w:rPr>
              <w:rFonts w:asciiTheme="minorHAnsi" w:eastAsiaTheme="minorEastAsia" w:hAnsiTheme="minorHAnsi"/>
              <w:noProof/>
              <w:szCs w:val="24"/>
            </w:rPr>
          </w:pPr>
          <w:hyperlink w:anchor="_Toc227273897" w:history="1">
            <w:r w:rsidRPr="00D65B99">
              <w:rPr>
                <w:rStyle w:val="Hyperlink"/>
                <w:noProof/>
              </w:rPr>
              <w:t>c. Key Firms and Competitive Positioning in the UK Food and Beverage Industry</w:t>
            </w:r>
            <w:r>
              <w:rPr>
                <w:noProof/>
                <w:webHidden/>
              </w:rPr>
              <w:tab/>
            </w:r>
            <w:r>
              <w:rPr>
                <w:noProof/>
                <w:webHidden/>
              </w:rPr>
              <w:fldChar w:fldCharType="begin"/>
            </w:r>
            <w:r>
              <w:rPr>
                <w:noProof/>
                <w:webHidden/>
              </w:rPr>
              <w:instrText xml:space="preserve"> PAGEREF _Toc227273897 \h </w:instrText>
            </w:r>
            <w:r>
              <w:rPr>
                <w:noProof/>
                <w:webHidden/>
              </w:rPr>
            </w:r>
            <w:r>
              <w:rPr>
                <w:noProof/>
                <w:webHidden/>
              </w:rPr>
              <w:fldChar w:fldCharType="separate"/>
            </w:r>
            <w:r>
              <w:rPr>
                <w:noProof/>
                <w:webHidden/>
              </w:rPr>
              <w:t>6</w:t>
            </w:r>
            <w:r>
              <w:rPr>
                <w:noProof/>
                <w:webHidden/>
              </w:rPr>
              <w:fldChar w:fldCharType="end"/>
            </w:r>
          </w:hyperlink>
        </w:p>
        <w:p w14:paraId="645E032E" w14:textId="65E646F5" w:rsidR="002E1A27" w:rsidRDefault="002E1A27">
          <w:pPr>
            <w:pStyle w:val="TOC1"/>
            <w:tabs>
              <w:tab w:val="right" w:leader="dot" w:pos="9350"/>
            </w:tabs>
            <w:rPr>
              <w:rFonts w:asciiTheme="minorHAnsi" w:eastAsiaTheme="minorEastAsia" w:hAnsiTheme="minorHAnsi"/>
              <w:noProof/>
              <w:szCs w:val="24"/>
            </w:rPr>
          </w:pPr>
          <w:hyperlink w:anchor="_Toc227273898" w:history="1">
            <w:r w:rsidRPr="00D65B99">
              <w:rPr>
                <w:rStyle w:val="Hyperlink"/>
                <w:noProof/>
              </w:rPr>
              <w:t>3. Application of Porter’s Diamond Model to the UK Food and Beverage Industry</w:t>
            </w:r>
            <w:r>
              <w:rPr>
                <w:noProof/>
                <w:webHidden/>
              </w:rPr>
              <w:tab/>
            </w:r>
            <w:r>
              <w:rPr>
                <w:noProof/>
                <w:webHidden/>
              </w:rPr>
              <w:fldChar w:fldCharType="begin"/>
            </w:r>
            <w:r>
              <w:rPr>
                <w:noProof/>
                <w:webHidden/>
              </w:rPr>
              <w:instrText xml:space="preserve"> PAGEREF _Toc227273898 \h </w:instrText>
            </w:r>
            <w:r>
              <w:rPr>
                <w:noProof/>
                <w:webHidden/>
              </w:rPr>
            </w:r>
            <w:r>
              <w:rPr>
                <w:noProof/>
                <w:webHidden/>
              </w:rPr>
              <w:fldChar w:fldCharType="separate"/>
            </w:r>
            <w:r>
              <w:rPr>
                <w:noProof/>
                <w:webHidden/>
              </w:rPr>
              <w:t>8</w:t>
            </w:r>
            <w:r>
              <w:rPr>
                <w:noProof/>
                <w:webHidden/>
              </w:rPr>
              <w:fldChar w:fldCharType="end"/>
            </w:r>
          </w:hyperlink>
        </w:p>
        <w:p w14:paraId="05ACEAC2" w14:textId="18AFAC1D" w:rsidR="002E1A27" w:rsidRDefault="002E1A27">
          <w:pPr>
            <w:pStyle w:val="TOC1"/>
            <w:tabs>
              <w:tab w:val="right" w:leader="dot" w:pos="9350"/>
            </w:tabs>
            <w:rPr>
              <w:rFonts w:asciiTheme="minorHAnsi" w:eastAsiaTheme="minorEastAsia" w:hAnsiTheme="minorHAnsi"/>
              <w:noProof/>
              <w:szCs w:val="24"/>
            </w:rPr>
          </w:pPr>
          <w:hyperlink w:anchor="_Toc227273899" w:history="1">
            <w:r w:rsidRPr="00D65B99">
              <w:rPr>
                <w:rStyle w:val="Hyperlink"/>
                <w:noProof/>
              </w:rPr>
              <w:t>4. Critical Evaluation of Factors Affecting the Success of a Foreign MNC in the UK Food and Beverage Industry</w:t>
            </w:r>
            <w:r>
              <w:rPr>
                <w:noProof/>
                <w:webHidden/>
              </w:rPr>
              <w:tab/>
            </w:r>
            <w:r>
              <w:rPr>
                <w:noProof/>
                <w:webHidden/>
              </w:rPr>
              <w:fldChar w:fldCharType="begin"/>
            </w:r>
            <w:r>
              <w:rPr>
                <w:noProof/>
                <w:webHidden/>
              </w:rPr>
              <w:instrText xml:space="preserve"> PAGEREF _Toc227273899 \h </w:instrText>
            </w:r>
            <w:r>
              <w:rPr>
                <w:noProof/>
                <w:webHidden/>
              </w:rPr>
            </w:r>
            <w:r>
              <w:rPr>
                <w:noProof/>
                <w:webHidden/>
              </w:rPr>
              <w:fldChar w:fldCharType="separate"/>
            </w:r>
            <w:r>
              <w:rPr>
                <w:noProof/>
                <w:webHidden/>
              </w:rPr>
              <w:t>12</w:t>
            </w:r>
            <w:r>
              <w:rPr>
                <w:noProof/>
                <w:webHidden/>
              </w:rPr>
              <w:fldChar w:fldCharType="end"/>
            </w:r>
          </w:hyperlink>
        </w:p>
        <w:p w14:paraId="55B6CF4B" w14:textId="6060C7B7" w:rsidR="002E1A27" w:rsidRDefault="002E1A27">
          <w:pPr>
            <w:pStyle w:val="TOC2"/>
            <w:tabs>
              <w:tab w:val="right" w:leader="dot" w:pos="9350"/>
            </w:tabs>
            <w:rPr>
              <w:rFonts w:asciiTheme="minorHAnsi" w:eastAsiaTheme="minorEastAsia" w:hAnsiTheme="minorHAnsi"/>
              <w:noProof/>
              <w:szCs w:val="24"/>
            </w:rPr>
          </w:pPr>
          <w:hyperlink w:anchor="_Toc227273900" w:history="1">
            <w:r w:rsidRPr="00D65B99">
              <w:rPr>
                <w:rStyle w:val="Hyperlink"/>
                <w:noProof/>
              </w:rPr>
              <w:t>4.1 Introduction to the Selected MNC</w:t>
            </w:r>
            <w:r>
              <w:rPr>
                <w:noProof/>
                <w:webHidden/>
              </w:rPr>
              <w:tab/>
            </w:r>
            <w:r>
              <w:rPr>
                <w:noProof/>
                <w:webHidden/>
              </w:rPr>
              <w:fldChar w:fldCharType="begin"/>
            </w:r>
            <w:r>
              <w:rPr>
                <w:noProof/>
                <w:webHidden/>
              </w:rPr>
              <w:instrText xml:space="preserve"> PAGEREF _Toc227273900 \h </w:instrText>
            </w:r>
            <w:r>
              <w:rPr>
                <w:noProof/>
                <w:webHidden/>
              </w:rPr>
            </w:r>
            <w:r>
              <w:rPr>
                <w:noProof/>
                <w:webHidden/>
              </w:rPr>
              <w:fldChar w:fldCharType="separate"/>
            </w:r>
            <w:r>
              <w:rPr>
                <w:noProof/>
                <w:webHidden/>
              </w:rPr>
              <w:t>12</w:t>
            </w:r>
            <w:r>
              <w:rPr>
                <w:noProof/>
                <w:webHidden/>
              </w:rPr>
              <w:fldChar w:fldCharType="end"/>
            </w:r>
          </w:hyperlink>
        </w:p>
        <w:p w14:paraId="613B60A3" w14:textId="0F9D7392" w:rsidR="002E1A27" w:rsidRDefault="002E1A27">
          <w:pPr>
            <w:pStyle w:val="TOC2"/>
            <w:tabs>
              <w:tab w:val="right" w:leader="dot" w:pos="9350"/>
            </w:tabs>
            <w:rPr>
              <w:rFonts w:asciiTheme="minorHAnsi" w:eastAsiaTheme="minorEastAsia" w:hAnsiTheme="minorHAnsi"/>
              <w:noProof/>
              <w:szCs w:val="24"/>
            </w:rPr>
          </w:pPr>
          <w:hyperlink w:anchor="_Toc227273901" w:history="1">
            <w:r w:rsidRPr="00D65B99">
              <w:rPr>
                <w:rStyle w:val="Hyperlink"/>
                <w:noProof/>
              </w:rPr>
              <w:t>4.2 Analytical Framework for Market Attractiveness</w:t>
            </w:r>
            <w:r>
              <w:rPr>
                <w:noProof/>
                <w:webHidden/>
              </w:rPr>
              <w:tab/>
            </w:r>
            <w:r>
              <w:rPr>
                <w:noProof/>
                <w:webHidden/>
              </w:rPr>
              <w:fldChar w:fldCharType="begin"/>
            </w:r>
            <w:r>
              <w:rPr>
                <w:noProof/>
                <w:webHidden/>
              </w:rPr>
              <w:instrText xml:space="preserve"> PAGEREF _Toc227273901 \h </w:instrText>
            </w:r>
            <w:r>
              <w:rPr>
                <w:noProof/>
                <w:webHidden/>
              </w:rPr>
            </w:r>
            <w:r>
              <w:rPr>
                <w:noProof/>
                <w:webHidden/>
              </w:rPr>
              <w:fldChar w:fldCharType="separate"/>
            </w:r>
            <w:r>
              <w:rPr>
                <w:noProof/>
                <w:webHidden/>
              </w:rPr>
              <w:t>13</w:t>
            </w:r>
            <w:r>
              <w:rPr>
                <w:noProof/>
                <w:webHidden/>
              </w:rPr>
              <w:fldChar w:fldCharType="end"/>
            </w:r>
          </w:hyperlink>
        </w:p>
        <w:p w14:paraId="3DF738BD" w14:textId="667F2500" w:rsidR="002E1A27" w:rsidRDefault="002E1A27">
          <w:pPr>
            <w:pStyle w:val="TOC2"/>
            <w:tabs>
              <w:tab w:val="right" w:leader="dot" w:pos="9350"/>
            </w:tabs>
            <w:rPr>
              <w:rFonts w:asciiTheme="minorHAnsi" w:eastAsiaTheme="minorEastAsia" w:hAnsiTheme="minorHAnsi"/>
              <w:noProof/>
              <w:szCs w:val="24"/>
            </w:rPr>
          </w:pPr>
          <w:hyperlink w:anchor="_Toc227273902" w:history="1">
            <w:r w:rsidRPr="00D65B99">
              <w:rPr>
                <w:rStyle w:val="Hyperlink"/>
                <w:noProof/>
              </w:rPr>
              <w:t>4.3 Political Factors</w:t>
            </w:r>
            <w:r>
              <w:rPr>
                <w:noProof/>
                <w:webHidden/>
              </w:rPr>
              <w:tab/>
            </w:r>
            <w:r>
              <w:rPr>
                <w:noProof/>
                <w:webHidden/>
              </w:rPr>
              <w:fldChar w:fldCharType="begin"/>
            </w:r>
            <w:r>
              <w:rPr>
                <w:noProof/>
                <w:webHidden/>
              </w:rPr>
              <w:instrText xml:space="preserve"> PAGEREF _Toc227273902 \h </w:instrText>
            </w:r>
            <w:r>
              <w:rPr>
                <w:noProof/>
                <w:webHidden/>
              </w:rPr>
            </w:r>
            <w:r>
              <w:rPr>
                <w:noProof/>
                <w:webHidden/>
              </w:rPr>
              <w:fldChar w:fldCharType="separate"/>
            </w:r>
            <w:r>
              <w:rPr>
                <w:noProof/>
                <w:webHidden/>
              </w:rPr>
              <w:t>13</w:t>
            </w:r>
            <w:r>
              <w:rPr>
                <w:noProof/>
                <w:webHidden/>
              </w:rPr>
              <w:fldChar w:fldCharType="end"/>
            </w:r>
          </w:hyperlink>
        </w:p>
        <w:p w14:paraId="5048773C" w14:textId="4FD5EADB" w:rsidR="002E1A27" w:rsidRDefault="002E1A27">
          <w:pPr>
            <w:pStyle w:val="TOC2"/>
            <w:tabs>
              <w:tab w:val="right" w:leader="dot" w:pos="9350"/>
            </w:tabs>
            <w:rPr>
              <w:rFonts w:asciiTheme="minorHAnsi" w:eastAsiaTheme="minorEastAsia" w:hAnsiTheme="minorHAnsi"/>
              <w:noProof/>
              <w:szCs w:val="24"/>
            </w:rPr>
          </w:pPr>
          <w:hyperlink w:anchor="_Toc227273903" w:history="1">
            <w:r w:rsidRPr="00D65B99">
              <w:rPr>
                <w:rStyle w:val="Hyperlink"/>
                <w:noProof/>
              </w:rPr>
              <w:t>4.4 Economic Factors</w:t>
            </w:r>
            <w:r>
              <w:rPr>
                <w:noProof/>
                <w:webHidden/>
              </w:rPr>
              <w:tab/>
            </w:r>
            <w:r>
              <w:rPr>
                <w:noProof/>
                <w:webHidden/>
              </w:rPr>
              <w:fldChar w:fldCharType="begin"/>
            </w:r>
            <w:r>
              <w:rPr>
                <w:noProof/>
                <w:webHidden/>
              </w:rPr>
              <w:instrText xml:space="preserve"> PAGEREF _Toc227273903 \h </w:instrText>
            </w:r>
            <w:r>
              <w:rPr>
                <w:noProof/>
                <w:webHidden/>
              </w:rPr>
            </w:r>
            <w:r>
              <w:rPr>
                <w:noProof/>
                <w:webHidden/>
              </w:rPr>
              <w:fldChar w:fldCharType="separate"/>
            </w:r>
            <w:r>
              <w:rPr>
                <w:noProof/>
                <w:webHidden/>
              </w:rPr>
              <w:t>14</w:t>
            </w:r>
            <w:r>
              <w:rPr>
                <w:noProof/>
                <w:webHidden/>
              </w:rPr>
              <w:fldChar w:fldCharType="end"/>
            </w:r>
          </w:hyperlink>
        </w:p>
        <w:p w14:paraId="07132B11" w14:textId="7527EF96" w:rsidR="002E1A27" w:rsidRDefault="002E1A27">
          <w:pPr>
            <w:pStyle w:val="TOC2"/>
            <w:tabs>
              <w:tab w:val="right" w:leader="dot" w:pos="9350"/>
            </w:tabs>
            <w:rPr>
              <w:rFonts w:asciiTheme="minorHAnsi" w:eastAsiaTheme="minorEastAsia" w:hAnsiTheme="minorHAnsi"/>
              <w:noProof/>
              <w:szCs w:val="24"/>
            </w:rPr>
          </w:pPr>
          <w:hyperlink w:anchor="_Toc227273904" w:history="1">
            <w:r w:rsidRPr="00D65B99">
              <w:rPr>
                <w:rStyle w:val="Hyperlink"/>
                <w:noProof/>
              </w:rPr>
              <w:t>4.5 Legal Factors</w:t>
            </w:r>
            <w:r>
              <w:rPr>
                <w:noProof/>
                <w:webHidden/>
              </w:rPr>
              <w:tab/>
            </w:r>
            <w:r>
              <w:rPr>
                <w:noProof/>
                <w:webHidden/>
              </w:rPr>
              <w:fldChar w:fldCharType="begin"/>
            </w:r>
            <w:r>
              <w:rPr>
                <w:noProof/>
                <w:webHidden/>
              </w:rPr>
              <w:instrText xml:space="preserve"> PAGEREF _Toc227273904 \h </w:instrText>
            </w:r>
            <w:r>
              <w:rPr>
                <w:noProof/>
                <w:webHidden/>
              </w:rPr>
            </w:r>
            <w:r>
              <w:rPr>
                <w:noProof/>
                <w:webHidden/>
              </w:rPr>
              <w:fldChar w:fldCharType="separate"/>
            </w:r>
            <w:r>
              <w:rPr>
                <w:noProof/>
                <w:webHidden/>
              </w:rPr>
              <w:t>16</w:t>
            </w:r>
            <w:r>
              <w:rPr>
                <w:noProof/>
                <w:webHidden/>
              </w:rPr>
              <w:fldChar w:fldCharType="end"/>
            </w:r>
          </w:hyperlink>
        </w:p>
        <w:p w14:paraId="0567DEBB" w14:textId="015F5529" w:rsidR="002E1A27" w:rsidRDefault="002E1A27">
          <w:pPr>
            <w:pStyle w:val="TOC2"/>
            <w:tabs>
              <w:tab w:val="right" w:leader="dot" w:pos="9350"/>
            </w:tabs>
            <w:rPr>
              <w:rFonts w:asciiTheme="minorHAnsi" w:eastAsiaTheme="minorEastAsia" w:hAnsiTheme="minorHAnsi"/>
              <w:noProof/>
              <w:szCs w:val="24"/>
            </w:rPr>
          </w:pPr>
          <w:hyperlink w:anchor="_Toc227273905" w:history="1">
            <w:r w:rsidRPr="00D65B99">
              <w:rPr>
                <w:rStyle w:val="Hyperlink"/>
                <w:noProof/>
              </w:rPr>
              <w:t>4.6 Cultural Factors: Hofstede’s Cultural Dimensions Analysis</w:t>
            </w:r>
            <w:r>
              <w:rPr>
                <w:noProof/>
                <w:webHidden/>
              </w:rPr>
              <w:tab/>
            </w:r>
            <w:r>
              <w:rPr>
                <w:noProof/>
                <w:webHidden/>
              </w:rPr>
              <w:fldChar w:fldCharType="begin"/>
            </w:r>
            <w:r>
              <w:rPr>
                <w:noProof/>
                <w:webHidden/>
              </w:rPr>
              <w:instrText xml:space="preserve"> PAGEREF _Toc227273905 \h </w:instrText>
            </w:r>
            <w:r>
              <w:rPr>
                <w:noProof/>
                <w:webHidden/>
              </w:rPr>
            </w:r>
            <w:r>
              <w:rPr>
                <w:noProof/>
                <w:webHidden/>
              </w:rPr>
              <w:fldChar w:fldCharType="separate"/>
            </w:r>
            <w:r>
              <w:rPr>
                <w:noProof/>
                <w:webHidden/>
              </w:rPr>
              <w:t>17</w:t>
            </w:r>
            <w:r>
              <w:rPr>
                <w:noProof/>
                <w:webHidden/>
              </w:rPr>
              <w:fldChar w:fldCharType="end"/>
            </w:r>
          </w:hyperlink>
        </w:p>
        <w:p w14:paraId="7CD85E35" w14:textId="1CE92B56" w:rsidR="002E1A27" w:rsidRDefault="002E1A27">
          <w:pPr>
            <w:pStyle w:val="TOC1"/>
            <w:tabs>
              <w:tab w:val="right" w:leader="dot" w:pos="9350"/>
            </w:tabs>
            <w:rPr>
              <w:rFonts w:asciiTheme="minorHAnsi" w:eastAsiaTheme="minorEastAsia" w:hAnsiTheme="minorHAnsi"/>
              <w:noProof/>
              <w:szCs w:val="24"/>
            </w:rPr>
          </w:pPr>
          <w:hyperlink w:anchor="_Toc227273906" w:history="1">
            <w:r w:rsidRPr="00D65B99">
              <w:rPr>
                <w:rStyle w:val="Hyperlink"/>
                <w:noProof/>
              </w:rPr>
              <w:t>5. Conclusion</w:t>
            </w:r>
            <w:r>
              <w:rPr>
                <w:noProof/>
                <w:webHidden/>
              </w:rPr>
              <w:tab/>
            </w:r>
            <w:r>
              <w:rPr>
                <w:noProof/>
                <w:webHidden/>
              </w:rPr>
              <w:fldChar w:fldCharType="begin"/>
            </w:r>
            <w:r>
              <w:rPr>
                <w:noProof/>
                <w:webHidden/>
              </w:rPr>
              <w:instrText xml:space="preserve"> PAGEREF _Toc227273906 \h </w:instrText>
            </w:r>
            <w:r>
              <w:rPr>
                <w:noProof/>
                <w:webHidden/>
              </w:rPr>
            </w:r>
            <w:r>
              <w:rPr>
                <w:noProof/>
                <w:webHidden/>
              </w:rPr>
              <w:fldChar w:fldCharType="separate"/>
            </w:r>
            <w:r>
              <w:rPr>
                <w:noProof/>
                <w:webHidden/>
              </w:rPr>
              <w:t>20</w:t>
            </w:r>
            <w:r>
              <w:rPr>
                <w:noProof/>
                <w:webHidden/>
              </w:rPr>
              <w:fldChar w:fldCharType="end"/>
            </w:r>
          </w:hyperlink>
        </w:p>
        <w:p w14:paraId="13A312E3" w14:textId="2CDA21E5" w:rsidR="002E1A27" w:rsidRDefault="002E1A27">
          <w:pPr>
            <w:pStyle w:val="TOC1"/>
            <w:tabs>
              <w:tab w:val="right" w:leader="dot" w:pos="9350"/>
            </w:tabs>
            <w:rPr>
              <w:rFonts w:asciiTheme="minorHAnsi" w:eastAsiaTheme="minorEastAsia" w:hAnsiTheme="minorHAnsi"/>
              <w:noProof/>
              <w:szCs w:val="24"/>
            </w:rPr>
          </w:pPr>
          <w:hyperlink w:anchor="_Toc227273907" w:history="1">
            <w:r w:rsidRPr="00D65B99">
              <w:rPr>
                <w:rStyle w:val="Hyperlink"/>
                <w:noProof/>
              </w:rPr>
              <w:t>Section 2: Reflective Account</w:t>
            </w:r>
            <w:r>
              <w:rPr>
                <w:noProof/>
                <w:webHidden/>
              </w:rPr>
              <w:tab/>
            </w:r>
            <w:r>
              <w:rPr>
                <w:noProof/>
                <w:webHidden/>
              </w:rPr>
              <w:fldChar w:fldCharType="begin"/>
            </w:r>
            <w:r>
              <w:rPr>
                <w:noProof/>
                <w:webHidden/>
              </w:rPr>
              <w:instrText xml:space="preserve"> PAGEREF _Toc227273907 \h </w:instrText>
            </w:r>
            <w:r>
              <w:rPr>
                <w:noProof/>
                <w:webHidden/>
              </w:rPr>
            </w:r>
            <w:r>
              <w:rPr>
                <w:noProof/>
                <w:webHidden/>
              </w:rPr>
              <w:fldChar w:fldCharType="separate"/>
            </w:r>
            <w:r>
              <w:rPr>
                <w:noProof/>
                <w:webHidden/>
              </w:rPr>
              <w:t>21</w:t>
            </w:r>
            <w:r>
              <w:rPr>
                <w:noProof/>
                <w:webHidden/>
              </w:rPr>
              <w:fldChar w:fldCharType="end"/>
            </w:r>
          </w:hyperlink>
        </w:p>
        <w:p w14:paraId="72185D36" w14:textId="5C16CDDF" w:rsidR="002E1A27" w:rsidRDefault="002E1A27">
          <w:pPr>
            <w:pStyle w:val="TOC1"/>
            <w:tabs>
              <w:tab w:val="right" w:leader="dot" w:pos="9350"/>
            </w:tabs>
            <w:rPr>
              <w:rFonts w:asciiTheme="minorHAnsi" w:eastAsiaTheme="minorEastAsia" w:hAnsiTheme="minorHAnsi"/>
              <w:noProof/>
              <w:szCs w:val="24"/>
            </w:rPr>
          </w:pPr>
          <w:hyperlink w:anchor="_Toc227273908" w:history="1">
            <w:r w:rsidRPr="00D65B99">
              <w:rPr>
                <w:rStyle w:val="Hyperlink"/>
                <w:noProof/>
              </w:rPr>
              <w:t>References</w:t>
            </w:r>
            <w:r>
              <w:rPr>
                <w:noProof/>
                <w:webHidden/>
              </w:rPr>
              <w:tab/>
            </w:r>
            <w:r>
              <w:rPr>
                <w:noProof/>
                <w:webHidden/>
              </w:rPr>
              <w:fldChar w:fldCharType="begin"/>
            </w:r>
            <w:r>
              <w:rPr>
                <w:noProof/>
                <w:webHidden/>
              </w:rPr>
              <w:instrText xml:space="preserve"> PAGEREF _Toc227273908 \h </w:instrText>
            </w:r>
            <w:r>
              <w:rPr>
                <w:noProof/>
                <w:webHidden/>
              </w:rPr>
            </w:r>
            <w:r>
              <w:rPr>
                <w:noProof/>
                <w:webHidden/>
              </w:rPr>
              <w:fldChar w:fldCharType="separate"/>
            </w:r>
            <w:r>
              <w:rPr>
                <w:noProof/>
                <w:webHidden/>
              </w:rPr>
              <w:t>25</w:t>
            </w:r>
            <w:r>
              <w:rPr>
                <w:noProof/>
                <w:webHidden/>
              </w:rPr>
              <w:fldChar w:fldCharType="end"/>
            </w:r>
          </w:hyperlink>
        </w:p>
        <w:p w14:paraId="497C8E36" w14:textId="2BBCDD26" w:rsidR="00696F7B" w:rsidRDefault="00696F7B">
          <w:r>
            <w:rPr>
              <w:b/>
              <w:bCs/>
              <w:noProof/>
            </w:rPr>
            <w:fldChar w:fldCharType="end"/>
          </w:r>
        </w:p>
      </w:sdtContent>
    </w:sdt>
    <w:p w14:paraId="2C526845" w14:textId="2777C873" w:rsidR="00696F7B" w:rsidRPr="00696F7B" w:rsidRDefault="00696F7B" w:rsidP="00696F7B">
      <w:pPr>
        <w:rPr>
          <w:rFonts w:eastAsiaTheme="majorEastAsia" w:cstheme="majorBidi"/>
          <w:b/>
          <w:sz w:val="30"/>
          <w:szCs w:val="32"/>
        </w:rPr>
      </w:pPr>
      <w:r>
        <w:br w:type="page"/>
      </w:r>
    </w:p>
    <w:p w14:paraId="6320F884" w14:textId="353E265C" w:rsidR="00F31548" w:rsidRDefault="00000000" w:rsidP="00F31548">
      <w:pPr>
        <w:pStyle w:val="Heading1"/>
      </w:pPr>
      <w:bookmarkStart w:id="0" w:name="_Toc227273892"/>
      <w:r>
        <w:lastRenderedPageBreak/>
        <w:t>Section 1: Report</w:t>
      </w:r>
      <w:bookmarkEnd w:id="0"/>
    </w:p>
    <w:p w14:paraId="02EABB25" w14:textId="77777777" w:rsidR="0001558C" w:rsidRDefault="00000000" w:rsidP="0001558C">
      <w:pPr>
        <w:pStyle w:val="Heading1"/>
      </w:pPr>
      <w:bookmarkStart w:id="1" w:name="_Toc227273893"/>
      <w:r>
        <w:t>1. Introduction</w:t>
      </w:r>
      <w:bookmarkEnd w:id="1"/>
    </w:p>
    <w:p w14:paraId="021A3018" w14:textId="316AD28B" w:rsidR="002E7075" w:rsidRDefault="00000000" w:rsidP="0001558C">
      <w:r w:rsidRPr="0001558C">
        <w:t>The term international business is used to refer to the process of exchange of goods, services, capital and knowledge across national boundaries so that firms can expand beyond the local markets and gain a competitive advantage in the global economy</w:t>
      </w:r>
      <w:r w:rsidR="00DE2C78">
        <w:t xml:space="preserve"> (Griffin and Pustay, 2020)</w:t>
      </w:r>
      <w:r w:rsidRPr="0001558C">
        <w:t>. It entails foreign direct investment, global supply chain management and strategic market entry, which are affected by the economic, political, cultural and legal environments. This is because in the modern globalised world, multinational corporations contribute to the growth of the economy, innovation and international trade. This report concentrates on the industry of food and beverage in the United Kingdom, its size, structure and competitiveness. It also considers the strategic position and the performance of Starbucks in this market. The primary goal of the report is to critically evaluate the global competitiveness of the industry and analyse the most important factors affecting the success of Starbucks in the UK market.</w:t>
      </w:r>
    </w:p>
    <w:p w14:paraId="6A1BDD5C" w14:textId="77777777" w:rsidR="002E7075" w:rsidRDefault="002E7075">
      <w:pPr>
        <w:spacing w:line="259" w:lineRule="auto"/>
        <w:jc w:val="left"/>
      </w:pPr>
      <w:r>
        <w:br w:type="page"/>
      </w:r>
    </w:p>
    <w:p w14:paraId="41B3BE4C" w14:textId="77777777" w:rsidR="00F31548" w:rsidRPr="00F31548" w:rsidRDefault="00000000" w:rsidP="00F31548">
      <w:pPr>
        <w:pStyle w:val="Heading1"/>
      </w:pPr>
      <w:bookmarkStart w:id="2" w:name="_Toc227273894"/>
      <w:r w:rsidRPr="00F31548">
        <w:lastRenderedPageBreak/>
        <w:t>2. Industry and Country Overview</w:t>
      </w:r>
      <w:bookmarkEnd w:id="2"/>
    </w:p>
    <w:p w14:paraId="27982F37" w14:textId="77777777" w:rsidR="00F31548" w:rsidRPr="00F31548" w:rsidRDefault="00000000" w:rsidP="00F31548">
      <w:pPr>
        <w:pStyle w:val="Heading2"/>
      </w:pPr>
      <w:bookmarkStart w:id="3" w:name="_Toc227273895"/>
      <w:r>
        <w:t>a.</w:t>
      </w:r>
      <w:r w:rsidRPr="00F31548">
        <w:t xml:space="preserve"> Introduction to the Food and Beverage Industry in the United Kingdom</w:t>
      </w:r>
      <w:bookmarkEnd w:id="3"/>
    </w:p>
    <w:p w14:paraId="72521DC2" w14:textId="7AB2282E" w:rsidR="003277A0" w:rsidRDefault="002E7075" w:rsidP="005A7458">
      <w:r w:rsidRPr="002E7075">
        <w:t>The Market Value of the United Kingdom’s Food and Beverage Industry Stood at USD 97.06 Million in 2024 and is Expected to Grow Up to USD 258.22 Million by 2032, with a CAGR of 13.01%</w:t>
      </w:r>
      <w:r w:rsidR="00AA5A1E">
        <w:t xml:space="preserve"> </w:t>
      </w:r>
      <w:r w:rsidR="00AA5A1E" w:rsidRPr="00AA5A1E">
        <w:t>(Introspective Market Research, 2024)</w:t>
      </w:r>
      <w:r w:rsidR="00AA5A1E">
        <w:t xml:space="preserve">. </w:t>
      </w:r>
      <w:r>
        <w:t>The United Kingdom food and beverage industry is highly competitive, with an approximate growth of 240 billion yearly to the national economy, which is almost 10 per cent of the total UK Gross Value Added (GVA). The industries provide a significant contribution to the economy and employment generation, with more than 4.2 million individuals employed in the sector, which represents about 13 per cent of the UK labour force. The industry is a broad field that involves food production, food processing, retail, and foodservice operations, with more than 460,000 businesses being actively involved in its operations.</w:t>
      </w:r>
    </w:p>
    <w:p w14:paraId="0A241D02" w14:textId="77777777" w:rsidR="003277A0" w:rsidRDefault="003277A0" w:rsidP="003277A0">
      <w:pPr>
        <w:keepNext/>
        <w:jc w:val="center"/>
      </w:pPr>
      <w:r>
        <w:rPr>
          <w:noProof/>
        </w:rPr>
        <w:drawing>
          <wp:inline distT="0" distB="0" distL="0" distR="0" wp14:anchorId="6F56B38C" wp14:editId="2E265C91">
            <wp:extent cx="5660645" cy="2836545"/>
            <wp:effectExtent l="0" t="0" r="0" b="1905"/>
            <wp:docPr id="2457675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5720040" cy="2866308"/>
                    </a:xfrm>
                    <a:prstGeom prst="rect">
                      <a:avLst/>
                    </a:prstGeom>
                    <a:noFill/>
                    <a:ln>
                      <a:noFill/>
                    </a:ln>
                    <a:extLst>
                      <a:ext uri="{53640926-AAD7-44D8-BBD7-CCE9431645EC}">
                        <a14:shadowObscured xmlns:a14="http://schemas.microsoft.com/office/drawing/2010/main"/>
                      </a:ext>
                    </a:extLst>
                  </pic:spPr>
                </pic:pic>
              </a:graphicData>
            </a:graphic>
          </wp:inline>
        </w:drawing>
      </w:r>
    </w:p>
    <w:p w14:paraId="4C3E9CD7" w14:textId="6A4701CD" w:rsidR="002E7075" w:rsidRDefault="003277A0" w:rsidP="003277A0">
      <w:pPr>
        <w:pStyle w:val="Caption"/>
        <w:jc w:val="center"/>
      </w:pPr>
      <w:r>
        <w:t xml:space="preserve">Figure </w:t>
      </w:r>
      <w:r>
        <w:fldChar w:fldCharType="begin"/>
      </w:r>
      <w:r>
        <w:instrText xml:space="preserve"> SEQ Figure \* ARABIC </w:instrText>
      </w:r>
      <w:r>
        <w:fldChar w:fldCharType="separate"/>
      </w:r>
      <w:r w:rsidR="00723AF6">
        <w:rPr>
          <w:noProof/>
        </w:rPr>
        <w:t>1</w:t>
      </w:r>
      <w:r>
        <w:fldChar w:fldCharType="end"/>
      </w:r>
      <w:r>
        <w:t>: UK Food and Beverage Market Size</w:t>
      </w:r>
    </w:p>
    <w:p w14:paraId="75D3A301" w14:textId="0878B78B" w:rsidR="003277A0" w:rsidRPr="00AA5A1E" w:rsidRDefault="003277A0" w:rsidP="003277A0">
      <w:pPr>
        <w:jc w:val="center"/>
        <w:rPr>
          <w:b/>
          <w:bCs/>
          <w:lang w:val="en-GB"/>
        </w:rPr>
      </w:pPr>
      <w:r w:rsidRPr="00AA5A1E">
        <w:rPr>
          <w:b/>
          <w:bCs/>
          <w:lang w:val="en-GB"/>
        </w:rPr>
        <w:t xml:space="preserve">Source: </w:t>
      </w:r>
      <w:r w:rsidR="00AA5A1E" w:rsidRPr="00AA5A1E">
        <w:rPr>
          <w:b/>
          <w:bCs/>
          <w:lang w:val="en-GB"/>
        </w:rPr>
        <w:t>(Introspective Market Research, 2024)</w:t>
      </w:r>
    </w:p>
    <w:p w14:paraId="12D1CA19" w14:textId="77777777" w:rsidR="005A7458" w:rsidRDefault="00000000" w:rsidP="00F31548">
      <w:pPr>
        <w:pStyle w:val="Heading2"/>
      </w:pPr>
      <w:bookmarkStart w:id="4" w:name="_Toc227273896"/>
      <w:r>
        <w:t>b. Size, Scope and Economic Importance</w:t>
      </w:r>
      <w:bookmarkEnd w:id="4"/>
    </w:p>
    <w:p w14:paraId="1542D53C" w14:textId="1DBD607C" w:rsidR="005A7458" w:rsidRDefault="00000000" w:rsidP="005A7458">
      <w:r w:rsidRPr="00F31548">
        <w:rPr>
          <w:b/>
          <w:bCs/>
        </w:rPr>
        <w:t>Market size and growth</w:t>
      </w:r>
      <w:r w:rsidR="00F31548" w:rsidRPr="00F31548">
        <w:rPr>
          <w:b/>
          <w:bCs/>
        </w:rPr>
        <w:t>:</w:t>
      </w:r>
      <w:r w:rsidR="00F31548">
        <w:t xml:space="preserve"> </w:t>
      </w:r>
      <w:r>
        <w:t xml:space="preserve">The UK food and beverage sector has been exhibiting steady growth, with the overall consumer spending on food, drink and catering services amounting to over 230 billion in 2023, representing a </w:t>
      </w:r>
      <w:r w:rsidR="00F31548">
        <w:t>year-on-year</w:t>
      </w:r>
      <w:r>
        <w:t xml:space="preserve"> rise of around 6%. </w:t>
      </w:r>
      <w:r w:rsidR="00AA5A1E" w:rsidRPr="00AA5A1E">
        <w:t xml:space="preserve">Productivity in the UK food manufacturing industry rose by a small margin from 2009 to 2021, growing at an average rate of </w:t>
      </w:r>
      <w:r w:rsidR="00AA5A1E" w:rsidRPr="00AA5A1E">
        <w:lastRenderedPageBreak/>
        <w:t>0.8% per year to reach £65,100 per worker in 2021</w:t>
      </w:r>
      <w:r w:rsidR="00506243" w:rsidRPr="00506243">
        <w:t xml:space="preserve"> </w:t>
      </w:r>
      <w:r w:rsidR="001E1ABF" w:rsidRPr="001E1ABF">
        <w:t>(Cambridge Industrial Innovation Policy, 2022)</w:t>
      </w:r>
      <w:r w:rsidR="00AA5A1E" w:rsidRPr="00AA5A1E">
        <w:t>.</w:t>
      </w:r>
      <w:r w:rsidR="00AA5A1E">
        <w:t xml:space="preserve"> </w:t>
      </w:r>
      <w:r>
        <w:t>The grocery retail sector by itself generates more than a billion pounds in sales, most of which come out of the large supermarket chains, and the out-of-home foodservice sector adds about 93 billion a year.</w:t>
      </w:r>
    </w:p>
    <w:p w14:paraId="49971C93" w14:textId="77777777" w:rsidR="00AA5A1E" w:rsidRDefault="00AA5A1E" w:rsidP="00AA5A1E">
      <w:pPr>
        <w:keepNext/>
        <w:jc w:val="center"/>
      </w:pPr>
      <w:r w:rsidRPr="00AA5A1E">
        <w:rPr>
          <w:noProof/>
        </w:rPr>
        <w:drawing>
          <wp:inline distT="0" distB="0" distL="0" distR="0" wp14:anchorId="0F3EF48D" wp14:editId="47F96F3F">
            <wp:extent cx="5457329" cy="2876759"/>
            <wp:effectExtent l="0" t="0" r="0" b="0"/>
            <wp:docPr id="1640751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751533" name=""/>
                    <pic:cNvPicPr/>
                  </pic:nvPicPr>
                  <pic:blipFill>
                    <a:blip r:embed="rId10"/>
                    <a:stretch>
                      <a:fillRect/>
                    </a:stretch>
                  </pic:blipFill>
                  <pic:spPr>
                    <a:xfrm>
                      <a:off x="0" y="0"/>
                      <a:ext cx="5462358" cy="2879410"/>
                    </a:xfrm>
                    <a:prstGeom prst="rect">
                      <a:avLst/>
                    </a:prstGeom>
                  </pic:spPr>
                </pic:pic>
              </a:graphicData>
            </a:graphic>
          </wp:inline>
        </w:drawing>
      </w:r>
    </w:p>
    <w:p w14:paraId="3350AC9B" w14:textId="0E85A4FA" w:rsidR="00AA5A1E" w:rsidRDefault="00AA5A1E" w:rsidP="00AA5A1E">
      <w:pPr>
        <w:pStyle w:val="Caption"/>
        <w:jc w:val="center"/>
      </w:pPr>
      <w:r>
        <w:t xml:space="preserve">Figure </w:t>
      </w:r>
      <w:r>
        <w:fldChar w:fldCharType="begin"/>
      </w:r>
      <w:r>
        <w:instrText xml:space="preserve"> SEQ Figure \* ARABIC </w:instrText>
      </w:r>
      <w:r>
        <w:fldChar w:fldCharType="separate"/>
      </w:r>
      <w:r w:rsidR="00723AF6">
        <w:rPr>
          <w:noProof/>
        </w:rPr>
        <w:t>2</w:t>
      </w:r>
      <w:r>
        <w:fldChar w:fldCharType="end"/>
      </w:r>
      <w:r>
        <w:t xml:space="preserve">: </w:t>
      </w:r>
      <w:r w:rsidRPr="0008337E">
        <w:t>UK food and beverages manufacturing</w:t>
      </w:r>
    </w:p>
    <w:p w14:paraId="304026CF" w14:textId="4B53D41B" w:rsidR="00AA5A1E" w:rsidRPr="001E1ABF" w:rsidRDefault="00AA5A1E" w:rsidP="001E1ABF">
      <w:pPr>
        <w:jc w:val="center"/>
        <w:rPr>
          <w:b/>
          <w:bCs/>
        </w:rPr>
      </w:pPr>
      <w:r w:rsidRPr="00506243">
        <w:rPr>
          <w:b/>
          <w:bCs/>
          <w:lang w:val="en-GB"/>
        </w:rPr>
        <w:t xml:space="preserve">Source: </w:t>
      </w:r>
      <w:r w:rsidR="001E1ABF" w:rsidRPr="001E1ABF">
        <w:rPr>
          <w:b/>
          <w:bCs/>
        </w:rPr>
        <w:t>(Cambridge Industrial Innovation Policy, 2022)</w:t>
      </w:r>
    </w:p>
    <w:p w14:paraId="3FFB2275" w14:textId="234959F0" w:rsidR="005A7458" w:rsidRDefault="00000000" w:rsidP="005A7458">
      <w:r w:rsidRPr="00F31548">
        <w:rPr>
          <w:b/>
          <w:bCs/>
        </w:rPr>
        <w:t>Scope and Industry Structure</w:t>
      </w:r>
      <w:r w:rsidR="00F31548" w:rsidRPr="00F31548">
        <w:rPr>
          <w:b/>
          <w:bCs/>
        </w:rPr>
        <w:t>:</w:t>
      </w:r>
      <w:r w:rsidR="00F31548">
        <w:t xml:space="preserve"> </w:t>
      </w:r>
      <w:r>
        <w:t xml:space="preserve">The UK food and beverage sector encompasses various areas and segments that are all related, such as the manufacturing, retailing and hospitality sectors, with food manufacturing alone contributing more than 112 billion turnover and being the biggest manufacturing sector in the country. </w:t>
      </w:r>
      <w:r w:rsidR="00506243" w:rsidRPr="00506243">
        <w:t>The UK’s global market share in food exports decreased from 2% in 2010 to 1.5% in 2021. Between 2009 and 2020 the UK’s market share fluctuated around 1.9%, with a noticeable reduction recorded in 2020–21</w:t>
      </w:r>
      <w:r w:rsidR="001E1ABF" w:rsidRPr="001E1ABF">
        <w:t xml:space="preserve"> (Cambridge Industrial Innovation Policy, 2022)</w:t>
      </w:r>
      <w:r w:rsidR="00506243" w:rsidRPr="00506243">
        <w:t>.</w:t>
      </w:r>
      <w:r w:rsidR="00506243">
        <w:t xml:space="preserve"> </w:t>
      </w:r>
      <w:r>
        <w:t>Large chains like Tesco that occupy about 27 per cent of the market share are dominating the retail segment, with Sainsbury's with about 15 per cent and Asda with almost 14 per cent.</w:t>
      </w:r>
    </w:p>
    <w:p w14:paraId="7F1AB9E7" w14:textId="77777777" w:rsidR="00CC52C6" w:rsidRDefault="00CC52C6" w:rsidP="00CC52C6">
      <w:pPr>
        <w:keepNext/>
        <w:jc w:val="center"/>
      </w:pPr>
      <w:r w:rsidRPr="00CC52C6">
        <w:rPr>
          <w:noProof/>
        </w:rPr>
        <w:lastRenderedPageBreak/>
        <w:drawing>
          <wp:inline distT="0" distB="0" distL="0" distR="0" wp14:anchorId="55D509E9" wp14:editId="41BEF8DC">
            <wp:extent cx="5167159" cy="3236099"/>
            <wp:effectExtent l="0" t="0" r="0" b="2540"/>
            <wp:docPr id="955984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84289" name=""/>
                    <pic:cNvPicPr/>
                  </pic:nvPicPr>
                  <pic:blipFill>
                    <a:blip r:embed="rId11"/>
                    <a:stretch>
                      <a:fillRect/>
                    </a:stretch>
                  </pic:blipFill>
                  <pic:spPr>
                    <a:xfrm>
                      <a:off x="0" y="0"/>
                      <a:ext cx="5172761" cy="3239607"/>
                    </a:xfrm>
                    <a:prstGeom prst="rect">
                      <a:avLst/>
                    </a:prstGeom>
                  </pic:spPr>
                </pic:pic>
              </a:graphicData>
            </a:graphic>
          </wp:inline>
        </w:drawing>
      </w:r>
    </w:p>
    <w:p w14:paraId="46651D83" w14:textId="63B1C6F9" w:rsidR="00CC52C6" w:rsidRDefault="00CC52C6" w:rsidP="00CC52C6">
      <w:pPr>
        <w:pStyle w:val="Caption"/>
        <w:jc w:val="center"/>
      </w:pPr>
      <w:r>
        <w:t xml:space="preserve">Figure </w:t>
      </w:r>
      <w:r>
        <w:fldChar w:fldCharType="begin"/>
      </w:r>
      <w:r>
        <w:instrText xml:space="preserve"> SEQ Figure \* ARABIC </w:instrText>
      </w:r>
      <w:r>
        <w:fldChar w:fldCharType="separate"/>
      </w:r>
      <w:r w:rsidR="00723AF6">
        <w:rPr>
          <w:noProof/>
        </w:rPr>
        <w:t>3</w:t>
      </w:r>
      <w:r>
        <w:fldChar w:fldCharType="end"/>
      </w:r>
      <w:r>
        <w:t>: UK Food and Beverage Global Export Market Share</w:t>
      </w:r>
    </w:p>
    <w:p w14:paraId="0712CD81" w14:textId="558E4A36" w:rsidR="00CC52C6" w:rsidRPr="001E1ABF" w:rsidRDefault="00CC52C6" w:rsidP="00CC52C6">
      <w:pPr>
        <w:jc w:val="center"/>
        <w:rPr>
          <w:b/>
          <w:bCs/>
          <w:lang w:val="en-GB"/>
        </w:rPr>
      </w:pPr>
      <w:r w:rsidRPr="001E1ABF">
        <w:rPr>
          <w:b/>
          <w:bCs/>
          <w:lang w:val="en-GB"/>
        </w:rPr>
        <w:t xml:space="preserve">Source: </w:t>
      </w:r>
      <w:r w:rsidR="001E1ABF" w:rsidRPr="001E1ABF">
        <w:rPr>
          <w:b/>
          <w:bCs/>
          <w:lang w:val="en-GB"/>
        </w:rPr>
        <w:t>(Cambridge Industrial Innovation Policy, 2022)</w:t>
      </w:r>
    </w:p>
    <w:p w14:paraId="7A16EC37" w14:textId="500C0A01" w:rsidR="005A7458" w:rsidRDefault="00000000" w:rsidP="005A7458">
      <w:r w:rsidRPr="00F31548">
        <w:rPr>
          <w:b/>
          <w:bCs/>
        </w:rPr>
        <w:t>Economic Contribution</w:t>
      </w:r>
      <w:r w:rsidR="00F31548" w:rsidRPr="00F31548">
        <w:rPr>
          <w:b/>
          <w:bCs/>
        </w:rPr>
        <w:t>:</w:t>
      </w:r>
      <w:r w:rsidR="00F31548">
        <w:t xml:space="preserve"> </w:t>
      </w:r>
      <w:r>
        <w:t>The food and beverage industry is a very important sector of the UK economy, with over 30 billion in tax revenues per year, and almost 20 per cent of the total manufacturing output in the UK. The industry also contributes significantly to global trade, as food and beverage exports were estimated to be about £24 billion in 2023, about six per cent of all UK exports.</w:t>
      </w:r>
    </w:p>
    <w:p w14:paraId="5C70F2C3" w14:textId="77777777" w:rsidR="005A7458" w:rsidRDefault="00000000" w:rsidP="00F31548">
      <w:pPr>
        <w:pStyle w:val="Heading2"/>
      </w:pPr>
      <w:bookmarkStart w:id="5" w:name="_Toc227273897"/>
      <w:r>
        <w:t>c.</w:t>
      </w:r>
      <w:r w:rsidRPr="00F31548">
        <w:t xml:space="preserve"> Key Firms and Competitive Positioning in the UK Food and Beverage Industry</w:t>
      </w:r>
      <w:bookmarkEnd w:id="5"/>
    </w:p>
    <w:p w14:paraId="741E1B8C" w14:textId="77777777" w:rsidR="00F31548" w:rsidRPr="00F31548" w:rsidRDefault="00000000" w:rsidP="00F31548">
      <w:pPr>
        <w:rPr>
          <w:b/>
          <w:bCs/>
        </w:rPr>
      </w:pPr>
      <w:r w:rsidRPr="00F31548">
        <w:rPr>
          <w:b/>
          <w:bCs/>
        </w:rPr>
        <w:t>Major Domestic and Multinational Firms</w:t>
      </w:r>
    </w:p>
    <w:p w14:paraId="4213BB9A" w14:textId="4F33D0B5" w:rsidR="005A7458" w:rsidRPr="00F31548" w:rsidRDefault="00000000" w:rsidP="005A7458">
      <w:pPr>
        <w:rPr>
          <w:b/>
          <w:bCs/>
        </w:rPr>
      </w:pPr>
      <w:r w:rsidRPr="00F31548">
        <w:rPr>
          <w:b/>
          <w:bCs/>
        </w:rPr>
        <w:t>Domestic Market Leaders</w:t>
      </w:r>
      <w:r>
        <w:rPr>
          <w:b/>
          <w:bCs/>
        </w:rPr>
        <w:t xml:space="preserve">: </w:t>
      </w:r>
      <w:r>
        <w:t>The UK coffee and foodservice market is characterised by robust domestic brands like Costa Coffee, which has more than 2,700 stores and controls about a quarter of the branded coffee shop market, bringing in over 1.5 billion in annual revenue</w:t>
      </w:r>
      <w:r w:rsidR="002554EA" w:rsidRPr="002554EA">
        <w:t xml:space="preserve"> (Ciardulli, 2024)</w:t>
      </w:r>
      <w:r>
        <w:t>. Pret A Manger is another major domestic player that operates more than 430 locations in the UK and specialises in fresh and ready-to-eat food, with its global revenues of over 700 million, which makes it a high-end fast-casual player.</w:t>
      </w:r>
    </w:p>
    <w:p w14:paraId="0A10D299" w14:textId="7D93A878" w:rsidR="005A7458" w:rsidRDefault="00000000" w:rsidP="005A7458">
      <w:r w:rsidRPr="00F31548">
        <w:rPr>
          <w:b/>
          <w:bCs/>
        </w:rPr>
        <w:lastRenderedPageBreak/>
        <w:t>Multinational Competitors</w:t>
      </w:r>
      <w:r w:rsidR="00F31548" w:rsidRPr="00F31548">
        <w:rPr>
          <w:b/>
          <w:bCs/>
        </w:rPr>
        <w:t>:</w:t>
      </w:r>
      <w:r w:rsidR="00F31548">
        <w:t xml:space="preserve"> </w:t>
      </w:r>
      <w:r>
        <w:t>The multinational companies are very crucial, with Starbucks taking the lead with over 1200 UK stores and over $35 billion worldwide, indicating a high international brand strength. Moreover, McDonald's has more than 1,400 restaurants in the UK, with a mass market, high-volume, low-cost business, playing a significant role in the UK £93 billion foodservice industry</w:t>
      </w:r>
      <w:r w:rsidR="005B42A0" w:rsidRPr="005B42A0">
        <w:t xml:space="preserve"> (Cummins, McKay and MacIntyre, 2024)</w:t>
      </w:r>
      <w:r>
        <w:t>.</w:t>
      </w:r>
    </w:p>
    <w:p w14:paraId="426BEE48" w14:textId="77777777" w:rsidR="00F31548" w:rsidRPr="00F31548" w:rsidRDefault="00000000" w:rsidP="00F31548">
      <w:pPr>
        <w:rPr>
          <w:b/>
          <w:bCs/>
        </w:rPr>
      </w:pPr>
      <w:r w:rsidRPr="00F31548">
        <w:rPr>
          <w:b/>
          <w:bCs/>
        </w:rPr>
        <w:t>Comparative Strategies and Market Segments</w:t>
      </w:r>
    </w:p>
    <w:p w14:paraId="41A10A8F" w14:textId="04406DBB" w:rsidR="005A7458" w:rsidRPr="00F31548" w:rsidRDefault="00000000" w:rsidP="005A7458">
      <w:pPr>
        <w:rPr>
          <w:b/>
          <w:bCs/>
        </w:rPr>
      </w:pPr>
      <w:r w:rsidRPr="00F31548">
        <w:rPr>
          <w:b/>
          <w:bCs/>
        </w:rPr>
        <w:t>Competitive Strategies</w:t>
      </w:r>
      <w:r>
        <w:rPr>
          <w:b/>
          <w:bCs/>
        </w:rPr>
        <w:t xml:space="preserve">: </w:t>
      </w:r>
      <w:r>
        <w:t>Starbucks adheres to a premium differentiation strategy where product prices are about 20</w:t>
      </w:r>
      <w:r w:rsidR="005B42A0">
        <w:t>-</w:t>
      </w:r>
      <w:r>
        <w:t>30% above those of the competitors, and the company concentrates on customer service and store atmosphere</w:t>
      </w:r>
      <w:r w:rsidR="005B42A0" w:rsidRPr="005B42A0">
        <w:t xml:space="preserve"> (Chen, Hu and Liu, 2025)</w:t>
      </w:r>
      <w:r>
        <w:t>. Costa Coffee employs a broad differentiation strategy, whereby it provides competitive prices and accessibility with more than 13,000 self-service machines, which make it more convenient. Pret A Manger uses a focused differentiation strategy by marketing fresh and organic food, and more than 70 per cent of the menu is seen to be healthy. McDonald's uses the cost leadership strategy where the entry prices are lower than 2 pounds, and it caters to price-sensitive customers.</w:t>
      </w:r>
    </w:p>
    <w:p w14:paraId="5A1EF7F3" w14:textId="5FA5C424" w:rsidR="005A7458" w:rsidRPr="00F31548" w:rsidRDefault="00000000" w:rsidP="005A7458">
      <w:pPr>
        <w:rPr>
          <w:b/>
          <w:bCs/>
        </w:rPr>
      </w:pPr>
      <w:r w:rsidRPr="00F31548">
        <w:rPr>
          <w:b/>
          <w:bCs/>
        </w:rPr>
        <w:t>Target Market Segments</w:t>
      </w:r>
      <w:r>
        <w:rPr>
          <w:b/>
          <w:bCs/>
        </w:rPr>
        <w:t xml:space="preserve">: </w:t>
      </w:r>
      <w:r>
        <w:t>Starbucks primarily targets middle- to high-income consumers aged 18–45, representing over 60% of urban coffee consumers in the UK</w:t>
      </w:r>
      <w:r w:rsidR="005B42A0" w:rsidRPr="005B42A0">
        <w:t xml:space="preserve"> (Talib, 2024)</w:t>
      </w:r>
      <w:r>
        <w:t>. Costa Coffee targets a wider audience, such as families and commuters, with more people walking in on a daily basis. Pret A Manger targets urban professionals; more than 60% of its restaurants are in city centres, and McDonald's targets mass-market consumers, with more than 3.7 million people served per day in the UK.</w:t>
      </w:r>
    </w:p>
    <w:p w14:paraId="711B039C" w14:textId="77777777" w:rsidR="00F31548" w:rsidRPr="00F31548" w:rsidRDefault="00000000" w:rsidP="00F31548">
      <w:pPr>
        <w:rPr>
          <w:b/>
          <w:bCs/>
        </w:rPr>
      </w:pPr>
      <w:r w:rsidRPr="00F31548">
        <w:rPr>
          <w:b/>
          <w:bCs/>
        </w:rPr>
        <w:t>Performance and Market Positioning</w:t>
      </w:r>
    </w:p>
    <w:p w14:paraId="34666BD0" w14:textId="1891FB8E" w:rsidR="005A7458" w:rsidRPr="00F31548" w:rsidRDefault="00000000" w:rsidP="005A7458">
      <w:pPr>
        <w:rPr>
          <w:b/>
          <w:bCs/>
        </w:rPr>
      </w:pPr>
      <w:r w:rsidRPr="00F31548">
        <w:rPr>
          <w:b/>
          <w:bCs/>
        </w:rPr>
        <w:t>Financial and Market Performance</w:t>
      </w:r>
      <w:r>
        <w:rPr>
          <w:b/>
          <w:bCs/>
        </w:rPr>
        <w:t xml:space="preserve">: </w:t>
      </w:r>
      <w:r>
        <w:t>The UK coffee market is dominated by Costa Coffee with a market share of about 25 per cent and Starbucks with about 10-12 per cent, which is strong and second positioning, respectively</w:t>
      </w:r>
      <w:r w:rsidR="005B42A0" w:rsidRPr="005B42A0">
        <w:t xml:space="preserve"> (Raimondo, 2022)</w:t>
      </w:r>
      <w:r>
        <w:t>. In 2023, Starbucks expanded its UK revenue by around 12 per cent due to digital sales, which represent more than 25 per cent of the transactions. Pret A Manger has gone global because they have saturated the UK market, and McDonald's continues to dominate volume with an annual average growth of approximately 10%.</w:t>
      </w:r>
    </w:p>
    <w:p w14:paraId="5842D304" w14:textId="77777777" w:rsidR="00322F4F" w:rsidRDefault="00000000" w:rsidP="005A7458">
      <w:r w:rsidRPr="00F31548">
        <w:rPr>
          <w:b/>
          <w:bCs/>
        </w:rPr>
        <w:t>Perceptual Map Positioning</w:t>
      </w:r>
      <w:r>
        <w:rPr>
          <w:b/>
          <w:bCs/>
        </w:rPr>
        <w:t xml:space="preserve">: </w:t>
      </w:r>
      <w:r w:rsidR="005A7458">
        <w:t xml:space="preserve">Starbucks is at the high-price, high-quality quadrant, indicating its premium positioning using a perceptual map based on price and perceived quality. Costa Coffee </w:t>
      </w:r>
      <w:r w:rsidR="005A7458">
        <w:lastRenderedPageBreak/>
        <w:t>occupies the medium-to-high end and high-quality segment, which has a greater reach. Pret A Manger is located in the high-quality but moderate-price segment, emphasising health and freshness. McDonald's occupies the low price, moderate quality segment, appealing to low cost. This stance reveals that Starbucks has a strong brand equity and experience, but Costa Coffee remains competitive in terms of scale and accessibility.</w:t>
      </w:r>
    </w:p>
    <w:p w14:paraId="2F09A957" w14:textId="77777777" w:rsidR="005B42A0" w:rsidRDefault="00000000" w:rsidP="005B42A0">
      <w:pPr>
        <w:keepNext/>
      </w:pPr>
      <w:r w:rsidRPr="003A739A">
        <w:rPr>
          <w:b/>
          <w:bCs/>
          <w:noProof/>
        </w:rPr>
        <w:drawing>
          <wp:inline distT="0" distB="0" distL="0" distR="0" wp14:anchorId="43FB2186" wp14:editId="1441F8B6">
            <wp:extent cx="5943600" cy="3241675"/>
            <wp:effectExtent l="0" t="0" r="0" b="0"/>
            <wp:docPr id="852390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390897" name="Picture 12"/>
                    <pic:cNvPicPr>
                      <a:picLocks noChangeAspect="1" noChangeArrowheads="1"/>
                    </pic:cNvPicPr>
                  </pic:nvPicPr>
                  <pic:blipFill>
                    <a:blip r:embed="rId12">
                      <a:extLst>
                        <a:ext uri="{BEBA8EAE-BF5A-486C-A8C5-ECC9F3942E4B}">
                          <a14:imgProps xmlns:a14="http://schemas.microsoft.com/office/drawing/2010/main">
                            <a14:imgLayer>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bwMode="auto">
                    <a:xfrm>
                      <a:off x="0" y="0"/>
                      <a:ext cx="5943600" cy="3241675"/>
                    </a:xfrm>
                    <a:prstGeom prst="rect">
                      <a:avLst/>
                    </a:prstGeom>
                    <a:noFill/>
                    <a:ln>
                      <a:noFill/>
                    </a:ln>
                  </pic:spPr>
                </pic:pic>
              </a:graphicData>
            </a:graphic>
          </wp:inline>
        </w:drawing>
      </w:r>
    </w:p>
    <w:p w14:paraId="16A63319" w14:textId="305DCD08" w:rsidR="003A739A" w:rsidRDefault="005B42A0" w:rsidP="005B42A0">
      <w:pPr>
        <w:pStyle w:val="Caption"/>
        <w:jc w:val="center"/>
      </w:pPr>
      <w:r>
        <w:t xml:space="preserve">Figure </w:t>
      </w:r>
      <w:r>
        <w:fldChar w:fldCharType="begin"/>
      </w:r>
      <w:r>
        <w:instrText xml:space="preserve"> SEQ Figure \* ARABIC </w:instrText>
      </w:r>
      <w:r>
        <w:fldChar w:fldCharType="separate"/>
      </w:r>
      <w:r w:rsidR="00723AF6">
        <w:rPr>
          <w:noProof/>
        </w:rPr>
        <w:t>4</w:t>
      </w:r>
      <w:r>
        <w:fldChar w:fldCharType="end"/>
      </w:r>
      <w:r>
        <w:t>: Perceptual Map Positioning</w:t>
      </w:r>
    </w:p>
    <w:p w14:paraId="0102F61E" w14:textId="62474102" w:rsidR="00BA23B3" w:rsidRPr="00634310" w:rsidRDefault="005B42A0" w:rsidP="00634310">
      <w:pPr>
        <w:jc w:val="center"/>
        <w:rPr>
          <w:b/>
          <w:bCs/>
          <w:lang w:val="en-GB"/>
        </w:rPr>
      </w:pPr>
      <w:r w:rsidRPr="00634310">
        <w:rPr>
          <w:b/>
          <w:bCs/>
          <w:lang w:val="en-GB"/>
        </w:rPr>
        <w:t xml:space="preserve">Source: </w:t>
      </w:r>
      <w:r w:rsidR="00634310" w:rsidRPr="00634310">
        <w:rPr>
          <w:b/>
          <w:bCs/>
          <w:lang w:val="en-GB"/>
        </w:rPr>
        <w:t>(Self-Made)</w:t>
      </w:r>
    </w:p>
    <w:p w14:paraId="69A87A91" w14:textId="77777777" w:rsidR="00A7792E" w:rsidRPr="00A7792E" w:rsidRDefault="00000000" w:rsidP="00A7792E">
      <w:pPr>
        <w:pStyle w:val="Heading1"/>
      </w:pPr>
      <w:bookmarkStart w:id="6" w:name="_Toc227273898"/>
      <w:r w:rsidRPr="00A7792E">
        <w:t>3. Application of Porter’s Diamond Model to the UK Food and Beverage Industry</w:t>
      </w:r>
      <w:bookmarkEnd w:id="6"/>
    </w:p>
    <w:p w14:paraId="7F730A2E" w14:textId="06196ACD" w:rsidR="00D37D41" w:rsidRDefault="00000000" w:rsidP="00D37D41">
      <w:r>
        <w:t>The Diamond Model of Porter describes the effect of national aspects on the competitiveness of industries internationally, emphasising factor conditions, demand conditions, related and supportive industries, firm strategy and rivalry and the role of government and chance</w:t>
      </w:r>
      <w:r w:rsidR="007A2C58" w:rsidRPr="007A2C58">
        <w:t>(Fainshmidt, Smith and Judge, 2022)</w:t>
      </w:r>
      <w:r>
        <w:t xml:space="preserve">. The food and beverage market in the UK is highly competitive on a global scale, where exports are estimated at around 24 billion in 2023, and the sector makes over 240 billion in </w:t>
      </w:r>
      <w:r w:rsidR="00A7792E">
        <w:t>contributions</w:t>
      </w:r>
      <w:r>
        <w:t xml:space="preserve"> to the economy, which indicates a highly developed and internationally competitive market environment.</w:t>
      </w:r>
    </w:p>
    <w:p w14:paraId="6688437B" w14:textId="77777777" w:rsidR="004C5102" w:rsidRDefault="004C5102" w:rsidP="004C5102">
      <w:pPr>
        <w:keepNext/>
        <w:jc w:val="center"/>
      </w:pPr>
      <w:r w:rsidRPr="004C5102">
        <w:rPr>
          <w:noProof/>
        </w:rPr>
        <w:lastRenderedPageBreak/>
        <w:drawing>
          <wp:inline distT="0" distB="0" distL="0" distR="0" wp14:anchorId="0A77C82B" wp14:editId="611A6539">
            <wp:extent cx="4974896" cy="2853125"/>
            <wp:effectExtent l="0" t="0" r="0" b="4445"/>
            <wp:docPr id="481126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26500" name=""/>
                    <pic:cNvPicPr/>
                  </pic:nvPicPr>
                  <pic:blipFill>
                    <a:blip r:embed="rId13"/>
                    <a:stretch>
                      <a:fillRect/>
                    </a:stretch>
                  </pic:blipFill>
                  <pic:spPr>
                    <a:xfrm>
                      <a:off x="0" y="0"/>
                      <a:ext cx="5009609" cy="2873033"/>
                    </a:xfrm>
                    <a:prstGeom prst="rect">
                      <a:avLst/>
                    </a:prstGeom>
                  </pic:spPr>
                </pic:pic>
              </a:graphicData>
            </a:graphic>
          </wp:inline>
        </w:drawing>
      </w:r>
    </w:p>
    <w:p w14:paraId="59190AE2" w14:textId="2D08B17E" w:rsidR="004C5102" w:rsidRDefault="004C5102" w:rsidP="004C5102">
      <w:pPr>
        <w:pStyle w:val="Caption"/>
        <w:jc w:val="center"/>
      </w:pPr>
      <w:r>
        <w:t xml:space="preserve">Figure </w:t>
      </w:r>
      <w:r>
        <w:fldChar w:fldCharType="begin"/>
      </w:r>
      <w:r>
        <w:instrText xml:space="preserve"> SEQ Figure \* ARABIC </w:instrText>
      </w:r>
      <w:r>
        <w:fldChar w:fldCharType="separate"/>
      </w:r>
      <w:r w:rsidR="00723AF6">
        <w:rPr>
          <w:noProof/>
        </w:rPr>
        <w:t>5</w:t>
      </w:r>
      <w:r>
        <w:fldChar w:fldCharType="end"/>
      </w:r>
      <w:r>
        <w:t>: Porter's Diamond Model</w:t>
      </w:r>
    </w:p>
    <w:p w14:paraId="6F7B91F0" w14:textId="03C6728C" w:rsidR="004C5102" w:rsidRPr="007A2C58" w:rsidRDefault="004C5102" w:rsidP="004C5102">
      <w:pPr>
        <w:jc w:val="center"/>
        <w:rPr>
          <w:b/>
          <w:bCs/>
          <w:lang w:val="en-GB"/>
        </w:rPr>
      </w:pPr>
      <w:r w:rsidRPr="007A2C58">
        <w:rPr>
          <w:b/>
          <w:bCs/>
          <w:lang w:val="en-GB"/>
        </w:rPr>
        <w:t xml:space="preserve">Source: </w:t>
      </w:r>
      <w:r w:rsidR="007A2C58" w:rsidRPr="007A2C58">
        <w:rPr>
          <w:b/>
          <w:bCs/>
          <w:lang w:val="en-GB"/>
        </w:rPr>
        <w:t>(Wowslides, 2020)</w:t>
      </w:r>
    </w:p>
    <w:p w14:paraId="7B5A7587" w14:textId="77777777" w:rsidR="00A7792E" w:rsidRPr="00A7792E" w:rsidRDefault="00000000" w:rsidP="00A7792E">
      <w:pPr>
        <w:rPr>
          <w:b/>
          <w:bCs/>
        </w:rPr>
      </w:pPr>
      <w:r>
        <w:rPr>
          <w:b/>
          <w:bCs/>
        </w:rPr>
        <w:t xml:space="preserve">1. </w:t>
      </w:r>
      <w:r w:rsidRPr="00A7792E">
        <w:rPr>
          <w:b/>
          <w:bCs/>
        </w:rPr>
        <w:t>Factor Conditions</w:t>
      </w:r>
    </w:p>
    <w:p w14:paraId="585BAEC2" w14:textId="5C58F6BD" w:rsidR="00D37D41" w:rsidRPr="007A2C58" w:rsidRDefault="00000000" w:rsidP="00D37D41">
      <w:r w:rsidRPr="00A7792E">
        <w:rPr>
          <w:b/>
          <w:bCs/>
        </w:rPr>
        <w:t>Advanced Human and Physical Resources</w:t>
      </w:r>
      <w:r>
        <w:rPr>
          <w:b/>
          <w:bCs/>
        </w:rPr>
        <w:t xml:space="preserve">: </w:t>
      </w:r>
      <w:r>
        <w:t>The UK has highly qualified human resources, with more than 4.2 million employees employed in the food and beverage sector, which forms approximately 13 per cent of the total employment</w:t>
      </w:r>
      <w:r w:rsidR="007A2C58">
        <w:t xml:space="preserve"> </w:t>
      </w:r>
      <w:r w:rsidR="007A2C58" w:rsidRPr="007A2C58">
        <w:t>(GOV.UK, 2025)</w:t>
      </w:r>
      <w:r>
        <w:t>. The well-developed education and training systems in the country facilitate the development of the workforce, especially in the hospitality and food technology areas, which have boosted the productivity level that is estimated to be 15 per cent above the EU average.</w:t>
      </w:r>
    </w:p>
    <w:p w14:paraId="504C25E9" w14:textId="4CBDA858" w:rsidR="00D37D41" w:rsidRDefault="00000000" w:rsidP="00D37D41">
      <w:r w:rsidRPr="00A7792E">
        <w:rPr>
          <w:b/>
          <w:bCs/>
        </w:rPr>
        <w:t>Infrastructure and Technological Capabilities:</w:t>
      </w:r>
      <w:r>
        <w:t xml:space="preserve"> The UK has developed infrastructure with more than 280,000 food-related enterprises with effective logistics and a digital network</w:t>
      </w:r>
      <w:r w:rsidR="007A2C58" w:rsidRPr="007A2C58">
        <w:t xml:space="preserve"> (DEFRA, 2022)</w:t>
      </w:r>
      <w:r>
        <w:t>. Due to the emergence of digital platforms, the volume of foodservice transactions is now driven online by more than 30% of the operations, which has increased operational efficiency. Strong technological integration is evident in firms like Starbucks that use mobile ordering systems that contribute over a quarter of their sales in the UK.</w:t>
      </w:r>
    </w:p>
    <w:p w14:paraId="145748E5" w14:textId="77777777" w:rsidR="00A7792E" w:rsidRPr="00A7792E" w:rsidRDefault="00000000" w:rsidP="00A7792E">
      <w:pPr>
        <w:rPr>
          <w:b/>
          <w:bCs/>
        </w:rPr>
      </w:pPr>
      <w:r>
        <w:rPr>
          <w:b/>
          <w:bCs/>
        </w:rPr>
        <w:t xml:space="preserve">2. </w:t>
      </w:r>
      <w:r w:rsidRPr="00A7792E">
        <w:rPr>
          <w:b/>
          <w:bCs/>
        </w:rPr>
        <w:t>Demand Conditions</w:t>
      </w:r>
    </w:p>
    <w:p w14:paraId="73942638" w14:textId="065D381C" w:rsidR="00D37D41" w:rsidRDefault="00000000" w:rsidP="00D37D41">
      <w:r w:rsidRPr="00A7792E">
        <w:rPr>
          <w:b/>
          <w:bCs/>
        </w:rPr>
        <w:lastRenderedPageBreak/>
        <w:t>Sophisticated Domestic Demand</w:t>
      </w:r>
      <w:r>
        <w:rPr>
          <w:b/>
          <w:bCs/>
        </w:rPr>
        <w:t xml:space="preserve">: </w:t>
      </w:r>
      <w:r>
        <w:t xml:space="preserve">The UK market is highly mature, with more than 80 per cent of adults taking coffee on a regular basis and 40 per cent visiting cafes weekly. Food and beverage spending </w:t>
      </w:r>
      <w:r w:rsidR="00CA32DD" w:rsidRPr="00CA32DD">
        <w:t>on food and alcoholic drinks decreased by 1.0% from £303.5bn in 2023 to £300.4bn in 2024 and was 15.7% higher than in 2014 (GOV.UK, 2025).</w:t>
      </w:r>
    </w:p>
    <w:p w14:paraId="61021953" w14:textId="77777777" w:rsidR="00CA32DD" w:rsidRDefault="005F5FD8" w:rsidP="00CA32DD">
      <w:pPr>
        <w:keepNext/>
        <w:jc w:val="center"/>
      </w:pPr>
      <w:r>
        <w:rPr>
          <w:b/>
          <w:bCs/>
          <w:noProof/>
        </w:rPr>
        <w:drawing>
          <wp:inline distT="0" distB="0" distL="0" distR="0" wp14:anchorId="7DA9F6F4" wp14:editId="122856AD">
            <wp:extent cx="5199917" cy="3465257"/>
            <wp:effectExtent l="0" t="0" r="1270" b="1905"/>
            <wp:docPr id="21339003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12193" cy="3473438"/>
                    </a:xfrm>
                    <a:prstGeom prst="rect">
                      <a:avLst/>
                    </a:prstGeom>
                    <a:noFill/>
                  </pic:spPr>
                </pic:pic>
              </a:graphicData>
            </a:graphic>
          </wp:inline>
        </w:drawing>
      </w:r>
    </w:p>
    <w:p w14:paraId="4517772C" w14:textId="78570DFC" w:rsidR="005F5FD8" w:rsidRDefault="00CA32DD" w:rsidP="00CA32DD">
      <w:pPr>
        <w:pStyle w:val="Caption"/>
        <w:jc w:val="center"/>
      </w:pPr>
      <w:r>
        <w:t xml:space="preserve">Figure </w:t>
      </w:r>
      <w:r>
        <w:fldChar w:fldCharType="begin"/>
      </w:r>
      <w:r>
        <w:instrText xml:space="preserve"> SEQ Figure \* ARABIC </w:instrText>
      </w:r>
      <w:r>
        <w:fldChar w:fldCharType="separate"/>
      </w:r>
      <w:r w:rsidR="00723AF6">
        <w:rPr>
          <w:noProof/>
        </w:rPr>
        <w:t>6</w:t>
      </w:r>
      <w:r>
        <w:fldChar w:fldCharType="end"/>
      </w:r>
      <w:r>
        <w:t xml:space="preserve">: </w:t>
      </w:r>
      <w:r w:rsidRPr="00566441">
        <w:t>UK Consumer expenditure on food, drink and catering</w:t>
      </w:r>
    </w:p>
    <w:p w14:paraId="3DD16154" w14:textId="67963EFA" w:rsidR="00CA32DD" w:rsidRPr="00CA32DD" w:rsidRDefault="00CA32DD" w:rsidP="00CA32DD">
      <w:pPr>
        <w:jc w:val="center"/>
        <w:rPr>
          <w:b/>
          <w:bCs/>
        </w:rPr>
      </w:pPr>
      <w:r w:rsidRPr="00CA32DD">
        <w:rPr>
          <w:b/>
          <w:bCs/>
          <w:lang w:val="en-GB"/>
        </w:rPr>
        <w:t xml:space="preserve">Source: </w:t>
      </w:r>
      <w:r w:rsidRPr="00CA32DD">
        <w:rPr>
          <w:b/>
          <w:bCs/>
        </w:rPr>
        <w:t>(GOV.UK, 2025)</w:t>
      </w:r>
    </w:p>
    <w:p w14:paraId="158B38EB" w14:textId="7AC88DBD" w:rsidR="00D37D41" w:rsidRDefault="00000000" w:rsidP="00D37D41">
      <w:r w:rsidRPr="00A7792E">
        <w:rPr>
          <w:b/>
          <w:bCs/>
        </w:rPr>
        <w:t>Changing Consumer Preferences:</w:t>
      </w:r>
      <w:r>
        <w:t xml:space="preserve"> The demand to purchase products of high quality, sustainability, and health increases, and the sales of organic food have grown by an estimated 15 per cent since 2020. Firms like Pret A Manger react by serving more than 70% of fresh and natural menu choices, and Starbucks has launched plant-based options, as it responds to changing consumer tastes and influences the global competitiveness</w:t>
      </w:r>
      <w:r w:rsidR="00CA32DD" w:rsidRPr="00CA32DD">
        <w:t xml:space="preserve"> (Talib, 2024)</w:t>
      </w:r>
      <w:r>
        <w:t>.</w:t>
      </w:r>
    </w:p>
    <w:p w14:paraId="19134B8B" w14:textId="77777777" w:rsidR="00A7792E" w:rsidRPr="00A7792E" w:rsidRDefault="00000000" w:rsidP="00A7792E">
      <w:pPr>
        <w:rPr>
          <w:b/>
          <w:bCs/>
        </w:rPr>
      </w:pPr>
      <w:r>
        <w:rPr>
          <w:b/>
          <w:bCs/>
        </w:rPr>
        <w:t xml:space="preserve">3. </w:t>
      </w:r>
      <w:r w:rsidRPr="00A7792E">
        <w:rPr>
          <w:b/>
          <w:bCs/>
        </w:rPr>
        <w:t>Related and Supporting Industries</w:t>
      </w:r>
    </w:p>
    <w:p w14:paraId="1445C181" w14:textId="722A46AC" w:rsidR="00D37D41" w:rsidRPr="00A7792E" w:rsidRDefault="00000000" w:rsidP="00D37D41">
      <w:pPr>
        <w:rPr>
          <w:b/>
          <w:bCs/>
        </w:rPr>
      </w:pPr>
      <w:r w:rsidRPr="00A7792E">
        <w:rPr>
          <w:b/>
          <w:bCs/>
        </w:rPr>
        <w:t>Strong Supply Chain and Retail Networks</w:t>
      </w:r>
      <w:r>
        <w:rPr>
          <w:b/>
          <w:bCs/>
        </w:rPr>
        <w:t xml:space="preserve">: </w:t>
      </w:r>
      <w:r>
        <w:t>The UK has well-established supporting industries, food manufacturing, which is capable of delivering a turnover of over £112 billion, and retailers such as Tesco with a market share of about 27%</w:t>
      </w:r>
      <w:r w:rsidR="00CA32DD" w:rsidRPr="00CA32DD">
        <w:t xml:space="preserve"> (Introspective Market Research, 2024)</w:t>
      </w:r>
      <w:r>
        <w:t xml:space="preserve">. All these </w:t>
      </w:r>
      <w:r>
        <w:lastRenderedPageBreak/>
        <w:t>interrelated industries establish an effective supply chain that lowers costs and enhances product availability.</w:t>
      </w:r>
    </w:p>
    <w:p w14:paraId="531D3992" w14:textId="77777777" w:rsidR="00D37D41" w:rsidRDefault="00000000" w:rsidP="00D37D41">
      <w:r w:rsidRPr="00A7792E">
        <w:rPr>
          <w:b/>
          <w:bCs/>
        </w:rPr>
        <w:t>Innovation and Technology Ecosystem:</w:t>
      </w:r>
      <w:r>
        <w:t xml:space="preserve"> Advanced logistics, packaging, and fintech industries enable innovation, and more than 60 per cent of food companies have implemented digital payment and delivery. It is an ecosystem that increases competitiveness as the firms are in a position to adapt to the changes in the market very fast and to the needs of the consumers.</w:t>
      </w:r>
    </w:p>
    <w:p w14:paraId="2336695D" w14:textId="77777777" w:rsidR="00A7792E" w:rsidRPr="00A7792E" w:rsidRDefault="00000000" w:rsidP="00A7792E">
      <w:pPr>
        <w:rPr>
          <w:b/>
          <w:bCs/>
        </w:rPr>
      </w:pPr>
      <w:r w:rsidRPr="00A7792E">
        <w:rPr>
          <w:b/>
          <w:bCs/>
        </w:rPr>
        <w:t>Firm Strategy, Structure, and Rivalry</w:t>
      </w:r>
    </w:p>
    <w:p w14:paraId="7974C7A9" w14:textId="055E3DBD" w:rsidR="00D37D41" w:rsidRPr="00A7792E" w:rsidRDefault="00000000" w:rsidP="00D37D41">
      <w:pPr>
        <w:rPr>
          <w:b/>
          <w:bCs/>
        </w:rPr>
      </w:pPr>
      <w:r w:rsidRPr="00A7792E">
        <w:rPr>
          <w:b/>
          <w:bCs/>
        </w:rPr>
        <w:t>Intense Domestic Competition</w:t>
      </w:r>
      <w:r>
        <w:rPr>
          <w:b/>
          <w:bCs/>
        </w:rPr>
        <w:t xml:space="preserve">: </w:t>
      </w:r>
      <w:r>
        <w:t>Being a very competitive sector, the UK food and beverage market has more than 460,000 businesses trading in the industry</w:t>
      </w:r>
      <w:r w:rsidR="00060218" w:rsidRPr="00060218">
        <w:t xml:space="preserve"> (Melia, 2023)</w:t>
      </w:r>
      <w:r>
        <w:t>. Large companies like Costa Coffee, Starbucks and McDonald's rival each other in terms of pricing, quality and innovation, which leads to an endless enhancement and efficiency. Costa Coffee dominates with about 25% of the share of the market, and Starbucks has about 10-12%, as it is competitive but strong.</w:t>
      </w:r>
    </w:p>
    <w:p w14:paraId="101C850D" w14:textId="3C8643E3" w:rsidR="00D37D41" w:rsidRDefault="00000000" w:rsidP="00D37D41">
      <w:r w:rsidRPr="00A7792E">
        <w:rPr>
          <w:b/>
          <w:bCs/>
        </w:rPr>
        <w:t xml:space="preserve">Strategic Orientation and Innovation: </w:t>
      </w:r>
      <w:r>
        <w:t>Companies employ various strategies, and Starbucks employs the strategy of premium differentiation, Costa Coffee with the strategy of access and scale, and McDonald's with the strategy of cost leadership, with over 3.7 million customers every day in the UK</w:t>
      </w:r>
      <w:r w:rsidR="00060218" w:rsidRPr="00060218">
        <w:t xml:space="preserve"> (Ciardulli, 2024)</w:t>
      </w:r>
      <w:r>
        <w:t>. This diversity as a strategy augments the competitive spirit of the industry as a whole, as it promotes innovation and market segmentation.</w:t>
      </w:r>
    </w:p>
    <w:p w14:paraId="3128F181" w14:textId="77777777" w:rsidR="00A7792E" w:rsidRPr="00A7792E" w:rsidRDefault="00000000" w:rsidP="00A7792E">
      <w:pPr>
        <w:rPr>
          <w:b/>
          <w:bCs/>
        </w:rPr>
      </w:pPr>
      <w:r>
        <w:rPr>
          <w:b/>
          <w:bCs/>
        </w:rPr>
        <w:t xml:space="preserve">5. </w:t>
      </w:r>
      <w:r w:rsidRPr="00A7792E">
        <w:rPr>
          <w:b/>
          <w:bCs/>
        </w:rPr>
        <w:t>Role of Government and Chance</w:t>
      </w:r>
    </w:p>
    <w:p w14:paraId="0AC5BB08" w14:textId="0A0B41A8" w:rsidR="00D37D41" w:rsidRPr="00A7792E" w:rsidRDefault="00000000" w:rsidP="00D37D41">
      <w:pPr>
        <w:rPr>
          <w:b/>
          <w:bCs/>
        </w:rPr>
      </w:pPr>
      <w:r w:rsidRPr="00A7792E">
        <w:rPr>
          <w:b/>
          <w:bCs/>
        </w:rPr>
        <w:t>Government Support and Regulation</w:t>
      </w:r>
      <w:r>
        <w:rPr>
          <w:b/>
          <w:bCs/>
        </w:rPr>
        <w:t xml:space="preserve">: </w:t>
      </w:r>
      <w:r>
        <w:t>The UK government is facilitating the industry by encouraging food safety, sustainable food production and international trade, which has led to an increase in export of about 8% a year</w:t>
      </w:r>
      <w:r w:rsidR="00060218" w:rsidRPr="00060218">
        <w:t xml:space="preserve"> (GOV.UK, 2025)</w:t>
      </w:r>
      <w:r>
        <w:t>. Sugar tax and sustainability regulations are pushing companies to be innovative, and more than half of the companies have reformulated their products to comply with the health requirements.</w:t>
      </w:r>
    </w:p>
    <w:p w14:paraId="757B182F" w14:textId="11C9A4F3" w:rsidR="00B123A0" w:rsidRDefault="00000000" w:rsidP="00060218">
      <w:r w:rsidRPr="00AD67FC">
        <w:rPr>
          <w:b/>
          <w:bCs/>
        </w:rPr>
        <w:t>External Factors (Chance)</w:t>
      </w:r>
      <w:r w:rsidR="00A7792E" w:rsidRPr="00AD67FC">
        <w:rPr>
          <w:b/>
          <w:bCs/>
        </w:rPr>
        <w:t>:</w:t>
      </w:r>
      <w:r w:rsidR="00A7792E">
        <w:t xml:space="preserve"> </w:t>
      </w:r>
      <w:r>
        <w:t>Extrinsic factors like the COVID-19 pandemic and Brexit have had a considerable effect on the industry, and foodservice revenues decreased by almost a third in 2020, only to increase by more than a third in 2022. These issues have increased the pace of digitalisation and supply chain diversification, enhancing resilience over time.</w:t>
      </w:r>
    </w:p>
    <w:p w14:paraId="0E5BB44B" w14:textId="77777777" w:rsidR="00E67DE5" w:rsidRPr="00E67DE5" w:rsidRDefault="00000000" w:rsidP="00E67DE5">
      <w:pPr>
        <w:pStyle w:val="Heading1"/>
      </w:pPr>
      <w:bookmarkStart w:id="7" w:name="_Toc227273899"/>
      <w:r w:rsidRPr="00E67DE5">
        <w:lastRenderedPageBreak/>
        <w:t>4. Critical Evaluation of Factors Affecting the Success of a Foreign MNC in the UK Food and Beverage Industry</w:t>
      </w:r>
      <w:bookmarkEnd w:id="7"/>
    </w:p>
    <w:p w14:paraId="6F206667" w14:textId="77777777" w:rsidR="00E67DE5" w:rsidRPr="00E67DE5" w:rsidRDefault="00000000" w:rsidP="00E67DE5">
      <w:pPr>
        <w:pStyle w:val="Heading2"/>
      </w:pPr>
      <w:bookmarkStart w:id="8" w:name="_Toc227273900"/>
      <w:r w:rsidRPr="00E67DE5">
        <w:t>4.1 Introduction to the Selected MNC</w:t>
      </w:r>
      <w:bookmarkEnd w:id="8"/>
    </w:p>
    <w:p w14:paraId="4905705C" w14:textId="77777777" w:rsidR="00B123A0" w:rsidRPr="00E67DE5" w:rsidRDefault="00000000" w:rsidP="00B123A0">
      <w:pPr>
        <w:rPr>
          <w:b/>
          <w:bCs/>
        </w:rPr>
      </w:pPr>
      <w:r w:rsidRPr="00E67DE5">
        <w:rPr>
          <w:b/>
          <w:bCs/>
        </w:rPr>
        <w:t>Overview of the Company</w:t>
      </w:r>
      <w:r>
        <w:rPr>
          <w:b/>
          <w:bCs/>
        </w:rPr>
        <w:t>:</w:t>
      </w:r>
    </w:p>
    <w:p w14:paraId="03B65568" w14:textId="124E6A87" w:rsidR="00D908EA" w:rsidRDefault="00000000" w:rsidP="00B123A0">
      <w:r>
        <w:t>The multinational company to be analysed is Starbucks, which has a total of over 38,000 stores in more than 80 countries and has global revenues of about 35.98 billion in 2023, corresponding to an annual growth of about 12</w:t>
      </w:r>
      <w:r w:rsidR="00D908EA" w:rsidRPr="00D908EA">
        <w:t xml:space="preserve"> (Cuofano, 2023)</w:t>
      </w:r>
      <w:r>
        <w:t xml:space="preserve">. The company has more than 400, 000 employees across the world and serves millions of customers every day, which expresses its high globalisation and the scope of its operation. </w:t>
      </w:r>
      <w:r w:rsidR="00CF403C">
        <w:t>The company</w:t>
      </w:r>
      <w:r w:rsidR="00CF403C" w:rsidRPr="00CF403C">
        <w:t xml:space="preserve"> was founded in 1971</w:t>
      </w:r>
      <w:r w:rsidR="00CF403C">
        <w:t xml:space="preserve"> and is headquartered</w:t>
      </w:r>
      <w:r w:rsidR="00CF403C" w:rsidRPr="00CF403C">
        <w:t xml:space="preserve"> in Seattle, Washington, USA.</w:t>
      </w:r>
      <w:r w:rsidR="00CF403C">
        <w:t xml:space="preserve"> </w:t>
      </w:r>
      <w:r>
        <w:t>Starbucks moved to the United Kingdom market in 1998 and has since grown to over 1,200 locations in the major cities and towns of the country to become one of the most recognisable international coffee brands in the country.</w:t>
      </w:r>
    </w:p>
    <w:p w14:paraId="13B7BF5A" w14:textId="77777777" w:rsidR="00D908EA" w:rsidRDefault="00D908EA" w:rsidP="00D908EA">
      <w:pPr>
        <w:keepNext/>
        <w:jc w:val="center"/>
      </w:pPr>
      <w:r>
        <w:rPr>
          <w:noProof/>
        </w:rPr>
        <w:drawing>
          <wp:inline distT="0" distB="0" distL="0" distR="0" wp14:anchorId="575AFD5C" wp14:editId="5C37BDD2">
            <wp:extent cx="5266006" cy="3466870"/>
            <wp:effectExtent l="0" t="0" r="0" b="635"/>
            <wp:docPr id="1019816168" name="Picture 5" descr="Starbucks Revenue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arbucks Revenue - FourWeekMBA"/>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8777"/>
                    <a:stretch>
                      <a:fillRect/>
                    </a:stretch>
                  </pic:blipFill>
                  <pic:spPr bwMode="auto">
                    <a:xfrm>
                      <a:off x="0" y="0"/>
                      <a:ext cx="5286203" cy="3480167"/>
                    </a:xfrm>
                    <a:prstGeom prst="rect">
                      <a:avLst/>
                    </a:prstGeom>
                    <a:noFill/>
                    <a:ln>
                      <a:noFill/>
                    </a:ln>
                    <a:extLst>
                      <a:ext uri="{53640926-AAD7-44D8-BBD7-CCE9431645EC}">
                        <a14:shadowObscured xmlns:a14="http://schemas.microsoft.com/office/drawing/2010/main"/>
                      </a:ext>
                    </a:extLst>
                  </pic:spPr>
                </pic:pic>
              </a:graphicData>
            </a:graphic>
          </wp:inline>
        </w:drawing>
      </w:r>
    </w:p>
    <w:p w14:paraId="6CD6BDEB" w14:textId="1678C757" w:rsidR="00D908EA" w:rsidRDefault="00D908EA" w:rsidP="00D908EA">
      <w:pPr>
        <w:pStyle w:val="Caption"/>
        <w:jc w:val="center"/>
      </w:pPr>
      <w:r>
        <w:t xml:space="preserve">Figure </w:t>
      </w:r>
      <w:r>
        <w:fldChar w:fldCharType="begin"/>
      </w:r>
      <w:r>
        <w:instrText xml:space="preserve"> SEQ Figure \* ARABIC </w:instrText>
      </w:r>
      <w:r>
        <w:fldChar w:fldCharType="separate"/>
      </w:r>
      <w:r w:rsidR="00723AF6">
        <w:rPr>
          <w:noProof/>
        </w:rPr>
        <w:t>7</w:t>
      </w:r>
      <w:r>
        <w:fldChar w:fldCharType="end"/>
      </w:r>
      <w:r>
        <w:t>: Starbuck Revenue in 2023</w:t>
      </w:r>
    </w:p>
    <w:p w14:paraId="40D5C32A" w14:textId="4C96B63E" w:rsidR="00D908EA" w:rsidRPr="00D908EA" w:rsidRDefault="00D908EA" w:rsidP="00D908EA">
      <w:pPr>
        <w:jc w:val="center"/>
        <w:rPr>
          <w:b/>
          <w:bCs/>
          <w:lang w:val="en-GB"/>
        </w:rPr>
      </w:pPr>
      <w:r w:rsidRPr="00D908EA">
        <w:rPr>
          <w:b/>
          <w:bCs/>
          <w:lang w:val="en-GB"/>
        </w:rPr>
        <w:t>Source: (Cuofano, 2023)</w:t>
      </w:r>
    </w:p>
    <w:p w14:paraId="4EDA1ACF" w14:textId="77777777" w:rsidR="00B123A0" w:rsidRPr="00E67DE5" w:rsidRDefault="00000000" w:rsidP="00B123A0">
      <w:pPr>
        <w:rPr>
          <w:b/>
          <w:bCs/>
        </w:rPr>
      </w:pPr>
      <w:r w:rsidRPr="00E67DE5">
        <w:rPr>
          <w:b/>
          <w:bCs/>
        </w:rPr>
        <w:t>Strategic Importance of the UK Market:</w:t>
      </w:r>
    </w:p>
    <w:p w14:paraId="204347C0" w14:textId="3835BE78" w:rsidR="00B123A0" w:rsidRDefault="00000000" w:rsidP="00B123A0">
      <w:r>
        <w:lastRenderedPageBreak/>
        <w:t>The UK is one of the most established international markets for Starbucks, and the branded coffee shop industry is estimated to be worth over 4.5 billion by 2023, and is projected to increase at a compound annual growth rate of about 7-8 per cent by 2026. The UK is a high coffee consumer, with more than 80 per cent of the adult population drinking coffee on average daily, and about 98 million cups of coffee being consumed in the country in a day</w:t>
      </w:r>
      <w:r w:rsidR="00D908EA" w:rsidRPr="00D908EA">
        <w:t xml:space="preserve"> (Starbucks, 2024)</w:t>
      </w:r>
      <w:r>
        <w:t>. Moreover, approximately 40 per cent of consumers buy coffee in cafes at least once a week, which shows that there is a high demand for coffee drinking out of home. The fact that Starbucks is operating in this mature and competitive market offers it great opportunities to generate revenue and challenges on account of stiff competition with local companies like Costa Coffee and Pret A Manger.</w:t>
      </w:r>
    </w:p>
    <w:p w14:paraId="50244E57" w14:textId="77777777" w:rsidR="00B123A0" w:rsidRPr="000C511A" w:rsidRDefault="00000000" w:rsidP="000C511A">
      <w:pPr>
        <w:pStyle w:val="Heading2"/>
      </w:pPr>
      <w:bookmarkStart w:id="9" w:name="_Toc227273901"/>
      <w:r w:rsidRPr="000C511A">
        <w:t>4.2 Analytical Framework for Market Attractiveness</w:t>
      </w:r>
      <w:bookmarkEnd w:id="9"/>
    </w:p>
    <w:p w14:paraId="1BDE4549" w14:textId="00B78D28" w:rsidR="00B123A0" w:rsidRDefault="00000000" w:rsidP="00B123A0">
      <w:r>
        <w:t xml:space="preserve">In a bid to assess the success factor that affects Starbucks in the UK, a </w:t>
      </w:r>
      <w:r w:rsidR="00107931">
        <w:t>analytical</w:t>
      </w:r>
      <w:r>
        <w:t xml:space="preserve"> framework is selected with particular consideration of the political, economic, legal, and cultural factors. The UK food and beverage market has been reported to produce over 240 billion a year and sustain over 460,000 businesses, thus it is one of the biggest sectors in the national economy. Moreover, the Cultural Dimensions Model developed by Hofstede is also used to determine the impact of cultural specifics on consumer behaviour, operational strategies, and market desirability in general.</w:t>
      </w:r>
    </w:p>
    <w:p w14:paraId="3914C7A7" w14:textId="77777777" w:rsidR="000C511A" w:rsidRPr="000C511A" w:rsidRDefault="00000000" w:rsidP="000C511A">
      <w:pPr>
        <w:pStyle w:val="Heading2"/>
      </w:pPr>
      <w:bookmarkStart w:id="10" w:name="_Toc227273902"/>
      <w:r w:rsidRPr="000C511A">
        <w:t>4.3 Political Factors</w:t>
      </w:r>
      <w:bookmarkEnd w:id="10"/>
    </w:p>
    <w:p w14:paraId="6D3C2C1B" w14:textId="77777777" w:rsidR="00B123A0" w:rsidRPr="000C511A" w:rsidRDefault="00000000" w:rsidP="00B123A0">
      <w:pPr>
        <w:rPr>
          <w:b/>
          <w:bCs/>
        </w:rPr>
      </w:pPr>
      <w:r w:rsidRPr="000C511A">
        <w:rPr>
          <w:b/>
          <w:bCs/>
        </w:rPr>
        <w:t>Political Stability and Institutional Framework</w:t>
      </w:r>
      <w:r>
        <w:rPr>
          <w:b/>
          <w:bCs/>
        </w:rPr>
        <w:t>:</w:t>
      </w:r>
    </w:p>
    <w:p w14:paraId="3874EADD" w14:textId="132E101A" w:rsidR="00B123A0" w:rsidRDefault="00000000" w:rsidP="00B123A0">
      <w:r>
        <w:t>The UK is in the top 20 countries in the world in terms of political stability and governance indicators, which greatly minimises the business risk of multinational companies operating in the country</w:t>
      </w:r>
      <w:r w:rsidR="00107931" w:rsidRPr="00107931">
        <w:t xml:space="preserve"> (Altun, 2023)</w:t>
      </w:r>
      <w:r>
        <w:t>. A predictable business environment is attributed to stable institutions, transparent systems of regulation and the existence of powerful legal enforcement mechanisms. This stability helps in making long-term investment choices, and inflows of foreign direct investment have been over 1 trillion cumulatively. In the case of Starbucks, this stability will facilitate steady growth and continuity in its operations in 1,200+ stores.</w:t>
      </w:r>
    </w:p>
    <w:p w14:paraId="7862FF37" w14:textId="77777777" w:rsidR="00B123A0" w:rsidRPr="000C511A" w:rsidRDefault="00000000" w:rsidP="00B123A0">
      <w:pPr>
        <w:rPr>
          <w:b/>
          <w:bCs/>
        </w:rPr>
      </w:pPr>
      <w:r w:rsidRPr="000C511A">
        <w:rPr>
          <w:b/>
          <w:bCs/>
        </w:rPr>
        <w:t>Impact of Brexit on Trade and Supply Chains:</w:t>
      </w:r>
    </w:p>
    <w:p w14:paraId="08E5E682" w14:textId="34B0CB29" w:rsidR="00B123A0" w:rsidRDefault="00000000" w:rsidP="00B123A0">
      <w:r>
        <w:t xml:space="preserve">The exit of the UK from the European Union has brought about structural reforms in the policies of trade, leading to higher importation costs of food and beverage products estimated between 5 and 10 per cent. Starbucks is a significant importer of coffee beans, with global sourcing of the </w:t>
      </w:r>
      <w:r>
        <w:lastRenderedPageBreak/>
        <w:t>coffee beans being in Latin America, Africa and Asia, which provide more than 70% of the raw materials</w:t>
      </w:r>
      <w:r w:rsidR="00107931" w:rsidRPr="00107931">
        <w:t xml:space="preserve"> (Starbucks, 2024)</w:t>
      </w:r>
      <w:r>
        <w:t>. Customs checks after Brexit have added an average of 1015 days to delivery times, and administrative costs of imports have gone up by almost 8%. These directly influence the cost structure and efficiency of the supply chain of Starbucks, which may decrease the profit margins.</w:t>
      </w:r>
    </w:p>
    <w:p w14:paraId="76C8B0B6" w14:textId="77777777" w:rsidR="00B123A0" w:rsidRPr="000C511A" w:rsidRDefault="00000000" w:rsidP="00B123A0">
      <w:pPr>
        <w:rPr>
          <w:b/>
          <w:bCs/>
        </w:rPr>
      </w:pPr>
      <w:r w:rsidRPr="000C511A">
        <w:rPr>
          <w:b/>
          <w:bCs/>
        </w:rPr>
        <w:t>Government Policies and Sustainability Initiatives:</w:t>
      </w:r>
    </w:p>
    <w:p w14:paraId="0C302BC2" w14:textId="25A6FDF5" w:rsidR="00B123A0" w:rsidRDefault="00000000" w:rsidP="00B123A0">
      <w:r>
        <w:t>The UK government has taken a pledge to reach net-zero carbon emissions by 2050, and it has put in place policies like carbon taxes and plastic packaging. About 60 per cent of the consumers in the United Kingdom take into consideration the issue of environmental sustainability during buying decisions, a factor that has forced organisations such as Starbucks to incur high costs in environmentally friendly operations. By 2030, Starbucks has committed to cutting its carbon emissions by half and water consumption by a quarter, and doing away with single-use plastics in most of its operations</w:t>
      </w:r>
      <w:r w:rsidR="00107931" w:rsidRPr="00107931">
        <w:t xml:space="preserve"> (Wang, Dargusch and Hill, 2022)</w:t>
      </w:r>
      <w:r>
        <w:t>. Nonetheless, the cost of doing business has risen by an estimated 8-12 per cent in terms of operational costs, especially in packaging and waste management, in order to comply with these sustainability policies.</w:t>
      </w:r>
    </w:p>
    <w:p w14:paraId="2F0B6BD9" w14:textId="77777777" w:rsidR="000C511A" w:rsidRPr="000C511A" w:rsidRDefault="00000000" w:rsidP="000C511A">
      <w:pPr>
        <w:pStyle w:val="Heading2"/>
      </w:pPr>
      <w:bookmarkStart w:id="11" w:name="_Toc227273903"/>
      <w:r w:rsidRPr="000C511A">
        <w:t>4.4 Economic Factors</w:t>
      </w:r>
      <w:bookmarkEnd w:id="11"/>
    </w:p>
    <w:p w14:paraId="64352A6A" w14:textId="77777777" w:rsidR="00B123A0" w:rsidRPr="000C511A" w:rsidRDefault="00000000" w:rsidP="00B123A0">
      <w:pPr>
        <w:rPr>
          <w:b/>
          <w:bCs/>
        </w:rPr>
      </w:pPr>
      <w:r w:rsidRPr="000C511A">
        <w:rPr>
          <w:b/>
          <w:bCs/>
        </w:rPr>
        <w:t>Economic Growth and Market Demand</w:t>
      </w:r>
      <w:r>
        <w:rPr>
          <w:b/>
          <w:bCs/>
        </w:rPr>
        <w:t>:</w:t>
      </w:r>
    </w:p>
    <w:p w14:paraId="66A90264" w14:textId="7C05F04D" w:rsidR="00B123A0" w:rsidRDefault="00000000" w:rsidP="00B123A0">
      <w:r>
        <w:t>The UK economy has a GDP of about £</w:t>
      </w:r>
      <w:r w:rsidR="00107931">
        <w:t>3</w:t>
      </w:r>
      <w:r w:rsidR="00CA7798">
        <w:t>,</w:t>
      </w:r>
      <w:r w:rsidR="00107931">
        <w:t>040</w:t>
      </w:r>
      <w:r>
        <w:t xml:space="preserve"> </w:t>
      </w:r>
      <w:r w:rsidR="00CA7798">
        <w:t>billion in 2025</w:t>
      </w:r>
      <w:r>
        <w:t xml:space="preserve">, </w:t>
      </w:r>
      <w:r w:rsidR="00723AF6">
        <w:t xml:space="preserve">and it </w:t>
      </w:r>
      <w:r w:rsidR="00723AF6" w:rsidRPr="00723AF6">
        <w:t>grew by 0.2% in March compared with February and by 0.7% in January to March 2025</w:t>
      </w:r>
      <w:r>
        <w:t>. The amount of money consumers spend on food and beverages is more than 230 billion a year, of which the foodservice portion is approximately 93 billion a year. With this high demand, the growth rate of the economy has decreased to about 0.5 -1 per cent per year because of inflation and economic uncertainty in the world. Starbucks is advantaged by the purchasing power of UK consumers, especially in the urban region where the average disposable income is more than £30,000 per household/year.</w:t>
      </w:r>
    </w:p>
    <w:p w14:paraId="65DBE5CA" w14:textId="77777777" w:rsidR="00723AF6" w:rsidRDefault="00723AF6" w:rsidP="00723AF6">
      <w:pPr>
        <w:keepNext/>
        <w:jc w:val="center"/>
      </w:pPr>
      <w:r>
        <w:rPr>
          <w:noProof/>
        </w:rPr>
        <w:lastRenderedPageBreak/>
        <w:drawing>
          <wp:inline distT="0" distB="0" distL="0" distR="0" wp14:anchorId="4BF2144D" wp14:editId="5ED861A2">
            <wp:extent cx="5234807" cy="2534072"/>
            <wp:effectExtent l="0" t="0" r="4445" b="0"/>
            <wp:docPr id="1336538662" name="Picture 7" descr="An image showing two charts. The chart on the left shows UK gross domestic product growth between the first quarter (Q1) of 2022 and Q1 2025. UK GDP grew by 0.7% in Q1 2025, compared with 0.1% in Q4 2024. The chart on the right shows UK exports growth between Q1 2023 and Q1 2025. UK exports grew by around 4 percentage points between Q4 2024 and Q1 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 image showing two charts. The chart on the left shows UK gross domestic product growth between the first quarter (Q1) of 2022 and Q1 2025. UK GDP grew by 0.7% in Q1 2025, compared with 0.1% in Q4 2024. The chart on the right shows UK exports growth between Q1 2023 and Q1 2025. UK exports grew by around 4 percentage points between Q4 2024 and Q1 2025.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51852" cy="2542323"/>
                    </a:xfrm>
                    <a:prstGeom prst="rect">
                      <a:avLst/>
                    </a:prstGeom>
                    <a:noFill/>
                    <a:ln>
                      <a:noFill/>
                    </a:ln>
                  </pic:spPr>
                </pic:pic>
              </a:graphicData>
            </a:graphic>
          </wp:inline>
        </w:drawing>
      </w:r>
    </w:p>
    <w:p w14:paraId="54176698" w14:textId="4694C65A" w:rsidR="00723AF6" w:rsidRDefault="00723AF6" w:rsidP="00723AF6">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w:t>
      </w:r>
      <w:r w:rsidRPr="005B6557">
        <w:t>GDP growth beats predictions</w:t>
      </w:r>
    </w:p>
    <w:p w14:paraId="677F2BAF" w14:textId="2A90B28C" w:rsidR="00723AF6" w:rsidRPr="00723AF6" w:rsidRDefault="00723AF6" w:rsidP="00723AF6">
      <w:pPr>
        <w:jc w:val="center"/>
        <w:rPr>
          <w:b/>
          <w:bCs/>
          <w:lang w:val="en-GB"/>
        </w:rPr>
      </w:pPr>
      <w:r w:rsidRPr="00723AF6">
        <w:rPr>
          <w:b/>
          <w:bCs/>
          <w:lang w:val="en-GB"/>
        </w:rPr>
        <w:t>Source: (Ward, 2025)</w:t>
      </w:r>
    </w:p>
    <w:p w14:paraId="7CCDA704" w14:textId="77777777" w:rsidR="00B123A0" w:rsidRPr="000C511A" w:rsidRDefault="00000000" w:rsidP="00B123A0">
      <w:pPr>
        <w:rPr>
          <w:b/>
          <w:bCs/>
        </w:rPr>
      </w:pPr>
      <w:r w:rsidRPr="000C511A">
        <w:rPr>
          <w:b/>
          <w:bCs/>
        </w:rPr>
        <w:t>Inflation and Rising Operational Costs:</w:t>
      </w:r>
    </w:p>
    <w:p w14:paraId="788D4BD8" w14:textId="6BE2B031" w:rsidR="00B123A0" w:rsidRDefault="00000000" w:rsidP="00B123A0">
      <w:r>
        <w:t>The UK experienced inflation of more than 8 per cent in 2023, which has greatly raised the prices of energy, transportation, and raw materials. In the case of Starbucks, the operating costs have increased by about 10-15 per cent, which has been caused by a rise in rent, utilities, and supply chain costs</w:t>
      </w:r>
      <w:r w:rsidR="00723AF6">
        <w:t xml:space="preserve"> </w:t>
      </w:r>
      <w:r w:rsidR="00723AF6" w:rsidRPr="00CA7798">
        <w:t>(ONS, 2025)</w:t>
      </w:r>
      <w:r>
        <w:t>. The cost of energy alone rose by about 20 per cent to hospitality businesses, and the cost of raw materials such as coffee beans by about 15 per cent because of disruptions in global supply. Starbucks has had to compensate for these increases by increasing product prices by 5-7%, which can affect the demand of price-sensitive consumers</w:t>
      </w:r>
      <w:r w:rsidR="00CA7798" w:rsidRPr="00CA7798">
        <w:t xml:space="preserve"> (Starbucks, 2024)</w:t>
      </w:r>
      <w:r>
        <w:t>.</w:t>
      </w:r>
    </w:p>
    <w:p w14:paraId="5FA3A65C" w14:textId="77777777" w:rsidR="00B123A0" w:rsidRPr="000C511A" w:rsidRDefault="00000000" w:rsidP="00B123A0">
      <w:pPr>
        <w:rPr>
          <w:b/>
          <w:bCs/>
        </w:rPr>
      </w:pPr>
      <w:r w:rsidRPr="000C511A">
        <w:rPr>
          <w:b/>
          <w:bCs/>
        </w:rPr>
        <w:t>Labour Market Dynamics:</w:t>
      </w:r>
    </w:p>
    <w:p w14:paraId="2432123B" w14:textId="4684E2B8" w:rsidR="00B123A0" w:rsidRDefault="00000000" w:rsidP="00B123A0">
      <w:r>
        <w:t>The food and beverage industry has more than 4.2 million employees in the UK, but labour shortages are a problem for about 30-35 per cent of businesses within the hospitality industry</w:t>
      </w:r>
      <w:r w:rsidR="00CA7798" w:rsidRPr="00CA7798">
        <w:t xml:space="preserve"> (Food and Drink Federation, 2025)</w:t>
      </w:r>
      <w:r>
        <w:t xml:space="preserve">. The unemployment level is also at a moderate level of approximately 4%, and this means that companies will find it hard to hire skilled workers. Starbucks faces increased labour costs due to wage inflation, particularly following the 9.7% increase in the National Living Wage in 2023. Many hospitality businesses currently face the effect of labour </w:t>
      </w:r>
      <w:r>
        <w:lastRenderedPageBreak/>
        <w:t>expenses on their profitability since labour costs have reached about 30 per cent of the total operating costs.</w:t>
      </w:r>
    </w:p>
    <w:p w14:paraId="2FF2301C" w14:textId="77777777" w:rsidR="00B123A0" w:rsidRPr="000C511A" w:rsidRDefault="00000000" w:rsidP="00B123A0">
      <w:pPr>
        <w:rPr>
          <w:b/>
          <w:bCs/>
        </w:rPr>
      </w:pPr>
      <w:r w:rsidRPr="000C511A">
        <w:rPr>
          <w:b/>
          <w:bCs/>
        </w:rPr>
        <w:t>Exchange Rate Volatility:</w:t>
      </w:r>
    </w:p>
    <w:p w14:paraId="792C715E" w14:textId="7F0CF044" w:rsidR="00A93AC8" w:rsidRDefault="00000000" w:rsidP="00B123A0">
      <w:r>
        <w:t>Variations of the British pound have a strong influence on the cost structure of Starbucks since coffee beans are sold in the US dollar worldwide</w:t>
      </w:r>
      <w:r w:rsidR="00CA7798" w:rsidRPr="00CA7798">
        <w:t xml:space="preserve"> (Dominik, 2023)</w:t>
      </w:r>
      <w:r>
        <w:t>. An appreciation of the pound by 10 per cent will raise the cost of imports by the same percentage, with direct implications for the profit margins. The costs will also affect the pricing strategies because Starbucks will have to juggle between rising costs and keeping the prices competitive in one of the most competitive markets.</w:t>
      </w:r>
    </w:p>
    <w:p w14:paraId="39062320" w14:textId="77777777" w:rsidR="000C511A" w:rsidRPr="000C511A" w:rsidRDefault="00000000" w:rsidP="000C511A">
      <w:pPr>
        <w:pStyle w:val="Heading2"/>
      </w:pPr>
      <w:bookmarkStart w:id="12" w:name="_Toc227273904"/>
      <w:r>
        <w:t xml:space="preserve">4.5 </w:t>
      </w:r>
      <w:r w:rsidRPr="000C511A">
        <w:t>Legal Factors</w:t>
      </w:r>
      <w:bookmarkEnd w:id="12"/>
    </w:p>
    <w:p w14:paraId="3B7E65C1" w14:textId="77777777" w:rsidR="00B123A0" w:rsidRPr="000C511A" w:rsidRDefault="00000000" w:rsidP="00B123A0">
      <w:pPr>
        <w:rPr>
          <w:b/>
          <w:bCs/>
        </w:rPr>
      </w:pPr>
      <w:r w:rsidRPr="000C511A">
        <w:rPr>
          <w:b/>
          <w:bCs/>
        </w:rPr>
        <w:t>Food Safety and Hygiene Regulations</w:t>
      </w:r>
      <w:r>
        <w:rPr>
          <w:b/>
          <w:bCs/>
        </w:rPr>
        <w:t>:</w:t>
      </w:r>
    </w:p>
    <w:p w14:paraId="7B1282DD" w14:textId="7E340FCA" w:rsidR="00B123A0" w:rsidRDefault="00000000" w:rsidP="00B123A0">
      <w:r>
        <w:t>The UK has strict food safety regulations, which are implemented by the Food Standards Agency, and companies must adhere to strict quality and hygiene regulations</w:t>
      </w:r>
      <w:r w:rsidR="00CA7798" w:rsidRPr="00CA7798">
        <w:t xml:space="preserve"> (Krebs, 2025)</w:t>
      </w:r>
      <w:r>
        <w:t>. Large chains, such as Starbucks, normally pay 2-4% of their operating costs as compliance costs. Although these regulations raise the cost of conducting business, they also boost consumer confidence because more than 85 per cent of consumers in the UK consider food safety as a priority when deciding on the places to eat.</w:t>
      </w:r>
    </w:p>
    <w:p w14:paraId="10334BC1" w14:textId="77777777" w:rsidR="00B123A0" w:rsidRPr="000C511A" w:rsidRDefault="00000000" w:rsidP="00B123A0">
      <w:pPr>
        <w:rPr>
          <w:b/>
          <w:bCs/>
        </w:rPr>
      </w:pPr>
      <w:r w:rsidRPr="000C511A">
        <w:rPr>
          <w:b/>
          <w:bCs/>
        </w:rPr>
        <w:t>Employment Law and Worker Protection:</w:t>
      </w:r>
    </w:p>
    <w:p w14:paraId="1AEDDB25" w14:textId="77970323" w:rsidR="00B123A0" w:rsidRDefault="00000000" w:rsidP="00B123A0">
      <w:r>
        <w:t>The labour laws in the UK are one of the most elaborate in the world in terms of their scope in the areas of minimum wages, working hours and rights of workers. The rise in the National Living wage to more than £10 per hour has also increased labour costs, and wage expenses have grown by around 8-10 per cent per year for most companies</w:t>
      </w:r>
      <w:r w:rsidR="00CA7798" w:rsidRPr="00CA7798">
        <w:t xml:space="preserve"> (Aitken, Dolton and Riley, 2023)</w:t>
      </w:r>
      <w:r>
        <w:t>. Nevertheless, these laws enhance employee satisfaction and decrease the turnover rate, which is critical, especially in the hospitality industry, where turnover rates may rise to 30 or above per year.</w:t>
      </w:r>
    </w:p>
    <w:p w14:paraId="31FCDE7A" w14:textId="77777777" w:rsidR="00B123A0" w:rsidRPr="000C511A" w:rsidRDefault="00000000" w:rsidP="00B123A0">
      <w:pPr>
        <w:rPr>
          <w:b/>
          <w:bCs/>
        </w:rPr>
      </w:pPr>
      <w:r w:rsidRPr="000C511A">
        <w:rPr>
          <w:b/>
          <w:bCs/>
        </w:rPr>
        <w:t>Corporate Taxation and Regulatory Scrutiny:</w:t>
      </w:r>
    </w:p>
    <w:p w14:paraId="4CEFC576" w14:textId="1E982E21" w:rsidR="00B123A0" w:rsidRDefault="00000000" w:rsidP="00B123A0">
      <w:r>
        <w:t xml:space="preserve">In 2023, the UK corporate tax increased to 25 per cent, directly affecting the profitability of multinational companies. Starbucks has previously been subject to scrutiny by the populace </w:t>
      </w:r>
      <w:r>
        <w:lastRenderedPageBreak/>
        <w:t>regarding its tax practices, and its reputation has been affected by these actions, as well as voluntary tax payments to keep brand trust</w:t>
      </w:r>
      <w:r w:rsidR="00CA7798" w:rsidRPr="00CA7798">
        <w:t xml:space="preserve"> (Starbucks, 2024)</w:t>
      </w:r>
      <w:r>
        <w:t>. Compliance costs have also increased due to increased requirements of transparency and regulatory oversight.</w:t>
      </w:r>
    </w:p>
    <w:p w14:paraId="25772339" w14:textId="77777777" w:rsidR="00B123A0" w:rsidRPr="000C511A" w:rsidRDefault="00000000" w:rsidP="00B123A0">
      <w:pPr>
        <w:rPr>
          <w:b/>
          <w:bCs/>
        </w:rPr>
      </w:pPr>
      <w:r w:rsidRPr="000C511A">
        <w:rPr>
          <w:b/>
          <w:bCs/>
        </w:rPr>
        <w:t>Environmental and Packaging Regulations:</w:t>
      </w:r>
    </w:p>
    <w:p w14:paraId="1A4BE51B" w14:textId="0B8CFD98" w:rsidR="00B123A0" w:rsidRDefault="00000000" w:rsidP="00B123A0">
      <w:r>
        <w:t>The UK government has implemented the policy of a plastic packaging tax and a reduction in waste, as businesses now have to use at least 30 per cent of recycled plastic in packaging. Starbucks has acted by investing in recyclable cups and reusable packaging projects, and it is now serving more than a quarter of its customers with reusable cups in certain stores</w:t>
      </w:r>
      <w:r w:rsidR="00CA7798" w:rsidRPr="00CA7798">
        <w:t xml:space="preserve"> (Talib, 2024)</w:t>
      </w:r>
      <w:r>
        <w:t>. Such programs raise the cost of operation and improve brand image, and are in line with consumer expectations.</w:t>
      </w:r>
    </w:p>
    <w:p w14:paraId="6CA0EDE2" w14:textId="77777777" w:rsidR="000C511A" w:rsidRDefault="00000000" w:rsidP="00696F7B">
      <w:pPr>
        <w:pStyle w:val="Heading2"/>
      </w:pPr>
      <w:bookmarkStart w:id="13" w:name="_Toc227273905"/>
      <w:r w:rsidRPr="000C511A">
        <w:t>4.6 Cultural Factors: Hofstede’s Cultural Dimensions Analysis</w:t>
      </w:r>
      <w:bookmarkEnd w:id="13"/>
    </w:p>
    <w:p w14:paraId="74D2F654" w14:textId="67F649C6" w:rsidR="00B23A62" w:rsidRDefault="00000000" w:rsidP="00B23A62">
      <w:r w:rsidRPr="00B23A62">
        <w:t>The cultural dimensions theory by Geert Hofstede provides a system through which societal values can be examined and used to explain behaviour across nations</w:t>
      </w:r>
      <w:r w:rsidR="00723AF6" w:rsidRPr="00723AF6">
        <w:t xml:space="preserve"> (Nickerson, 2025)</w:t>
      </w:r>
      <w:r w:rsidRPr="00B23A62">
        <w:t>. This makes the tool invaluable when assessing how a company such as Starbucks operates within the UK market.</w:t>
      </w:r>
    </w:p>
    <w:p w14:paraId="1EB32825" w14:textId="77777777" w:rsidR="00FD5C11" w:rsidRDefault="00FD5C11" w:rsidP="00FD5C11">
      <w:pPr>
        <w:keepNext/>
        <w:jc w:val="center"/>
      </w:pPr>
      <w:r>
        <w:rPr>
          <w:noProof/>
        </w:rPr>
        <w:drawing>
          <wp:inline distT="0" distB="0" distL="0" distR="0" wp14:anchorId="3D7A3BE0" wp14:editId="56F89611">
            <wp:extent cx="5460609" cy="2615375"/>
            <wp:effectExtent l="0" t="0" r="6985" b="0"/>
            <wp:docPr id="207640669" name="Picture 6"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fstede's Cultural Dimensions Theo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71551" cy="2620616"/>
                    </a:xfrm>
                    <a:prstGeom prst="rect">
                      <a:avLst/>
                    </a:prstGeom>
                    <a:noFill/>
                    <a:ln>
                      <a:noFill/>
                    </a:ln>
                  </pic:spPr>
                </pic:pic>
              </a:graphicData>
            </a:graphic>
          </wp:inline>
        </w:drawing>
      </w:r>
    </w:p>
    <w:p w14:paraId="4E65211E" w14:textId="18E2C536" w:rsidR="00FD5C11" w:rsidRDefault="00FD5C11" w:rsidP="00FD5C11">
      <w:pPr>
        <w:pStyle w:val="Caption"/>
        <w:jc w:val="center"/>
      </w:pPr>
      <w:r>
        <w:t xml:space="preserve">Figure </w:t>
      </w:r>
      <w:r>
        <w:fldChar w:fldCharType="begin"/>
      </w:r>
      <w:r>
        <w:instrText xml:space="preserve"> SEQ Figure \* ARABIC </w:instrText>
      </w:r>
      <w:r>
        <w:fldChar w:fldCharType="separate"/>
      </w:r>
      <w:r w:rsidR="00723AF6">
        <w:rPr>
          <w:noProof/>
        </w:rPr>
        <w:t>9</w:t>
      </w:r>
      <w:r>
        <w:fldChar w:fldCharType="end"/>
      </w:r>
      <w:r>
        <w:t>: Hofstede's Cultural Dimensions Model</w:t>
      </w:r>
    </w:p>
    <w:p w14:paraId="5EF9CBBC" w14:textId="1D1F3A51" w:rsidR="00FD5C11" w:rsidRPr="00723AF6" w:rsidRDefault="00FD5C11" w:rsidP="00FD5C11">
      <w:pPr>
        <w:jc w:val="center"/>
        <w:rPr>
          <w:b/>
          <w:bCs/>
          <w:lang w:val="en-GB"/>
        </w:rPr>
      </w:pPr>
      <w:r w:rsidRPr="00723AF6">
        <w:rPr>
          <w:b/>
          <w:bCs/>
          <w:lang w:val="en-GB"/>
        </w:rPr>
        <w:t xml:space="preserve">Source: </w:t>
      </w:r>
      <w:r w:rsidR="00723AF6" w:rsidRPr="00723AF6">
        <w:rPr>
          <w:b/>
          <w:bCs/>
          <w:lang w:val="en-GB"/>
        </w:rPr>
        <w:t>(Nickerson, 2025)</w:t>
      </w:r>
    </w:p>
    <w:p w14:paraId="5C40DED6" w14:textId="77777777" w:rsidR="00B123A0" w:rsidRPr="000C511A" w:rsidRDefault="00000000" w:rsidP="00B123A0">
      <w:pPr>
        <w:rPr>
          <w:b/>
          <w:bCs/>
        </w:rPr>
      </w:pPr>
      <w:r w:rsidRPr="000C511A">
        <w:rPr>
          <w:b/>
          <w:bCs/>
        </w:rPr>
        <w:t>Individualism vs Collectivism</w:t>
      </w:r>
      <w:r w:rsidR="000C511A" w:rsidRPr="000C511A">
        <w:rPr>
          <w:b/>
          <w:bCs/>
        </w:rPr>
        <w:t>:</w:t>
      </w:r>
    </w:p>
    <w:p w14:paraId="3FB1AE5B" w14:textId="4EFAF761" w:rsidR="00B123A0" w:rsidRDefault="00000000" w:rsidP="00B123A0">
      <w:r>
        <w:lastRenderedPageBreak/>
        <w:t>The UK scores around 89 on individualism, meaning that it is a very individualistic society in which consumers respect the freedom of choice and self-expression</w:t>
      </w:r>
      <w:r w:rsidR="00723AF6" w:rsidRPr="00723AF6">
        <w:t xml:space="preserve"> (Inglehart and Oyserman, 2023)</w:t>
      </w:r>
      <w:r>
        <w:t>. This cultural aspect is an advantage to Starbucks since its business model is focused on customisation, with more than 60 per cent of the drinks being customised to individual preferences.</w:t>
      </w:r>
    </w:p>
    <w:p w14:paraId="1E7AA124" w14:textId="77777777" w:rsidR="00B123A0" w:rsidRPr="000C511A" w:rsidRDefault="00000000" w:rsidP="00B123A0">
      <w:pPr>
        <w:rPr>
          <w:b/>
          <w:bCs/>
        </w:rPr>
      </w:pPr>
      <w:r w:rsidRPr="000C511A">
        <w:rPr>
          <w:b/>
          <w:bCs/>
        </w:rPr>
        <w:t>Power Distance</w:t>
      </w:r>
      <w:r w:rsidR="000C511A">
        <w:rPr>
          <w:b/>
          <w:bCs/>
        </w:rPr>
        <w:t>:</w:t>
      </w:r>
    </w:p>
    <w:p w14:paraId="6184B1E0" w14:textId="77777777" w:rsidR="00B123A0" w:rsidRDefault="00000000" w:rsidP="00B123A0">
      <w:r>
        <w:t>The low power distance score of about 35 in the UK indicates the tendency towards equality and informal relationships. The organisational culture of Starbucks that promotes employee empowerment and free communication also fits well with this cultural dimension, enhancing the customer service and employee satisfaction levels.</w:t>
      </w:r>
    </w:p>
    <w:p w14:paraId="3AA8C960" w14:textId="77777777" w:rsidR="00B123A0" w:rsidRPr="000C511A" w:rsidRDefault="00000000" w:rsidP="00B123A0">
      <w:pPr>
        <w:rPr>
          <w:b/>
          <w:bCs/>
        </w:rPr>
      </w:pPr>
      <w:r w:rsidRPr="000C511A">
        <w:rPr>
          <w:b/>
          <w:bCs/>
        </w:rPr>
        <w:t>Masculinity vs Femininity</w:t>
      </w:r>
      <w:r w:rsidR="000C511A" w:rsidRPr="000C511A">
        <w:rPr>
          <w:b/>
          <w:bCs/>
        </w:rPr>
        <w:t>:</w:t>
      </w:r>
    </w:p>
    <w:p w14:paraId="78422A09" w14:textId="155E2257" w:rsidR="00B123A0" w:rsidRDefault="00000000" w:rsidP="00B123A0">
      <w:r>
        <w:t>The UK scores high in masculinity (around 66) and is a competitive and achievement-oriented culture</w:t>
      </w:r>
      <w:r w:rsidR="00723AF6" w:rsidRPr="00723AF6">
        <w:t xml:space="preserve"> (Lee and Peterson, 2022)</w:t>
      </w:r>
      <w:r>
        <w:t>. This has been exploited by Starbucks to position itself as a high-end lifestyle brand, which is attractive to consumers who equate expensive products with quality and status.</w:t>
      </w:r>
    </w:p>
    <w:p w14:paraId="1D538406" w14:textId="77777777" w:rsidR="00B123A0" w:rsidRPr="000C511A" w:rsidRDefault="00000000" w:rsidP="00B123A0">
      <w:pPr>
        <w:rPr>
          <w:b/>
          <w:bCs/>
        </w:rPr>
      </w:pPr>
      <w:r w:rsidRPr="000C511A">
        <w:rPr>
          <w:b/>
          <w:bCs/>
        </w:rPr>
        <w:t>Uncertainty Avoidance</w:t>
      </w:r>
      <w:r w:rsidR="000C511A" w:rsidRPr="000C511A">
        <w:rPr>
          <w:b/>
          <w:bCs/>
        </w:rPr>
        <w:t>:</w:t>
      </w:r>
    </w:p>
    <w:p w14:paraId="27FC8B42" w14:textId="77777777" w:rsidR="00B123A0" w:rsidRDefault="00000000" w:rsidP="00B123A0">
      <w:r>
        <w:t>The uncertainty avoidance score in the UK is approximately 35, which means that the country is open to innovations and change. This will help Starbucks roll out new products like plant-based drinks, which have seen their demand increase by more than 20 per cent in the past few years.</w:t>
      </w:r>
    </w:p>
    <w:p w14:paraId="1E773BD8" w14:textId="77777777" w:rsidR="00B123A0" w:rsidRPr="000C511A" w:rsidRDefault="00000000" w:rsidP="00B123A0">
      <w:pPr>
        <w:rPr>
          <w:b/>
          <w:bCs/>
        </w:rPr>
      </w:pPr>
      <w:r w:rsidRPr="000C511A">
        <w:rPr>
          <w:b/>
          <w:bCs/>
        </w:rPr>
        <w:t>Long-Term Orientation</w:t>
      </w:r>
      <w:r w:rsidR="000C511A" w:rsidRPr="000C511A">
        <w:rPr>
          <w:b/>
          <w:bCs/>
        </w:rPr>
        <w:t>:</w:t>
      </w:r>
    </w:p>
    <w:p w14:paraId="5F3F9147" w14:textId="2A2B5736" w:rsidR="00B123A0" w:rsidRDefault="00000000" w:rsidP="00B123A0">
      <w:r>
        <w:t>The long-term orientation score of the UK is moderate at about 51, which means that it has a balance between tradition and innovation</w:t>
      </w:r>
      <w:r w:rsidR="002A336D" w:rsidRPr="002A336D">
        <w:t xml:space="preserve"> (Bukowski and Rudnicki, 2023)</w:t>
      </w:r>
      <w:r>
        <w:t>. This is an advantage to Starbucks as it is able to have a consistent quality in its products by constantly adding new menu items to suit the changing tastes and preferences of consumers.</w:t>
      </w:r>
    </w:p>
    <w:p w14:paraId="24B53965" w14:textId="77777777" w:rsidR="00B123A0" w:rsidRPr="000C511A" w:rsidRDefault="00000000" w:rsidP="00B123A0">
      <w:pPr>
        <w:rPr>
          <w:b/>
          <w:bCs/>
        </w:rPr>
      </w:pPr>
      <w:r w:rsidRPr="000C511A">
        <w:rPr>
          <w:b/>
          <w:bCs/>
        </w:rPr>
        <w:t>Indulgence vs Restraint</w:t>
      </w:r>
      <w:r w:rsidR="000C511A" w:rsidRPr="000C511A">
        <w:rPr>
          <w:b/>
          <w:bCs/>
        </w:rPr>
        <w:t>:</w:t>
      </w:r>
    </w:p>
    <w:p w14:paraId="5767A10C" w14:textId="77777777" w:rsidR="00B123A0" w:rsidRDefault="00000000" w:rsidP="00B123A0">
      <w:r>
        <w:t xml:space="preserve">The UK is a high-indulgence (about 69) culture, which means that it is a culture of enjoyment and leisure. This sustains the development of the cafe culture, whereby consumers are ready to pay </w:t>
      </w:r>
      <w:r>
        <w:lastRenderedPageBreak/>
        <w:t>more for high-quality experiences, and overall spending in coffee shops is rising by an average of 12 per cent since 2019.</w:t>
      </w:r>
    </w:p>
    <w:p w14:paraId="3D9A1C88" w14:textId="77777777" w:rsidR="000C511A" w:rsidRPr="000C511A" w:rsidRDefault="00000000" w:rsidP="000C511A">
      <w:pPr>
        <w:rPr>
          <w:b/>
          <w:bCs/>
        </w:rPr>
      </w:pPr>
      <w:r w:rsidRPr="000C511A">
        <w:rPr>
          <w:b/>
          <w:bCs/>
        </w:rPr>
        <w:t>4.7 Overall Market Attractiveness and Critical Evaluation</w:t>
      </w:r>
    </w:p>
    <w:p w14:paraId="5C4558B5" w14:textId="77777777" w:rsidR="000C511A" w:rsidRPr="00B23A62" w:rsidRDefault="00000000" w:rsidP="00B123A0">
      <w:pPr>
        <w:rPr>
          <w:b/>
          <w:bCs/>
        </w:rPr>
      </w:pPr>
      <w:r w:rsidRPr="00B23A62">
        <w:rPr>
          <w:b/>
          <w:bCs/>
        </w:rPr>
        <w:t>Opportunities in the UK Market:</w:t>
      </w:r>
    </w:p>
    <w:p w14:paraId="6B6906A5" w14:textId="31816395" w:rsidR="00B123A0" w:rsidRDefault="00000000" w:rsidP="00B123A0">
      <w:r>
        <w:t>High consumer expenditure, good infrastructure and high demand for premium coffee products in the UK present great opportunities to Starbucks</w:t>
      </w:r>
      <w:r w:rsidR="002A336D" w:rsidRPr="002A336D">
        <w:t xml:space="preserve"> (Chitez, Mustafa and Sergio, 2026)</w:t>
      </w:r>
      <w:r>
        <w:t>. The growing usage of digital platforms, among which more than 30 per cent of foodservice transactions are carried out online, offers potential development with mobile ordering and delivery solutions.</w:t>
      </w:r>
    </w:p>
    <w:p w14:paraId="3730E18D" w14:textId="77777777" w:rsidR="00B123A0" w:rsidRPr="00B23A62" w:rsidRDefault="00000000" w:rsidP="00B123A0">
      <w:pPr>
        <w:rPr>
          <w:b/>
          <w:bCs/>
        </w:rPr>
      </w:pPr>
      <w:r w:rsidRPr="00B23A62">
        <w:rPr>
          <w:b/>
          <w:bCs/>
        </w:rPr>
        <w:t>Challenges and Risks</w:t>
      </w:r>
      <w:r w:rsidR="000C511A" w:rsidRPr="00B23A62">
        <w:rPr>
          <w:b/>
          <w:bCs/>
        </w:rPr>
        <w:t>:</w:t>
      </w:r>
    </w:p>
    <w:p w14:paraId="6949B091" w14:textId="605F6124" w:rsidR="00B123A0" w:rsidRDefault="00000000" w:rsidP="00B123A0">
      <w:r>
        <w:t>The UK market, notwithstanding its appeal, is faced with various challenges such as stiff competition, increased cost of doing business and regulatory factors. There is high competition where competitors like Costa Coffee command about 25 per cent of the market share, as compared to 10-12 per cent by Starbucks</w:t>
      </w:r>
      <w:r w:rsidR="002A336D" w:rsidRPr="002A336D">
        <w:t xml:space="preserve"> (Talib, 2024)</w:t>
      </w:r>
      <w:r>
        <w:t>. Moreover, the number of independent coffee shops has increased by more than 30 per cent during the last five years, which has increased market fragmentation.</w:t>
      </w:r>
    </w:p>
    <w:p w14:paraId="4B079C6B" w14:textId="77777777" w:rsidR="00B123A0" w:rsidRPr="00B23A62" w:rsidRDefault="00000000" w:rsidP="00B123A0">
      <w:pPr>
        <w:rPr>
          <w:b/>
          <w:bCs/>
        </w:rPr>
      </w:pPr>
      <w:r w:rsidRPr="00B23A62">
        <w:rPr>
          <w:b/>
          <w:bCs/>
        </w:rPr>
        <w:t>Critical Evaluation of Success Factors:</w:t>
      </w:r>
    </w:p>
    <w:p w14:paraId="7E08845E" w14:textId="0880F7A6" w:rsidR="00B123A0" w:rsidRDefault="00000000" w:rsidP="00B123A0">
      <w:r>
        <w:t>The UK market strategies that have helped Starbucks to succeed include high brand equity, high positioning and resonance with the cultural values</w:t>
      </w:r>
      <w:r w:rsidR="002A336D" w:rsidRPr="002A336D">
        <w:t xml:space="preserve"> (Maha, 2024)</w:t>
      </w:r>
      <w:r>
        <w:t>. Economic pressures like inflation and labour shortages, political and legal barriers, however, pose a major obstacle to profitability. Digital innovation, sustainability efforts, and product diversification help the company adjust to the constantly changing environment, which is essential to its competitive advantage in the UK food and beverage industry.</w:t>
      </w:r>
    </w:p>
    <w:p w14:paraId="108BC425" w14:textId="77777777" w:rsidR="002A336D" w:rsidRDefault="002A336D">
      <w:pPr>
        <w:spacing w:line="259" w:lineRule="auto"/>
        <w:jc w:val="left"/>
        <w:rPr>
          <w:rFonts w:eastAsiaTheme="majorEastAsia" w:cstheme="majorBidi"/>
          <w:b/>
          <w:sz w:val="30"/>
          <w:szCs w:val="32"/>
        </w:rPr>
      </w:pPr>
      <w:r>
        <w:br w:type="page"/>
      </w:r>
    </w:p>
    <w:p w14:paraId="27CAFFA3" w14:textId="5BBD845D" w:rsidR="0001558C" w:rsidRDefault="00000000" w:rsidP="0001558C">
      <w:pPr>
        <w:pStyle w:val="Heading1"/>
      </w:pPr>
      <w:bookmarkStart w:id="14" w:name="_Toc227273906"/>
      <w:r>
        <w:lastRenderedPageBreak/>
        <w:t>5. Conclusion</w:t>
      </w:r>
      <w:bookmarkEnd w:id="14"/>
    </w:p>
    <w:p w14:paraId="31BDE2DD" w14:textId="77777777" w:rsidR="0001558C" w:rsidRDefault="00000000" w:rsidP="0001558C">
      <w:r>
        <w:t>This report has critically discussed the food and beverage sector in the United Kingdom, and its contribution to the national economy of over 240 billion and its ability to provide employment to over 4.2 million people. Analysis has shown that the industry is highly competitive and dynamic with high domestic demand, well-developed infrastructure and well-developed supporting industries. The implementation of Porter's Diamond Model demonstrated that the UK has good factor conditions, advanced consumers and a high level of domestic competition, which contribute to the global competitiveness of the industry.</w:t>
      </w:r>
    </w:p>
    <w:p w14:paraId="5CB4F92C" w14:textId="77777777" w:rsidR="0001558C" w:rsidRDefault="00000000" w:rsidP="0001558C">
      <w:r>
        <w:t>Moreover, the report assessed the processes of Starbucks, being one of the leading multinational companies in the UK market. The results showed that although the UK has a high market potential because of high consumer expenditure and a well-established coffee culture, Starbucks has a lot of challenges, such as the increasing cost of operation, regulatory issues, and stiff competition with other companies like Costa Coffee and Pret A Manger. Overall, the report finds that Starbucks can succeed in the UK because it can capitalise on its excellent brand positioning, respond to economic and cultural factors, and keep innovating with digitalisation and sustainability efforts to retain its competitive edge in a highly saturated market.</w:t>
      </w:r>
    </w:p>
    <w:p w14:paraId="55F826BB" w14:textId="77777777" w:rsidR="005402D9" w:rsidRDefault="005402D9">
      <w:pPr>
        <w:spacing w:line="259" w:lineRule="auto"/>
        <w:jc w:val="left"/>
        <w:rPr>
          <w:rFonts w:eastAsiaTheme="majorEastAsia" w:cstheme="majorBidi"/>
          <w:b/>
          <w:sz w:val="30"/>
          <w:szCs w:val="32"/>
        </w:rPr>
      </w:pPr>
      <w:r>
        <w:br w:type="page"/>
      </w:r>
    </w:p>
    <w:p w14:paraId="25C7F25D" w14:textId="6A4AE320" w:rsidR="003435CC" w:rsidRDefault="00000000" w:rsidP="003435CC">
      <w:pPr>
        <w:pStyle w:val="Heading1"/>
      </w:pPr>
      <w:bookmarkStart w:id="15" w:name="_Toc227273907"/>
      <w:r>
        <w:lastRenderedPageBreak/>
        <w:t>Section 2: Reflective Account</w:t>
      </w:r>
      <w:bookmarkEnd w:id="15"/>
    </w:p>
    <w:p w14:paraId="41FB42B4" w14:textId="3AF69106" w:rsidR="00D1099A" w:rsidRDefault="00000000" w:rsidP="00D1099A">
      <w:r>
        <w:t>Gibbs Reflective Cycle is a systematic model that facilitates critical reflection on the experiences in the six stages, which are description, feelings, evaluation, analysis, conclusion, and action plan. This section will provide a reflection on the process I took when researching, analysing, and preparing the earlier sections of this report and note the main learning outcomes and improvements.</w:t>
      </w:r>
    </w:p>
    <w:p w14:paraId="069C416C" w14:textId="77777777" w:rsidR="00894A53" w:rsidRDefault="00894A53" w:rsidP="00894A53">
      <w:pPr>
        <w:keepNext/>
        <w:jc w:val="center"/>
      </w:pPr>
      <w:r>
        <w:rPr>
          <w:noProof/>
        </w:rPr>
        <w:drawing>
          <wp:inline distT="0" distB="0" distL="0" distR="0" wp14:anchorId="697E5B82" wp14:editId="29D4AC07">
            <wp:extent cx="5361246" cy="3017309"/>
            <wp:effectExtent l="0" t="0" r="0" b="0"/>
            <wp:docPr id="377260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74153" cy="3024573"/>
                    </a:xfrm>
                    <a:prstGeom prst="rect">
                      <a:avLst/>
                    </a:prstGeom>
                    <a:noFill/>
                  </pic:spPr>
                </pic:pic>
              </a:graphicData>
            </a:graphic>
          </wp:inline>
        </w:drawing>
      </w:r>
    </w:p>
    <w:p w14:paraId="159CD22C" w14:textId="55663091" w:rsidR="00271FBA" w:rsidRDefault="00894A53" w:rsidP="00894A53">
      <w:pPr>
        <w:pStyle w:val="Caption"/>
        <w:jc w:val="center"/>
      </w:pPr>
      <w:r>
        <w:t xml:space="preserve">Figure </w:t>
      </w:r>
      <w:r>
        <w:fldChar w:fldCharType="begin"/>
      </w:r>
      <w:r>
        <w:instrText xml:space="preserve"> SEQ Figure \* ARABIC </w:instrText>
      </w:r>
      <w:r>
        <w:fldChar w:fldCharType="separate"/>
      </w:r>
      <w:r w:rsidR="00723AF6">
        <w:rPr>
          <w:noProof/>
        </w:rPr>
        <w:t>10</w:t>
      </w:r>
      <w:r>
        <w:fldChar w:fldCharType="end"/>
      </w:r>
      <w:r>
        <w:t>: Gibbs Reflective Cycle</w:t>
      </w:r>
    </w:p>
    <w:p w14:paraId="6393370C" w14:textId="0BF0FDA7" w:rsidR="00894A53" w:rsidRPr="00894A53" w:rsidRDefault="00894A53" w:rsidP="00894A53">
      <w:pPr>
        <w:jc w:val="center"/>
        <w:rPr>
          <w:b/>
          <w:bCs/>
          <w:lang w:val="en-GB"/>
        </w:rPr>
      </w:pPr>
      <w:r w:rsidRPr="00894A53">
        <w:rPr>
          <w:b/>
          <w:bCs/>
          <w:lang w:val="en-GB"/>
        </w:rPr>
        <w:t>Source: (BiteSize Learning, 2024)</w:t>
      </w:r>
    </w:p>
    <w:p w14:paraId="6F084BC9" w14:textId="749CB5C7" w:rsidR="00D1099A" w:rsidRPr="00271FBA" w:rsidRDefault="00000000" w:rsidP="00D1099A">
      <w:pPr>
        <w:rPr>
          <w:b/>
          <w:bCs/>
        </w:rPr>
      </w:pPr>
      <w:r w:rsidRPr="00271FBA">
        <w:rPr>
          <w:b/>
          <w:bCs/>
        </w:rPr>
        <w:t>1. Description</w:t>
      </w:r>
    </w:p>
    <w:p w14:paraId="206F9726" w14:textId="2026653A" w:rsidR="00D1099A" w:rsidRDefault="00000000" w:rsidP="00D1099A">
      <w:r>
        <w:t>Under this assignment, I undertook systematic research in the food and beverage industry within the United Kingdom and examined the strategic location of Starbucks in the market. I started by gathering secondary data by using credible academic sources, industry reports, and statistical databases like government publications and market intelligence reports. I paid attention to the level of industry, its structure, and the competition, and all arguments were substantiated with quantitative data, including revenue amounts, market shares, and employment rates.</w:t>
      </w:r>
    </w:p>
    <w:p w14:paraId="30EAE42A" w14:textId="469803F7" w:rsidR="00D1099A" w:rsidRDefault="00000000" w:rsidP="00D1099A">
      <w:r>
        <w:t xml:space="preserve">In the process of writing, I organised the report into coherent parts such as an overview of the industry, Porter's Diamond analysis and a critical analysis of multinational operations. I made sure </w:t>
      </w:r>
      <w:r>
        <w:lastRenderedPageBreak/>
        <w:t xml:space="preserve">that every section was congruent with academic standards and backed with real-life statistics. </w:t>
      </w:r>
      <w:r w:rsidR="00894A53" w:rsidRPr="00894A53">
        <w:t>Christensen and Wärnsby (2023)</w:t>
      </w:r>
      <w:r>
        <w:t xml:space="preserve"> explains that structured reflection enhances the clarity of analytical thinking by promoting the systematic organisation of knowledge. This informed my strategy in creating a logical and well-supported report.</w:t>
      </w:r>
    </w:p>
    <w:p w14:paraId="336CF1FC" w14:textId="6AFEBE22" w:rsidR="00D1099A" w:rsidRPr="00271FBA" w:rsidRDefault="00000000" w:rsidP="00D1099A">
      <w:pPr>
        <w:rPr>
          <w:b/>
          <w:bCs/>
        </w:rPr>
      </w:pPr>
      <w:r w:rsidRPr="00271FBA">
        <w:rPr>
          <w:b/>
          <w:bCs/>
        </w:rPr>
        <w:t>2. Feelings</w:t>
      </w:r>
    </w:p>
    <w:p w14:paraId="1BB07BBF" w14:textId="54E4DCFD" w:rsidR="00D1099A" w:rsidRDefault="00000000" w:rsidP="00D1099A">
      <w:r>
        <w:t>This is because in the early days of the task, I was overwhelmed by the complexity of analysing a big industry with many dimensions like economic performance, competition and global strategy. I was also unsure of how to incorporate much statistical data into a systematic academic form. Nonetheless, as I advanced, I felt increasingly certain about my skill to analyse information and relate theoretical frameworks to practical business processes.</w:t>
      </w:r>
    </w:p>
    <w:p w14:paraId="68EA4AE3" w14:textId="6738204B" w:rsidR="00D1099A" w:rsidRDefault="00000000" w:rsidP="00D1099A">
      <w:r>
        <w:t xml:space="preserve">I also got motivated when I understood that Starbucks is a highly dynamic and competitive environment, and this made the analysis more captivating. Reflective learning tends to boost confidence because, as a learner goes through content repeatedly, they gradually gain deeper insights into the content </w:t>
      </w:r>
      <w:r w:rsidR="00894A53" w:rsidRPr="00894A53">
        <w:t>(Yeh et al., 2022)</w:t>
      </w:r>
      <w:r>
        <w:t>. This process assisted me in changing the original confusion to systematic academic thinking.</w:t>
      </w:r>
    </w:p>
    <w:p w14:paraId="0035F02A" w14:textId="24AC3E0D" w:rsidR="00D1099A" w:rsidRPr="00271FBA" w:rsidRDefault="00000000" w:rsidP="00D1099A">
      <w:pPr>
        <w:rPr>
          <w:b/>
          <w:bCs/>
        </w:rPr>
      </w:pPr>
      <w:r w:rsidRPr="00271FBA">
        <w:rPr>
          <w:b/>
          <w:bCs/>
        </w:rPr>
        <w:t>3. Evaluation</w:t>
      </w:r>
    </w:p>
    <w:p w14:paraId="503E291B" w14:textId="105B9693" w:rsidR="00D1099A" w:rsidRDefault="00000000" w:rsidP="00D1099A">
      <w:r>
        <w:t>In general, the research process was effective in reaching a good grasp of the UK food and beverage industry. The use of credible secondary sources of data was one of the strengths of my approach, as it enhanced the credibility of the analysis. I also did a good job of citing statistical evidence, like the 240 billion contribution of the industry and 1,200 Starbucks stores in the UK, to back my arguments.</w:t>
      </w:r>
    </w:p>
    <w:p w14:paraId="704E3D79" w14:textId="27F16BBA" w:rsidR="00D1099A" w:rsidRDefault="00000000" w:rsidP="00D1099A">
      <w:r>
        <w:t xml:space="preserve">Nevertheless, restrictions existed as well. First, I had a problem with being able to balance descriptive material and critical analysis, so some of my early drafts were too descriptive. Also, I struggled to be consistent in referencing and keeping an academic tone in the whole process. </w:t>
      </w:r>
      <w:r w:rsidR="00894A53" w:rsidRPr="00894A53">
        <w:t>Ryan (2021)</w:t>
      </w:r>
      <w:r>
        <w:t xml:space="preserve"> state that reflective academic writing is frequently the process that needs to be refined repeatedly to enable the establishment of a balance between evidence and critical insight. This was reflected in the way I wrote my paper, since I had to go through the paper and rewrite parts to make it more coherent and analytical.</w:t>
      </w:r>
    </w:p>
    <w:p w14:paraId="03DA6434" w14:textId="57F37496" w:rsidR="00D1099A" w:rsidRPr="00271FBA" w:rsidRDefault="00000000" w:rsidP="00D1099A">
      <w:pPr>
        <w:rPr>
          <w:b/>
          <w:bCs/>
        </w:rPr>
      </w:pPr>
      <w:r w:rsidRPr="00271FBA">
        <w:rPr>
          <w:b/>
          <w:bCs/>
        </w:rPr>
        <w:lastRenderedPageBreak/>
        <w:t>4. Analysis</w:t>
      </w:r>
    </w:p>
    <w:p w14:paraId="59A45C4B" w14:textId="7A160506" w:rsidR="00D1099A" w:rsidRDefault="00000000" w:rsidP="00D1099A">
      <w:r>
        <w:t xml:space="preserve">This assignment enabled me to realise how theoretical frameworks could be utilised in the actual industries. Through the analysis of Starbucks in the UK market, I was able to gain a better idea of how multinational corporations could adjust to the forces of competition, regulations, and cultural variations. </w:t>
      </w:r>
      <w:r w:rsidR="00CB37EA">
        <w:t>For example</w:t>
      </w:r>
      <w:r>
        <w:t>, the incorporation of cultural dimensions proposed by Hofstede enabled me to comprehend the impact of consumer behaviour in the UK on product customisation policies at Starbucks.</w:t>
      </w:r>
    </w:p>
    <w:p w14:paraId="682C46E1" w14:textId="7B1D6CA0" w:rsidR="00D1099A" w:rsidRDefault="00000000" w:rsidP="00D1099A">
      <w:r>
        <w:t xml:space="preserve">I also came to know of the significance of data triangulation. The variety of sources of statistical evidence helped me to confirm findings and reinforce arguments. </w:t>
      </w:r>
      <w:r w:rsidR="007607F3" w:rsidRPr="007607F3">
        <w:t>Hedgebeth (2020)</w:t>
      </w:r>
      <w:r>
        <w:t xml:space="preserve"> argue that data-driven analysis enhances the reliability of academic research and mitigates bias in business research. Besides, I realised the significance of the Diamond Model of national competitiveness developed by Porter, which boosted my skills in analysing the advantages of the industry-level in an organised manner.</w:t>
      </w:r>
    </w:p>
    <w:p w14:paraId="1E8AE2D0" w14:textId="7F0C7E6A" w:rsidR="00D1099A" w:rsidRDefault="00000000" w:rsidP="00D1099A">
      <w:r>
        <w:t xml:space="preserve">However, I also discovered that I should enhance my skills in critical synthesising information instead of describing it. </w:t>
      </w:r>
      <w:r w:rsidR="007607F3" w:rsidRPr="007607F3">
        <w:t>Calma and Davies (2020)</w:t>
      </w:r>
      <w:r>
        <w:t xml:space="preserve"> states that advanced academic writing demands more analysis of the connections between variables, as opposed to the superficial description at the lower level of academic writing. This experience will be valuable in the course of future tasks.</w:t>
      </w:r>
    </w:p>
    <w:p w14:paraId="1FC6FD41" w14:textId="4B92546A" w:rsidR="00D1099A" w:rsidRPr="00271FBA" w:rsidRDefault="00000000" w:rsidP="00D1099A">
      <w:pPr>
        <w:rPr>
          <w:b/>
          <w:bCs/>
        </w:rPr>
      </w:pPr>
      <w:r w:rsidRPr="00271FBA">
        <w:rPr>
          <w:b/>
          <w:bCs/>
        </w:rPr>
        <w:t>5. Conclusion</w:t>
      </w:r>
    </w:p>
    <w:p w14:paraId="68B4D6FD" w14:textId="79B12E66" w:rsidR="003435CC" w:rsidRDefault="00000000" w:rsidP="00D1099A">
      <w:r>
        <w:t>This reflection has greatly enhanced my knowledge of the UK food and beverage industry and the strategic operations of Starbucks. I have gained better research skills, have become more skilled in interpreting large datasets, and have become a better critical thinker. I also discovered how to format complicated scholarly assignments in terms of theoretical models and evidence-based analysis.</w:t>
      </w:r>
      <w:r w:rsidR="007607F3">
        <w:t xml:space="preserve"> </w:t>
      </w:r>
      <w:r>
        <w:t xml:space="preserve">Furthermore, I have also identified my weaknesses, especially the lack of critical depth and consistency in writing academic papers. This experience has made me realise that I need to continuously improve so that I can achieve success in my academic life. </w:t>
      </w:r>
    </w:p>
    <w:p w14:paraId="7CA889B0" w14:textId="77777777" w:rsidR="00CB37EA" w:rsidRPr="00271FBA" w:rsidRDefault="00000000" w:rsidP="00D1099A">
      <w:pPr>
        <w:rPr>
          <w:b/>
          <w:bCs/>
        </w:rPr>
      </w:pPr>
      <w:r w:rsidRPr="00271FBA">
        <w:rPr>
          <w:b/>
          <w:bCs/>
        </w:rPr>
        <w:t>6. Action Plan (Future Improvement Strategy)</w:t>
      </w:r>
    </w:p>
    <w:tbl>
      <w:tblPr>
        <w:tblStyle w:val="GridTable5Dark-Accent5"/>
        <w:tblW w:w="0" w:type="auto"/>
        <w:tblLook w:val="04A0" w:firstRow="1" w:lastRow="0" w:firstColumn="1" w:lastColumn="0" w:noHBand="0" w:noVBand="1"/>
      </w:tblPr>
      <w:tblGrid>
        <w:gridCol w:w="1836"/>
        <w:gridCol w:w="1910"/>
        <w:gridCol w:w="2429"/>
        <w:gridCol w:w="1571"/>
        <w:gridCol w:w="1604"/>
      </w:tblGrid>
      <w:tr w:rsidR="0097483B" w14:paraId="210B445F" w14:textId="77777777" w:rsidTr="00271F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B726B6" w14:textId="77777777" w:rsidR="00915CFF" w:rsidRPr="00915CFF" w:rsidRDefault="00000000" w:rsidP="00915CFF">
            <w:pPr>
              <w:spacing w:after="160"/>
              <w:rPr>
                <w:b w:val="0"/>
                <w:bCs w:val="0"/>
              </w:rPr>
            </w:pPr>
            <w:r w:rsidRPr="00915CFF">
              <w:t>Area for Improvement</w:t>
            </w:r>
          </w:p>
        </w:tc>
        <w:tc>
          <w:tcPr>
            <w:tcW w:w="0" w:type="auto"/>
            <w:hideMark/>
          </w:tcPr>
          <w:p w14:paraId="55550508" w14:textId="77777777" w:rsidR="00915CFF" w:rsidRPr="00915CFF" w:rsidRDefault="00000000" w:rsidP="00915C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915CFF">
              <w:t>Identified Issue</w:t>
            </w:r>
          </w:p>
        </w:tc>
        <w:tc>
          <w:tcPr>
            <w:tcW w:w="0" w:type="auto"/>
            <w:hideMark/>
          </w:tcPr>
          <w:p w14:paraId="39AEF9D8" w14:textId="77777777" w:rsidR="00915CFF" w:rsidRPr="00915CFF" w:rsidRDefault="00000000" w:rsidP="00915C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915CFF">
              <w:t>Action to be Taken</w:t>
            </w:r>
          </w:p>
        </w:tc>
        <w:tc>
          <w:tcPr>
            <w:tcW w:w="0" w:type="auto"/>
            <w:hideMark/>
          </w:tcPr>
          <w:p w14:paraId="08B3A991" w14:textId="77777777" w:rsidR="00915CFF" w:rsidRPr="00915CFF" w:rsidRDefault="00000000" w:rsidP="00915C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915CFF">
              <w:t>Timeline</w:t>
            </w:r>
          </w:p>
        </w:tc>
        <w:tc>
          <w:tcPr>
            <w:tcW w:w="0" w:type="auto"/>
            <w:hideMark/>
          </w:tcPr>
          <w:p w14:paraId="6F7CC7D6" w14:textId="77777777" w:rsidR="00915CFF" w:rsidRPr="00915CFF" w:rsidRDefault="00000000" w:rsidP="00915C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915CFF">
              <w:t>Expected Outcome</w:t>
            </w:r>
          </w:p>
        </w:tc>
      </w:tr>
      <w:tr w:rsidR="0097483B" w14:paraId="47443603" w14:textId="77777777" w:rsidTr="00271F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4AAC14" w14:textId="77777777" w:rsidR="00915CFF" w:rsidRPr="00915CFF" w:rsidRDefault="00000000" w:rsidP="00915CFF">
            <w:pPr>
              <w:spacing w:after="160"/>
            </w:pPr>
            <w:r w:rsidRPr="00915CFF">
              <w:lastRenderedPageBreak/>
              <w:t>Critical Analysis</w:t>
            </w:r>
          </w:p>
        </w:tc>
        <w:tc>
          <w:tcPr>
            <w:tcW w:w="0" w:type="auto"/>
            <w:hideMark/>
          </w:tcPr>
          <w:p w14:paraId="73B8649D"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Over-descriptive writing in early drafts</w:t>
            </w:r>
          </w:p>
        </w:tc>
        <w:tc>
          <w:tcPr>
            <w:tcW w:w="0" w:type="auto"/>
            <w:hideMark/>
          </w:tcPr>
          <w:p w14:paraId="03F8C3B7"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Practice critical evaluation using journal articles and case studies</w:t>
            </w:r>
          </w:p>
        </w:tc>
        <w:tc>
          <w:tcPr>
            <w:tcW w:w="0" w:type="auto"/>
            <w:hideMark/>
          </w:tcPr>
          <w:p w14:paraId="7978ED83"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Next 4 weeks</w:t>
            </w:r>
          </w:p>
        </w:tc>
        <w:tc>
          <w:tcPr>
            <w:tcW w:w="0" w:type="auto"/>
            <w:hideMark/>
          </w:tcPr>
          <w:p w14:paraId="2F3CB6F9"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Improved analytical depth</w:t>
            </w:r>
          </w:p>
        </w:tc>
      </w:tr>
      <w:tr w:rsidR="0097483B" w14:paraId="6BF0B1FA" w14:textId="77777777" w:rsidTr="00271FBA">
        <w:tc>
          <w:tcPr>
            <w:cnfStyle w:val="001000000000" w:firstRow="0" w:lastRow="0" w:firstColumn="1" w:lastColumn="0" w:oddVBand="0" w:evenVBand="0" w:oddHBand="0" w:evenHBand="0" w:firstRowFirstColumn="0" w:firstRowLastColumn="0" w:lastRowFirstColumn="0" w:lastRowLastColumn="0"/>
            <w:tcW w:w="0" w:type="auto"/>
            <w:hideMark/>
          </w:tcPr>
          <w:p w14:paraId="1ED8FCD7" w14:textId="77777777" w:rsidR="00915CFF" w:rsidRPr="00915CFF" w:rsidRDefault="00000000" w:rsidP="00915CFF">
            <w:pPr>
              <w:spacing w:after="160"/>
            </w:pPr>
            <w:r w:rsidRPr="00915CFF">
              <w:t>Academic Referencing</w:t>
            </w:r>
          </w:p>
        </w:tc>
        <w:tc>
          <w:tcPr>
            <w:tcW w:w="0" w:type="auto"/>
            <w:hideMark/>
          </w:tcPr>
          <w:p w14:paraId="05687F3A"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Inconsistent citation style</w:t>
            </w:r>
          </w:p>
        </w:tc>
        <w:tc>
          <w:tcPr>
            <w:tcW w:w="0" w:type="auto"/>
            <w:hideMark/>
          </w:tcPr>
          <w:p w14:paraId="14E5939D"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Use the Harvard referencing guide and reference management tools</w:t>
            </w:r>
          </w:p>
        </w:tc>
        <w:tc>
          <w:tcPr>
            <w:tcW w:w="0" w:type="auto"/>
            <w:hideMark/>
          </w:tcPr>
          <w:p w14:paraId="465CA2B6"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Immediate and ongoing</w:t>
            </w:r>
          </w:p>
        </w:tc>
        <w:tc>
          <w:tcPr>
            <w:tcW w:w="0" w:type="auto"/>
            <w:hideMark/>
          </w:tcPr>
          <w:p w14:paraId="6ADAEE31"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Accurate referencing</w:t>
            </w:r>
          </w:p>
        </w:tc>
      </w:tr>
      <w:tr w:rsidR="0097483B" w14:paraId="2EF356DA" w14:textId="77777777" w:rsidTr="00271F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E8BE7B" w14:textId="77777777" w:rsidR="00915CFF" w:rsidRPr="00915CFF" w:rsidRDefault="00000000" w:rsidP="00915CFF">
            <w:pPr>
              <w:spacing w:after="160"/>
            </w:pPr>
            <w:r w:rsidRPr="00915CFF">
              <w:t>Data Interpretation</w:t>
            </w:r>
          </w:p>
        </w:tc>
        <w:tc>
          <w:tcPr>
            <w:tcW w:w="0" w:type="auto"/>
            <w:hideMark/>
          </w:tcPr>
          <w:p w14:paraId="7AE0357E"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Difficulty integrating statistics into arguments</w:t>
            </w:r>
          </w:p>
        </w:tc>
        <w:tc>
          <w:tcPr>
            <w:tcW w:w="0" w:type="auto"/>
            <w:hideMark/>
          </w:tcPr>
          <w:p w14:paraId="0671278D"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Practise summarising datasets into insights</w:t>
            </w:r>
          </w:p>
        </w:tc>
        <w:tc>
          <w:tcPr>
            <w:tcW w:w="0" w:type="auto"/>
            <w:hideMark/>
          </w:tcPr>
          <w:p w14:paraId="3E06FA9B"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Next 3 assignments</w:t>
            </w:r>
          </w:p>
        </w:tc>
        <w:tc>
          <w:tcPr>
            <w:tcW w:w="0" w:type="auto"/>
            <w:hideMark/>
          </w:tcPr>
          <w:p w14:paraId="2CC8D07F"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Better data-driven arguments</w:t>
            </w:r>
          </w:p>
        </w:tc>
      </w:tr>
      <w:tr w:rsidR="0097483B" w14:paraId="71C1719D" w14:textId="77777777" w:rsidTr="00271FBA">
        <w:tc>
          <w:tcPr>
            <w:cnfStyle w:val="001000000000" w:firstRow="0" w:lastRow="0" w:firstColumn="1" w:lastColumn="0" w:oddVBand="0" w:evenVBand="0" w:oddHBand="0" w:evenHBand="0" w:firstRowFirstColumn="0" w:firstRowLastColumn="0" w:lastRowFirstColumn="0" w:lastRowLastColumn="0"/>
            <w:tcW w:w="0" w:type="auto"/>
            <w:hideMark/>
          </w:tcPr>
          <w:p w14:paraId="4857C44F" w14:textId="77777777" w:rsidR="00915CFF" w:rsidRPr="00915CFF" w:rsidRDefault="00000000" w:rsidP="00915CFF">
            <w:pPr>
              <w:spacing w:after="160"/>
            </w:pPr>
            <w:r w:rsidRPr="00915CFF">
              <w:t>Time Management</w:t>
            </w:r>
          </w:p>
        </w:tc>
        <w:tc>
          <w:tcPr>
            <w:tcW w:w="0" w:type="auto"/>
            <w:hideMark/>
          </w:tcPr>
          <w:p w14:paraId="6A12DFBE"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Spending excessive time on research</w:t>
            </w:r>
          </w:p>
        </w:tc>
        <w:tc>
          <w:tcPr>
            <w:tcW w:w="0" w:type="auto"/>
            <w:hideMark/>
          </w:tcPr>
          <w:p w14:paraId="711E5C14"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Use structured planning and deadlines</w:t>
            </w:r>
          </w:p>
        </w:tc>
        <w:tc>
          <w:tcPr>
            <w:tcW w:w="0" w:type="auto"/>
            <w:hideMark/>
          </w:tcPr>
          <w:p w14:paraId="34BF6639"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Immediate</w:t>
            </w:r>
          </w:p>
        </w:tc>
        <w:tc>
          <w:tcPr>
            <w:tcW w:w="0" w:type="auto"/>
            <w:hideMark/>
          </w:tcPr>
          <w:p w14:paraId="2DC17565"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Improved efficiency</w:t>
            </w:r>
          </w:p>
        </w:tc>
      </w:tr>
      <w:tr w:rsidR="0097483B" w14:paraId="2A1C4957" w14:textId="77777777" w:rsidTr="00271F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3090A5" w14:textId="77777777" w:rsidR="00915CFF" w:rsidRPr="00915CFF" w:rsidRDefault="00000000" w:rsidP="00915CFF">
            <w:pPr>
              <w:spacing w:after="160"/>
            </w:pPr>
            <w:r w:rsidRPr="00915CFF">
              <w:t>Theoretical Application</w:t>
            </w:r>
          </w:p>
        </w:tc>
        <w:tc>
          <w:tcPr>
            <w:tcW w:w="0" w:type="auto"/>
            <w:hideMark/>
          </w:tcPr>
          <w:p w14:paraId="5329C01D"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Weak linkage between theory and practice</w:t>
            </w:r>
          </w:p>
        </w:tc>
        <w:tc>
          <w:tcPr>
            <w:tcW w:w="0" w:type="auto"/>
            <w:hideMark/>
          </w:tcPr>
          <w:p w14:paraId="03BBFEE4"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Apply models systematically (e.g., Porter, Hofstede)</w:t>
            </w:r>
          </w:p>
        </w:tc>
        <w:tc>
          <w:tcPr>
            <w:tcW w:w="0" w:type="auto"/>
            <w:hideMark/>
          </w:tcPr>
          <w:p w14:paraId="5E2E28F3"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Next module</w:t>
            </w:r>
          </w:p>
        </w:tc>
        <w:tc>
          <w:tcPr>
            <w:tcW w:w="0" w:type="auto"/>
            <w:hideMark/>
          </w:tcPr>
          <w:p w14:paraId="2BE5CDFE" w14:textId="77777777" w:rsidR="00915CFF" w:rsidRPr="00915CFF" w:rsidRDefault="00000000" w:rsidP="00915CFF">
            <w:pPr>
              <w:spacing w:after="160"/>
              <w:cnfStyle w:val="000000100000" w:firstRow="0" w:lastRow="0" w:firstColumn="0" w:lastColumn="0" w:oddVBand="0" w:evenVBand="0" w:oddHBand="1" w:evenHBand="0" w:firstRowFirstColumn="0" w:firstRowLastColumn="0" w:lastRowFirstColumn="0" w:lastRowLastColumn="0"/>
            </w:pPr>
            <w:r w:rsidRPr="00915CFF">
              <w:t>Stronger academic integration</w:t>
            </w:r>
          </w:p>
        </w:tc>
      </w:tr>
      <w:tr w:rsidR="0097483B" w14:paraId="0F51F0D1" w14:textId="77777777" w:rsidTr="00271FBA">
        <w:tc>
          <w:tcPr>
            <w:cnfStyle w:val="001000000000" w:firstRow="0" w:lastRow="0" w:firstColumn="1" w:lastColumn="0" w:oddVBand="0" w:evenVBand="0" w:oddHBand="0" w:evenHBand="0" w:firstRowFirstColumn="0" w:firstRowLastColumn="0" w:lastRowFirstColumn="0" w:lastRowLastColumn="0"/>
            <w:tcW w:w="0" w:type="auto"/>
            <w:hideMark/>
          </w:tcPr>
          <w:p w14:paraId="1A364DB3" w14:textId="77777777" w:rsidR="00915CFF" w:rsidRPr="00915CFF" w:rsidRDefault="00000000" w:rsidP="00915CFF">
            <w:pPr>
              <w:spacing w:after="160"/>
            </w:pPr>
            <w:r w:rsidRPr="00915CFF">
              <w:t>Writing Structure</w:t>
            </w:r>
          </w:p>
        </w:tc>
        <w:tc>
          <w:tcPr>
            <w:tcW w:w="0" w:type="auto"/>
            <w:hideMark/>
          </w:tcPr>
          <w:p w14:paraId="304F7D42"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Repetition in sections</w:t>
            </w:r>
          </w:p>
        </w:tc>
        <w:tc>
          <w:tcPr>
            <w:tcW w:w="0" w:type="auto"/>
            <w:hideMark/>
          </w:tcPr>
          <w:p w14:paraId="74850D69"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Use detailed outlines before writing</w:t>
            </w:r>
          </w:p>
        </w:tc>
        <w:tc>
          <w:tcPr>
            <w:tcW w:w="0" w:type="auto"/>
            <w:hideMark/>
          </w:tcPr>
          <w:p w14:paraId="2F607D71"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Ongoing</w:t>
            </w:r>
          </w:p>
        </w:tc>
        <w:tc>
          <w:tcPr>
            <w:tcW w:w="0" w:type="auto"/>
            <w:hideMark/>
          </w:tcPr>
          <w:p w14:paraId="23B91B1D" w14:textId="77777777" w:rsidR="00915CFF" w:rsidRPr="00915CFF" w:rsidRDefault="00000000" w:rsidP="00915CFF">
            <w:pPr>
              <w:spacing w:after="160"/>
              <w:cnfStyle w:val="000000000000" w:firstRow="0" w:lastRow="0" w:firstColumn="0" w:lastColumn="0" w:oddVBand="0" w:evenVBand="0" w:oddHBand="0" w:evenHBand="0" w:firstRowFirstColumn="0" w:firstRowLastColumn="0" w:lastRowFirstColumn="0" w:lastRowLastColumn="0"/>
            </w:pPr>
            <w:r w:rsidRPr="00915CFF">
              <w:t>Clear and concise writing</w:t>
            </w:r>
          </w:p>
        </w:tc>
      </w:tr>
    </w:tbl>
    <w:p w14:paraId="55904E20" w14:textId="0E185B15" w:rsidR="002E7075" w:rsidRDefault="002E7075" w:rsidP="00D1099A"/>
    <w:p w14:paraId="576AED33" w14:textId="77777777" w:rsidR="002E7075" w:rsidRDefault="002E7075">
      <w:pPr>
        <w:spacing w:line="259" w:lineRule="auto"/>
        <w:jc w:val="left"/>
      </w:pPr>
      <w:r>
        <w:br w:type="page"/>
      </w:r>
    </w:p>
    <w:p w14:paraId="6FDD0BBE" w14:textId="2B5C099D" w:rsidR="006202BC" w:rsidRDefault="002E7075" w:rsidP="002E7075">
      <w:pPr>
        <w:pStyle w:val="Heading1"/>
      </w:pPr>
      <w:bookmarkStart w:id="16" w:name="_Toc227273908"/>
      <w:r>
        <w:lastRenderedPageBreak/>
        <w:t>References</w:t>
      </w:r>
      <w:bookmarkEnd w:id="16"/>
    </w:p>
    <w:p w14:paraId="37A6219E" w14:textId="77777777" w:rsidR="005402D9" w:rsidRPr="005402D9" w:rsidRDefault="005402D9" w:rsidP="005402D9">
      <w:r w:rsidRPr="005402D9">
        <w:t>Aitken, A., Dolton, P. and Riley, R. (2023). </w:t>
      </w:r>
      <w:r w:rsidRPr="005402D9">
        <w:rPr>
          <w:i/>
          <w:iCs/>
        </w:rPr>
        <w:t>The Impact of the Introduction of the National Living Wage on Employment, Hours and Wages</w:t>
      </w:r>
      <w:r w:rsidRPr="005402D9">
        <w:t>. [online] Available at: https://assets.publishing.service.gov.uk/media/5c52d516e5274a492912eb62/The_impact_of_the_introduction_of_the_NLW_on_employment__hours_and_wages__NIESR.pdf [Accessed 16 Apr. 2026].</w:t>
      </w:r>
    </w:p>
    <w:p w14:paraId="7B64704E" w14:textId="77777777" w:rsidR="005402D9" w:rsidRPr="005402D9" w:rsidRDefault="005402D9" w:rsidP="005402D9">
      <w:r w:rsidRPr="005402D9">
        <w:t>Altun, R.K. (2023). </w:t>
      </w:r>
      <w:r w:rsidRPr="005402D9">
        <w:rPr>
          <w:i/>
          <w:iCs/>
        </w:rPr>
        <w:t>The Effect of Political Stability and Governance on Economic Development</w:t>
      </w:r>
      <w:r w:rsidRPr="005402D9">
        <w:t>. [online] papers.ssrn.com. Available at: https://papers.ssrn.com/sol3/papers.cfm?abstract_id=2948652 [Accessed 16 Apr. 2026].</w:t>
      </w:r>
    </w:p>
    <w:p w14:paraId="57354C3B" w14:textId="77777777" w:rsidR="005402D9" w:rsidRPr="005402D9" w:rsidRDefault="005402D9" w:rsidP="005402D9">
      <w:r w:rsidRPr="005402D9">
        <w:t>BiteSize Learning (2024). </w:t>
      </w:r>
      <w:r w:rsidRPr="005402D9">
        <w:rPr>
          <w:i/>
          <w:iCs/>
        </w:rPr>
        <w:t>The Gibbs Reflective Cycle, Explained</w:t>
      </w:r>
      <w:r w:rsidRPr="005402D9">
        <w:t>. [online] BiteSize Learning. Available at: https://www.bitesizelearning.co.uk/resources/gibbs-reflective-cycle-explained-diagram-examples [Accessed 16 Apr. 2026].</w:t>
      </w:r>
    </w:p>
    <w:p w14:paraId="32BA62DA" w14:textId="77777777" w:rsidR="005402D9" w:rsidRPr="005402D9" w:rsidRDefault="005402D9" w:rsidP="005402D9">
      <w:r w:rsidRPr="005402D9">
        <w:t>Bukowski, A. and Rudnicki, S. (2023). Not Only Individualism: The Effects of Long-Term Orientation and Other Cultural Variables on National Innovation Success. </w:t>
      </w:r>
      <w:r w:rsidRPr="005402D9">
        <w:rPr>
          <w:i/>
          <w:iCs/>
        </w:rPr>
        <w:t>Cross-Cultural Research</w:t>
      </w:r>
      <w:r w:rsidRPr="005402D9">
        <w:t>, 53(2), p.106939711878554. doi:https://doi.org/10.1177/1069397118785546.</w:t>
      </w:r>
    </w:p>
    <w:p w14:paraId="336F22DB" w14:textId="77777777" w:rsidR="005402D9" w:rsidRPr="005402D9" w:rsidRDefault="005402D9" w:rsidP="005402D9">
      <w:r w:rsidRPr="005402D9">
        <w:t>Calma, A. and Davies, M. (2020). Critical thinking in business education: current outlook and future prospects. </w:t>
      </w:r>
      <w:r w:rsidRPr="005402D9">
        <w:rPr>
          <w:i/>
          <w:iCs/>
        </w:rPr>
        <w:t>Studies in Higher Education</w:t>
      </w:r>
      <w:r w:rsidRPr="005402D9">
        <w:t>, 46(11), pp.2279–2295. doi:https://doi.org/10.1080/03075079.2020.1716324.</w:t>
      </w:r>
    </w:p>
    <w:p w14:paraId="49990758" w14:textId="77777777" w:rsidR="005402D9" w:rsidRPr="005402D9" w:rsidRDefault="005402D9" w:rsidP="005402D9">
      <w:r w:rsidRPr="005402D9">
        <w:t>Cambridge Industrial Innovation Policy (2022). </w:t>
      </w:r>
      <w:r w:rsidRPr="005402D9">
        <w:rPr>
          <w:i/>
          <w:iCs/>
        </w:rPr>
        <w:t>Food and Beverages Sector</w:t>
      </w:r>
      <w:r w:rsidRPr="005402D9">
        <w:t>. [online] Cambridge Industrial Innovation Policy. Available at: https://www.ciip.group.cam.ac.uk/innovation/food-and-beverages-sector/ [Accessed 15 Apr. 2026].</w:t>
      </w:r>
    </w:p>
    <w:p w14:paraId="0EBBA85E" w14:textId="77777777" w:rsidR="005402D9" w:rsidRPr="005402D9" w:rsidRDefault="005402D9" w:rsidP="005402D9">
      <w:r w:rsidRPr="005402D9">
        <w:t>Chen, Y., Hu, J. and Liu, J. (2025). Value Anchoring Through Third Place: Strategic Differentiation Pathways for Starbucks’ Competitive Breakthrough in the Coffee Industry. </w:t>
      </w:r>
      <w:r w:rsidRPr="005402D9">
        <w:rPr>
          <w:i/>
          <w:iCs/>
        </w:rPr>
        <w:t>Proceedings of the 2nd International Conference on E-commerce and Modern Logistics</w:t>
      </w:r>
      <w:r w:rsidRPr="005402D9">
        <w:t>, [online] 5(2), pp.465–470. doi:https://doi.org/10.5220/0013847300004719.</w:t>
      </w:r>
    </w:p>
    <w:p w14:paraId="5036D91E" w14:textId="77777777" w:rsidR="005402D9" w:rsidRPr="005402D9" w:rsidRDefault="005402D9" w:rsidP="005402D9">
      <w:r w:rsidRPr="005402D9">
        <w:t>Chitez, C.-F., Mustafa, S. and Sergio, R. (2026). The Factors Influencing Customer Loyalty in UK-Based Coffee Businesses. </w:t>
      </w:r>
      <w:r w:rsidRPr="005402D9">
        <w:rPr>
          <w:i/>
          <w:iCs/>
        </w:rPr>
        <w:t>Lecture Notes in Networks and Systems</w:t>
      </w:r>
      <w:r w:rsidRPr="005402D9">
        <w:t>, 6(2), pp.557–570. doi:https://doi.org/10.1007/978-3-032-00250-1_50.</w:t>
      </w:r>
    </w:p>
    <w:p w14:paraId="63342BDD" w14:textId="77777777" w:rsidR="005402D9" w:rsidRPr="005402D9" w:rsidRDefault="005402D9" w:rsidP="005402D9">
      <w:r w:rsidRPr="005402D9">
        <w:lastRenderedPageBreak/>
        <w:t>Christensen, J. and Wärnsby, A. (2023). Reflective Writing in Course Design for Active Learning in Social Work Education. </w:t>
      </w:r>
      <w:r w:rsidRPr="005402D9">
        <w:rPr>
          <w:i/>
          <w:iCs/>
        </w:rPr>
        <w:t>Journal of Social Work Education</w:t>
      </w:r>
      <w:r w:rsidRPr="005402D9">
        <w:t>, 59(3), pp.756–771. doi:https://doi.org/10.1080/10437797.2023.2213285.</w:t>
      </w:r>
    </w:p>
    <w:p w14:paraId="6383A090" w14:textId="77777777" w:rsidR="005402D9" w:rsidRPr="005402D9" w:rsidRDefault="005402D9" w:rsidP="005402D9">
      <w:r w:rsidRPr="005402D9">
        <w:t>Ciardulli, M. (2024). </w:t>
      </w:r>
      <w:r w:rsidRPr="005402D9">
        <w:rPr>
          <w:i/>
          <w:iCs/>
        </w:rPr>
        <w:t>The coffee market: competitive strategies and firm performances in a saturated market</w:t>
      </w:r>
      <w:r w:rsidRPr="005402D9">
        <w:t>. [online] webthesis.biblio.polito.it. Available at: https://webthesis.biblio.polito.it/21387/ [Accessed 16 Apr. 2026].</w:t>
      </w:r>
    </w:p>
    <w:p w14:paraId="4BB3A800" w14:textId="77777777" w:rsidR="005402D9" w:rsidRPr="005402D9" w:rsidRDefault="005402D9" w:rsidP="005402D9">
      <w:r w:rsidRPr="005402D9">
        <w:t>Cummins, S.C.J., McKay, L. and MacIntyre, S. (2024). McDonald’s restaurants and neighborhood deprivation in Scotland and England. </w:t>
      </w:r>
      <w:r w:rsidRPr="005402D9">
        <w:rPr>
          <w:i/>
          <w:iCs/>
        </w:rPr>
        <w:t>American journal of preventive medicine</w:t>
      </w:r>
      <w:r w:rsidRPr="005402D9">
        <w:t>, [online] 29(4), pp.308–10. doi:https://doi.org/10.1016/j.amepre.2005.06.011.</w:t>
      </w:r>
    </w:p>
    <w:p w14:paraId="4640F339" w14:textId="77777777" w:rsidR="005402D9" w:rsidRPr="005402D9" w:rsidRDefault="005402D9" w:rsidP="005402D9">
      <w:r w:rsidRPr="005402D9">
        <w:t>Cuofano, G. (2023). </w:t>
      </w:r>
      <w:r w:rsidRPr="005402D9">
        <w:rPr>
          <w:i/>
          <w:iCs/>
        </w:rPr>
        <w:t>Starbucks Revenue</w:t>
      </w:r>
      <w:r w:rsidRPr="005402D9">
        <w:t>. [online] FourWeekMBA. Available at: https://fourweekmba.com/starbucks-revenue/ [Accessed 16 Apr. 2026].</w:t>
      </w:r>
    </w:p>
    <w:p w14:paraId="44BFA8C6" w14:textId="77777777" w:rsidR="005402D9" w:rsidRPr="005402D9" w:rsidRDefault="005402D9" w:rsidP="005402D9">
      <w:r w:rsidRPr="005402D9">
        <w:t>DEFRA (2022). Government food strategy . </w:t>
      </w:r>
      <w:r w:rsidRPr="005402D9">
        <w:rPr>
          <w:i/>
          <w:iCs/>
        </w:rPr>
        <w:t>Department of Health</w:t>
      </w:r>
      <w:r w:rsidRPr="005402D9">
        <w:t>. [online] 13 Jun. Available at: https://www.gov.uk/government/publications/government-food-strategy/government-food-strategy [Accessed 16 Apr. 2026].</w:t>
      </w:r>
    </w:p>
    <w:p w14:paraId="07BA9052" w14:textId="77777777" w:rsidR="005402D9" w:rsidRPr="005402D9" w:rsidRDefault="005402D9" w:rsidP="005402D9">
      <w:r w:rsidRPr="005402D9">
        <w:t>Dominik, V. (2023). </w:t>
      </w:r>
      <w:r w:rsidRPr="005402D9">
        <w:rPr>
          <w:i/>
          <w:iCs/>
        </w:rPr>
        <w:t>Company analysis of Starbucks Corporation</w:t>
      </w:r>
      <w:r w:rsidRPr="005402D9">
        <w:t>. [online] Available at: https://finance.hr/wp-content/uploads/2018/12/Starbucks-Company-Analysis.pdf [Accessed 16 Apr. 2026].</w:t>
      </w:r>
    </w:p>
    <w:p w14:paraId="1B3F4BD8" w14:textId="77777777" w:rsidR="005402D9" w:rsidRPr="005402D9" w:rsidRDefault="005402D9" w:rsidP="005402D9">
      <w:r w:rsidRPr="005402D9">
        <w:t>Fainshmidt, S., Smith, A. and Judge, W.Q. (2022). National Competitiveness and Porter’s Diamond Model: The Role of MNE Penetration and Governance Quality. </w:t>
      </w:r>
      <w:r w:rsidRPr="005402D9">
        <w:rPr>
          <w:i/>
          <w:iCs/>
        </w:rPr>
        <w:t>Global Strategy Journal</w:t>
      </w:r>
      <w:r w:rsidRPr="005402D9">
        <w:t>, [online] 6(2), pp.81–104. doi:https://doi.org/10.1002/gsj.1116.</w:t>
      </w:r>
    </w:p>
    <w:p w14:paraId="664D5DD5" w14:textId="77777777" w:rsidR="005402D9" w:rsidRPr="005402D9" w:rsidRDefault="005402D9" w:rsidP="005402D9">
      <w:r w:rsidRPr="005402D9">
        <w:t>Food and Drink Federation (2025). </w:t>
      </w:r>
      <w:r w:rsidRPr="005402D9">
        <w:rPr>
          <w:i/>
          <w:iCs/>
        </w:rPr>
        <w:t>Food &amp; drink across the UK</w:t>
      </w:r>
      <w:r w:rsidRPr="005402D9">
        <w:t>. [online] The Food &amp; Drink Federation. Available at: https://www.fdf.org.uk/fdf/our-work/our-campaigns/powering-communities/food-drink-across-the-uk/ [Accessed 16 Apr. 2026].</w:t>
      </w:r>
    </w:p>
    <w:p w14:paraId="41158F58" w14:textId="77777777" w:rsidR="005402D9" w:rsidRDefault="005402D9" w:rsidP="005402D9">
      <w:r w:rsidRPr="005402D9">
        <w:t>GOV.UK (2025). </w:t>
      </w:r>
      <w:r w:rsidRPr="005402D9">
        <w:rPr>
          <w:i/>
          <w:iCs/>
        </w:rPr>
        <w:t>Food Statistics in Your Pocket</w:t>
      </w:r>
      <w:r w:rsidRPr="005402D9">
        <w:t>. [online] GOV.UK. Available at: https://www.gov.uk/government/statistics/food-statistics-pocketbook/food-statistics-in-your-pocket [Accessed 16 Apr. 2026].</w:t>
      </w:r>
    </w:p>
    <w:p w14:paraId="2A4FD102" w14:textId="757D2AC1" w:rsidR="00F41A0C" w:rsidRPr="005402D9" w:rsidRDefault="00F41A0C" w:rsidP="005402D9">
      <w:r w:rsidRPr="002E7075">
        <w:rPr>
          <w:lang w:val="en-GB"/>
        </w:rPr>
        <w:t xml:space="preserve">Griffin, R.W. and Pustay, M.W., </w:t>
      </w:r>
      <w:r>
        <w:rPr>
          <w:lang w:val="en-GB"/>
        </w:rPr>
        <w:t>(</w:t>
      </w:r>
      <w:r w:rsidRPr="002E7075">
        <w:rPr>
          <w:lang w:val="en-GB"/>
        </w:rPr>
        <w:t>2020</w:t>
      </w:r>
      <w:r>
        <w:rPr>
          <w:lang w:val="en-GB"/>
        </w:rPr>
        <w:t>)</w:t>
      </w:r>
      <w:r w:rsidRPr="002E7075">
        <w:rPr>
          <w:lang w:val="en-GB"/>
        </w:rPr>
        <w:t>. International business: A Managerial Perspective. Global Edition, 9</w:t>
      </w:r>
      <w:r w:rsidRPr="002E7075">
        <w:rPr>
          <w:vertAlign w:val="superscript"/>
          <w:lang w:val="en-GB"/>
        </w:rPr>
        <w:t>th</w:t>
      </w:r>
      <w:r w:rsidRPr="002E7075">
        <w:rPr>
          <w:lang w:val="en-GB"/>
        </w:rPr>
        <w:t xml:space="preserve"> Edition. Pearson.</w:t>
      </w:r>
    </w:p>
    <w:p w14:paraId="7328EA13" w14:textId="77777777" w:rsidR="005402D9" w:rsidRPr="005402D9" w:rsidRDefault="005402D9" w:rsidP="005402D9">
      <w:r w:rsidRPr="005402D9">
        <w:lastRenderedPageBreak/>
        <w:t>Hedgebeth, D. (2020). Data‐driven decision making for the enterprise: an overview of business intelligence applications. </w:t>
      </w:r>
      <w:r w:rsidRPr="005402D9">
        <w:rPr>
          <w:i/>
          <w:iCs/>
        </w:rPr>
        <w:t>VINE</w:t>
      </w:r>
      <w:r w:rsidRPr="005402D9">
        <w:t>, 37(4), pp.414–420. doi:https://doi.org/10.1108/03055720710838498.</w:t>
      </w:r>
    </w:p>
    <w:p w14:paraId="03A8C335" w14:textId="77777777" w:rsidR="005402D9" w:rsidRPr="005402D9" w:rsidRDefault="005402D9" w:rsidP="005402D9">
      <w:r w:rsidRPr="005402D9">
        <w:t>Inglehart, R. and Oyserman, D. (2023). </w:t>
      </w:r>
      <w:r w:rsidRPr="005402D9">
        <w:rPr>
          <w:i/>
          <w:iCs/>
        </w:rPr>
        <w:t>Individualism, autonomy, self-expression: The human development syndrome</w:t>
      </w:r>
      <w:r w:rsidRPr="005402D9">
        <w:t>. [online] </w:t>
      </w:r>
      <w:r w:rsidRPr="005402D9">
        <w:rPr>
          <w:i/>
          <w:iCs/>
        </w:rPr>
        <w:t>brill.com</w:t>
      </w:r>
      <w:r w:rsidRPr="005402D9">
        <w:t>. Brill. Available at: https://brill.com/display/book/9789047412977/B9789047412977_s008.xml.</w:t>
      </w:r>
    </w:p>
    <w:p w14:paraId="7C5575BB" w14:textId="77777777" w:rsidR="005402D9" w:rsidRPr="005402D9" w:rsidRDefault="005402D9" w:rsidP="005402D9">
      <w:r w:rsidRPr="005402D9">
        <w:t>Introspective Market Research (2024). </w:t>
      </w:r>
      <w:r w:rsidRPr="005402D9">
        <w:rPr>
          <w:i/>
          <w:iCs/>
        </w:rPr>
        <w:t>UK Food And Drink Market Analysis and Forecast (2024-2032)</w:t>
      </w:r>
      <w:r w:rsidRPr="005402D9">
        <w:t>. [online] Introspective Market Research. Available at: https://introspectivemarketresearch.com/reports/uk-food-and-drink-market/ [Accessed 16 Apr. 2026].</w:t>
      </w:r>
    </w:p>
    <w:p w14:paraId="759290F3" w14:textId="77777777" w:rsidR="005402D9" w:rsidRPr="005402D9" w:rsidRDefault="005402D9" w:rsidP="005402D9">
      <w:r w:rsidRPr="005402D9">
        <w:t>Krebs, J. (2025). Establishing a Single, Independent Food Standards Agency: The United Kingdom’s Experience. </w:t>
      </w:r>
      <w:r w:rsidRPr="005402D9">
        <w:rPr>
          <w:i/>
          <w:iCs/>
        </w:rPr>
        <w:t>Food and Drug Law Journal</w:t>
      </w:r>
      <w:r w:rsidRPr="005402D9">
        <w:t>, [online] 59(3), pp.387–397. Available at: https://www.jstor.org/stable/26660373 [Accessed 16 Apr. 2026].</w:t>
      </w:r>
    </w:p>
    <w:p w14:paraId="12CFAA99" w14:textId="77777777" w:rsidR="005402D9" w:rsidRPr="005402D9" w:rsidRDefault="005402D9" w:rsidP="005402D9">
      <w:r w:rsidRPr="005402D9">
        <w:t>Lathan, M. (2022). </w:t>
      </w:r>
      <w:r w:rsidRPr="005402D9">
        <w:rPr>
          <w:i/>
          <w:iCs/>
        </w:rPr>
        <w:t>Food and Beverages Sector</w:t>
      </w:r>
      <w:r w:rsidRPr="005402D9">
        <w:t>. [online] Cambridge Industrial Innovation Policy. Available at: https://www.ciip.group.cam.ac.uk/innovation/food-and-beverages-sector/ [Accessed 15 Apr. 2026].</w:t>
      </w:r>
    </w:p>
    <w:p w14:paraId="43D06DD9" w14:textId="77777777" w:rsidR="005402D9" w:rsidRPr="005402D9" w:rsidRDefault="005402D9" w:rsidP="005402D9">
      <w:r w:rsidRPr="005402D9">
        <w:t>Lee, S.M. and Peterson, S.J. (2022). Culture, entrepreneurial orientation, and global competitiveness. </w:t>
      </w:r>
      <w:r w:rsidRPr="005402D9">
        <w:rPr>
          <w:i/>
          <w:iCs/>
        </w:rPr>
        <w:t>Journal of World Business</w:t>
      </w:r>
      <w:r w:rsidRPr="005402D9">
        <w:t>, 35(4), pp.401–416. doi:https://doi.org/10.1016/s1090-9516(00)00045-6.</w:t>
      </w:r>
    </w:p>
    <w:p w14:paraId="2E12F580" w14:textId="77777777" w:rsidR="005402D9" w:rsidRPr="005402D9" w:rsidRDefault="005402D9" w:rsidP="005402D9">
      <w:r w:rsidRPr="005402D9">
        <w:t>Maha, D. (2024). The assessment methods that are used in a secondary mathematics class. </w:t>
      </w:r>
      <w:r w:rsidRPr="005402D9">
        <w:rPr>
          <w:i/>
          <w:iCs/>
        </w:rPr>
        <w:t>Digibug.ugr.es</w:t>
      </w:r>
      <w:r w:rsidRPr="005402D9">
        <w:t>, [online] 3(1). doi:https://doi.org/1989-9572.</w:t>
      </w:r>
    </w:p>
    <w:p w14:paraId="2860F6E9" w14:textId="77777777" w:rsidR="005402D9" w:rsidRPr="005402D9" w:rsidRDefault="005402D9" w:rsidP="005402D9">
      <w:r w:rsidRPr="005402D9">
        <w:t>Melia, D. (2023). Trends in the Food and Beverage Sector of the Hospitality Industry. </w:t>
      </w:r>
      <w:r w:rsidRPr="005402D9">
        <w:rPr>
          <w:i/>
          <w:iCs/>
        </w:rPr>
        <w:t>Conference papers</w:t>
      </w:r>
      <w:r w:rsidRPr="005402D9">
        <w:t>, [online] 4(3). doi:https://doi.org/10.21427/D7445Q.</w:t>
      </w:r>
    </w:p>
    <w:p w14:paraId="2AED0018" w14:textId="77777777" w:rsidR="005402D9" w:rsidRPr="005402D9" w:rsidRDefault="005402D9" w:rsidP="005402D9">
      <w:r w:rsidRPr="005402D9">
        <w:t>Nickerson, C. (2025). </w:t>
      </w:r>
      <w:r w:rsidRPr="005402D9">
        <w:rPr>
          <w:i/>
          <w:iCs/>
        </w:rPr>
        <w:t>Hofstede’s Cultural Dimensions Theory &amp; Examples</w:t>
      </w:r>
      <w:r w:rsidRPr="005402D9">
        <w:t>. [online] Simply Psychology. Available at: https://www.simplypsychology.org/hofstedes-cultural-dimensions-theory.html [Accessed 16 Apr. 2026].</w:t>
      </w:r>
    </w:p>
    <w:p w14:paraId="61295C14" w14:textId="77777777" w:rsidR="005402D9" w:rsidRPr="005402D9" w:rsidRDefault="005402D9" w:rsidP="005402D9">
      <w:r w:rsidRPr="005402D9">
        <w:lastRenderedPageBreak/>
        <w:t>ONS (2025). </w:t>
      </w:r>
      <w:r w:rsidRPr="005402D9">
        <w:rPr>
          <w:i/>
          <w:iCs/>
        </w:rPr>
        <w:t>Gross Domestic Product (GDP) - Office for National Statistics</w:t>
      </w:r>
      <w:r w:rsidRPr="005402D9">
        <w:t>. [online] Ons.gov.uk. Available at: https://www.ons.gov.uk/economy/grossdomesticproductgdp [Accessed 16 Apr. 2026].</w:t>
      </w:r>
    </w:p>
    <w:p w14:paraId="0ABE506C" w14:textId="77777777" w:rsidR="005402D9" w:rsidRPr="005402D9" w:rsidRDefault="005402D9" w:rsidP="005402D9">
      <w:r w:rsidRPr="005402D9">
        <w:t>Raimondo, E. (2022). </w:t>
      </w:r>
      <w:r w:rsidRPr="005402D9">
        <w:rPr>
          <w:i/>
          <w:iCs/>
        </w:rPr>
        <w:t>Coffee industry market strategies in developing countries</w:t>
      </w:r>
      <w:r w:rsidRPr="005402D9">
        <w:t>. [online] Webthesis. Available at: https://webthesis.biblio.polito.it/25630/ [Accessed 16 Apr. 2026].</w:t>
      </w:r>
    </w:p>
    <w:p w14:paraId="421FFAF4" w14:textId="77777777" w:rsidR="005402D9" w:rsidRPr="005402D9" w:rsidRDefault="005402D9" w:rsidP="005402D9">
      <w:r w:rsidRPr="005402D9">
        <w:t>Ryan, M. (2021). The pedagogical balancing act: teaching reflection in higher education. </w:t>
      </w:r>
      <w:r w:rsidRPr="005402D9">
        <w:rPr>
          <w:i/>
          <w:iCs/>
        </w:rPr>
        <w:t>Teaching in Higher Education</w:t>
      </w:r>
      <w:r w:rsidRPr="005402D9">
        <w:t>, [online] 18(2). doi:https://doi.org/10.1080/13562517.2012.694104.</w:t>
      </w:r>
    </w:p>
    <w:p w14:paraId="5FEB3390" w14:textId="77777777" w:rsidR="005402D9" w:rsidRPr="005402D9" w:rsidRDefault="005402D9" w:rsidP="005402D9">
      <w:r w:rsidRPr="005402D9">
        <w:t>Starbucks (2024). </w:t>
      </w:r>
      <w:r w:rsidRPr="005402D9">
        <w:rPr>
          <w:i/>
          <w:iCs/>
        </w:rPr>
        <w:t>Our Coffees | Starbucks</w:t>
      </w:r>
      <w:r w:rsidRPr="005402D9">
        <w:t>. [online] www.starbucks.co.uk. Available at: https://www.starbucks.co.uk/our-coffees [Accessed 16 Apr. 2026].</w:t>
      </w:r>
    </w:p>
    <w:p w14:paraId="5D25FBBE" w14:textId="77777777" w:rsidR="005402D9" w:rsidRPr="005402D9" w:rsidRDefault="005402D9" w:rsidP="005402D9">
      <w:r w:rsidRPr="005402D9">
        <w:t>Talib, F. (2024). </w:t>
      </w:r>
      <w:r w:rsidRPr="005402D9">
        <w:rPr>
          <w:i/>
          <w:iCs/>
        </w:rPr>
        <w:t>Strategic Analysis Of Starbucks Coffee Company</w:t>
      </w:r>
      <w:r w:rsidRPr="005402D9">
        <w:t>. [online] Available at: https://zaguan.unizar.es/record/101077/files/TAZ-TFG-2020-4193.pdf?version=1 [Accessed 16 Apr. 2026].</w:t>
      </w:r>
    </w:p>
    <w:p w14:paraId="15379F76" w14:textId="77777777" w:rsidR="005402D9" w:rsidRPr="005402D9" w:rsidRDefault="005402D9" w:rsidP="005402D9">
      <w:r w:rsidRPr="005402D9">
        <w:t>Wang, Y., Dargusch, P. and Hill, G. (2022). How do World-renowned Coffee Companies Manage Carbon Emissions? A Case Study of Starbucks. </w:t>
      </w:r>
      <w:r w:rsidRPr="005402D9">
        <w:rPr>
          <w:i/>
          <w:iCs/>
        </w:rPr>
        <w:t>Advances in Environmental and Engineering Research</w:t>
      </w:r>
      <w:r w:rsidRPr="005402D9">
        <w:t>, [online] 3(2), pp.1–1. doi:https://doi.org/10.21926/aeer.2202015.</w:t>
      </w:r>
    </w:p>
    <w:p w14:paraId="11ED39E0" w14:textId="77777777" w:rsidR="005402D9" w:rsidRPr="005402D9" w:rsidRDefault="005402D9" w:rsidP="005402D9">
      <w:r w:rsidRPr="005402D9">
        <w:t>Ward, M. (2025). </w:t>
      </w:r>
      <w:r w:rsidRPr="005402D9">
        <w:rPr>
          <w:i/>
          <w:iCs/>
        </w:rPr>
        <w:t>Economic update: Higher-than-expected GDP growth</w:t>
      </w:r>
      <w:r w:rsidRPr="005402D9">
        <w:t>. [online] House of Commons Library. Available at: https://commonslibrary.parliament.uk/economic-update-higher-than-expected-gdp-growth/ [Accessed 16 Apr. 2026].</w:t>
      </w:r>
    </w:p>
    <w:p w14:paraId="54D20F34" w14:textId="77777777" w:rsidR="005402D9" w:rsidRPr="005402D9" w:rsidRDefault="005402D9" w:rsidP="005402D9">
      <w:r w:rsidRPr="005402D9">
        <w:t>Wowslides (2020). </w:t>
      </w:r>
      <w:r w:rsidRPr="005402D9">
        <w:rPr>
          <w:i/>
          <w:iCs/>
        </w:rPr>
        <w:t>National Diamond model Template</w:t>
      </w:r>
      <w:r w:rsidRPr="005402D9">
        <w:t>. [online] Free PowerPoint Template. Available at: https://yourfreetemplates.com/national-diamond-model-template/ [Accessed 16 Apr. 2026].</w:t>
      </w:r>
    </w:p>
    <w:p w14:paraId="1990E4A1" w14:textId="706A2E0F" w:rsidR="005402D9" w:rsidRPr="00F41A0C" w:rsidRDefault="005402D9" w:rsidP="005402D9">
      <w:r w:rsidRPr="005402D9">
        <w:t>Yeh, H.-C., Yang, S., Fu, J.S. and Shih, Y.-C. (2022). Developing College Students’ Critical Thinking through Reflective Writing. </w:t>
      </w:r>
      <w:r w:rsidRPr="005402D9">
        <w:rPr>
          <w:i/>
          <w:iCs/>
        </w:rPr>
        <w:t>Higher Education Research &amp; Development</w:t>
      </w:r>
      <w:r w:rsidRPr="005402D9">
        <w:t>, [online] 42(1), pp.1–16. doi:https://doi.org/10.1080/07294360.2022.2043247.</w:t>
      </w:r>
    </w:p>
    <w:sectPr w:rsidR="005402D9" w:rsidRPr="00F41A0C">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82264" w14:textId="77777777" w:rsidR="006438FB" w:rsidRDefault="006438FB" w:rsidP="00696F7B">
      <w:pPr>
        <w:spacing w:after="0" w:line="240" w:lineRule="auto"/>
      </w:pPr>
      <w:r>
        <w:separator/>
      </w:r>
    </w:p>
  </w:endnote>
  <w:endnote w:type="continuationSeparator" w:id="0">
    <w:p w14:paraId="39CEBBA1" w14:textId="77777777" w:rsidR="006438FB" w:rsidRDefault="006438FB" w:rsidP="00696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5374912"/>
      <w:docPartObj>
        <w:docPartGallery w:val="Page Numbers (Bottom of Page)"/>
        <w:docPartUnique/>
      </w:docPartObj>
    </w:sdtPr>
    <w:sdtContent>
      <w:p w14:paraId="08EFF531" w14:textId="3719E07C" w:rsidR="00696F7B" w:rsidRDefault="00696F7B">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521289F6" wp14:editId="6D420290">
                  <wp:simplePos x="0" y="0"/>
                  <wp:positionH relativeFrom="rightMargin">
                    <wp:align>center</wp:align>
                  </wp:positionH>
                  <wp:positionV relativeFrom="bottomMargin">
                    <wp:align>center</wp:align>
                  </wp:positionV>
                  <wp:extent cx="512445" cy="441325"/>
                  <wp:effectExtent l="0" t="0" r="1905" b="0"/>
                  <wp:wrapNone/>
                  <wp:docPr id="1569069722" name="Flowchart: Alternate Process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2C437BE8" w14:textId="77777777" w:rsidR="00696F7B" w:rsidRDefault="00696F7B">
                              <w:pPr>
                                <w:pStyle w:val="Footer"/>
                                <w:pBdr>
                                  <w:top w:val="single" w:sz="12" w:space="1" w:color="A5A5A5" w:themeColor="accent3"/>
                                  <w:bottom w:val="single" w:sz="48" w:space="1" w:color="A5A5A5" w:themeColor="accent3"/>
                                </w:pBdr>
                                <w:jc w:val="center"/>
                                <w:rPr>
                                  <w:sz w:val="28"/>
                                  <w:szCs w:val="28"/>
                                </w:rPr>
                              </w:pPr>
                              <w:r>
                                <w:rPr>
                                  <w:sz w:val="22"/>
                                </w:rPr>
                                <w:fldChar w:fldCharType="begin"/>
                              </w:r>
                              <w:r>
                                <w:instrText xml:space="preserve"> PAGE    \* MERGEFORMAT </w:instrText>
                              </w:r>
                              <w:r>
                                <w:rPr>
                                  <w:sz w:val="22"/>
                                </w:rPr>
                                <w:fldChar w:fldCharType="separate"/>
                              </w:r>
                              <w:r>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1289F6"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8" o:spid="_x0000_s1026" type="#_x0000_t176" style="position:absolute;left:0;text-align:left;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2C437BE8" w14:textId="77777777" w:rsidR="00696F7B" w:rsidRDefault="00696F7B">
                        <w:pPr>
                          <w:pStyle w:val="Footer"/>
                          <w:pBdr>
                            <w:top w:val="single" w:sz="12" w:space="1" w:color="A5A5A5" w:themeColor="accent3"/>
                            <w:bottom w:val="single" w:sz="48" w:space="1" w:color="A5A5A5" w:themeColor="accent3"/>
                          </w:pBdr>
                          <w:jc w:val="center"/>
                          <w:rPr>
                            <w:sz w:val="28"/>
                            <w:szCs w:val="28"/>
                          </w:rPr>
                        </w:pPr>
                        <w:r>
                          <w:rPr>
                            <w:sz w:val="22"/>
                          </w:rPr>
                          <w:fldChar w:fldCharType="begin"/>
                        </w:r>
                        <w:r>
                          <w:instrText xml:space="preserve"> PAGE    \* MERGEFORMAT </w:instrText>
                        </w:r>
                        <w:r>
                          <w:rPr>
                            <w:sz w:val="22"/>
                          </w:rPr>
                          <w:fldChar w:fldCharType="separate"/>
                        </w:r>
                        <w:r>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3E83C" w14:textId="77777777" w:rsidR="006438FB" w:rsidRDefault="006438FB" w:rsidP="00696F7B">
      <w:pPr>
        <w:spacing w:after="0" w:line="240" w:lineRule="auto"/>
      </w:pPr>
      <w:r>
        <w:separator/>
      </w:r>
    </w:p>
  </w:footnote>
  <w:footnote w:type="continuationSeparator" w:id="0">
    <w:p w14:paraId="5A60217F" w14:textId="77777777" w:rsidR="006438FB" w:rsidRDefault="006438FB" w:rsidP="00696F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929BB"/>
    <w:multiLevelType w:val="hybridMultilevel"/>
    <w:tmpl w:val="65F4ADAA"/>
    <w:lvl w:ilvl="0" w:tplc="F728710C">
      <w:start w:val="1"/>
      <w:numFmt w:val="bullet"/>
      <w:lvlText w:val=""/>
      <w:lvlJc w:val="left"/>
      <w:pPr>
        <w:tabs>
          <w:tab w:val="num" w:pos="720"/>
        </w:tabs>
        <w:ind w:left="720" w:hanging="360"/>
      </w:pPr>
      <w:rPr>
        <w:rFonts w:ascii="Wingdings" w:hAnsi="Wingdings" w:hint="default"/>
      </w:rPr>
    </w:lvl>
    <w:lvl w:ilvl="1" w:tplc="3D788808">
      <w:start w:val="1"/>
      <w:numFmt w:val="bullet"/>
      <w:lvlText w:val=""/>
      <w:lvlJc w:val="left"/>
      <w:pPr>
        <w:tabs>
          <w:tab w:val="num" w:pos="1440"/>
        </w:tabs>
        <w:ind w:left="1440" w:hanging="360"/>
      </w:pPr>
      <w:rPr>
        <w:rFonts w:ascii="Wingdings" w:hAnsi="Wingdings" w:hint="default"/>
      </w:rPr>
    </w:lvl>
    <w:lvl w:ilvl="2" w:tplc="2D927FD8" w:tentative="1">
      <w:start w:val="1"/>
      <w:numFmt w:val="bullet"/>
      <w:lvlText w:val=""/>
      <w:lvlJc w:val="left"/>
      <w:pPr>
        <w:tabs>
          <w:tab w:val="num" w:pos="2160"/>
        </w:tabs>
        <w:ind w:left="2160" w:hanging="360"/>
      </w:pPr>
      <w:rPr>
        <w:rFonts w:ascii="Wingdings" w:hAnsi="Wingdings" w:hint="default"/>
      </w:rPr>
    </w:lvl>
    <w:lvl w:ilvl="3" w:tplc="24482AA4" w:tentative="1">
      <w:start w:val="1"/>
      <w:numFmt w:val="bullet"/>
      <w:lvlText w:val=""/>
      <w:lvlJc w:val="left"/>
      <w:pPr>
        <w:tabs>
          <w:tab w:val="num" w:pos="2880"/>
        </w:tabs>
        <w:ind w:left="2880" w:hanging="360"/>
      </w:pPr>
      <w:rPr>
        <w:rFonts w:ascii="Wingdings" w:hAnsi="Wingdings" w:hint="default"/>
      </w:rPr>
    </w:lvl>
    <w:lvl w:ilvl="4" w:tplc="292C074E" w:tentative="1">
      <w:start w:val="1"/>
      <w:numFmt w:val="bullet"/>
      <w:lvlText w:val=""/>
      <w:lvlJc w:val="left"/>
      <w:pPr>
        <w:tabs>
          <w:tab w:val="num" w:pos="3600"/>
        </w:tabs>
        <w:ind w:left="3600" w:hanging="360"/>
      </w:pPr>
      <w:rPr>
        <w:rFonts w:ascii="Wingdings" w:hAnsi="Wingdings" w:hint="default"/>
      </w:rPr>
    </w:lvl>
    <w:lvl w:ilvl="5" w:tplc="8B3600C6" w:tentative="1">
      <w:start w:val="1"/>
      <w:numFmt w:val="bullet"/>
      <w:lvlText w:val=""/>
      <w:lvlJc w:val="left"/>
      <w:pPr>
        <w:tabs>
          <w:tab w:val="num" w:pos="4320"/>
        </w:tabs>
        <w:ind w:left="4320" w:hanging="360"/>
      </w:pPr>
      <w:rPr>
        <w:rFonts w:ascii="Wingdings" w:hAnsi="Wingdings" w:hint="default"/>
      </w:rPr>
    </w:lvl>
    <w:lvl w:ilvl="6" w:tplc="FF6EB676" w:tentative="1">
      <w:start w:val="1"/>
      <w:numFmt w:val="bullet"/>
      <w:lvlText w:val=""/>
      <w:lvlJc w:val="left"/>
      <w:pPr>
        <w:tabs>
          <w:tab w:val="num" w:pos="5040"/>
        </w:tabs>
        <w:ind w:left="5040" w:hanging="360"/>
      </w:pPr>
      <w:rPr>
        <w:rFonts w:ascii="Wingdings" w:hAnsi="Wingdings" w:hint="default"/>
      </w:rPr>
    </w:lvl>
    <w:lvl w:ilvl="7" w:tplc="62F83F4E" w:tentative="1">
      <w:start w:val="1"/>
      <w:numFmt w:val="bullet"/>
      <w:lvlText w:val=""/>
      <w:lvlJc w:val="left"/>
      <w:pPr>
        <w:tabs>
          <w:tab w:val="num" w:pos="5760"/>
        </w:tabs>
        <w:ind w:left="5760" w:hanging="360"/>
      </w:pPr>
      <w:rPr>
        <w:rFonts w:ascii="Wingdings" w:hAnsi="Wingdings" w:hint="default"/>
      </w:rPr>
    </w:lvl>
    <w:lvl w:ilvl="8" w:tplc="F1EA546E" w:tentative="1">
      <w:start w:val="1"/>
      <w:numFmt w:val="bullet"/>
      <w:lvlText w:val=""/>
      <w:lvlJc w:val="left"/>
      <w:pPr>
        <w:tabs>
          <w:tab w:val="num" w:pos="6480"/>
        </w:tabs>
        <w:ind w:left="6480" w:hanging="360"/>
      </w:pPr>
      <w:rPr>
        <w:rFonts w:ascii="Wingdings" w:hAnsi="Wingdings" w:hint="default"/>
      </w:rPr>
    </w:lvl>
  </w:abstractNum>
  <w:num w:numId="1" w16cid:durableId="836073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C4"/>
    <w:rsid w:val="0001558C"/>
    <w:rsid w:val="00060218"/>
    <w:rsid w:val="000C511A"/>
    <w:rsid w:val="00107931"/>
    <w:rsid w:val="001B74D1"/>
    <w:rsid w:val="001E1ABF"/>
    <w:rsid w:val="002554EA"/>
    <w:rsid w:val="00271FBA"/>
    <w:rsid w:val="002A336D"/>
    <w:rsid w:val="002E1A27"/>
    <w:rsid w:val="002E7075"/>
    <w:rsid w:val="00322F4F"/>
    <w:rsid w:val="003277A0"/>
    <w:rsid w:val="003435CC"/>
    <w:rsid w:val="003A739A"/>
    <w:rsid w:val="004C5102"/>
    <w:rsid w:val="00500393"/>
    <w:rsid w:val="00506243"/>
    <w:rsid w:val="005402D9"/>
    <w:rsid w:val="00566C76"/>
    <w:rsid w:val="005A7458"/>
    <w:rsid w:val="005B42A0"/>
    <w:rsid w:val="005B56C3"/>
    <w:rsid w:val="005F5FD8"/>
    <w:rsid w:val="00607BC4"/>
    <w:rsid w:val="006202BC"/>
    <w:rsid w:val="00634310"/>
    <w:rsid w:val="006438FB"/>
    <w:rsid w:val="00696F7B"/>
    <w:rsid w:val="006F58AD"/>
    <w:rsid w:val="00723AF6"/>
    <w:rsid w:val="00733E69"/>
    <w:rsid w:val="007602BC"/>
    <w:rsid w:val="007607F3"/>
    <w:rsid w:val="007A2C58"/>
    <w:rsid w:val="00860471"/>
    <w:rsid w:val="00882CEE"/>
    <w:rsid w:val="00894A53"/>
    <w:rsid w:val="008B6906"/>
    <w:rsid w:val="00915CFF"/>
    <w:rsid w:val="0097483B"/>
    <w:rsid w:val="00A57588"/>
    <w:rsid w:val="00A7792E"/>
    <w:rsid w:val="00A93AC8"/>
    <w:rsid w:val="00AA5A1E"/>
    <w:rsid w:val="00AD67FC"/>
    <w:rsid w:val="00B123A0"/>
    <w:rsid w:val="00B15756"/>
    <w:rsid w:val="00B23A62"/>
    <w:rsid w:val="00B32E7C"/>
    <w:rsid w:val="00BA23B3"/>
    <w:rsid w:val="00BB4962"/>
    <w:rsid w:val="00CA32DD"/>
    <w:rsid w:val="00CA7798"/>
    <w:rsid w:val="00CB37EA"/>
    <w:rsid w:val="00CC52C6"/>
    <w:rsid w:val="00CF403C"/>
    <w:rsid w:val="00D1099A"/>
    <w:rsid w:val="00D37D41"/>
    <w:rsid w:val="00D908EA"/>
    <w:rsid w:val="00DE2C78"/>
    <w:rsid w:val="00E055F5"/>
    <w:rsid w:val="00E125BF"/>
    <w:rsid w:val="00E67DE5"/>
    <w:rsid w:val="00F31548"/>
    <w:rsid w:val="00F41A0C"/>
    <w:rsid w:val="00F6104D"/>
    <w:rsid w:val="00FD5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C2A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5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607BC4"/>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07BC4"/>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607BC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7BC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7BC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7BC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607BC4"/>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607BC4"/>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607BC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07BC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07BC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07BC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07B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B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BC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B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BC4"/>
    <w:pPr>
      <w:spacing w:before="160"/>
      <w:jc w:val="center"/>
    </w:pPr>
    <w:rPr>
      <w:i/>
      <w:iCs/>
      <w:color w:val="404040" w:themeColor="text1" w:themeTint="BF"/>
    </w:rPr>
  </w:style>
  <w:style w:type="character" w:customStyle="1" w:styleId="QuoteChar">
    <w:name w:val="Quote Char"/>
    <w:basedOn w:val="DefaultParagraphFont"/>
    <w:link w:val="Quote"/>
    <w:uiPriority w:val="29"/>
    <w:rsid w:val="00607BC4"/>
    <w:rPr>
      <w:rFonts w:ascii="Times New Roman" w:hAnsi="Times New Roman"/>
      <w:i/>
      <w:iCs/>
      <w:color w:val="404040" w:themeColor="text1" w:themeTint="BF"/>
      <w:sz w:val="24"/>
    </w:rPr>
  </w:style>
  <w:style w:type="paragraph" w:styleId="ListParagraph">
    <w:name w:val="List Paragraph"/>
    <w:basedOn w:val="Normal"/>
    <w:uiPriority w:val="34"/>
    <w:qFormat/>
    <w:rsid w:val="00607BC4"/>
    <w:pPr>
      <w:ind w:left="720"/>
      <w:contextualSpacing/>
    </w:pPr>
  </w:style>
  <w:style w:type="character" w:styleId="IntenseEmphasis">
    <w:name w:val="Intense Emphasis"/>
    <w:basedOn w:val="DefaultParagraphFont"/>
    <w:uiPriority w:val="21"/>
    <w:qFormat/>
    <w:rsid w:val="00607BC4"/>
    <w:rPr>
      <w:i/>
      <w:iCs/>
      <w:color w:val="2E74B5" w:themeColor="accent1" w:themeShade="BF"/>
    </w:rPr>
  </w:style>
  <w:style w:type="paragraph" w:styleId="IntenseQuote">
    <w:name w:val="Intense Quote"/>
    <w:basedOn w:val="Normal"/>
    <w:next w:val="Normal"/>
    <w:link w:val="IntenseQuoteChar"/>
    <w:uiPriority w:val="30"/>
    <w:qFormat/>
    <w:rsid w:val="00607BC4"/>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07BC4"/>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607BC4"/>
    <w:rPr>
      <w:b/>
      <w:bCs/>
      <w:smallCaps/>
      <w:color w:val="2E74B5" w:themeColor="accent1" w:themeShade="BF"/>
      <w:spacing w:val="5"/>
    </w:rPr>
  </w:style>
  <w:style w:type="table" w:styleId="TableGrid">
    <w:name w:val="Table Grid"/>
    <w:basedOn w:val="TableNormal"/>
    <w:uiPriority w:val="39"/>
    <w:rsid w:val="00915C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71F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Header">
    <w:name w:val="header"/>
    <w:basedOn w:val="Normal"/>
    <w:link w:val="HeaderChar"/>
    <w:uiPriority w:val="99"/>
    <w:unhideWhenUsed/>
    <w:rsid w:val="00696F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6F7B"/>
    <w:rPr>
      <w:rFonts w:ascii="Times New Roman" w:hAnsi="Times New Roman"/>
      <w:sz w:val="24"/>
    </w:rPr>
  </w:style>
  <w:style w:type="paragraph" w:styleId="Footer">
    <w:name w:val="footer"/>
    <w:basedOn w:val="Normal"/>
    <w:link w:val="FooterChar"/>
    <w:uiPriority w:val="99"/>
    <w:unhideWhenUsed/>
    <w:rsid w:val="00696F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6F7B"/>
    <w:rPr>
      <w:rFonts w:ascii="Times New Roman" w:hAnsi="Times New Roman"/>
      <w:sz w:val="24"/>
    </w:rPr>
  </w:style>
  <w:style w:type="paragraph" w:styleId="TOC1">
    <w:name w:val="toc 1"/>
    <w:basedOn w:val="Normal"/>
    <w:next w:val="Normal"/>
    <w:autoRedefine/>
    <w:uiPriority w:val="39"/>
    <w:unhideWhenUsed/>
    <w:rsid w:val="00696F7B"/>
    <w:pPr>
      <w:spacing w:after="100"/>
    </w:pPr>
  </w:style>
  <w:style w:type="paragraph" w:styleId="TOC2">
    <w:name w:val="toc 2"/>
    <w:basedOn w:val="Normal"/>
    <w:next w:val="Normal"/>
    <w:autoRedefine/>
    <w:uiPriority w:val="39"/>
    <w:unhideWhenUsed/>
    <w:rsid w:val="00696F7B"/>
    <w:pPr>
      <w:spacing w:after="100"/>
      <w:ind w:left="240"/>
    </w:pPr>
  </w:style>
  <w:style w:type="character" w:styleId="Hyperlink">
    <w:name w:val="Hyperlink"/>
    <w:basedOn w:val="DefaultParagraphFont"/>
    <w:uiPriority w:val="99"/>
    <w:unhideWhenUsed/>
    <w:rsid w:val="00696F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EC940-CB71-452C-8D9C-1A263BD26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6699</Words>
  <Characters>38190</Characters>
  <Application>Microsoft Office Word</Application>
  <DocSecurity>0</DocSecurity>
  <Lines>318</Lines>
  <Paragraphs>89</Paragraphs>
  <ScaleCrop>false</ScaleCrop>
  <Company/>
  <LinksUpToDate>false</LinksUpToDate>
  <CharactersWithSpaces>44800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2026-04-16T17:15:00Z</dcterms:created>
  <dcterms:modified xsi:type="dcterms:W3CDTF">2026-04-16T17:20:00Z</dcterms:modified>
</cp:coreProperties>
</file>