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73419" w14:textId="47D48CA5" w:rsidR="00EC47EF" w:rsidRPr="00936677" w:rsidRDefault="0041606D" w:rsidP="001217F7">
      <w:pPr>
        <w:spacing w:line="360" w:lineRule="auto"/>
        <w:jc w:val="both"/>
        <w:rPr>
          <w:rFonts w:ascii="Arial" w:hAnsi="Arial" w:cs="Arial"/>
          <w:sz w:val="24"/>
          <w:szCs w:val="24"/>
        </w:rPr>
      </w:pPr>
      <w:r w:rsidRPr="0047440F">
        <w:rPr>
          <w:noProof/>
        </w:rPr>
        <w:drawing>
          <wp:inline distT="0" distB="0" distL="0" distR="0" wp14:anchorId="402478B3" wp14:editId="523744F1">
            <wp:extent cx="2802194" cy="1599565"/>
            <wp:effectExtent l="0" t="0" r="0" b="635"/>
            <wp:docPr id="6" name="Imagine 5" descr="A close-up of a sign&#10;&#10;Description automatically generated">
              <a:extLst xmlns:a="http://schemas.openxmlformats.org/drawingml/2006/main">
                <a:ext uri="{FF2B5EF4-FFF2-40B4-BE49-F238E27FC236}">
                  <a16:creationId xmlns:a16="http://schemas.microsoft.com/office/drawing/2014/main" id="{3767D012-4979-B4ED-0A85-1D51F6BDF3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ine 5" descr="A close-up of a sign&#10;&#10;Description automatically generated">
                      <a:extLst>
                        <a:ext uri="{FF2B5EF4-FFF2-40B4-BE49-F238E27FC236}">
                          <a16:creationId xmlns:a16="http://schemas.microsoft.com/office/drawing/2014/main" id="{3767D012-4979-B4ED-0A85-1D51F6BDF323}"/>
                        </a:ext>
                      </a:extLst>
                    </pic:cNvPr>
                    <pic:cNvPicPr>
                      <a:picLocks noChangeAspect="1"/>
                    </pic:cNvPicPr>
                  </pic:nvPicPr>
                  <pic:blipFill>
                    <a:blip r:embed="rId8"/>
                    <a:stretch>
                      <a:fillRect/>
                    </a:stretch>
                  </pic:blipFill>
                  <pic:spPr>
                    <a:xfrm>
                      <a:off x="0" y="0"/>
                      <a:ext cx="2825350" cy="1612783"/>
                    </a:xfrm>
                    <a:prstGeom prst="rect">
                      <a:avLst/>
                    </a:prstGeom>
                  </pic:spPr>
                </pic:pic>
              </a:graphicData>
            </a:graphic>
          </wp:inline>
        </w:drawing>
      </w:r>
    </w:p>
    <w:p w14:paraId="223B8157" w14:textId="77777777" w:rsidR="001217F7" w:rsidRPr="00936677" w:rsidRDefault="001217F7" w:rsidP="001217F7">
      <w:pPr>
        <w:spacing w:line="360" w:lineRule="auto"/>
        <w:jc w:val="both"/>
        <w:rPr>
          <w:rFonts w:ascii="Arial" w:hAnsi="Arial" w:cs="Arial"/>
          <w:sz w:val="24"/>
          <w:szCs w:val="24"/>
        </w:rPr>
      </w:pPr>
    </w:p>
    <w:p w14:paraId="5383E844" w14:textId="77777777" w:rsidR="001217F7" w:rsidRPr="00936677" w:rsidRDefault="001217F7" w:rsidP="001217F7">
      <w:pPr>
        <w:spacing w:line="360" w:lineRule="auto"/>
        <w:jc w:val="both"/>
        <w:rPr>
          <w:rFonts w:ascii="Arial" w:hAnsi="Arial" w:cs="Arial"/>
          <w:sz w:val="24"/>
          <w:szCs w:val="24"/>
        </w:rPr>
      </w:pPr>
    </w:p>
    <w:p w14:paraId="6B9327A1" w14:textId="77777777" w:rsidR="001217F7" w:rsidRPr="00936677" w:rsidRDefault="001217F7" w:rsidP="001217F7">
      <w:pPr>
        <w:spacing w:line="360" w:lineRule="auto"/>
        <w:jc w:val="both"/>
        <w:rPr>
          <w:rFonts w:ascii="Arial" w:hAnsi="Arial" w:cs="Arial"/>
          <w:sz w:val="24"/>
          <w:szCs w:val="24"/>
        </w:rPr>
      </w:pPr>
    </w:p>
    <w:p w14:paraId="4A33EE9F" w14:textId="5DFEEF1F" w:rsidR="001217F7" w:rsidRPr="00B2413A" w:rsidRDefault="00DE6B98" w:rsidP="00B2413A">
      <w:pPr>
        <w:spacing w:line="360" w:lineRule="auto"/>
        <w:jc w:val="center"/>
        <w:rPr>
          <w:rFonts w:ascii="Arial" w:hAnsi="Arial" w:cs="Arial"/>
          <w:b/>
          <w:bCs/>
          <w:color w:val="156082" w:themeColor="accent1"/>
          <w:sz w:val="36"/>
          <w:szCs w:val="36"/>
        </w:rPr>
      </w:pPr>
      <w:r w:rsidRPr="00B2413A">
        <w:rPr>
          <w:rFonts w:ascii="Arial" w:hAnsi="Arial" w:cs="Arial"/>
          <w:b/>
          <w:bCs/>
          <w:color w:val="156082" w:themeColor="accent1"/>
          <w:sz w:val="36"/>
          <w:szCs w:val="36"/>
        </w:rPr>
        <w:t>LCBB</w:t>
      </w:r>
      <w:r w:rsidR="00E77CD0" w:rsidRPr="00B2413A">
        <w:rPr>
          <w:rFonts w:ascii="Arial" w:hAnsi="Arial" w:cs="Arial"/>
          <w:b/>
          <w:bCs/>
          <w:color w:val="156082" w:themeColor="accent1"/>
          <w:sz w:val="36"/>
          <w:szCs w:val="36"/>
        </w:rPr>
        <w:t xml:space="preserve">5012 A2 </w:t>
      </w:r>
      <w:r w:rsidR="00B2413A" w:rsidRPr="00B2413A">
        <w:rPr>
          <w:rFonts w:ascii="Arial" w:hAnsi="Arial" w:cs="Arial"/>
          <w:b/>
          <w:bCs/>
          <w:color w:val="156082" w:themeColor="accent1"/>
          <w:sz w:val="36"/>
          <w:szCs w:val="36"/>
        </w:rPr>
        <w:t>–</w:t>
      </w:r>
      <w:r w:rsidR="00E77CD0" w:rsidRPr="00B2413A">
        <w:rPr>
          <w:rFonts w:ascii="Arial" w:hAnsi="Arial" w:cs="Arial"/>
          <w:b/>
          <w:bCs/>
          <w:color w:val="156082" w:themeColor="accent1"/>
          <w:sz w:val="36"/>
          <w:szCs w:val="36"/>
        </w:rPr>
        <w:t xml:space="preserve"> </w:t>
      </w:r>
      <w:r w:rsidR="00B2413A" w:rsidRPr="00B2413A">
        <w:rPr>
          <w:rFonts w:ascii="Arial" w:hAnsi="Arial" w:cs="Arial"/>
          <w:b/>
          <w:bCs/>
          <w:color w:val="156082" w:themeColor="accent1"/>
          <w:sz w:val="36"/>
          <w:szCs w:val="36"/>
        </w:rPr>
        <w:t>PRINCIPLES OF HUMAN RESOURCE MANAGEMENT</w:t>
      </w:r>
    </w:p>
    <w:p w14:paraId="3DCCC266" w14:textId="06004500" w:rsidR="00877FAA" w:rsidRPr="001217F7" w:rsidRDefault="00FE7360" w:rsidP="00DE6B98">
      <w:pPr>
        <w:spacing w:line="360" w:lineRule="auto"/>
        <w:jc w:val="center"/>
        <w:rPr>
          <w:rFonts w:ascii="Arial" w:hAnsi="Arial" w:cs="Arial"/>
          <w:b/>
          <w:bCs/>
          <w:sz w:val="36"/>
          <w:szCs w:val="36"/>
          <w:lang w:val="ro-RO"/>
        </w:rPr>
      </w:pPr>
      <w:r w:rsidRPr="00FE7360">
        <w:rPr>
          <w:rFonts w:ascii="Arial" w:hAnsi="Arial" w:cs="Arial"/>
          <w:b/>
          <w:bCs/>
          <w:sz w:val="36"/>
          <w:szCs w:val="36"/>
          <w:lang w:val="ro-RO"/>
        </w:rPr>
        <w:t xml:space="preserve">HOW ENVIRONMENTAL FACTORS INFLUENCE THE EFFECTIVENESS OF HUMAN RESOURCE </w:t>
      </w:r>
      <w:r w:rsidR="00DE6B98">
        <w:rPr>
          <w:rFonts w:ascii="Arial" w:hAnsi="Arial" w:cs="Arial"/>
          <w:b/>
          <w:bCs/>
          <w:sz w:val="36"/>
          <w:szCs w:val="36"/>
          <w:lang w:val="ro-RO"/>
        </w:rPr>
        <w:t>M</w:t>
      </w:r>
      <w:r w:rsidRPr="00FE7360">
        <w:rPr>
          <w:rFonts w:ascii="Arial" w:hAnsi="Arial" w:cs="Arial"/>
          <w:b/>
          <w:bCs/>
          <w:sz w:val="36"/>
          <w:szCs w:val="36"/>
          <w:lang w:val="ro-RO"/>
        </w:rPr>
        <w:t>ANAGERS IN GLOBAL ORGANISATIONS</w:t>
      </w:r>
    </w:p>
    <w:p w14:paraId="139548A6" w14:textId="77777777" w:rsidR="001217F7" w:rsidRDefault="001217F7" w:rsidP="001217F7">
      <w:pPr>
        <w:spacing w:line="360" w:lineRule="auto"/>
        <w:jc w:val="both"/>
        <w:rPr>
          <w:rFonts w:ascii="Arial" w:hAnsi="Arial" w:cs="Arial"/>
          <w:sz w:val="24"/>
          <w:szCs w:val="24"/>
        </w:rPr>
      </w:pPr>
    </w:p>
    <w:p w14:paraId="38102FFD" w14:textId="77777777" w:rsidR="00DE6B98" w:rsidRDefault="00DE6B98" w:rsidP="001217F7">
      <w:pPr>
        <w:spacing w:line="360" w:lineRule="auto"/>
        <w:jc w:val="both"/>
        <w:rPr>
          <w:rFonts w:ascii="Arial" w:hAnsi="Arial" w:cs="Arial"/>
          <w:sz w:val="24"/>
          <w:szCs w:val="24"/>
        </w:rPr>
      </w:pPr>
    </w:p>
    <w:p w14:paraId="0E561107" w14:textId="77777777" w:rsidR="00DE6B98" w:rsidRDefault="00DE6B98" w:rsidP="001217F7">
      <w:pPr>
        <w:spacing w:line="360" w:lineRule="auto"/>
        <w:jc w:val="both"/>
        <w:rPr>
          <w:rFonts w:ascii="Arial" w:hAnsi="Arial" w:cs="Arial"/>
          <w:sz w:val="24"/>
          <w:szCs w:val="24"/>
        </w:rPr>
      </w:pPr>
    </w:p>
    <w:p w14:paraId="769B143E" w14:textId="77777777" w:rsidR="00DE6B98" w:rsidRDefault="00DE6B98" w:rsidP="001217F7">
      <w:pPr>
        <w:spacing w:line="360" w:lineRule="auto"/>
        <w:jc w:val="both"/>
        <w:rPr>
          <w:rFonts w:ascii="Arial" w:hAnsi="Arial" w:cs="Arial"/>
          <w:sz w:val="24"/>
          <w:szCs w:val="24"/>
        </w:rPr>
      </w:pPr>
    </w:p>
    <w:p w14:paraId="47F5A7A6" w14:textId="77777777" w:rsidR="00DE6B98" w:rsidRDefault="00DE6B98" w:rsidP="001217F7">
      <w:pPr>
        <w:spacing w:line="360" w:lineRule="auto"/>
        <w:jc w:val="both"/>
        <w:rPr>
          <w:rFonts w:ascii="Arial" w:hAnsi="Arial" w:cs="Arial"/>
          <w:sz w:val="24"/>
          <w:szCs w:val="24"/>
        </w:rPr>
      </w:pPr>
    </w:p>
    <w:p w14:paraId="06B36C70" w14:textId="77777777" w:rsidR="00DE6B98" w:rsidRDefault="00DE6B98" w:rsidP="001217F7">
      <w:pPr>
        <w:spacing w:line="360" w:lineRule="auto"/>
        <w:jc w:val="both"/>
        <w:rPr>
          <w:rFonts w:ascii="Arial" w:hAnsi="Arial" w:cs="Arial"/>
          <w:sz w:val="24"/>
          <w:szCs w:val="24"/>
        </w:rPr>
      </w:pPr>
    </w:p>
    <w:p w14:paraId="20742FF6" w14:textId="77777777" w:rsidR="00DE6B98" w:rsidRDefault="00DE6B98" w:rsidP="001217F7">
      <w:pPr>
        <w:spacing w:line="360" w:lineRule="auto"/>
        <w:jc w:val="both"/>
        <w:rPr>
          <w:rFonts w:ascii="Arial" w:hAnsi="Arial" w:cs="Arial"/>
          <w:sz w:val="24"/>
          <w:szCs w:val="24"/>
        </w:rPr>
      </w:pPr>
    </w:p>
    <w:p w14:paraId="2D012A0B" w14:textId="77777777" w:rsidR="00DE6B98" w:rsidRPr="00936677" w:rsidRDefault="00DE6B98" w:rsidP="001217F7">
      <w:pPr>
        <w:spacing w:line="360" w:lineRule="auto"/>
        <w:jc w:val="both"/>
        <w:rPr>
          <w:rFonts w:ascii="Arial" w:hAnsi="Arial" w:cs="Arial"/>
          <w:sz w:val="24"/>
          <w:szCs w:val="24"/>
        </w:rPr>
      </w:pPr>
    </w:p>
    <w:p w14:paraId="69E7EFD6" w14:textId="77777777" w:rsidR="00DE6B98" w:rsidRPr="002512A7" w:rsidRDefault="00DE6B98" w:rsidP="00DE6B98">
      <w:pPr>
        <w:rPr>
          <w:rFonts w:ascii="Arial" w:hAnsi="Arial" w:cs="Arial"/>
          <w:b/>
          <w:bCs/>
          <w:sz w:val="28"/>
          <w:szCs w:val="28"/>
        </w:rPr>
      </w:pPr>
      <w:r w:rsidRPr="002512A7">
        <w:rPr>
          <w:rFonts w:ascii="Arial" w:hAnsi="Arial" w:cs="Arial"/>
          <w:b/>
          <w:bCs/>
          <w:sz w:val="28"/>
          <w:szCs w:val="28"/>
          <w:lang w:val="ro-RO"/>
        </w:rPr>
        <w:t>STUDENT NAME:</w:t>
      </w:r>
      <w:r w:rsidRPr="002512A7">
        <w:rPr>
          <w:rFonts w:ascii="Arial" w:eastAsiaTheme="minorEastAsia" w:hAnsi="Arial" w:cs="Arial"/>
          <w:caps/>
          <w:color w:val="0E2841" w:themeColor="text2"/>
          <w:kern w:val="24"/>
          <w:sz w:val="44"/>
          <w:szCs w:val="44"/>
          <w:lang w:val="en-US" w:eastAsia="ro-RO"/>
          <w14:ligatures w14:val="none"/>
        </w:rPr>
        <w:t xml:space="preserve"> </w:t>
      </w:r>
      <w:r w:rsidRPr="002512A7">
        <w:rPr>
          <w:rFonts w:ascii="Arial" w:hAnsi="Arial" w:cs="Arial"/>
          <w:b/>
          <w:bCs/>
          <w:sz w:val="28"/>
          <w:szCs w:val="28"/>
          <w:lang w:val="en-US"/>
        </w:rPr>
        <w:t>CODRIN-IOAN CHIRCIU</w:t>
      </w:r>
    </w:p>
    <w:p w14:paraId="01E8D178" w14:textId="77777777" w:rsidR="00DE6B98" w:rsidRDefault="00DE6B98" w:rsidP="00DE6B98">
      <w:pPr>
        <w:rPr>
          <w:rFonts w:ascii="Arial" w:hAnsi="Arial" w:cs="Arial"/>
          <w:b/>
          <w:bCs/>
          <w:sz w:val="28"/>
          <w:szCs w:val="28"/>
          <w:lang w:val="en-US"/>
        </w:rPr>
      </w:pPr>
      <w:r w:rsidRPr="00F86934">
        <w:rPr>
          <w:rFonts w:ascii="Arial" w:hAnsi="Arial" w:cs="Arial"/>
          <w:b/>
          <w:bCs/>
          <w:sz w:val="28"/>
          <w:szCs w:val="28"/>
          <w:lang w:val="ro-RO"/>
        </w:rPr>
        <w:t>STUDENT ID:</w:t>
      </w:r>
      <w:r w:rsidRPr="00F86934">
        <w:rPr>
          <w:rFonts w:ascii="Arial" w:hAnsi="Arial" w:cs="Arial"/>
          <w:b/>
          <w:bCs/>
          <w:sz w:val="28"/>
          <w:szCs w:val="28"/>
          <w:lang w:val="en-US"/>
        </w:rPr>
        <w:t xml:space="preserve"> 2027548</w:t>
      </w:r>
    </w:p>
    <w:p w14:paraId="6B3B4C4E" w14:textId="11145A23" w:rsidR="001217F7" w:rsidRPr="00B2413A" w:rsidRDefault="00DE6B98" w:rsidP="00B2413A">
      <w:pPr>
        <w:rPr>
          <w:rFonts w:ascii="Arial" w:hAnsi="Arial" w:cs="Arial"/>
          <w:b/>
          <w:bCs/>
          <w:sz w:val="28"/>
          <w:szCs w:val="28"/>
          <w:lang w:val="ro-RO"/>
        </w:rPr>
      </w:pPr>
      <w:r>
        <w:rPr>
          <w:rFonts w:ascii="Arial" w:hAnsi="Arial" w:cs="Arial"/>
          <w:b/>
          <w:bCs/>
          <w:sz w:val="28"/>
          <w:szCs w:val="28"/>
          <w:lang w:val="en-US"/>
        </w:rPr>
        <w:t>DUE DATE: 20/12/2025</w:t>
      </w:r>
    </w:p>
    <w:sdt>
      <w:sdtPr>
        <w:rPr>
          <w:rFonts w:ascii="Arial" w:hAnsi="Arial" w:cs="Arial"/>
          <w:lang w:val="en-GB"/>
        </w:rPr>
        <w:id w:val="847369286"/>
        <w:docPartObj>
          <w:docPartGallery w:val="Table of Contents"/>
          <w:docPartUnique/>
        </w:docPartObj>
      </w:sdtPr>
      <w:sdtEndPr>
        <w:rPr>
          <w:rFonts w:eastAsiaTheme="minorHAnsi"/>
          <w:b/>
          <w:bCs/>
          <w:color w:val="auto"/>
          <w:kern w:val="2"/>
          <w:sz w:val="22"/>
          <w:szCs w:val="22"/>
          <w:lang w:eastAsia="en-US"/>
          <w14:ligatures w14:val="standardContextual"/>
        </w:rPr>
      </w:sdtEndPr>
      <w:sdtContent>
        <w:p w14:paraId="0977B77F" w14:textId="17879C82" w:rsidR="00936677" w:rsidRPr="00936677" w:rsidRDefault="00936677" w:rsidP="00936677">
          <w:pPr>
            <w:pStyle w:val="TOCHeading"/>
            <w:jc w:val="center"/>
            <w:rPr>
              <w:rFonts w:ascii="Arial" w:hAnsi="Arial" w:cs="Arial"/>
              <w:b/>
              <w:bCs/>
              <w:sz w:val="36"/>
              <w:szCs w:val="36"/>
              <w:lang w:val="en-GB"/>
            </w:rPr>
          </w:pPr>
          <w:r w:rsidRPr="00936677">
            <w:rPr>
              <w:rFonts w:ascii="Arial" w:hAnsi="Arial" w:cs="Arial"/>
              <w:b/>
              <w:bCs/>
              <w:sz w:val="36"/>
              <w:szCs w:val="36"/>
              <w:lang w:val="en-GB"/>
            </w:rPr>
            <w:t>CONTENTS</w:t>
          </w:r>
        </w:p>
        <w:p w14:paraId="3C9C0BA9" w14:textId="77777777" w:rsidR="00936677" w:rsidRPr="00936677" w:rsidRDefault="00936677" w:rsidP="00936677">
          <w:pPr>
            <w:rPr>
              <w:rFonts w:ascii="Arial" w:hAnsi="Arial" w:cs="Arial"/>
              <w:lang w:eastAsia="ro-RO"/>
            </w:rPr>
          </w:pPr>
        </w:p>
        <w:p w14:paraId="586547BB" w14:textId="5D3AEE7F" w:rsidR="00936677" w:rsidRPr="00936677" w:rsidRDefault="00936677">
          <w:pPr>
            <w:pStyle w:val="TOC1"/>
            <w:tabs>
              <w:tab w:val="right" w:leader="dot" w:pos="9016"/>
            </w:tabs>
            <w:rPr>
              <w:rFonts w:ascii="Arial" w:hAnsi="Arial" w:cs="Arial"/>
              <w:noProof/>
            </w:rPr>
          </w:pPr>
          <w:r w:rsidRPr="00936677">
            <w:rPr>
              <w:rFonts w:ascii="Arial" w:hAnsi="Arial" w:cs="Arial"/>
            </w:rPr>
            <w:fldChar w:fldCharType="begin"/>
          </w:r>
          <w:r w:rsidRPr="00936677">
            <w:rPr>
              <w:rFonts w:ascii="Arial" w:hAnsi="Arial" w:cs="Arial"/>
            </w:rPr>
            <w:instrText xml:space="preserve"> TOC \o "1-3" \h \z \u </w:instrText>
          </w:r>
          <w:r w:rsidRPr="00936677">
            <w:rPr>
              <w:rFonts w:ascii="Arial" w:hAnsi="Arial" w:cs="Arial"/>
            </w:rPr>
            <w:fldChar w:fldCharType="separate"/>
          </w:r>
          <w:hyperlink w:anchor="_Toc217130099" w:history="1">
            <w:r w:rsidRPr="00936677">
              <w:rPr>
                <w:rStyle w:val="Hyperlink"/>
                <w:rFonts w:ascii="Arial" w:hAnsi="Arial" w:cs="Arial"/>
                <w:b/>
                <w:bCs/>
                <w:noProof/>
                <w:lang w:val="ro-RO"/>
              </w:rPr>
              <w:t>INTRODUCTION</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_Toc217130099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3</w:t>
            </w:r>
            <w:r w:rsidRPr="00936677">
              <w:rPr>
                <w:rFonts w:ascii="Arial" w:hAnsi="Arial" w:cs="Arial"/>
                <w:noProof/>
                <w:webHidden/>
              </w:rPr>
              <w:fldChar w:fldCharType="end"/>
            </w:r>
          </w:hyperlink>
        </w:p>
        <w:p w14:paraId="407DBDCE" w14:textId="79BD3141" w:rsidR="00936677" w:rsidRPr="00936677" w:rsidRDefault="00936677">
          <w:pPr>
            <w:pStyle w:val="TOC1"/>
            <w:tabs>
              <w:tab w:val="right" w:leader="dot" w:pos="9016"/>
            </w:tabs>
            <w:rPr>
              <w:rFonts w:ascii="Arial" w:hAnsi="Arial" w:cs="Arial"/>
              <w:noProof/>
            </w:rPr>
          </w:pPr>
          <w:hyperlink w:anchor="_Toc217130100" w:history="1">
            <w:r w:rsidRPr="00936677">
              <w:rPr>
                <w:rStyle w:val="Hyperlink"/>
                <w:rFonts w:ascii="Arial" w:hAnsi="Arial" w:cs="Arial"/>
                <w:b/>
                <w:bCs/>
                <w:noProof/>
                <w:lang w:val="ro-RO"/>
              </w:rPr>
              <w:t>Internal &amp; External Environment</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_Toc217130100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4</w:t>
            </w:r>
            <w:r w:rsidRPr="00936677">
              <w:rPr>
                <w:rFonts w:ascii="Arial" w:hAnsi="Arial" w:cs="Arial"/>
                <w:noProof/>
                <w:webHidden/>
              </w:rPr>
              <w:fldChar w:fldCharType="end"/>
            </w:r>
          </w:hyperlink>
        </w:p>
        <w:p w14:paraId="32E75EC1" w14:textId="234C703A" w:rsidR="00936677" w:rsidRPr="00936677" w:rsidRDefault="00936677">
          <w:pPr>
            <w:pStyle w:val="TOC2"/>
            <w:tabs>
              <w:tab w:val="right" w:leader="dot" w:pos="9016"/>
            </w:tabs>
            <w:rPr>
              <w:rFonts w:ascii="Arial" w:hAnsi="Arial" w:cs="Arial"/>
              <w:noProof/>
            </w:rPr>
          </w:pPr>
          <w:hyperlink w:anchor="_Toc217130101" w:history="1">
            <w:r w:rsidRPr="00936677">
              <w:rPr>
                <w:rStyle w:val="Hyperlink"/>
                <w:rFonts w:ascii="Arial" w:hAnsi="Arial" w:cs="Arial"/>
                <w:noProof/>
                <w:lang w:val="ro-RO"/>
              </w:rPr>
              <w:t>The PESTLE Model: Usefulness and Limitations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_Toc217130101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4</w:t>
            </w:r>
            <w:r w:rsidRPr="00936677">
              <w:rPr>
                <w:rFonts w:ascii="Arial" w:hAnsi="Arial" w:cs="Arial"/>
                <w:noProof/>
                <w:webHidden/>
              </w:rPr>
              <w:fldChar w:fldCharType="end"/>
            </w:r>
          </w:hyperlink>
        </w:p>
        <w:p w14:paraId="712AE08F" w14:textId="54C0AD0A" w:rsidR="00936677" w:rsidRPr="00936677" w:rsidRDefault="00936677">
          <w:pPr>
            <w:pStyle w:val="TOC2"/>
            <w:tabs>
              <w:tab w:val="right" w:leader="dot" w:pos="9016"/>
            </w:tabs>
            <w:rPr>
              <w:rFonts w:ascii="Arial" w:hAnsi="Arial" w:cs="Arial"/>
              <w:noProof/>
            </w:rPr>
          </w:pPr>
          <w:hyperlink w:anchor="_Toc217130102" w:history="1">
            <w:r w:rsidRPr="00936677">
              <w:rPr>
                <w:rStyle w:val="Hyperlink"/>
                <w:rFonts w:ascii="Arial" w:hAnsi="Arial" w:cs="Arial"/>
                <w:noProof/>
                <w:lang w:val="ro-RO"/>
              </w:rPr>
              <w:t>Organisation Application</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_Toc217130102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6</w:t>
            </w:r>
            <w:r w:rsidRPr="00936677">
              <w:rPr>
                <w:rFonts w:ascii="Arial" w:hAnsi="Arial" w:cs="Arial"/>
                <w:noProof/>
                <w:webHidden/>
              </w:rPr>
              <w:fldChar w:fldCharType="end"/>
            </w:r>
          </w:hyperlink>
        </w:p>
        <w:p w14:paraId="14F5D4F9" w14:textId="6F0D77CF" w:rsidR="00936677" w:rsidRPr="00936677" w:rsidRDefault="00936677">
          <w:pPr>
            <w:pStyle w:val="TOC2"/>
            <w:tabs>
              <w:tab w:val="right" w:leader="dot" w:pos="9016"/>
            </w:tabs>
            <w:rPr>
              <w:rFonts w:ascii="Arial" w:hAnsi="Arial" w:cs="Arial"/>
              <w:noProof/>
            </w:rPr>
          </w:pPr>
          <w:hyperlink w:anchor="_Toc217130103" w:history="1">
            <w:r w:rsidRPr="00936677">
              <w:rPr>
                <w:rStyle w:val="Hyperlink"/>
                <w:rFonts w:ascii="Arial" w:hAnsi="Arial" w:cs="Arial"/>
                <w:noProof/>
                <w:lang w:val="ro-RO"/>
              </w:rPr>
              <w:t>Application of Model</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_Toc217130103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8</w:t>
            </w:r>
            <w:r w:rsidRPr="00936677">
              <w:rPr>
                <w:rFonts w:ascii="Arial" w:hAnsi="Arial" w:cs="Arial"/>
                <w:noProof/>
                <w:webHidden/>
              </w:rPr>
              <w:fldChar w:fldCharType="end"/>
            </w:r>
          </w:hyperlink>
        </w:p>
        <w:p w14:paraId="35F81439" w14:textId="696BB908" w:rsidR="00936677" w:rsidRPr="00936677" w:rsidRDefault="00936677">
          <w:pPr>
            <w:pStyle w:val="TOC1"/>
            <w:tabs>
              <w:tab w:val="right" w:leader="dot" w:pos="9016"/>
            </w:tabs>
            <w:rPr>
              <w:rFonts w:ascii="Arial" w:hAnsi="Arial" w:cs="Arial"/>
              <w:noProof/>
            </w:rPr>
          </w:pPr>
          <w:hyperlink w:anchor="_Toc217130104" w:history="1">
            <w:r w:rsidRPr="00936677">
              <w:rPr>
                <w:rStyle w:val="Hyperlink"/>
                <w:rFonts w:ascii="Arial" w:hAnsi="Arial" w:cs="Arial"/>
                <w:b/>
                <w:bCs/>
                <w:noProof/>
                <w:lang w:val="ro-RO"/>
              </w:rPr>
              <w:t>INTERNAL AND EXTERNAL ENVIRONMENTAL FACTORS AFFECTING HR MANAGERS’ EFFECTIVENESS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_Toc217130104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11</w:t>
            </w:r>
            <w:r w:rsidRPr="00936677">
              <w:rPr>
                <w:rFonts w:ascii="Arial" w:hAnsi="Arial" w:cs="Arial"/>
                <w:noProof/>
                <w:webHidden/>
              </w:rPr>
              <w:fldChar w:fldCharType="end"/>
            </w:r>
          </w:hyperlink>
        </w:p>
        <w:p w14:paraId="092C984A" w14:textId="5C87E7C7" w:rsidR="00936677" w:rsidRPr="00936677" w:rsidRDefault="00936677">
          <w:pPr>
            <w:pStyle w:val="TOC2"/>
            <w:tabs>
              <w:tab w:val="right" w:leader="dot" w:pos="9016"/>
            </w:tabs>
            <w:rPr>
              <w:rFonts w:ascii="Arial" w:hAnsi="Arial" w:cs="Arial"/>
              <w:noProof/>
            </w:rPr>
          </w:pPr>
          <w:hyperlink w:anchor="_Toc217130105" w:history="1">
            <w:r w:rsidRPr="00936677">
              <w:rPr>
                <w:rStyle w:val="Hyperlink"/>
                <w:rFonts w:ascii="Arial" w:hAnsi="Arial" w:cs="Arial"/>
                <w:noProof/>
                <w:lang w:val="ro-RO"/>
              </w:rPr>
              <w:t>Internal Factors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_Toc217130105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11</w:t>
            </w:r>
            <w:r w:rsidRPr="00936677">
              <w:rPr>
                <w:rFonts w:ascii="Arial" w:hAnsi="Arial" w:cs="Arial"/>
                <w:noProof/>
                <w:webHidden/>
              </w:rPr>
              <w:fldChar w:fldCharType="end"/>
            </w:r>
          </w:hyperlink>
        </w:p>
        <w:p w14:paraId="0EDB1099" w14:textId="2573785A" w:rsidR="00936677" w:rsidRPr="00936677" w:rsidRDefault="00936677">
          <w:pPr>
            <w:pStyle w:val="TOC2"/>
            <w:tabs>
              <w:tab w:val="right" w:leader="dot" w:pos="9016"/>
            </w:tabs>
            <w:rPr>
              <w:rFonts w:ascii="Arial" w:hAnsi="Arial" w:cs="Arial"/>
              <w:noProof/>
            </w:rPr>
          </w:pPr>
          <w:hyperlink w:anchor="_Toc217130106" w:history="1">
            <w:r w:rsidRPr="00936677">
              <w:rPr>
                <w:rStyle w:val="Hyperlink"/>
                <w:rFonts w:ascii="Arial" w:hAnsi="Arial" w:cs="Arial"/>
                <w:noProof/>
                <w:lang w:val="ro-RO"/>
              </w:rPr>
              <w:t>External Factors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_Toc217130106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11</w:t>
            </w:r>
            <w:r w:rsidRPr="00936677">
              <w:rPr>
                <w:rFonts w:ascii="Arial" w:hAnsi="Arial" w:cs="Arial"/>
                <w:noProof/>
                <w:webHidden/>
              </w:rPr>
              <w:fldChar w:fldCharType="end"/>
            </w:r>
          </w:hyperlink>
        </w:p>
        <w:p w14:paraId="05187C87" w14:textId="089E7324" w:rsidR="00936677" w:rsidRPr="00936677" w:rsidRDefault="00936677">
          <w:pPr>
            <w:pStyle w:val="TOC1"/>
            <w:tabs>
              <w:tab w:val="right" w:leader="dot" w:pos="9016"/>
            </w:tabs>
            <w:rPr>
              <w:rFonts w:ascii="Arial" w:hAnsi="Arial" w:cs="Arial"/>
              <w:noProof/>
            </w:rPr>
          </w:pPr>
          <w:hyperlink w:anchor="_Toc217130107" w:history="1">
            <w:r w:rsidRPr="00936677">
              <w:rPr>
                <w:rStyle w:val="Hyperlink"/>
                <w:rFonts w:ascii="Arial" w:hAnsi="Arial" w:cs="Arial"/>
                <w:b/>
                <w:bCs/>
                <w:noProof/>
                <w:lang w:val="ro-RO"/>
              </w:rPr>
              <w:t>COUNTRY-SPECIFIC DIFFERENCES: CULTURE, LEGAL REGULATIONS, AND ECONOMIC CONDITIONS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_Toc217130107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12</w:t>
            </w:r>
            <w:r w:rsidRPr="00936677">
              <w:rPr>
                <w:rFonts w:ascii="Arial" w:hAnsi="Arial" w:cs="Arial"/>
                <w:noProof/>
                <w:webHidden/>
              </w:rPr>
              <w:fldChar w:fldCharType="end"/>
            </w:r>
          </w:hyperlink>
        </w:p>
        <w:p w14:paraId="176DEA56" w14:textId="2A7D7450" w:rsidR="00936677" w:rsidRPr="00936677" w:rsidRDefault="00936677">
          <w:pPr>
            <w:pStyle w:val="TOC2"/>
            <w:tabs>
              <w:tab w:val="right" w:leader="dot" w:pos="9016"/>
            </w:tabs>
            <w:rPr>
              <w:rFonts w:ascii="Arial" w:hAnsi="Arial" w:cs="Arial"/>
              <w:noProof/>
            </w:rPr>
          </w:pPr>
          <w:hyperlink w:anchor="_Toc217130108" w:history="1">
            <w:r w:rsidRPr="00936677">
              <w:rPr>
                <w:rStyle w:val="Hyperlink"/>
                <w:rFonts w:ascii="Arial" w:hAnsi="Arial" w:cs="Arial"/>
                <w:noProof/>
              </w:rPr>
              <w:t>Culture</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_Toc217130108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12</w:t>
            </w:r>
            <w:r w:rsidRPr="00936677">
              <w:rPr>
                <w:rFonts w:ascii="Arial" w:hAnsi="Arial" w:cs="Arial"/>
                <w:noProof/>
                <w:webHidden/>
              </w:rPr>
              <w:fldChar w:fldCharType="end"/>
            </w:r>
          </w:hyperlink>
        </w:p>
        <w:p w14:paraId="6EC3ADEC" w14:textId="29EF43A9" w:rsidR="00936677" w:rsidRPr="00936677" w:rsidRDefault="00936677">
          <w:pPr>
            <w:pStyle w:val="TOC2"/>
            <w:tabs>
              <w:tab w:val="right" w:leader="dot" w:pos="9016"/>
            </w:tabs>
            <w:rPr>
              <w:rFonts w:ascii="Arial" w:hAnsi="Arial" w:cs="Arial"/>
              <w:noProof/>
            </w:rPr>
          </w:pPr>
          <w:hyperlink w:anchor="_Toc217130109" w:history="1">
            <w:r w:rsidRPr="00936677">
              <w:rPr>
                <w:rStyle w:val="Hyperlink"/>
                <w:rFonts w:ascii="Arial" w:hAnsi="Arial" w:cs="Arial"/>
                <w:noProof/>
              </w:rPr>
              <w:t>Legal Regulations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_Toc217130109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12</w:t>
            </w:r>
            <w:r w:rsidRPr="00936677">
              <w:rPr>
                <w:rFonts w:ascii="Arial" w:hAnsi="Arial" w:cs="Arial"/>
                <w:noProof/>
                <w:webHidden/>
              </w:rPr>
              <w:fldChar w:fldCharType="end"/>
            </w:r>
          </w:hyperlink>
        </w:p>
        <w:p w14:paraId="63F417EA" w14:textId="2F4596DE" w:rsidR="00936677" w:rsidRPr="00936677" w:rsidRDefault="00936677">
          <w:pPr>
            <w:pStyle w:val="TOC2"/>
            <w:tabs>
              <w:tab w:val="right" w:leader="dot" w:pos="9016"/>
            </w:tabs>
            <w:rPr>
              <w:rFonts w:ascii="Arial" w:hAnsi="Arial" w:cs="Arial"/>
              <w:noProof/>
            </w:rPr>
          </w:pPr>
          <w:hyperlink w:anchor="_Toc217130110" w:history="1">
            <w:r w:rsidRPr="00936677">
              <w:rPr>
                <w:rStyle w:val="Hyperlink"/>
                <w:rFonts w:ascii="Arial" w:hAnsi="Arial" w:cs="Arial"/>
                <w:noProof/>
              </w:rPr>
              <w:t>Economic Conditions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_Toc217130110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12</w:t>
            </w:r>
            <w:r w:rsidRPr="00936677">
              <w:rPr>
                <w:rFonts w:ascii="Arial" w:hAnsi="Arial" w:cs="Arial"/>
                <w:noProof/>
                <w:webHidden/>
              </w:rPr>
              <w:fldChar w:fldCharType="end"/>
            </w:r>
          </w:hyperlink>
        </w:p>
        <w:p w14:paraId="26465C7A" w14:textId="3B4AB25C" w:rsidR="00936677" w:rsidRPr="00936677" w:rsidRDefault="00936677">
          <w:pPr>
            <w:pStyle w:val="TOC1"/>
            <w:tabs>
              <w:tab w:val="right" w:leader="dot" w:pos="9016"/>
            </w:tabs>
            <w:rPr>
              <w:rFonts w:ascii="Arial" w:hAnsi="Arial" w:cs="Arial"/>
              <w:noProof/>
            </w:rPr>
          </w:pPr>
          <w:hyperlink w:anchor="_Toc217130111" w:history="1">
            <w:r w:rsidRPr="00936677">
              <w:rPr>
                <w:rStyle w:val="Hyperlink"/>
                <w:rFonts w:ascii="Arial" w:hAnsi="Arial" w:cs="Arial"/>
                <w:b/>
                <w:bCs/>
                <w:noProof/>
                <w:lang w:val="ro-RO"/>
              </w:rPr>
              <w:t>CONCLUSION</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_Toc217130111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13</w:t>
            </w:r>
            <w:r w:rsidRPr="00936677">
              <w:rPr>
                <w:rFonts w:ascii="Arial" w:hAnsi="Arial" w:cs="Arial"/>
                <w:noProof/>
                <w:webHidden/>
              </w:rPr>
              <w:fldChar w:fldCharType="end"/>
            </w:r>
          </w:hyperlink>
        </w:p>
        <w:p w14:paraId="74568072" w14:textId="65963C95" w:rsidR="00936677" w:rsidRPr="00936677" w:rsidRDefault="00936677">
          <w:pPr>
            <w:pStyle w:val="TOC1"/>
            <w:tabs>
              <w:tab w:val="right" w:leader="dot" w:pos="9016"/>
            </w:tabs>
            <w:rPr>
              <w:rFonts w:ascii="Arial" w:hAnsi="Arial" w:cs="Arial"/>
              <w:noProof/>
            </w:rPr>
          </w:pPr>
          <w:hyperlink w:anchor="_Toc217130112" w:history="1">
            <w:r w:rsidRPr="00936677">
              <w:rPr>
                <w:rStyle w:val="Hyperlink"/>
                <w:rFonts w:ascii="Arial" w:hAnsi="Arial" w:cs="Arial"/>
                <w:b/>
                <w:bCs/>
                <w:noProof/>
                <w:lang w:val="ro-RO"/>
              </w:rPr>
              <w:t>References</w:t>
            </w:r>
            <w:r w:rsidRPr="00936677">
              <w:rPr>
                <w:rFonts w:ascii="Arial" w:hAnsi="Arial" w:cs="Arial"/>
                <w:noProof/>
                <w:webHidden/>
              </w:rPr>
              <w:tab/>
            </w:r>
            <w:r w:rsidRPr="00936677">
              <w:rPr>
                <w:rFonts w:ascii="Arial" w:hAnsi="Arial" w:cs="Arial"/>
                <w:noProof/>
                <w:webHidden/>
              </w:rPr>
              <w:fldChar w:fldCharType="begin"/>
            </w:r>
            <w:r w:rsidRPr="00936677">
              <w:rPr>
                <w:rFonts w:ascii="Arial" w:hAnsi="Arial" w:cs="Arial"/>
                <w:noProof/>
                <w:webHidden/>
              </w:rPr>
              <w:instrText xml:space="preserve"> PAGEREF _Toc217130112 \h </w:instrText>
            </w:r>
            <w:r w:rsidRPr="00936677">
              <w:rPr>
                <w:rFonts w:ascii="Arial" w:hAnsi="Arial" w:cs="Arial"/>
                <w:noProof/>
                <w:webHidden/>
              </w:rPr>
            </w:r>
            <w:r w:rsidRPr="00936677">
              <w:rPr>
                <w:rFonts w:ascii="Arial" w:hAnsi="Arial" w:cs="Arial"/>
                <w:noProof/>
                <w:webHidden/>
              </w:rPr>
              <w:fldChar w:fldCharType="separate"/>
            </w:r>
            <w:r w:rsidRPr="00936677">
              <w:rPr>
                <w:rFonts w:ascii="Arial" w:hAnsi="Arial" w:cs="Arial"/>
                <w:noProof/>
                <w:webHidden/>
              </w:rPr>
              <w:t>14</w:t>
            </w:r>
            <w:r w:rsidRPr="00936677">
              <w:rPr>
                <w:rFonts w:ascii="Arial" w:hAnsi="Arial" w:cs="Arial"/>
                <w:noProof/>
                <w:webHidden/>
              </w:rPr>
              <w:fldChar w:fldCharType="end"/>
            </w:r>
          </w:hyperlink>
        </w:p>
        <w:p w14:paraId="50C74513" w14:textId="4F9F1AF0" w:rsidR="00936677" w:rsidRPr="00936677" w:rsidRDefault="00936677">
          <w:pPr>
            <w:rPr>
              <w:rFonts w:ascii="Arial" w:hAnsi="Arial" w:cs="Arial"/>
            </w:rPr>
          </w:pPr>
          <w:r w:rsidRPr="00936677">
            <w:rPr>
              <w:rFonts w:ascii="Arial" w:hAnsi="Arial" w:cs="Arial"/>
              <w:b/>
              <w:bCs/>
            </w:rPr>
            <w:fldChar w:fldCharType="end"/>
          </w:r>
        </w:p>
      </w:sdtContent>
    </w:sdt>
    <w:p w14:paraId="450A53C0" w14:textId="77777777" w:rsidR="001217F7" w:rsidRPr="00936677" w:rsidRDefault="001217F7" w:rsidP="001217F7">
      <w:pPr>
        <w:spacing w:line="360" w:lineRule="auto"/>
        <w:jc w:val="both"/>
        <w:rPr>
          <w:rFonts w:ascii="Arial" w:hAnsi="Arial" w:cs="Arial"/>
          <w:sz w:val="24"/>
          <w:szCs w:val="24"/>
        </w:rPr>
      </w:pPr>
    </w:p>
    <w:p w14:paraId="65CE9C97" w14:textId="77777777" w:rsidR="001217F7" w:rsidRPr="00936677" w:rsidRDefault="001217F7" w:rsidP="001217F7">
      <w:pPr>
        <w:spacing w:line="360" w:lineRule="auto"/>
        <w:jc w:val="both"/>
        <w:rPr>
          <w:rFonts w:ascii="Arial" w:hAnsi="Arial" w:cs="Arial"/>
          <w:sz w:val="24"/>
          <w:szCs w:val="24"/>
        </w:rPr>
      </w:pPr>
    </w:p>
    <w:p w14:paraId="1943188D" w14:textId="77777777" w:rsidR="001217F7" w:rsidRPr="00936677" w:rsidRDefault="001217F7" w:rsidP="001217F7">
      <w:pPr>
        <w:spacing w:line="360" w:lineRule="auto"/>
        <w:jc w:val="both"/>
        <w:rPr>
          <w:rFonts w:ascii="Arial" w:hAnsi="Arial" w:cs="Arial"/>
          <w:sz w:val="24"/>
          <w:szCs w:val="24"/>
        </w:rPr>
      </w:pPr>
    </w:p>
    <w:p w14:paraId="457CFC1A" w14:textId="77777777" w:rsidR="001217F7" w:rsidRPr="00936677" w:rsidRDefault="001217F7" w:rsidP="001217F7">
      <w:pPr>
        <w:spacing w:line="360" w:lineRule="auto"/>
        <w:jc w:val="both"/>
        <w:rPr>
          <w:rFonts w:ascii="Arial" w:hAnsi="Arial" w:cs="Arial"/>
          <w:sz w:val="24"/>
          <w:szCs w:val="24"/>
        </w:rPr>
      </w:pPr>
    </w:p>
    <w:p w14:paraId="3CC63F76" w14:textId="77777777" w:rsidR="001217F7" w:rsidRPr="00936677" w:rsidRDefault="001217F7" w:rsidP="001217F7">
      <w:pPr>
        <w:spacing w:line="360" w:lineRule="auto"/>
        <w:jc w:val="both"/>
        <w:rPr>
          <w:rFonts w:ascii="Arial" w:hAnsi="Arial" w:cs="Arial"/>
          <w:sz w:val="24"/>
          <w:szCs w:val="24"/>
        </w:rPr>
      </w:pPr>
    </w:p>
    <w:p w14:paraId="0F1EB885" w14:textId="77777777" w:rsidR="001217F7" w:rsidRPr="00936677" w:rsidRDefault="001217F7" w:rsidP="001217F7">
      <w:pPr>
        <w:spacing w:line="360" w:lineRule="auto"/>
        <w:jc w:val="both"/>
        <w:rPr>
          <w:rFonts w:ascii="Arial" w:hAnsi="Arial" w:cs="Arial"/>
          <w:sz w:val="24"/>
          <w:szCs w:val="24"/>
        </w:rPr>
      </w:pPr>
    </w:p>
    <w:p w14:paraId="248B9F48" w14:textId="77777777" w:rsidR="001217F7" w:rsidRPr="00936677" w:rsidRDefault="001217F7" w:rsidP="001217F7">
      <w:pPr>
        <w:spacing w:line="360" w:lineRule="auto"/>
        <w:jc w:val="both"/>
        <w:rPr>
          <w:rFonts w:ascii="Arial" w:hAnsi="Arial" w:cs="Arial"/>
          <w:sz w:val="24"/>
          <w:szCs w:val="24"/>
        </w:rPr>
      </w:pPr>
    </w:p>
    <w:p w14:paraId="56C29293" w14:textId="77777777" w:rsidR="001217F7" w:rsidRPr="00936677" w:rsidRDefault="001217F7" w:rsidP="001217F7">
      <w:pPr>
        <w:spacing w:line="360" w:lineRule="auto"/>
        <w:jc w:val="both"/>
        <w:rPr>
          <w:rFonts w:ascii="Arial" w:hAnsi="Arial" w:cs="Arial"/>
          <w:sz w:val="24"/>
          <w:szCs w:val="24"/>
        </w:rPr>
      </w:pPr>
    </w:p>
    <w:p w14:paraId="73BF5531" w14:textId="77777777" w:rsidR="001217F7" w:rsidRPr="00936677" w:rsidRDefault="001217F7" w:rsidP="001217F7">
      <w:pPr>
        <w:spacing w:line="360" w:lineRule="auto"/>
        <w:jc w:val="both"/>
        <w:rPr>
          <w:rFonts w:ascii="Arial" w:hAnsi="Arial" w:cs="Arial"/>
          <w:sz w:val="24"/>
          <w:szCs w:val="24"/>
        </w:rPr>
      </w:pPr>
    </w:p>
    <w:p w14:paraId="023CC6FB" w14:textId="77777777" w:rsidR="001217F7" w:rsidRPr="00936677" w:rsidRDefault="001217F7" w:rsidP="001217F7">
      <w:pPr>
        <w:spacing w:line="360" w:lineRule="auto"/>
        <w:jc w:val="both"/>
        <w:rPr>
          <w:rFonts w:ascii="Arial" w:hAnsi="Arial" w:cs="Arial"/>
          <w:sz w:val="24"/>
          <w:szCs w:val="24"/>
        </w:rPr>
      </w:pPr>
    </w:p>
    <w:p w14:paraId="4C35E1F5" w14:textId="77777777" w:rsidR="001217F7" w:rsidRPr="00936677" w:rsidRDefault="001217F7" w:rsidP="001217F7">
      <w:pPr>
        <w:spacing w:line="360" w:lineRule="auto"/>
        <w:jc w:val="both"/>
        <w:rPr>
          <w:rFonts w:ascii="Arial" w:hAnsi="Arial" w:cs="Arial"/>
          <w:sz w:val="24"/>
          <w:szCs w:val="24"/>
        </w:rPr>
      </w:pPr>
    </w:p>
    <w:p w14:paraId="5D1E7B57" w14:textId="10664F62" w:rsidR="001217F7" w:rsidRPr="001217F7" w:rsidRDefault="001217F7" w:rsidP="001217F7">
      <w:pPr>
        <w:spacing w:line="360" w:lineRule="auto"/>
        <w:jc w:val="both"/>
        <w:rPr>
          <w:rFonts w:ascii="Arial" w:hAnsi="Arial" w:cs="Arial"/>
          <w:sz w:val="24"/>
          <w:szCs w:val="24"/>
          <w:lang w:val="ro-RO"/>
        </w:rPr>
      </w:pPr>
    </w:p>
    <w:p w14:paraId="756EA5B3" w14:textId="1E1C8EAF" w:rsidR="001217F7" w:rsidRPr="00936677" w:rsidRDefault="00877FAA" w:rsidP="00877FAA">
      <w:pPr>
        <w:pStyle w:val="Heading1"/>
        <w:jc w:val="center"/>
        <w:rPr>
          <w:rFonts w:ascii="Arial" w:hAnsi="Arial" w:cs="Arial"/>
          <w:b/>
          <w:bCs/>
          <w:sz w:val="36"/>
          <w:szCs w:val="36"/>
          <w:lang w:val="ro-RO"/>
        </w:rPr>
      </w:pPr>
      <w:bookmarkStart w:id="0" w:name="_Toc217130099"/>
      <w:r w:rsidRPr="00936677">
        <w:rPr>
          <w:rFonts w:ascii="Arial" w:hAnsi="Arial" w:cs="Arial"/>
          <w:b/>
          <w:bCs/>
          <w:sz w:val="36"/>
          <w:szCs w:val="36"/>
          <w:lang w:val="ro-RO"/>
        </w:rPr>
        <w:lastRenderedPageBreak/>
        <w:t>INTRODUCTION</w:t>
      </w:r>
      <w:bookmarkEnd w:id="0"/>
    </w:p>
    <w:p w14:paraId="2F802463" w14:textId="77777777" w:rsidR="00877FAA" w:rsidRPr="00936677" w:rsidRDefault="00877FAA" w:rsidP="00877FAA">
      <w:pPr>
        <w:rPr>
          <w:rFonts w:ascii="Arial" w:hAnsi="Arial" w:cs="Arial"/>
          <w:lang w:val="ro-RO"/>
        </w:rPr>
      </w:pPr>
    </w:p>
    <w:p w14:paraId="30D7AFDA"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Human Resource Management (HRM) is a cornerstone of organisational success, particularly in the context of global organisations operating across diverse environments. The effectiveness of HR managers is shaped by their ability to navigate a complex array of internal and external environmental factors that influence core HR functions. Key HR functions—such as recruitment and selection, training and development, performance management, and employee relations—are not only operational necessities but also strategic levers that drive organisational performance, innovation, and sustainability. Recruitment and selection ensure that organisations attract and retain talent aligned with their strategic goals, while training and development foster a culture of continuous learning and adaptability. Performance management systems provide the framework for evaluating and enhancing employee contributions, and robust employee relations practices underpin engagement, trust, and organisational cohesion.</w:t>
      </w:r>
    </w:p>
    <w:p w14:paraId="5D82005B"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In global organisations, the significance of these HR functions is magnified by the need to balance consistency with local adaptation. HR managers must ensure that global standards are upheld while accommodating variations in legal frameworks, cultural norms, economic conditions, and technological advancements across countries. The interplay between internal factors (such as organisational culture, leadership style, and resource allocation) and external factors (including political, economic, social, technological, legal, and environmental influences) creates a dynamic environment that requires HR managers to be agile, culturally competent, and strategically focused.</w:t>
      </w:r>
    </w:p>
    <w:p w14:paraId="49845B7E" w14:textId="2787CF0E"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This report explores how environmental factors influence the effectiveness of HR managers in global organisations. It is structured as follows: first, it introduces and critically evaluates a business environment model (PESTLE) for analysing HR contexts; second, it applies this model to a global organisation—Unilever—detailing its HR practices across countries; third, it analyses how the PESTLE framework impacts Unilever’s HR functions, with a focus on country-specific differences; and finally, it summarises key findings and reflects on future implications for HR managers in an evolving global landscape. The report employs Harvard-style in-text citations and concludes with a references list, ensuring academic rigour and transparency.</w:t>
      </w:r>
    </w:p>
    <w:p w14:paraId="75B6BBB3" w14:textId="298FAB42" w:rsidR="001217F7" w:rsidRPr="00936677" w:rsidRDefault="001217F7" w:rsidP="00344B0A">
      <w:pPr>
        <w:pStyle w:val="Heading1"/>
        <w:jc w:val="center"/>
        <w:rPr>
          <w:rFonts w:ascii="Arial" w:hAnsi="Arial" w:cs="Arial"/>
          <w:b/>
          <w:bCs/>
          <w:sz w:val="36"/>
          <w:szCs w:val="36"/>
          <w:lang w:val="ro-RO"/>
        </w:rPr>
      </w:pPr>
      <w:bookmarkStart w:id="1" w:name="_Toc217130100"/>
      <w:r w:rsidRPr="00936677">
        <w:rPr>
          <w:rFonts w:ascii="Arial" w:hAnsi="Arial" w:cs="Arial"/>
          <w:b/>
          <w:bCs/>
          <w:sz w:val="36"/>
          <w:szCs w:val="36"/>
          <w:lang w:val="ro-RO"/>
        </w:rPr>
        <w:lastRenderedPageBreak/>
        <w:t xml:space="preserve">Internal </w:t>
      </w:r>
      <w:r w:rsidR="00344B0A" w:rsidRPr="00936677">
        <w:rPr>
          <w:rFonts w:ascii="Arial" w:hAnsi="Arial" w:cs="Arial"/>
          <w:b/>
          <w:bCs/>
          <w:sz w:val="36"/>
          <w:szCs w:val="36"/>
          <w:lang w:val="ro-RO"/>
        </w:rPr>
        <w:t>&amp;</w:t>
      </w:r>
      <w:r w:rsidRPr="00936677">
        <w:rPr>
          <w:rFonts w:ascii="Arial" w:hAnsi="Arial" w:cs="Arial"/>
          <w:b/>
          <w:bCs/>
          <w:sz w:val="36"/>
          <w:szCs w:val="36"/>
          <w:lang w:val="ro-RO"/>
        </w:rPr>
        <w:t xml:space="preserve"> External Environment</w:t>
      </w:r>
      <w:bookmarkEnd w:id="1"/>
    </w:p>
    <w:p w14:paraId="1616C2D0" w14:textId="77777777" w:rsidR="00344B0A" w:rsidRPr="00936677" w:rsidRDefault="00344B0A" w:rsidP="00344B0A">
      <w:pPr>
        <w:rPr>
          <w:rFonts w:ascii="Arial" w:hAnsi="Arial" w:cs="Arial"/>
          <w:lang w:val="ro-RO"/>
        </w:rPr>
      </w:pPr>
    </w:p>
    <w:p w14:paraId="7E4BB470" w14:textId="77777777" w:rsidR="001217F7" w:rsidRPr="00936677" w:rsidRDefault="001217F7" w:rsidP="00344B0A">
      <w:pPr>
        <w:pStyle w:val="Heading2"/>
        <w:rPr>
          <w:rFonts w:ascii="Arial" w:hAnsi="Arial" w:cs="Arial"/>
          <w:sz w:val="28"/>
          <w:szCs w:val="28"/>
          <w:lang w:val="ro-RO"/>
        </w:rPr>
      </w:pPr>
      <w:bookmarkStart w:id="2" w:name="_Toc217130101"/>
      <w:r w:rsidRPr="00936677">
        <w:rPr>
          <w:rFonts w:ascii="Arial" w:hAnsi="Arial" w:cs="Arial"/>
          <w:sz w:val="28"/>
          <w:szCs w:val="28"/>
          <w:lang w:val="ro-RO"/>
        </w:rPr>
        <w:t>The PESTLE Model: Usefulness and Limitations</w:t>
      </w:r>
      <w:bookmarkEnd w:id="2"/>
    </w:p>
    <w:p w14:paraId="39563AFA"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The PESTLE analysis is a widely adopted strategic tool for assessing the macro-environmental factors that impact organisations. The acronym stands for Political, Economic, Social, Technological, Legal, and Environmental factors. Each dimension provides a lens through which HR managers can anticipate challenges, identify opportunities, and align HR strategies with broader organisational objectives.</w:t>
      </w:r>
    </w:p>
    <w:p w14:paraId="3C216043" w14:textId="77777777" w:rsidR="001217F7" w:rsidRPr="001217F7" w:rsidRDefault="001217F7" w:rsidP="001217F7">
      <w:pPr>
        <w:numPr>
          <w:ilvl w:val="0"/>
          <w:numId w:val="1"/>
        </w:numPr>
        <w:spacing w:line="360" w:lineRule="auto"/>
        <w:jc w:val="both"/>
        <w:rPr>
          <w:rFonts w:ascii="Arial" w:hAnsi="Arial" w:cs="Arial"/>
          <w:sz w:val="24"/>
          <w:szCs w:val="24"/>
          <w:lang w:val="ro-RO"/>
        </w:rPr>
      </w:pPr>
      <w:r w:rsidRPr="001217F7">
        <w:rPr>
          <w:rFonts w:ascii="Arial" w:hAnsi="Arial" w:cs="Arial"/>
          <w:b/>
          <w:bCs/>
          <w:sz w:val="24"/>
          <w:szCs w:val="24"/>
          <w:lang w:val="ro-RO"/>
        </w:rPr>
        <w:t>Political factors</w:t>
      </w:r>
      <w:r w:rsidRPr="001217F7">
        <w:rPr>
          <w:rFonts w:ascii="Arial" w:hAnsi="Arial" w:cs="Arial"/>
          <w:sz w:val="24"/>
          <w:szCs w:val="24"/>
          <w:lang w:val="ro-RO"/>
        </w:rPr>
        <w:t xml:space="preserve"> encompass government policies, labour laws, and political stability, all of which can directly affect HR practices such as compliance, union relations, and workforce planning.</w:t>
      </w:r>
    </w:p>
    <w:p w14:paraId="6776C334" w14:textId="77777777" w:rsidR="001217F7" w:rsidRPr="001217F7" w:rsidRDefault="001217F7" w:rsidP="001217F7">
      <w:pPr>
        <w:numPr>
          <w:ilvl w:val="0"/>
          <w:numId w:val="1"/>
        </w:numPr>
        <w:spacing w:line="360" w:lineRule="auto"/>
        <w:jc w:val="both"/>
        <w:rPr>
          <w:rFonts w:ascii="Arial" w:hAnsi="Arial" w:cs="Arial"/>
          <w:sz w:val="24"/>
          <w:szCs w:val="24"/>
          <w:lang w:val="ro-RO"/>
        </w:rPr>
      </w:pPr>
      <w:r w:rsidRPr="001217F7">
        <w:rPr>
          <w:rFonts w:ascii="Arial" w:hAnsi="Arial" w:cs="Arial"/>
          <w:b/>
          <w:bCs/>
          <w:sz w:val="24"/>
          <w:szCs w:val="24"/>
          <w:lang w:val="ro-RO"/>
        </w:rPr>
        <w:t>Economic factors</w:t>
      </w:r>
      <w:r w:rsidRPr="001217F7">
        <w:rPr>
          <w:rFonts w:ascii="Arial" w:hAnsi="Arial" w:cs="Arial"/>
          <w:sz w:val="24"/>
          <w:szCs w:val="24"/>
          <w:lang w:val="ro-RO"/>
        </w:rPr>
        <w:t xml:space="preserve"> include inflation, wage levels, unemployment rates, and economic cycles, influencing compensation strategies, recruitment, and retention.</w:t>
      </w:r>
    </w:p>
    <w:p w14:paraId="522B8C10" w14:textId="77777777" w:rsidR="001217F7" w:rsidRPr="001217F7" w:rsidRDefault="001217F7" w:rsidP="001217F7">
      <w:pPr>
        <w:numPr>
          <w:ilvl w:val="0"/>
          <w:numId w:val="1"/>
        </w:numPr>
        <w:spacing w:line="360" w:lineRule="auto"/>
        <w:jc w:val="both"/>
        <w:rPr>
          <w:rFonts w:ascii="Arial" w:hAnsi="Arial" w:cs="Arial"/>
          <w:sz w:val="24"/>
          <w:szCs w:val="24"/>
          <w:lang w:val="ro-RO"/>
        </w:rPr>
      </w:pPr>
      <w:r w:rsidRPr="001217F7">
        <w:rPr>
          <w:rFonts w:ascii="Arial" w:hAnsi="Arial" w:cs="Arial"/>
          <w:b/>
          <w:bCs/>
          <w:sz w:val="24"/>
          <w:szCs w:val="24"/>
          <w:lang w:val="ro-RO"/>
        </w:rPr>
        <w:t>Social factors</w:t>
      </w:r>
      <w:r w:rsidRPr="001217F7">
        <w:rPr>
          <w:rFonts w:ascii="Arial" w:hAnsi="Arial" w:cs="Arial"/>
          <w:sz w:val="24"/>
          <w:szCs w:val="24"/>
          <w:lang w:val="ro-RO"/>
        </w:rPr>
        <w:t xml:space="preserve"> relate to demographics, cultural values, diversity expectations, and changing workforce attitudes, shaping policies on inclusion, work-life balance, and employee engagement.</w:t>
      </w:r>
    </w:p>
    <w:p w14:paraId="6BA92A69" w14:textId="77777777" w:rsidR="001217F7" w:rsidRPr="001217F7" w:rsidRDefault="001217F7" w:rsidP="001217F7">
      <w:pPr>
        <w:numPr>
          <w:ilvl w:val="0"/>
          <w:numId w:val="1"/>
        </w:numPr>
        <w:spacing w:line="360" w:lineRule="auto"/>
        <w:jc w:val="both"/>
        <w:rPr>
          <w:rFonts w:ascii="Arial" w:hAnsi="Arial" w:cs="Arial"/>
          <w:sz w:val="24"/>
          <w:szCs w:val="24"/>
          <w:lang w:val="ro-RO"/>
        </w:rPr>
      </w:pPr>
      <w:r w:rsidRPr="001217F7">
        <w:rPr>
          <w:rFonts w:ascii="Arial" w:hAnsi="Arial" w:cs="Arial"/>
          <w:b/>
          <w:bCs/>
          <w:sz w:val="24"/>
          <w:szCs w:val="24"/>
          <w:lang w:val="ro-RO"/>
        </w:rPr>
        <w:t>Technological factors</w:t>
      </w:r>
      <w:r w:rsidRPr="001217F7">
        <w:rPr>
          <w:rFonts w:ascii="Arial" w:hAnsi="Arial" w:cs="Arial"/>
          <w:sz w:val="24"/>
          <w:szCs w:val="24"/>
          <w:lang w:val="ro-RO"/>
        </w:rPr>
        <w:t xml:space="preserve"> involve the adoption of HR technologies, automation, AI, and digital communication tools, which transform recruitment, training, and performance management.</w:t>
      </w:r>
    </w:p>
    <w:p w14:paraId="53CCEDDD" w14:textId="77777777" w:rsidR="001217F7" w:rsidRPr="001217F7" w:rsidRDefault="001217F7" w:rsidP="001217F7">
      <w:pPr>
        <w:numPr>
          <w:ilvl w:val="0"/>
          <w:numId w:val="1"/>
        </w:numPr>
        <w:spacing w:line="360" w:lineRule="auto"/>
        <w:jc w:val="both"/>
        <w:rPr>
          <w:rFonts w:ascii="Arial" w:hAnsi="Arial" w:cs="Arial"/>
          <w:sz w:val="24"/>
          <w:szCs w:val="24"/>
          <w:lang w:val="ro-RO"/>
        </w:rPr>
      </w:pPr>
      <w:r w:rsidRPr="001217F7">
        <w:rPr>
          <w:rFonts w:ascii="Arial" w:hAnsi="Arial" w:cs="Arial"/>
          <w:b/>
          <w:bCs/>
          <w:sz w:val="24"/>
          <w:szCs w:val="24"/>
          <w:lang w:val="ro-RO"/>
        </w:rPr>
        <w:t>Legal factors</w:t>
      </w:r>
      <w:r w:rsidRPr="001217F7">
        <w:rPr>
          <w:rFonts w:ascii="Arial" w:hAnsi="Arial" w:cs="Arial"/>
          <w:sz w:val="24"/>
          <w:szCs w:val="24"/>
          <w:lang w:val="ro-RO"/>
        </w:rPr>
        <w:t xml:space="preserve"> cover employment law, health and safety regulations, anti-discrimination policies, and data privacy, requiring HR to ensure compliance and mitigate legal risks.</w:t>
      </w:r>
    </w:p>
    <w:p w14:paraId="77CE0A87" w14:textId="77777777" w:rsidR="001217F7" w:rsidRPr="001217F7" w:rsidRDefault="001217F7" w:rsidP="001217F7">
      <w:pPr>
        <w:numPr>
          <w:ilvl w:val="0"/>
          <w:numId w:val="1"/>
        </w:numPr>
        <w:spacing w:line="360" w:lineRule="auto"/>
        <w:jc w:val="both"/>
        <w:rPr>
          <w:rFonts w:ascii="Arial" w:hAnsi="Arial" w:cs="Arial"/>
          <w:sz w:val="24"/>
          <w:szCs w:val="24"/>
          <w:lang w:val="ro-RO"/>
        </w:rPr>
      </w:pPr>
      <w:r w:rsidRPr="001217F7">
        <w:rPr>
          <w:rFonts w:ascii="Arial" w:hAnsi="Arial" w:cs="Arial"/>
          <w:b/>
          <w:bCs/>
          <w:sz w:val="24"/>
          <w:szCs w:val="24"/>
          <w:lang w:val="ro-RO"/>
        </w:rPr>
        <w:t>Environmental factors</w:t>
      </w:r>
      <w:r w:rsidRPr="001217F7">
        <w:rPr>
          <w:rFonts w:ascii="Arial" w:hAnsi="Arial" w:cs="Arial"/>
          <w:sz w:val="24"/>
          <w:szCs w:val="24"/>
          <w:lang w:val="ro-RO"/>
        </w:rPr>
        <w:t xml:space="preserve"> address sustainability, corporate social responsibility (CSR), and the organisation’s ecological footprint, increasingly relevant for employer branding and employee expectations.</w:t>
      </w:r>
    </w:p>
    <w:p w14:paraId="3676D5AE"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The PESTLE model’s primary strength lies in its comprehensive scope, enabling HR managers to systematically scan the external environment and anticipate macro-level trends that may impact HR functions. It is particularly valuable for multinational organisations, where external conditions can vary significantly between countries.</w:t>
      </w:r>
    </w:p>
    <w:p w14:paraId="07F038C6"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lastRenderedPageBreak/>
        <w:t>However, PESTLE also has limitations. It focuses predominantly on external factors and may underemphasise internal organisational dynamics such as culture, leadership, and resource allocation. Additionally, the model’s breadth can lead to superficial analysis if not applied rigorously, and it may not capture the nuanced interplay between different environmental factors or the speed at which they change. For HR managers, integrating PESTLE with internal analysis tools (such as SWOT or the Warwick Model) can provide a more holistic understanding of the business environment.</w:t>
      </w:r>
    </w:p>
    <w:p w14:paraId="25BEBF20" w14:textId="77777777" w:rsidR="001217F7" w:rsidRPr="001217F7" w:rsidRDefault="001217F7" w:rsidP="001217F7">
      <w:pPr>
        <w:spacing w:line="360" w:lineRule="auto"/>
        <w:jc w:val="both"/>
        <w:rPr>
          <w:rFonts w:ascii="Arial" w:hAnsi="Arial" w:cs="Arial"/>
          <w:b/>
          <w:bCs/>
          <w:sz w:val="24"/>
          <w:szCs w:val="24"/>
          <w:lang w:val="ro-RO"/>
        </w:rPr>
      </w:pPr>
      <w:r w:rsidRPr="001217F7">
        <w:rPr>
          <w:rFonts w:ascii="Arial" w:hAnsi="Arial" w:cs="Arial"/>
          <w:b/>
          <w:bCs/>
          <w:sz w:val="24"/>
          <w:szCs w:val="24"/>
          <w:lang w:val="ro-RO"/>
        </w:rPr>
        <w:t>Linking PESTLE to HR Functions</w:t>
      </w:r>
    </w:p>
    <w:p w14:paraId="21B6F522"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Each element of the PESTLE framework has direct and indirect implications for core HR functions:</w:t>
      </w:r>
    </w:p>
    <w:p w14:paraId="02E6F046" w14:textId="77777777" w:rsidR="001217F7" w:rsidRPr="001217F7" w:rsidRDefault="001217F7" w:rsidP="001217F7">
      <w:pPr>
        <w:numPr>
          <w:ilvl w:val="0"/>
          <w:numId w:val="2"/>
        </w:numPr>
        <w:spacing w:line="360" w:lineRule="auto"/>
        <w:jc w:val="both"/>
        <w:rPr>
          <w:rFonts w:ascii="Arial" w:hAnsi="Arial" w:cs="Arial"/>
          <w:sz w:val="24"/>
          <w:szCs w:val="24"/>
          <w:lang w:val="ro-RO"/>
        </w:rPr>
      </w:pPr>
      <w:r w:rsidRPr="001217F7">
        <w:rPr>
          <w:rFonts w:ascii="Arial" w:hAnsi="Arial" w:cs="Arial"/>
          <w:b/>
          <w:bCs/>
          <w:sz w:val="24"/>
          <w:szCs w:val="24"/>
          <w:lang w:val="ro-RO"/>
        </w:rPr>
        <w:t>Recruitment and Selection:</w:t>
      </w:r>
      <w:r w:rsidRPr="001217F7">
        <w:rPr>
          <w:rFonts w:ascii="Arial" w:hAnsi="Arial" w:cs="Arial"/>
          <w:sz w:val="24"/>
          <w:szCs w:val="24"/>
          <w:lang w:val="ro-RO"/>
        </w:rPr>
        <w:t xml:space="preserve"> Political stability and favourable economic conditions can enhance talent attraction, while restrictive immigration laws or economic downturns may limit the available talent pool. Social trends, such as increasing demand for flexible work or diversity, require HR to adapt recruitment strategies and employer branding.</w:t>
      </w:r>
    </w:p>
    <w:p w14:paraId="709C5584" w14:textId="77777777" w:rsidR="001217F7" w:rsidRPr="001217F7" w:rsidRDefault="001217F7" w:rsidP="001217F7">
      <w:pPr>
        <w:numPr>
          <w:ilvl w:val="0"/>
          <w:numId w:val="2"/>
        </w:numPr>
        <w:spacing w:line="360" w:lineRule="auto"/>
        <w:jc w:val="both"/>
        <w:rPr>
          <w:rFonts w:ascii="Arial" w:hAnsi="Arial" w:cs="Arial"/>
          <w:sz w:val="24"/>
          <w:szCs w:val="24"/>
          <w:lang w:val="ro-RO"/>
        </w:rPr>
      </w:pPr>
      <w:r w:rsidRPr="001217F7">
        <w:rPr>
          <w:rFonts w:ascii="Arial" w:hAnsi="Arial" w:cs="Arial"/>
          <w:b/>
          <w:bCs/>
          <w:sz w:val="24"/>
          <w:szCs w:val="24"/>
          <w:lang w:val="ro-RO"/>
        </w:rPr>
        <w:t>Training and Development:</w:t>
      </w:r>
      <w:r w:rsidRPr="001217F7">
        <w:rPr>
          <w:rFonts w:ascii="Arial" w:hAnsi="Arial" w:cs="Arial"/>
          <w:sz w:val="24"/>
          <w:szCs w:val="24"/>
          <w:lang w:val="ro-RO"/>
        </w:rPr>
        <w:t xml:space="preserve"> Technological advancements necessitate continuous upskilling and reskilling, while legal requirements may mandate specific training (e.g., health and safety). Social expectations for lifelong learning and personal development also shape training agendas.</w:t>
      </w:r>
    </w:p>
    <w:p w14:paraId="3889899D" w14:textId="77777777" w:rsidR="001217F7" w:rsidRPr="001217F7" w:rsidRDefault="001217F7" w:rsidP="001217F7">
      <w:pPr>
        <w:numPr>
          <w:ilvl w:val="0"/>
          <w:numId w:val="2"/>
        </w:numPr>
        <w:spacing w:line="360" w:lineRule="auto"/>
        <w:jc w:val="both"/>
        <w:rPr>
          <w:rFonts w:ascii="Arial" w:hAnsi="Arial" w:cs="Arial"/>
          <w:sz w:val="24"/>
          <w:szCs w:val="24"/>
          <w:lang w:val="ro-RO"/>
        </w:rPr>
      </w:pPr>
      <w:r w:rsidRPr="001217F7">
        <w:rPr>
          <w:rFonts w:ascii="Arial" w:hAnsi="Arial" w:cs="Arial"/>
          <w:b/>
          <w:bCs/>
          <w:sz w:val="24"/>
          <w:szCs w:val="24"/>
          <w:lang w:val="ro-RO"/>
        </w:rPr>
        <w:t>Performance Management:</w:t>
      </w:r>
      <w:r w:rsidRPr="001217F7">
        <w:rPr>
          <w:rFonts w:ascii="Arial" w:hAnsi="Arial" w:cs="Arial"/>
          <w:sz w:val="24"/>
          <w:szCs w:val="24"/>
          <w:lang w:val="ro-RO"/>
        </w:rPr>
        <w:t xml:space="preserve"> Economic pressures can drive a focus on productivity and efficiency, while social and legal factors influence the design of fair and inclusive appraisal systems. Technological tools enable data-driven performance tracking and feedback.</w:t>
      </w:r>
    </w:p>
    <w:p w14:paraId="0F7122BB" w14:textId="77777777" w:rsidR="001217F7" w:rsidRPr="001217F7" w:rsidRDefault="001217F7" w:rsidP="001217F7">
      <w:pPr>
        <w:numPr>
          <w:ilvl w:val="0"/>
          <w:numId w:val="2"/>
        </w:numPr>
        <w:spacing w:line="360" w:lineRule="auto"/>
        <w:jc w:val="both"/>
        <w:rPr>
          <w:rFonts w:ascii="Arial" w:hAnsi="Arial" w:cs="Arial"/>
          <w:sz w:val="24"/>
          <w:szCs w:val="24"/>
          <w:lang w:val="ro-RO"/>
        </w:rPr>
      </w:pPr>
      <w:r w:rsidRPr="001217F7">
        <w:rPr>
          <w:rFonts w:ascii="Arial" w:hAnsi="Arial" w:cs="Arial"/>
          <w:b/>
          <w:bCs/>
          <w:sz w:val="24"/>
          <w:szCs w:val="24"/>
          <w:lang w:val="ro-RO"/>
        </w:rPr>
        <w:t>Employee Relations:</w:t>
      </w:r>
      <w:r w:rsidRPr="001217F7">
        <w:rPr>
          <w:rFonts w:ascii="Arial" w:hAnsi="Arial" w:cs="Arial"/>
          <w:sz w:val="24"/>
          <w:szCs w:val="24"/>
          <w:lang w:val="ro-RO"/>
        </w:rPr>
        <w:t xml:space="preserve"> Political and legal environments determine the scope of collective bargaining, unionisation, and dispute resolution. Social and cultural norms affect communication styles, conflict management, and employee engagement initiatives.</w:t>
      </w:r>
    </w:p>
    <w:p w14:paraId="09344A58" w14:textId="0F346BE5"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 xml:space="preserve">The PESTLE model thus serves as a bridge between the external environment and HR practice, guiding managers in aligning HR policies with both global standards and local realities. However, its effectiveness depends on the ability of HR managers to </w:t>
      </w:r>
      <w:r w:rsidRPr="001217F7">
        <w:rPr>
          <w:rFonts w:ascii="Arial" w:hAnsi="Arial" w:cs="Arial"/>
          <w:sz w:val="24"/>
          <w:szCs w:val="24"/>
          <w:lang w:val="ro-RO"/>
        </w:rPr>
        <w:lastRenderedPageBreak/>
        <w:t>interpret and act on environmental signals, integrate internal organisational insights, and foster cross-functional collaboration.</w:t>
      </w:r>
    </w:p>
    <w:p w14:paraId="3614D076" w14:textId="77777777" w:rsidR="001217F7" w:rsidRPr="00936677" w:rsidRDefault="001217F7" w:rsidP="00344B0A">
      <w:pPr>
        <w:pStyle w:val="Heading2"/>
        <w:rPr>
          <w:rFonts w:ascii="Arial" w:hAnsi="Arial" w:cs="Arial"/>
          <w:sz w:val="28"/>
          <w:szCs w:val="28"/>
          <w:lang w:val="ro-RO"/>
        </w:rPr>
      </w:pPr>
      <w:bookmarkStart w:id="3" w:name="_Toc217130102"/>
      <w:r w:rsidRPr="00936677">
        <w:rPr>
          <w:rFonts w:ascii="Arial" w:hAnsi="Arial" w:cs="Arial"/>
          <w:sz w:val="28"/>
          <w:szCs w:val="28"/>
          <w:lang w:val="ro-RO"/>
        </w:rPr>
        <w:t>Organisation Application</w:t>
      </w:r>
      <w:bookmarkEnd w:id="3"/>
    </w:p>
    <w:p w14:paraId="578E1C11" w14:textId="77777777" w:rsidR="001217F7" w:rsidRPr="00936677" w:rsidRDefault="001217F7" w:rsidP="00344B0A">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Unilever: A Global Organisation</w:t>
      </w:r>
    </w:p>
    <w:p w14:paraId="01D7A799"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 is one of the world’s largest consumer goods companies, with operations in over 190 countries and a workforce exceeding 150,000 employees. Its product portfolio spans food, beverages, home care, and personal care brands, including household names such as Dove, Lipton, and Ben &amp; Jerry’s. Unilever’s global footprint requires it to manage a highly diverse workforce, navigate complex regulatory environments, and adapt to rapidly changing market conditions.</w:t>
      </w:r>
    </w:p>
    <w:p w14:paraId="49454FE1"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Unilever’s HR practices are designed to balance global consistency with local adaptation. The company’s HR model, known as the Connected 4 Growth framework, aligns HR functions with four strategic goals: purpose-led performance, inclusive leadership, empowerment and accountability, and employee well-being. This approach is embedded in Unilever’s Code of Business Principles, which emphasises mutual respect, fairness, and non-discrimination.</w:t>
      </w:r>
    </w:p>
    <w:p w14:paraId="03164688" w14:textId="77777777" w:rsidR="001217F7" w:rsidRPr="00936677" w:rsidRDefault="001217F7" w:rsidP="00344B0A">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Recruitment and Selection</w:t>
      </w:r>
    </w:p>
    <w:p w14:paraId="089C8715"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 employs a global talent acquisition strategy that leverages both centralised and localised processes. The company partners with recruitment process outsourcing (RPO) providers and uses AI-powered candidate screening tools to enhance efficiency and diversity in hiring. Unilever’s recruitment practices are tailored to local labour markets, taking into account legal requirements, cultural expectations, and economic conditions. For example, in India, Unilever collaborates with local universities to attract emerging talent, while in Europe, it emphasises employer branding and digital recruitment channels.</w:t>
      </w:r>
    </w:p>
    <w:p w14:paraId="77F6E288" w14:textId="77777777" w:rsidR="001217F7" w:rsidRPr="00936677" w:rsidRDefault="001217F7" w:rsidP="00344B0A">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Training and Development</w:t>
      </w:r>
    </w:p>
    <w:p w14:paraId="555D6B30"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 xml:space="preserve">Unilever invests heavily in employee development, offering a range of training programmes that address both global competencies and local needs. The company’s “Future Leaders Programme” is a flagship initiative that prepares high-potential employees for leadership roles across different markets. Training delivery methods include e-learning platforms, in-person workshops, and mentorship schemes, </w:t>
      </w:r>
      <w:r w:rsidRPr="001217F7">
        <w:rPr>
          <w:rFonts w:ascii="Arial" w:hAnsi="Arial" w:cs="Arial"/>
          <w:sz w:val="24"/>
          <w:szCs w:val="24"/>
          <w:lang w:val="ro-RO"/>
        </w:rPr>
        <w:lastRenderedPageBreak/>
        <w:t>ensuring accessibility and scalability. Unilever’s training agenda also incorporates sustainability, digital skills, and diversity awareness, reflecting its commitment to responsible business practices.</w:t>
      </w:r>
    </w:p>
    <w:p w14:paraId="7BE601CD" w14:textId="77777777" w:rsidR="001217F7" w:rsidRPr="00936677" w:rsidRDefault="001217F7" w:rsidP="00344B0A">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Performance Management</w:t>
      </w:r>
    </w:p>
    <w:p w14:paraId="41E00EDB"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Unilever’s performance management system combines global standards with local adaptation. The company uses a balanced scorecard approach, integrating financial, operational, and behavioural metrics. Performance appraisals are conducted regularly, with an emphasis on continuous feedback, development planning, and alignment with organisational values. In some countries, performance management is influenced by local legal requirements (e.g., mandatory appraisal documentation), while in others, cultural norms shape the frequency and style of feedback.</w:t>
      </w:r>
    </w:p>
    <w:p w14:paraId="4BA6CB4A" w14:textId="77777777" w:rsidR="001217F7" w:rsidRPr="00936677" w:rsidRDefault="001217F7" w:rsidP="00344B0A">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Employee Relations</w:t>
      </w:r>
    </w:p>
    <w:p w14:paraId="58D1A6A8"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 maintains strong employee relations through a combination of direct communication, collective bargaining, and employee engagement initiatives. The company recognises trade unions in over 50% of its global operations and participates in works councils, particularly in Europe. Unilever’s approach to employee relations is guided by its commitment to “doing well by doing good,” linking social sustainability with employee engagement. The company also prioritises diversity, equity, and inclusion (DEI), with ambitious targets for gender balance and representation across all levels.</w:t>
      </w:r>
    </w:p>
    <w:p w14:paraId="7DF34D86" w14:textId="3619BFCF" w:rsidR="001217F7" w:rsidRPr="00936677" w:rsidRDefault="001217F7" w:rsidP="001217F7">
      <w:pPr>
        <w:spacing w:line="360" w:lineRule="auto"/>
        <w:jc w:val="both"/>
        <w:rPr>
          <w:rFonts w:ascii="Arial" w:hAnsi="Arial" w:cs="Arial"/>
          <w:sz w:val="24"/>
          <w:szCs w:val="24"/>
          <w:lang w:val="ro-RO"/>
        </w:rPr>
      </w:pPr>
    </w:p>
    <w:p w14:paraId="329312CC" w14:textId="77777777" w:rsidR="00294269" w:rsidRPr="00936677" w:rsidRDefault="00294269" w:rsidP="001217F7">
      <w:pPr>
        <w:spacing w:line="360" w:lineRule="auto"/>
        <w:jc w:val="both"/>
        <w:rPr>
          <w:rFonts w:ascii="Arial" w:hAnsi="Arial" w:cs="Arial"/>
          <w:sz w:val="24"/>
          <w:szCs w:val="24"/>
          <w:lang w:val="ro-RO"/>
        </w:rPr>
      </w:pPr>
    </w:p>
    <w:p w14:paraId="2296A8B8" w14:textId="77777777" w:rsidR="00294269" w:rsidRPr="00936677" w:rsidRDefault="00294269" w:rsidP="001217F7">
      <w:pPr>
        <w:spacing w:line="360" w:lineRule="auto"/>
        <w:jc w:val="both"/>
        <w:rPr>
          <w:rFonts w:ascii="Arial" w:hAnsi="Arial" w:cs="Arial"/>
          <w:sz w:val="24"/>
          <w:szCs w:val="24"/>
          <w:lang w:val="ro-RO"/>
        </w:rPr>
      </w:pPr>
    </w:p>
    <w:p w14:paraId="31D45EE5" w14:textId="77777777" w:rsidR="00294269" w:rsidRPr="00936677" w:rsidRDefault="00294269" w:rsidP="001217F7">
      <w:pPr>
        <w:spacing w:line="360" w:lineRule="auto"/>
        <w:jc w:val="both"/>
        <w:rPr>
          <w:rFonts w:ascii="Arial" w:hAnsi="Arial" w:cs="Arial"/>
          <w:sz w:val="24"/>
          <w:szCs w:val="24"/>
          <w:lang w:val="ro-RO"/>
        </w:rPr>
      </w:pPr>
    </w:p>
    <w:p w14:paraId="06A2527D" w14:textId="77777777" w:rsidR="00294269" w:rsidRPr="00936677" w:rsidRDefault="00294269" w:rsidP="001217F7">
      <w:pPr>
        <w:spacing w:line="360" w:lineRule="auto"/>
        <w:jc w:val="both"/>
        <w:rPr>
          <w:rFonts w:ascii="Arial" w:hAnsi="Arial" w:cs="Arial"/>
          <w:sz w:val="24"/>
          <w:szCs w:val="24"/>
          <w:lang w:val="ro-RO"/>
        </w:rPr>
      </w:pPr>
    </w:p>
    <w:p w14:paraId="586BDF56" w14:textId="77777777" w:rsidR="00294269" w:rsidRPr="00936677" w:rsidRDefault="00294269" w:rsidP="001217F7">
      <w:pPr>
        <w:spacing w:line="360" w:lineRule="auto"/>
        <w:jc w:val="both"/>
        <w:rPr>
          <w:rFonts w:ascii="Arial" w:hAnsi="Arial" w:cs="Arial"/>
          <w:sz w:val="24"/>
          <w:szCs w:val="24"/>
          <w:lang w:val="ro-RO"/>
        </w:rPr>
      </w:pPr>
    </w:p>
    <w:p w14:paraId="38620511" w14:textId="77777777" w:rsidR="00294269" w:rsidRPr="00936677" w:rsidRDefault="00294269" w:rsidP="001217F7">
      <w:pPr>
        <w:spacing w:line="360" w:lineRule="auto"/>
        <w:jc w:val="both"/>
        <w:rPr>
          <w:rFonts w:ascii="Arial" w:hAnsi="Arial" w:cs="Arial"/>
          <w:sz w:val="24"/>
          <w:szCs w:val="24"/>
          <w:lang w:val="ro-RO"/>
        </w:rPr>
      </w:pPr>
    </w:p>
    <w:p w14:paraId="1587909A" w14:textId="77777777" w:rsidR="00294269" w:rsidRPr="001217F7" w:rsidRDefault="00294269" w:rsidP="001217F7">
      <w:pPr>
        <w:spacing w:line="360" w:lineRule="auto"/>
        <w:jc w:val="both"/>
        <w:rPr>
          <w:rFonts w:ascii="Arial" w:hAnsi="Arial" w:cs="Arial"/>
          <w:sz w:val="24"/>
          <w:szCs w:val="24"/>
          <w:lang w:val="ro-RO"/>
        </w:rPr>
      </w:pPr>
    </w:p>
    <w:p w14:paraId="79F20D5B" w14:textId="77777777" w:rsidR="001217F7" w:rsidRPr="00936677" w:rsidRDefault="001217F7" w:rsidP="00294269">
      <w:pPr>
        <w:pStyle w:val="Heading2"/>
        <w:rPr>
          <w:rFonts w:ascii="Arial" w:hAnsi="Arial" w:cs="Arial"/>
          <w:sz w:val="28"/>
          <w:szCs w:val="28"/>
          <w:lang w:val="ro-RO"/>
        </w:rPr>
      </w:pPr>
      <w:bookmarkStart w:id="4" w:name="_Toc217130103"/>
      <w:r w:rsidRPr="00936677">
        <w:rPr>
          <w:rFonts w:ascii="Arial" w:hAnsi="Arial" w:cs="Arial"/>
          <w:sz w:val="28"/>
          <w:szCs w:val="28"/>
          <w:lang w:val="ro-RO"/>
        </w:rPr>
        <w:lastRenderedPageBreak/>
        <w:t>Application of Model</w:t>
      </w:r>
      <w:bookmarkEnd w:id="4"/>
    </w:p>
    <w:p w14:paraId="55F749AD"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PESTLE Analysis of Unilever’s HR Practices</w:t>
      </w:r>
    </w:p>
    <w:p w14:paraId="0AD2682A"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The PESTLE framework provides a structured approach to analysing how environmental factors shape Unilever’s HR functions across different countries. The following table summarises key PESTLE factors and their impact on HR practices in selected countries:</w:t>
      </w:r>
    </w:p>
    <w:tbl>
      <w:tblPr>
        <w:tblStyle w:val="TableGrid"/>
        <w:tblW w:w="0" w:type="auto"/>
        <w:tblLook w:val="04A0" w:firstRow="1" w:lastRow="0" w:firstColumn="1" w:lastColumn="0" w:noHBand="0" w:noVBand="1"/>
      </w:tblPr>
      <w:tblGrid>
        <w:gridCol w:w="1571"/>
        <w:gridCol w:w="1512"/>
        <w:gridCol w:w="1442"/>
        <w:gridCol w:w="1572"/>
        <w:gridCol w:w="1501"/>
        <w:gridCol w:w="1418"/>
      </w:tblGrid>
      <w:tr w:rsidR="001217F7" w:rsidRPr="001217F7" w14:paraId="15D061B3" w14:textId="77777777" w:rsidTr="00294269">
        <w:tc>
          <w:tcPr>
            <w:tcW w:w="0" w:type="auto"/>
            <w:hideMark/>
          </w:tcPr>
          <w:p w14:paraId="44F2BF77" w14:textId="77777777" w:rsidR="001217F7" w:rsidRPr="001217F7" w:rsidRDefault="001217F7" w:rsidP="001217F7">
            <w:pPr>
              <w:spacing w:after="160" w:line="360" w:lineRule="auto"/>
              <w:jc w:val="both"/>
              <w:rPr>
                <w:rFonts w:ascii="Arial" w:hAnsi="Arial" w:cs="Arial"/>
                <w:b/>
                <w:bCs/>
                <w:sz w:val="24"/>
                <w:szCs w:val="24"/>
                <w:lang w:val="ro-RO"/>
              </w:rPr>
            </w:pPr>
            <w:r w:rsidRPr="001217F7">
              <w:rPr>
                <w:rFonts w:ascii="Arial" w:hAnsi="Arial" w:cs="Arial"/>
                <w:b/>
                <w:bCs/>
                <w:sz w:val="24"/>
                <w:szCs w:val="24"/>
                <w:lang w:val="ro-RO"/>
              </w:rPr>
              <w:t>PESTLE Factor</w:t>
            </w:r>
          </w:p>
        </w:tc>
        <w:tc>
          <w:tcPr>
            <w:tcW w:w="0" w:type="auto"/>
            <w:hideMark/>
          </w:tcPr>
          <w:p w14:paraId="2FA81884" w14:textId="77777777" w:rsidR="001217F7" w:rsidRPr="001217F7" w:rsidRDefault="001217F7" w:rsidP="001217F7">
            <w:pPr>
              <w:spacing w:after="160" w:line="360" w:lineRule="auto"/>
              <w:jc w:val="both"/>
              <w:rPr>
                <w:rFonts w:ascii="Arial" w:hAnsi="Arial" w:cs="Arial"/>
                <w:b/>
                <w:bCs/>
                <w:sz w:val="24"/>
                <w:szCs w:val="24"/>
                <w:lang w:val="ro-RO"/>
              </w:rPr>
            </w:pPr>
            <w:r w:rsidRPr="001217F7">
              <w:rPr>
                <w:rFonts w:ascii="Arial" w:hAnsi="Arial" w:cs="Arial"/>
                <w:b/>
                <w:bCs/>
                <w:sz w:val="24"/>
                <w:szCs w:val="24"/>
                <w:lang w:val="ro-RO"/>
              </w:rPr>
              <w:t>United States</w:t>
            </w:r>
          </w:p>
        </w:tc>
        <w:tc>
          <w:tcPr>
            <w:tcW w:w="0" w:type="auto"/>
            <w:hideMark/>
          </w:tcPr>
          <w:p w14:paraId="5EC14316" w14:textId="77777777" w:rsidR="001217F7" w:rsidRPr="001217F7" w:rsidRDefault="001217F7" w:rsidP="001217F7">
            <w:pPr>
              <w:spacing w:after="160" w:line="360" w:lineRule="auto"/>
              <w:jc w:val="both"/>
              <w:rPr>
                <w:rFonts w:ascii="Arial" w:hAnsi="Arial" w:cs="Arial"/>
                <w:b/>
                <w:bCs/>
                <w:sz w:val="24"/>
                <w:szCs w:val="24"/>
                <w:lang w:val="ro-RO"/>
              </w:rPr>
            </w:pPr>
            <w:r w:rsidRPr="001217F7">
              <w:rPr>
                <w:rFonts w:ascii="Arial" w:hAnsi="Arial" w:cs="Arial"/>
                <w:b/>
                <w:bCs/>
                <w:sz w:val="24"/>
                <w:szCs w:val="24"/>
                <w:lang w:val="ro-RO"/>
              </w:rPr>
              <w:t>India</w:t>
            </w:r>
          </w:p>
        </w:tc>
        <w:tc>
          <w:tcPr>
            <w:tcW w:w="0" w:type="auto"/>
            <w:hideMark/>
          </w:tcPr>
          <w:p w14:paraId="3737999B" w14:textId="77777777" w:rsidR="001217F7" w:rsidRPr="001217F7" w:rsidRDefault="001217F7" w:rsidP="001217F7">
            <w:pPr>
              <w:spacing w:after="160" w:line="360" w:lineRule="auto"/>
              <w:jc w:val="both"/>
              <w:rPr>
                <w:rFonts w:ascii="Arial" w:hAnsi="Arial" w:cs="Arial"/>
                <w:b/>
                <w:bCs/>
                <w:sz w:val="24"/>
                <w:szCs w:val="24"/>
                <w:lang w:val="ro-RO"/>
              </w:rPr>
            </w:pPr>
            <w:r w:rsidRPr="001217F7">
              <w:rPr>
                <w:rFonts w:ascii="Arial" w:hAnsi="Arial" w:cs="Arial"/>
                <w:b/>
                <w:bCs/>
                <w:sz w:val="24"/>
                <w:szCs w:val="24"/>
                <w:lang w:val="ro-RO"/>
              </w:rPr>
              <w:t>China</w:t>
            </w:r>
          </w:p>
        </w:tc>
        <w:tc>
          <w:tcPr>
            <w:tcW w:w="0" w:type="auto"/>
            <w:hideMark/>
          </w:tcPr>
          <w:p w14:paraId="6B0C9763" w14:textId="77777777" w:rsidR="001217F7" w:rsidRPr="001217F7" w:rsidRDefault="001217F7" w:rsidP="001217F7">
            <w:pPr>
              <w:spacing w:after="160" w:line="360" w:lineRule="auto"/>
              <w:jc w:val="both"/>
              <w:rPr>
                <w:rFonts w:ascii="Arial" w:hAnsi="Arial" w:cs="Arial"/>
                <w:b/>
                <w:bCs/>
                <w:sz w:val="24"/>
                <w:szCs w:val="24"/>
                <w:lang w:val="ro-RO"/>
              </w:rPr>
            </w:pPr>
            <w:r w:rsidRPr="001217F7">
              <w:rPr>
                <w:rFonts w:ascii="Arial" w:hAnsi="Arial" w:cs="Arial"/>
                <w:b/>
                <w:bCs/>
                <w:sz w:val="24"/>
                <w:szCs w:val="24"/>
                <w:lang w:val="ro-RO"/>
              </w:rPr>
              <w:t>Germany</w:t>
            </w:r>
          </w:p>
        </w:tc>
        <w:tc>
          <w:tcPr>
            <w:tcW w:w="0" w:type="auto"/>
            <w:hideMark/>
          </w:tcPr>
          <w:p w14:paraId="5D18A720" w14:textId="77777777" w:rsidR="001217F7" w:rsidRPr="001217F7" w:rsidRDefault="001217F7" w:rsidP="001217F7">
            <w:pPr>
              <w:spacing w:after="160" w:line="360" w:lineRule="auto"/>
              <w:jc w:val="both"/>
              <w:rPr>
                <w:rFonts w:ascii="Arial" w:hAnsi="Arial" w:cs="Arial"/>
                <w:b/>
                <w:bCs/>
                <w:sz w:val="24"/>
                <w:szCs w:val="24"/>
                <w:lang w:val="ro-RO"/>
              </w:rPr>
            </w:pPr>
            <w:r w:rsidRPr="001217F7">
              <w:rPr>
                <w:rFonts w:ascii="Arial" w:hAnsi="Arial" w:cs="Arial"/>
                <w:b/>
                <w:bCs/>
                <w:sz w:val="24"/>
                <w:szCs w:val="24"/>
                <w:lang w:val="ro-RO"/>
              </w:rPr>
              <w:t>Romania</w:t>
            </w:r>
          </w:p>
        </w:tc>
      </w:tr>
      <w:tr w:rsidR="001217F7" w:rsidRPr="001217F7" w14:paraId="2E11B3DA" w14:textId="77777777" w:rsidTr="00294269">
        <w:tc>
          <w:tcPr>
            <w:tcW w:w="0" w:type="auto"/>
            <w:hideMark/>
          </w:tcPr>
          <w:p w14:paraId="7640D928"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Political</w:t>
            </w:r>
          </w:p>
        </w:tc>
        <w:tc>
          <w:tcPr>
            <w:tcW w:w="0" w:type="auto"/>
            <w:hideMark/>
          </w:tcPr>
          <w:p w14:paraId="30D7B829"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Stable, pro-business, but complex federal/state laws</w:t>
            </w:r>
          </w:p>
        </w:tc>
        <w:tc>
          <w:tcPr>
            <w:tcW w:w="0" w:type="auto"/>
            <w:hideMark/>
          </w:tcPr>
          <w:p w14:paraId="5EC0D4A2"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Labour law reforms, strong government influence</w:t>
            </w:r>
          </w:p>
        </w:tc>
        <w:tc>
          <w:tcPr>
            <w:tcW w:w="0" w:type="auto"/>
            <w:hideMark/>
          </w:tcPr>
          <w:p w14:paraId="26AA3F97"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Centralised regulation, state-owned enterprise influence</w:t>
            </w:r>
          </w:p>
        </w:tc>
        <w:tc>
          <w:tcPr>
            <w:tcW w:w="0" w:type="auto"/>
            <w:hideMark/>
          </w:tcPr>
          <w:p w14:paraId="6C565D8B"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Strong worker protections, co-determination</w:t>
            </w:r>
          </w:p>
        </w:tc>
        <w:tc>
          <w:tcPr>
            <w:tcW w:w="0" w:type="auto"/>
            <w:hideMark/>
          </w:tcPr>
          <w:p w14:paraId="484F8798"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Recent reforms, EU alignment, union presence</w:t>
            </w:r>
          </w:p>
        </w:tc>
      </w:tr>
      <w:tr w:rsidR="001217F7" w:rsidRPr="001217F7" w14:paraId="08FDE2E2" w14:textId="77777777" w:rsidTr="00294269">
        <w:tc>
          <w:tcPr>
            <w:tcW w:w="0" w:type="auto"/>
            <w:hideMark/>
          </w:tcPr>
          <w:p w14:paraId="782D7FAB"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Economic</w:t>
            </w:r>
          </w:p>
        </w:tc>
        <w:tc>
          <w:tcPr>
            <w:tcW w:w="0" w:type="auto"/>
            <w:hideMark/>
          </w:tcPr>
          <w:p w14:paraId="0487BC49"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High wage levels, tight labour market</w:t>
            </w:r>
          </w:p>
        </w:tc>
        <w:tc>
          <w:tcPr>
            <w:tcW w:w="0" w:type="auto"/>
            <w:hideMark/>
          </w:tcPr>
          <w:p w14:paraId="664EE50E"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Rapid growth, wage disparities</w:t>
            </w:r>
          </w:p>
        </w:tc>
        <w:tc>
          <w:tcPr>
            <w:tcW w:w="0" w:type="auto"/>
            <w:hideMark/>
          </w:tcPr>
          <w:p w14:paraId="7BB62E30"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Fast-growing, urban-rural divide</w:t>
            </w:r>
          </w:p>
        </w:tc>
        <w:tc>
          <w:tcPr>
            <w:tcW w:w="0" w:type="auto"/>
            <w:hideMark/>
          </w:tcPr>
          <w:p w14:paraId="1716DB0E"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Stable, high wages, skills shortages</w:t>
            </w:r>
          </w:p>
        </w:tc>
        <w:tc>
          <w:tcPr>
            <w:tcW w:w="0" w:type="auto"/>
            <w:hideMark/>
          </w:tcPr>
          <w:p w14:paraId="62DE660D"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Lower wages, high emigration, skills gaps</w:t>
            </w:r>
          </w:p>
        </w:tc>
      </w:tr>
      <w:tr w:rsidR="001217F7" w:rsidRPr="001217F7" w14:paraId="703A03E6" w14:textId="77777777" w:rsidTr="00294269">
        <w:tc>
          <w:tcPr>
            <w:tcW w:w="0" w:type="auto"/>
            <w:hideMark/>
          </w:tcPr>
          <w:p w14:paraId="0EF5A9A2"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Social</w:t>
            </w:r>
          </w:p>
        </w:tc>
        <w:tc>
          <w:tcPr>
            <w:tcW w:w="0" w:type="auto"/>
            <w:hideMark/>
          </w:tcPr>
          <w:p w14:paraId="017961CE"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Diversity focus, generational shifts</w:t>
            </w:r>
          </w:p>
        </w:tc>
        <w:tc>
          <w:tcPr>
            <w:tcW w:w="0" w:type="auto"/>
            <w:hideMark/>
          </w:tcPr>
          <w:p w14:paraId="28A9C6EC"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Hierarchical, collectivist, emerging middle class</w:t>
            </w:r>
          </w:p>
        </w:tc>
        <w:tc>
          <w:tcPr>
            <w:tcW w:w="0" w:type="auto"/>
            <w:hideMark/>
          </w:tcPr>
          <w:p w14:paraId="14411039"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Collectivist, respect for hierarchy</w:t>
            </w:r>
          </w:p>
        </w:tc>
        <w:tc>
          <w:tcPr>
            <w:tcW w:w="0" w:type="auto"/>
            <w:hideMark/>
          </w:tcPr>
          <w:p w14:paraId="1F181A70"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Emphasis on work-life balance, inclusion</w:t>
            </w:r>
          </w:p>
        </w:tc>
        <w:tc>
          <w:tcPr>
            <w:tcW w:w="0" w:type="auto"/>
            <w:hideMark/>
          </w:tcPr>
          <w:p w14:paraId="7ABAED99"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Collectivist, high power distance, ageing workforce</w:t>
            </w:r>
          </w:p>
        </w:tc>
      </w:tr>
      <w:tr w:rsidR="001217F7" w:rsidRPr="001217F7" w14:paraId="0A157BDE" w14:textId="77777777" w:rsidTr="00294269">
        <w:tc>
          <w:tcPr>
            <w:tcW w:w="0" w:type="auto"/>
            <w:hideMark/>
          </w:tcPr>
          <w:p w14:paraId="7CB473C8"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Technological</w:t>
            </w:r>
          </w:p>
        </w:tc>
        <w:tc>
          <w:tcPr>
            <w:tcW w:w="0" w:type="auto"/>
            <w:hideMark/>
          </w:tcPr>
          <w:p w14:paraId="31CAA8C8"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Advanced HR tech adoption, AI-driven recruitment</w:t>
            </w:r>
          </w:p>
        </w:tc>
        <w:tc>
          <w:tcPr>
            <w:tcW w:w="0" w:type="auto"/>
            <w:hideMark/>
          </w:tcPr>
          <w:p w14:paraId="46B9D480"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Growing digitalisation, mobile-first</w:t>
            </w:r>
          </w:p>
        </w:tc>
        <w:tc>
          <w:tcPr>
            <w:tcW w:w="0" w:type="auto"/>
            <w:hideMark/>
          </w:tcPr>
          <w:p w14:paraId="621A1627"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Rapid tech adoption, digital platforms</w:t>
            </w:r>
          </w:p>
        </w:tc>
        <w:tc>
          <w:tcPr>
            <w:tcW w:w="0" w:type="auto"/>
            <w:hideMark/>
          </w:tcPr>
          <w:p w14:paraId="1DD0C657"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High automation, Industry 4.0</w:t>
            </w:r>
          </w:p>
        </w:tc>
        <w:tc>
          <w:tcPr>
            <w:tcW w:w="0" w:type="auto"/>
            <w:hideMark/>
          </w:tcPr>
          <w:p w14:paraId="6D55A7DB"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 xml:space="preserve">Digitalisation increasing, but lagging </w:t>
            </w:r>
            <w:r w:rsidRPr="001217F7">
              <w:rPr>
                <w:rFonts w:ascii="Arial" w:hAnsi="Arial" w:cs="Arial"/>
                <w:sz w:val="24"/>
                <w:szCs w:val="24"/>
                <w:lang w:val="ro-RO"/>
              </w:rPr>
              <w:lastRenderedPageBreak/>
              <w:t>EU average</w:t>
            </w:r>
          </w:p>
        </w:tc>
      </w:tr>
      <w:tr w:rsidR="001217F7" w:rsidRPr="001217F7" w14:paraId="6F50CA16" w14:textId="77777777" w:rsidTr="00294269">
        <w:tc>
          <w:tcPr>
            <w:tcW w:w="0" w:type="auto"/>
            <w:hideMark/>
          </w:tcPr>
          <w:p w14:paraId="753D9823"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lastRenderedPageBreak/>
              <w:t>Legal</w:t>
            </w:r>
          </w:p>
        </w:tc>
        <w:tc>
          <w:tcPr>
            <w:tcW w:w="0" w:type="auto"/>
            <w:hideMark/>
          </w:tcPr>
          <w:p w14:paraId="57026229"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Complex, litigious, strong anti-discrimination laws</w:t>
            </w:r>
          </w:p>
        </w:tc>
        <w:tc>
          <w:tcPr>
            <w:tcW w:w="0" w:type="auto"/>
            <w:hideMark/>
          </w:tcPr>
          <w:p w14:paraId="117CAB05"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Evolving, regional variation, compliance challenges</w:t>
            </w:r>
          </w:p>
        </w:tc>
        <w:tc>
          <w:tcPr>
            <w:tcW w:w="0" w:type="auto"/>
            <w:hideMark/>
          </w:tcPr>
          <w:p w14:paraId="76B99669"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Strict, centralised, data privacy concerns</w:t>
            </w:r>
          </w:p>
        </w:tc>
        <w:tc>
          <w:tcPr>
            <w:tcW w:w="0" w:type="auto"/>
            <w:hideMark/>
          </w:tcPr>
          <w:p w14:paraId="48CC31CE"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Strong labour law, works councils, GDPR</w:t>
            </w:r>
          </w:p>
        </w:tc>
        <w:tc>
          <w:tcPr>
            <w:tcW w:w="0" w:type="auto"/>
            <w:hideMark/>
          </w:tcPr>
          <w:p w14:paraId="5C9F88D2"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EU directives, local reforms, strict contracts</w:t>
            </w:r>
          </w:p>
        </w:tc>
      </w:tr>
      <w:tr w:rsidR="001217F7" w:rsidRPr="001217F7" w14:paraId="7AF0C4A3" w14:textId="77777777" w:rsidTr="00294269">
        <w:tc>
          <w:tcPr>
            <w:tcW w:w="0" w:type="auto"/>
            <w:hideMark/>
          </w:tcPr>
          <w:p w14:paraId="09659A1E"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Environmental</w:t>
            </w:r>
          </w:p>
        </w:tc>
        <w:tc>
          <w:tcPr>
            <w:tcW w:w="0" w:type="auto"/>
            <w:hideMark/>
          </w:tcPr>
          <w:p w14:paraId="19D62893"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High CSR expectations, sustainability reporting</w:t>
            </w:r>
          </w:p>
        </w:tc>
        <w:tc>
          <w:tcPr>
            <w:tcW w:w="0" w:type="auto"/>
            <w:hideMark/>
          </w:tcPr>
          <w:p w14:paraId="47DF414E"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Focus on green jobs, pollution concerns</w:t>
            </w:r>
          </w:p>
        </w:tc>
        <w:tc>
          <w:tcPr>
            <w:tcW w:w="0" w:type="auto"/>
            <w:hideMark/>
          </w:tcPr>
          <w:p w14:paraId="5AD92620"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Environmental regulation tightening</w:t>
            </w:r>
          </w:p>
        </w:tc>
        <w:tc>
          <w:tcPr>
            <w:tcW w:w="0" w:type="auto"/>
            <w:hideMark/>
          </w:tcPr>
          <w:p w14:paraId="57987CD4"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Strong sustainability culture, green HRM</w:t>
            </w:r>
          </w:p>
        </w:tc>
        <w:tc>
          <w:tcPr>
            <w:tcW w:w="0" w:type="auto"/>
            <w:hideMark/>
          </w:tcPr>
          <w:p w14:paraId="0FF9BDBD" w14:textId="77777777" w:rsidR="001217F7" w:rsidRPr="001217F7" w:rsidRDefault="001217F7" w:rsidP="001217F7">
            <w:pPr>
              <w:spacing w:after="160" w:line="360" w:lineRule="auto"/>
              <w:jc w:val="both"/>
              <w:rPr>
                <w:rFonts w:ascii="Arial" w:hAnsi="Arial" w:cs="Arial"/>
                <w:sz w:val="24"/>
                <w:szCs w:val="24"/>
                <w:lang w:val="ro-RO"/>
              </w:rPr>
            </w:pPr>
            <w:r w:rsidRPr="001217F7">
              <w:rPr>
                <w:rFonts w:ascii="Arial" w:hAnsi="Arial" w:cs="Arial"/>
                <w:sz w:val="24"/>
                <w:szCs w:val="24"/>
                <w:lang w:val="ro-RO"/>
              </w:rPr>
              <w:t>EU green policies, local adaptation</w:t>
            </w:r>
          </w:p>
        </w:tc>
      </w:tr>
    </w:tbl>
    <w:p w14:paraId="01B49E46"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b/>
          <w:bCs/>
          <w:sz w:val="24"/>
          <w:szCs w:val="24"/>
          <w:lang w:val="ro-RO"/>
        </w:rPr>
        <w:t>Table 1: PESTLE Factors and HR Practice Implications in Selected Countries</w:t>
      </w:r>
    </w:p>
    <w:p w14:paraId="09289D0E"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Political Factors</w:t>
      </w:r>
    </w:p>
    <w:p w14:paraId="761DC959"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Unilever’s HR managers must navigate a variety of political environments. In the United States, the federal system creates complexity, with differing employment laws at state and local levels. This requires HR to maintain robust compliance systems and adapt policies accordingly. In India and China, government interventions and labour law reforms can rapidly alter the regulatory landscape, necessitating agility in HR planning and policy implementation. In Germany and Romania, strong worker protections and union influence shape collective bargaining and employee relations strategies.</w:t>
      </w:r>
    </w:p>
    <w:p w14:paraId="6FC2530E"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Economic Factors</w:t>
      </w:r>
    </w:p>
    <w:p w14:paraId="0CF93B32"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Economic conditions directly impact Unilever’s HR strategies. In high-wage markets like the US and Germany, the company must offer competitive compensation and benefits to attract and retain talent. In emerging markets such as India and Romania, wage disparities and skills shortages require targeted recruitment, training, and retention initiatives. Economic downturns or inflationary pressures may prompt cost-saving measures, such as hiring freezes or restructuring, while periods of growth enable investment in talent development and expansion.</w:t>
      </w:r>
    </w:p>
    <w:p w14:paraId="5060B16C"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lastRenderedPageBreak/>
        <w:t>Social Factors</w:t>
      </w:r>
    </w:p>
    <w:p w14:paraId="28836848"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Social and cultural norms influence HR practices in profound ways. In the US and Western Europe, there is a strong emphasis on diversity, equity, and inclusion, with employees expecting flexible work arrangements and purpose-driven leadership. In India and China, hierarchical structures and collectivist values shape communication, decision-making, and leadership expectations. In Romania, high power distance and collectivism persist, affecting employee engagement and feedback mechanisms. HR managers must tailor engagement, communication, and development programmes to align with local cultural expectations.</w:t>
      </w:r>
    </w:p>
    <w:p w14:paraId="54446926"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Technological Factors</w:t>
      </w:r>
    </w:p>
    <w:p w14:paraId="5F82AC39"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 leverages advanced HR technologies globally, but adoption rates and digital readiness vary by country. In the US and Germany, AI-driven recruitment, digital learning platforms, and data analytics are widely used to enhance efficiency and decision-making. In India and China, mobile-first solutions and digital onboarding are increasingly prevalent, supporting large-scale recruitment and training. In Romania, digitalisation is progressing but lags behind EU averages, requiring HR to invest in digital literacy and infrastructure.</w:t>
      </w:r>
    </w:p>
    <w:p w14:paraId="3315E33F"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Legal Factors</w:t>
      </w:r>
    </w:p>
    <w:p w14:paraId="69BBA7E0"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Legal compliance is a critical concern for Unilever’s HR managers. In the US, complex anti-discrimination laws and litigious environments necessitate rigorous policy development and training. In the EU, GDPR and strong labour protections require robust data privacy and employee relations frameworks. In India and China, evolving legal landscapes and regional variations demand continuous monitoring and adaptation of HR policies. In Romania, recent reforms have aligned local laws with EU directives, but enforcement and interpretation can vary.</w:t>
      </w:r>
    </w:p>
    <w:p w14:paraId="5F241ADC" w14:textId="77777777" w:rsidR="001217F7" w:rsidRPr="00936677" w:rsidRDefault="001217F7" w:rsidP="00294269">
      <w:pPr>
        <w:pStyle w:val="ListParagraph"/>
        <w:numPr>
          <w:ilvl w:val="0"/>
          <w:numId w:val="7"/>
        </w:numPr>
        <w:spacing w:line="360" w:lineRule="auto"/>
        <w:jc w:val="both"/>
        <w:rPr>
          <w:rFonts w:ascii="Arial" w:hAnsi="Arial" w:cs="Arial"/>
          <w:b/>
          <w:bCs/>
          <w:sz w:val="24"/>
          <w:szCs w:val="24"/>
          <w:lang w:val="ro-RO"/>
        </w:rPr>
      </w:pPr>
      <w:r w:rsidRPr="00936677">
        <w:rPr>
          <w:rFonts w:ascii="Arial" w:hAnsi="Arial" w:cs="Arial"/>
          <w:b/>
          <w:bCs/>
          <w:sz w:val="24"/>
          <w:szCs w:val="24"/>
          <w:lang w:val="ro-RO"/>
        </w:rPr>
        <w:t>Environmental Factors</w:t>
      </w:r>
    </w:p>
    <w:p w14:paraId="072745A3"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Sustainability and CSR are integral to Unilever’s global strategy. The company’s HR practices promote green initiatives, employee engagement in sustainability, and alignment with global environmental standards. In Europe, strong regulatory frameworks drive green HRM, while in emerging markets, HR plays a key role in promoting environmental awareness and compliance with local regulations.</w:t>
      </w:r>
    </w:p>
    <w:p w14:paraId="08A73E48" w14:textId="4ED93356" w:rsidR="001217F7" w:rsidRPr="00936677" w:rsidRDefault="00294269" w:rsidP="00294269">
      <w:pPr>
        <w:pStyle w:val="Heading1"/>
        <w:jc w:val="center"/>
        <w:rPr>
          <w:rFonts w:ascii="Arial" w:hAnsi="Arial" w:cs="Arial"/>
          <w:b/>
          <w:bCs/>
          <w:sz w:val="36"/>
          <w:szCs w:val="36"/>
          <w:lang w:val="ro-RO"/>
        </w:rPr>
      </w:pPr>
      <w:bookmarkStart w:id="5" w:name="_Toc217130104"/>
      <w:r w:rsidRPr="00936677">
        <w:rPr>
          <w:rFonts w:ascii="Arial" w:hAnsi="Arial" w:cs="Arial"/>
          <w:b/>
          <w:bCs/>
          <w:sz w:val="36"/>
          <w:szCs w:val="36"/>
          <w:lang w:val="ro-RO"/>
        </w:rPr>
        <w:lastRenderedPageBreak/>
        <w:t>INTERNAL AND EXTERNAL ENVIRONMENTAL FACTORS AFFECTING HR MANAGERS’ EFFECTIVENESS</w:t>
      </w:r>
      <w:bookmarkEnd w:id="5"/>
    </w:p>
    <w:p w14:paraId="6F79C919" w14:textId="77777777" w:rsidR="00294269" w:rsidRPr="00936677" w:rsidRDefault="00294269" w:rsidP="00294269">
      <w:pPr>
        <w:rPr>
          <w:rFonts w:ascii="Arial" w:hAnsi="Arial" w:cs="Arial"/>
          <w:lang w:val="ro-RO"/>
        </w:rPr>
      </w:pPr>
    </w:p>
    <w:p w14:paraId="130D0F40" w14:textId="77777777" w:rsidR="001217F7" w:rsidRPr="00936677" w:rsidRDefault="001217F7" w:rsidP="00294269">
      <w:pPr>
        <w:pStyle w:val="Heading2"/>
        <w:rPr>
          <w:rFonts w:ascii="Arial" w:hAnsi="Arial" w:cs="Arial"/>
          <w:sz w:val="28"/>
          <w:szCs w:val="28"/>
          <w:lang w:val="ro-RO"/>
        </w:rPr>
      </w:pPr>
      <w:bookmarkStart w:id="6" w:name="_Toc217130105"/>
      <w:r w:rsidRPr="00936677">
        <w:rPr>
          <w:rFonts w:ascii="Arial" w:hAnsi="Arial" w:cs="Arial"/>
          <w:sz w:val="28"/>
          <w:szCs w:val="28"/>
          <w:lang w:val="ro-RO"/>
        </w:rPr>
        <w:t>Internal Factors</w:t>
      </w:r>
      <w:bookmarkEnd w:id="6"/>
    </w:p>
    <w:p w14:paraId="770EBB7A" w14:textId="77777777" w:rsidR="001217F7" w:rsidRPr="001217F7" w:rsidRDefault="001217F7" w:rsidP="001217F7">
      <w:pPr>
        <w:numPr>
          <w:ilvl w:val="0"/>
          <w:numId w:val="3"/>
        </w:numPr>
        <w:spacing w:line="360" w:lineRule="auto"/>
        <w:jc w:val="both"/>
        <w:rPr>
          <w:rFonts w:ascii="Arial" w:hAnsi="Arial" w:cs="Arial"/>
          <w:sz w:val="24"/>
          <w:szCs w:val="24"/>
          <w:lang w:val="ro-RO"/>
        </w:rPr>
      </w:pPr>
      <w:r w:rsidRPr="001217F7">
        <w:rPr>
          <w:rFonts w:ascii="Arial" w:hAnsi="Arial" w:cs="Arial"/>
          <w:b/>
          <w:bCs/>
          <w:sz w:val="24"/>
          <w:szCs w:val="24"/>
          <w:lang w:val="ro-RO"/>
        </w:rPr>
        <w:t>Organisational Culture:</w:t>
      </w:r>
      <w:r w:rsidRPr="001217F7">
        <w:rPr>
          <w:rFonts w:ascii="Arial" w:hAnsi="Arial" w:cs="Arial"/>
          <w:sz w:val="24"/>
          <w:szCs w:val="24"/>
          <w:lang w:val="ro-RO"/>
        </w:rPr>
        <w:t xml:space="preserve"> Unilever’s culture emphasises purpose, inclusivity, and sustainability. HR managers are responsible for embedding these values through recruitment, training, and performance management. A strong culture enhances engagement, retention, and innovation.</w:t>
      </w:r>
    </w:p>
    <w:p w14:paraId="0B3B1E20" w14:textId="77777777" w:rsidR="001217F7" w:rsidRPr="001217F7" w:rsidRDefault="001217F7" w:rsidP="001217F7">
      <w:pPr>
        <w:numPr>
          <w:ilvl w:val="0"/>
          <w:numId w:val="3"/>
        </w:numPr>
        <w:spacing w:line="360" w:lineRule="auto"/>
        <w:jc w:val="both"/>
        <w:rPr>
          <w:rFonts w:ascii="Arial" w:hAnsi="Arial" w:cs="Arial"/>
          <w:sz w:val="24"/>
          <w:szCs w:val="24"/>
          <w:lang w:val="ro-RO"/>
        </w:rPr>
      </w:pPr>
      <w:r w:rsidRPr="001217F7">
        <w:rPr>
          <w:rFonts w:ascii="Arial" w:hAnsi="Arial" w:cs="Arial"/>
          <w:b/>
          <w:bCs/>
          <w:sz w:val="24"/>
          <w:szCs w:val="24"/>
          <w:lang w:val="ro-RO"/>
        </w:rPr>
        <w:t>Leadership Style:</w:t>
      </w:r>
      <w:r w:rsidRPr="001217F7">
        <w:rPr>
          <w:rFonts w:ascii="Arial" w:hAnsi="Arial" w:cs="Arial"/>
          <w:sz w:val="24"/>
          <w:szCs w:val="24"/>
          <w:lang w:val="ro-RO"/>
        </w:rPr>
        <w:t xml:space="preserve"> Transformational leadership at Unilever fosters empowerment, collaboration, and continuous improvement. HR managers must develop and support leaders who can navigate complexity and drive change.</w:t>
      </w:r>
    </w:p>
    <w:p w14:paraId="75FF6D31" w14:textId="77777777" w:rsidR="001217F7" w:rsidRPr="001217F7" w:rsidRDefault="001217F7" w:rsidP="001217F7">
      <w:pPr>
        <w:numPr>
          <w:ilvl w:val="0"/>
          <w:numId w:val="3"/>
        </w:numPr>
        <w:spacing w:line="360" w:lineRule="auto"/>
        <w:jc w:val="both"/>
        <w:rPr>
          <w:rFonts w:ascii="Arial" w:hAnsi="Arial" w:cs="Arial"/>
          <w:sz w:val="24"/>
          <w:szCs w:val="24"/>
          <w:lang w:val="ro-RO"/>
        </w:rPr>
      </w:pPr>
      <w:r w:rsidRPr="001217F7">
        <w:rPr>
          <w:rFonts w:ascii="Arial" w:hAnsi="Arial" w:cs="Arial"/>
          <w:b/>
          <w:bCs/>
          <w:sz w:val="24"/>
          <w:szCs w:val="24"/>
          <w:lang w:val="ro-RO"/>
        </w:rPr>
        <w:t>Resource Allocation:</w:t>
      </w:r>
      <w:r w:rsidRPr="001217F7">
        <w:rPr>
          <w:rFonts w:ascii="Arial" w:hAnsi="Arial" w:cs="Arial"/>
          <w:sz w:val="24"/>
          <w:szCs w:val="24"/>
          <w:lang w:val="ro-RO"/>
        </w:rPr>
        <w:t xml:space="preserve"> Adequate investment in HR technology, training, and development is essential for effective HR management. Resource constraints can limit the ability to implement global initiatives or respond to local needs.</w:t>
      </w:r>
    </w:p>
    <w:p w14:paraId="630CDA26" w14:textId="77777777" w:rsidR="001217F7" w:rsidRPr="00936677" w:rsidRDefault="001217F7" w:rsidP="00294269">
      <w:pPr>
        <w:pStyle w:val="Heading2"/>
        <w:rPr>
          <w:rFonts w:ascii="Arial" w:hAnsi="Arial" w:cs="Arial"/>
          <w:sz w:val="28"/>
          <w:szCs w:val="28"/>
          <w:lang w:val="ro-RO"/>
        </w:rPr>
      </w:pPr>
      <w:bookmarkStart w:id="7" w:name="_Toc217130106"/>
      <w:r w:rsidRPr="00936677">
        <w:rPr>
          <w:rFonts w:ascii="Arial" w:hAnsi="Arial" w:cs="Arial"/>
          <w:sz w:val="28"/>
          <w:szCs w:val="28"/>
          <w:lang w:val="ro-RO"/>
        </w:rPr>
        <w:t>External Factors</w:t>
      </w:r>
      <w:bookmarkEnd w:id="7"/>
    </w:p>
    <w:p w14:paraId="7F19CCA0" w14:textId="77777777" w:rsidR="001217F7" w:rsidRPr="001217F7" w:rsidRDefault="001217F7" w:rsidP="001217F7">
      <w:pPr>
        <w:numPr>
          <w:ilvl w:val="0"/>
          <w:numId w:val="4"/>
        </w:numPr>
        <w:spacing w:line="360" w:lineRule="auto"/>
        <w:jc w:val="both"/>
        <w:rPr>
          <w:rFonts w:ascii="Arial" w:hAnsi="Arial" w:cs="Arial"/>
          <w:sz w:val="24"/>
          <w:szCs w:val="24"/>
          <w:lang w:val="ro-RO"/>
        </w:rPr>
      </w:pPr>
      <w:r w:rsidRPr="001217F7">
        <w:rPr>
          <w:rFonts w:ascii="Arial" w:hAnsi="Arial" w:cs="Arial"/>
          <w:b/>
          <w:bCs/>
          <w:sz w:val="24"/>
          <w:szCs w:val="24"/>
          <w:lang w:val="ro-RO"/>
        </w:rPr>
        <w:t>Regulatory Environment:</w:t>
      </w:r>
      <w:r w:rsidRPr="001217F7">
        <w:rPr>
          <w:rFonts w:ascii="Arial" w:hAnsi="Arial" w:cs="Arial"/>
          <w:sz w:val="24"/>
          <w:szCs w:val="24"/>
          <w:lang w:val="ro-RO"/>
        </w:rPr>
        <w:t xml:space="preserve"> Compliance with diverse legal frameworks is a major challenge. HR managers must stay abreast of changes, ensure policy alignment, and mitigate legal risks.</w:t>
      </w:r>
    </w:p>
    <w:p w14:paraId="1BCC1AC0" w14:textId="77777777" w:rsidR="001217F7" w:rsidRPr="001217F7" w:rsidRDefault="001217F7" w:rsidP="001217F7">
      <w:pPr>
        <w:numPr>
          <w:ilvl w:val="0"/>
          <w:numId w:val="4"/>
        </w:numPr>
        <w:spacing w:line="360" w:lineRule="auto"/>
        <w:jc w:val="both"/>
        <w:rPr>
          <w:rFonts w:ascii="Arial" w:hAnsi="Arial" w:cs="Arial"/>
          <w:sz w:val="24"/>
          <w:szCs w:val="24"/>
          <w:lang w:val="ro-RO"/>
        </w:rPr>
      </w:pPr>
      <w:r w:rsidRPr="001217F7">
        <w:rPr>
          <w:rFonts w:ascii="Arial" w:hAnsi="Arial" w:cs="Arial"/>
          <w:b/>
          <w:bCs/>
          <w:sz w:val="24"/>
          <w:szCs w:val="24"/>
          <w:lang w:val="ro-RO"/>
        </w:rPr>
        <w:t>Labour Market Dynamics:</w:t>
      </w:r>
      <w:r w:rsidRPr="001217F7">
        <w:rPr>
          <w:rFonts w:ascii="Arial" w:hAnsi="Arial" w:cs="Arial"/>
          <w:sz w:val="24"/>
          <w:szCs w:val="24"/>
          <w:lang w:val="ro-RO"/>
        </w:rPr>
        <w:t xml:space="preserve"> Talent shortages, wage inflation, and demographic shifts require proactive workforce planning and talent management strategies.</w:t>
      </w:r>
    </w:p>
    <w:p w14:paraId="002AFEB6" w14:textId="77777777" w:rsidR="001217F7" w:rsidRPr="001217F7" w:rsidRDefault="001217F7" w:rsidP="001217F7">
      <w:pPr>
        <w:numPr>
          <w:ilvl w:val="0"/>
          <w:numId w:val="4"/>
        </w:numPr>
        <w:spacing w:line="360" w:lineRule="auto"/>
        <w:jc w:val="both"/>
        <w:rPr>
          <w:rFonts w:ascii="Arial" w:hAnsi="Arial" w:cs="Arial"/>
          <w:sz w:val="24"/>
          <w:szCs w:val="24"/>
          <w:lang w:val="ro-RO"/>
        </w:rPr>
      </w:pPr>
      <w:r w:rsidRPr="001217F7">
        <w:rPr>
          <w:rFonts w:ascii="Arial" w:hAnsi="Arial" w:cs="Arial"/>
          <w:b/>
          <w:bCs/>
          <w:sz w:val="24"/>
          <w:szCs w:val="24"/>
          <w:lang w:val="ro-RO"/>
        </w:rPr>
        <w:t>Technological Change:</w:t>
      </w:r>
      <w:r w:rsidRPr="001217F7">
        <w:rPr>
          <w:rFonts w:ascii="Arial" w:hAnsi="Arial" w:cs="Arial"/>
          <w:sz w:val="24"/>
          <w:szCs w:val="24"/>
          <w:lang w:val="ro-RO"/>
        </w:rPr>
        <w:t xml:space="preserve"> Rapid digitalisation and AI adoption necessitate continuous upskilling and adaptation of HR processes.</w:t>
      </w:r>
    </w:p>
    <w:p w14:paraId="0C7A401F" w14:textId="77777777" w:rsidR="001217F7" w:rsidRPr="00936677" w:rsidRDefault="001217F7" w:rsidP="001217F7">
      <w:pPr>
        <w:numPr>
          <w:ilvl w:val="0"/>
          <w:numId w:val="4"/>
        </w:numPr>
        <w:spacing w:line="360" w:lineRule="auto"/>
        <w:jc w:val="both"/>
        <w:rPr>
          <w:rFonts w:ascii="Arial" w:hAnsi="Arial" w:cs="Arial"/>
          <w:sz w:val="24"/>
          <w:szCs w:val="24"/>
          <w:lang w:val="ro-RO"/>
        </w:rPr>
      </w:pPr>
      <w:r w:rsidRPr="001217F7">
        <w:rPr>
          <w:rFonts w:ascii="Arial" w:hAnsi="Arial" w:cs="Arial"/>
          <w:b/>
          <w:bCs/>
          <w:sz w:val="24"/>
          <w:szCs w:val="24"/>
          <w:lang w:val="ro-RO"/>
        </w:rPr>
        <w:t>Societal Expectations:</w:t>
      </w:r>
      <w:r w:rsidRPr="001217F7">
        <w:rPr>
          <w:rFonts w:ascii="Arial" w:hAnsi="Arial" w:cs="Arial"/>
          <w:sz w:val="24"/>
          <w:szCs w:val="24"/>
          <w:lang w:val="ro-RO"/>
        </w:rPr>
        <w:t xml:space="preserve"> Increasing demand for diversity, equity, inclusion, and sustainability shapes employer branding, recruitment, and employee engagement.</w:t>
      </w:r>
    </w:p>
    <w:p w14:paraId="0D58EC17" w14:textId="77777777" w:rsidR="00294269" w:rsidRPr="00936677" w:rsidRDefault="00294269" w:rsidP="00294269">
      <w:pPr>
        <w:spacing w:line="360" w:lineRule="auto"/>
        <w:jc w:val="both"/>
        <w:rPr>
          <w:rFonts w:ascii="Arial" w:hAnsi="Arial" w:cs="Arial"/>
          <w:sz w:val="24"/>
          <w:szCs w:val="24"/>
          <w:lang w:val="ro-RO"/>
        </w:rPr>
      </w:pPr>
    </w:p>
    <w:p w14:paraId="0D1F1CD4" w14:textId="77777777" w:rsidR="00294269" w:rsidRPr="001217F7" w:rsidRDefault="00294269" w:rsidP="00294269">
      <w:pPr>
        <w:spacing w:line="360" w:lineRule="auto"/>
        <w:jc w:val="both"/>
        <w:rPr>
          <w:rFonts w:ascii="Arial" w:hAnsi="Arial" w:cs="Arial"/>
          <w:sz w:val="24"/>
          <w:szCs w:val="24"/>
          <w:lang w:val="ro-RO"/>
        </w:rPr>
      </w:pPr>
    </w:p>
    <w:p w14:paraId="48FA9AFD" w14:textId="3F55F947" w:rsidR="001217F7" w:rsidRPr="00936677" w:rsidRDefault="00294269" w:rsidP="00294269">
      <w:pPr>
        <w:pStyle w:val="Heading1"/>
        <w:jc w:val="center"/>
        <w:rPr>
          <w:rFonts w:ascii="Arial" w:hAnsi="Arial" w:cs="Arial"/>
          <w:b/>
          <w:bCs/>
          <w:sz w:val="36"/>
          <w:szCs w:val="36"/>
          <w:lang w:val="ro-RO"/>
        </w:rPr>
      </w:pPr>
      <w:bookmarkStart w:id="8" w:name="_Toc217130107"/>
      <w:r w:rsidRPr="00936677">
        <w:rPr>
          <w:rFonts w:ascii="Arial" w:hAnsi="Arial" w:cs="Arial"/>
          <w:b/>
          <w:bCs/>
          <w:sz w:val="36"/>
          <w:szCs w:val="36"/>
          <w:lang w:val="ro-RO"/>
        </w:rPr>
        <w:lastRenderedPageBreak/>
        <w:t>COUNTRY-SPECIFIC DIFFERENCES: CULTURE, LEGAL REGULATIONS, AND ECONOMIC CONDITIONS</w:t>
      </w:r>
      <w:bookmarkEnd w:id="8"/>
    </w:p>
    <w:p w14:paraId="68E1AA69" w14:textId="77777777" w:rsidR="00294269" w:rsidRPr="00936677" w:rsidRDefault="00294269" w:rsidP="00294269">
      <w:pPr>
        <w:rPr>
          <w:rFonts w:ascii="Arial" w:hAnsi="Arial" w:cs="Arial"/>
          <w:lang w:val="ro-RO"/>
        </w:rPr>
      </w:pPr>
    </w:p>
    <w:p w14:paraId="5118A6D4" w14:textId="77777777" w:rsidR="001217F7" w:rsidRPr="00936677" w:rsidRDefault="001217F7" w:rsidP="00294269">
      <w:pPr>
        <w:pStyle w:val="Heading2"/>
        <w:rPr>
          <w:rStyle w:val="SubtleEmphasis"/>
          <w:rFonts w:ascii="Arial" w:hAnsi="Arial" w:cs="Arial"/>
          <w:i w:val="0"/>
          <w:iCs w:val="0"/>
          <w:color w:val="0F4761" w:themeColor="accent1" w:themeShade="BF"/>
        </w:rPr>
      </w:pPr>
      <w:bookmarkStart w:id="9" w:name="_Toc217130108"/>
      <w:r w:rsidRPr="00936677">
        <w:rPr>
          <w:rStyle w:val="SubtleEmphasis"/>
          <w:rFonts w:ascii="Arial" w:hAnsi="Arial" w:cs="Arial"/>
          <w:i w:val="0"/>
          <w:iCs w:val="0"/>
          <w:color w:val="0F4761" w:themeColor="accent1" w:themeShade="BF"/>
        </w:rPr>
        <w:t>Culture</w:t>
      </w:r>
      <w:bookmarkEnd w:id="9"/>
    </w:p>
    <w:p w14:paraId="39C4F625"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Cultural dimensions—such as power distance, individualism versus collectivism, and uncertainty avoidance—significantly influence HR practices. For example, in Romania, high power distance and collectivism result in hierarchical structures and centralised decision-making, affecting communication and feedback. In the US, low power distance and individualism promote open dialogue and employee empowerment. HR managers must develop cultural intelligence and adapt leadership, communication, and engagement strategies accordingly.</w:t>
      </w:r>
    </w:p>
    <w:p w14:paraId="5423CF31" w14:textId="77777777" w:rsidR="001217F7" w:rsidRPr="00936677" w:rsidRDefault="001217F7" w:rsidP="00294269">
      <w:pPr>
        <w:pStyle w:val="Heading2"/>
        <w:rPr>
          <w:rStyle w:val="SubtleEmphasis"/>
          <w:rFonts w:ascii="Arial" w:hAnsi="Arial" w:cs="Arial"/>
          <w:i w:val="0"/>
          <w:iCs w:val="0"/>
          <w:color w:val="0F4761" w:themeColor="accent1" w:themeShade="BF"/>
        </w:rPr>
      </w:pPr>
      <w:bookmarkStart w:id="10" w:name="_Toc217130109"/>
      <w:r w:rsidRPr="00936677">
        <w:rPr>
          <w:rStyle w:val="SubtleEmphasis"/>
          <w:rFonts w:ascii="Arial" w:hAnsi="Arial" w:cs="Arial"/>
          <w:i w:val="0"/>
          <w:iCs w:val="0"/>
          <w:color w:val="0F4761" w:themeColor="accent1" w:themeShade="BF"/>
        </w:rPr>
        <w:t>Legal Regulations</w:t>
      </w:r>
      <w:bookmarkEnd w:id="10"/>
    </w:p>
    <w:p w14:paraId="7CD07E43"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Legal frameworks vary widely across countries. In Germany, strong co-determination laws require HR to engage with works councils and ensure employee participation in decision-making. In India, regional variations and frequent reforms create compliance challenges. In Romania, EU alignment has strengthened employee protections, but enforcement can be inconsistent. HR managers must tailor policies and procedures to local legal requirements, balancing global standards with local compliance.</w:t>
      </w:r>
    </w:p>
    <w:p w14:paraId="6588CD05" w14:textId="77777777" w:rsidR="001217F7" w:rsidRPr="00936677" w:rsidRDefault="001217F7" w:rsidP="00294269">
      <w:pPr>
        <w:pStyle w:val="Heading2"/>
        <w:rPr>
          <w:rStyle w:val="SubtleEmphasis"/>
          <w:rFonts w:ascii="Arial" w:hAnsi="Arial" w:cs="Arial"/>
          <w:i w:val="0"/>
          <w:iCs w:val="0"/>
          <w:color w:val="0F4761" w:themeColor="accent1" w:themeShade="BF"/>
        </w:rPr>
      </w:pPr>
      <w:bookmarkStart w:id="11" w:name="_Toc217130110"/>
      <w:r w:rsidRPr="00936677">
        <w:rPr>
          <w:rStyle w:val="SubtleEmphasis"/>
          <w:rFonts w:ascii="Arial" w:hAnsi="Arial" w:cs="Arial"/>
          <w:i w:val="0"/>
          <w:iCs w:val="0"/>
          <w:color w:val="0F4761" w:themeColor="accent1" w:themeShade="BF"/>
        </w:rPr>
        <w:t>Economic Conditions</w:t>
      </w:r>
      <w:bookmarkEnd w:id="11"/>
    </w:p>
    <w:p w14:paraId="4C2E1C3F"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Economic disparities influence compensation, benefits, and talent management. In high-income countries, competitive pay and benefits are essential for attracting talent, while in lower-income markets, HR may focus on non-monetary incentives, training, and career development to enhance retention. Economic volatility, inflation, and unemployment rates also impact workforce planning and organisational resilience.</w:t>
      </w:r>
    </w:p>
    <w:p w14:paraId="1FFE7827" w14:textId="67DCE8A9" w:rsidR="001217F7" w:rsidRPr="00936677" w:rsidRDefault="001217F7" w:rsidP="001217F7">
      <w:pPr>
        <w:spacing w:line="360" w:lineRule="auto"/>
        <w:jc w:val="both"/>
        <w:rPr>
          <w:rFonts w:ascii="Arial" w:hAnsi="Arial" w:cs="Arial"/>
          <w:sz w:val="24"/>
          <w:szCs w:val="24"/>
          <w:lang w:val="ro-RO"/>
        </w:rPr>
      </w:pPr>
    </w:p>
    <w:p w14:paraId="5EEC0A00" w14:textId="77777777" w:rsidR="003D705D" w:rsidRPr="00936677" w:rsidRDefault="003D705D" w:rsidP="001217F7">
      <w:pPr>
        <w:spacing w:line="360" w:lineRule="auto"/>
        <w:jc w:val="both"/>
        <w:rPr>
          <w:rFonts w:ascii="Arial" w:hAnsi="Arial" w:cs="Arial"/>
          <w:sz w:val="24"/>
          <w:szCs w:val="24"/>
          <w:lang w:val="ro-RO"/>
        </w:rPr>
      </w:pPr>
    </w:p>
    <w:p w14:paraId="1B500FEA" w14:textId="77777777" w:rsidR="003D705D" w:rsidRPr="00936677" w:rsidRDefault="003D705D" w:rsidP="001217F7">
      <w:pPr>
        <w:spacing w:line="360" w:lineRule="auto"/>
        <w:jc w:val="both"/>
        <w:rPr>
          <w:rFonts w:ascii="Arial" w:hAnsi="Arial" w:cs="Arial"/>
          <w:sz w:val="24"/>
          <w:szCs w:val="24"/>
          <w:lang w:val="ro-RO"/>
        </w:rPr>
      </w:pPr>
    </w:p>
    <w:p w14:paraId="50BF9EDF" w14:textId="77777777" w:rsidR="003D705D" w:rsidRPr="00936677" w:rsidRDefault="003D705D" w:rsidP="001217F7">
      <w:pPr>
        <w:spacing w:line="360" w:lineRule="auto"/>
        <w:jc w:val="both"/>
        <w:rPr>
          <w:rFonts w:ascii="Arial" w:hAnsi="Arial" w:cs="Arial"/>
          <w:sz w:val="24"/>
          <w:szCs w:val="24"/>
          <w:lang w:val="ro-RO"/>
        </w:rPr>
      </w:pPr>
    </w:p>
    <w:p w14:paraId="1CC5157C" w14:textId="77777777" w:rsidR="003D705D" w:rsidRPr="001217F7" w:rsidRDefault="003D705D" w:rsidP="001217F7">
      <w:pPr>
        <w:spacing w:line="360" w:lineRule="auto"/>
        <w:jc w:val="both"/>
        <w:rPr>
          <w:rFonts w:ascii="Arial" w:hAnsi="Arial" w:cs="Arial"/>
          <w:sz w:val="24"/>
          <w:szCs w:val="24"/>
          <w:lang w:val="ro-RO"/>
        </w:rPr>
      </w:pPr>
    </w:p>
    <w:p w14:paraId="00542CCA" w14:textId="3CB80DB9" w:rsidR="001217F7" w:rsidRPr="00936677" w:rsidRDefault="003D705D" w:rsidP="003D705D">
      <w:pPr>
        <w:pStyle w:val="Heading1"/>
        <w:jc w:val="center"/>
        <w:rPr>
          <w:rFonts w:ascii="Arial" w:hAnsi="Arial" w:cs="Arial"/>
          <w:b/>
          <w:bCs/>
          <w:sz w:val="36"/>
          <w:szCs w:val="36"/>
          <w:lang w:val="ro-RO"/>
        </w:rPr>
      </w:pPr>
      <w:bookmarkStart w:id="12" w:name="_Toc217130111"/>
      <w:r w:rsidRPr="00936677">
        <w:rPr>
          <w:rFonts w:ascii="Arial" w:hAnsi="Arial" w:cs="Arial"/>
          <w:b/>
          <w:bCs/>
          <w:sz w:val="36"/>
          <w:szCs w:val="36"/>
          <w:lang w:val="ro-RO"/>
        </w:rPr>
        <w:lastRenderedPageBreak/>
        <w:t>CONCLUSION</w:t>
      </w:r>
      <w:bookmarkEnd w:id="12"/>
    </w:p>
    <w:p w14:paraId="3F0CC1CB" w14:textId="77777777" w:rsidR="003D705D" w:rsidRPr="00936677" w:rsidRDefault="003D705D" w:rsidP="003D705D">
      <w:pPr>
        <w:rPr>
          <w:rFonts w:ascii="Arial" w:hAnsi="Arial" w:cs="Arial"/>
          <w:lang w:val="ro-RO"/>
        </w:rPr>
      </w:pPr>
    </w:p>
    <w:p w14:paraId="3846F2D6"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This report has examined how environmental factors influence the effectiveness of HR managers in global organisations, with a focus on Unilever as a case study. The PESTLE framework provides a comprehensive lens for analysing the external environment, highlighting the interplay between political, economic, social, technological, legal, and environmental factors. Internal factors—such as organisational culture, leadership, and resource allocation—are equally critical, shaping the capacity of HR managers to implement effective strategies.</w:t>
      </w:r>
    </w:p>
    <w:p w14:paraId="14DED117"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Unilever’s experience demonstrates the importance of balancing global consistency with local adaptation. HR managers must be culturally competent, legally astute, and technologically savvy to navigate diverse environments and drive organisational success. Country-specific factors—such as culture, legal regulations, and economic conditions—require tailored approaches to recruitment, training, performance management, and employee relations.</w:t>
      </w:r>
    </w:p>
    <w:p w14:paraId="43081CF2" w14:textId="77777777" w:rsidR="001217F7" w:rsidRPr="001217F7" w:rsidRDefault="001217F7" w:rsidP="001217F7">
      <w:pPr>
        <w:spacing w:line="360" w:lineRule="auto"/>
        <w:jc w:val="both"/>
        <w:rPr>
          <w:rFonts w:ascii="Arial" w:hAnsi="Arial" w:cs="Arial"/>
          <w:sz w:val="24"/>
          <w:szCs w:val="24"/>
          <w:lang w:val="ro-RO"/>
        </w:rPr>
      </w:pPr>
      <w:r w:rsidRPr="001217F7">
        <w:rPr>
          <w:rFonts w:ascii="Arial" w:hAnsi="Arial" w:cs="Arial"/>
          <w:sz w:val="24"/>
          <w:szCs w:val="24"/>
          <w:lang w:val="ro-RO"/>
        </w:rPr>
        <w:t>Looking ahead, the role of HR managers in global organisations will become increasingly complex. Ongoing changes in the business environment—driven by digital transformation, demographic shifts, evolving societal expectations, and regulatory reforms—will demand agility, innovation, and continuous learning. HR managers must leverage technology, foster inclusive cultures, and align HR strategies with organisational purpose and sustainability goals. By integrating environmental analysis with strategic HRM, global organisations can enhance resilience, competitiveness, and long-term value creation.</w:t>
      </w:r>
    </w:p>
    <w:p w14:paraId="368C4B7C" w14:textId="2D5EAD00" w:rsidR="003D705D" w:rsidRPr="00936677" w:rsidRDefault="003D705D" w:rsidP="001217F7">
      <w:pPr>
        <w:spacing w:line="360" w:lineRule="auto"/>
        <w:jc w:val="both"/>
        <w:rPr>
          <w:rFonts w:ascii="Arial" w:hAnsi="Arial" w:cs="Arial"/>
          <w:sz w:val="24"/>
          <w:szCs w:val="24"/>
          <w:lang w:val="ro-RO"/>
        </w:rPr>
      </w:pPr>
    </w:p>
    <w:p w14:paraId="6EB5386E" w14:textId="77777777" w:rsidR="003D705D" w:rsidRPr="00936677" w:rsidRDefault="003D705D" w:rsidP="001217F7">
      <w:pPr>
        <w:spacing w:line="360" w:lineRule="auto"/>
        <w:jc w:val="both"/>
        <w:rPr>
          <w:rFonts w:ascii="Arial" w:hAnsi="Arial" w:cs="Arial"/>
          <w:sz w:val="24"/>
          <w:szCs w:val="24"/>
          <w:lang w:val="ro-RO"/>
        </w:rPr>
      </w:pPr>
    </w:p>
    <w:p w14:paraId="52FD6A93" w14:textId="77777777" w:rsidR="003D705D" w:rsidRPr="00936677" w:rsidRDefault="003D705D" w:rsidP="001217F7">
      <w:pPr>
        <w:spacing w:line="360" w:lineRule="auto"/>
        <w:jc w:val="both"/>
        <w:rPr>
          <w:rFonts w:ascii="Arial" w:hAnsi="Arial" w:cs="Arial"/>
          <w:sz w:val="24"/>
          <w:szCs w:val="24"/>
          <w:lang w:val="ro-RO"/>
        </w:rPr>
      </w:pPr>
    </w:p>
    <w:p w14:paraId="7B116B4E" w14:textId="77777777" w:rsidR="003D705D" w:rsidRPr="00936677" w:rsidRDefault="003D705D" w:rsidP="001217F7">
      <w:pPr>
        <w:spacing w:line="360" w:lineRule="auto"/>
        <w:jc w:val="both"/>
        <w:rPr>
          <w:rFonts w:ascii="Arial" w:hAnsi="Arial" w:cs="Arial"/>
          <w:sz w:val="24"/>
          <w:szCs w:val="24"/>
          <w:lang w:val="ro-RO"/>
        </w:rPr>
      </w:pPr>
    </w:p>
    <w:p w14:paraId="6BA6B854" w14:textId="77777777" w:rsidR="003D705D" w:rsidRPr="00936677" w:rsidRDefault="003D705D" w:rsidP="001217F7">
      <w:pPr>
        <w:spacing w:line="360" w:lineRule="auto"/>
        <w:jc w:val="both"/>
        <w:rPr>
          <w:rFonts w:ascii="Arial" w:hAnsi="Arial" w:cs="Arial"/>
          <w:sz w:val="24"/>
          <w:szCs w:val="24"/>
          <w:lang w:val="ro-RO"/>
        </w:rPr>
      </w:pPr>
    </w:p>
    <w:p w14:paraId="1FFE22A1" w14:textId="77777777" w:rsidR="003D705D" w:rsidRPr="00936677" w:rsidRDefault="003D705D" w:rsidP="001217F7">
      <w:pPr>
        <w:spacing w:line="360" w:lineRule="auto"/>
        <w:jc w:val="both"/>
        <w:rPr>
          <w:rFonts w:ascii="Arial" w:hAnsi="Arial" w:cs="Arial"/>
          <w:sz w:val="24"/>
          <w:szCs w:val="24"/>
          <w:lang w:val="ro-RO"/>
        </w:rPr>
      </w:pPr>
    </w:p>
    <w:p w14:paraId="5570F468" w14:textId="65A64404" w:rsidR="001217F7" w:rsidRPr="001217F7" w:rsidRDefault="001217F7" w:rsidP="001217F7">
      <w:pPr>
        <w:spacing w:line="360" w:lineRule="auto"/>
        <w:jc w:val="both"/>
        <w:rPr>
          <w:rFonts w:ascii="Arial" w:hAnsi="Arial" w:cs="Arial"/>
          <w:sz w:val="24"/>
          <w:szCs w:val="24"/>
          <w:lang w:val="ro-RO"/>
        </w:rPr>
      </w:pPr>
    </w:p>
    <w:p w14:paraId="695D1890" w14:textId="6492C68C" w:rsidR="001217F7" w:rsidRPr="00936677" w:rsidRDefault="001217F7" w:rsidP="003D705D">
      <w:pPr>
        <w:pStyle w:val="Heading1"/>
        <w:jc w:val="center"/>
        <w:rPr>
          <w:rFonts w:ascii="Arial" w:hAnsi="Arial" w:cs="Arial"/>
          <w:b/>
          <w:bCs/>
          <w:sz w:val="36"/>
          <w:szCs w:val="36"/>
          <w:lang w:val="ro-RO"/>
        </w:rPr>
      </w:pPr>
      <w:bookmarkStart w:id="13" w:name="_Toc217130112"/>
      <w:r w:rsidRPr="00936677">
        <w:rPr>
          <w:rFonts w:ascii="Arial" w:hAnsi="Arial" w:cs="Arial"/>
          <w:b/>
          <w:bCs/>
          <w:sz w:val="36"/>
          <w:szCs w:val="36"/>
          <w:lang w:val="ro-RO"/>
        </w:rPr>
        <w:lastRenderedPageBreak/>
        <w:t>References</w:t>
      </w:r>
      <w:bookmarkEnd w:id="13"/>
    </w:p>
    <w:p w14:paraId="0D79CEFB" w14:textId="77777777" w:rsidR="003D705D" w:rsidRPr="00936677" w:rsidRDefault="003D705D" w:rsidP="003D705D">
      <w:pPr>
        <w:rPr>
          <w:rFonts w:ascii="Arial" w:hAnsi="Arial" w:cs="Arial"/>
          <w:lang w:val="ro-RO"/>
        </w:rPr>
      </w:pPr>
    </w:p>
    <w:p w14:paraId="338443E6"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AIHR (2025) ‘Human Resources Functions’, [online] Available at: </w:t>
      </w:r>
      <w:hyperlink r:id="rId9" w:history="1">
        <w:r w:rsidRPr="001217F7">
          <w:rPr>
            <w:rStyle w:val="Hyperlink"/>
            <w:rFonts w:ascii="Arial" w:hAnsi="Arial" w:cs="Arial"/>
            <w:sz w:val="24"/>
            <w:szCs w:val="24"/>
            <w:lang w:val="ro-RO"/>
          </w:rPr>
          <w:t>https://www.aihr.com/blog/human-resources-functions/</w:t>
        </w:r>
      </w:hyperlink>
    </w:p>
    <w:p w14:paraId="742DA47F"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AIHR (2025) ‘Global HR Management’, [online] Available at: </w:t>
      </w:r>
      <w:hyperlink r:id="rId10" w:history="1">
        <w:r w:rsidRPr="001217F7">
          <w:rPr>
            <w:rStyle w:val="Hyperlink"/>
            <w:rFonts w:ascii="Arial" w:hAnsi="Arial" w:cs="Arial"/>
            <w:sz w:val="24"/>
            <w:szCs w:val="24"/>
            <w:lang w:val="ro-RO"/>
          </w:rPr>
          <w:t>https://www.aihr.com/blog/global-hr-management/</w:t>
        </w:r>
      </w:hyperlink>
    </w:p>
    <w:p w14:paraId="160C8317"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AIHR (2025) ‘Global Talent Acquisition’, [online] Available at: </w:t>
      </w:r>
      <w:hyperlink r:id="rId11" w:history="1">
        <w:r w:rsidRPr="001217F7">
          <w:rPr>
            <w:rStyle w:val="Hyperlink"/>
            <w:rFonts w:ascii="Arial" w:hAnsi="Arial" w:cs="Arial"/>
            <w:sz w:val="24"/>
            <w:szCs w:val="24"/>
            <w:lang w:val="ro-RO"/>
          </w:rPr>
          <w:t>https://www.aihr.com/blog/global-talent-acquisition/</w:t>
        </w:r>
      </w:hyperlink>
    </w:p>
    <w:p w14:paraId="790DD302"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Boateng, B. et al. (2025) ‘The Role of Employee Training and Development Strategies on Enterprise Growth: A Case Study on Unilever’, University of the West of Scotland.</w:t>
      </w:r>
    </w:p>
    <w:p w14:paraId="2264E2C6"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British Academy for Training &amp; Development (2025) ‘The 6 External Factors Most Affecting HRM’, [online] Available at: </w:t>
      </w:r>
      <w:hyperlink r:id="rId12" w:history="1">
        <w:r w:rsidRPr="001217F7">
          <w:rPr>
            <w:rStyle w:val="Hyperlink"/>
            <w:rFonts w:ascii="Arial" w:hAnsi="Arial" w:cs="Arial"/>
            <w:sz w:val="24"/>
            <w:szCs w:val="24"/>
            <w:lang w:val="ro-RO"/>
          </w:rPr>
          <w:t>https://batdacademy.com/en/post/the-6-external-factors-most-affecting-hrm</w:t>
        </w:r>
      </w:hyperlink>
    </w:p>
    <w:p w14:paraId="135C80E7"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Chambers and Partners (2025) ‘Employment 2025 - Romania’, [online] Available at: </w:t>
      </w:r>
      <w:hyperlink r:id="rId13" w:history="1">
        <w:r w:rsidRPr="001217F7">
          <w:rPr>
            <w:rStyle w:val="Hyperlink"/>
            <w:rFonts w:ascii="Arial" w:hAnsi="Arial" w:cs="Arial"/>
            <w:sz w:val="24"/>
            <w:szCs w:val="24"/>
            <w:lang w:val="ro-RO"/>
          </w:rPr>
          <w:t>https://practiceguides.chambers.com/practice-guides/employment-2025/romania</w:t>
        </w:r>
      </w:hyperlink>
    </w:p>
    <w:p w14:paraId="5EC9CF85"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Consultant Docs (2025) ‘Strategic Planning Frameworks: SWOT, PESTLE, Porter’s Five Forces’, [online] Available at: </w:t>
      </w:r>
      <w:hyperlink r:id="rId14" w:history="1">
        <w:r w:rsidRPr="001217F7">
          <w:rPr>
            <w:rStyle w:val="Hyperlink"/>
            <w:rFonts w:ascii="Arial" w:hAnsi="Arial" w:cs="Arial"/>
            <w:sz w:val="24"/>
            <w:szCs w:val="24"/>
            <w:lang w:val="ro-RO"/>
          </w:rPr>
          <w:t>https://www.consultant-docs.com/blogs/consulting-fundamentals/strategic-planning-frameworks-swot-pestle-porter-s-five-forces</w:t>
        </w:r>
      </w:hyperlink>
    </w:p>
    <w:p w14:paraId="7F2B0498"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Diversio (2025) ‘Navigating Global DEI Policies: A Guide for Multinational HR Teams’, [online] Available at: </w:t>
      </w:r>
      <w:hyperlink r:id="rId15" w:history="1">
        <w:r w:rsidRPr="001217F7">
          <w:rPr>
            <w:rStyle w:val="Hyperlink"/>
            <w:rFonts w:ascii="Arial" w:hAnsi="Arial" w:cs="Arial"/>
            <w:sz w:val="24"/>
            <w:szCs w:val="24"/>
            <w:lang w:val="ro-RO"/>
          </w:rPr>
          <w:t>https://diversio.com/navigating-global-dei-policies-a-guide-for-multinational-hr-teams/</w:t>
        </w:r>
      </w:hyperlink>
    </w:p>
    <w:p w14:paraId="305C2EE9"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EURES (2024) ‘Labour Market Information: Romania’, [online] Available at: </w:t>
      </w:r>
      <w:hyperlink r:id="rId16" w:history="1">
        <w:r w:rsidRPr="001217F7">
          <w:rPr>
            <w:rStyle w:val="Hyperlink"/>
            <w:rFonts w:ascii="Arial" w:hAnsi="Arial" w:cs="Arial"/>
            <w:sz w:val="24"/>
            <w:szCs w:val="24"/>
            <w:lang w:val="ro-RO"/>
          </w:rPr>
          <w:t>https://eures.europa.eu/living-and-working/labour-market-information/labour-market-information-romania_en</w:t>
        </w:r>
      </w:hyperlink>
    </w:p>
    <w:p w14:paraId="5B806581"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HR Lineup (2025) ‘What is a PESTLE Analysis for HR Industry?’, [online] Available at: </w:t>
      </w:r>
      <w:hyperlink r:id="rId17" w:history="1">
        <w:r w:rsidRPr="001217F7">
          <w:rPr>
            <w:rStyle w:val="Hyperlink"/>
            <w:rFonts w:ascii="Arial" w:hAnsi="Arial" w:cs="Arial"/>
            <w:sz w:val="24"/>
            <w:szCs w:val="24"/>
            <w:lang w:val="ro-RO"/>
          </w:rPr>
          <w:t>https://www.hrlineup.com/what-is-a-pestle-analysis-for-hr-industry/</w:t>
        </w:r>
      </w:hyperlink>
    </w:p>
    <w:p w14:paraId="67C2DCEE"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lastRenderedPageBreak/>
        <w:t xml:space="preserve">HR Vision (2025) ‘Navigating Cultural Differences in Global HR Management’, [online] Available at: </w:t>
      </w:r>
      <w:hyperlink r:id="rId18" w:history="1">
        <w:r w:rsidRPr="001217F7">
          <w:rPr>
            <w:rStyle w:val="Hyperlink"/>
            <w:rFonts w:ascii="Arial" w:hAnsi="Arial" w:cs="Arial"/>
            <w:sz w:val="24"/>
            <w:szCs w:val="24"/>
            <w:lang w:val="ro-RO"/>
          </w:rPr>
          <w:t>https://www.hrvisionevent.com/content-hub/navigating-cultural-differences-in-global-hr-management/</w:t>
        </w:r>
      </w:hyperlink>
    </w:p>
    <w:p w14:paraId="39A272D9"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LinkedIn (2024) ‘Case Study: Unilever’s Approach to Talent Engagement and Retention Through Sustainability and Purpose’, [online] Available at: </w:t>
      </w:r>
      <w:hyperlink r:id="rId19" w:history="1">
        <w:r w:rsidRPr="001217F7">
          <w:rPr>
            <w:rStyle w:val="Hyperlink"/>
            <w:rFonts w:ascii="Arial" w:hAnsi="Arial" w:cs="Arial"/>
            <w:sz w:val="24"/>
            <w:szCs w:val="24"/>
            <w:lang w:val="ro-RO"/>
          </w:rPr>
          <w:t>https://www.linkedin.com/pulse/case-study-unilevers-approach-talent-engagement-retention-c8k0f/</w:t>
        </w:r>
      </w:hyperlink>
    </w:p>
    <w:p w14:paraId="281CC740"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McKinsey (2025) ‘HR Monitor 2025’, [online] Available at: </w:t>
      </w:r>
      <w:hyperlink r:id="rId20" w:history="1">
        <w:r w:rsidRPr="001217F7">
          <w:rPr>
            <w:rStyle w:val="Hyperlink"/>
            <w:rFonts w:ascii="Arial" w:hAnsi="Arial" w:cs="Arial"/>
            <w:sz w:val="24"/>
            <w:szCs w:val="24"/>
            <w:lang w:val="ro-RO"/>
          </w:rPr>
          <w:t>https://www.mckinsey.com/~/media/mckinsey/business%20functions/people%20and%20organizational%20performance/our%20insights/hr%20monitor%202025/hr-monitor-2025.pdf</w:t>
        </w:r>
      </w:hyperlink>
    </w:p>
    <w:p w14:paraId="7314A29C"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PESTLE Analysis (2024) ‘PESTLE Analysis for Human Resources: How PESTLE Affects HR’, [online] Available at: </w:t>
      </w:r>
      <w:hyperlink r:id="rId21" w:history="1">
        <w:r w:rsidRPr="001217F7">
          <w:rPr>
            <w:rStyle w:val="Hyperlink"/>
            <w:rFonts w:ascii="Arial" w:hAnsi="Arial" w:cs="Arial"/>
            <w:sz w:val="24"/>
            <w:szCs w:val="24"/>
            <w:lang w:val="ro-RO"/>
          </w:rPr>
          <w:t>https://pestleanalysis.com/pestle-analysis-for-human-resources-how-pestle-affects-hr/</w:t>
        </w:r>
      </w:hyperlink>
    </w:p>
    <w:p w14:paraId="79AF3BFF"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Smart Life Skills (2025) ‘Case Study: Employee Relations at Unilever’, [online] Available at: </w:t>
      </w:r>
      <w:hyperlink r:id="rId22" w:history="1">
        <w:r w:rsidRPr="001217F7">
          <w:rPr>
            <w:rStyle w:val="Hyperlink"/>
            <w:rFonts w:ascii="Arial" w:hAnsi="Arial" w:cs="Arial"/>
            <w:sz w:val="24"/>
            <w:szCs w:val="24"/>
            <w:lang w:val="ro-RO"/>
          </w:rPr>
          <w:t>https://smartlifeskills.co.uk/business-management-human-resource-management-case-study-employee-relations/</w:t>
        </w:r>
      </w:hyperlink>
    </w:p>
    <w:p w14:paraId="529D9342"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Talent Management Institute (2024) ‘Performing a PESTLE Analysis for Strategic HR Planning’, [online] Available at: </w:t>
      </w:r>
      <w:hyperlink r:id="rId23" w:history="1">
        <w:r w:rsidRPr="001217F7">
          <w:rPr>
            <w:rStyle w:val="Hyperlink"/>
            <w:rFonts w:ascii="Arial" w:hAnsi="Arial" w:cs="Arial"/>
            <w:sz w:val="24"/>
            <w:szCs w:val="24"/>
            <w:lang w:val="ro-RO"/>
          </w:rPr>
          <w:t>https://www.tmi.org/blogs/performing-a-pestle-analysis-for-strategic-hr-planning</w:t>
        </w:r>
      </w:hyperlink>
    </w:p>
    <w:p w14:paraId="02271AEE"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TimesPro (2025) ‘12 Key Functions of Human Resource Management: A Comprehensive Guide’, [online] Available at: </w:t>
      </w:r>
      <w:hyperlink r:id="rId24" w:history="1">
        <w:r w:rsidRPr="001217F7">
          <w:rPr>
            <w:rStyle w:val="Hyperlink"/>
            <w:rFonts w:ascii="Arial" w:hAnsi="Arial" w:cs="Arial"/>
            <w:sz w:val="24"/>
            <w:szCs w:val="24"/>
            <w:lang w:val="ro-RO"/>
          </w:rPr>
          <w:t>https://timespro.com/blog/key-functions-of-human-resource-management</w:t>
        </w:r>
      </w:hyperlink>
    </w:p>
    <w:p w14:paraId="3140C8AB" w14:textId="77777777" w:rsidR="001217F7" w:rsidRPr="001217F7" w:rsidRDefault="001217F7" w:rsidP="001217F7">
      <w:pPr>
        <w:numPr>
          <w:ilvl w:val="0"/>
          <w:numId w:val="5"/>
        </w:numPr>
        <w:tabs>
          <w:tab w:val="clear" w:pos="360"/>
          <w:tab w:val="num" w:pos="720"/>
        </w:tabs>
        <w:spacing w:line="360" w:lineRule="auto"/>
        <w:jc w:val="both"/>
        <w:rPr>
          <w:rFonts w:ascii="Arial" w:hAnsi="Arial" w:cs="Arial"/>
          <w:sz w:val="24"/>
          <w:szCs w:val="24"/>
          <w:lang w:val="ro-RO"/>
        </w:rPr>
      </w:pPr>
      <w:r w:rsidRPr="001217F7">
        <w:rPr>
          <w:rFonts w:ascii="Arial" w:hAnsi="Arial" w:cs="Arial"/>
          <w:sz w:val="24"/>
          <w:szCs w:val="24"/>
          <w:lang w:val="ro-RO"/>
        </w:rPr>
        <w:t xml:space="preserve">Workday (2025) ‘What Are the Biggest HR Challenges of 2025?’, [online] Available at: </w:t>
      </w:r>
      <w:hyperlink r:id="rId25" w:history="1">
        <w:r w:rsidRPr="001217F7">
          <w:rPr>
            <w:rStyle w:val="Hyperlink"/>
            <w:rFonts w:ascii="Arial" w:hAnsi="Arial" w:cs="Arial"/>
            <w:sz w:val="24"/>
            <w:szCs w:val="24"/>
            <w:lang w:val="ro-RO"/>
          </w:rPr>
          <w:t>https://blog.workday.com/en-us/what-are-the-biggest-hr-challenges-of-2025.html</w:t>
        </w:r>
      </w:hyperlink>
    </w:p>
    <w:p w14:paraId="3E5277AC" w14:textId="77777777" w:rsidR="001217F7" w:rsidRPr="00936677" w:rsidRDefault="001217F7" w:rsidP="001217F7">
      <w:pPr>
        <w:spacing w:line="360" w:lineRule="auto"/>
        <w:jc w:val="both"/>
        <w:rPr>
          <w:rFonts w:ascii="Arial" w:hAnsi="Arial" w:cs="Arial"/>
          <w:sz w:val="24"/>
          <w:szCs w:val="24"/>
        </w:rPr>
      </w:pPr>
    </w:p>
    <w:sectPr w:rsidR="001217F7" w:rsidRPr="0093667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C6C8C" w14:textId="77777777" w:rsidR="00936677" w:rsidRDefault="00936677" w:rsidP="00936677">
      <w:pPr>
        <w:spacing w:after="0" w:line="240" w:lineRule="auto"/>
      </w:pPr>
      <w:r>
        <w:separator/>
      </w:r>
    </w:p>
  </w:endnote>
  <w:endnote w:type="continuationSeparator" w:id="0">
    <w:p w14:paraId="5193CD14" w14:textId="77777777" w:rsidR="00936677" w:rsidRDefault="00936677" w:rsidP="00936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593206"/>
      <w:docPartObj>
        <w:docPartGallery w:val="Page Numbers (Bottom of Page)"/>
        <w:docPartUnique/>
      </w:docPartObj>
    </w:sdtPr>
    <w:sdtContent>
      <w:p w14:paraId="5DD87461" w14:textId="31831F10" w:rsidR="00936677" w:rsidRDefault="00936677">
        <w:pPr>
          <w:pStyle w:val="Footer"/>
          <w:jc w:val="center"/>
        </w:pPr>
        <w:r>
          <w:fldChar w:fldCharType="begin"/>
        </w:r>
        <w:r>
          <w:instrText>PAGE   \* MERGEFORMAT</w:instrText>
        </w:r>
        <w:r>
          <w:fldChar w:fldCharType="separate"/>
        </w:r>
        <w:r>
          <w:t>2</w:t>
        </w:r>
        <w:r>
          <w:fldChar w:fldCharType="end"/>
        </w:r>
      </w:p>
    </w:sdtContent>
  </w:sdt>
  <w:p w14:paraId="14307D06" w14:textId="77777777" w:rsidR="00936677" w:rsidRDefault="00936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5F371" w14:textId="77777777" w:rsidR="00936677" w:rsidRDefault="00936677" w:rsidP="00936677">
      <w:pPr>
        <w:spacing w:after="0" w:line="240" w:lineRule="auto"/>
      </w:pPr>
      <w:r>
        <w:separator/>
      </w:r>
    </w:p>
  </w:footnote>
  <w:footnote w:type="continuationSeparator" w:id="0">
    <w:p w14:paraId="2E11AD79" w14:textId="77777777" w:rsidR="00936677" w:rsidRDefault="00936677" w:rsidP="00936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476033"/>
    <w:multiLevelType w:val="multilevel"/>
    <w:tmpl w:val="C0DC3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47477"/>
    <w:multiLevelType w:val="hybridMultilevel"/>
    <w:tmpl w:val="6D5034C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36E823F4"/>
    <w:multiLevelType w:val="multilevel"/>
    <w:tmpl w:val="E2185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41B77"/>
    <w:multiLevelType w:val="multilevel"/>
    <w:tmpl w:val="C1B82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97073"/>
    <w:multiLevelType w:val="multilevel"/>
    <w:tmpl w:val="87FA2D4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70E70D98"/>
    <w:multiLevelType w:val="multilevel"/>
    <w:tmpl w:val="86748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307FA0"/>
    <w:multiLevelType w:val="multilevel"/>
    <w:tmpl w:val="EC3C3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324662">
    <w:abstractNumId w:val="5"/>
  </w:num>
  <w:num w:numId="2" w16cid:durableId="1747680504">
    <w:abstractNumId w:val="3"/>
  </w:num>
  <w:num w:numId="3" w16cid:durableId="371459849">
    <w:abstractNumId w:val="6"/>
  </w:num>
  <w:num w:numId="4" w16cid:durableId="997880107">
    <w:abstractNumId w:val="0"/>
  </w:num>
  <w:num w:numId="5" w16cid:durableId="870806797">
    <w:abstractNumId w:val="4"/>
  </w:num>
  <w:num w:numId="6" w16cid:durableId="1075931385">
    <w:abstractNumId w:val="2"/>
  </w:num>
  <w:num w:numId="7" w16cid:durableId="1223950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636"/>
    <w:rsid w:val="001217F7"/>
    <w:rsid w:val="00255636"/>
    <w:rsid w:val="00294269"/>
    <w:rsid w:val="00344B0A"/>
    <w:rsid w:val="00356F95"/>
    <w:rsid w:val="00377A0D"/>
    <w:rsid w:val="003D705D"/>
    <w:rsid w:val="0041606D"/>
    <w:rsid w:val="006960CB"/>
    <w:rsid w:val="007E68D0"/>
    <w:rsid w:val="00814D81"/>
    <w:rsid w:val="00877FAA"/>
    <w:rsid w:val="00936677"/>
    <w:rsid w:val="00B2413A"/>
    <w:rsid w:val="00DE6B98"/>
    <w:rsid w:val="00E77CD0"/>
    <w:rsid w:val="00EC47EF"/>
    <w:rsid w:val="00FE18D5"/>
    <w:rsid w:val="00FE736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D73B9"/>
  <w15:chartTrackingRefBased/>
  <w15:docId w15:val="{5BBE1499-2B2B-4978-8206-2931B6173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556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56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6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6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6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6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6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6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6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63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25563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5563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5563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5563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5563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563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563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563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56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63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56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63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5636"/>
    <w:pPr>
      <w:spacing w:before="160"/>
      <w:jc w:val="center"/>
    </w:pPr>
    <w:rPr>
      <w:i/>
      <w:iCs/>
      <w:color w:val="404040" w:themeColor="text1" w:themeTint="BF"/>
    </w:rPr>
  </w:style>
  <w:style w:type="character" w:customStyle="1" w:styleId="QuoteChar">
    <w:name w:val="Quote Char"/>
    <w:basedOn w:val="DefaultParagraphFont"/>
    <w:link w:val="Quote"/>
    <w:uiPriority w:val="29"/>
    <w:rsid w:val="00255636"/>
    <w:rPr>
      <w:i/>
      <w:iCs/>
      <w:color w:val="404040" w:themeColor="text1" w:themeTint="BF"/>
      <w:lang w:val="en-GB"/>
    </w:rPr>
  </w:style>
  <w:style w:type="paragraph" w:styleId="ListParagraph">
    <w:name w:val="List Paragraph"/>
    <w:basedOn w:val="Normal"/>
    <w:uiPriority w:val="34"/>
    <w:qFormat/>
    <w:rsid w:val="00255636"/>
    <w:pPr>
      <w:ind w:left="720"/>
      <w:contextualSpacing/>
    </w:pPr>
  </w:style>
  <w:style w:type="character" w:styleId="IntenseEmphasis">
    <w:name w:val="Intense Emphasis"/>
    <w:basedOn w:val="DefaultParagraphFont"/>
    <w:uiPriority w:val="21"/>
    <w:qFormat/>
    <w:rsid w:val="00255636"/>
    <w:rPr>
      <w:i/>
      <w:iCs/>
      <w:color w:val="0F4761" w:themeColor="accent1" w:themeShade="BF"/>
    </w:rPr>
  </w:style>
  <w:style w:type="paragraph" w:styleId="IntenseQuote">
    <w:name w:val="Intense Quote"/>
    <w:basedOn w:val="Normal"/>
    <w:next w:val="Normal"/>
    <w:link w:val="IntenseQuoteChar"/>
    <w:uiPriority w:val="30"/>
    <w:qFormat/>
    <w:rsid w:val="002556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636"/>
    <w:rPr>
      <w:i/>
      <w:iCs/>
      <w:color w:val="0F4761" w:themeColor="accent1" w:themeShade="BF"/>
      <w:lang w:val="en-GB"/>
    </w:rPr>
  </w:style>
  <w:style w:type="character" w:styleId="IntenseReference">
    <w:name w:val="Intense Reference"/>
    <w:basedOn w:val="DefaultParagraphFont"/>
    <w:uiPriority w:val="32"/>
    <w:qFormat/>
    <w:rsid w:val="00255636"/>
    <w:rPr>
      <w:b/>
      <w:bCs/>
      <w:smallCaps/>
      <w:color w:val="0F4761" w:themeColor="accent1" w:themeShade="BF"/>
      <w:spacing w:val="5"/>
    </w:rPr>
  </w:style>
  <w:style w:type="character" w:styleId="Hyperlink">
    <w:name w:val="Hyperlink"/>
    <w:basedOn w:val="DefaultParagraphFont"/>
    <w:uiPriority w:val="99"/>
    <w:unhideWhenUsed/>
    <w:rsid w:val="001217F7"/>
    <w:rPr>
      <w:color w:val="467886" w:themeColor="hyperlink"/>
      <w:u w:val="single"/>
    </w:rPr>
  </w:style>
  <w:style w:type="character" w:styleId="UnresolvedMention">
    <w:name w:val="Unresolved Mention"/>
    <w:basedOn w:val="DefaultParagraphFont"/>
    <w:uiPriority w:val="99"/>
    <w:semiHidden/>
    <w:unhideWhenUsed/>
    <w:rsid w:val="001217F7"/>
    <w:rPr>
      <w:color w:val="605E5C"/>
      <w:shd w:val="clear" w:color="auto" w:fill="E1DFDD"/>
    </w:rPr>
  </w:style>
  <w:style w:type="table" w:styleId="TableGrid">
    <w:name w:val="Table Grid"/>
    <w:basedOn w:val="TableNormal"/>
    <w:uiPriority w:val="39"/>
    <w:rsid w:val="002942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294269"/>
    <w:rPr>
      <w:i/>
      <w:iCs/>
      <w:color w:val="404040" w:themeColor="text1" w:themeTint="BF"/>
    </w:rPr>
  </w:style>
  <w:style w:type="paragraph" w:styleId="TOCHeading">
    <w:name w:val="TOC Heading"/>
    <w:basedOn w:val="Heading1"/>
    <w:next w:val="Normal"/>
    <w:uiPriority w:val="39"/>
    <w:unhideWhenUsed/>
    <w:qFormat/>
    <w:rsid w:val="00936677"/>
    <w:pPr>
      <w:spacing w:before="240" w:after="0"/>
      <w:outlineLvl w:val="9"/>
    </w:pPr>
    <w:rPr>
      <w:kern w:val="0"/>
      <w:sz w:val="32"/>
      <w:szCs w:val="32"/>
      <w:lang w:val="ro-RO" w:eastAsia="ro-RO"/>
      <w14:ligatures w14:val="none"/>
    </w:rPr>
  </w:style>
  <w:style w:type="paragraph" w:styleId="TOC1">
    <w:name w:val="toc 1"/>
    <w:basedOn w:val="Normal"/>
    <w:next w:val="Normal"/>
    <w:autoRedefine/>
    <w:uiPriority w:val="39"/>
    <w:unhideWhenUsed/>
    <w:rsid w:val="00936677"/>
    <w:pPr>
      <w:spacing w:after="100"/>
    </w:pPr>
  </w:style>
  <w:style w:type="paragraph" w:styleId="TOC2">
    <w:name w:val="toc 2"/>
    <w:basedOn w:val="Normal"/>
    <w:next w:val="Normal"/>
    <w:autoRedefine/>
    <w:uiPriority w:val="39"/>
    <w:unhideWhenUsed/>
    <w:rsid w:val="00936677"/>
    <w:pPr>
      <w:spacing w:after="100"/>
      <w:ind w:left="220"/>
    </w:pPr>
  </w:style>
  <w:style w:type="paragraph" w:styleId="Header">
    <w:name w:val="header"/>
    <w:basedOn w:val="Normal"/>
    <w:link w:val="HeaderChar"/>
    <w:uiPriority w:val="99"/>
    <w:unhideWhenUsed/>
    <w:rsid w:val="00936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677"/>
    <w:rPr>
      <w:lang w:val="en-GB"/>
    </w:rPr>
  </w:style>
  <w:style w:type="paragraph" w:styleId="Footer">
    <w:name w:val="footer"/>
    <w:basedOn w:val="Normal"/>
    <w:link w:val="FooterChar"/>
    <w:uiPriority w:val="99"/>
    <w:unhideWhenUsed/>
    <w:rsid w:val="00936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67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racticeguides.chambers.com/practice-guides/employment-2025/romania" TargetMode="External"/><Relationship Id="rId18" Type="http://schemas.openxmlformats.org/officeDocument/2006/relationships/hyperlink" Target="https://www.hrvisionevent.com/content-hub/navigating-cultural-differences-in-global-hr-managemen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estleanalysis.com/pestle-analysis-for-human-resources-how-pestle-affects-hr/" TargetMode="External"/><Relationship Id="rId7" Type="http://schemas.openxmlformats.org/officeDocument/2006/relationships/endnotes" Target="endnotes.xml"/><Relationship Id="rId12" Type="http://schemas.openxmlformats.org/officeDocument/2006/relationships/hyperlink" Target="https://batdacademy.com/en/post/the-6-external-factors-most-affecting-hrm" TargetMode="External"/><Relationship Id="rId17" Type="http://schemas.openxmlformats.org/officeDocument/2006/relationships/hyperlink" Target="https://www.hrlineup.com/what-is-a-pestle-analysis-for-hr-industry/" TargetMode="External"/><Relationship Id="rId25" Type="http://schemas.openxmlformats.org/officeDocument/2006/relationships/hyperlink" Target="https://blog.workday.com/en-us/what-are-the-biggest-hr-challenges-of-2025.html" TargetMode="External"/><Relationship Id="rId2" Type="http://schemas.openxmlformats.org/officeDocument/2006/relationships/numbering" Target="numbering.xml"/><Relationship Id="rId16" Type="http://schemas.openxmlformats.org/officeDocument/2006/relationships/hyperlink" Target="https://eures.europa.eu/living-and-working/labour-market-information/labour-market-information-romania_en" TargetMode="External"/><Relationship Id="rId20" Type="http://schemas.openxmlformats.org/officeDocument/2006/relationships/hyperlink" Target="https://www.mckinsey.com/%7E/media/mckinsey/business%20functions/people%20and%20organizational%20performance/our%20insights/hr%20monitor%202025/hr-monitor-20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ihr.com/blog/global-talent-acquisition/" TargetMode="External"/><Relationship Id="rId24" Type="http://schemas.openxmlformats.org/officeDocument/2006/relationships/hyperlink" Target="https://timespro.com/blog/key-functions-of-human-resource-management" TargetMode="External"/><Relationship Id="rId5" Type="http://schemas.openxmlformats.org/officeDocument/2006/relationships/webSettings" Target="webSettings.xml"/><Relationship Id="rId15" Type="http://schemas.openxmlformats.org/officeDocument/2006/relationships/hyperlink" Target="https://diversio.com/navigating-global-dei-policies-a-guide-for-multinational-hr-teams/" TargetMode="External"/><Relationship Id="rId23" Type="http://schemas.openxmlformats.org/officeDocument/2006/relationships/hyperlink" Target="https://www.tmi.org/blogs/performing-a-pestle-analysis-for-strategic-hr-planning" TargetMode="External"/><Relationship Id="rId28" Type="http://schemas.openxmlformats.org/officeDocument/2006/relationships/theme" Target="theme/theme1.xml"/><Relationship Id="rId10" Type="http://schemas.openxmlformats.org/officeDocument/2006/relationships/hyperlink" Target="https://www.aihr.com/blog/global-hr-management/" TargetMode="External"/><Relationship Id="rId19" Type="http://schemas.openxmlformats.org/officeDocument/2006/relationships/hyperlink" Target="https://www.linkedin.com/pulse/case-study-unilevers-approach-talent-engagement-retention-c8k0f/" TargetMode="External"/><Relationship Id="rId4" Type="http://schemas.openxmlformats.org/officeDocument/2006/relationships/settings" Target="settings.xml"/><Relationship Id="rId9" Type="http://schemas.openxmlformats.org/officeDocument/2006/relationships/hyperlink" Target="https://www.aihr.com/blog/human-resources-functions/" TargetMode="External"/><Relationship Id="rId14" Type="http://schemas.openxmlformats.org/officeDocument/2006/relationships/hyperlink" Target="https://www.consultant-docs.com/blogs/consulting-fundamentals/strategic-planning-frameworks-swot-pestle-porter-s-five-forces" TargetMode="External"/><Relationship Id="rId22" Type="http://schemas.openxmlformats.org/officeDocument/2006/relationships/hyperlink" Target="https://smartlifeskills.co.uk/business-management-human-resource-management-case-study-employee-relati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54F03-116C-44BD-90EE-9C9580317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3629</Words>
  <Characters>22723</Characters>
  <Application>Microsoft Office Word</Application>
  <DocSecurity>0</DocSecurity>
  <Lines>614</Lines>
  <Paragraphs>102</Paragraphs>
  <ScaleCrop>false</ScaleCrop>
  <Company/>
  <LinksUpToDate>false</LinksUpToDate>
  <CharactersWithSpaces>26250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Maria</dc:creator>
  <cp:keywords/>
  <dc:description/>
  <cp:lastModifiedBy>Anna Maria</cp:lastModifiedBy>
  <cp:revision>12</cp:revision>
  <dcterms:created xsi:type="dcterms:W3CDTF">2025-12-20T11:23:00Z</dcterms:created>
  <dcterms:modified xsi:type="dcterms:W3CDTF">2025-12-20T11:37:00Z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6d447979-02de-430d-987c-9e6df30b1a66</vt:lpwstr>
  </property>
</Properties>
</file>