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490B2" w14:textId="77777777" w:rsidR="00747B9C" w:rsidRDefault="00747B9C" w:rsidP="00DD068B">
      <w:pPr>
        <w:pStyle w:val="IEEE-Author"/>
        <w:rPr>
          <w:rFonts w:eastAsiaTheme="majorEastAsia" w:cstheme="majorBidi"/>
          <w:caps/>
          <w:color w:val="44546A" w:themeColor="text2"/>
          <w:spacing w:val="-15"/>
          <w:sz w:val="48"/>
          <w:szCs w:val="72"/>
        </w:rPr>
      </w:pPr>
      <w:r w:rsidRPr="00747B9C">
        <w:rPr>
          <w:rFonts w:eastAsiaTheme="majorEastAsia" w:cstheme="majorBidi"/>
          <w:caps/>
          <w:color w:val="44546A" w:themeColor="text2"/>
          <w:spacing w:val="-15"/>
          <w:sz w:val="48"/>
          <w:szCs w:val="72"/>
        </w:rPr>
        <w:t>Zero Trust Architecture as a Foundation for Modern Cyber Defence</w:t>
      </w:r>
    </w:p>
    <w:p w14:paraId="119BB8D7" w14:textId="4972B131" w:rsidR="00DD068B" w:rsidRPr="00DD068B" w:rsidRDefault="00747B9C" w:rsidP="00DD068B">
      <w:pPr>
        <w:pStyle w:val="IEEE-Author"/>
      </w:pPr>
      <w:r>
        <w:t>Tonio George</w:t>
      </w:r>
    </w:p>
    <w:p w14:paraId="37F671CC" w14:textId="18CC0E4C" w:rsidR="00DD068B" w:rsidRPr="00DD068B" w:rsidRDefault="00DD068B" w:rsidP="00DD068B">
      <w:pPr>
        <w:pStyle w:val="IEEE-Affil"/>
      </w:pPr>
      <w:r w:rsidRPr="00DD068B">
        <w:t>Student University of Wales Trinity St David, Swansea, Wales</w:t>
      </w:r>
    </w:p>
    <w:p w14:paraId="674D2AAF" w14:textId="6BED22FE" w:rsidR="00DD068B" w:rsidRDefault="00747B9C" w:rsidP="00DD068B">
      <w:pPr>
        <w:jc w:val="center"/>
        <w:rPr>
          <w:rFonts w:ascii="Courier New" w:hAnsi="Courier New" w:cs="Courier New"/>
          <w:sz w:val="18"/>
          <w:szCs w:val="18"/>
        </w:rPr>
      </w:pPr>
      <w:r>
        <w:rPr>
          <w:rFonts w:ascii="Courier New" w:hAnsi="Courier New" w:cs="Courier New"/>
          <w:sz w:val="18"/>
          <w:szCs w:val="18"/>
        </w:rPr>
        <w:t>2312861</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059FAA02"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Abstract</w:t>
      </w:r>
    </w:p>
    <w:p w14:paraId="5949D29C"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The widespread adoption of cloud computing, software-as-a-service platforms, and hybrid working models has exposed fundamental weaknesses in traditional perimeter-based security architectures. Implicit trust assumptions, once suitable for centrally managed enterprise networks, are increasingly exploited through credential compromise, lateral movement, and supply-chain attacks. In response, Zero Trust Architecture (ZTA) has emerged as a prominent security paradigm based on continuous verification, least-privilege access, and explicit trust decisions independent of network location.</w:t>
      </w:r>
    </w:p>
    <w:p w14:paraId="00219A3F"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paper critically evaluates Zero Trust Architecture as a contemporary security model. The analysis focuses on its effectiveness in threat anticipation, protection mechanisms, detection capabilities, and automated response, and compares Zero Trust with legacy and hybrid security approaches. Drawing on recent standards, regulatory guidance, and academic literature, the paper concludes that Zero Trust provides structurally stronger security outcomes in cloud-centric environments, while also introducing notable implementation and governance challenges. These findings establish the research foundation for the applied Zero Trust security programme designed for a cloud-native organisation subject to EU regulatory requirements.</w:t>
      </w:r>
    </w:p>
    <w:p w14:paraId="242701C2"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1D4C8BAA">
          <v:rect id="_x0000_i1502" style="width:0;height:1.5pt" o:hrstd="t" o:hr="t" fillcolor="#a0a0a0" stroked="f"/>
        </w:pict>
      </w:r>
    </w:p>
    <w:p w14:paraId="077B4307"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Index Terms</w:t>
      </w:r>
    </w:p>
    <w:p w14:paraId="1EC71359"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Zero Trust Architecture, Cloud Security, Identity and Access Management, Cyber Resilience, Enterprise Security, Regulatory Compliance</w:t>
      </w:r>
    </w:p>
    <w:p w14:paraId="563E12D3"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1C96CD81">
          <v:rect id="_x0000_i1503" style="width:0;height:1.5pt" o:hrstd="t" o:hr="t" fillcolor="#a0a0a0" stroked="f"/>
        </w:pict>
      </w:r>
    </w:p>
    <w:p w14:paraId="26650C29"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 INTRODUCTION</w:t>
      </w:r>
    </w:p>
    <w:p w14:paraId="0D903CC4" w14:textId="7B8441FA"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Enterprise security architectures have come under sustained pressure as digital transformation, cloud adoption, and hybrid working models reshape organisational operating environments. Security models that were once effective within tightly controlled, on-premises networks now struggle to provide meaningful assurance across distributed infrastructures and remote access patterns.</w:t>
      </w:r>
      <w:r w:rsidR="00000A7C">
        <w:rPr>
          <w:rFonts w:cs="Times New Roman"/>
          <w:i/>
          <w:sz w:val="18"/>
          <w:szCs w:val="18"/>
          <w:lang w:val="en-IN"/>
        </w:rPr>
        <w:t xml:space="preserve"> </w:t>
      </w:r>
      <w:r w:rsidRPr="009E479B">
        <w:rPr>
          <w:rFonts w:cs="Times New Roman"/>
          <w:i/>
          <w:sz w:val="18"/>
          <w:szCs w:val="18"/>
          <w:lang w:val="en-IN"/>
        </w:rPr>
        <w:t>In</w:t>
      </w:r>
      <w:r w:rsidR="00000A7C">
        <w:rPr>
          <w:rFonts w:cs="Times New Roman"/>
          <w:i/>
          <w:sz w:val="18"/>
          <w:szCs w:val="18"/>
          <w:lang w:val="en-IN"/>
        </w:rPr>
        <w:t xml:space="preserve"> </w:t>
      </w:r>
      <w:proofErr w:type="spellStart"/>
      <w:proofErr w:type="gramStart"/>
      <w:r w:rsidRPr="009E479B">
        <w:rPr>
          <w:rFonts w:cs="Times New Roman"/>
          <w:i/>
          <w:sz w:val="18"/>
          <w:szCs w:val="18"/>
          <w:lang w:val="en-IN"/>
        </w:rPr>
        <w:t>particular,perimeter</w:t>
      </w:r>
      <w:proofErr w:type="spellEnd"/>
      <w:proofErr w:type="gramEnd"/>
      <w:r w:rsidRPr="009E479B">
        <w:rPr>
          <w:rFonts w:cs="Times New Roman"/>
          <w:i/>
          <w:sz w:val="18"/>
          <w:szCs w:val="18"/>
          <w:lang w:val="en-IN"/>
        </w:rPr>
        <w:t xml:space="preserve">-based </w:t>
      </w:r>
      <w:r w:rsidRPr="009E479B">
        <w:rPr>
          <w:rFonts w:cs="Times New Roman"/>
          <w:i/>
          <w:sz w:val="18"/>
          <w:szCs w:val="18"/>
          <w:lang w:val="en-IN"/>
        </w:rPr>
        <w:t>architectures rely on implicit trust assumptions that no longer reflect contemporary threat behaviour.</w:t>
      </w:r>
    </w:p>
    <w:p w14:paraId="7177E3B2" w14:textId="76F9A2ED"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paper examines Zero Trust Architecture (ZTA) as a response to these challenges. Rather than presenting Zero Trust as a universal solution, the analysis evaluates its practical strengths and limitations when compared with traditional and transitional security models. The discussion is structured around four dimensions: threat anticipation, protection mechanisms, detection capabilities, and automated response</w:t>
      </w:r>
      <w:r w:rsidR="00000A7C" w:rsidRPr="00000A7C">
        <w:t xml:space="preserve"> </w:t>
      </w:r>
      <w:r w:rsidR="00000A7C" w:rsidRPr="00000A7C">
        <w:rPr>
          <w:rFonts w:cs="Times New Roman"/>
          <w:i/>
          <w:sz w:val="18"/>
          <w:szCs w:val="18"/>
          <w:lang w:val="en-IN"/>
        </w:rPr>
        <w:t>[1], [2]</w:t>
      </w:r>
      <w:r w:rsidRPr="009E479B">
        <w:rPr>
          <w:rFonts w:cs="Times New Roman"/>
          <w:i/>
          <w:sz w:val="18"/>
          <w:szCs w:val="18"/>
          <w:lang w:val="en-IN"/>
        </w:rPr>
        <w:t>.</w:t>
      </w:r>
    </w:p>
    <w:p w14:paraId="1F672238"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The objective of this research is to assess whether Zero Trust Architecture offers a structurally stronger security model for modern enterprise environments. This distinction becomes particularly relevant for cloud-native organisations with hybrid workforces, such as the case scenario examined in Task 2.</w:t>
      </w:r>
    </w:p>
    <w:p w14:paraId="5298903D"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6056920C">
          <v:rect id="_x0000_i1504" style="width:0;height:1.5pt" o:hrstd="t" o:hr="t" fillcolor="#a0a0a0" stroked="f"/>
        </w:pict>
      </w:r>
    </w:p>
    <w:p w14:paraId="41E26274"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II. BACKGROUND AND KEY CONCEPTS</w:t>
      </w:r>
    </w:p>
    <w:p w14:paraId="24E7E45E"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section establishes the conceptual foundation required to evaluate Zero Trust Architecture, while deliberately avoiding detailed technical exposition. The focus is on architectural assumptions rather than implementation detail.</w:t>
      </w:r>
    </w:p>
    <w:p w14:paraId="6F30B706"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A. Evolution of Enterprise Security Models</w:t>
      </w:r>
    </w:p>
    <w:p w14:paraId="3AEA48F5" w14:textId="65BC6873"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Traditional enterprise security architectures were designed around a hardened network perimeter</w:t>
      </w:r>
      <w:r w:rsidR="00000A7C" w:rsidRPr="00000A7C">
        <w:t xml:space="preserve"> </w:t>
      </w:r>
      <w:r w:rsidR="00000A7C" w:rsidRPr="00000A7C">
        <w:rPr>
          <w:rFonts w:cs="Times New Roman"/>
          <w:i/>
          <w:sz w:val="18"/>
          <w:szCs w:val="18"/>
          <w:lang w:val="en-IN"/>
        </w:rPr>
        <w:t>[3]</w:t>
      </w:r>
      <w:r w:rsidRPr="009E479B">
        <w:rPr>
          <w:rFonts w:cs="Times New Roman"/>
          <w:i/>
          <w:sz w:val="18"/>
          <w:szCs w:val="18"/>
          <w:lang w:val="en-IN"/>
        </w:rPr>
        <w:t>. Firewalls, intrusion detection systems, and VPNs enforced a boundary between trusted internal networks and untrusted external networks, with internal users typically granted broad access once authenticated.</w:t>
      </w:r>
    </w:p>
    <w:p w14:paraId="48FDA882" w14:textId="44416B5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model has been progressively undermined by cloud services, mobile devices, and third-party integrations. Empirical incident analysis consistently shows that attackers increasingly exploit compromised credentials rather than breaching network perimeters directly</w:t>
      </w:r>
      <w:r w:rsidR="00000A7C" w:rsidRPr="00000A7C">
        <w:t xml:space="preserve"> </w:t>
      </w:r>
      <w:r w:rsidR="00000A7C" w:rsidRPr="00000A7C">
        <w:rPr>
          <w:rFonts w:cs="Times New Roman"/>
          <w:i/>
          <w:sz w:val="18"/>
          <w:szCs w:val="18"/>
          <w:lang w:val="en-IN"/>
        </w:rPr>
        <w:t>[4]</w:t>
      </w:r>
      <w:r w:rsidRPr="009E479B">
        <w:rPr>
          <w:rFonts w:cs="Times New Roman"/>
          <w:i/>
          <w:sz w:val="18"/>
          <w:szCs w:val="18"/>
          <w:lang w:val="en-IN"/>
        </w:rPr>
        <w:t>. Once inside, insufficient internal segmentation enables lateral movement and privilege escalation</w:t>
      </w:r>
      <w:r w:rsidR="00000A7C" w:rsidRPr="00000A7C">
        <w:t xml:space="preserve"> </w:t>
      </w:r>
      <w:r w:rsidR="00000A7C" w:rsidRPr="00000A7C">
        <w:rPr>
          <w:rFonts w:cs="Times New Roman"/>
          <w:i/>
          <w:sz w:val="18"/>
          <w:szCs w:val="18"/>
          <w:lang w:val="en-IN"/>
        </w:rPr>
        <w:t>[3], [4]</w:t>
      </w:r>
      <w:r w:rsidRPr="009E479B">
        <w:rPr>
          <w:rFonts w:cs="Times New Roman"/>
          <w:i/>
          <w:sz w:val="18"/>
          <w:szCs w:val="18"/>
          <w:lang w:val="en-IN"/>
        </w:rPr>
        <w:t>.</w:t>
      </w:r>
    </w:p>
    <w:p w14:paraId="46366455"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B. Core Principles of Zero Trust Architecture</w:t>
      </w:r>
    </w:p>
    <w:p w14:paraId="2FB3FA4E"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Zero Trust Architecture rejects the concept of implicit trust. Instead, it is built on continuous verification of identity, device posture, and contextual signals, combined </w:t>
      </w:r>
      <w:r w:rsidRPr="009E479B">
        <w:rPr>
          <w:rFonts w:cs="Times New Roman"/>
          <w:i/>
          <w:sz w:val="18"/>
          <w:szCs w:val="18"/>
          <w:lang w:val="en-IN"/>
        </w:rPr>
        <w:lastRenderedPageBreak/>
        <w:t>with least-privilege access enforcement. Trust is never assumed based on network location and is continuously reassessed throughout a session.</w:t>
      </w:r>
    </w:p>
    <w:p w14:paraId="26964B9E" w14:textId="51D64D0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Formal frameworks such as NIST SP 800-207 define Zero Trust as an architectural model rather than a discrete technology</w:t>
      </w:r>
      <w:r w:rsidR="00000A7C" w:rsidRPr="00000A7C">
        <w:t xml:space="preserve"> </w:t>
      </w:r>
      <w:r w:rsidR="00000A7C" w:rsidRPr="00000A7C">
        <w:rPr>
          <w:rFonts w:cs="Times New Roman"/>
          <w:i/>
          <w:sz w:val="18"/>
          <w:szCs w:val="18"/>
        </w:rPr>
        <w:t>[1]</w:t>
      </w:r>
      <w:r w:rsidRPr="009E479B">
        <w:rPr>
          <w:rFonts w:cs="Times New Roman"/>
          <w:i/>
          <w:sz w:val="18"/>
          <w:szCs w:val="18"/>
          <w:lang w:val="en-IN"/>
        </w:rPr>
        <w:t>. This distinction is important, as the effectiveness of Zero Trust depends on governance, integration, and operational maturity rather than tool deployment alone</w:t>
      </w:r>
      <w:r w:rsidR="00000A7C" w:rsidRPr="00000A7C">
        <w:t xml:space="preserve"> </w:t>
      </w:r>
      <w:r w:rsidR="00000A7C" w:rsidRPr="00000A7C">
        <w:rPr>
          <w:rFonts w:cs="Times New Roman"/>
          <w:i/>
          <w:sz w:val="18"/>
          <w:szCs w:val="18"/>
          <w:lang w:val="en-IN"/>
        </w:rPr>
        <w:t>[2]</w:t>
      </w:r>
      <w:r w:rsidRPr="009E479B">
        <w:rPr>
          <w:rFonts w:cs="Times New Roman"/>
          <w:i/>
          <w:sz w:val="18"/>
          <w:szCs w:val="18"/>
          <w:lang w:val="en-IN"/>
        </w:rPr>
        <w:t>.</w:t>
      </w:r>
    </w:p>
    <w:p w14:paraId="6EDFB899"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742DBB6F">
          <v:rect id="_x0000_i1505" style="width:0;height:1.5pt" o:hrstd="t" o:hr="t" fillcolor="#a0a0a0" stroked="f"/>
        </w:pict>
      </w:r>
    </w:p>
    <w:p w14:paraId="17B9BB5F"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III. CRITICAL ANALYSIS OF ZERO TRUST ARCHITECTURE</w:t>
      </w:r>
    </w:p>
    <w:p w14:paraId="4B55F3AB" w14:textId="0162DA4F"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The following analysis evaluates Zero Trust Architecture across four security dimensions. These dimensions are closely </w:t>
      </w:r>
      <w:r w:rsidR="00000A7C" w:rsidRPr="009E479B">
        <w:rPr>
          <w:rFonts w:cs="Times New Roman"/>
          <w:i/>
          <w:sz w:val="18"/>
          <w:szCs w:val="18"/>
          <w:lang w:val="en-IN"/>
        </w:rPr>
        <w:t>related but</w:t>
      </w:r>
      <w:r w:rsidRPr="009E479B">
        <w:rPr>
          <w:rFonts w:cs="Times New Roman"/>
          <w:i/>
          <w:sz w:val="18"/>
          <w:szCs w:val="18"/>
          <w:lang w:val="en-IN"/>
        </w:rPr>
        <w:t xml:space="preserve"> separating them highlights where Zero Trust offers clear advantages and where limitations emerge.</w:t>
      </w:r>
    </w:p>
    <w:p w14:paraId="3B71BDE3"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A. Threat Anticipation</w:t>
      </w:r>
    </w:p>
    <w:p w14:paraId="158E9458" w14:textId="2AA67090"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Threat anticipation represents one of the most significant conceptual shifts introduced by Zero Trust Architecture. Traditional perimeter-based models implicitly assume that internal users and systems are trustworthy, resulting in delayed detection once compromise occurs. Zero Trust instead operates on an assumption of breach</w:t>
      </w:r>
      <w:r w:rsidR="00000A7C" w:rsidRPr="00000A7C">
        <w:t xml:space="preserve"> </w:t>
      </w:r>
      <w:r w:rsidR="00000A7C" w:rsidRPr="00000A7C">
        <w:rPr>
          <w:rFonts w:cs="Times New Roman"/>
          <w:i/>
          <w:sz w:val="18"/>
          <w:szCs w:val="18"/>
          <w:lang w:val="en-IN"/>
        </w:rPr>
        <w:t>[1], [2]</w:t>
      </w:r>
      <w:r w:rsidRPr="009E479B">
        <w:rPr>
          <w:rFonts w:cs="Times New Roman"/>
          <w:i/>
          <w:sz w:val="18"/>
          <w:szCs w:val="18"/>
          <w:lang w:val="en-IN"/>
        </w:rPr>
        <w:t>.</w:t>
      </w:r>
    </w:p>
    <w:p w14:paraId="19DDB682" w14:textId="28A581AA"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From this analysis, it is reasonable to conclude that Zero Trust architectures align more closely with contemporary attack patterns, particularly credential-based intrusions</w:t>
      </w:r>
      <w:r w:rsidR="00E5433B">
        <w:t xml:space="preserve"> </w:t>
      </w:r>
      <w:r w:rsidR="00E5433B" w:rsidRPr="00E5433B">
        <w:rPr>
          <w:rFonts w:cs="Times New Roman"/>
          <w:i/>
          <w:sz w:val="18"/>
          <w:szCs w:val="18"/>
          <w:lang w:val="en-IN"/>
        </w:rPr>
        <w:t>[4]</w:t>
      </w:r>
      <w:r w:rsidRPr="009E479B">
        <w:rPr>
          <w:rFonts w:cs="Times New Roman"/>
          <w:i/>
          <w:sz w:val="18"/>
          <w:szCs w:val="18"/>
          <w:lang w:val="en-IN"/>
        </w:rPr>
        <w:t>. Continuous verification reduces reliance on static trust relationships that attackers routinely exploit.</w:t>
      </w:r>
    </w:p>
    <w:p w14:paraId="69AF5817" w14:textId="5C5E4430"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However, effective threat anticipation depends on the availability and quality of contextual telemetry</w:t>
      </w:r>
      <w:r w:rsidR="00E5433B">
        <w:rPr>
          <w:rFonts w:cs="Times New Roman"/>
          <w:i/>
          <w:sz w:val="18"/>
          <w:szCs w:val="18"/>
          <w:lang w:val="en-IN"/>
        </w:rPr>
        <w:t xml:space="preserve"> </w:t>
      </w:r>
      <w:r w:rsidR="00E5433B" w:rsidRPr="00E5433B">
        <w:rPr>
          <w:rFonts w:cs="Times New Roman"/>
          <w:i/>
          <w:sz w:val="18"/>
          <w:szCs w:val="18"/>
          <w:lang w:val="en-IN"/>
        </w:rPr>
        <w:t>[1</w:t>
      </w:r>
      <w:proofErr w:type="gramStart"/>
      <w:r w:rsidR="00E5433B" w:rsidRPr="00E5433B">
        <w:rPr>
          <w:rFonts w:cs="Times New Roman"/>
          <w:i/>
          <w:sz w:val="18"/>
          <w:szCs w:val="18"/>
          <w:lang w:val="en-IN"/>
        </w:rPr>
        <w:t>]</w:t>
      </w:r>
      <w:r w:rsidRPr="009E479B">
        <w:rPr>
          <w:rFonts w:cs="Times New Roman"/>
          <w:i/>
          <w:sz w:val="18"/>
          <w:szCs w:val="18"/>
          <w:lang w:val="en-IN"/>
        </w:rPr>
        <w:t>.In</w:t>
      </w:r>
      <w:proofErr w:type="gramEnd"/>
      <w:r w:rsidRPr="009E479B">
        <w:rPr>
          <w:rFonts w:cs="Times New Roman"/>
          <w:i/>
          <w:sz w:val="18"/>
          <w:szCs w:val="18"/>
          <w:lang w:val="en-IN"/>
        </w:rPr>
        <w:t xml:space="preserve"> environments with immature identity governance or limited monitoring, the anticipated benefits may be reduced, a limitation that warrants explicit acknowledgement.</w:t>
      </w:r>
    </w:p>
    <w:p w14:paraId="06D35369"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B. Protection Mechanisms</w:t>
      </w:r>
    </w:p>
    <w:p w14:paraId="74338994" w14:textId="21E2CD68"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Protection mechanisms under Zero Trust differ substantially from those employed in perimeter-centric models. Rather than relying on coarse network segmentation, Zero Trust emphasises micro-segmentation, identity-driven access control, and application-level enforcement</w:t>
      </w:r>
      <w:r w:rsidR="00E5433B">
        <w:rPr>
          <w:rFonts w:cs="Times New Roman"/>
          <w:i/>
          <w:sz w:val="18"/>
          <w:szCs w:val="18"/>
          <w:lang w:val="en-IN"/>
        </w:rPr>
        <w:t xml:space="preserve"> </w:t>
      </w:r>
      <w:r w:rsidR="00E5433B" w:rsidRPr="00E5433B">
        <w:rPr>
          <w:rFonts w:cs="Times New Roman"/>
          <w:i/>
          <w:sz w:val="18"/>
          <w:szCs w:val="18"/>
          <w:lang w:val="en-IN"/>
        </w:rPr>
        <w:t>[1], [3]</w:t>
      </w:r>
      <w:r w:rsidRPr="009E479B">
        <w:rPr>
          <w:rFonts w:cs="Times New Roman"/>
          <w:i/>
          <w:sz w:val="18"/>
          <w:szCs w:val="18"/>
          <w:lang w:val="en-IN"/>
        </w:rPr>
        <w:t>.</w:t>
      </w:r>
    </w:p>
    <w:p w14:paraId="7831F9EF" w14:textId="70358A69"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In my view, the most significant advantage of this approach lies in its ability to limit blast radius. Compromise of one identity or workload does not automatically grant access to others, which represents a clear improvement </w:t>
      </w:r>
      <w:r w:rsidRPr="009E479B">
        <w:rPr>
          <w:rFonts w:cs="Times New Roman"/>
          <w:i/>
          <w:sz w:val="18"/>
          <w:szCs w:val="18"/>
          <w:lang w:val="en-IN"/>
        </w:rPr>
        <w:t>over flat internal network</w:t>
      </w:r>
      <w:r w:rsidRPr="009E479B">
        <w:rPr>
          <w:rFonts w:cs="Times New Roman"/>
          <w:i/>
          <w:sz w:val="18"/>
          <w:szCs w:val="18"/>
          <w:lang w:val="en-IN"/>
        </w:rPr>
        <w:t>. This characteristic is particularly valuable in cloud environments where workloads are ephemeral and dynamically scaled</w:t>
      </w:r>
      <w:r w:rsidR="00E5433B">
        <w:rPr>
          <w:rFonts w:cs="Times New Roman"/>
          <w:i/>
          <w:sz w:val="18"/>
          <w:szCs w:val="18"/>
          <w:lang w:val="en-IN"/>
        </w:rPr>
        <w:t xml:space="preserve"> </w:t>
      </w:r>
      <w:r w:rsidR="00E5433B" w:rsidRPr="00E5433B">
        <w:rPr>
          <w:rFonts w:cs="Times New Roman"/>
          <w:i/>
          <w:sz w:val="18"/>
          <w:szCs w:val="18"/>
          <w:lang w:val="en-IN"/>
        </w:rPr>
        <w:t>[1]</w:t>
      </w:r>
      <w:r w:rsidRPr="009E479B">
        <w:rPr>
          <w:rFonts w:cs="Times New Roman"/>
          <w:i/>
          <w:sz w:val="18"/>
          <w:szCs w:val="18"/>
          <w:lang w:val="en-IN"/>
        </w:rPr>
        <w:t>.</w:t>
      </w:r>
    </w:p>
    <w:p w14:paraId="304E39BD"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At the same time, Zero Trust protection mechanisms introduce operational complexity. Policy design, testing, and maintenance require sustained effort, and poorly </w:t>
      </w:r>
      <w:r w:rsidRPr="009E479B">
        <w:rPr>
          <w:rFonts w:cs="Times New Roman"/>
          <w:i/>
          <w:sz w:val="18"/>
          <w:szCs w:val="18"/>
          <w:lang w:val="en-IN"/>
        </w:rPr>
        <w:t>designed policies can fail just as badly as poorly designed firewalls.</w:t>
      </w:r>
    </w:p>
    <w:p w14:paraId="4409E180"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C. Detection Capabilities</w:t>
      </w:r>
    </w:p>
    <w:p w14:paraId="4A1CBD2C" w14:textId="37002ACC"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Detection within Zero Trust environments benefits from pervasive authentication and authorisation processes that generate detailed telemetry</w:t>
      </w:r>
      <w:r w:rsidR="00E5433B">
        <w:rPr>
          <w:rFonts w:cs="Times New Roman"/>
          <w:i/>
          <w:sz w:val="18"/>
          <w:szCs w:val="18"/>
          <w:lang w:val="en-IN"/>
        </w:rPr>
        <w:t xml:space="preserve"> </w:t>
      </w:r>
      <w:r w:rsidR="00E5433B" w:rsidRPr="00E5433B">
        <w:rPr>
          <w:rFonts w:cs="Times New Roman"/>
          <w:i/>
          <w:sz w:val="18"/>
          <w:szCs w:val="18"/>
          <w:lang w:val="en-IN"/>
        </w:rPr>
        <w:t>[3]</w:t>
      </w:r>
      <w:r w:rsidRPr="009E479B">
        <w:rPr>
          <w:rFonts w:cs="Times New Roman"/>
          <w:i/>
          <w:sz w:val="18"/>
          <w:szCs w:val="18"/>
          <w:lang w:val="en-IN"/>
        </w:rPr>
        <w:t>. Each access request becomes a potential data point for behavioural analysis when integrated with SIEM and analytics platforms.</w:t>
      </w:r>
    </w:p>
    <w:p w14:paraId="4B921A60" w14:textId="433E50CB"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Unlike perimeter-based detection, which often loses visibility after initial compromise, Zero Trust maintains scrutiny throughout the attack lifecycle</w:t>
      </w:r>
      <w:r w:rsidR="00E5433B">
        <w:rPr>
          <w:rFonts w:cs="Times New Roman"/>
          <w:i/>
          <w:sz w:val="18"/>
          <w:szCs w:val="18"/>
          <w:lang w:val="en-IN"/>
        </w:rPr>
        <w:t xml:space="preserve"> </w:t>
      </w:r>
      <w:r w:rsidR="00E5433B" w:rsidRPr="00E5433B">
        <w:rPr>
          <w:rFonts w:cs="Times New Roman"/>
          <w:i/>
          <w:sz w:val="18"/>
          <w:szCs w:val="18"/>
          <w:lang w:val="en-IN"/>
        </w:rPr>
        <w:t>[4]</w:t>
      </w:r>
      <w:r w:rsidRPr="009E479B">
        <w:rPr>
          <w:rFonts w:cs="Times New Roman"/>
          <w:i/>
          <w:sz w:val="18"/>
          <w:szCs w:val="18"/>
          <w:lang w:val="en-IN"/>
        </w:rPr>
        <w:t>. This improves the likelihood of detecting lateral movement and privilege abuse.</w:t>
      </w:r>
    </w:p>
    <w:p w14:paraId="3F0AA31A" w14:textId="235A7D86"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That said, detection effectiveness is uneven across organisations. High telemetry volumes can overwhelm security teams without sufficient automation or operational maturity, meaning that visibility may improve faster than response capability</w:t>
      </w:r>
      <w:r w:rsidR="00E5433B">
        <w:rPr>
          <w:rFonts w:cs="Times New Roman"/>
          <w:i/>
          <w:sz w:val="18"/>
          <w:szCs w:val="18"/>
          <w:lang w:val="en-IN"/>
        </w:rPr>
        <w:t xml:space="preserve"> </w:t>
      </w:r>
      <w:r w:rsidR="00E5433B" w:rsidRPr="00E5433B">
        <w:rPr>
          <w:rFonts w:cs="Times New Roman"/>
          <w:i/>
          <w:sz w:val="18"/>
          <w:szCs w:val="18"/>
          <w:lang w:val="en-IN"/>
        </w:rPr>
        <w:t>[3]</w:t>
      </w:r>
      <w:r w:rsidRPr="009E479B">
        <w:rPr>
          <w:rFonts w:cs="Times New Roman"/>
          <w:i/>
          <w:sz w:val="18"/>
          <w:szCs w:val="18"/>
          <w:lang w:val="en-IN"/>
        </w:rPr>
        <w:t>.</w:t>
      </w:r>
    </w:p>
    <w:p w14:paraId="161FE833"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D. Automated Response</w:t>
      </w:r>
    </w:p>
    <w:p w14:paraId="611BB881" w14:textId="23C25D81"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Automated response is frequently associated with Zero Trust, but this capability depends more on execution quality than architectural intent.</w:t>
      </w:r>
      <w:r w:rsidR="00E5433B">
        <w:rPr>
          <w:rFonts w:cs="Times New Roman"/>
          <w:i/>
          <w:sz w:val="18"/>
          <w:szCs w:val="18"/>
          <w:lang w:val="en-IN"/>
        </w:rPr>
        <w:t xml:space="preserve"> </w:t>
      </w:r>
      <w:r w:rsidRPr="009E479B">
        <w:rPr>
          <w:rFonts w:cs="Times New Roman"/>
          <w:i/>
          <w:sz w:val="18"/>
          <w:szCs w:val="18"/>
          <w:lang w:val="en-IN"/>
        </w:rPr>
        <w:t>Policy-driven enforcement enables rapid isolation of compromised identities or devices, reducing mean time to respond</w:t>
      </w:r>
      <w:r w:rsidR="00E5433B">
        <w:rPr>
          <w:rFonts w:cs="Times New Roman"/>
          <w:i/>
          <w:sz w:val="18"/>
          <w:szCs w:val="18"/>
          <w:lang w:val="en-IN"/>
        </w:rPr>
        <w:t xml:space="preserve"> </w:t>
      </w:r>
      <w:r w:rsidR="00E5433B" w:rsidRPr="00E5433B">
        <w:rPr>
          <w:rFonts w:cs="Times New Roman"/>
          <w:i/>
          <w:sz w:val="18"/>
          <w:szCs w:val="18"/>
          <w:lang w:val="en-IN"/>
        </w:rPr>
        <w:t>[1]</w:t>
      </w:r>
      <w:r w:rsidRPr="009E479B">
        <w:rPr>
          <w:rFonts w:cs="Times New Roman"/>
          <w:i/>
          <w:sz w:val="18"/>
          <w:szCs w:val="18"/>
          <w:lang w:val="en-IN"/>
        </w:rPr>
        <w:t>.</w:t>
      </w:r>
    </w:p>
    <w:p w14:paraId="7F820DBE" w14:textId="3B43292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section is intentionally shorter, as automation is not guaranteed by Zero Trust alone. Over-automation can introduce operational risk if false positives trigger unnecessary disruption. Nonetheless, compared with manual response processes typical of legacy environments, Zero Trust provides a more scalable foundation for automation when integrated with SOAR platforms</w:t>
      </w:r>
      <w:r w:rsidR="00E5433B">
        <w:rPr>
          <w:rFonts w:cs="Times New Roman"/>
          <w:i/>
          <w:sz w:val="18"/>
          <w:szCs w:val="18"/>
          <w:lang w:val="en-IN"/>
        </w:rPr>
        <w:t xml:space="preserve"> </w:t>
      </w:r>
      <w:r w:rsidR="00E5433B" w:rsidRPr="00E5433B">
        <w:rPr>
          <w:rFonts w:cs="Times New Roman"/>
          <w:i/>
          <w:sz w:val="18"/>
          <w:szCs w:val="18"/>
          <w:lang w:val="en-IN"/>
        </w:rPr>
        <w:t>[3]</w:t>
      </w:r>
      <w:r w:rsidRPr="009E479B">
        <w:rPr>
          <w:rFonts w:cs="Times New Roman"/>
          <w:i/>
          <w:sz w:val="18"/>
          <w:szCs w:val="18"/>
          <w:lang w:val="en-IN"/>
        </w:rPr>
        <w:t>.</w:t>
      </w:r>
    </w:p>
    <w:p w14:paraId="3B562CE8"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197C92CE">
          <v:rect id="_x0000_i1506" style="width:0;height:1.5pt" o:hrstd="t" o:hr="t" fillcolor="#a0a0a0" stroked="f"/>
        </w:pict>
      </w:r>
    </w:p>
    <w:p w14:paraId="740595EC"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IV. COMPARISON OF SECURITY APPROACHES</w:t>
      </w:r>
    </w:p>
    <w:p w14:paraId="1555702E" w14:textId="7A848511"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Zero Trust Architecture must be evaluated relative to alternative security models. Traditional perimeter-based architectures struggle in cloud-native environments due to their reliance on fixed network boundaries</w:t>
      </w:r>
      <w:r w:rsidR="00E5433B">
        <w:rPr>
          <w:rFonts w:cs="Times New Roman"/>
          <w:i/>
          <w:sz w:val="18"/>
          <w:szCs w:val="18"/>
          <w:lang w:val="en-IN"/>
        </w:rPr>
        <w:t xml:space="preserve"> </w:t>
      </w:r>
      <w:r w:rsidR="00E5433B" w:rsidRPr="00E5433B">
        <w:rPr>
          <w:rFonts w:cs="Times New Roman"/>
          <w:i/>
          <w:sz w:val="18"/>
          <w:szCs w:val="18"/>
          <w:lang w:val="en-IN"/>
        </w:rPr>
        <w:t>[1]</w:t>
      </w:r>
      <w:r w:rsidRPr="009E479B">
        <w:rPr>
          <w:rFonts w:cs="Times New Roman"/>
          <w:i/>
          <w:sz w:val="18"/>
          <w:szCs w:val="18"/>
          <w:lang w:val="en-IN"/>
        </w:rPr>
        <w:t>. Hybrid VPN-centric models extend access to remote users but often replicate implicit trust assumptions.</w:t>
      </w:r>
    </w:p>
    <w:p w14:paraId="09BD487D" w14:textId="6F218CE5"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Zero Trust, while more complex, aligns more closely with modern enterprise architectures and regulatory expectations. Recent ENISA threat landscape reports identify identity compromise and supply-chain attacks as dominant risk drivers, threats that are poorly addressed by perimeter-centric controls but directly targeted by Zero Trust principles</w:t>
      </w:r>
      <w:r w:rsidR="00E5433B">
        <w:rPr>
          <w:rFonts w:cs="Times New Roman"/>
          <w:i/>
          <w:sz w:val="18"/>
          <w:szCs w:val="18"/>
          <w:lang w:val="en-IN"/>
        </w:rPr>
        <w:t xml:space="preserve"> </w:t>
      </w:r>
      <w:r w:rsidR="00E5433B" w:rsidRPr="00E5433B">
        <w:rPr>
          <w:rFonts w:cs="Times New Roman"/>
          <w:i/>
          <w:sz w:val="18"/>
          <w:szCs w:val="18"/>
          <w:lang w:val="en-IN"/>
        </w:rPr>
        <w:t>[4]</w:t>
      </w:r>
      <w:r w:rsidRPr="009E479B">
        <w:rPr>
          <w:rFonts w:cs="Times New Roman"/>
          <w:i/>
          <w:sz w:val="18"/>
          <w:szCs w:val="18"/>
          <w:lang w:val="en-IN"/>
        </w:rPr>
        <w:t>.</w:t>
      </w:r>
    </w:p>
    <w:p w14:paraId="3D92AA98"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5B189784">
          <v:rect id="_x0000_i1507" style="width:0;height:1.5pt" o:hrstd="t" o:hr="t" fillcolor="#a0a0a0" stroked="f"/>
        </w:pict>
      </w:r>
    </w:p>
    <w:p w14:paraId="3EA75220" w14:textId="77777777"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V. LIMITATIONS AND CHALLENGES</w:t>
      </w:r>
    </w:p>
    <w:p w14:paraId="3406655A" w14:textId="7F9F2204"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Despite its advantages, Zero Trust Architecture introduces notable challenges. Identity infrastructure becomes a critical dependency, and failures in identity </w:t>
      </w:r>
      <w:r w:rsidRPr="009E479B">
        <w:rPr>
          <w:rFonts w:cs="Times New Roman"/>
          <w:i/>
          <w:sz w:val="18"/>
          <w:szCs w:val="18"/>
          <w:lang w:val="en-IN"/>
        </w:rPr>
        <w:lastRenderedPageBreak/>
        <w:t>governance can undermine the entire model</w:t>
      </w:r>
      <w:r w:rsidR="00E5433B">
        <w:rPr>
          <w:rFonts w:cs="Times New Roman"/>
          <w:i/>
          <w:sz w:val="18"/>
          <w:szCs w:val="18"/>
          <w:lang w:val="en-IN"/>
        </w:rPr>
        <w:t xml:space="preserve"> </w:t>
      </w:r>
      <w:r w:rsidR="00E5433B" w:rsidRPr="00E5433B">
        <w:rPr>
          <w:rFonts w:cs="Times New Roman"/>
          <w:i/>
          <w:sz w:val="18"/>
          <w:szCs w:val="18"/>
          <w:lang w:val="en-IN"/>
        </w:rPr>
        <w:t>[1]</w:t>
      </w:r>
      <w:r w:rsidRPr="009E479B">
        <w:rPr>
          <w:rFonts w:cs="Times New Roman"/>
          <w:i/>
          <w:sz w:val="18"/>
          <w:szCs w:val="18"/>
          <w:lang w:val="en-IN"/>
        </w:rPr>
        <w:t>. Integration with legacy systems remains difficult where continuous authentication is not feasible</w:t>
      </w:r>
      <w:r w:rsidR="00E5433B">
        <w:rPr>
          <w:rFonts w:cs="Times New Roman"/>
          <w:i/>
          <w:sz w:val="18"/>
          <w:szCs w:val="18"/>
          <w:lang w:val="en-IN"/>
        </w:rPr>
        <w:t xml:space="preserve"> </w:t>
      </w:r>
      <w:r w:rsidR="00E5433B" w:rsidRPr="00E5433B">
        <w:rPr>
          <w:rFonts w:cs="Times New Roman"/>
          <w:i/>
          <w:sz w:val="18"/>
          <w:szCs w:val="18"/>
          <w:lang w:val="en-IN"/>
        </w:rPr>
        <w:t>[3]</w:t>
      </w:r>
      <w:r w:rsidRPr="009E479B">
        <w:rPr>
          <w:rFonts w:cs="Times New Roman"/>
          <w:i/>
          <w:sz w:val="18"/>
          <w:szCs w:val="18"/>
          <w:lang w:val="en-IN"/>
        </w:rPr>
        <w:t>.</w:t>
      </w:r>
    </w:p>
    <w:p w14:paraId="746AEB5C" w14:textId="3578C69F"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 xml:space="preserve">Organisational resistance also presents a barrier. Zero Trust requires cultural change, including acceptance of stricter access controls and increased monitoring. These challenges do not invalidate Zero Trust but indicate that adoption should be incremental and </w:t>
      </w:r>
      <w:r w:rsidRPr="009E479B">
        <w:rPr>
          <w:rFonts w:cs="Times New Roman"/>
          <w:i/>
          <w:sz w:val="18"/>
          <w:szCs w:val="18"/>
          <w:lang w:val="en-IN"/>
        </w:rPr>
        <w:t>risk informed</w:t>
      </w:r>
      <w:r w:rsidRPr="009E479B">
        <w:rPr>
          <w:rFonts w:cs="Times New Roman"/>
          <w:i/>
          <w:sz w:val="18"/>
          <w:szCs w:val="18"/>
          <w:lang w:val="en-IN"/>
        </w:rPr>
        <w:t>.</w:t>
      </w:r>
    </w:p>
    <w:p w14:paraId="76C7931E" w14:textId="41B3C6B2" w:rsidR="00D666D4" w:rsidRPr="00CA2AA4" w:rsidRDefault="009E479B" w:rsidP="009E479B">
      <w:pPr>
        <w:pStyle w:val="IEEE-Caption"/>
        <w:jc w:val="both"/>
        <w:rPr>
          <w:rFonts w:cs="Times New Roman"/>
          <w:i/>
          <w:sz w:val="18"/>
          <w:szCs w:val="18"/>
          <w:lang w:val="en-IN"/>
        </w:rPr>
      </w:pPr>
      <w:r w:rsidRPr="009E479B">
        <w:rPr>
          <w:rFonts w:cs="Times New Roman"/>
          <w:i/>
          <w:sz w:val="18"/>
          <w:szCs w:val="18"/>
          <w:lang w:val="en-IN"/>
        </w:rPr>
        <w:pict w14:anchorId="59798303">
          <v:rect id="_x0000_i1508" style="width:0;height:1.5pt" o:hrstd="t" o:hr="t" fillcolor="#a0a0a0" stroked="f"/>
        </w:pict>
      </w:r>
    </w:p>
    <w:p w14:paraId="173915B4" w14:textId="62FBF3DF" w:rsidR="009E479B" w:rsidRPr="009E479B" w:rsidRDefault="009E479B" w:rsidP="009E479B">
      <w:pPr>
        <w:pStyle w:val="IEEE-Caption"/>
        <w:jc w:val="both"/>
        <w:rPr>
          <w:rFonts w:cs="Times New Roman"/>
          <w:b/>
          <w:bCs/>
          <w:i/>
          <w:sz w:val="18"/>
          <w:szCs w:val="18"/>
          <w:lang w:val="en-IN"/>
        </w:rPr>
      </w:pPr>
      <w:r w:rsidRPr="009E479B">
        <w:rPr>
          <w:rFonts w:cs="Times New Roman"/>
          <w:b/>
          <w:bCs/>
          <w:i/>
          <w:sz w:val="18"/>
          <w:szCs w:val="18"/>
          <w:lang w:val="en-IN"/>
        </w:rPr>
        <w:t>VI. CONCLUSION</w:t>
      </w:r>
    </w:p>
    <w:p w14:paraId="04025CC8" w14:textId="77777777" w:rsidR="009E479B" w:rsidRPr="009E479B" w:rsidRDefault="009E479B" w:rsidP="009E479B">
      <w:pPr>
        <w:pStyle w:val="IEEE-Caption"/>
        <w:jc w:val="both"/>
        <w:rPr>
          <w:rFonts w:cs="Times New Roman"/>
          <w:i/>
          <w:sz w:val="18"/>
          <w:szCs w:val="18"/>
          <w:lang w:val="en-IN"/>
        </w:rPr>
      </w:pPr>
      <w:r w:rsidRPr="009E479B">
        <w:rPr>
          <w:rFonts w:cs="Times New Roman"/>
          <w:i/>
          <w:sz w:val="18"/>
          <w:szCs w:val="18"/>
          <w:lang w:val="en-IN"/>
        </w:rPr>
        <w:t>This research demonstrates that Zero Trust Architecture provides materially stronger capabilities for threat anticipation, protection, and detection than traditional and hybrid security models. Its identity-centric and continuously evaluated trust model aligns well with cloud-native and hybrid enterprise environments.</w:t>
      </w:r>
    </w:p>
    <w:p w14:paraId="07B142A8" w14:textId="0371C8A3" w:rsidR="00CA2AA4" w:rsidRDefault="009E479B" w:rsidP="009E479B">
      <w:pPr>
        <w:pStyle w:val="IEEE-Caption"/>
        <w:jc w:val="both"/>
        <w:rPr>
          <w:rFonts w:cs="Times New Roman"/>
          <w:i/>
          <w:sz w:val="18"/>
          <w:szCs w:val="18"/>
          <w:lang w:val="en-IN"/>
        </w:rPr>
        <w:sectPr w:rsidR="00CA2AA4" w:rsidSect="00FF6260">
          <w:type w:val="continuous"/>
          <w:pgSz w:w="11906" w:h="16838"/>
          <w:pgMar w:top="1440" w:right="1440" w:bottom="1440" w:left="1440" w:header="708" w:footer="708" w:gutter="0"/>
          <w:cols w:num="2" w:space="720"/>
          <w:docGrid w:linePitch="360"/>
        </w:sectPr>
      </w:pPr>
      <w:r w:rsidRPr="009E479B">
        <w:rPr>
          <w:rFonts w:cs="Times New Roman"/>
          <w:i/>
          <w:sz w:val="18"/>
          <w:szCs w:val="18"/>
          <w:lang w:val="en-IN"/>
        </w:rPr>
        <w:t>However, Zero Trust should be understood as an operating model rather than a solution. Its success depends on governance, identity maturity, and operational discipline. These findings directly inform the applied security programme developed in Task 2.</w:t>
      </w:r>
      <w:r w:rsidR="00CA2AA4" w:rsidRPr="00CA2AA4">
        <w:rPr>
          <w:rFonts w:cs="Times New Roman"/>
          <w:i/>
          <w:sz w:val="18"/>
          <w:szCs w:val="18"/>
          <w:lang w:val="en-IN"/>
        </w:rPr>
        <w:t xml:space="preserve"> </w:t>
      </w:r>
      <w:r w:rsidR="00CA2AA4" w:rsidRPr="009E479B">
        <w:rPr>
          <w:rFonts w:cs="Times New Roman"/>
          <w:i/>
          <w:sz w:val="18"/>
          <w:szCs w:val="18"/>
          <w:lang w:val="en-IN"/>
        </w:rPr>
        <w:pict w14:anchorId="3453DC5B">
          <v:rect id="_x0000_i1509" style="width:0;height:1.5pt" o:hrstd="t" o:hr="t" fillcolor="#a0a0a0" stroked="f"/>
        </w:pict>
      </w:r>
    </w:p>
    <w:p w14:paraId="57300E7A" w14:textId="77777777" w:rsidR="00FF6260" w:rsidRDefault="00FF6260" w:rsidP="009E479B">
      <w:pPr>
        <w:pStyle w:val="IEEE-Caption"/>
        <w:jc w:val="both"/>
        <w:rPr>
          <w:rFonts w:cs="Times New Roman"/>
          <w:i/>
          <w:sz w:val="18"/>
          <w:szCs w:val="18"/>
          <w:lang w:val="en-IN"/>
        </w:rPr>
        <w:sectPr w:rsidR="00FF6260" w:rsidSect="00CA2AA4">
          <w:pgSz w:w="11906" w:h="16838"/>
          <w:pgMar w:top="1440" w:right="1440" w:bottom="1440" w:left="1440" w:header="708" w:footer="708" w:gutter="0"/>
          <w:cols w:num="2" w:space="708"/>
          <w:docGrid w:linePitch="360"/>
        </w:sectPr>
      </w:pPr>
    </w:p>
    <w:p w14:paraId="69AE1595" w14:textId="77777777" w:rsidR="009E479B" w:rsidRPr="009E479B" w:rsidRDefault="009E479B" w:rsidP="009E479B">
      <w:pPr>
        <w:pStyle w:val="IEEE-Caption"/>
        <w:jc w:val="both"/>
        <w:rPr>
          <w:rFonts w:cs="Times New Roman"/>
          <w:i/>
          <w:sz w:val="18"/>
          <w:szCs w:val="18"/>
          <w:lang w:val="en-IN"/>
        </w:rPr>
      </w:pPr>
    </w:p>
    <w:p w14:paraId="567EE66B" w14:textId="1C59991E" w:rsidR="009E479B" w:rsidRPr="009E479B" w:rsidRDefault="009E479B" w:rsidP="009E479B">
      <w:pPr>
        <w:pStyle w:val="IEEE-Caption"/>
        <w:jc w:val="both"/>
        <w:rPr>
          <w:rFonts w:cs="Times New Roman"/>
          <w:i/>
          <w:sz w:val="18"/>
          <w:szCs w:val="18"/>
          <w:lang w:val="en-IN"/>
        </w:rPr>
      </w:pPr>
    </w:p>
    <w:p w14:paraId="49737C17" w14:textId="77777777" w:rsidR="00D666D4" w:rsidRDefault="00D666D4" w:rsidP="001C4AFE">
      <w:pPr>
        <w:sectPr w:rsidR="00D666D4" w:rsidSect="00FF6260">
          <w:type w:val="continuous"/>
          <w:pgSz w:w="11906" w:h="16838"/>
          <w:pgMar w:top="1440" w:right="1440" w:bottom="1440" w:left="1440" w:header="708" w:footer="708" w:gutter="0"/>
          <w:cols w:num="2" w:space="708"/>
          <w:docGrid w:linePitch="360"/>
        </w:sectPr>
      </w:pPr>
    </w:p>
    <w:p w14:paraId="0A52A125" w14:textId="7E37A843" w:rsidR="00D666D4" w:rsidRDefault="00D666D4" w:rsidP="001C4AFE"/>
    <w:p w14:paraId="383F1A43" w14:textId="77777777" w:rsidR="00D666D4" w:rsidRDefault="00D666D4">
      <w:pPr>
        <w:jc w:val="left"/>
      </w:pPr>
      <w:r>
        <w:br w:type="page"/>
      </w:r>
    </w:p>
    <w:p w14:paraId="27B18C95" w14:textId="77777777" w:rsidR="00D666D4" w:rsidRPr="009E479B" w:rsidRDefault="00D666D4" w:rsidP="00D666D4">
      <w:pPr>
        <w:pStyle w:val="IEEE-Caption"/>
        <w:jc w:val="left"/>
        <w:rPr>
          <w:rFonts w:cs="Times New Roman"/>
          <w:i/>
          <w:sz w:val="18"/>
          <w:szCs w:val="18"/>
          <w:lang w:val="en-IN"/>
        </w:rPr>
      </w:pPr>
      <w:r w:rsidRPr="00D666D4">
        <w:rPr>
          <w:rStyle w:val="SectionHChar"/>
        </w:rPr>
        <w:lastRenderedPageBreak/>
        <w:t>TASK 2: APPLIED CASE SCENARIO – ZERO TRUST SECURITY PROGRAMME</w:t>
      </w:r>
      <w:r w:rsidRPr="009E479B">
        <w:rPr>
          <w:rFonts w:cs="Times New Roman"/>
          <w:i/>
          <w:sz w:val="18"/>
          <w:szCs w:val="18"/>
          <w:lang w:val="en-IN"/>
        </w:rPr>
        <w:pict w14:anchorId="1C3D4F4F">
          <v:rect id="_x0000_i1437" style="width:0;height:1.5pt" o:hrstd="t" o:hr="t" fillcolor="#a0a0a0" stroked="f"/>
        </w:pict>
      </w:r>
    </w:p>
    <w:p w14:paraId="616B06E5"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VII. ORGANISATIONAL CONTEXT AND SECURITY OBJECTIVES</w:t>
      </w:r>
    </w:p>
    <w:p w14:paraId="61F46611"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The organisation examined is an AI-powered threat intelligence company operating a cloud-native infrastructure with a hybrid workforce. Core services include large-scale data ingestion, analytics, and machine learning model development. Expansion into the European Union introduces mandatory compliance with the Digital Operational Resilience Act (DORA) and the NIS2 Directive.</w:t>
      </w:r>
    </w:p>
    <w:p w14:paraId="77FC8313"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Security objectives therefore extend beyond confidentiality to include service continuity, regulatory compliance, and protection of intellectual property embedded in AI models. Zero Trust Architecture is adopted as a security operating model aligned with these objectives rather than as a purely technical control set.</w:t>
      </w:r>
    </w:p>
    <w:p w14:paraId="2D3D5522"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77185620">
          <v:rect id="_x0000_i1438" style="width:0;height:1.5pt" o:hrstd="t" o:hr="t" fillcolor="#a0a0a0" stroked="f"/>
        </w:pict>
      </w:r>
    </w:p>
    <w:p w14:paraId="24F7BC1D"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VIII. ZERO TRUST SECURITY PROGRAMME DESIGN</w:t>
      </w:r>
    </w:p>
    <w:p w14:paraId="4EF8784E"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A. Organisation Structure</w:t>
      </w:r>
    </w:p>
    <w:p w14:paraId="2D2C2506"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 xml:space="preserve">The </w:t>
      </w:r>
      <w:r w:rsidRPr="009E479B">
        <w:rPr>
          <w:rFonts w:cs="Times New Roman"/>
          <w:b/>
          <w:bCs/>
          <w:i/>
          <w:sz w:val="18"/>
          <w:szCs w:val="18"/>
          <w:lang w:val="en-IN"/>
        </w:rPr>
        <w:t>Cloud Security Architect</w:t>
      </w:r>
      <w:r w:rsidRPr="009E479B">
        <w:rPr>
          <w:rFonts w:cs="Times New Roman"/>
          <w:i/>
          <w:sz w:val="18"/>
          <w:szCs w:val="18"/>
          <w:lang w:val="en-IN"/>
        </w:rPr>
        <w:t xml:space="preserve"> designs and maintains Zero Trust controls across cloud platforms and identity systems and reports to the CISO.</w:t>
      </w:r>
      <w:r w:rsidRPr="009E479B">
        <w:rPr>
          <w:rFonts w:cs="Times New Roman"/>
          <w:i/>
          <w:sz w:val="18"/>
          <w:szCs w:val="18"/>
          <w:lang w:val="en-IN"/>
        </w:rPr>
        <w:br/>
        <w:t xml:space="preserve">The </w:t>
      </w:r>
      <w:proofErr w:type="spellStart"/>
      <w:r w:rsidRPr="009E479B">
        <w:rPr>
          <w:rFonts w:cs="Times New Roman"/>
          <w:b/>
          <w:bCs/>
          <w:i/>
          <w:sz w:val="18"/>
          <w:szCs w:val="18"/>
          <w:lang w:val="en-IN"/>
        </w:rPr>
        <w:t>DevSecOps</w:t>
      </w:r>
      <w:proofErr w:type="spellEnd"/>
      <w:r w:rsidRPr="009E479B">
        <w:rPr>
          <w:rFonts w:cs="Times New Roman"/>
          <w:b/>
          <w:bCs/>
          <w:i/>
          <w:sz w:val="18"/>
          <w:szCs w:val="18"/>
          <w:lang w:val="en-IN"/>
        </w:rPr>
        <w:t xml:space="preserve"> Lead</w:t>
      </w:r>
      <w:r w:rsidRPr="009E479B">
        <w:rPr>
          <w:rFonts w:cs="Times New Roman"/>
          <w:i/>
          <w:sz w:val="18"/>
          <w:szCs w:val="18"/>
          <w:lang w:val="en-IN"/>
        </w:rPr>
        <w:t xml:space="preserve"> integrates Zero Trust principles into CI/CD pipelines and reports operationally to engineering leadership while remaining functionally accountable to the CISO.</w:t>
      </w:r>
      <w:r w:rsidRPr="009E479B">
        <w:rPr>
          <w:rFonts w:cs="Times New Roman"/>
          <w:i/>
          <w:sz w:val="18"/>
          <w:szCs w:val="18"/>
          <w:lang w:val="en-IN"/>
        </w:rPr>
        <w:br/>
        <w:t xml:space="preserve">The </w:t>
      </w:r>
      <w:r w:rsidRPr="009E479B">
        <w:rPr>
          <w:rFonts w:cs="Times New Roman"/>
          <w:b/>
          <w:bCs/>
          <w:i/>
          <w:sz w:val="18"/>
          <w:szCs w:val="18"/>
          <w:lang w:val="en-IN"/>
        </w:rPr>
        <w:t>GRC Lead</w:t>
      </w:r>
      <w:r w:rsidRPr="009E479B">
        <w:rPr>
          <w:rFonts w:cs="Times New Roman"/>
          <w:i/>
          <w:sz w:val="18"/>
          <w:szCs w:val="18"/>
          <w:lang w:val="en-IN"/>
        </w:rPr>
        <w:t xml:space="preserve"> oversees DORA and NIS2 compliance, third-party risk, and incident reporting obligations.</w:t>
      </w:r>
    </w:p>
    <w:p w14:paraId="1195251C"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7BAD04F4">
          <v:rect id="_x0000_i1439" style="width:0;height:1.5pt" o:hrstd="t" o:hr="t" fillcolor="#a0a0a0" stroked="f"/>
        </w:pict>
      </w:r>
    </w:p>
    <w:p w14:paraId="21BD530E"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B. Governance and Strategy</w:t>
      </w:r>
    </w:p>
    <w:p w14:paraId="7727F62E" w14:textId="37321CDF"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 xml:space="preserve">Governance is structured around </w:t>
      </w:r>
      <w:r w:rsidRPr="009E479B">
        <w:rPr>
          <w:rFonts w:cs="Times New Roman"/>
          <w:b/>
          <w:bCs/>
          <w:i/>
          <w:sz w:val="18"/>
          <w:szCs w:val="18"/>
          <w:lang w:val="en-IN"/>
        </w:rPr>
        <w:t>NIST CSF 2.0</w:t>
      </w:r>
      <w:r w:rsidRPr="009E479B">
        <w:rPr>
          <w:rFonts w:cs="Times New Roman"/>
          <w:i/>
          <w:sz w:val="18"/>
          <w:szCs w:val="18"/>
          <w:lang w:val="en-IN"/>
        </w:rPr>
        <w:t>, selected for its alignment with organisational outcomes and risk management</w:t>
      </w:r>
      <w:r w:rsidR="00E5433B" w:rsidRPr="00E5433B">
        <w:t xml:space="preserve"> </w:t>
      </w:r>
      <w:r w:rsidR="00E5433B" w:rsidRPr="00E5433B">
        <w:rPr>
          <w:rFonts w:cs="Times New Roman"/>
          <w:i/>
          <w:sz w:val="18"/>
          <w:szCs w:val="18"/>
          <w:lang w:val="en-IN"/>
        </w:rPr>
        <w:t>[1]</w:t>
      </w:r>
      <w:r w:rsidRPr="009E479B">
        <w:rPr>
          <w:rFonts w:cs="Times New Roman"/>
          <w:i/>
          <w:sz w:val="18"/>
          <w:szCs w:val="18"/>
          <w:lang w:val="en-IN"/>
        </w:rPr>
        <w:t>. Security objectives are mapped directly to business goals, with board-level oversight ensuring accountability.</w:t>
      </w:r>
    </w:p>
    <w:p w14:paraId="531C4875"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37A4043F">
          <v:rect id="_x0000_i1440" style="width:0;height:1.5pt" o:hrstd="t" o:hr="t" fillcolor="#a0a0a0" stroked="f"/>
        </w:pict>
      </w:r>
    </w:p>
    <w:p w14:paraId="7F14932E"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C. Policies and Procedures</w:t>
      </w:r>
    </w:p>
    <w:p w14:paraId="535F5461"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 xml:space="preserve">The </w:t>
      </w:r>
      <w:r w:rsidRPr="009E479B">
        <w:rPr>
          <w:rFonts w:cs="Times New Roman"/>
          <w:b/>
          <w:bCs/>
          <w:i/>
          <w:sz w:val="18"/>
          <w:szCs w:val="18"/>
          <w:lang w:val="en-IN"/>
        </w:rPr>
        <w:t>AI Usage Policy</w:t>
      </w:r>
      <w:r w:rsidRPr="009E479B">
        <w:rPr>
          <w:rFonts w:cs="Times New Roman"/>
          <w:i/>
          <w:sz w:val="18"/>
          <w:szCs w:val="18"/>
          <w:lang w:val="en-IN"/>
        </w:rPr>
        <w:t xml:space="preserve"> restricts access to training data and model artefacts using least-privilege and continuous monitoring.</w:t>
      </w:r>
      <w:r w:rsidRPr="009E479B">
        <w:rPr>
          <w:rFonts w:cs="Times New Roman"/>
          <w:i/>
          <w:sz w:val="18"/>
          <w:szCs w:val="18"/>
          <w:lang w:val="en-IN"/>
        </w:rPr>
        <w:br/>
        <w:t xml:space="preserve">The </w:t>
      </w:r>
      <w:r w:rsidRPr="009E479B">
        <w:rPr>
          <w:rFonts w:cs="Times New Roman"/>
          <w:b/>
          <w:bCs/>
          <w:i/>
          <w:sz w:val="18"/>
          <w:szCs w:val="18"/>
          <w:lang w:val="en-IN"/>
        </w:rPr>
        <w:t>Secure SaaS Configuration Policy</w:t>
      </w:r>
      <w:r w:rsidRPr="009E479B">
        <w:rPr>
          <w:rFonts w:cs="Times New Roman"/>
          <w:i/>
          <w:sz w:val="18"/>
          <w:szCs w:val="18"/>
          <w:lang w:val="en-IN"/>
        </w:rPr>
        <w:t xml:space="preserve"> mandates MFA, conditional access, and continuous configuration monitoring.</w:t>
      </w:r>
      <w:r w:rsidRPr="009E479B">
        <w:rPr>
          <w:rFonts w:cs="Times New Roman"/>
          <w:i/>
          <w:sz w:val="18"/>
          <w:szCs w:val="18"/>
          <w:lang w:val="en-IN"/>
        </w:rPr>
        <w:br/>
        <w:t xml:space="preserve">The </w:t>
      </w:r>
      <w:r w:rsidRPr="009E479B">
        <w:rPr>
          <w:rFonts w:cs="Times New Roman"/>
          <w:b/>
          <w:bCs/>
          <w:i/>
          <w:sz w:val="18"/>
          <w:szCs w:val="18"/>
          <w:lang w:val="en-IN"/>
        </w:rPr>
        <w:t>BYOD Policy</w:t>
      </w:r>
      <w:r w:rsidRPr="009E479B">
        <w:rPr>
          <w:rFonts w:cs="Times New Roman"/>
          <w:i/>
          <w:sz w:val="18"/>
          <w:szCs w:val="18"/>
          <w:lang w:val="en-IN"/>
        </w:rPr>
        <w:t xml:space="preserve"> enforces device posture checks and denies access to non-compliant devices without exception.</w:t>
      </w:r>
    </w:p>
    <w:p w14:paraId="0B34F312"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2A43A540">
          <v:rect id="_x0000_i1441" style="width:0;height:1.5pt" o:hrstd="t" o:hr="t" fillcolor="#a0a0a0" stroked="f"/>
        </w:pict>
      </w:r>
    </w:p>
    <w:p w14:paraId="095DA740"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D. Compliance Mapping</w:t>
      </w:r>
    </w:p>
    <w:p w14:paraId="68E5EE15" w14:textId="432624DF"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 xml:space="preserve">Under </w:t>
      </w:r>
      <w:r w:rsidRPr="009E479B">
        <w:rPr>
          <w:rFonts w:cs="Times New Roman"/>
          <w:b/>
          <w:bCs/>
          <w:i/>
          <w:sz w:val="18"/>
          <w:szCs w:val="18"/>
          <w:lang w:val="en-IN"/>
        </w:rPr>
        <w:t>DORA</w:t>
      </w:r>
      <w:r w:rsidRPr="009E479B">
        <w:rPr>
          <w:rFonts w:cs="Times New Roman"/>
          <w:i/>
          <w:sz w:val="18"/>
          <w:szCs w:val="18"/>
          <w:lang w:val="en-IN"/>
        </w:rPr>
        <w:t>, Zero Trust controls support ICT risk management, resilience testing, and third-party risk oversight</w:t>
      </w:r>
      <w:r w:rsidR="00E5433B">
        <w:rPr>
          <w:rFonts w:cs="Times New Roman"/>
          <w:i/>
          <w:sz w:val="18"/>
          <w:szCs w:val="18"/>
          <w:lang w:val="en-IN"/>
        </w:rPr>
        <w:t xml:space="preserve"> </w:t>
      </w:r>
      <w:r w:rsidR="00E5433B" w:rsidRPr="00E5433B">
        <w:rPr>
          <w:rFonts w:cs="Times New Roman"/>
          <w:i/>
          <w:sz w:val="18"/>
          <w:szCs w:val="18"/>
          <w:lang w:val="en-IN"/>
        </w:rPr>
        <w:t>[5]</w:t>
      </w:r>
      <w:r w:rsidRPr="009E479B">
        <w:rPr>
          <w:rFonts w:cs="Times New Roman"/>
          <w:i/>
          <w:sz w:val="18"/>
          <w:szCs w:val="18"/>
          <w:lang w:val="en-IN"/>
        </w:rPr>
        <w:t>.</w:t>
      </w:r>
      <w:r w:rsidRPr="009E479B">
        <w:rPr>
          <w:rFonts w:cs="Times New Roman"/>
          <w:i/>
          <w:sz w:val="18"/>
          <w:szCs w:val="18"/>
          <w:lang w:val="en-IN"/>
        </w:rPr>
        <w:br/>
        <w:t xml:space="preserve">Under </w:t>
      </w:r>
      <w:r w:rsidRPr="009E479B">
        <w:rPr>
          <w:rFonts w:cs="Times New Roman"/>
          <w:b/>
          <w:bCs/>
          <w:i/>
          <w:sz w:val="18"/>
          <w:szCs w:val="18"/>
          <w:lang w:val="en-IN"/>
        </w:rPr>
        <w:t>NIS2</w:t>
      </w:r>
      <w:r w:rsidRPr="009E479B">
        <w:rPr>
          <w:rFonts w:cs="Times New Roman"/>
          <w:i/>
          <w:sz w:val="18"/>
          <w:szCs w:val="18"/>
          <w:lang w:val="en-IN"/>
        </w:rPr>
        <w:t>, continuous monitoring and automated workflows support timely incident detection and regulatory notification</w:t>
      </w:r>
      <w:r w:rsidR="00E5433B">
        <w:rPr>
          <w:rFonts w:cs="Times New Roman"/>
          <w:i/>
          <w:sz w:val="18"/>
          <w:szCs w:val="18"/>
          <w:lang w:val="en-IN"/>
        </w:rPr>
        <w:t xml:space="preserve"> </w:t>
      </w:r>
      <w:r w:rsidR="00E5433B" w:rsidRPr="00E5433B">
        <w:rPr>
          <w:rFonts w:cs="Times New Roman"/>
          <w:i/>
          <w:sz w:val="18"/>
          <w:szCs w:val="18"/>
          <w:lang w:val="en-IN"/>
        </w:rPr>
        <w:t>[6]</w:t>
      </w:r>
      <w:r w:rsidRPr="009E479B">
        <w:rPr>
          <w:rFonts w:cs="Times New Roman"/>
          <w:i/>
          <w:sz w:val="18"/>
          <w:szCs w:val="18"/>
          <w:lang w:val="en-IN"/>
        </w:rPr>
        <w:t>.</w:t>
      </w:r>
    </w:p>
    <w:p w14:paraId="57EB7F6F"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00276338">
          <v:rect id="_x0000_i1442" style="width:0;height:1.5pt" o:hrstd="t" o:hr="t" fillcolor="#a0a0a0" stroked="f"/>
        </w:pict>
      </w:r>
    </w:p>
    <w:p w14:paraId="00849D12"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E. Risk Management</w:t>
      </w:r>
    </w:p>
    <w:p w14:paraId="7A8A638C" w14:textId="77777777" w:rsidR="00D666D4" w:rsidRDefault="00D666D4" w:rsidP="00D666D4">
      <w:pPr>
        <w:pStyle w:val="IEEE-Caption"/>
        <w:jc w:val="both"/>
        <w:rPr>
          <w:rFonts w:cs="Times New Roman"/>
          <w:i/>
          <w:sz w:val="18"/>
          <w:szCs w:val="18"/>
          <w:lang w:val="en-IN"/>
        </w:rPr>
      </w:pPr>
      <w:r w:rsidRPr="009E479B">
        <w:rPr>
          <w:rFonts w:cs="Times New Roman"/>
          <w:i/>
          <w:sz w:val="18"/>
          <w:szCs w:val="18"/>
          <w:lang w:val="en-IN"/>
        </w:rPr>
        <w:t>Key risks include supply-chain dependencies, cloud misconfiguration, and identity compromise. A high-level risk register prioritises these risks based on likelihood and impact. One observation is that misconfiguration remains a more probable threat than advanced AI-specific attacks.</w:t>
      </w:r>
    </w:p>
    <w:p w14:paraId="4CD2C6F0" w14:textId="530A9E3A" w:rsidR="007B169C" w:rsidRDefault="007B169C" w:rsidP="007B169C">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r w:rsidRPr="000906C8">
        <w:t>: High-Level Cyber Risk Assessment for a Cloud-Native AI Organisation</w:t>
      </w:r>
    </w:p>
    <w:tbl>
      <w:tblPr>
        <w:tblStyle w:val="TableGrid"/>
        <w:tblW w:w="0" w:type="auto"/>
        <w:tblLook w:val="04A0" w:firstRow="1" w:lastRow="0" w:firstColumn="1" w:lastColumn="0" w:noHBand="0" w:noVBand="1"/>
      </w:tblPr>
      <w:tblGrid>
        <w:gridCol w:w="663"/>
        <w:gridCol w:w="2680"/>
        <w:gridCol w:w="1016"/>
        <w:gridCol w:w="842"/>
        <w:gridCol w:w="909"/>
        <w:gridCol w:w="2906"/>
      </w:tblGrid>
      <w:tr w:rsidR="00CD7CB1" w:rsidRPr="00CD7CB1" w14:paraId="110A0192" w14:textId="77777777" w:rsidTr="00CD7CB1">
        <w:tc>
          <w:tcPr>
            <w:tcW w:w="0" w:type="auto"/>
            <w:hideMark/>
          </w:tcPr>
          <w:p w14:paraId="02D0D37D"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Risk ID</w:t>
            </w:r>
          </w:p>
        </w:tc>
        <w:tc>
          <w:tcPr>
            <w:tcW w:w="0" w:type="auto"/>
            <w:hideMark/>
          </w:tcPr>
          <w:p w14:paraId="204E10DE"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Risk Description</w:t>
            </w:r>
          </w:p>
        </w:tc>
        <w:tc>
          <w:tcPr>
            <w:tcW w:w="0" w:type="auto"/>
            <w:hideMark/>
          </w:tcPr>
          <w:p w14:paraId="6DE9DFCD"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Likelihood</w:t>
            </w:r>
          </w:p>
        </w:tc>
        <w:tc>
          <w:tcPr>
            <w:tcW w:w="0" w:type="auto"/>
            <w:hideMark/>
          </w:tcPr>
          <w:p w14:paraId="403BB36F"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Impact</w:t>
            </w:r>
          </w:p>
        </w:tc>
        <w:tc>
          <w:tcPr>
            <w:tcW w:w="0" w:type="auto"/>
            <w:hideMark/>
          </w:tcPr>
          <w:p w14:paraId="4D5F7BD2"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Risk Level</w:t>
            </w:r>
          </w:p>
        </w:tc>
        <w:tc>
          <w:tcPr>
            <w:tcW w:w="0" w:type="auto"/>
            <w:hideMark/>
          </w:tcPr>
          <w:p w14:paraId="631E009A" w14:textId="77777777" w:rsidR="00CD7CB1" w:rsidRPr="00CD7CB1" w:rsidRDefault="00CD7CB1" w:rsidP="00CD7CB1">
            <w:pPr>
              <w:pStyle w:val="IEEE-Caption"/>
              <w:spacing w:after="160" w:line="259" w:lineRule="auto"/>
              <w:jc w:val="both"/>
              <w:rPr>
                <w:rFonts w:cs="Times New Roman"/>
                <w:b/>
                <w:bCs/>
                <w:i/>
                <w:sz w:val="18"/>
                <w:szCs w:val="18"/>
                <w:lang w:val="en-IN"/>
              </w:rPr>
            </w:pPr>
            <w:r w:rsidRPr="00CD7CB1">
              <w:rPr>
                <w:rFonts w:cs="Times New Roman"/>
                <w:b/>
                <w:bCs/>
                <w:i/>
                <w:sz w:val="18"/>
                <w:szCs w:val="18"/>
                <w:lang w:val="en-IN"/>
              </w:rPr>
              <w:t>Key Mitigation (Zero Trust Control)</w:t>
            </w:r>
          </w:p>
        </w:tc>
      </w:tr>
      <w:tr w:rsidR="00CD7CB1" w:rsidRPr="00CD7CB1" w14:paraId="4DCC0998" w14:textId="77777777" w:rsidTr="00CD7CB1">
        <w:tc>
          <w:tcPr>
            <w:tcW w:w="0" w:type="auto"/>
            <w:hideMark/>
          </w:tcPr>
          <w:p w14:paraId="47EAE78D"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R1</w:t>
            </w:r>
          </w:p>
        </w:tc>
        <w:tc>
          <w:tcPr>
            <w:tcW w:w="0" w:type="auto"/>
            <w:hideMark/>
          </w:tcPr>
          <w:p w14:paraId="19C1D7D4"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Credential theft targeting remote employees</w:t>
            </w:r>
          </w:p>
        </w:tc>
        <w:tc>
          <w:tcPr>
            <w:tcW w:w="0" w:type="auto"/>
            <w:hideMark/>
          </w:tcPr>
          <w:p w14:paraId="3C819E0F"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High</w:t>
            </w:r>
          </w:p>
        </w:tc>
        <w:tc>
          <w:tcPr>
            <w:tcW w:w="0" w:type="auto"/>
            <w:hideMark/>
          </w:tcPr>
          <w:p w14:paraId="53996836"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High</w:t>
            </w:r>
          </w:p>
        </w:tc>
        <w:tc>
          <w:tcPr>
            <w:tcW w:w="0" w:type="auto"/>
            <w:hideMark/>
          </w:tcPr>
          <w:p w14:paraId="3F3FB363"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b/>
                <w:bCs/>
                <w:i/>
                <w:sz w:val="18"/>
                <w:szCs w:val="18"/>
                <w:lang w:val="en-IN"/>
              </w:rPr>
              <w:t>Critical</w:t>
            </w:r>
          </w:p>
        </w:tc>
        <w:tc>
          <w:tcPr>
            <w:tcW w:w="0" w:type="auto"/>
            <w:hideMark/>
          </w:tcPr>
          <w:p w14:paraId="09D1B9A8"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MFA, continuous authentication, identity-based access</w:t>
            </w:r>
          </w:p>
        </w:tc>
      </w:tr>
      <w:tr w:rsidR="00CD7CB1" w:rsidRPr="00CD7CB1" w14:paraId="2A94A873" w14:textId="77777777" w:rsidTr="00CD7CB1">
        <w:tc>
          <w:tcPr>
            <w:tcW w:w="0" w:type="auto"/>
            <w:hideMark/>
          </w:tcPr>
          <w:p w14:paraId="2798E277"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R2</w:t>
            </w:r>
          </w:p>
        </w:tc>
        <w:tc>
          <w:tcPr>
            <w:tcW w:w="0" w:type="auto"/>
            <w:hideMark/>
          </w:tcPr>
          <w:p w14:paraId="2F34A554"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Cloud misconfiguration exposing sensitive data</w:t>
            </w:r>
          </w:p>
        </w:tc>
        <w:tc>
          <w:tcPr>
            <w:tcW w:w="0" w:type="auto"/>
            <w:hideMark/>
          </w:tcPr>
          <w:p w14:paraId="11B766E7"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Medium</w:t>
            </w:r>
          </w:p>
        </w:tc>
        <w:tc>
          <w:tcPr>
            <w:tcW w:w="0" w:type="auto"/>
            <w:hideMark/>
          </w:tcPr>
          <w:p w14:paraId="43F36829"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High</w:t>
            </w:r>
          </w:p>
        </w:tc>
        <w:tc>
          <w:tcPr>
            <w:tcW w:w="0" w:type="auto"/>
            <w:hideMark/>
          </w:tcPr>
          <w:p w14:paraId="6BEFC83B"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b/>
                <w:bCs/>
                <w:i/>
                <w:sz w:val="18"/>
                <w:szCs w:val="18"/>
                <w:lang w:val="en-IN"/>
              </w:rPr>
              <w:t>High</w:t>
            </w:r>
          </w:p>
        </w:tc>
        <w:tc>
          <w:tcPr>
            <w:tcW w:w="0" w:type="auto"/>
            <w:hideMark/>
          </w:tcPr>
          <w:p w14:paraId="68E16961"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CSPM, least-privilege IAM roles, automated remediation</w:t>
            </w:r>
          </w:p>
        </w:tc>
      </w:tr>
      <w:tr w:rsidR="00CD7CB1" w:rsidRPr="00CD7CB1" w14:paraId="169151D4" w14:textId="77777777" w:rsidTr="00CD7CB1">
        <w:tc>
          <w:tcPr>
            <w:tcW w:w="0" w:type="auto"/>
            <w:hideMark/>
          </w:tcPr>
          <w:p w14:paraId="240F0112"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lastRenderedPageBreak/>
              <w:t>R3</w:t>
            </w:r>
          </w:p>
        </w:tc>
        <w:tc>
          <w:tcPr>
            <w:tcW w:w="0" w:type="auto"/>
            <w:hideMark/>
          </w:tcPr>
          <w:p w14:paraId="6EA8D957"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Supply-chain compromise via third-party AI libraries</w:t>
            </w:r>
          </w:p>
        </w:tc>
        <w:tc>
          <w:tcPr>
            <w:tcW w:w="0" w:type="auto"/>
            <w:hideMark/>
          </w:tcPr>
          <w:p w14:paraId="5EA6DB96"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Medium</w:t>
            </w:r>
          </w:p>
        </w:tc>
        <w:tc>
          <w:tcPr>
            <w:tcW w:w="0" w:type="auto"/>
            <w:hideMark/>
          </w:tcPr>
          <w:p w14:paraId="4242E26F"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High</w:t>
            </w:r>
          </w:p>
        </w:tc>
        <w:tc>
          <w:tcPr>
            <w:tcW w:w="0" w:type="auto"/>
            <w:hideMark/>
          </w:tcPr>
          <w:p w14:paraId="1AF5871B"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b/>
                <w:bCs/>
                <w:i/>
                <w:sz w:val="18"/>
                <w:szCs w:val="18"/>
                <w:lang w:val="en-IN"/>
              </w:rPr>
              <w:t>High</w:t>
            </w:r>
          </w:p>
        </w:tc>
        <w:tc>
          <w:tcPr>
            <w:tcW w:w="0" w:type="auto"/>
            <w:hideMark/>
          </w:tcPr>
          <w:p w14:paraId="584CD4EC"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Restricted third-party access, code scanning, ZT segmentation</w:t>
            </w:r>
          </w:p>
        </w:tc>
      </w:tr>
      <w:tr w:rsidR="00CD7CB1" w:rsidRPr="00CD7CB1" w14:paraId="6EEC0BA0" w14:textId="77777777" w:rsidTr="00CD7CB1">
        <w:tc>
          <w:tcPr>
            <w:tcW w:w="0" w:type="auto"/>
            <w:hideMark/>
          </w:tcPr>
          <w:p w14:paraId="5FFD01AA"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R4</w:t>
            </w:r>
          </w:p>
        </w:tc>
        <w:tc>
          <w:tcPr>
            <w:tcW w:w="0" w:type="auto"/>
            <w:hideMark/>
          </w:tcPr>
          <w:p w14:paraId="0835B3D3"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Ransomware affecting cloud workloads</w:t>
            </w:r>
          </w:p>
        </w:tc>
        <w:tc>
          <w:tcPr>
            <w:tcW w:w="0" w:type="auto"/>
            <w:hideMark/>
          </w:tcPr>
          <w:p w14:paraId="0F4049B2"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Medium</w:t>
            </w:r>
          </w:p>
        </w:tc>
        <w:tc>
          <w:tcPr>
            <w:tcW w:w="0" w:type="auto"/>
            <w:hideMark/>
          </w:tcPr>
          <w:p w14:paraId="3057F34D"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Very High</w:t>
            </w:r>
          </w:p>
        </w:tc>
        <w:tc>
          <w:tcPr>
            <w:tcW w:w="0" w:type="auto"/>
            <w:hideMark/>
          </w:tcPr>
          <w:p w14:paraId="391DAF4F"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b/>
                <w:bCs/>
                <w:i/>
                <w:sz w:val="18"/>
                <w:szCs w:val="18"/>
                <w:lang w:val="en-IN"/>
              </w:rPr>
              <w:t>Critical</w:t>
            </w:r>
          </w:p>
        </w:tc>
        <w:tc>
          <w:tcPr>
            <w:tcW w:w="0" w:type="auto"/>
            <w:hideMark/>
          </w:tcPr>
          <w:p w14:paraId="42DB377A"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EDR, immutable backups, automated isolation</w:t>
            </w:r>
          </w:p>
        </w:tc>
      </w:tr>
      <w:tr w:rsidR="00CD7CB1" w:rsidRPr="00CD7CB1" w14:paraId="4830497A" w14:textId="77777777" w:rsidTr="00CD7CB1">
        <w:tc>
          <w:tcPr>
            <w:tcW w:w="0" w:type="auto"/>
            <w:hideMark/>
          </w:tcPr>
          <w:p w14:paraId="7086DDD3"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R5</w:t>
            </w:r>
          </w:p>
        </w:tc>
        <w:tc>
          <w:tcPr>
            <w:tcW w:w="0" w:type="auto"/>
            <w:hideMark/>
          </w:tcPr>
          <w:p w14:paraId="00F8ECA7"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Insider misuse of AI training data</w:t>
            </w:r>
          </w:p>
        </w:tc>
        <w:tc>
          <w:tcPr>
            <w:tcW w:w="0" w:type="auto"/>
            <w:hideMark/>
          </w:tcPr>
          <w:p w14:paraId="689B8607"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Low</w:t>
            </w:r>
          </w:p>
        </w:tc>
        <w:tc>
          <w:tcPr>
            <w:tcW w:w="0" w:type="auto"/>
            <w:hideMark/>
          </w:tcPr>
          <w:p w14:paraId="31719FB3"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High</w:t>
            </w:r>
          </w:p>
        </w:tc>
        <w:tc>
          <w:tcPr>
            <w:tcW w:w="0" w:type="auto"/>
            <w:hideMark/>
          </w:tcPr>
          <w:p w14:paraId="6F085D35"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b/>
                <w:bCs/>
                <w:i/>
                <w:sz w:val="18"/>
                <w:szCs w:val="18"/>
                <w:lang w:val="en-IN"/>
              </w:rPr>
              <w:t>Medium</w:t>
            </w:r>
          </w:p>
        </w:tc>
        <w:tc>
          <w:tcPr>
            <w:tcW w:w="0" w:type="auto"/>
            <w:hideMark/>
          </w:tcPr>
          <w:p w14:paraId="2EECA986" w14:textId="77777777" w:rsidR="00CD7CB1" w:rsidRPr="00CD7CB1" w:rsidRDefault="00CD7CB1" w:rsidP="00CD7CB1">
            <w:pPr>
              <w:pStyle w:val="IEEE-Caption"/>
              <w:spacing w:after="160" w:line="259" w:lineRule="auto"/>
              <w:jc w:val="both"/>
              <w:rPr>
                <w:rFonts w:cs="Times New Roman"/>
                <w:i/>
                <w:sz w:val="18"/>
                <w:szCs w:val="18"/>
                <w:lang w:val="en-IN"/>
              </w:rPr>
            </w:pPr>
            <w:r w:rsidRPr="00CD7CB1">
              <w:rPr>
                <w:rFonts w:cs="Times New Roman"/>
                <w:i/>
                <w:sz w:val="18"/>
                <w:szCs w:val="18"/>
                <w:lang w:val="en-IN"/>
              </w:rPr>
              <w:t>Role-based access, monitoring, session logging</w:t>
            </w:r>
          </w:p>
        </w:tc>
      </w:tr>
    </w:tbl>
    <w:p w14:paraId="23084CE7"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0215FC17">
          <v:rect id="_x0000_i1443" style="width:0;height:1.5pt" o:hrstd="t" o:hr="t" fillcolor="#a0a0a0" stroked="f"/>
        </w:pict>
      </w:r>
    </w:p>
    <w:p w14:paraId="107B0EF7"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F. Protection Mechanisms</w:t>
      </w:r>
    </w:p>
    <w:p w14:paraId="5BF9D36D" w14:textId="77777777" w:rsidR="00D666D4" w:rsidRPr="009E479B" w:rsidRDefault="00D666D4" w:rsidP="00D666D4">
      <w:pPr>
        <w:pStyle w:val="IEEE-Caption"/>
        <w:numPr>
          <w:ilvl w:val="0"/>
          <w:numId w:val="4"/>
        </w:numPr>
        <w:jc w:val="both"/>
        <w:rPr>
          <w:rFonts w:cs="Times New Roman"/>
          <w:i/>
          <w:sz w:val="18"/>
          <w:szCs w:val="18"/>
          <w:lang w:val="en-IN"/>
        </w:rPr>
      </w:pPr>
      <w:r w:rsidRPr="009E479B">
        <w:rPr>
          <w:rFonts w:cs="Times New Roman"/>
          <w:i/>
          <w:sz w:val="18"/>
          <w:szCs w:val="18"/>
          <w:lang w:val="en-IN"/>
        </w:rPr>
        <w:t>Identity and Access Management with MFA</w:t>
      </w:r>
    </w:p>
    <w:p w14:paraId="1A30D132" w14:textId="77777777" w:rsidR="00D666D4" w:rsidRPr="009E479B" w:rsidRDefault="00D666D4" w:rsidP="00D666D4">
      <w:pPr>
        <w:pStyle w:val="IEEE-Caption"/>
        <w:numPr>
          <w:ilvl w:val="0"/>
          <w:numId w:val="4"/>
        </w:numPr>
        <w:jc w:val="both"/>
        <w:rPr>
          <w:rFonts w:cs="Times New Roman"/>
          <w:i/>
          <w:sz w:val="18"/>
          <w:szCs w:val="18"/>
          <w:lang w:val="en-IN"/>
        </w:rPr>
      </w:pPr>
      <w:r w:rsidRPr="009E479B">
        <w:rPr>
          <w:rFonts w:cs="Times New Roman"/>
          <w:i/>
          <w:sz w:val="18"/>
          <w:szCs w:val="18"/>
          <w:lang w:val="en-IN"/>
        </w:rPr>
        <w:t>Cloud Security Posture Management</w:t>
      </w:r>
    </w:p>
    <w:p w14:paraId="5DD62169" w14:textId="77777777" w:rsidR="00D666D4" w:rsidRPr="009E479B" w:rsidRDefault="00D666D4" w:rsidP="00D666D4">
      <w:pPr>
        <w:pStyle w:val="IEEE-Caption"/>
        <w:numPr>
          <w:ilvl w:val="0"/>
          <w:numId w:val="4"/>
        </w:numPr>
        <w:jc w:val="both"/>
        <w:rPr>
          <w:rFonts w:cs="Times New Roman"/>
          <w:i/>
          <w:sz w:val="18"/>
          <w:szCs w:val="18"/>
          <w:lang w:val="en-IN"/>
        </w:rPr>
      </w:pPr>
      <w:r w:rsidRPr="009E479B">
        <w:rPr>
          <w:rFonts w:cs="Times New Roman"/>
          <w:i/>
          <w:sz w:val="18"/>
          <w:szCs w:val="18"/>
          <w:lang w:val="en-IN"/>
        </w:rPr>
        <w:t>Endpoint Detection and Response</w:t>
      </w:r>
    </w:p>
    <w:p w14:paraId="7ACCA676" w14:textId="77777777" w:rsidR="00D666D4" w:rsidRPr="009E479B" w:rsidRDefault="00D666D4" w:rsidP="00D666D4">
      <w:pPr>
        <w:pStyle w:val="IEEE-Caption"/>
        <w:numPr>
          <w:ilvl w:val="0"/>
          <w:numId w:val="4"/>
        </w:numPr>
        <w:jc w:val="both"/>
        <w:rPr>
          <w:rFonts w:cs="Times New Roman"/>
          <w:i/>
          <w:sz w:val="18"/>
          <w:szCs w:val="18"/>
          <w:lang w:val="en-IN"/>
        </w:rPr>
      </w:pPr>
      <w:r w:rsidRPr="009E479B">
        <w:rPr>
          <w:rFonts w:cs="Times New Roman"/>
          <w:i/>
          <w:sz w:val="18"/>
          <w:szCs w:val="18"/>
          <w:lang w:val="en-IN"/>
        </w:rPr>
        <w:t>Security Information and Event Management</w:t>
      </w:r>
    </w:p>
    <w:p w14:paraId="181AFD99" w14:textId="77777777" w:rsidR="00D666D4" w:rsidRPr="009E479B" w:rsidRDefault="00D666D4" w:rsidP="00D666D4">
      <w:pPr>
        <w:pStyle w:val="IEEE-Caption"/>
        <w:numPr>
          <w:ilvl w:val="0"/>
          <w:numId w:val="4"/>
        </w:numPr>
        <w:jc w:val="both"/>
        <w:rPr>
          <w:rFonts w:cs="Times New Roman"/>
          <w:i/>
          <w:sz w:val="18"/>
          <w:szCs w:val="18"/>
          <w:lang w:val="en-IN"/>
        </w:rPr>
      </w:pPr>
      <w:r w:rsidRPr="009E479B">
        <w:rPr>
          <w:rFonts w:cs="Times New Roman"/>
          <w:i/>
          <w:sz w:val="18"/>
          <w:szCs w:val="18"/>
          <w:lang w:val="en-IN"/>
        </w:rPr>
        <w:t>Security Orchestration, Automation, and Response</w:t>
      </w:r>
    </w:p>
    <w:p w14:paraId="5E7F8C74"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The value of these tools lies in their integration under Zero Trust policy enforcement rather than standalone deployment.</w:t>
      </w:r>
    </w:p>
    <w:p w14:paraId="5E3C2EFB"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2074C04C">
          <v:rect id="_x0000_i1444" style="width:0;height:1.5pt" o:hrstd="t" o:hr="t" fillcolor="#a0a0a0" stroked="f"/>
        </w:pict>
      </w:r>
    </w:p>
    <w:p w14:paraId="45E34227"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G. Contingency and Disaster Recovery</w:t>
      </w:r>
    </w:p>
    <w:p w14:paraId="3A6DAC62"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Ransomware is treated as the primary disruptive threat. Backups are immutable and geographically distributed. Recovery Time Objectives prioritise threat intelligence services, and disaster recovery testing is conducted regularly to meet operational and regulatory expectations.</w:t>
      </w:r>
    </w:p>
    <w:p w14:paraId="1C7AF9C1"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3A01DF77">
          <v:rect id="_x0000_i1445" style="width:0;height:1.5pt" o:hrstd="t" o:hr="t" fillcolor="#a0a0a0" stroked="f"/>
        </w:pict>
      </w:r>
    </w:p>
    <w:p w14:paraId="34CC25E6"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IX. VISUAL ARTEFACTS</w:t>
      </w:r>
    </w:p>
    <w:p w14:paraId="16D6B8A8"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Submitted separately via Moodle:</w:t>
      </w:r>
    </w:p>
    <w:p w14:paraId="4676BF2D" w14:textId="77777777" w:rsidR="00D666D4" w:rsidRPr="009E479B" w:rsidRDefault="00D666D4" w:rsidP="00D666D4">
      <w:pPr>
        <w:pStyle w:val="IEEE-Caption"/>
        <w:numPr>
          <w:ilvl w:val="0"/>
          <w:numId w:val="5"/>
        </w:numPr>
        <w:jc w:val="both"/>
        <w:rPr>
          <w:rFonts w:cs="Times New Roman"/>
          <w:i/>
          <w:sz w:val="18"/>
          <w:szCs w:val="18"/>
          <w:lang w:val="en-IN"/>
        </w:rPr>
      </w:pPr>
      <w:r w:rsidRPr="009E479B">
        <w:rPr>
          <w:rFonts w:cs="Times New Roman"/>
          <w:i/>
          <w:sz w:val="18"/>
          <w:szCs w:val="18"/>
          <w:lang w:val="en-IN"/>
        </w:rPr>
        <w:t>Zero Trust architecture diagram</w:t>
      </w:r>
    </w:p>
    <w:p w14:paraId="5490F963" w14:textId="77777777" w:rsidR="00D666D4" w:rsidRPr="009E479B" w:rsidRDefault="00D666D4" w:rsidP="00D666D4">
      <w:pPr>
        <w:pStyle w:val="IEEE-Caption"/>
        <w:numPr>
          <w:ilvl w:val="0"/>
          <w:numId w:val="5"/>
        </w:numPr>
        <w:jc w:val="both"/>
        <w:rPr>
          <w:rFonts w:cs="Times New Roman"/>
          <w:i/>
          <w:sz w:val="18"/>
          <w:szCs w:val="18"/>
          <w:lang w:val="en-IN"/>
        </w:rPr>
      </w:pPr>
      <w:r w:rsidRPr="009E479B">
        <w:rPr>
          <w:rFonts w:cs="Times New Roman"/>
          <w:i/>
          <w:sz w:val="18"/>
          <w:szCs w:val="18"/>
          <w:lang w:val="en-IN"/>
        </w:rPr>
        <w:t>Governance model diagram</w:t>
      </w:r>
    </w:p>
    <w:p w14:paraId="58BC3536" w14:textId="77777777" w:rsidR="00D666D4" w:rsidRPr="009E479B" w:rsidRDefault="00D666D4" w:rsidP="00D666D4">
      <w:pPr>
        <w:pStyle w:val="IEEE-Caption"/>
        <w:numPr>
          <w:ilvl w:val="0"/>
          <w:numId w:val="5"/>
        </w:numPr>
        <w:jc w:val="both"/>
        <w:rPr>
          <w:rFonts w:cs="Times New Roman"/>
          <w:i/>
          <w:sz w:val="18"/>
          <w:szCs w:val="18"/>
          <w:lang w:val="en-IN"/>
        </w:rPr>
      </w:pPr>
      <w:r w:rsidRPr="009E479B">
        <w:rPr>
          <w:rFonts w:cs="Times New Roman"/>
          <w:i/>
          <w:sz w:val="18"/>
          <w:szCs w:val="18"/>
          <w:lang w:val="en-IN"/>
        </w:rPr>
        <w:t>Risk assessment table</w:t>
      </w:r>
    </w:p>
    <w:p w14:paraId="4752482F" w14:textId="77777777" w:rsidR="00D666D4" w:rsidRPr="009E479B" w:rsidRDefault="00D666D4" w:rsidP="00D666D4">
      <w:pPr>
        <w:pStyle w:val="IEEE-Caption"/>
        <w:numPr>
          <w:ilvl w:val="0"/>
          <w:numId w:val="5"/>
        </w:numPr>
        <w:jc w:val="both"/>
        <w:rPr>
          <w:rFonts w:cs="Times New Roman"/>
          <w:i/>
          <w:sz w:val="18"/>
          <w:szCs w:val="18"/>
          <w:lang w:val="en-IN"/>
        </w:rPr>
      </w:pPr>
      <w:r w:rsidRPr="009E479B">
        <w:rPr>
          <w:rFonts w:cs="Times New Roman"/>
          <w:i/>
          <w:sz w:val="18"/>
          <w:szCs w:val="18"/>
          <w:lang w:val="en-IN"/>
        </w:rPr>
        <w:t>Incident response workflow</w:t>
      </w:r>
    </w:p>
    <w:p w14:paraId="3AA81EAC"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All artefacts are referenced and explained in the report.</w:t>
      </w:r>
    </w:p>
    <w:p w14:paraId="5EAD8007"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74E6B733">
          <v:rect id="_x0000_i1446" style="width:0;height:1.5pt" o:hrstd="t" o:hr="t" fillcolor="#a0a0a0" stroked="f"/>
        </w:pict>
      </w:r>
    </w:p>
    <w:p w14:paraId="41157AB0" w14:textId="77777777" w:rsidR="00D666D4" w:rsidRPr="009E479B" w:rsidRDefault="00D666D4" w:rsidP="00D666D4">
      <w:pPr>
        <w:pStyle w:val="IEEE-Caption"/>
        <w:jc w:val="both"/>
        <w:rPr>
          <w:rFonts w:cs="Times New Roman"/>
          <w:b/>
          <w:bCs/>
          <w:i/>
          <w:sz w:val="18"/>
          <w:szCs w:val="18"/>
          <w:lang w:val="en-IN"/>
        </w:rPr>
      </w:pPr>
      <w:r w:rsidRPr="009E479B">
        <w:rPr>
          <w:rFonts w:cs="Times New Roman"/>
          <w:b/>
          <w:bCs/>
          <w:i/>
          <w:sz w:val="18"/>
          <w:szCs w:val="18"/>
          <w:lang w:val="en-IN"/>
        </w:rPr>
        <w:t>X. OVERALL CONCLUSION</w:t>
      </w:r>
    </w:p>
    <w:p w14:paraId="70108C39"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This report combined critical academic analysis with applied security design to evaluate and operationalise Zero Trust Architecture. Task 1 demonstrated that Zero Trust offers structurally stronger security capabilities than traditional models, while Task 2 translated these findings into a practical, compliant security programme.</w:t>
      </w:r>
    </w:p>
    <w:p w14:paraId="45E06230"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t>For cloud-native organisations operating under increasing regulatory scrutiny, Zero Trust provides a defensible balance between security, resilience, and business agility when implemented as an organisational operating model.</w:t>
      </w:r>
    </w:p>
    <w:p w14:paraId="4C23B277" w14:textId="77777777" w:rsidR="00D666D4" w:rsidRPr="009E479B" w:rsidRDefault="00D666D4" w:rsidP="00D666D4">
      <w:pPr>
        <w:pStyle w:val="IEEE-Caption"/>
        <w:jc w:val="both"/>
        <w:rPr>
          <w:rFonts w:cs="Times New Roman"/>
          <w:i/>
          <w:sz w:val="18"/>
          <w:szCs w:val="18"/>
          <w:lang w:val="en-IN"/>
        </w:rPr>
      </w:pPr>
      <w:r w:rsidRPr="009E479B">
        <w:rPr>
          <w:rFonts w:cs="Times New Roman"/>
          <w:i/>
          <w:sz w:val="18"/>
          <w:szCs w:val="18"/>
          <w:lang w:val="en-IN"/>
        </w:rPr>
        <w:pict w14:anchorId="520F1550">
          <v:rect id="_x0000_i1447" style="width:0;height:1.5pt" o:hrstd="t" o:hr="t" fillcolor="#a0a0a0" stroked="f"/>
        </w:pict>
      </w:r>
    </w:p>
    <w:sdt>
      <w:sdtPr>
        <w:id w:val="1609931889"/>
        <w:docPartObj>
          <w:docPartGallery w:val="Bibliographies"/>
          <w:docPartUnique/>
        </w:docPartObj>
      </w:sdtPr>
      <w:sdtEndPr>
        <w:rPr>
          <w:rFonts w:ascii="Times New Roman" w:eastAsiaTheme="minorEastAsia" w:hAnsi="Times New Roman" w:cstheme="minorBidi"/>
          <w:color w:val="auto"/>
          <w:sz w:val="24"/>
          <w:szCs w:val="22"/>
          <w:lang w:val="en-GB"/>
        </w:rPr>
      </w:sdtEndPr>
      <w:sdtContent>
        <w:p w14:paraId="13DAE6B8" w14:textId="7BB59B5E" w:rsidR="00000A7C" w:rsidRDefault="00000A7C">
          <w:pPr>
            <w:pStyle w:val="Heading1"/>
          </w:pPr>
          <w:r>
            <w:t>References (IEEE)</w:t>
          </w:r>
        </w:p>
        <w:sdt>
          <w:sdtPr>
            <w:id w:val="-573587230"/>
            <w:bibliography/>
          </w:sdtPr>
          <w:sdtContent>
            <w:p w14:paraId="6EFF30EB" w14:textId="77777777" w:rsidR="00000A7C" w:rsidRDefault="00000A7C">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000A7C" w14:paraId="555BFA32" w14:textId="77777777">
                <w:trPr>
                  <w:divId w:val="1542401876"/>
                  <w:tblCellSpacing w:w="15" w:type="dxa"/>
                </w:trPr>
                <w:tc>
                  <w:tcPr>
                    <w:tcW w:w="50" w:type="pct"/>
                    <w:hideMark/>
                  </w:tcPr>
                  <w:p w14:paraId="4A00D405" w14:textId="76D1F05E" w:rsidR="00000A7C" w:rsidRDefault="00000A7C">
                    <w:pPr>
                      <w:pStyle w:val="Bibliography"/>
                      <w:rPr>
                        <w:noProof/>
                        <w:szCs w:val="24"/>
                        <w:lang w:val="en-US"/>
                      </w:rPr>
                    </w:pPr>
                    <w:r>
                      <w:rPr>
                        <w:noProof/>
                        <w:lang w:val="en-US"/>
                      </w:rPr>
                      <w:lastRenderedPageBreak/>
                      <w:t xml:space="preserve">[1] </w:t>
                    </w:r>
                  </w:p>
                </w:tc>
                <w:tc>
                  <w:tcPr>
                    <w:tcW w:w="0" w:type="auto"/>
                    <w:hideMark/>
                  </w:tcPr>
                  <w:p w14:paraId="1CD292F1" w14:textId="77777777" w:rsidR="00000A7C" w:rsidRDefault="00000A7C">
                    <w:pPr>
                      <w:pStyle w:val="Bibliography"/>
                      <w:rPr>
                        <w:noProof/>
                        <w:lang w:val="en-US"/>
                      </w:rPr>
                    </w:pPr>
                    <w:r>
                      <w:rPr>
                        <w:noProof/>
                        <w:lang w:val="en-US"/>
                      </w:rPr>
                      <w:t>N. I. o. S. a. Technology, "Zero Trust Architecture (SP 800-207)," NIST, https://csrc.nist.gov/publications/detail/sp/800-207/final, 2020.</w:t>
                    </w:r>
                  </w:p>
                </w:tc>
              </w:tr>
              <w:tr w:rsidR="00000A7C" w14:paraId="7ADD4F16" w14:textId="77777777">
                <w:trPr>
                  <w:divId w:val="1542401876"/>
                  <w:tblCellSpacing w:w="15" w:type="dxa"/>
                </w:trPr>
                <w:tc>
                  <w:tcPr>
                    <w:tcW w:w="50" w:type="pct"/>
                    <w:hideMark/>
                  </w:tcPr>
                  <w:p w14:paraId="449A376A" w14:textId="77777777" w:rsidR="00000A7C" w:rsidRDefault="00000A7C">
                    <w:pPr>
                      <w:pStyle w:val="Bibliography"/>
                      <w:rPr>
                        <w:noProof/>
                        <w:lang w:val="en-US"/>
                      </w:rPr>
                    </w:pPr>
                    <w:r>
                      <w:rPr>
                        <w:noProof/>
                        <w:lang w:val="en-US"/>
                      </w:rPr>
                      <w:t xml:space="preserve">[2] </w:t>
                    </w:r>
                  </w:p>
                </w:tc>
                <w:tc>
                  <w:tcPr>
                    <w:tcW w:w="0" w:type="auto"/>
                    <w:hideMark/>
                  </w:tcPr>
                  <w:p w14:paraId="6B4CC2E2" w14:textId="77777777" w:rsidR="00000A7C" w:rsidRDefault="00000A7C">
                    <w:pPr>
                      <w:pStyle w:val="Bibliography"/>
                      <w:rPr>
                        <w:noProof/>
                        <w:lang w:val="en-US"/>
                      </w:rPr>
                    </w:pPr>
                    <w:r>
                      <w:rPr>
                        <w:noProof/>
                        <w:lang w:val="en-US"/>
                      </w:rPr>
                      <w:t>European Union Agency for Cybersecurity (ENISA), "Zero Trust Maturity Model," ENISA, 2021.</w:t>
                    </w:r>
                  </w:p>
                </w:tc>
              </w:tr>
              <w:tr w:rsidR="00000A7C" w14:paraId="041F3C0F" w14:textId="77777777">
                <w:trPr>
                  <w:divId w:val="1542401876"/>
                  <w:tblCellSpacing w:w="15" w:type="dxa"/>
                </w:trPr>
                <w:tc>
                  <w:tcPr>
                    <w:tcW w:w="50" w:type="pct"/>
                    <w:hideMark/>
                  </w:tcPr>
                  <w:p w14:paraId="172FE9EB" w14:textId="77777777" w:rsidR="00000A7C" w:rsidRDefault="00000A7C">
                    <w:pPr>
                      <w:pStyle w:val="Bibliography"/>
                      <w:rPr>
                        <w:noProof/>
                        <w:lang w:val="en-US"/>
                      </w:rPr>
                    </w:pPr>
                    <w:r>
                      <w:rPr>
                        <w:noProof/>
                        <w:lang w:val="en-US"/>
                      </w:rPr>
                      <w:t xml:space="preserve">[3] </w:t>
                    </w:r>
                  </w:p>
                </w:tc>
                <w:tc>
                  <w:tcPr>
                    <w:tcW w:w="0" w:type="auto"/>
                    <w:hideMark/>
                  </w:tcPr>
                  <w:p w14:paraId="242D97A4" w14:textId="77777777" w:rsidR="00000A7C" w:rsidRDefault="00000A7C">
                    <w:pPr>
                      <w:pStyle w:val="Bibliography"/>
                      <w:rPr>
                        <w:noProof/>
                        <w:lang w:val="en-US"/>
                      </w:rPr>
                    </w:pPr>
                    <w:r>
                      <w:rPr>
                        <w:noProof/>
                        <w:lang w:val="en-US"/>
                      </w:rPr>
                      <w:t xml:space="preserve">S. Rose, O. Borchert, S. Mitchell and S. Connelly, "Zero Trust Architecture," </w:t>
                    </w:r>
                    <w:r>
                      <w:rPr>
                        <w:i/>
                        <w:iCs/>
                        <w:noProof/>
                        <w:lang w:val="en-US"/>
                      </w:rPr>
                      <w:t xml:space="preserve">IEEE Security &amp; Privacy, </w:t>
                    </w:r>
                    <w:r>
                      <w:rPr>
                        <w:noProof/>
                        <w:lang w:val="en-US"/>
                      </w:rPr>
                      <w:t xml:space="preserve">2021. </w:t>
                    </w:r>
                  </w:p>
                </w:tc>
              </w:tr>
              <w:tr w:rsidR="00000A7C" w14:paraId="6F5E8C3B" w14:textId="77777777">
                <w:trPr>
                  <w:divId w:val="1542401876"/>
                  <w:tblCellSpacing w:w="15" w:type="dxa"/>
                </w:trPr>
                <w:tc>
                  <w:tcPr>
                    <w:tcW w:w="50" w:type="pct"/>
                    <w:hideMark/>
                  </w:tcPr>
                  <w:p w14:paraId="3D4FB7E2" w14:textId="77777777" w:rsidR="00000A7C" w:rsidRDefault="00000A7C">
                    <w:pPr>
                      <w:pStyle w:val="Bibliography"/>
                      <w:rPr>
                        <w:noProof/>
                        <w:lang w:val="en-US"/>
                      </w:rPr>
                    </w:pPr>
                    <w:r>
                      <w:rPr>
                        <w:noProof/>
                        <w:lang w:val="en-US"/>
                      </w:rPr>
                      <w:t xml:space="preserve">[4] </w:t>
                    </w:r>
                  </w:p>
                </w:tc>
                <w:tc>
                  <w:tcPr>
                    <w:tcW w:w="0" w:type="auto"/>
                    <w:hideMark/>
                  </w:tcPr>
                  <w:p w14:paraId="364E27ED" w14:textId="77777777" w:rsidR="00000A7C" w:rsidRDefault="00000A7C">
                    <w:pPr>
                      <w:pStyle w:val="Bibliography"/>
                      <w:rPr>
                        <w:noProof/>
                        <w:lang w:val="en-US"/>
                      </w:rPr>
                    </w:pPr>
                    <w:r>
                      <w:rPr>
                        <w:noProof/>
                        <w:lang w:val="en-US"/>
                      </w:rPr>
                      <w:t>European Union Agency for Cybersecurity (ENISA), "Threat Landscape for Identity and Access Management," 2023.</w:t>
                    </w:r>
                  </w:p>
                </w:tc>
              </w:tr>
              <w:tr w:rsidR="00000A7C" w14:paraId="0CF4F0F4" w14:textId="77777777">
                <w:trPr>
                  <w:divId w:val="1542401876"/>
                  <w:tblCellSpacing w:w="15" w:type="dxa"/>
                </w:trPr>
                <w:tc>
                  <w:tcPr>
                    <w:tcW w:w="50" w:type="pct"/>
                    <w:hideMark/>
                  </w:tcPr>
                  <w:p w14:paraId="1936AB2C" w14:textId="77777777" w:rsidR="00000A7C" w:rsidRDefault="00000A7C">
                    <w:pPr>
                      <w:pStyle w:val="Bibliography"/>
                      <w:rPr>
                        <w:noProof/>
                        <w:lang w:val="en-US"/>
                      </w:rPr>
                    </w:pPr>
                    <w:r>
                      <w:rPr>
                        <w:noProof/>
                        <w:lang w:val="en-US"/>
                      </w:rPr>
                      <w:t xml:space="preserve">[5] </w:t>
                    </w:r>
                  </w:p>
                </w:tc>
                <w:tc>
                  <w:tcPr>
                    <w:tcW w:w="0" w:type="auto"/>
                    <w:hideMark/>
                  </w:tcPr>
                  <w:p w14:paraId="615174A6" w14:textId="77777777" w:rsidR="00000A7C" w:rsidRDefault="00000A7C">
                    <w:pPr>
                      <w:pStyle w:val="Bibliography"/>
                      <w:rPr>
                        <w:noProof/>
                        <w:lang w:val="en-US"/>
                      </w:rPr>
                    </w:pPr>
                    <w:r>
                      <w:rPr>
                        <w:noProof/>
                        <w:lang w:val="en-US"/>
                      </w:rPr>
                      <w:t>European Commission, "Digital Operational Resilience Act," 2022. [Online]. Available: https://eur-lex.europa.eu/eli/reg/2022/2554/oj.</w:t>
                    </w:r>
                  </w:p>
                </w:tc>
              </w:tr>
              <w:tr w:rsidR="00000A7C" w14:paraId="74D41D37" w14:textId="77777777">
                <w:trPr>
                  <w:divId w:val="1542401876"/>
                  <w:tblCellSpacing w:w="15" w:type="dxa"/>
                </w:trPr>
                <w:tc>
                  <w:tcPr>
                    <w:tcW w:w="50" w:type="pct"/>
                    <w:hideMark/>
                  </w:tcPr>
                  <w:p w14:paraId="2BCC82A7" w14:textId="77777777" w:rsidR="00000A7C" w:rsidRDefault="00000A7C">
                    <w:pPr>
                      <w:pStyle w:val="Bibliography"/>
                      <w:rPr>
                        <w:noProof/>
                        <w:lang w:val="en-US"/>
                      </w:rPr>
                    </w:pPr>
                    <w:r>
                      <w:rPr>
                        <w:noProof/>
                        <w:lang w:val="en-US"/>
                      </w:rPr>
                      <w:t xml:space="preserve">[6] </w:t>
                    </w:r>
                  </w:p>
                </w:tc>
                <w:tc>
                  <w:tcPr>
                    <w:tcW w:w="0" w:type="auto"/>
                    <w:hideMark/>
                  </w:tcPr>
                  <w:p w14:paraId="5FBD1B7B" w14:textId="77777777" w:rsidR="00000A7C" w:rsidRDefault="00000A7C">
                    <w:pPr>
                      <w:pStyle w:val="Bibliography"/>
                      <w:rPr>
                        <w:noProof/>
                        <w:lang w:val="en-US"/>
                      </w:rPr>
                    </w:pPr>
                    <w:r>
                      <w:rPr>
                        <w:noProof/>
                        <w:lang w:val="en-US"/>
                      </w:rPr>
                      <w:t xml:space="preserve">European Commission, "NIS2 Directive," 2022. [Online]. </w:t>
                    </w:r>
                  </w:p>
                </w:tc>
              </w:tr>
            </w:tbl>
            <w:p w14:paraId="0871B787" w14:textId="77777777" w:rsidR="00000A7C" w:rsidRDefault="00000A7C">
              <w:pPr>
                <w:divId w:val="1542401876"/>
                <w:rPr>
                  <w:rFonts w:eastAsia="Times New Roman"/>
                  <w:noProof/>
                </w:rPr>
              </w:pPr>
            </w:p>
            <w:p w14:paraId="4FD1CA21" w14:textId="7FB1CEC0" w:rsidR="00000A7C" w:rsidRDefault="00000A7C">
              <w:r>
                <w:rPr>
                  <w:b/>
                  <w:bCs/>
                  <w:noProof/>
                </w:rPr>
                <w:fldChar w:fldCharType="end"/>
              </w:r>
            </w:p>
          </w:sdtContent>
        </w:sdt>
      </w:sdtContent>
    </w:sdt>
    <w:p w14:paraId="7DFB11AC" w14:textId="77777777" w:rsidR="00D666D4" w:rsidRDefault="00D666D4" w:rsidP="00D666D4">
      <w:pPr>
        <w:pStyle w:val="IEEE-Caption"/>
      </w:pPr>
    </w:p>
    <w:p w14:paraId="3FB42D39" w14:textId="77777777" w:rsidR="001C4AFE" w:rsidRPr="00D666D4" w:rsidRDefault="001C4AFE" w:rsidP="00D666D4">
      <w:pPr>
        <w:pStyle w:val="ListParagraph"/>
        <w:rPr>
          <w:rStyle w:val="BookTitle"/>
        </w:rPr>
      </w:pPr>
    </w:p>
    <w:sectPr w:rsidR="001C4AFE" w:rsidRPr="00D666D4" w:rsidSect="00D666D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5BAF"/>
    <w:multiLevelType w:val="multilevel"/>
    <w:tmpl w:val="FF90F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738D8"/>
    <w:multiLevelType w:val="multilevel"/>
    <w:tmpl w:val="09648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2871670">
    <w:abstractNumId w:val="2"/>
  </w:num>
  <w:num w:numId="2" w16cid:durableId="1665888976">
    <w:abstractNumId w:val="3"/>
  </w:num>
  <w:num w:numId="3" w16cid:durableId="209851018">
    <w:abstractNumId w:val="4"/>
  </w:num>
  <w:num w:numId="4" w16cid:durableId="553202888">
    <w:abstractNumId w:val="0"/>
  </w:num>
  <w:num w:numId="5" w16cid:durableId="740980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A7C"/>
    <w:rsid w:val="00091347"/>
    <w:rsid w:val="001C4AFE"/>
    <w:rsid w:val="005111D8"/>
    <w:rsid w:val="00574A9B"/>
    <w:rsid w:val="005C760E"/>
    <w:rsid w:val="00697001"/>
    <w:rsid w:val="006A24E4"/>
    <w:rsid w:val="00747B9C"/>
    <w:rsid w:val="00747CDB"/>
    <w:rsid w:val="007B169C"/>
    <w:rsid w:val="009E479B"/>
    <w:rsid w:val="00A52B06"/>
    <w:rsid w:val="00B34681"/>
    <w:rsid w:val="00CA2AA4"/>
    <w:rsid w:val="00CD7CB1"/>
    <w:rsid w:val="00D666D4"/>
    <w:rsid w:val="00D74B24"/>
    <w:rsid w:val="00D86293"/>
    <w:rsid w:val="00DD068B"/>
    <w:rsid w:val="00E5433B"/>
    <w:rsid w:val="00FF6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00A7C"/>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747C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D666D4"/>
    <w:rPr>
      <w:b/>
      <w:bCs/>
      <w:i/>
      <w:iCs/>
      <w:spacing w:val="5"/>
    </w:rPr>
  </w:style>
  <w:style w:type="paragraph" w:styleId="Caption">
    <w:name w:val="caption"/>
    <w:basedOn w:val="Normal"/>
    <w:next w:val="Normal"/>
    <w:uiPriority w:val="35"/>
    <w:unhideWhenUsed/>
    <w:qFormat/>
    <w:rsid w:val="007B169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00A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0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40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Nat20</b:Tag>
    <b:SourceType>Report</b:SourceType>
    <b:Guid>{84A49FA8-FDC9-404B-B15D-1FDD5D5DA6B7}</b:Guid>
    <b:Title>Zero Trust Architecture (SP 800-207)</b:Title>
    <b:Year>2020</b:Year>
    <b:City>https://csrc.nist.gov/publications/detail/sp/800-207/final</b:City>
    <b:Publisher>NIST</b:Publisher>
    <b:Author>
      <b:Author>
        <b:NameList>
          <b:Person>
            <b:Last>Technology</b:Last>
            <b:First>National</b:First>
            <b:Middle>Institute of Standards and</b:Middle>
          </b:Person>
        </b:NameList>
      </b:Author>
    </b:Author>
    <b:RefOrder>1</b:RefOrder>
  </b:Source>
  <b:Source>
    <b:Tag>Eur21</b:Tag>
    <b:SourceType>Report</b:SourceType>
    <b:Guid>{76EDD86B-4625-41BD-8290-F2E3A7EA3628}</b:Guid>
    <b:Title>Zero Trust Maturity Model</b:Title>
    <b:Year>2021</b:Year>
    <b:Publisher>ENISA</b:Publisher>
    <b:Author>
      <b:Author>
        <b:Corporate>European Union Agency for Cybersecurity (ENISA)</b:Corporate>
      </b:Author>
    </b:Author>
    <b:RefOrder>2</b:RefOrder>
  </b:Source>
  <b:Source>
    <b:Tag>Ros21</b:Tag>
    <b:SourceType>JournalArticle</b:SourceType>
    <b:Guid>{344F768A-4464-46B3-860A-2DA6EA04CF5A}</b:Guid>
    <b:Title>Zero Trust Architecture</b:Title>
    <b:Year>2021</b:Year>
    <b:JournalName>IEEE Security &amp; Privacy</b:JournalName>
    <b:Author>
      <b:Author>
        <b:NameList>
          <b:Person>
            <b:Last>Rose</b:Last>
            <b:First>S</b:First>
          </b:Person>
          <b:Person>
            <b:Last>Borchert</b:Last>
            <b:First>O</b:First>
          </b:Person>
          <b:Person>
            <b:Last>Mitchell</b:Last>
            <b:First>S</b:First>
          </b:Person>
          <b:Person>
            <b:Last>Connelly</b:Last>
            <b:First>S</b:First>
          </b:Person>
        </b:NameList>
      </b:Author>
    </b:Author>
    <b:RefOrder>3</b:RefOrder>
  </b:Source>
  <b:Source>
    <b:Tag>Eur23</b:Tag>
    <b:SourceType>Report</b:SourceType>
    <b:Guid>{D04807FA-F977-4510-A702-ABA2FEE06C99}</b:Guid>
    <b:Title>Threat Landscape for Identity and Access Management</b:Title>
    <b:Year>2023</b:Year>
    <b:Author>
      <b:Author>
        <b:Corporate>European Union Agency for Cybersecurity (ENISA)</b:Corporate>
      </b:Author>
    </b:Author>
    <b:RefOrder>4</b:RefOrder>
  </b:Source>
  <b:Source>
    <b:Tag>Eur22</b:Tag>
    <b:SourceType>DocumentFromInternetSite</b:SourceType>
    <b:Guid>{88A3C37C-027A-4884-996F-E33B01D87908}</b:Guid>
    <b:Title>Digital Operational Resilience Act</b:Title>
    <b:Year>2022</b:Year>
    <b:Author>
      <b:Author>
        <b:Corporate>European Commission</b:Corporate>
      </b:Author>
    </b:Author>
    <b:URL>https://eur-lex.europa.eu/eli/reg/2022/2554/oj</b:URL>
    <b:RefOrder>5</b:RefOrder>
  </b:Source>
  <b:Source>
    <b:Tag>Eur221</b:Tag>
    <b:SourceType>DocumentFromInternetSite</b:SourceType>
    <b:Guid>{B4F32107-2B2C-4F62-A872-F128A064F66A}</b:Guid>
    <b:Author>
      <b:Author>
        <b:Corporate>European Commission</b:Corporate>
      </b:Author>
    </b:Author>
    <b:Title>NIS2 Directive</b:Title>
    <b:Year>2022</b:Year>
    <b:RefOrder>6</b:RefOrder>
  </b:Source>
</b:Sources>
</file>

<file path=customXml/itemProps1.xml><?xml version="1.0" encoding="utf-8"?>
<ds:datastoreItem xmlns:ds="http://schemas.openxmlformats.org/officeDocument/2006/customXml" ds:itemID="{00D36FFB-8B0D-473C-A52D-2B80E6A84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Pages>
  <Words>1995</Words>
  <Characters>13548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Tonio George (2312861)</cp:lastModifiedBy>
  <cp:revision>6</cp:revision>
  <dcterms:created xsi:type="dcterms:W3CDTF">2026-01-06T11:39:00Z</dcterms:created>
  <dcterms:modified xsi:type="dcterms:W3CDTF">2026-01-06T12:30:00Z</dcterms:modified>
</cp:coreProperties>
</file>