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Task 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Hi Taylor,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Before I can meet with Mrs. Green I will need you to obtain a few pieces of information from her. Firstly, what issues she would like to discuss with me and then based on what that is there needs to be a check for conflicts of interests that need to be carried out in accordance to code 6 of the SRA code of conduct. Any conflicts of interest need to be noted and spoke about with Mrs. Green so that she is aware of them and can be told if we can not take her on as a client or if she is okay with the conflict, depending on what they are. Once the information about her case is obtained, we also need to set out the meeting room and make sure that we have everything that could be needed such as water or tissues if it is a sensitive matter. .Also, Mrs. Green’s personal information needs to be confirmed with her address and other personal information such as date of birth. If there are any special requirements that need to be met for the meeting these need to be found out also, for example if she requires special accommodation while here or if there is a language barrier which would require a translator. A client confidentiality letter also needs to be prepared for both parties to sign so that she knows she is protected unless the law requires for this information to come out. The client confidentiality is to be signed to show that whatever Mrs. Green tells me it is protected and will only stay between our two parties.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Task 2:</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There are many different ways in which a meeting between a client and myself can be conducted, with some being more beneficial in different situations. For example, this meeting will be about a Contested Wills Estate matter and so this will be a face to face meeting to have the human touch element that is needed. The meeting may be highly sensitive and so tissues and water will need to be on hand and the setting area needs to be welcoming and comfortable. This style of meeting is better for more serious matters that allow you to have a real conversation with the client and help them through their tough time. However, this meeting style does not need to be if it is a less serious matter such as informing them of information that is not sensitive.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Another form of communication that can be used between parties is emails and letters. This communication method is to be used when there is only formal business that needs to be discussed and when the information that is being disclosed is legal formalities. This style of communication should not be used if the information is personal as you can not verify who is receiving the letter or email and it should not be used if the information may be emotional and would require you to sympathize with the client and handle the situation based on their response.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Due to the pandemic, virtual calls became more popular to use in place of face to face however they are still used and can be a very good form of communication to use. This type of appointment is useful when the information that needs to be told is still important enough to warrant a real conversation so that all the details can be explained to them. There are some downsides to the video calls as it is hard to have the human touch and to be able to comfort the client if the matter that is being discussed is emotional and so it shows a lack of professionalism if you are trying to comfort them over a screen.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To conclude, the interview style that I will conduct the meeting in is face to face as the matter being discussed is a Will Estate Matter which means that there could be high emotions and the need for comfort. I will also have tissues and water on hand as these will allow me to comfort Mrs. Green and let her process the meeting however she needs to. During the meeting, all computers and phones should be switched off and the room temperature should be set to a comfortable temperature. Also, there should be a checklist of objectives that I have so I know exactly what to talk about and to make sure all the key points are said.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Task 3:</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Hello Mrs. Green,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Now that the meeting has concluded and we are going ahead together in this matter, the cost of this must be discussed. There are different ways in which you could fund this matter and may do whichever one works best for you. The first way in which you can fund a case is a fixed cost which means there is a set fee that is to be paid to the solicitor. This funding method is very helpful as you will always know how much the case will cost allowing you to prepare for the fees. Also, the fixed fees are helpful if the case is going to take a long period of time and if there are going to be multiple meetings between both parties as time sheets do not need to be used for the cost of the service.  However, this method is not very good if the case is not going to take long as if it is a small case then there are better funding methods.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next way to fund a case is time sheets which are tracked at every meeting and show how long each meeting, email and form of communication takes to type up. This style of funding is when the solicitor is paid based on the time that they have taken to complete the task for their client and is a very good idea when the case is smaller as there will be less emails and meetings for the solicitor to track. However, if the case is going to be worked on for a period of months then this funding method will become very expensive and will not be the best option.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Another funding method that can be used is public funding which can be used when you can not afford to pay with your own money and so you can receive additional help from various public trusts that have departments set up to help people in times like these. This option can be very beneficial to those who need financial help and can not afford to pay any money and so it gives them a break and allows for them to receive the proper service they need. This type of funding is not sustainable and is not the best option for the long term as these types of funding can not keep you afloat in the long-term and are more of a short-term option.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t xml:space="preserve">Reference List</w:t>
      </w:r>
    </w:p>
    <w:p w:rsidR="00000000" w:rsidDel="00000000" w:rsidP="00000000" w:rsidRDefault="00000000" w:rsidRPr="00000000" w14:paraId="0000001E">
      <w:pPr>
        <w:rPr>
          <w:color w:val="333333"/>
          <w:sz w:val="23"/>
          <w:szCs w:val="23"/>
          <w:shd w:fill="fbfbfb" w:val="clear"/>
        </w:rPr>
      </w:pPr>
      <w:r w:rsidDel="00000000" w:rsidR="00000000" w:rsidRPr="00000000">
        <w:rPr>
          <w:color w:val="333333"/>
          <w:sz w:val="23"/>
          <w:szCs w:val="23"/>
          <w:shd w:fill="fbfbfb" w:val="clear"/>
          <w:rtl w:val="0"/>
        </w:rPr>
        <w:t xml:space="preserve">Solicitors Regulation Authority (2019) </w:t>
      </w:r>
      <w:r w:rsidDel="00000000" w:rsidR="00000000" w:rsidRPr="00000000">
        <w:rPr>
          <w:i w:val="1"/>
          <w:color w:val="333333"/>
          <w:sz w:val="23"/>
          <w:szCs w:val="23"/>
          <w:rtl w:val="0"/>
        </w:rPr>
        <w:t xml:space="preserve">SRA Code of Conduct for Solicitors </w:t>
      </w:r>
      <w:r w:rsidDel="00000000" w:rsidR="00000000" w:rsidRPr="00000000">
        <w:rPr>
          <w:color w:val="333333"/>
          <w:sz w:val="23"/>
          <w:szCs w:val="23"/>
          <w:shd w:fill="fbfbfb" w:val="clear"/>
          <w:rtl w:val="0"/>
        </w:rPr>
        <w:t xml:space="preserve">Available at: URL </w:t>
      </w:r>
      <w:hyperlink r:id="rId6">
        <w:r w:rsidDel="00000000" w:rsidR="00000000" w:rsidRPr="00000000">
          <w:rPr>
            <w:color w:val="1155cc"/>
            <w:sz w:val="23"/>
            <w:szCs w:val="23"/>
            <w:u w:val="single"/>
            <w:shd w:fill="fbfbfb" w:val="clear"/>
            <w:rtl w:val="0"/>
          </w:rPr>
          <w:t xml:space="preserve">https://www.sra.org.uk/solicitors/standards-regulations/code-conduct-solicitors/</w:t>
        </w:r>
      </w:hyperlink>
      <w:r w:rsidDel="00000000" w:rsidR="00000000" w:rsidRPr="00000000">
        <w:rPr>
          <w:color w:val="333333"/>
          <w:sz w:val="23"/>
          <w:szCs w:val="23"/>
          <w:shd w:fill="fbfbfb" w:val="clear"/>
          <w:rtl w:val="0"/>
        </w:rPr>
        <w:t xml:space="preserve"> (Accessed: 8 Jan 2023).</w:t>
      </w:r>
    </w:p>
    <w:p w:rsidR="00000000" w:rsidDel="00000000" w:rsidP="00000000" w:rsidRDefault="00000000" w:rsidRPr="00000000" w14:paraId="0000001F">
      <w:pPr>
        <w:rPr>
          <w:color w:val="333333"/>
          <w:sz w:val="23"/>
          <w:szCs w:val="23"/>
          <w:shd w:fill="fbfbfb" w:val="clea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ra.org.uk/solicitors/standards-regulations/code-conduct-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