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D684CA" w14:textId="77777777" w:rsidR="00114432" w:rsidRPr="00114432" w:rsidRDefault="00114432" w:rsidP="00114432">
      <w:pPr>
        <w:spacing w:before="240" w:after="720" w:line="562" w:lineRule="atLeast"/>
        <w:outlineLvl w:val="0"/>
        <w:rPr>
          <w:rFonts w:ascii="LinLibertine" w:eastAsia="Times New Roman" w:hAnsi="LinLibertine" w:cs="Times New Roman"/>
          <w:b/>
          <w:bCs/>
          <w:color w:val="000000"/>
          <w:kern w:val="36"/>
          <w:sz w:val="43"/>
          <w:szCs w:val="43"/>
          <w:lang w:eastAsia="en-GB"/>
        </w:rPr>
      </w:pPr>
      <w:r w:rsidRPr="00114432">
        <w:rPr>
          <w:rFonts w:ascii="LinLibertine" w:eastAsia="Times New Roman" w:hAnsi="LinLibertine" w:cs="Times New Roman"/>
          <w:b/>
          <w:bCs/>
          <w:color w:val="000000"/>
          <w:kern w:val="36"/>
          <w:sz w:val="43"/>
          <w:szCs w:val="43"/>
          <w:lang w:eastAsia="en-GB"/>
        </w:rPr>
        <w:fldChar w:fldCharType="begin"/>
      </w:r>
      <w:r w:rsidRPr="00114432">
        <w:rPr>
          <w:rFonts w:ascii="LinLibertine" w:eastAsia="Times New Roman" w:hAnsi="LinLibertine" w:cs="Times New Roman"/>
          <w:b/>
          <w:bCs/>
          <w:color w:val="000000"/>
          <w:kern w:val="36"/>
          <w:sz w:val="43"/>
          <w:szCs w:val="43"/>
          <w:lang w:eastAsia="en-GB"/>
        </w:rPr>
        <w:instrText xml:space="preserve"> HYPERLINK "https://jigsaw.vitalsource.com/books/9781317435839/epub/OEBPS/xhtml/content.xhtml" \l "bck_Ch017" </w:instrText>
      </w:r>
      <w:r w:rsidRPr="00114432">
        <w:rPr>
          <w:rFonts w:ascii="LinLibertine" w:eastAsia="Times New Roman" w:hAnsi="LinLibertine" w:cs="Times New Roman"/>
          <w:b/>
          <w:bCs/>
          <w:color w:val="000000"/>
          <w:kern w:val="36"/>
          <w:sz w:val="43"/>
          <w:szCs w:val="43"/>
          <w:lang w:eastAsia="en-GB"/>
        </w:rPr>
        <w:fldChar w:fldCharType="separate"/>
      </w:r>
      <w:r w:rsidRPr="00114432">
        <w:rPr>
          <w:rFonts w:ascii="LinLibertine" w:eastAsia="Times New Roman" w:hAnsi="LinLibertine" w:cs="Times New Roman"/>
          <w:b/>
          <w:bCs/>
          <w:color w:val="0000FF"/>
          <w:kern w:val="36"/>
          <w:sz w:val="43"/>
          <w:szCs w:val="43"/>
          <w:u w:val="single"/>
          <w:lang w:eastAsia="en-GB"/>
        </w:rPr>
        <w:t>17</w:t>
      </w:r>
      <w:r w:rsidRPr="00114432">
        <w:rPr>
          <w:rFonts w:ascii="LinLibertine" w:eastAsia="Times New Roman" w:hAnsi="LinLibertine" w:cs="Times New Roman"/>
          <w:b/>
          <w:bCs/>
          <w:color w:val="0000FF"/>
          <w:kern w:val="36"/>
          <w:sz w:val="43"/>
          <w:szCs w:val="43"/>
          <w:u w:val="single"/>
          <w:lang w:eastAsia="en-GB"/>
        </w:rPr>
        <w:br/>
        <w:t>Partnership working across public and private sectors</w:t>
      </w:r>
      <w:r w:rsidRPr="00114432">
        <w:rPr>
          <w:rFonts w:ascii="LinLibertine" w:eastAsia="Times New Roman" w:hAnsi="LinLibertine" w:cs="Times New Roman"/>
          <w:b/>
          <w:bCs/>
          <w:color w:val="000000"/>
          <w:kern w:val="36"/>
          <w:sz w:val="43"/>
          <w:szCs w:val="43"/>
          <w:lang w:eastAsia="en-GB"/>
        </w:rPr>
        <w:fldChar w:fldCharType="end"/>
      </w:r>
      <w:bookmarkStart w:id="0" w:name="_GoBack"/>
      <w:bookmarkEnd w:id="0"/>
    </w:p>
    <w:p w14:paraId="54B0F77F" w14:textId="77777777" w:rsidR="00114432" w:rsidRPr="00114432" w:rsidRDefault="00114432" w:rsidP="00114432">
      <w:pPr>
        <w:spacing w:after="720" w:line="437" w:lineRule="atLeast"/>
        <w:rPr>
          <w:rFonts w:ascii="LinLibertine" w:eastAsia="Times New Roman" w:hAnsi="LinLibertine" w:cs="Times New Roman"/>
          <w:i/>
          <w:iCs/>
          <w:color w:val="000000"/>
          <w:sz w:val="34"/>
          <w:szCs w:val="34"/>
          <w:lang w:eastAsia="en-GB"/>
        </w:rPr>
      </w:pPr>
      <w:r w:rsidRPr="00114432">
        <w:rPr>
          <w:rFonts w:ascii="LinLibertine" w:eastAsia="Times New Roman" w:hAnsi="LinLibertine" w:cs="Times New Roman"/>
          <w:i/>
          <w:iCs/>
          <w:color w:val="000000"/>
          <w:sz w:val="34"/>
          <w:szCs w:val="34"/>
          <w:lang w:eastAsia="en-GB"/>
        </w:rPr>
        <w:t xml:space="preserve">Tony </w:t>
      </w:r>
      <w:proofErr w:type="spellStart"/>
      <w:r w:rsidRPr="00114432">
        <w:rPr>
          <w:rFonts w:ascii="LinLibertine" w:eastAsia="Times New Roman" w:hAnsi="LinLibertine" w:cs="Times New Roman"/>
          <w:i/>
          <w:iCs/>
          <w:color w:val="000000"/>
          <w:sz w:val="34"/>
          <w:szCs w:val="34"/>
          <w:lang w:eastAsia="en-GB"/>
        </w:rPr>
        <w:t>Bovaird</w:t>
      </w:r>
      <w:proofErr w:type="spellEnd"/>
      <w:r w:rsidRPr="00114432">
        <w:rPr>
          <w:rFonts w:ascii="LinLibertine" w:eastAsia="Times New Roman" w:hAnsi="LinLibertine" w:cs="Times New Roman"/>
          <w:i/>
          <w:iCs/>
          <w:color w:val="000000"/>
          <w:sz w:val="34"/>
          <w:szCs w:val="34"/>
          <w:lang w:eastAsia="en-GB"/>
        </w:rPr>
        <w:t xml:space="preserve"> and Erik-Hans </w:t>
      </w:r>
      <w:proofErr w:type="spellStart"/>
      <w:r w:rsidRPr="00114432">
        <w:rPr>
          <w:rFonts w:ascii="LinLibertine" w:eastAsia="Times New Roman" w:hAnsi="LinLibertine" w:cs="Times New Roman"/>
          <w:i/>
          <w:iCs/>
          <w:color w:val="000000"/>
          <w:sz w:val="34"/>
          <w:szCs w:val="34"/>
          <w:lang w:eastAsia="en-GB"/>
        </w:rPr>
        <w:t>Klijn</w:t>
      </w:r>
      <w:proofErr w:type="spellEnd"/>
    </w:p>
    <w:p w14:paraId="2413B33B" w14:textId="77777777" w:rsidR="00114432" w:rsidRPr="00114432" w:rsidRDefault="00114432" w:rsidP="00114432">
      <w:pPr>
        <w:spacing w:before="480" w:after="240" w:line="468" w:lineRule="atLeast"/>
        <w:outlineLvl w:val="1"/>
        <w:rPr>
          <w:rFonts w:ascii="LinLibertine" w:eastAsia="Times New Roman" w:hAnsi="LinLibertine" w:cs="Times New Roman"/>
          <w:b/>
          <w:bCs/>
          <w:color w:val="000000"/>
          <w:sz w:val="36"/>
          <w:szCs w:val="36"/>
          <w:lang w:eastAsia="en-GB"/>
        </w:rPr>
      </w:pPr>
      <w:r w:rsidRPr="00114432">
        <w:rPr>
          <w:rFonts w:ascii="LinLibertine" w:eastAsia="Times New Roman" w:hAnsi="LinLibertine" w:cs="Times New Roman"/>
          <w:b/>
          <w:bCs/>
          <w:color w:val="000000"/>
          <w:sz w:val="36"/>
          <w:szCs w:val="36"/>
          <w:lang w:eastAsia="en-GB"/>
        </w:rPr>
        <w:t>Partnerships – love them or hate them?</w:t>
      </w:r>
    </w:p>
    <w:p w14:paraId="22CFAE16" w14:textId="77777777" w:rsidR="00114432" w:rsidRPr="00114432" w:rsidRDefault="00114432" w:rsidP="00114432">
      <w:pPr>
        <w:spacing w:before="240" w:after="0" w:line="240" w:lineRule="auto"/>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This chapter looks at partnership working across the public and private sectors, particularly (but not exclusively) between public sector and private sector organizations. So, be careful – this topic can damage your health. There is probably no other issue in this book which is so prone to turn previously quiet, gentle citizens into apoplectic fire-breathing ideologues. A tip for starters, therefore – before you finally make up your mind about the issues considered here, read the chapter, dip into the further reading and do the exercises. And along the way, observe your own reactions and ask yourself what exactly is it that drives most of us to feel passionately about these issues. In that way, there is a good chance that the energy you release will generate some light and not just heat!</w:t>
      </w:r>
    </w:p>
    <w:p w14:paraId="145638B1" w14:textId="77777777" w:rsidR="00114432" w:rsidRPr="00114432" w:rsidRDefault="00114432" w:rsidP="00114432">
      <w:pPr>
        <w:spacing w:before="480" w:after="240" w:line="468" w:lineRule="atLeast"/>
        <w:outlineLvl w:val="1"/>
        <w:rPr>
          <w:rFonts w:ascii="LinLibertine" w:eastAsia="Times New Roman" w:hAnsi="LinLibertine" w:cs="Times New Roman"/>
          <w:b/>
          <w:bCs/>
          <w:color w:val="000000"/>
          <w:sz w:val="36"/>
          <w:szCs w:val="36"/>
          <w:lang w:eastAsia="en-GB"/>
        </w:rPr>
      </w:pPr>
      <w:r w:rsidRPr="00114432">
        <w:rPr>
          <w:rFonts w:ascii="LinLibertine" w:eastAsia="Times New Roman" w:hAnsi="LinLibertine" w:cs="Times New Roman"/>
          <w:b/>
          <w:bCs/>
          <w:color w:val="000000"/>
          <w:sz w:val="36"/>
          <w:szCs w:val="36"/>
          <w:lang w:eastAsia="en-GB"/>
        </w:rPr>
        <w:t>Partnerships – hang together or hang separately?</w:t>
      </w:r>
    </w:p>
    <w:p w14:paraId="4AC9A8B4" w14:textId="77777777" w:rsidR="00114432" w:rsidRPr="00114432" w:rsidRDefault="00114432" w:rsidP="00114432">
      <w:pPr>
        <w:spacing w:before="240" w:after="0" w:line="240" w:lineRule="auto"/>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Now everyone wants to work in partnership. You might think it has always been so, but this would be wrong. Until very recently – certainly until the early 1990s – it was common for public agencies to be inward-looking, assuming that their core task was to get right their </w:t>
      </w:r>
      <w:proofErr w:type="spellStart"/>
      <w:r w:rsidRPr="00114432">
        <w:rPr>
          <w:rFonts w:ascii="LinLibertine" w:eastAsia="Times New Roman" w:hAnsi="LinLibertine" w:cs="Times New Roman"/>
          <w:i/>
          <w:iCs/>
          <w:color w:val="000000"/>
          <w:sz w:val="24"/>
          <w:szCs w:val="24"/>
          <w:lang w:eastAsia="en-GB"/>
        </w:rPr>
        <w:t>own</w:t>
      </w:r>
      <w:r w:rsidRPr="00114432">
        <w:rPr>
          <w:rFonts w:ascii="LinLibertine" w:eastAsia="Times New Roman" w:hAnsi="LinLibertine" w:cs="Times New Roman"/>
          <w:color w:val="000000"/>
          <w:sz w:val="24"/>
          <w:szCs w:val="24"/>
          <w:lang w:eastAsia="en-GB"/>
        </w:rPr>
        <w:t>business</w:t>
      </w:r>
      <w:proofErr w:type="spellEnd"/>
      <w:r w:rsidRPr="00114432">
        <w:rPr>
          <w:rFonts w:ascii="LinLibertine" w:eastAsia="Times New Roman" w:hAnsi="LinLibertine" w:cs="Times New Roman"/>
          <w:color w:val="000000"/>
          <w:sz w:val="24"/>
          <w:szCs w:val="24"/>
          <w:lang w:eastAsia="en-GB"/>
        </w:rPr>
        <w:t>, leaving others to stick closely to </w:t>
      </w:r>
      <w:r w:rsidRPr="00114432">
        <w:rPr>
          <w:rFonts w:ascii="LinLibertine" w:eastAsia="Times New Roman" w:hAnsi="LinLibertine" w:cs="Times New Roman"/>
          <w:i/>
          <w:iCs/>
          <w:color w:val="000000"/>
          <w:sz w:val="24"/>
          <w:szCs w:val="24"/>
          <w:lang w:eastAsia="en-GB"/>
        </w:rPr>
        <w:t>their</w:t>
      </w:r>
      <w:r w:rsidRPr="00114432">
        <w:rPr>
          <w:rFonts w:ascii="LinLibertine" w:eastAsia="Times New Roman" w:hAnsi="LinLibertine" w:cs="Times New Roman"/>
          <w:color w:val="000000"/>
          <w:sz w:val="24"/>
          <w:szCs w:val="24"/>
          <w:lang w:eastAsia="en-GB"/>
        </w:rPr>
        <w:t> businesses, in similar vein. And, if this inbred way of thinking dominated the public sector for so long, surely it is right to be suspicious of whether the recent outbreak of ‘partnerships’ and ‘collaborations’ is always as ‘joined up’ as it claims. This chapter will explore how and why the move to partnership has occurred and whether it is always as thorough-going as it appears.</w:t>
      </w:r>
    </w:p>
    <w:p w14:paraId="3559E964" w14:textId="77777777" w:rsidR="00114432" w:rsidRPr="00114432" w:rsidRDefault="00114432" w:rsidP="00114432">
      <w:pPr>
        <w:shd w:val="clear" w:color="auto" w:fill="E7E7E8"/>
        <w:spacing w:after="240" w:line="240" w:lineRule="auto"/>
        <w:rPr>
          <w:rFonts w:ascii="LinLibertine" w:eastAsia="Times New Roman" w:hAnsi="LinLibertine" w:cs="Times New Roman"/>
          <w:b/>
          <w:bCs/>
          <w:color w:val="000000"/>
          <w:sz w:val="31"/>
          <w:szCs w:val="31"/>
          <w:lang w:eastAsia="en-GB"/>
        </w:rPr>
      </w:pPr>
      <w:r w:rsidRPr="00114432">
        <w:rPr>
          <w:rFonts w:ascii="LinLibertine" w:eastAsia="Times New Roman" w:hAnsi="LinLibertine" w:cs="Times New Roman"/>
          <w:b/>
          <w:bCs/>
          <w:color w:val="000000"/>
          <w:sz w:val="31"/>
          <w:szCs w:val="31"/>
          <w:lang w:eastAsia="en-GB"/>
        </w:rPr>
        <w:t>Learning objectives</w:t>
      </w:r>
    </w:p>
    <w:p w14:paraId="555B7FA9" w14:textId="77777777" w:rsidR="00114432" w:rsidRPr="00114432" w:rsidRDefault="00114432" w:rsidP="00114432">
      <w:pPr>
        <w:shd w:val="clear" w:color="auto" w:fill="E7E7E8"/>
        <w:spacing w:before="240" w:after="0" w:line="240" w:lineRule="auto"/>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This chapter is intended to help readers:</w:t>
      </w:r>
    </w:p>
    <w:p w14:paraId="323D6A89" w14:textId="77777777" w:rsidR="00114432" w:rsidRPr="00114432" w:rsidRDefault="00114432" w:rsidP="00114432">
      <w:pPr>
        <w:numPr>
          <w:ilvl w:val="0"/>
          <w:numId w:val="1"/>
        </w:numPr>
        <w:shd w:val="clear" w:color="auto" w:fill="E7E7E8"/>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to understand the different types of partnership that cross public and private sectors;</w:t>
      </w:r>
    </w:p>
    <w:p w14:paraId="792CD212" w14:textId="77777777" w:rsidR="00114432" w:rsidRPr="00114432" w:rsidRDefault="00114432" w:rsidP="00114432">
      <w:pPr>
        <w:numPr>
          <w:ilvl w:val="0"/>
          <w:numId w:val="1"/>
        </w:numPr>
        <w:shd w:val="clear" w:color="auto" w:fill="E7E7E8"/>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to understand their benefits and limitations;</w:t>
      </w:r>
    </w:p>
    <w:p w14:paraId="4784079B" w14:textId="77777777" w:rsidR="00114432" w:rsidRPr="00114432" w:rsidRDefault="00114432" w:rsidP="00114432">
      <w:pPr>
        <w:numPr>
          <w:ilvl w:val="0"/>
          <w:numId w:val="1"/>
        </w:numPr>
        <w:shd w:val="clear" w:color="auto" w:fill="E7E7E8"/>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to probe under the surface of partnerships to see the level of ‘jointness’ which they exhibit;</w:t>
      </w:r>
    </w:p>
    <w:p w14:paraId="2F24A3F2" w14:textId="77777777" w:rsidR="00114432" w:rsidRPr="00114432" w:rsidRDefault="00114432" w:rsidP="00114432">
      <w:pPr>
        <w:numPr>
          <w:ilvl w:val="0"/>
          <w:numId w:val="1"/>
        </w:numPr>
        <w:shd w:val="clear" w:color="auto" w:fill="E7E7E8"/>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to identify the key governance principles which underpin partnership working.</w:t>
      </w:r>
    </w:p>
    <w:p w14:paraId="2BB23E34" w14:textId="77777777" w:rsidR="00114432" w:rsidRPr="00114432" w:rsidRDefault="00114432" w:rsidP="00114432">
      <w:pPr>
        <w:spacing w:before="480" w:after="240" w:line="374" w:lineRule="atLeast"/>
        <w:outlineLvl w:val="2"/>
        <w:rPr>
          <w:rFonts w:ascii="LinLibertine" w:eastAsia="Times New Roman" w:hAnsi="LinLibertine" w:cs="Times New Roman"/>
          <w:b/>
          <w:bCs/>
          <w:i/>
          <w:iCs/>
          <w:color w:val="000000"/>
          <w:sz w:val="29"/>
          <w:szCs w:val="29"/>
          <w:lang w:eastAsia="en-GB"/>
        </w:rPr>
      </w:pPr>
      <w:r w:rsidRPr="00114432">
        <w:rPr>
          <w:rFonts w:ascii="LinLibertine" w:eastAsia="Times New Roman" w:hAnsi="LinLibertine" w:cs="Times New Roman"/>
          <w:b/>
          <w:bCs/>
          <w:i/>
          <w:iCs/>
          <w:color w:val="000000"/>
          <w:sz w:val="29"/>
          <w:szCs w:val="29"/>
          <w:lang w:eastAsia="en-GB"/>
        </w:rPr>
        <w:lastRenderedPageBreak/>
        <w:t>A typology of public-private partnerships</w:t>
      </w:r>
    </w:p>
    <w:p w14:paraId="700908B6" w14:textId="77777777" w:rsidR="00114432" w:rsidRPr="00114432" w:rsidRDefault="00114432" w:rsidP="00114432">
      <w:pPr>
        <w:spacing w:before="240" w:after="0" w:line="240" w:lineRule="auto"/>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First, let us admit that public sector organizations form a huge number of different types of partnership – e.g. with organizations from the public sector, the private sector and the third sector (and even with groups of citizens). In this chapter, we will focus mainly on partnerships with the private sector – so-called public-private partnerships or PPPs. However, we will sometimes stretch the concept of ‘private’ in PPPs to cover also the third sector, especially where third sector involvement aims more to generate extra resources rather than to pursue its core social purposes.</w:t>
      </w:r>
    </w:p>
    <w:p w14:paraId="25A01452"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The academic literature tends to focus on the </w:t>
      </w:r>
      <w:r w:rsidRPr="00114432">
        <w:rPr>
          <w:rFonts w:ascii="LinLibertine" w:eastAsia="Times New Roman" w:hAnsi="LinLibertine" w:cs="Times New Roman"/>
          <w:i/>
          <w:iCs/>
          <w:color w:val="000000"/>
          <w:sz w:val="24"/>
          <w:szCs w:val="24"/>
          <w:lang w:eastAsia="en-GB"/>
        </w:rPr>
        <w:t>form of organization</w:t>
      </w:r>
      <w:r w:rsidRPr="00114432">
        <w:rPr>
          <w:rFonts w:ascii="LinLibertine" w:eastAsia="Times New Roman" w:hAnsi="LinLibertine" w:cs="Times New Roman"/>
          <w:color w:val="000000"/>
          <w:sz w:val="24"/>
          <w:szCs w:val="24"/>
          <w:lang w:eastAsia="en-GB"/>
        </w:rPr>
        <w:t> on the one hand (is the partnership strongly formalized, e.g. around a contract, or looser in form?) and whether the public sector and private actors have more of an equal relationship (principal to principal) or behave like a principal attempting to control its agents (see Osborne, 2000; Hodge </w:t>
      </w:r>
      <w:r w:rsidRPr="00114432">
        <w:rPr>
          <w:rFonts w:ascii="LinLibertine" w:eastAsia="Times New Roman" w:hAnsi="LinLibertine" w:cs="Times New Roman"/>
          <w:i/>
          <w:iCs/>
          <w:color w:val="000000"/>
          <w:sz w:val="24"/>
          <w:szCs w:val="24"/>
          <w:lang w:eastAsia="en-GB"/>
        </w:rPr>
        <w:t>et al</w:t>
      </w:r>
      <w:r w:rsidRPr="00114432">
        <w:rPr>
          <w:rFonts w:ascii="LinLibertine" w:eastAsia="Times New Roman" w:hAnsi="LinLibertine" w:cs="Times New Roman"/>
          <w:color w:val="000000"/>
          <w:sz w:val="24"/>
          <w:szCs w:val="24"/>
          <w:lang w:eastAsia="en-GB"/>
        </w:rPr>
        <w:t xml:space="preserve">., 2010; </w:t>
      </w:r>
      <w:proofErr w:type="spellStart"/>
      <w:r w:rsidRPr="00114432">
        <w:rPr>
          <w:rFonts w:ascii="LinLibertine" w:eastAsia="Times New Roman" w:hAnsi="LinLibertine" w:cs="Times New Roman"/>
          <w:color w:val="000000"/>
          <w:sz w:val="24"/>
          <w:szCs w:val="24"/>
          <w:lang w:eastAsia="en-GB"/>
        </w:rPr>
        <w:t>Weihe</w:t>
      </w:r>
      <w:proofErr w:type="spellEnd"/>
      <w:r w:rsidRPr="00114432">
        <w:rPr>
          <w:rFonts w:ascii="LinLibertine" w:eastAsia="Times New Roman" w:hAnsi="LinLibertine" w:cs="Times New Roman"/>
          <w:color w:val="000000"/>
          <w:sz w:val="24"/>
          <w:szCs w:val="24"/>
          <w:lang w:eastAsia="en-GB"/>
        </w:rPr>
        <w:t>, 2008) – these alternatives are set out in </w:t>
      </w:r>
      <w:hyperlink r:id="rId7" w:anchor="tab17_1" w:history="1">
        <w:r w:rsidRPr="00114432">
          <w:rPr>
            <w:rFonts w:ascii="LinLibertine" w:eastAsia="Times New Roman" w:hAnsi="LinLibertine" w:cs="Times New Roman"/>
            <w:color w:val="0000FF"/>
            <w:sz w:val="24"/>
            <w:szCs w:val="24"/>
            <w:u w:val="single"/>
            <w:lang w:eastAsia="en-GB"/>
          </w:rPr>
          <w:t>Table 17.1</w:t>
        </w:r>
      </w:hyperlink>
      <w:r w:rsidRPr="00114432">
        <w:rPr>
          <w:rFonts w:ascii="LinLibertine" w:eastAsia="Times New Roman" w:hAnsi="LinLibertine" w:cs="Times New Roman"/>
          <w:color w:val="000000"/>
          <w:sz w:val="24"/>
          <w:szCs w:val="24"/>
          <w:lang w:eastAsia="en-GB"/>
        </w:rPr>
        <w:t>.</w:t>
      </w:r>
    </w:p>
    <w:p w14:paraId="09385E57"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When the form is tight and embodies a strong principal-agent relationship, we find approaches like the design-finance-build-operate (DFBO) contracts which are typical of the Private Finance Initiative (PFI) (Cell 1). Here, the contractual character of PPP is stressed and the actors typically expect to the partnership to add value because it allows lower costs of coordination between the various actors (often expressed as ‘efficiency’ or ‘value for money’ gains). PFI partnerships originated in the UK, e.g. to design, build, finance and operate facilities like new motorways, private health clinics, or secondary schools. In the UK, there were over 700 formal PFI-type PPPs current in 2014.</w:t>
      </w:r>
    </w:p>
    <w:p w14:paraId="5287ED32" w14:textId="77777777" w:rsidR="00114432" w:rsidRPr="00114432" w:rsidRDefault="00995940" w:rsidP="00114432">
      <w:pPr>
        <w:spacing w:before="100" w:beforeAutospacing="1" w:after="100" w:afterAutospacing="1" w:line="240" w:lineRule="auto"/>
        <w:rPr>
          <w:rFonts w:ascii="LinLibertine" w:eastAsia="Times New Roman" w:hAnsi="LinLibertine" w:cs="Times New Roman"/>
          <w:color w:val="000000"/>
          <w:lang w:eastAsia="en-GB"/>
        </w:rPr>
      </w:pPr>
      <w:hyperlink r:id="rId8" w:anchor="bck_tab17_1" w:history="1">
        <w:r w:rsidR="00114432" w:rsidRPr="00114432">
          <w:rPr>
            <w:rFonts w:ascii="LinLibertine" w:eastAsia="Times New Roman" w:hAnsi="LinLibertine" w:cs="Times New Roman"/>
            <w:i/>
            <w:iCs/>
            <w:color w:val="0000FF"/>
            <w:sz w:val="19"/>
            <w:szCs w:val="19"/>
            <w:u w:val="single"/>
            <w:lang w:eastAsia="en-GB"/>
          </w:rPr>
          <w:t>Table 17.1</w:t>
        </w:r>
      </w:hyperlink>
      <w:r w:rsidR="00114432" w:rsidRPr="00114432">
        <w:rPr>
          <w:rFonts w:ascii="LinLibertine" w:eastAsia="Times New Roman" w:hAnsi="LinLibertine" w:cs="Times New Roman"/>
          <w:color w:val="000000"/>
          <w:lang w:eastAsia="en-GB"/>
        </w:rPr>
        <w:t> A typology of PPP forms</w:t>
      </w:r>
    </w:p>
    <w:tbl>
      <w:tblPr>
        <w:tblW w:w="21600" w:type="dxa"/>
        <w:tblCellSpacing w:w="15" w:type="dxa"/>
        <w:tblBorders>
          <w:top w:val="single" w:sz="12" w:space="0" w:color="auto"/>
          <w:bottom w:val="single" w:sz="12" w:space="0" w:color="auto"/>
        </w:tblBorders>
        <w:tblCellMar>
          <w:top w:w="15" w:type="dxa"/>
          <w:left w:w="15" w:type="dxa"/>
          <w:bottom w:w="15" w:type="dxa"/>
          <w:right w:w="15" w:type="dxa"/>
        </w:tblCellMar>
        <w:tblLook w:val="04A0" w:firstRow="1" w:lastRow="0" w:firstColumn="1" w:lastColumn="0" w:noHBand="0" w:noVBand="1"/>
      </w:tblPr>
      <w:tblGrid>
        <w:gridCol w:w="2751"/>
        <w:gridCol w:w="12313"/>
        <w:gridCol w:w="6536"/>
      </w:tblGrid>
      <w:tr w:rsidR="00114432" w:rsidRPr="00114432" w14:paraId="6B22C3C2" w14:textId="77777777" w:rsidTr="00114432">
        <w:trPr>
          <w:tblHeader/>
          <w:tblCellSpacing w:w="15" w:type="dxa"/>
        </w:trPr>
        <w:tc>
          <w:tcPr>
            <w:tcW w:w="0" w:type="auto"/>
            <w:vAlign w:val="center"/>
            <w:hideMark/>
          </w:tcPr>
          <w:p w14:paraId="43A37CD8" w14:textId="77777777" w:rsidR="00114432" w:rsidRPr="00114432" w:rsidRDefault="00114432" w:rsidP="00114432">
            <w:pPr>
              <w:spacing w:after="0" w:line="240" w:lineRule="auto"/>
              <w:rPr>
                <w:rFonts w:ascii="Times New Roman" w:eastAsia="Times New Roman" w:hAnsi="Times New Roman" w:cs="Times New Roman"/>
                <w:i/>
                <w:iCs/>
                <w:sz w:val="24"/>
                <w:szCs w:val="24"/>
                <w:lang w:eastAsia="en-GB"/>
              </w:rPr>
            </w:pPr>
            <w:r w:rsidRPr="00114432">
              <w:rPr>
                <w:rFonts w:ascii="Times New Roman" w:eastAsia="Times New Roman" w:hAnsi="Times New Roman" w:cs="Times New Roman"/>
                <w:i/>
                <w:iCs/>
                <w:sz w:val="24"/>
                <w:szCs w:val="24"/>
                <w:lang w:eastAsia="en-GB"/>
              </w:rPr>
              <w:t>Type of relation</w:t>
            </w:r>
          </w:p>
          <w:p w14:paraId="71F93099" w14:textId="77777777" w:rsidR="00114432" w:rsidRPr="00114432" w:rsidRDefault="00995940" w:rsidP="00114432">
            <w:pPr>
              <w:spacing w:after="0" w:line="240" w:lineRule="auto"/>
              <w:rPr>
                <w:rFonts w:ascii="Times New Roman" w:eastAsia="Times New Roman" w:hAnsi="Times New Roman" w:cs="Times New Roman"/>
                <w:i/>
                <w:iCs/>
                <w:sz w:val="24"/>
                <w:szCs w:val="24"/>
                <w:lang w:eastAsia="en-GB"/>
              </w:rPr>
            </w:pPr>
            <w:r>
              <w:rPr>
                <w:rFonts w:ascii="Times New Roman" w:eastAsia="Times New Roman" w:hAnsi="Times New Roman" w:cs="Times New Roman"/>
                <w:i/>
                <w:iCs/>
                <w:sz w:val="24"/>
                <w:szCs w:val="24"/>
                <w:lang w:eastAsia="en-GB"/>
              </w:rPr>
              <w:pict w14:anchorId="677CFA7A">
                <v:rect id="_x0000_i1025" style="width:0;height:1.5pt" o:hralign="center" o:hrstd="t" o:hr="t" fillcolor="#a0a0a0" stroked="f"/>
              </w:pict>
            </w:r>
          </w:p>
        </w:tc>
        <w:tc>
          <w:tcPr>
            <w:tcW w:w="0" w:type="auto"/>
            <w:vMerge w:val="restart"/>
            <w:vAlign w:val="center"/>
            <w:hideMark/>
          </w:tcPr>
          <w:p w14:paraId="7FCA5E61" w14:textId="77777777" w:rsidR="00114432" w:rsidRPr="00114432" w:rsidRDefault="00114432" w:rsidP="00114432">
            <w:pPr>
              <w:spacing w:after="0" w:line="240" w:lineRule="auto"/>
              <w:rPr>
                <w:rFonts w:ascii="Times New Roman" w:eastAsia="Times New Roman" w:hAnsi="Times New Roman" w:cs="Times New Roman"/>
                <w:i/>
                <w:iCs/>
                <w:sz w:val="24"/>
                <w:szCs w:val="24"/>
                <w:lang w:eastAsia="en-GB"/>
              </w:rPr>
            </w:pPr>
            <w:r w:rsidRPr="00114432">
              <w:rPr>
                <w:rFonts w:ascii="Times New Roman" w:eastAsia="Times New Roman" w:hAnsi="Times New Roman" w:cs="Times New Roman"/>
                <w:i/>
                <w:iCs/>
                <w:sz w:val="24"/>
                <w:szCs w:val="24"/>
                <w:lang w:eastAsia="en-GB"/>
              </w:rPr>
              <w:t>A principal-agent relationship</w:t>
            </w:r>
          </w:p>
        </w:tc>
        <w:tc>
          <w:tcPr>
            <w:tcW w:w="0" w:type="auto"/>
            <w:vMerge w:val="restart"/>
            <w:vAlign w:val="center"/>
            <w:hideMark/>
          </w:tcPr>
          <w:p w14:paraId="1193B8BC" w14:textId="77777777" w:rsidR="00114432" w:rsidRPr="00114432" w:rsidRDefault="00114432" w:rsidP="00114432">
            <w:pPr>
              <w:spacing w:after="0" w:line="240" w:lineRule="auto"/>
              <w:rPr>
                <w:rFonts w:ascii="Times New Roman" w:eastAsia="Times New Roman" w:hAnsi="Times New Roman" w:cs="Times New Roman"/>
                <w:i/>
                <w:iCs/>
                <w:sz w:val="24"/>
                <w:szCs w:val="24"/>
                <w:lang w:eastAsia="en-GB"/>
              </w:rPr>
            </w:pPr>
            <w:r w:rsidRPr="00114432">
              <w:rPr>
                <w:rFonts w:ascii="Times New Roman" w:eastAsia="Times New Roman" w:hAnsi="Times New Roman" w:cs="Times New Roman"/>
                <w:i/>
                <w:iCs/>
                <w:sz w:val="24"/>
                <w:szCs w:val="24"/>
                <w:lang w:eastAsia="en-GB"/>
              </w:rPr>
              <w:t>More equal (principal-principal) relationship</w:t>
            </w:r>
          </w:p>
        </w:tc>
      </w:tr>
      <w:tr w:rsidR="00114432" w:rsidRPr="00114432" w14:paraId="7C707050" w14:textId="77777777" w:rsidTr="00114432">
        <w:trPr>
          <w:tblHeader/>
          <w:tblCellSpacing w:w="15" w:type="dxa"/>
        </w:trPr>
        <w:tc>
          <w:tcPr>
            <w:tcW w:w="0" w:type="auto"/>
            <w:vAlign w:val="center"/>
            <w:hideMark/>
          </w:tcPr>
          <w:p w14:paraId="2FBCE3E9" w14:textId="77777777" w:rsidR="00114432" w:rsidRPr="00114432" w:rsidRDefault="00114432" w:rsidP="00114432">
            <w:pPr>
              <w:spacing w:after="0" w:line="240" w:lineRule="auto"/>
              <w:rPr>
                <w:rFonts w:ascii="Times New Roman" w:eastAsia="Times New Roman" w:hAnsi="Times New Roman" w:cs="Times New Roman"/>
                <w:i/>
                <w:iCs/>
                <w:sz w:val="24"/>
                <w:szCs w:val="24"/>
                <w:lang w:eastAsia="en-GB"/>
              </w:rPr>
            </w:pPr>
            <w:r w:rsidRPr="00114432">
              <w:rPr>
                <w:rFonts w:ascii="Times New Roman" w:eastAsia="Times New Roman" w:hAnsi="Times New Roman" w:cs="Times New Roman"/>
                <w:i/>
                <w:iCs/>
                <w:sz w:val="24"/>
                <w:szCs w:val="24"/>
                <w:lang w:eastAsia="en-GB"/>
              </w:rPr>
              <w:t>Organizational form</w:t>
            </w:r>
          </w:p>
        </w:tc>
        <w:tc>
          <w:tcPr>
            <w:tcW w:w="0" w:type="auto"/>
            <w:vMerge/>
            <w:vAlign w:val="center"/>
            <w:hideMark/>
          </w:tcPr>
          <w:p w14:paraId="7C8033FD" w14:textId="77777777" w:rsidR="00114432" w:rsidRPr="00114432" w:rsidRDefault="00114432" w:rsidP="00114432">
            <w:pPr>
              <w:spacing w:after="0" w:line="240" w:lineRule="auto"/>
              <w:rPr>
                <w:rFonts w:ascii="Times New Roman" w:eastAsia="Times New Roman" w:hAnsi="Times New Roman" w:cs="Times New Roman"/>
                <w:i/>
                <w:iCs/>
                <w:sz w:val="24"/>
                <w:szCs w:val="24"/>
                <w:lang w:eastAsia="en-GB"/>
              </w:rPr>
            </w:pPr>
          </w:p>
        </w:tc>
        <w:tc>
          <w:tcPr>
            <w:tcW w:w="0" w:type="auto"/>
            <w:vMerge/>
            <w:vAlign w:val="center"/>
            <w:hideMark/>
          </w:tcPr>
          <w:p w14:paraId="5D5762A6" w14:textId="77777777" w:rsidR="00114432" w:rsidRPr="00114432" w:rsidRDefault="00114432" w:rsidP="00114432">
            <w:pPr>
              <w:spacing w:after="0" w:line="240" w:lineRule="auto"/>
              <w:rPr>
                <w:rFonts w:ascii="Times New Roman" w:eastAsia="Times New Roman" w:hAnsi="Times New Roman" w:cs="Times New Roman"/>
                <w:i/>
                <w:iCs/>
                <w:sz w:val="24"/>
                <w:szCs w:val="24"/>
                <w:lang w:eastAsia="en-GB"/>
              </w:rPr>
            </w:pPr>
          </w:p>
        </w:tc>
      </w:tr>
      <w:tr w:rsidR="00114432" w:rsidRPr="00114432" w14:paraId="702C75F6" w14:textId="77777777" w:rsidTr="00114432">
        <w:trPr>
          <w:tblHeader/>
          <w:tblCellSpacing w:w="15" w:type="dxa"/>
        </w:trPr>
        <w:tc>
          <w:tcPr>
            <w:tcW w:w="0" w:type="auto"/>
            <w:gridSpan w:val="3"/>
            <w:vAlign w:val="center"/>
            <w:hideMark/>
          </w:tcPr>
          <w:p w14:paraId="0091B07E" w14:textId="77777777" w:rsidR="00114432" w:rsidRPr="00114432" w:rsidRDefault="00995940" w:rsidP="00114432">
            <w:pPr>
              <w:spacing w:after="0" w:line="240" w:lineRule="auto"/>
              <w:rPr>
                <w:rFonts w:ascii="Times New Roman" w:eastAsia="Times New Roman" w:hAnsi="Times New Roman" w:cs="Times New Roman"/>
                <w:i/>
                <w:iCs/>
                <w:sz w:val="24"/>
                <w:szCs w:val="24"/>
                <w:lang w:eastAsia="en-GB"/>
              </w:rPr>
            </w:pPr>
            <w:r>
              <w:rPr>
                <w:rFonts w:ascii="Times New Roman" w:eastAsia="Times New Roman" w:hAnsi="Times New Roman" w:cs="Times New Roman"/>
                <w:i/>
                <w:iCs/>
                <w:sz w:val="24"/>
                <w:szCs w:val="24"/>
                <w:lang w:eastAsia="en-GB"/>
              </w:rPr>
              <w:pict w14:anchorId="40A2174D">
                <v:rect id="_x0000_i1026" style="width:0;height:1.5pt" o:hralign="center" o:hrstd="t" o:hr="t" fillcolor="#a0a0a0" stroked="f"/>
              </w:pict>
            </w:r>
          </w:p>
        </w:tc>
      </w:tr>
      <w:tr w:rsidR="00114432" w:rsidRPr="00114432" w14:paraId="747CCBB4" w14:textId="77777777" w:rsidTr="00114432">
        <w:trPr>
          <w:tblCellSpacing w:w="15" w:type="dxa"/>
        </w:trPr>
        <w:tc>
          <w:tcPr>
            <w:tcW w:w="0" w:type="auto"/>
            <w:vAlign w:val="center"/>
            <w:hideMark/>
          </w:tcPr>
          <w:p w14:paraId="74B6544D"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i/>
                <w:iCs/>
                <w:sz w:val="24"/>
                <w:szCs w:val="24"/>
                <w:lang w:eastAsia="en-GB"/>
              </w:rPr>
              <w:t>Tightly formalized</w:t>
            </w:r>
          </w:p>
        </w:tc>
        <w:tc>
          <w:tcPr>
            <w:tcW w:w="0" w:type="auto"/>
            <w:vAlign w:val="center"/>
            <w:hideMark/>
          </w:tcPr>
          <w:p w14:paraId="11CD15F8"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1. Design-finance-build-operate contracts (PFI-like partnerships)</w:t>
            </w:r>
          </w:p>
        </w:tc>
        <w:tc>
          <w:tcPr>
            <w:tcW w:w="0" w:type="auto"/>
            <w:vAlign w:val="center"/>
            <w:hideMark/>
          </w:tcPr>
          <w:p w14:paraId="03D098A6"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2. Consortium (like an Urban Renewal Company)</w:t>
            </w:r>
          </w:p>
        </w:tc>
      </w:tr>
      <w:tr w:rsidR="00114432" w:rsidRPr="00114432" w14:paraId="74DC9772" w14:textId="77777777" w:rsidTr="00114432">
        <w:trPr>
          <w:tblCellSpacing w:w="15" w:type="dxa"/>
        </w:trPr>
        <w:tc>
          <w:tcPr>
            <w:tcW w:w="0" w:type="auto"/>
            <w:vAlign w:val="center"/>
            <w:hideMark/>
          </w:tcPr>
          <w:p w14:paraId="729FA974"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i/>
                <w:iCs/>
                <w:sz w:val="24"/>
                <w:szCs w:val="24"/>
                <w:lang w:eastAsia="en-GB"/>
              </w:rPr>
              <w:t>Loosely coupled</w:t>
            </w:r>
          </w:p>
        </w:tc>
        <w:tc>
          <w:tcPr>
            <w:tcW w:w="0" w:type="auto"/>
            <w:vAlign w:val="center"/>
            <w:hideMark/>
          </w:tcPr>
          <w:p w14:paraId="7234CB16"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3. Intensive general cooperation between public and private actors (e.g. in policy programmes)</w:t>
            </w:r>
          </w:p>
        </w:tc>
        <w:tc>
          <w:tcPr>
            <w:tcW w:w="0" w:type="auto"/>
            <w:vAlign w:val="center"/>
            <w:hideMark/>
          </w:tcPr>
          <w:p w14:paraId="6E60063F"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4. Network-like partnership</w:t>
            </w:r>
          </w:p>
        </w:tc>
      </w:tr>
    </w:tbl>
    <w:p w14:paraId="4DAAD44B"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As a private consortium typically gets a PFI contract for operating the facility for up to 30 years, it has an incentive to use more sustainable (expensive) building materials to save on future maintenance costs. The payment system from the public sector ‘commissioner’ to the private consortium usually rewards the quality of services from the infrastructure – e.g. the ‘availability’ of roads or the functionality of the buildings – rather than just paying for the costs of construction (although such contract calculations often appear later to favour the contractors, who are better at ‘second-guessing’ future costs than public sector commissioners). The long-term commitment of the contractor to the project promotes the search for innovative solutions and may circumvent typical public sector aversion to the risks of untested approaches. Of course, all contracts presuppose that the commissioner can specify the goals clearly at the beginning of the project – an assumption which is not always unproblematic. Indeed, there may be an element of contradiction in seeking both to achieve innovative approaches and also tight contractual procedures. In practice, the evidence on the success of PFI is still rather scant, and some critics have asserted that PFI has been cumbersome, slow, unresponsive to the needs of public sector clients and inflexible.</w:t>
      </w:r>
    </w:p>
    <w:p w14:paraId="2D9F2008"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lastRenderedPageBreak/>
        <w:t>In Cell 2 of </w:t>
      </w:r>
      <w:hyperlink r:id="rId9" w:anchor="tab17_1" w:history="1">
        <w:r w:rsidRPr="00114432">
          <w:rPr>
            <w:rFonts w:ascii="LinLibertine" w:eastAsia="Times New Roman" w:hAnsi="LinLibertine" w:cs="Times New Roman"/>
            <w:color w:val="0000FF"/>
            <w:sz w:val="24"/>
            <w:szCs w:val="24"/>
            <w:u w:val="single"/>
            <w:lang w:eastAsia="en-GB"/>
          </w:rPr>
          <w:t>Table 17.1</w:t>
        </w:r>
      </w:hyperlink>
      <w:r w:rsidRPr="00114432">
        <w:rPr>
          <w:rFonts w:ascii="LinLibertine" w:eastAsia="Times New Roman" w:hAnsi="LinLibertine" w:cs="Times New Roman"/>
          <w:color w:val="000000"/>
          <w:sz w:val="24"/>
          <w:szCs w:val="24"/>
          <w:lang w:eastAsia="en-GB"/>
        </w:rPr>
        <w:t> we have a situation of a more equal principal-principal relationship between public and private actors but still in a tightly formalized arrangement – e.g. the type of Urban Regeneration Companies that were long exemplified by London Docklands Development Corporation or many university Science Parks.</w:t>
      </w:r>
    </w:p>
    <w:p w14:paraId="4C9CA421"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In Cell 3, we have a much more loosely coupled form and a principle-agent relationship – e.g. where private or third sector agents pursue policy outcomes specified by the public principals or where they help in formulation of national policy. Can this still be considered as a partnership? Authors such as </w:t>
      </w:r>
      <w:proofErr w:type="spellStart"/>
      <w:r w:rsidRPr="00114432">
        <w:rPr>
          <w:rFonts w:ascii="LinLibertine" w:eastAsia="Times New Roman" w:hAnsi="LinLibertine" w:cs="Times New Roman"/>
          <w:color w:val="000000"/>
          <w:sz w:val="24"/>
          <w:szCs w:val="24"/>
          <w:lang w:eastAsia="en-GB"/>
        </w:rPr>
        <w:t>Weihe</w:t>
      </w:r>
      <w:proofErr w:type="spellEnd"/>
      <w:r w:rsidRPr="00114432">
        <w:rPr>
          <w:rFonts w:ascii="LinLibertine" w:eastAsia="Times New Roman" w:hAnsi="LinLibertine" w:cs="Times New Roman"/>
          <w:color w:val="000000"/>
          <w:sz w:val="24"/>
          <w:szCs w:val="24"/>
          <w:lang w:eastAsia="en-GB"/>
        </w:rPr>
        <w:t xml:space="preserve"> (2008) argue that it can and, indeed, the looseness of the relationship may allow for considerable collaboration in the search for innovation.</w:t>
      </w:r>
    </w:p>
    <w:p w14:paraId="30515BEF"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Cell 4 contains principal-principal relationships within a loosely coupled organizational form – here, we find partnerships with a network-like character, with fairly intense interactions which only occasionally are concretized in contracts or other organizational forms. This type of partnership is more common between different public sector organizations but can also be found in PPPs for complex developmental projects – e.g. in major city-centre regeneration programmes or in social partnerships where governments work together with a range of partners (often strongly third sector in composition) to tackle ‘wicked’ problems like obesity.</w:t>
      </w:r>
    </w:p>
    <w:p w14:paraId="3C40A06A" w14:textId="77777777" w:rsidR="00114432" w:rsidRPr="00114432" w:rsidRDefault="00114432" w:rsidP="00114432">
      <w:pPr>
        <w:spacing w:before="480" w:after="240" w:line="374" w:lineRule="atLeast"/>
        <w:outlineLvl w:val="2"/>
        <w:rPr>
          <w:rFonts w:ascii="LinLibertine" w:eastAsia="Times New Roman" w:hAnsi="LinLibertine" w:cs="Times New Roman"/>
          <w:b/>
          <w:bCs/>
          <w:i/>
          <w:iCs/>
          <w:color w:val="000000"/>
          <w:sz w:val="29"/>
          <w:szCs w:val="29"/>
          <w:lang w:eastAsia="en-GB"/>
        </w:rPr>
      </w:pPr>
      <w:r w:rsidRPr="00114432">
        <w:rPr>
          <w:rFonts w:ascii="LinLibertine" w:eastAsia="Times New Roman" w:hAnsi="LinLibertine" w:cs="Times New Roman"/>
          <w:b/>
          <w:bCs/>
          <w:i/>
          <w:iCs/>
          <w:color w:val="000000"/>
          <w:sz w:val="29"/>
          <w:szCs w:val="29"/>
          <w:lang w:eastAsia="en-GB"/>
        </w:rPr>
        <w:t>Why people like partnerships … and why they don’t</w:t>
      </w:r>
    </w:p>
    <w:p w14:paraId="1656CC04" w14:textId="77777777" w:rsidR="00114432" w:rsidRPr="00114432" w:rsidRDefault="00114432" w:rsidP="00114432">
      <w:pPr>
        <w:spacing w:before="240" w:after="0" w:line="240" w:lineRule="auto"/>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Some people enthuse about partnerships (</w:t>
      </w:r>
      <w:hyperlink r:id="rId10" w:anchor="box17_1" w:history="1">
        <w:r w:rsidRPr="00114432">
          <w:rPr>
            <w:rFonts w:ascii="LinLibertine" w:eastAsia="Times New Roman" w:hAnsi="LinLibertine" w:cs="Times New Roman"/>
            <w:color w:val="0000FF"/>
            <w:sz w:val="24"/>
            <w:szCs w:val="24"/>
            <w:u w:val="single"/>
            <w:lang w:eastAsia="en-GB"/>
          </w:rPr>
          <w:t>Box 17.1</w:t>
        </w:r>
      </w:hyperlink>
      <w:r w:rsidRPr="00114432">
        <w:rPr>
          <w:rFonts w:ascii="LinLibertine" w:eastAsia="Times New Roman" w:hAnsi="LinLibertine" w:cs="Times New Roman"/>
          <w:color w:val="000000"/>
          <w:sz w:val="24"/>
          <w:szCs w:val="24"/>
          <w:lang w:eastAsia="en-GB"/>
        </w:rPr>
        <w:t>) – and some people don’t (</w:t>
      </w:r>
      <w:hyperlink r:id="rId11" w:anchor="box17_2" w:history="1">
        <w:r w:rsidRPr="00114432">
          <w:rPr>
            <w:rFonts w:ascii="LinLibertine" w:eastAsia="Times New Roman" w:hAnsi="LinLibertine" w:cs="Times New Roman"/>
            <w:color w:val="0000FF"/>
            <w:sz w:val="24"/>
            <w:szCs w:val="24"/>
            <w:u w:val="single"/>
            <w:lang w:eastAsia="en-GB"/>
          </w:rPr>
          <w:t>Box 17.2</w:t>
        </w:r>
      </w:hyperlink>
      <w:r w:rsidRPr="00114432">
        <w:rPr>
          <w:rFonts w:ascii="LinLibertine" w:eastAsia="Times New Roman" w:hAnsi="LinLibertine" w:cs="Times New Roman"/>
          <w:color w:val="000000"/>
          <w:sz w:val="24"/>
          <w:szCs w:val="24"/>
          <w:lang w:eastAsia="en-GB"/>
        </w:rPr>
        <w:t>)</w:t>
      </w:r>
    </w:p>
    <w:p w14:paraId="1ADD7033"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In the cut-and-thrust of debate within different contexts, the proponents of each set of arguments have learnt from each other and partly changed their positions. For example, many proponents of the public sector now advocate more risk-taking and innovation within public sector organizations, to obviate the need for cumbersome cross-organizational arrangements to respond to new needs and technologies. On the other side, legislation and regulation in the UK now provide some protection of employment rights for transferred and newly recruited staff, to respond to staff concerns about PPPs.</w:t>
      </w:r>
    </w:p>
    <w:p w14:paraId="3C261797" w14:textId="77777777" w:rsidR="00114432" w:rsidRPr="00114432" w:rsidRDefault="00995940" w:rsidP="00114432">
      <w:pPr>
        <w:spacing w:after="240" w:line="240" w:lineRule="auto"/>
        <w:rPr>
          <w:rFonts w:ascii="LinLibertine" w:eastAsia="Times New Roman" w:hAnsi="LinLibertine" w:cs="Times New Roman"/>
          <w:b/>
          <w:bCs/>
          <w:color w:val="000000"/>
          <w:sz w:val="31"/>
          <w:szCs w:val="31"/>
          <w:lang w:eastAsia="en-GB"/>
        </w:rPr>
      </w:pPr>
      <w:hyperlink r:id="rId12" w:anchor="bck_box17_1" w:history="1">
        <w:r w:rsidR="00114432" w:rsidRPr="00114432">
          <w:rPr>
            <w:rFonts w:ascii="LinLibertine" w:eastAsia="Times New Roman" w:hAnsi="LinLibertine" w:cs="Times New Roman"/>
            <w:b/>
            <w:bCs/>
            <w:color w:val="0000FF"/>
            <w:sz w:val="31"/>
            <w:szCs w:val="31"/>
            <w:u w:val="single"/>
            <w:lang w:eastAsia="en-GB"/>
          </w:rPr>
          <w:t>Box 17.1</w:t>
        </w:r>
      </w:hyperlink>
      <w:r w:rsidR="00114432" w:rsidRPr="00114432">
        <w:rPr>
          <w:rFonts w:ascii="LinLibertine" w:eastAsia="Times New Roman" w:hAnsi="LinLibertine" w:cs="Times New Roman"/>
          <w:b/>
          <w:bCs/>
          <w:color w:val="000000"/>
          <w:sz w:val="31"/>
          <w:szCs w:val="31"/>
          <w:lang w:eastAsia="en-GB"/>
        </w:rPr>
        <w:t> Partnerships are liked by organizations because …</w:t>
      </w:r>
    </w:p>
    <w:p w14:paraId="1C63C523" w14:textId="77777777" w:rsidR="00114432" w:rsidRPr="00114432" w:rsidRDefault="00114432" w:rsidP="00114432">
      <w:pPr>
        <w:numPr>
          <w:ilvl w:val="0"/>
          <w:numId w:val="2"/>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They help organizations to tackle ‘wicked problems’ that they could not address successfully on their own.</w:t>
      </w:r>
    </w:p>
    <w:p w14:paraId="3A8E9BEB" w14:textId="77777777" w:rsidR="00114432" w:rsidRPr="00114432" w:rsidRDefault="00114432" w:rsidP="00114432">
      <w:pPr>
        <w:numPr>
          <w:ilvl w:val="0"/>
          <w:numId w:val="2"/>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They allow gaps to be filled in the services on offer to users …</w:t>
      </w:r>
    </w:p>
    <w:p w14:paraId="0C0055CC" w14:textId="77777777" w:rsidR="00114432" w:rsidRPr="00114432" w:rsidRDefault="00114432" w:rsidP="00114432">
      <w:pPr>
        <w:numPr>
          <w:ilvl w:val="0"/>
          <w:numId w:val="2"/>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 </w:t>
      </w:r>
      <w:proofErr w:type="gramStart"/>
      <w:r w:rsidRPr="00114432">
        <w:rPr>
          <w:rFonts w:ascii="LinLibertine" w:eastAsia="Times New Roman" w:hAnsi="LinLibertine" w:cs="Times New Roman"/>
          <w:color w:val="000000"/>
          <w:sz w:val="24"/>
          <w:szCs w:val="24"/>
          <w:lang w:eastAsia="en-GB"/>
        </w:rPr>
        <w:t>and</w:t>
      </w:r>
      <w:proofErr w:type="gramEnd"/>
      <w:r w:rsidRPr="00114432">
        <w:rPr>
          <w:rFonts w:ascii="LinLibertine" w:eastAsia="Times New Roman" w:hAnsi="LinLibertine" w:cs="Times New Roman"/>
          <w:color w:val="000000"/>
          <w:sz w:val="24"/>
          <w:szCs w:val="24"/>
          <w:lang w:eastAsia="en-GB"/>
        </w:rPr>
        <w:t xml:space="preserve"> thus can allow more integrated service delivery and policy implementation.</w:t>
      </w:r>
    </w:p>
    <w:p w14:paraId="03E83B45" w14:textId="77777777" w:rsidR="00114432" w:rsidRPr="00114432" w:rsidRDefault="00114432" w:rsidP="00114432">
      <w:pPr>
        <w:numPr>
          <w:ilvl w:val="0"/>
          <w:numId w:val="2"/>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They provide cost reductions by allowing sharing of expertise and other resources and by giving rise to economies of scale not available to their individual members.</w:t>
      </w:r>
    </w:p>
    <w:p w14:paraId="7F367677" w14:textId="77777777" w:rsidR="00114432" w:rsidRPr="00114432" w:rsidRDefault="00114432" w:rsidP="00114432">
      <w:pPr>
        <w:numPr>
          <w:ilvl w:val="0"/>
          <w:numId w:val="2"/>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They allow joint risk-taking and experimentation.</w:t>
      </w:r>
    </w:p>
    <w:p w14:paraId="676BC078" w14:textId="77777777" w:rsidR="00114432" w:rsidRPr="00114432" w:rsidRDefault="00114432" w:rsidP="00114432">
      <w:pPr>
        <w:numPr>
          <w:ilvl w:val="0"/>
          <w:numId w:val="2"/>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Working with partners, especially from other sectors, may give access to organizational cultures and experiences that encourage learning in ways not otherwise available.</w:t>
      </w:r>
    </w:p>
    <w:p w14:paraId="2BC3A492" w14:textId="77777777" w:rsidR="00114432" w:rsidRPr="00114432" w:rsidRDefault="00995940" w:rsidP="00114432">
      <w:pPr>
        <w:spacing w:after="240" w:line="240" w:lineRule="auto"/>
        <w:rPr>
          <w:rFonts w:ascii="LinLibertine" w:eastAsia="Times New Roman" w:hAnsi="LinLibertine" w:cs="Times New Roman"/>
          <w:b/>
          <w:bCs/>
          <w:color w:val="000000"/>
          <w:sz w:val="31"/>
          <w:szCs w:val="31"/>
          <w:lang w:eastAsia="en-GB"/>
        </w:rPr>
      </w:pPr>
      <w:hyperlink r:id="rId13" w:anchor="bck_box17_2" w:history="1">
        <w:r w:rsidR="00114432" w:rsidRPr="00114432">
          <w:rPr>
            <w:rFonts w:ascii="LinLibertine" w:eastAsia="Times New Roman" w:hAnsi="LinLibertine" w:cs="Times New Roman"/>
            <w:b/>
            <w:bCs/>
            <w:color w:val="0000FF"/>
            <w:sz w:val="31"/>
            <w:szCs w:val="31"/>
            <w:u w:val="single"/>
            <w:lang w:eastAsia="en-GB"/>
          </w:rPr>
          <w:t>Box 17.2</w:t>
        </w:r>
      </w:hyperlink>
      <w:r w:rsidR="00114432" w:rsidRPr="00114432">
        <w:rPr>
          <w:rFonts w:ascii="LinLibertine" w:eastAsia="Times New Roman" w:hAnsi="LinLibertine" w:cs="Times New Roman"/>
          <w:b/>
          <w:bCs/>
          <w:color w:val="000000"/>
          <w:sz w:val="31"/>
          <w:szCs w:val="31"/>
          <w:lang w:eastAsia="en-GB"/>
        </w:rPr>
        <w:t> Partnerships may be seen as undesirable because …</w:t>
      </w:r>
    </w:p>
    <w:p w14:paraId="0B8D3AE0" w14:textId="77777777" w:rsidR="00114432" w:rsidRPr="00114432" w:rsidRDefault="00114432" w:rsidP="00114432">
      <w:pPr>
        <w:numPr>
          <w:ilvl w:val="0"/>
          <w:numId w:val="3"/>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They may lead to fragmentation of structures and processes …</w:t>
      </w:r>
    </w:p>
    <w:p w14:paraId="441861F1" w14:textId="77777777" w:rsidR="00114432" w:rsidRPr="00114432" w:rsidRDefault="00114432" w:rsidP="00114432">
      <w:pPr>
        <w:numPr>
          <w:ilvl w:val="0"/>
          <w:numId w:val="3"/>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and this may lead to blurred responsibilities and accountabilities.</w:t>
      </w:r>
    </w:p>
    <w:p w14:paraId="767227B9" w14:textId="77777777" w:rsidR="00114432" w:rsidRPr="00114432" w:rsidRDefault="00114432" w:rsidP="00114432">
      <w:pPr>
        <w:numPr>
          <w:ilvl w:val="0"/>
          <w:numId w:val="3"/>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Staff may lose their jobs or experience worse conditions of service within the new partnership.</w:t>
      </w:r>
    </w:p>
    <w:p w14:paraId="146AE7DC" w14:textId="77777777" w:rsidR="00114432" w:rsidRPr="00114432" w:rsidRDefault="00114432" w:rsidP="00114432">
      <w:pPr>
        <w:numPr>
          <w:ilvl w:val="0"/>
          <w:numId w:val="3"/>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Politicians may fear losing control over policy-making and service decisions.</w:t>
      </w:r>
    </w:p>
    <w:p w14:paraId="644D9BF1" w14:textId="77777777" w:rsidR="00114432" w:rsidRPr="00114432" w:rsidRDefault="00114432" w:rsidP="00114432">
      <w:pPr>
        <w:numPr>
          <w:ilvl w:val="0"/>
          <w:numId w:val="3"/>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lastRenderedPageBreak/>
        <w:t>Service users and citizens may fear becoming objects of a profit-making calculus rather than a public service ethos.</w:t>
      </w:r>
    </w:p>
    <w:p w14:paraId="10644F29" w14:textId="77777777" w:rsidR="00114432" w:rsidRPr="00114432" w:rsidRDefault="00114432" w:rsidP="00114432">
      <w:pPr>
        <w:numPr>
          <w:ilvl w:val="0"/>
          <w:numId w:val="3"/>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Voluntary organizations and non-governmental organizations (NGOs) may be reluctant to swop their independence and critical roles, just to become public service providers.</w:t>
      </w:r>
    </w:p>
    <w:p w14:paraId="733D8CDE" w14:textId="77777777" w:rsidR="00114432" w:rsidRPr="00114432" w:rsidRDefault="00114432" w:rsidP="00114432">
      <w:pPr>
        <w:spacing w:before="240" w:line="240" w:lineRule="auto"/>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Source: Adapted from Bovaird (2004)</w:t>
      </w:r>
    </w:p>
    <w:p w14:paraId="1B520A9A" w14:textId="77777777" w:rsidR="00114432" w:rsidRPr="00114432" w:rsidRDefault="00114432" w:rsidP="00114432">
      <w:pPr>
        <w:spacing w:before="480" w:after="240" w:line="468" w:lineRule="atLeast"/>
        <w:outlineLvl w:val="1"/>
        <w:rPr>
          <w:rFonts w:ascii="LinLibertine" w:eastAsia="Times New Roman" w:hAnsi="LinLibertine" w:cs="Times New Roman"/>
          <w:b/>
          <w:bCs/>
          <w:color w:val="000000"/>
          <w:sz w:val="36"/>
          <w:szCs w:val="36"/>
          <w:lang w:eastAsia="en-GB"/>
        </w:rPr>
      </w:pPr>
      <w:r w:rsidRPr="00114432">
        <w:rPr>
          <w:rFonts w:ascii="LinLibertine" w:eastAsia="Times New Roman" w:hAnsi="LinLibertine" w:cs="Times New Roman"/>
          <w:b/>
          <w:bCs/>
          <w:color w:val="000000"/>
          <w:sz w:val="36"/>
          <w:szCs w:val="36"/>
          <w:lang w:eastAsia="en-GB"/>
        </w:rPr>
        <w:t>The context: the international emergence and growth of PPPs</w:t>
      </w:r>
    </w:p>
    <w:p w14:paraId="356D636E" w14:textId="77777777" w:rsidR="00114432" w:rsidRPr="00114432" w:rsidRDefault="00114432" w:rsidP="00114432">
      <w:pPr>
        <w:spacing w:before="240" w:after="0" w:line="240" w:lineRule="auto"/>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Partnerships are not as new as you might think. Although public-public partnerships are a relatively recent phenomenon – associated with the ‘joined-up government’ movement in the UK (late 1990s), the ‘whole of government’ approach in Australia (after 2000) and the ‘franchise government’ movement in the USA (1990) – public-private partnerships have a much longer history. During the seventeenth century one of the largest trading and shipping companies in the world was the VOC (United East Indian Company), joint venture of several rich merchants and the municipality of Amsterdam (which partly financed Amsterdam city hall in 1662). Both in the UK and in the early USA, roads were funded and constructed by local turnpike trusts that charged tolls.</w:t>
      </w:r>
    </w:p>
    <w:p w14:paraId="408C3041"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However, it was only in the 1970s that PPPs began to attract much wider notice internationally as an alternative to the two main sectors (</w:t>
      </w:r>
      <w:proofErr w:type="spellStart"/>
      <w:r w:rsidRPr="00114432">
        <w:rPr>
          <w:rFonts w:ascii="LinLibertine" w:eastAsia="Times New Roman" w:hAnsi="LinLibertine" w:cs="Times New Roman"/>
          <w:color w:val="000000"/>
          <w:sz w:val="24"/>
          <w:szCs w:val="24"/>
          <w:lang w:eastAsia="en-GB"/>
        </w:rPr>
        <w:t>Fosler</w:t>
      </w:r>
      <w:proofErr w:type="spellEnd"/>
      <w:r w:rsidRPr="00114432">
        <w:rPr>
          <w:rFonts w:ascii="LinLibertine" w:eastAsia="Times New Roman" w:hAnsi="LinLibertine" w:cs="Times New Roman"/>
          <w:color w:val="000000"/>
          <w:sz w:val="24"/>
          <w:szCs w:val="24"/>
          <w:lang w:eastAsia="en-GB"/>
        </w:rPr>
        <w:t xml:space="preserve"> and Berger, 1982). While the US public sector has a long history of contracting out to the private sector such activities as waste disposal, highways construction and maintenance, ambulance services, vehicle fleets and professional services (e.g. architecture, engineering and legal advice), these services were usually externalized through standard contracts. More recently, genuinely collaborative PPPs have become important in US transportation, water and many aspects of social policy.</w:t>
      </w:r>
    </w:p>
    <w:p w14:paraId="5D23F76B"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Similarly, in recent years, there has been increasing interest in PPPs around the world (Bovaird, 2010). In particular, major international financial institutions, such as the IMF, World Bank and European Bank for Reconstruction and Development, have been supporting and promoting PPPs. PPP growth has sometimes been dramatic and they are now actually written into legislation in many countries (for example, urban policy legislation in the UK and USA, into national industrial policies in France and into economic development policies in Italy, the Netherlands and the UK).</w:t>
      </w:r>
    </w:p>
    <w:p w14:paraId="47D79A7D"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The partnership-influenced urban development programmes in the USA in the 1960s were closely observed in Europe but did not inspire immediate copying. However, by the 1980s there was a flood of PPPs in almost all EU countries and in many sectors. There are few patterns observable in this remarkable change-round – it seems that the route travelled in each EU country was significantly different, although the destinations had strong similarities.</w:t>
      </w:r>
    </w:p>
    <w:p w14:paraId="354E865A"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Many PPPs at the local level in the EU are transport projects, while many others deal with urban development, as in the USA. Others typically deal with environmental issues, technology innovation, knowledge development and information and communications technologies (</w:t>
      </w:r>
      <w:proofErr w:type="spellStart"/>
      <w:r w:rsidRPr="00114432">
        <w:rPr>
          <w:rFonts w:ascii="LinLibertine" w:eastAsia="Times New Roman" w:hAnsi="LinLibertine" w:cs="Times New Roman"/>
          <w:color w:val="000000"/>
          <w:sz w:val="24"/>
          <w:szCs w:val="24"/>
          <w:lang w:eastAsia="en-GB"/>
        </w:rPr>
        <w:t>Teisman</w:t>
      </w:r>
      <w:proofErr w:type="spellEnd"/>
      <w:r w:rsidRPr="00114432">
        <w:rPr>
          <w:rFonts w:ascii="LinLibertine" w:eastAsia="Times New Roman" w:hAnsi="LinLibertine" w:cs="Times New Roman"/>
          <w:color w:val="000000"/>
          <w:sz w:val="24"/>
          <w:szCs w:val="24"/>
          <w:lang w:eastAsia="en-GB"/>
        </w:rPr>
        <w:t xml:space="preserve"> and </w:t>
      </w:r>
      <w:proofErr w:type="spellStart"/>
      <w:r w:rsidRPr="00114432">
        <w:rPr>
          <w:rFonts w:ascii="LinLibertine" w:eastAsia="Times New Roman" w:hAnsi="LinLibertine" w:cs="Times New Roman"/>
          <w:color w:val="000000"/>
          <w:sz w:val="24"/>
          <w:szCs w:val="24"/>
          <w:lang w:eastAsia="en-GB"/>
        </w:rPr>
        <w:t>Klijn</w:t>
      </w:r>
      <w:proofErr w:type="spellEnd"/>
      <w:r w:rsidRPr="00114432">
        <w:rPr>
          <w:rFonts w:ascii="LinLibertine" w:eastAsia="Times New Roman" w:hAnsi="LinLibertine" w:cs="Times New Roman"/>
          <w:color w:val="000000"/>
          <w:sz w:val="24"/>
          <w:szCs w:val="24"/>
          <w:lang w:eastAsia="en-GB"/>
        </w:rPr>
        <w:t xml:space="preserve">, 2000). The mechanisms used for PPPs differ greatly throughout Europe. Spain, Portugal, Finland and the Netherlands have the most advanced PPPs of the PFI-type (Ball, 1999). The use of earlier mentioned design-finance-build- </w:t>
      </w:r>
      <w:r w:rsidRPr="00114432">
        <w:rPr>
          <w:rFonts w:ascii="LinLibertine" w:eastAsia="Times New Roman" w:hAnsi="LinLibertine" w:cs="Times New Roman"/>
          <w:color w:val="000000"/>
          <w:sz w:val="24"/>
          <w:szCs w:val="24"/>
          <w:lang w:eastAsia="en-GB"/>
        </w:rPr>
        <w:lastRenderedPageBreak/>
        <w:t xml:space="preserve">operate contracts (or variants such as build-operate-own) is also quite popular in Europe as a technique by which consortia of constructors and financiers can become involved in financing, constructing, operating and maintaining major infrastructure (Li and </w:t>
      </w:r>
      <w:proofErr w:type="spellStart"/>
      <w:r w:rsidRPr="00114432">
        <w:rPr>
          <w:rFonts w:ascii="LinLibertine" w:eastAsia="Times New Roman" w:hAnsi="LinLibertine" w:cs="Times New Roman"/>
          <w:color w:val="000000"/>
          <w:sz w:val="24"/>
          <w:szCs w:val="24"/>
          <w:lang w:eastAsia="en-GB"/>
        </w:rPr>
        <w:t>Akintoye</w:t>
      </w:r>
      <w:proofErr w:type="spellEnd"/>
      <w:r w:rsidRPr="00114432">
        <w:rPr>
          <w:rFonts w:ascii="LinLibertine" w:eastAsia="Times New Roman" w:hAnsi="LinLibertine" w:cs="Times New Roman"/>
          <w:color w:val="000000"/>
          <w:sz w:val="24"/>
          <w:szCs w:val="24"/>
          <w:lang w:eastAsia="en-GB"/>
        </w:rPr>
        <w:t>, 2003). However, these are not always ‘partnerships’ in the full sense, as many operate essentially on contract management lines.</w:t>
      </w:r>
    </w:p>
    <w:p w14:paraId="2084F57A"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In the EU the notion of partnership has become one of the organizing principles of the Structural Fund programmes. This EU notion of ‘partnership’ refers to a broad local alliance between public authorities, private organizations, ‘the social partners’ and the population. As the years have gone by, the Commission has increasingly required the partnership principle to be taken into account in applications for joint funding from Europe. It now encourages PPPs in virtually every field and is willing to support them not only from the Structural Funds but also from a wide range of smaller initiatives (e.g. </w:t>
      </w:r>
      <w:proofErr w:type="spellStart"/>
      <w:r w:rsidRPr="00114432">
        <w:rPr>
          <w:rFonts w:ascii="LinLibertine" w:eastAsia="Times New Roman" w:hAnsi="LinLibertine" w:cs="Times New Roman"/>
          <w:color w:val="000000"/>
          <w:sz w:val="24"/>
          <w:szCs w:val="24"/>
          <w:lang w:eastAsia="en-GB"/>
        </w:rPr>
        <w:t>Resider</w:t>
      </w:r>
      <w:proofErr w:type="spellEnd"/>
      <w:r w:rsidRPr="00114432">
        <w:rPr>
          <w:rFonts w:ascii="LinLibertine" w:eastAsia="Times New Roman" w:hAnsi="LinLibertine" w:cs="Times New Roman"/>
          <w:color w:val="000000"/>
          <w:sz w:val="24"/>
          <w:szCs w:val="24"/>
          <w:lang w:eastAsia="en-GB"/>
        </w:rPr>
        <w:t xml:space="preserve">, </w:t>
      </w:r>
      <w:proofErr w:type="spellStart"/>
      <w:r w:rsidRPr="00114432">
        <w:rPr>
          <w:rFonts w:ascii="LinLibertine" w:eastAsia="Times New Roman" w:hAnsi="LinLibertine" w:cs="Times New Roman"/>
          <w:color w:val="000000"/>
          <w:sz w:val="24"/>
          <w:szCs w:val="24"/>
          <w:lang w:eastAsia="en-GB"/>
        </w:rPr>
        <w:t>Konver</w:t>
      </w:r>
      <w:proofErr w:type="spellEnd"/>
      <w:r w:rsidRPr="00114432">
        <w:rPr>
          <w:rFonts w:ascii="LinLibertine" w:eastAsia="Times New Roman" w:hAnsi="LinLibertine" w:cs="Times New Roman"/>
          <w:color w:val="000000"/>
          <w:sz w:val="24"/>
          <w:szCs w:val="24"/>
          <w:lang w:eastAsia="en-GB"/>
        </w:rPr>
        <w:t xml:space="preserve"> or </w:t>
      </w:r>
      <w:proofErr w:type="spellStart"/>
      <w:r w:rsidRPr="00114432">
        <w:rPr>
          <w:rFonts w:ascii="LinLibertine" w:eastAsia="Times New Roman" w:hAnsi="LinLibertine" w:cs="Times New Roman"/>
          <w:color w:val="000000"/>
          <w:sz w:val="24"/>
          <w:szCs w:val="24"/>
          <w:lang w:eastAsia="en-GB"/>
        </w:rPr>
        <w:t>Interreg</w:t>
      </w:r>
      <w:proofErr w:type="spellEnd"/>
      <w:r w:rsidRPr="00114432">
        <w:rPr>
          <w:rFonts w:ascii="LinLibertine" w:eastAsia="Times New Roman" w:hAnsi="LinLibertine" w:cs="Times New Roman"/>
          <w:color w:val="000000"/>
          <w:sz w:val="24"/>
          <w:szCs w:val="24"/>
          <w:lang w:eastAsia="en-GB"/>
        </w:rPr>
        <w:t>).</w:t>
      </w:r>
    </w:p>
    <w:p w14:paraId="27CA0770"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In practice, however, the main focus has been on trans-European networks (TENs) and, to a lesser extent, energy and telecommunications networks. Indeed, since the 1980s there have been a number of world-renowned PPPs in transport in Europe – the Channel Tunnel, the Oresund connection between Denmark and Sweden and some transnational high-speed railways and stations. Some of these are concessions, with the return for the private investor coming from customer payments. In other forms of service and infrastructure, PPP payments to the private sector are made by the public sector client partner.</w:t>
      </w:r>
    </w:p>
    <w:p w14:paraId="0C8C1D6C"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More recently the EC has also prioritized projects centred on employment creation and on education and training (Jones, 1999: 295). Nevertheless, the role of the EU should not be overstated. Its projects make up only a small number of the PPPs in most member states and have not noticeably catalysed the major PPP developments in those states. Furthermore, its own competition rules have proved a barrier to the development of partnership working in some cases. All EU member states, however, have to follow EU legislation when developing and managing PPPs.</w:t>
      </w:r>
    </w:p>
    <w:p w14:paraId="76516184"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It is instructive to look at one particular EU country in some detail. France has a strong claim to be the historical home of PPPs – since the seventeenth century many canals and bridges have been built by granting concessions, and this system still continues in much of the transport network. Moreover, many more public services such as water, sewage, refuse collection and treatment, urban transport, mass housing and facilities for culture, sports and social affairs have been operated by private companies since the nineteenth century. Famous examples include the water companies </w:t>
      </w:r>
      <w:proofErr w:type="spellStart"/>
      <w:r w:rsidRPr="00114432">
        <w:rPr>
          <w:rFonts w:ascii="LinLibertine" w:eastAsia="Times New Roman" w:hAnsi="LinLibertine" w:cs="Times New Roman"/>
          <w:color w:val="000000"/>
          <w:sz w:val="24"/>
          <w:szCs w:val="24"/>
          <w:lang w:eastAsia="en-GB"/>
        </w:rPr>
        <w:t>Compagnie</w:t>
      </w:r>
      <w:proofErr w:type="spellEnd"/>
      <w:r w:rsidRPr="00114432">
        <w:rPr>
          <w:rFonts w:ascii="LinLibertine" w:eastAsia="Times New Roman" w:hAnsi="LinLibertine" w:cs="Times New Roman"/>
          <w:color w:val="000000"/>
          <w:sz w:val="24"/>
          <w:szCs w:val="24"/>
          <w:lang w:eastAsia="en-GB"/>
        </w:rPr>
        <w:t xml:space="preserve"> </w:t>
      </w:r>
      <w:proofErr w:type="spellStart"/>
      <w:r w:rsidRPr="00114432">
        <w:rPr>
          <w:rFonts w:ascii="LinLibertine" w:eastAsia="Times New Roman" w:hAnsi="LinLibertine" w:cs="Times New Roman"/>
          <w:color w:val="000000"/>
          <w:sz w:val="24"/>
          <w:szCs w:val="24"/>
          <w:lang w:eastAsia="en-GB"/>
        </w:rPr>
        <w:t>Générale</w:t>
      </w:r>
      <w:proofErr w:type="spellEnd"/>
      <w:r w:rsidRPr="00114432">
        <w:rPr>
          <w:rFonts w:ascii="LinLibertine" w:eastAsia="Times New Roman" w:hAnsi="LinLibertine" w:cs="Times New Roman"/>
          <w:color w:val="000000"/>
          <w:sz w:val="24"/>
          <w:szCs w:val="24"/>
          <w:lang w:eastAsia="en-GB"/>
        </w:rPr>
        <w:t xml:space="preserve"> des </w:t>
      </w:r>
      <w:proofErr w:type="spellStart"/>
      <w:r w:rsidRPr="00114432">
        <w:rPr>
          <w:rFonts w:ascii="LinLibertine" w:eastAsia="Times New Roman" w:hAnsi="LinLibertine" w:cs="Times New Roman"/>
          <w:color w:val="000000"/>
          <w:sz w:val="24"/>
          <w:szCs w:val="24"/>
          <w:lang w:eastAsia="en-GB"/>
        </w:rPr>
        <w:t>Eaux</w:t>
      </w:r>
      <w:proofErr w:type="spellEnd"/>
      <w:r w:rsidRPr="00114432">
        <w:rPr>
          <w:rFonts w:ascii="LinLibertine" w:eastAsia="Times New Roman" w:hAnsi="LinLibertine" w:cs="Times New Roman"/>
          <w:color w:val="000000"/>
          <w:sz w:val="24"/>
          <w:szCs w:val="24"/>
          <w:lang w:eastAsia="en-GB"/>
        </w:rPr>
        <w:t xml:space="preserve"> (called Vivendi since 1998) and Lyonnaise des </w:t>
      </w:r>
      <w:proofErr w:type="spellStart"/>
      <w:r w:rsidRPr="00114432">
        <w:rPr>
          <w:rFonts w:ascii="LinLibertine" w:eastAsia="Times New Roman" w:hAnsi="LinLibertine" w:cs="Times New Roman"/>
          <w:color w:val="000000"/>
          <w:sz w:val="24"/>
          <w:szCs w:val="24"/>
          <w:lang w:eastAsia="en-GB"/>
        </w:rPr>
        <w:t>Eaux</w:t>
      </w:r>
      <w:proofErr w:type="spellEnd"/>
      <w:r w:rsidRPr="00114432">
        <w:rPr>
          <w:rFonts w:ascii="LinLibertine" w:eastAsia="Times New Roman" w:hAnsi="LinLibertine" w:cs="Times New Roman"/>
          <w:color w:val="000000"/>
          <w:sz w:val="24"/>
          <w:szCs w:val="24"/>
          <w:lang w:eastAsia="en-GB"/>
        </w:rPr>
        <w:t xml:space="preserve"> (now called Suez), which have not only survived but, from the 1980s onward, have led the international movement to bring the private sector into water services.</w:t>
      </w:r>
    </w:p>
    <w:p w14:paraId="2B170861"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By far the most important institutional form of private involvement in public services in France is the </w:t>
      </w:r>
      <w:proofErr w:type="spellStart"/>
      <w:r w:rsidRPr="00114432">
        <w:rPr>
          <w:rFonts w:ascii="LinLibertine" w:eastAsia="Times New Roman" w:hAnsi="LinLibertine" w:cs="Times New Roman"/>
          <w:color w:val="000000"/>
          <w:sz w:val="24"/>
          <w:szCs w:val="24"/>
          <w:lang w:eastAsia="en-GB"/>
        </w:rPr>
        <w:t>Société</w:t>
      </w:r>
      <w:proofErr w:type="spellEnd"/>
      <w:r w:rsidRPr="00114432">
        <w:rPr>
          <w:rFonts w:ascii="LinLibertine" w:eastAsia="Times New Roman" w:hAnsi="LinLibertine" w:cs="Times New Roman"/>
          <w:color w:val="000000"/>
          <w:sz w:val="24"/>
          <w:szCs w:val="24"/>
          <w:lang w:eastAsia="en-GB"/>
        </w:rPr>
        <w:t xml:space="preserve"> </w:t>
      </w:r>
      <w:proofErr w:type="spellStart"/>
      <w:r w:rsidRPr="00114432">
        <w:rPr>
          <w:rFonts w:ascii="LinLibertine" w:eastAsia="Times New Roman" w:hAnsi="LinLibertine" w:cs="Times New Roman"/>
          <w:color w:val="000000"/>
          <w:sz w:val="24"/>
          <w:szCs w:val="24"/>
          <w:lang w:eastAsia="en-GB"/>
        </w:rPr>
        <w:t>Économie</w:t>
      </w:r>
      <w:proofErr w:type="spellEnd"/>
      <w:r w:rsidRPr="00114432">
        <w:rPr>
          <w:rFonts w:ascii="LinLibertine" w:eastAsia="Times New Roman" w:hAnsi="LinLibertine" w:cs="Times New Roman"/>
          <w:color w:val="000000"/>
          <w:sz w:val="24"/>
          <w:szCs w:val="24"/>
          <w:lang w:eastAsia="en-GB"/>
        </w:rPr>
        <w:t xml:space="preserve"> </w:t>
      </w:r>
      <w:proofErr w:type="spellStart"/>
      <w:r w:rsidRPr="00114432">
        <w:rPr>
          <w:rFonts w:ascii="LinLibertine" w:eastAsia="Times New Roman" w:hAnsi="LinLibertine" w:cs="Times New Roman"/>
          <w:color w:val="000000"/>
          <w:sz w:val="24"/>
          <w:szCs w:val="24"/>
          <w:lang w:eastAsia="en-GB"/>
        </w:rPr>
        <w:t>Mixte</w:t>
      </w:r>
      <w:proofErr w:type="spellEnd"/>
      <w:r w:rsidRPr="00114432">
        <w:rPr>
          <w:rFonts w:ascii="LinLibertine" w:eastAsia="Times New Roman" w:hAnsi="LinLibertine" w:cs="Times New Roman"/>
          <w:color w:val="000000"/>
          <w:sz w:val="24"/>
          <w:szCs w:val="24"/>
          <w:lang w:eastAsia="en-GB"/>
        </w:rPr>
        <w:t xml:space="preserve"> (SEM), dating from 1926, when local authorities received a general power to run local services, either directly or through financial participation in firms (Burnham, 2001: 51). For much of the post-war period they have been the main vehicle for the planning and construction of housing and other development. The local authority retains majority control and funding but involves other partners – historically the major player being the public sector bank, </w:t>
      </w:r>
      <w:proofErr w:type="spellStart"/>
      <w:r w:rsidRPr="00114432">
        <w:rPr>
          <w:rFonts w:ascii="LinLibertine" w:eastAsia="Times New Roman" w:hAnsi="LinLibertine" w:cs="Times New Roman"/>
          <w:color w:val="000000"/>
          <w:sz w:val="24"/>
          <w:szCs w:val="24"/>
          <w:lang w:eastAsia="en-GB"/>
        </w:rPr>
        <w:t>Caisse</w:t>
      </w:r>
      <w:proofErr w:type="spellEnd"/>
      <w:r w:rsidRPr="00114432">
        <w:rPr>
          <w:rFonts w:ascii="LinLibertine" w:eastAsia="Times New Roman" w:hAnsi="LinLibertine" w:cs="Times New Roman"/>
          <w:color w:val="000000"/>
          <w:sz w:val="24"/>
          <w:szCs w:val="24"/>
          <w:lang w:eastAsia="en-GB"/>
        </w:rPr>
        <w:t xml:space="preserve"> des </w:t>
      </w:r>
      <w:proofErr w:type="spellStart"/>
      <w:r w:rsidRPr="00114432">
        <w:rPr>
          <w:rFonts w:ascii="LinLibertine" w:eastAsia="Times New Roman" w:hAnsi="LinLibertine" w:cs="Times New Roman"/>
          <w:color w:val="000000"/>
          <w:sz w:val="24"/>
          <w:szCs w:val="24"/>
          <w:lang w:eastAsia="en-GB"/>
        </w:rPr>
        <w:t>Dépôts</w:t>
      </w:r>
      <w:proofErr w:type="spellEnd"/>
      <w:r w:rsidRPr="00114432">
        <w:rPr>
          <w:rFonts w:ascii="LinLibertine" w:eastAsia="Times New Roman" w:hAnsi="LinLibertine" w:cs="Times New Roman"/>
          <w:color w:val="000000"/>
          <w:sz w:val="24"/>
          <w:szCs w:val="24"/>
          <w:lang w:eastAsia="en-GB"/>
        </w:rPr>
        <w:t xml:space="preserve"> et Consignations (CDC). Burnham (2001: 49) estimates that in 2001 there were about 1,215 SEMs in existence and about one-third of local authority investment was made through a SEM. They have the advantage of allowing the small and fragmented French communes to garner economies of scale in service provision, unlike in-house providers.</w:t>
      </w:r>
    </w:p>
    <w:p w14:paraId="2DA93BCB"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lastRenderedPageBreak/>
        <w:t xml:space="preserve">In spite of this long experience with private sector involvement in public service provision, Le </w:t>
      </w:r>
      <w:proofErr w:type="spellStart"/>
      <w:r w:rsidRPr="00114432">
        <w:rPr>
          <w:rFonts w:ascii="LinLibertine" w:eastAsia="Times New Roman" w:hAnsi="LinLibertine" w:cs="Times New Roman"/>
          <w:color w:val="000000"/>
          <w:sz w:val="24"/>
          <w:szCs w:val="24"/>
          <w:lang w:eastAsia="en-GB"/>
        </w:rPr>
        <w:t>Galès</w:t>
      </w:r>
      <w:proofErr w:type="spellEnd"/>
      <w:r w:rsidRPr="00114432">
        <w:rPr>
          <w:rFonts w:ascii="LinLibertine" w:eastAsia="Times New Roman" w:hAnsi="LinLibertine" w:cs="Times New Roman"/>
          <w:color w:val="000000"/>
          <w:sz w:val="24"/>
          <w:szCs w:val="24"/>
          <w:lang w:eastAsia="en-GB"/>
        </w:rPr>
        <w:t xml:space="preserve"> and Mawson (1994: 64) concluded that cross-sectoral collaboration in France has been more restricted than in the UK – they suggest that, in general, at the local level, mayors provide the main source of local leadership and do not wish to share it with private partners. This may be because PPPs have been institutionalized in France mainly through the SEMs, in which the public sector has a significant degree of control and influence compared with the private sector. Moreover, West (2005) detects the beginning of a shift in the governance of public service exchange relationships from a relatively non-contractual and bilateral approach to more formal contractual arrangements.</w:t>
      </w:r>
    </w:p>
    <w:p w14:paraId="5067AA52"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After 2000 there was significant growth in PPPs in Europe, according to the European PPP Expert Centre (</w:t>
      </w:r>
      <w:hyperlink r:id="rId14" w:history="1">
        <w:r w:rsidRPr="00114432">
          <w:rPr>
            <w:rFonts w:ascii="LinLibertine" w:eastAsia="Times New Roman" w:hAnsi="LinLibertine" w:cs="Times New Roman"/>
            <w:color w:val="0000FF"/>
            <w:sz w:val="24"/>
            <w:szCs w:val="24"/>
            <w:u w:val="single"/>
            <w:lang w:eastAsia="en-GB"/>
          </w:rPr>
          <w:t>www.eib.org/epec</w:t>
        </w:r>
      </w:hyperlink>
      <w:r w:rsidRPr="00114432">
        <w:rPr>
          <w:rFonts w:ascii="LinLibertine" w:eastAsia="Times New Roman" w:hAnsi="LinLibertine" w:cs="Times New Roman"/>
          <w:color w:val="000000"/>
          <w:sz w:val="24"/>
          <w:szCs w:val="24"/>
          <w:lang w:eastAsia="en-GB"/>
        </w:rPr>
        <w:t>). While its figures may exaggerate the role of contractual partnerships and are biased towards very large infrastructural projects, it suggests that the number of partnerships, both in number of contracts and financial value, rose till 2007 and then fell back in 2010–2011 to the 2003 level. This pattern of a decline of PPPs in Europe was especially fast in countries like Greece, which was clearly related to the economic problems arising from the financial crisis of 2008.</w:t>
      </w:r>
    </w:p>
    <w:p w14:paraId="33FDE1E2"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However, the Expert Centre also points to new initiatives in the field of social partnerships, e.g. in health and education. Although such initiatives also have a long history – for example, the EU Leader programme for rural development has supported innovative partnership projects across many EU countries since the early 1990s – they appear to have become particularly important as economic growth in the EU has faltered, even in the UK, the home of PFI partnerships for 20 years. Moreover, this seems to be coinciding with a move from top-down contractual partnerships dominated by public actors to partnerships which connect and achieve synergy from bottom-up local initiatives, based on network-like forms of governance rather than contracts.</w:t>
      </w:r>
    </w:p>
    <w:p w14:paraId="2DCF69A1" w14:textId="77777777" w:rsidR="00114432" w:rsidRPr="00114432" w:rsidRDefault="00114432" w:rsidP="00114432">
      <w:pPr>
        <w:spacing w:before="480" w:after="240" w:line="468" w:lineRule="atLeast"/>
        <w:outlineLvl w:val="1"/>
        <w:rPr>
          <w:rFonts w:ascii="LinLibertine" w:eastAsia="Times New Roman" w:hAnsi="LinLibertine" w:cs="Times New Roman"/>
          <w:b/>
          <w:bCs/>
          <w:color w:val="000000"/>
          <w:sz w:val="36"/>
          <w:szCs w:val="36"/>
          <w:lang w:eastAsia="en-GB"/>
        </w:rPr>
      </w:pPr>
      <w:r w:rsidRPr="00114432">
        <w:rPr>
          <w:rFonts w:ascii="LinLibertine" w:eastAsia="Times New Roman" w:hAnsi="LinLibertine" w:cs="Times New Roman"/>
          <w:b/>
          <w:bCs/>
          <w:color w:val="000000"/>
          <w:sz w:val="36"/>
          <w:szCs w:val="36"/>
          <w:lang w:eastAsia="en-GB"/>
        </w:rPr>
        <w:t>Theoretical rationale of partnerships</w:t>
      </w:r>
    </w:p>
    <w:p w14:paraId="091406C1" w14:textId="77777777" w:rsidR="00114432" w:rsidRPr="00114432" w:rsidRDefault="00114432" w:rsidP="00114432">
      <w:pPr>
        <w:spacing w:before="240" w:after="0" w:line="240" w:lineRule="auto"/>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In understanding the role of partnerships in the public sector, we need to examine the very different conceptual frameworks that are frequently used to examine inter-organizational behaviour in the public sector and private sector.</w:t>
      </w:r>
    </w:p>
    <w:p w14:paraId="6053D59B"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Central to the new public management (NPM) is the traditional economic argument that resource allocation is most ‘efficient’ when arranged through markets in which potential suppliers compete with one another to cut costs and attract customers by improving the quality of the goods or services. When applied to the public sector from the 1980s onwards, this analysis gave rise to experiments in privatization, outsourcing and internal market mechanisms for the provision of public services. Competition between providers was seen as key to these cost and quality benefits being achieved. There has therefore been a strand of thinking in UK government policy since the 1980s that emphasizes the value of competition, rather than collaboration.</w:t>
      </w:r>
    </w:p>
    <w:p w14:paraId="0B367DB1"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However, in the NPM approach, commissioners or purchasers of public services were also seen to have the potential to achieve economies of scale or economies of scope if they worked with one or more other agencies – e.g. economies of scale from buying in bulk through purchasing consortia for the purchase of paper, furniture, etc., or economies of scope through the sharing of some expertise, e.g. specialist music teachers, consumer fraud enforcement staff, etc. Such partnerships were seen by economists as potentially efficient.</w:t>
      </w:r>
    </w:p>
    <w:p w14:paraId="4480B5BC"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lastRenderedPageBreak/>
        <w:t>Consequently, NPM approaches accept that partnerships can sometimes play a useful role, but partnership working must be scrutinized very carefully, to ascertain if it masks anti-competitive behaviour. Where private partners are brought in to provide public services, it is important to ensure that the public sector is not simply trying to raise maximum revenues by granting monopolies to private firms (as was certainly suspected in the case of some UK privatizations in the Thatcher era, in spite of the regulation of prices and terms of service).</w:t>
      </w:r>
    </w:p>
    <w:p w14:paraId="18C8BD40"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Some loose ends in the economic analysis of these propositions did give some concern, when NPM was gaining ground in the public sector. For example, some public choice theorists continued to be sceptical of any argument for public sector intervention in markets and therefore saw PPPs as only ‘half-way’ solutions, preferring outright privatization.</w:t>
      </w:r>
    </w:p>
    <w:p w14:paraId="6810EC75"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More importantly, transaction cost analysis (Williamson, 1996; Walsh, 1995) argues that, where contracts are complex, the high costs of designing, letting, monitoring and enforcing these contracts mean that organizations might well be better off undertaking many activities in-house (even where they are relatively bad at these activities) unless relational contracts can be set up. Relational contracts involve links between the contracting parties that are long lasting and complex, so that the original agreement between the parties ceases to be important and the relationship itself becomes the key focus – in a real sense, the parties ‘make it up as they go along’, rather than always seeking guidance from a specification (which is always incomplete and is likely to become increasingly out-of-date over time) (Williamson, 1986; Bovaird, 2006). Relational contracts therefore rely on trust (rather than the purely economic incentives in traditional or ‘transactional’ contracts), which forms the basis for these long-term relationships – although Williamson himself is not very fond of trust, which he calls a confusing concept (Williamson, 1996: 485). Relational contracts can apply at all levels from strategic partnerships, right through to outsourcing small-scale services to sub-contractors – the basic criterion for moving to a relational contract is whether the transaction costs of detailed, specification-based contracts can be avoided through such a relationship, while still ensuring the desired behaviours.</w:t>
      </w:r>
    </w:p>
    <w:p w14:paraId="6C4C24C9"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This analysis suggests that traditional public sector contracting has often been fundamentally misguided, leading to confrontational contracting based on the mutual attempt to take advantage of each other (see </w:t>
      </w:r>
      <w:hyperlink r:id="rId15" w:history="1">
        <w:r w:rsidRPr="00114432">
          <w:rPr>
            <w:rFonts w:ascii="LinLibertine" w:eastAsia="Times New Roman" w:hAnsi="LinLibertine" w:cs="Times New Roman"/>
            <w:color w:val="0000FF"/>
            <w:sz w:val="24"/>
            <w:szCs w:val="24"/>
            <w:u w:val="single"/>
            <w:lang w:eastAsia="en-GB"/>
          </w:rPr>
          <w:t>chapter 7</w:t>
        </w:r>
      </w:hyperlink>
      <w:r w:rsidRPr="00114432">
        <w:rPr>
          <w:rFonts w:ascii="LinLibertine" w:eastAsia="Times New Roman" w:hAnsi="LinLibertine" w:cs="Times New Roman"/>
          <w:color w:val="000000"/>
          <w:sz w:val="24"/>
          <w:szCs w:val="24"/>
          <w:lang w:eastAsia="en-GB"/>
        </w:rPr>
        <w:t>) and on the assumption (coming from agency theory) that close monitoring of the partner is necessary. It suggests a new partnership-based approach to contracting, in which both parties may find it advantageous to find ways of helping each other to be more successful. This approach, though, only accepts the potential value of PPPs where it can be demonstrated that there is a complementarity of resources – in particular, it is highly suspicious of those UK PFI schemes that appear only to be proposed because private sector funding is made mandatory by public sector financing rules (‘marriage for money’), rather than because there is any natural match between the different types of expertise brought by the public and private sector ‘partners’.</w:t>
      </w:r>
    </w:p>
    <w:p w14:paraId="402C1C85"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Another theoretical justification of the value of partnerships comes from the ‘resource dependency’ perspective. This suggests that, the more dependent partners are on each other for acquiring and sustaining resources that are key to their success, the greater the need for organizing the interactions between them (see Mulford and Rogers, 1982</w:t>
      </w:r>
      <w:r w:rsidRPr="00114432">
        <w:rPr>
          <w:rFonts w:ascii="LinLibertine" w:eastAsia="Times New Roman" w:hAnsi="LinLibertine" w:cs="Times New Roman"/>
          <w:b/>
          <w:bCs/>
          <w:color w:val="000000"/>
          <w:sz w:val="24"/>
          <w:szCs w:val="24"/>
          <w:lang w:eastAsia="en-GB"/>
        </w:rPr>
        <w:t>).</w:t>
      </w:r>
      <w:r w:rsidRPr="00114432">
        <w:rPr>
          <w:rFonts w:ascii="LinLibertine" w:eastAsia="Times New Roman" w:hAnsi="LinLibertine" w:cs="Times New Roman"/>
          <w:color w:val="000000"/>
          <w:sz w:val="24"/>
          <w:szCs w:val="24"/>
          <w:lang w:eastAsia="en-GB"/>
        </w:rPr>
        <w:t xml:space="preserve"> Partnerships are thus initiated because partners hope to harness each other’s resources – and the stronger is the resource dependency, the tighter the form of organization which is needed. This is consistent with transactions cost analysis – if </w:t>
      </w:r>
      <w:r w:rsidRPr="00114432">
        <w:rPr>
          <w:rFonts w:ascii="LinLibertine" w:eastAsia="Times New Roman" w:hAnsi="LinLibertine" w:cs="Times New Roman"/>
          <w:color w:val="000000"/>
          <w:sz w:val="24"/>
          <w:szCs w:val="24"/>
          <w:lang w:eastAsia="en-GB"/>
        </w:rPr>
        <w:lastRenderedPageBreak/>
        <w:t>partners are investing heavily in their relationship with each other, they incur specific transaction costs for this relationship, which will mean that they are likely to maximize the transactions which are kept internal to this arrangement, rather than bought in from external providers in the market. However, this could be achieved either by ‘tight’ formal contracts (to stop partners capturing more than their ‘fair share’ of the resultant benefits of the partnership) or by relational contracts (where they trust each other to maximize the joint value created in the partnership).</w:t>
      </w:r>
    </w:p>
    <w:p w14:paraId="774EEA90"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Meanwhile, the strategic management literature on strategic alliances, joint ventures and consortia (Bovaird, 2004) reinforced the importance of partnership and collaborative working, as opposed to competitive behaviour (although they can also provide opportunities for ‘cost dumping’ and ‘benefits raiding’). This literature (Bovaird, 2014) suggested that partnerships can contribute to competitive advantage by:</w:t>
      </w:r>
    </w:p>
    <w:p w14:paraId="298984C2" w14:textId="77777777" w:rsidR="00114432" w:rsidRPr="00114432" w:rsidRDefault="00114432" w:rsidP="00114432">
      <w:pPr>
        <w:numPr>
          <w:ilvl w:val="0"/>
          <w:numId w:val="4"/>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providing </w:t>
      </w:r>
      <w:r w:rsidRPr="00114432">
        <w:rPr>
          <w:rFonts w:ascii="LinLibertine" w:eastAsia="Times New Roman" w:hAnsi="LinLibertine" w:cs="Times New Roman"/>
          <w:i/>
          <w:iCs/>
          <w:color w:val="000000"/>
          <w:sz w:val="24"/>
          <w:szCs w:val="24"/>
          <w:lang w:eastAsia="en-GB"/>
        </w:rPr>
        <w:t>economies of scale</w:t>
      </w:r>
      <w:r w:rsidRPr="00114432">
        <w:rPr>
          <w:rFonts w:ascii="LinLibertine" w:eastAsia="Times New Roman" w:hAnsi="LinLibertine" w:cs="Times New Roman"/>
          <w:color w:val="000000"/>
          <w:sz w:val="24"/>
          <w:szCs w:val="24"/>
          <w:lang w:eastAsia="en-GB"/>
        </w:rPr>
        <w:t> (and perhaps critical mass) in the provision of services;</w:t>
      </w:r>
    </w:p>
    <w:p w14:paraId="1BB6D66D" w14:textId="77777777" w:rsidR="00114432" w:rsidRPr="00114432" w:rsidRDefault="00114432" w:rsidP="00114432">
      <w:pPr>
        <w:numPr>
          <w:ilvl w:val="0"/>
          <w:numId w:val="4"/>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providing </w:t>
      </w:r>
      <w:r w:rsidRPr="00114432">
        <w:rPr>
          <w:rFonts w:ascii="LinLibertine" w:eastAsia="Times New Roman" w:hAnsi="LinLibertine" w:cs="Times New Roman"/>
          <w:i/>
          <w:iCs/>
          <w:color w:val="000000"/>
          <w:sz w:val="24"/>
          <w:szCs w:val="24"/>
          <w:lang w:eastAsia="en-GB"/>
        </w:rPr>
        <w:t>economies of scope</w:t>
      </w:r>
      <w:r w:rsidRPr="00114432">
        <w:rPr>
          <w:rFonts w:ascii="LinLibertine" w:eastAsia="Times New Roman" w:hAnsi="LinLibertine" w:cs="Times New Roman"/>
          <w:color w:val="000000"/>
          <w:sz w:val="24"/>
          <w:szCs w:val="24"/>
          <w:lang w:eastAsia="en-GB"/>
        </w:rPr>
        <w:t> (i.e. the ability to exploit more fully the complementary capabilities in the partner organization) in the provision of services;</w:t>
      </w:r>
    </w:p>
    <w:p w14:paraId="504CE62B" w14:textId="77777777" w:rsidR="00114432" w:rsidRPr="00114432" w:rsidRDefault="00114432" w:rsidP="00114432">
      <w:pPr>
        <w:numPr>
          <w:ilvl w:val="0"/>
          <w:numId w:val="4"/>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providing </w:t>
      </w:r>
      <w:r w:rsidRPr="00114432">
        <w:rPr>
          <w:rFonts w:ascii="LinLibertine" w:eastAsia="Times New Roman" w:hAnsi="LinLibertine" w:cs="Times New Roman"/>
          <w:i/>
          <w:iCs/>
          <w:color w:val="000000"/>
          <w:sz w:val="24"/>
          <w:szCs w:val="24"/>
          <w:lang w:eastAsia="en-GB"/>
        </w:rPr>
        <w:t>opportunities for mutual learning</w:t>
      </w:r>
      <w:r w:rsidRPr="00114432">
        <w:rPr>
          <w:rFonts w:ascii="LinLibertine" w:eastAsia="Times New Roman" w:hAnsi="LinLibertine" w:cs="Times New Roman"/>
          <w:color w:val="000000"/>
          <w:sz w:val="24"/>
          <w:szCs w:val="24"/>
          <w:lang w:eastAsia="en-GB"/>
        </w:rPr>
        <w:t> between the partners (in the long-term dynamic process of interaction between the partners).</w:t>
      </w:r>
    </w:p>
    <w:p w14:paraId="3126DFE8" w14:textId="77777777" w:rsidR="00114432" w:rsidRPr="00114432" w:rsidRDefault="00114432" w:rsidP="00114432">
      <w:pPr>
        <w:spacing w:before="240" w:after="0" w:line="240" w:lineRule="auto"/>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It may be that only when all participants have become expert in achieving ‘collaborative advantage’ with their partners will the partnership as a whole be able to gain competitive advantage against other rival partnerships (</w:t>
      </w:r>
      <w:proofErr w:type="spellStart"/>
      <w:r w:rsidRPr="00114432">
        <w:rPr>
          <w:rFonts w:ascii="LinLibertine" w:eastAsia="Times New Roman" w:hAnsi="LinLibertine" w:cs="Times New Roman"/>
          <w:color w:val="000000"/>
          <w:sz w:val="24"/>
          <w:szCs w:val="24"/>
          <w:lang w:eastAsia="en-GB"/>
        </w:rPr>
        <w:t>Huxham</w:t>
      </w:r>
      <w:proofErr w:type="spellEnd"/>
      <w:r w:rsidRPr="00114432">
        <w:rPr>
          <w:rFonts w:ascii="LinLibertine" w:eastAsia="Times New Roman" w:hAnsi="LinLibertine" w:cs="Times New Roman"/>
          <w:color w:val="000000"/>
          <w:sz w:val="24"/>
          <w:szCs w:val="24"/>
          <w:lang w:eastAsia="en-GB"/>
        </w:rPr>
        <w:t>, 1993). This has been the aim of some UK PPPs, in which local authorities have joined forces with major private sector suppliers of business services (such as contact centres, financial processing centres, etc.) with the hope that the PPP will win business from surrounding local authorities (and other public agencies) so that the costs of the service fall, giving significant benefits to the local authority concerned and higher profits to the private partner.</w:t>
      </w:r>
    </w:p>
    <w:p w14:paraId="3B688A6B"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From the mid-1990s, the emerging public governance and network paradigm reinterpreted key strategic management concepts in NPM. In this governance perspective, it is not so much the organizational characteristics (arm’s-length relationships, the contractual form, contract monitoring and enforcement arrangements) which make partnership succeed, but rather managerial efforts (‘network management’) (see </w:t>
      </w:r>
      <w:proofErr w:type="spellStart"/>
      <w:r w:rsidRPr="00114432">
        <w:rPr>
          <w:rFonts w:ascii="LinLibertine" w:eastAsia="Times New Roman" w:hAnsi="LinLibertine" w:cs="Times New Roman"/>
          <w:color w:val="000000"/>
          <w:sz w:val="24"/>
          <w:szCs w:val="24"/>
          <w:lang w:eastAsia="en-GB"/>
        </w:rPr>
        <w:t>Klijn</w:t>
      </w:r>
      <w:proofErr w:type="spellEnd"/>
      <w:r w:rsidRPr="00114432">
        <w:rPr>
          <w:rFonts w:ascii="LinLibertine" w:eastAsia="Times New Roman" w:hAnsi="LinLibertine" w:cs="Times New Roman"/>
          <w:color w:val="000000"/>
          <w:sz w:val="24"/>
          <w:szCs w:val="24"/>
          <w:lang w:eastAsia="en-GB"/>
        </w:rPr>
        <w:t>, 2010 and </w:t>
      </w:r>
      <w:hyperlink r:id="rId16" w:history="1">
        <w:r w:rsidRPr="00114432">
          <w:rPr>
            <w:rFonts w:ascii="LinLibertine" w:eastAsia="Times New Roman" w:hAnsi="LinLibertine" w:cs="Times New Roman"/>
            <w:color w:val="0000FF"/>
            <w:sz w:val="24"/>
            <w:szCs w:val="24"/>
            <w:u w:val="single"/>
            <w:lang w:eastAsia="en-GB"/>
          </w:rPr>
          <w:t>Chapter 19</w:t>
        </w:r>
      </w:hyperlink>
      <w:r w:rsidRPr="00114432">
        <w:rPr>
          <w:rFonts w:ascii="LinLibertine" w:eastAsia="Times New Roman" w:hAnsi="LinLibertine" w:cs="Times New Roman"/>
          <w:color w:val="000000"/>
          <w:sz w:val="24"/>
          <w:szCs w:val="24"/>
          <w:lang w:eastAsia="en-GB"/>
        </w:rPr>
        <w:t xml:space="preserve"> by </w:t>
      </w:r>
      <w:proofErr w:type="spellStart"/>
      <w:r w:rsidRPr="00114432">
        <w:rPr>
          <w:rFonts w:ascii="LinLibertine" w:eastAsia="Times New Roman" w:hAnsi="LinLibertine" w:cs="Times New Roman"/>
          <w:color w:val="000000"/>
          <w:sz w:val="24"/>
          <w:szCs w:val="24"/>
          <w:lang w:eastAsia="en-GB"/>
        </w:rPr>
        <w:t>Koliba</w:t>
      </w:r>
      <w:proofErr w:type="spellEnd"/>
      <w:r w:rsidRPr="00114432">
        <w:rPr>
          <w:rFonts w:ascii="LinLibertine" w:eastAsia="Times New Roman" w:hAnsi="LinLibertine" w:cs="Times New Roman"/>
          <w:color w:val="000000"/>
          <w:sz w:val="24"/>
          <w:szCs w:val="24"/>
          <w:lang w:eastAsia="en-GB"/>
        </w:rPr>
        <w:t xml:space="preserve"> and </w:t>
      </w:r>
      <w:proofErr w:type="spellStart"/>
      <w:r w:rsidRPr="00114432">
        <w:rPr>
          <w:rFonts w:ascii="LinLibertine" w:eastAsia="Times New Roman" w:hAnsi="LinLibertine" w:cs="Times New Roman"/>
          <w:color w:val="000000"/>
          <w:sz w:val="24"/>
          <w:szCs w:val="24"/>
          <w:lang w:eastAsia="en-GB"/>
        </w:rPr>
        <w:t>Koppenjan</w:t>
      </w:r>
      <w:proofErr w:type="spellEnd"/>
      <w:r w:rsidRPr="00114432">
        <w:rPr>
          <w:rFonts w:ascii="LinLibertine" w:eastAsia="Times New Roman" w:hAnsi="LinLibertine" w:cs="Times New Roman"/>
          <w:color w:val="000000"/>
          <w:sz w:val="24"/>
          <w:szCs w:val="24"/>
          <w:lang w:eastAsia="en-GB"/>
        </w:rPr>
        <w:t xml:space="preserve"> in this volume):</w:t>
      </w:r>
    </w:p>
    <w:p w14:paraId="3492FB1F" w14:textId="77777777" w:rsidR="00114432" w:rsidRPr="00114432" w:rsidRDefault="00114432" w:rsidP="00114432">
      <w:pPr>
        <w:numPr>
          <w:ilvl w:val="0"/>
          <w:numId w:val="5"/>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i/>
          <w:iCs/>
          <w:color w:val="000000"/>
          <w:sz w:val="24"/>
          <w:szCs w:val="24"/>
          <w:lang w:eastAsia="en-GB"/>
        </w:rPr>
        <w:t>Decision-making has to become shared</w:t>
      </w:r>
      <w:r w:rsidRPr="00114432">
        <w:rPr>
          <w:rFonts w:ascii="LinLibertine" w:eastAsia="Times New Roman" w:hAnsi="LinLibertine" w:cs="Times New Roman"/>
          <w:color w:val="000000"/>
          <w:sz w:val="24"/>
          <w:szCs w:val="24"/>
          <w:lang w:eastAsia="en-GB"/>
        </w:rPr>
        <w:t> within partnerships, which implies trust-building and capacity-building activities, so that different members of the partnerships and networks play their agreed roles.</w:t>
      </w:r>
    </w:p>
    <w:p w14:paraId="05B89C59" w14:textId="77777777" w:rsidR="00114432" w:rsidRPr="00114432" w:rsidRDefault="00114432" w:rsidP="00114432">
      <w:pPr>
        <w:numPr>
          <w:ilvl w:val="0"/>
          <w:numId w:val="5"/>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i/>
          <w:iCs/>
          <w:color w:val="000000"/>
          <w:sz w:val="24"/>
          <w:szCs w:val="24"/>
          <w:lang w:eastAsia="en-GB"/>
        </w:rPr>
        <w:t>Accountability has to become shared</w:t>
      </w:r>
      <w:r w:rsidRPr="00114432">
        <w:rPr>
          <w:rFonts w:ascii="LinLibertine" w:eastAsia="Times New Roman" w:hAnsi="LinLibertine" w:cs="Times New Roman"/>
          <w:color w:val="000000"/>
          <w:sz w:val="24"/>
          <w:szCs w:val="24"/>
          <w:lang w:eastAsia="en-GB"/>
        </w:rPr>
        <w:t> within partnerships, so that both democratic accountability of politicians and managerial accountability are reinforced, not undermined, by the shared responsibilities for partnership activities.</w:t>
      </w:r>
    </w:p>
    <w:p w14:paraId="1652ABC5" w14:textId="77777777" w:rsidR="00114432" w:rsidRPr="00114432" w:rsidRDefault="00114432" w:rsidP="00114432">
      <w:pPr>
        <w:numPr>
          <w:ilvl w:val="0"/>
          <w:numId w:val="5"/>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i/>
          <w:iCs/>
          <w:color w:val="000000"/>
          <w:sz w:val="24"/>
          <w:szCs w:val="24"/>
          <w:lang w:eastAsia="en-GB"/>
        </w:rPr>
        <w:t>Goals and plans have to become coordinated and integrated</w:t>
      </w:r>
      <w:r w:rsidRPr="00114432">
        <w:rPr>
          <w:rFonts w:ascii="LinLibertine" w:eastAsia="Times New Roman" w:hAnsi="LinLibertine" w:cs="Times New Roman"/>
          <w:color w:val="000000"/>
          <w:sz w:val="24"/>
          <w:szCs w:val="24"/>
          <w:lang w:eastAsia="en-GB"/>
        </w:rPr>
        <w:t>, so that partners have to show sensitivity towards each other’s goals, which may change over time. (This is not the quite same thing as having ‘shared’ goals – as long as their goals are complementary, a successful partnership can exist between partners who have quite different goals.)</w:t>
      </w:r>
    </w:p>
    <w:p w14:paraId="7C946933" w14:textId="77777777" w:rsidR="00114432" w:rsidRPr="00114432" w:rsidRDefault="00114432" w:rsidP="00114432">
      <w:pPr>
        <w:numPr>
          <w:ilvl w:val="0"/>
          <w:numId w:val="5"/>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i/>
          <w:iCs/>
          <w:color w:val="000000"/>
          <w:sz w:val="24"/>
          <w:szCs w:val="24"/>
          <w:lang w:eastAsia="en-GB"/>
        </w:rPr>
        <w:t>Extensive relationship contracting should be used, rather than in-house provision or transactional contracts with external providers</w:t>
      </w:r>
      <w:r w:rsidRPr="00114432">
        <w:rPr>
          <w:rFonts w:ascii="LinLibertine" w:eastAsia="Times New Roman" w:hAnsi="LinLibertine" w:cs="Times New Roman"/>
          <w:color w:val="000000"/>
          <w:sz w:val="24"/>
          <w:szCs w:val="24"/>
          <w:lang w:eastAsia="en-GB"/>
        </w:rPr>
        <w:t>, so that there is less emphasis on ‘clear divisions of labour for actors’ and more on partnership working (see </w:t>
      </w:r>
      <w:hyperlink r:id="rId17" w:history="1">
        <w:r w:rsidRPr="00114432">
          <w:rPr>
            <w:rFonts w:ascii="LinLibertine" w:eastAsia="Times New Roman" w:hAnsi="LinLibertine" w:cs="Times New Roman"/>
            <w:color w:val="0000FF"/>
            <w:sz w:val="24"/>
            <w:szCs w:val="24"/>
            <w:u w:val="single"/>
            <w:lang w:eastAsia="en-GB"/>
          </w:rPr>
          <w:t>chapter 7</w:t>
        </w:r>
      </w:hyperlink>
      <w:r w:rsidRPr="00114432">
        <w:rPr>
          <w:rFonts w:ascii="LinLibertine" w:eastAsia="Times New Roman" w:hAnsi="LinLibertine" w:cs="Times New Roman"/>
          <w:color w:val="000000"/>
          <w:sz w:val="24"/>
          <w:szCs w:val="24"/>
          <w:lang w:eastAsia="en-GB"/>
        </w:rPr>
        <w:t>).</w:t>
      </w:r>
    </w:p>
    <w:p w14:paraId="6494B20D" w14:textId="77777777" w:rsidR="00114432" w:rsidRPr="00114432" w:rsidRDefault="00114432" w:rsidP="00114432">
      <w:pPr>
        <w:numPr>
          <w:ilvl w:val="0"/>
          <w:numId w:val="5"/>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i/>
          <w:iCs/>
          <w:color w:val="000000"/>
          <w:sz w:val="24"/>
          <w:szCs w:val="24"/>
          <w:lang w:eastAsia="en-GB"/>
        </w:rPr>
        <w:lastRenderedPageBreak/>
        <w:t>Management of the strategic change process should be joint</w:t>
      </w:r>
      <w:r w:rsidRPr="00114432">
        <w:rPr>
          <w:rFonts w:ascii="LinLibertine" w:eastAsia="Times New Roman" w:hAnsi="LinLibertine" w:cs="Times New Roman"/>
          <w:color w:val="000000"/>
          <w:sz w:val="24"/>
          <w:szCs w:val="24"/>
          <w:lang w:eastAsia="en-GB"/>
        </w:rPr>
        <w:t>, typically in the form of cross-agency teams and project groups.</w:t>
      </w:r>
    </w:p>
    <w:p w14:paraId="377F858C" w14:textId="77777777" w:rsidR="00114432" w:rsidRPr="00114432" w:rsidRDefault="00114432" w:rsidP="00114432">
      <w:pPr>
        <w:spacing w:before="240" w:after="0" w:line="240" w:lineRule="auto"/>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In summary, the mode of management in public governance has to change from attempting to impose strategic control on stakeholders towards the negotiation of overall strategies within which decisions of partners will mutually influence each other, in a process of strategic experimentation and diversity. The importance of this is likely to increase if more social and bottom-up partnerships become common in the future, instead of the large contractual partnerships which were common in previous decades.</w:t>
      </w:r>
    </w:p>
    <w:p w14:paraId="32332A1F" w14:textId="77777777" w:rsidR="00114432" w:rsidRPr="00114432" w:rsidRDefault="00114432" w:rsidP="00114432">
      <w:pPr>
        <w:spacing w:before="480" w:after="240" w:line="468" w:lineRule="atLeast"/>
        <w:outlineLvl w:val="1"/>
        <w:rPr>
          <w:rFonts w:ascii="LinLibertine" w:eastAsia="Times New Roman" w:hAnsi="LinLibertine" w:cs="Times New Roman"/>
          <w:b/>
          <w:bCs/>
          <w:color w:val="000000"/>
          <w:sz w:val="36"/>
          <w:szCs w:val="36"/>
          <w:lang w:eastAsia="en-GB"/>
        </w:rPr>
      </w:pPr>
      <w:r w:rsidRPr="00114432">
        <w:rPr>
          <w:rFonts w:ascii="LinLibertine" w:eastAsia="Times New Roman" w:hAnsi="LinLibertine" w:cs="Times New Roman"/>
          <w:b/>
          <w:bCs/>
          <w:color w:val="000000"/>
          <w:sz w:val="36"/>
          <w:szCs w:val="36"/>
          <w:lang w:eastAsia="en-GB"/>
        </w:rPr>
        <w:t>Governance of partnerships</w:t>
      </w:r>
    </w:p>
    <w:p w14:paraId="6FE3AE11" w14:textId="77777777" w:rsidR="00114432" w:rsidRPr="00114432" w:rsidRDefault="00114432" w:rsidP="00114432">
      <w:pPr>
        <w:spacing w:before="240" w:after="0" w:line="240" w:lineRule="auto"/>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Partnerships must not only help to deliver the objectives of the public sector and solve the ‘wicked problems’ with which they are faced, but their working has to be based on principles of good governance – the ends (public sector objectives, publicly desired quality of life outcomes) do not justify the means (the ways through which objectives and outcomes are achieved). In </w:t>
      </w:r>
      <w:hyperlink r:id="rId18" w:anchor="tab17_1" w:history="1">
        <w:r w:rsidRPr="00114432">
          <w:rPr>
            <w:rFonts w:ascii="LinLibertine" w:eastAsia="Times New Roman" w:hAnsi="LinLibertine" w:cs="Times New Roman"/>
            <w:color w:val="0000FF"/>
            <w:sz w:val="24"/>
            <w:szCs w:val="24"/>
            <w:u w:val="single"/>
            <w:lang w:eastAsia="en-GB"/>
          </w:rPr>
          <w:t>Table 17.1</w:t>
        </w:r>
      </w:hyperlink>
      <w:r w:rsidRPr="00114432">
        <w:rPr>
          <w:rFonts w:ascii="LinLibertine" w:eastAsia="Times New Roman" w:hAnsi="LinLibertine" w:cs="Times New Roman"/>
          <w:color w:val="000000"/>
          <w:sz w:val="24"/>
          <w:szCs w:val="24"/>
          <w:lang w:eastAsia="en-GB"/>
        </w:rPr>
        <w:t> we set out some of the differences, from a governance perspective, which we would expect to see between genuinely collaborative partnerships (between any organizations, whatever their sector) and those relationships which simply involve the ‘partners’ respecting the contracts to which they are legally committed.</w:t>
      </w:r>
    </w:p>
    <w:p w14:paraId="0C99B4F8"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Obviously, the emphasis between the criteria by which good governance is judged may vary from partnership to partnership. The criteria highlighted in </w:t>
      </w:r>
      <w:hyperlink r:id="rId19" w:anchor="tab17_1" w:history="1">
        <w:r w:rsidRPr="00114432">
          <w:rPr>
            <w:rFonts w:ascii="LinLibertine" w:eastAsia="Times New Roman" w:hAnsi="LinLibertine" w:cs="Times New Roman"/>
            <w:color w:val="0000FF"/>
            <w:sz w:val="24"/>
            <w:szCs w:val="24"/>
            <w:u w:val="single"/>
            <w:lang w:eastAsia="en-GB"/>
          </w:rPr>
          <w:t>Table 17.1</w:t>
        </w:r>
      </w:hyperlink>
      <w:r w:rsidRPr="00114432">
        <w:rPr>
          <w:rFonts w:ascii="LinLibertine" w:eastAsia="Times New Roman" w:hAnsi="LinLibertine" w:cs="Times New Roman"/>
          <w:color w:val="000000"/>
          <w:sz w:val="24"/>
          <w:szCs w:val="24"/>
          <w:lang w:eastAsia="en-GB"/>
        </w:rPr>
        <w:t> have been selected as the ‘lowest common denominator’ from the approaches to good governance that have been advocated by major international and multinational agencies in recent years.</w:t>
      </w:r>
    </w:p>
    <w:p w14:paraId="7FC04C0E"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These criteria are demanding – as they are meant to be. It is therefore to be expected that, on occasion, they will bring howls of protest from partnerships which feel that it is too difficult to comply with them. However, the importance of these criteria is already being brought home to many partnerships that have suffered severe damage to their reputations and lost the confidence of their funders and customers, because these principles have been ignored – e.g. through unfair employment practices for staff transferring into partnership bodies or lack of transparency on profits earned by private partners.</w:t>
      </w:r>
    </w:p>
    <w:p w14:paraId="0F32BD9C"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Interestingly, </w:t>
      </w:r>
      <w:proofErr w:type="spellStart"/>
      <w:r w:rsidRPr="00114432">
        <w:rPr>
          <w:rFonts w:ascii="LinLibertine" w:eastAsia="Times New Roman" w:hAnsi="LinLibertine" w:cs="Times New Roman"/>
          <w:color w:val="000000"/>
          <w:sz w:val="24"/>
          <w:szCs w:val="24"/>
          <w:lang w:eastAsia="en-GB"/>
        </w:rPr>
        <w:t>Kort</w:t>
      </w:r>
      <w:proofErr w:type="spellEnd"/>
      <w:r w:rsidRPr="00114432">
        <w:rPr>
          <w:rFonts w:ascii="LinLibertine" w:eastAsia="Times New Roman" w:hAnsi="LinLibertine" w:cs="Times New Roman"/>
          <w:color w:val="000000"/>
          <w:sz w:val="24"/>
          <w:szCs w:val="24"/>
          <w:lang w:eastAsia="en-GB"/>
        </w:rPr>
        <w:t xml:space="preserve"> and </w:t>
      </w:r>
      <w:proofErr w:type="spellStart"/>
      <w:r w:rsidRPr="00114432">
        <w:rPr>
          <w:rFonts w:ascii="LinLibertine" w:eastAsia="Times New Roman" w:hAnsi="LinLibertine" w:cs="Times New Roman"/>
          <w:color w:val="000000"/>
          <w:sz w:val="24"/>
          <w:szCs w:val="24"/>
          <w:lang w:eastAsia="en-GB"/>
        </w:rPr>
        <w:t>Klijn</w:t>
      </w:r>
      <w:proofErr w:type="spellEnd"/>
      <w:r w:rsidRPr="00114432">
        <w:rPr>
          <w:rFonts w:ascii="LinLibertine" w:eastAsia="Times New Roman" w:hAnsi="LinLibertine" w:cs="Times New Roman"/>
          <w:color w:val="000000"/>
          <w:sz w:val="24"/>
          <w:szCs w:val="24"/>
          <w:lang w:eastAsia="en-GB"/>
        </w:rPr>
        <w:t xml:space="preserve"> (2011) show in their research on Urban Renewal Partnerships that good governance practices, involving active network management (such as keeping partners well connected to each other, establishing agreed rules for internal decision processes, etc.), are related to good performance (whereas organizational characteristics are not).</w:t>
      </w:r>
    </w:p>
    <w:p w14:paraId="28A0BB5A"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Whatever criteria are given highest weight, public sector managers and politicians in every country can expect that their actions will be judged against good governance principles (Bovaird and Loeffler, 2007). However, the fact that these principles might differ significantly between different contexts in the public sector poses a major challenge. In particular, accountability in partnerships tends to be quite different from classic public accountability, where an elected office holder is held responsible for decisions made. A city council manager initiating a partnership, for instance for urban regeneration, involving citizen/tenant groups, private investors, shop owners and </w:t>
      </w:r>
      <w:r w:rsidRPr="00114432">
        <w:rPr>
          <w:rFonts w:ascii="LinLibertine" w:eastAsia="Times New Roman" w:hAnsi="LinLibertine" w:cs="Times New Roman"/>
          <w:color w:val="000000"/>
          <w:sz w:val="24"/>
          <w:szCs w:val="24"/>
          <w:lang w:eastAsia="en-GB"/>
        </w:rPr>
        <w:lastRenderedPageBreak/>
        <w:t>council departments, is already accountable both to line managers in the bureaucracy and elected city politicians.</w:t>
      </w:r>
    </w:p>
    <w:p w14:paraId="39402F95" w14:textId="77777777" w:rsidR="00114432" w:rsidRPr="00114432" w:rsidRDefault="00995940" w:rsidP="00114432">
      <w:pPr>
        <w:spacing w:before="100" w:beforeAutospacing="1" w:after="100" w:afterAutospacing="1" w:line="240" w:lineRule="auto"/>
        <w:rPr>
          <w:rFonts w:ascii="LinLibertine" w:eastAsia="Times New Roman" w:hAnsi="LinLibertine" w:cs="Times New Roman"/>
          <w:color w:val="000000"/>
          <w:lang w:eastAsia="en-GB"/>
        </w:rPr>
      </w:pPr>
      <w:hyperlink r:id="rId20" w:anchor="bck_tab17_2" w:history="1">
        <w:r w:rsidR="00114432" w:rsidRPr="00114432">
          <w:rPr>
            <w:rFonts w:ascii="LinLibertine" w:eastAsia="Times New Roman" w:hAnsi="LinLibertine" w:cs="Times New Roman"/>
            <w:i/>
            <w:iCs/>
            <w:color w:val="0000FF"/>
            <w:sz w:val="19"/>
            <w:szCs w:val="19"/>
            <w:u w:val="single"/>
            <w:lang w:eastAsia="en-GB"/>
          </w:rPr>
          <w:t>Table 17.2</w:t>
        </w:r>
      </w:hyperlink>
      <w:r w:rsidR="00114432" w:rsidRPr="00114432">
        <w:rPr>
          <w:rFonts w:ascii="LinLibertine" w:eastAsia="Times New Roman" w:hAnsi="LinLibertine" w:cs="Times New Roman"/>
          <w:color w:val="000000"/>
          <w:lang w:eastAsia="en-GB"/>
        </w:rPr>
        <w:t> Partnerships from a governance perspective</w:t>
      </w:r>
    </w:p>
    <w:tbl>
      <w:tblPr>
        <w:tblW w:w="21600" w:type="dxa"/>
        <w:tblCellSpacing w:w="15" w:type="dxa"/>
        <w:tblBorders>
          <w:top w:val="single" w:sz="12" w:space="0" w:color="auto"/>
          <w:bottom w:val="single" w:sz="12" w:space="0" w:color="auto"/>
        </w:tblBorders>
        <w:tblCellMar>
          <w:top w:w="15" w:type="dxa"/>
          <w:left w:w="15" w:type="dxa"/>
          <w:bottom w:w="15" w:type="dxa"/>
          <w:right w:w="15" w:type="dxa"/>
        </w:tblCellMar>
        <w:tblLook w:val="04A0" w:firstRow="1" w:lastRow="0" w:firstColumn="1" w:lastColumn="0" w:noHBand="0" w:noVBand="1"/>
      </w:tblPr>
      <w:tblGrid>
        <w:gridCol w:w="2771"/>
        <w:gridCol w:w="9441"/>
        <w:gridCol w:w="9388"/>
      </w:tblGrid>
      <w:tr w:rsidR="00114432" w:rsidRPr="00114432" w14:paraId="7150B36D" w14:textId="77777777" w:rsidTr="00114432">
        <w:trPr>
          <w:tblHeader/>
          <w:tblCellSpacing w:w="15" w:type="dxa"/>
        </w:trPr>
        <w:tc>
          <w:tcPr>
            <w:tcW w:w="0" w:type="auto"/>
            <w:vAlign w:val="center"/>
            <w:hideMark/>
          </w:tcPr>
          <w:p w14:paraId="6E6E3055" w14:textId="77777777" w:rsidR="00114432" w:rsidRPr="00114432" w:rsidRDefault="00114432" w:rsidP="00114432">
            <w:pPr>
              <w:spacing w:after="0" w:line="240" w:lineRule="auto"/>
              <w:rPr>
                <w:rFonts w:ascii="Times New Roman" w:eastAsia="Times New Roman" w:hAnsi="Times New Roman" w:cs="Times New Roman"/>
                <w:i/>
                <w:iCs/>
                <w:sz w:val="24"/>
                <w:szCs w:val="24"/>
                <w:lang w:eastAsia="en-GB"/>
              </w:rPr>
            </w:pPr>
            <w:r w:rsidRPr="00114432">
              <w:rPr>
                <w:rFonts w:ascii="Times New Roman" w:eastAsia="Times New Roman" w:hAnsi="Times New Roman" w:cs="Times New Roman"/>
                <w:i/>
                <w:iCs/>
                <w:sz w:val="24"/>
                <w:szCs w:val="24"/>
                <w:lang w:eastAsia="en-GB"/>
              </w:rPr>
              <w:t>Governance principles</w:t>
            </w:r>
          </w:p>
        </w:tc>
        <w:tc>
          <w:tcPr>
            <w:tcW w:w="0" w:type="auto"/>
            <w:vAlign w:val="center"/>
            <w:hideMark/>
          </w:tcPr>
          <w:p w14:paraId="1441187B" w14:textId="77777777" w:rsidR="00114432" w:rsidRPr="00114432" w:rsidRDefault="00114432" w:rsidP="00114432">
            <w:pPr>
              <w:spacing w:after="0" w:line="240" w:lineRule="auto"/>
              <w:rPr>
                <w:rFonts w:ascii="Times New Roman" w:eastAsia="Times New Roman" w:hAnsi="Times New Roman" w:cs="Times New Roman"/>
                <w:i/>
                <w:iCs/>
                <w:sz w:val="24"/>
                <w:szCs w:val="24"/>
                <w:lang w:eastAsia="en-GB"/>
              </w:rPr>
            </w:pPr>
            <w:r w:rsidRPr="00114432">
              <w:rPr>
                <w:rFonts w:ascii="Times New Roman" w:eastAsia="Times New Roman" w:hAnsi="Times New Roman" w:cs="Times New Roman"/>
                <w:i/>
                <w:iCs/>
                <w:sz w:val="24"/>
                <w:szCs w:val="24"/>
                <w:lang w:eastAsia="en-GB"/>
              </w:rPr>
              <w:t>Transactional contractual relationships</w:t>
            </w:r>
          </w:p>
        </w:tc>
        <w:tc>
          <w:tcPr>
            <w:tcW w:w="0" w:type="auto"/>
            <w:vAlign w:val="center"/>
            <w:hideMark/>
          </w:tcPr>
          <w:p w14:paraId="2054D3DE" w14:textId="77777777" w:rsidR="00114432" w:rsidRPr="00114432" w:rsidRDefault="00114432" w:rsidP="00114432">
            <w:pPr>
              <w:spacing w:after="0" w:line="240" w:lineRule="auto"/>
              <w:rPr>
                <w:rFonts w:ascii="Times New Roman" w:eastAsia="Times New Roman" w:hAnsi="Times New Roman" w:cs="Times New Roman"/>
                <w:i/>
                <w:iCs/>
                <w:sz w:val="24"/>
                <w:szCs w:val="24"/>
                <w:lang w:eastAsia="en-GB"/>
              </w:rPr>
            </w:pPr>
            <w:r w:rsidRPr="00114432">
              <w:rPr>
                <w:rFonts w:ascii="Times New Roman" w:eastAsia="Times New Roman" w:hAnsi="Times New Roman" w:cs="Times New Roman"/>
                <w:i/>
                <w:iCs/>
                <w:sz w:val="24"/>
                <w:szCs w:val="24"/>
                <w:lang w:eastAsia="en-GB"/>
              </w:rPr>
              <w:t>Collaborative partnerships</w:t>
            </w:r>
          </w:p>
        </w:tc>
      </w:tr>
      <w:tr w:rsidR="00114432" w:rsidRPr="00114432" w14:paraId="69063571" w14:textId="77777777" w:rsidTr="00114432">
        <w:trPr>
          <w:tblHeader/>
          <w:tblCellSpacing w:w="15" w:type="dxa"/>
        </w:trPr>
        <w:tc>
          <w:tcPr>
            <w:tcW w:w="0" w:type="auto"/>
            <w:gridSpan w:val="3"/>
            <w:vAlign w:val="center"/>
            <w:hideMark/>
          </w:tcPr>
          <w:p w14:paraId="40005D40" w14:textId="77777777" w:rsidR="00114432" w:rsidRPr="00114432" w:rsidRDefault="00995940" w:rsidP="00114432">
            <w:pPr>
              <w:spacing w:after="0" w:line="240" w:lineRule="auto"/>
              <w:rPr>
                <w:rFonts w:ascii="Times New Roman" w:eastAsia="Times New Roman" w:hAnsi="Times New Roman" w:cs="Times New Roman"/>
                <w:i/>
                <w:iCs/>
                <w:sz w:val="24"/>
                <w:szCs w:val="24"/>
                <w:lang w:eastAsia="en-GB"/>
              </w:rPr>
            </w:pPr>
            <w:r>
              <w:rPr>
                <w:rFonts w:ascii="Times New Roman" w:eastAsia="Times New Roman" w:hAnsi="Times New Roman" w:cs="Times New Roman"/>
                <w:i/>
                <w:iCs/>
                <w:sz w:val="24"/>
                <w:szCs w:val="24"/>
                <w:lang w:eastAsia="en-GB"/>
              </w:rPr>
              <w:pict w14:anchorId="2564BDEA">
                <v:rect id="_x0000_i1027" style="width:0;height:1.5pt" o:hralign="center" o:hrstd="t" o:hr="t" fillcolor="#a0a0a0" stroked="f"/>
              </w:pict>
            </w:r>
          </w:p>
        </w:tc>
      </w:tr>
      <w:tr w:rsidR="00114432" w:rsidRPr="00114432" w14:paraId="3B34D3BF" w14:textId="77777777" w:rsidTr="00114432">
        <w:trPr>
          <w:tblCellSpacing w:w="15" w:type="dxa"/>
        </w:trPr>
        <w:tc>
          <w:tcPr>
            <w:tcW w:w="0" w:type="auto"/>
            <w:vAlign w:val="center"/>
            <w:hideMark/>
          </w:tcPr>
          <w:p w14:paraId="2E3D1E0C"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Citizen engagement</w:t>
            </w:r>
          </w:p>
        </w:tc>
        <w:tc>
          <w:tcPr>
            <w:tcW w:w="0" w:type="auto"/>
            <w:vAlign w:val="center"/>
            <w:hideMark/>
          </w:tcPr>
          <w:p w14:paraId="79B67EB5"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Consultation with citizens and other stakeholders</w:t>
            </w:r>
          </w:p>
        </w:tc>
        <w:tc>
          <w:tcPr>
            <w:tcW w:w="0" w:type="auto"/>
            <w:vAlign w:val="center"/>
            <w:hideMark/>
          </w:tcPr>
          <w:p w14:paraId="6927E97A"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Participation of citizens and other stakeholders in decision-making</w:t>
            </w:r>
          </w:p>
        </w:tc>
      </w:tr>
      <w:tr w:rsidR="00114432" w:rsidRPr="00114432" w14:paraId="5DBC9C08" w14:textId="77777777" w:rsidTr="00114432">
        <w:trPr>
          <w:tblCellSpacing w:w="15" w:type="dxa"/>
        </w:trPr>
        <w:tc>
          <w:tcPr>
            <w:tcW w:w="0" w:type="auto"/>
            <w:vAlign w:val="center"/>
            <w:hideMark/>
          </w:tcPr>
          <w:p w14:paraId="74AC2BD6"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Transparency</w:t>
            </w:r>
          </w:p>
        </w:tc>
        <w:tc>
          <w:tcPr>
            <w:tcW w:w="0" w:type="auto"/>
            <w:vAlign w:val="center"/>
            <w:hideMark/>
          </w:tcPr>
          <w:p w14:paraId="0C1AAEB3"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Limited to areas where stakeholders have a ‘need to know’ in order to monitor the contract – and, even then, limited by ‘commercial confidentiality’</w:t>
            </w:r>
          </w:p>
        </w:tc>
        <w:tc>
          <w:tcPr>
            <w:tcW w:w="0" w:type="auto"/>
            <w:vAlign w:val="center"/>
            <w:hideMark/>
          </w:tcPr>
          <w:p w14:paraId="76ACC98A"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Open book working in respect of all partners (including user and citizen representatives, where appropriate) as a critical element of building trust</w:t>
            </w:r>
          </w:p>
        </w:tc>
      </w:tr>
      <w:tr w:rsidR="00114432" w:rsidRPr="00114432" w14:paraId="2BE4AE27" w14:textId="77777777" w:rsidTr="00114432">
        <w:trPr>
          <w:tblCellSpacing w:w="15" w:type="dxa"/>
        </w:trPr>
        <w:tc>
          <w:tcPr>
            <w:tcW w:w="0" w:type="auto"/>
            <w:vAlign w:val="center"/>
            <w:hideMark/>
          </w:tcPr>
          <w:p w14:paraId="27BAC423"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Accountability</w:t>
            </w:r>
          </w:p>
        </w:tc>
        <w:tc>
          <w:tcPr>
            <w:tcW w:w="0" w:type="auto"/>
            <w:vAlign w:val="center"/>
            <w:hideMark/>
          </w:tcPr>
          <w:p w14:paraId="43033567"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The contractor must account to the purchaser in line with all performance-reporting procedures agreed in the contract, particularly in relation to budgetary and cost control</w:t>
            </w:r>
          </w:p>
        </w:tc>
        <w:tc>
          <w:tcPr>
            <w:tcW w:w="0" w:type="auto"/>
            <w:vAlign w:val="center"/>
            <w:hideMark/>
          </w:tcPr>
          <w:p w14:paraId="6D247D38"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Partners must be prepared to account to each other for their actions and performance on all issues that arise – and must be prepared to account to other stakeholders for the overall performance of the partnership</w:t>
            </w:r>
          </w:p>
        </w:tc>
      </w:tr>
      <w:tr w:rsidR="00114432" w:rsidRPr="00114432" w14:paraId="4318B221" w14:textId="77777777" w:rsidTr="00114432">
        <w:trPr>
          <w:tblCellSpacing w:w="15" w:type="dxa"/>
        </w:trPr>
        <w:tc>
          <w:tcPr>
            <w:tcW w:w="0" w:type="auto"/>
            <w:vAlign w:val="center"/>
            <w:hideMark/>
          </w:tcPr>
          <w:p w14:paraId="7EF9DBB7"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Equalities and social inclusion</w:t>
            </w:r>
          </w:p>
        </w:tc>
        <w:tc>
          <w:tcPr>
            <w:tcW w:w="0" w:type="auto"/>
            <w:vAlign w:val="center"/>
            <w:hideMark/>
          </w:tcPr>
          <w:p w14:paraId="526EFB9B"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These issues will only be considered in so far as they are included in the contract specification (although some firms may, independently, be committed to improving their record of corporate social responsibility)</w:t>
            </w:r>
          </w:p>
        </w:tc>
        <w:tc>
          <w:tcPr>
            <w:tcW w:w="0" w:type="auto"/>
            <w:vAlign w:val="center"/>
            <w:hideMark/>
          </w:tcPr>
          <w:p w14:paraId="06B75A87"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Accepted as core values in the working of the partnership – partners are expected actively to seek innovative ways of improving performance against these principles</w:t>
            </w:r>
          </w:p>
        </w:tc>
      </w:tr>
      <w:tr w:rsidR="00114432" w:rsidRPr="00114432" w14:paraId="30CA91FF" w14:textId="77777777" w:rsidTr="00114432">
        <w:trPr>
          <w:tblCellSpacing w:w="15" w:type="dxa"/>
        </w:trPr>
        <w:tc>
          <w:tcPr>
            <w:tcW w:w="0" w:type="auto"/>
            <w:vAlign w:val="center"/>
            <w:hideMark/>
          </w:tcPr>
          <w:p w14:paraId="25766199"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Ethical and honest behaviour</w:t>
            </w:r>
          </w:p>
        </w:tc>
        <w:tc>
          <w:tcPr>
            <w:tcW w:w="0" w:type="auto"/>
            <w:vAlign w:val="center"/>
            <w:hideMark/>
          </w:tcPr>
          <w:p w14:paraId="498AFA9B"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Staff must act legally and within professional codes of conduct</w:t>
            </w:r>
          </w:p>
        </w:tc>
        <w:tc>
          <w:tcPr>
            <w:tcW w:w="0" w:type="auto"/>
            <w:vAlign w:val="center"/>
            <w:hideMark/>
          </w:tcPr>
          <w:p w14:paraId="73BCE5D8"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Accepted as core values in the working of the partnership – partners must actively seek innovative ways of improving performance against these principles</w:t>
            </w:r>
          </w:p>
        </w:tc>
      </w:tr>
      <w:tr w:rsidR="00114432" w:rsidRPr="00114432" w14:paraId="351482F7" w14:textId="77777777" w:rsidTr="00114432">
        <w:trPr>
          <w:tblCellSpacing w:w="15" w:type="dxa"/>
        </w:trPr>
        <w:tc>
          <w:tcPr>
            <w:tcW w:w="0" w:type="auto"/>
            <w:vAlign w:val="center"/>
            <w:hideMark/>
          </w:tcPr>
          <w:p w14:paraId="664FA74C"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Equity (fair procedures and due process)</w:t>
            </w:r>
          </w:p>
        </w:tc>
        <w:tc>
          <w:tcPr>
            <w:tcW w:w="0" w:type="auto"/>
            <w:vAlign w:val="center"/>
            <w:hideMark/>
          </w:tcPr>
          <w:p w14:paraId="18D1E946"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Staff must act within organizational procedures, which must ensure consistent treatment of all individuals within any group and must accord priority to different groups as set out in the contract</w:t>
            </w:r>
          </w:p>
        </w:tc>
        <w:tc>
          <w:tcPr>
            <w:tcW w:w="0" w:type="auto"/>
            <w:vAlign w:val="center"/>
            <w:hideMark/>
          </w:tcPr>
          <w:p w14:paraId="47EEF407"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Accepted as core values in the working of the partnership – partners must continuously seek innovative ways of improving performance against this principle</w:t>
            </w:r>
          </w:p>
        </w:tc>
      </w:tr>
      <w:tr w:rsidR="00114432" w:rsidRPr="00114432" w14:paraId="56D92CEA" w14:textId="77777777" w:rsidTr="00114432">
        <w:trPr>
          <w:tblCellSpacing w:w="15" w:type="dxa"/>
        </w:trPr>
        <w:tc>
          <w:tcPr>
            <w:tcW w:w="0" w:type="auto"/>
            <w:vAlign w:val="center"/>
            <w:hideMark/>
          </w:tcPr>
          <w:p w14:paraId="6EF11013"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Willingness/ability to collaborate</w:t>
            </w:r>
          </w:p>
        </w:tc>
        <w:tc>
          <w:tcPr>
            <w:tcW w:w="0" w:type="auto"/>
            <w:vAlign w:val="center"/>
            <w:hideMark/>
          </w:tcPr>
          <w:p w14:paraId="31029AA5"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Valuable but not essential characteristic of relationships with other parties (mainly means keeping to the contract)</w:t>
            </w:r>
          </w:p>
        </w:tc>
        <w:tc>
          <w:tcPr>
            <w:tcW w:w="0" w:type="auto"/>
            <w:vAlign w:val="center"/>
            <w:hideMark/>
          </w:tcPr>
          <w:p w14:paraId="4BF37B97"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Critical success factor for all partners, without which partnership is unlikely to continue</w:t>
            </w:r>
          </w:p>
        </w:tc>
      </w:tr>
      <w:tr w:rsidR="00114432" w:rsidRPr="00114432" w14:paraId="43AA23F6" w14:textId="77777777" w:rsidTr="00114432">
        <w:trPr>
          <w:tblCellSpacing w:w="15" w:type="dxa"/>
        </w:trPr>
        <w:tc>
          <w:tcPr>
            <w:tcW w:w="0" w:type="auto"/>
            <w:vAlign w:val="center"/>
            <w:hideMark/>
          </w:tcPr>
          <w:p w14:paraId="649CFDC6"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Ability to compete</w:t>
            </w:r>
          </w:p>
        </w:tc>
        <w:tc>
          <w:tcPr>
            <w:tcW w:w="0" w:type="auto"/>
            <w:vAlign w:val="center"/>
            <w:hideMark/>
          </w:tcPr>
          <w:p w14:paraId="75C07CED"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Critical success factor for the provider in the contract (incorporating both cost consciousness and customer focus)</w:t>
            </w:r>
          </w:p>
        </w:tc>
        <w:tc>
          <w:tcPr>
            <w:tcW w:w="0" w:type="auto"/>
            <w:vAlign w:val="center"/>
            <w:hideMark/>
          </w:tcPr>
          <w:p w14:paraId="748594CB"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Critical success factor for the partnership as a whole (incorporating both cost consciousness and customer focus)</w:t>
            </w:r>
          </w:p>
        </w:tc>
      </w:tr>
      <w:tr w:rsidR="00114432" w:rsidRPr="00114432" w14:paraId="763BADFD" w14:textId="77777777" w:rsidTr="00114432">
        <w:trPr>
          <w:tblCellSpacing w:w="15" w:type="dxa"/>
        </w:trPr>
        <w:tc>
          <w:tcPr>
            <w:tcW w:w="0" w:type="auto"/>
            <w:vAlign w:val="center"/>
            <w:hideMark/>
          </w:tcPr>
          <w:p w14:paraId="713263B7"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Leadership</w:t>
            </w:r>
          </w:p>
        </w:tc>
        <w:tc>
          <w:tcPr>
            <w:tcW w:w="0" w:type="auto"/>
            <w:vAlign w:val="center"/>
            <w:hideMark/>
          </w:tcPr>
          <w:p w14:paraId="35284B08"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Necessary in each organization to ensure good contract management – timely, accurate and efficient meeting of contract specification</w:t>
            </w:r>
          </w:p>
        </w:tc>
        <w:tc>
          <w:tcPr>
            <w:tcW w:w="0" w:type="auto"/>
            <w:vAlign w:val="center"/>
            <w:hideMark/>
          </w:tcPr>
          <w:p w14:paraId="65D34CF1"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Necessary at all levels of the partnership as a whole, in each of its constituent organizations and in the communities that it serves</w:t>
            </w:r>
          </w:p>
        </w:tc>
      </w:tr>
      <w:tr w:rsidR="00114432" w:rsidRPr="00114432" w14:paraId="3D15F139" w14:textId="77777777" w:rsidTr="00114432">
        <w:trPr>
          <w:tblCellSpacing w:w="15" w:type="dxa"/>
        </w:trPr>
        <w:tc>
          <w:tcPr>
            <w:tcW w:w="0" w:type="auto"/>
            <w:vAlign w:val="center"/>
            <w:hideMark/>
          </w:tcPr>
          <w:p w14:paraId="6A8EA716"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Sustainability</w:t>
            </w:r>
          </w:p>
        </w:tc>
        <w:tc>
          <w:tcPr>
            <w:tcW w:w="0" w:type="auto"/>
            <w:vAlign w:val="center"/>
            <w:hideMark/>
          </w:tcPr>
          <w:p w14:paraId="7DACF1A5"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The contractor must demonstrate conformity with all sustainability criteria set out in the contract</w:t>
            </w:r>
          </w:p>
        </w:tc>
        <w:tc>
          <w:tcPr>
            <w:tcW w:w="0" w:type="auto"/>
            <w:vAlign w:val="center"/>
            <w:hideMark/>
          </w:tcPr>
          <w:p w14:paraId="6EBF5467" w14:textId="77777777" w:rsidR="00114432" w:rsidRPr="00114432" w:rsidRDefault="00114432" w:rsidP="00114432">
            <w:pPr>
              <w:spacing w:after="0" w:line="240" w:lineRule="auto"/>
              <w:rPr>
                <w:rFonts w:ascii="Times New Roman" w:eastAsia="Times New Roman" w:hAnsi="Times New Roman" w:cs="Times New Roman"/>
                <w:sz w:val="24"/>
                <w:szCs w:val="24"/>
                <w:lang w:eastAsia="en-GB"/>
              </w:rPr>
            </w:pPr>
            <w:r w:rsidRPr="00114432">
              <w:rPr>
                <w:rFonts w:ascii="Times New Roman" w:eastAsia="Times New Roman" w:hAnsi="Times New Roman" w:cs="Times New Roman"/>
                <w:sz w:val="24"/>
                <w:szCs w:val="24"/>
                <w:lang w:eastAsia="en-GB"/>
              </w:rPr>
              <w:t>Partners must continuously seek improved ways of increasing the sustainability of policies and activities</w:t>
            </w:r>
          </w:p>
        </w:tc>
      </w:tr>
    </w:tbl>
    <w:p w14:paraId="0DD3F0A6" w14:textId="77777777" w:rsidR="00114432" w:rsidRPr="00114432" w:rsidRDefault="00114432" w:rsidP="00114432">
      <w:pPr>
        <w:spacing w:before="240" w:after="0" w:line="240" w:lineRule="auto"/>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Now, however, he/she is also accountable to the other actors in the network, e.g. to affected citizen groups. Moreover, this might involve quite different accountability mechanisms, some of which might be quite informal, such as an expectation by community groups for ‘fair play’ in negotiations – this, of course, makes the accountability more complicated and can increase the (already large) potential for conflicts between governance principles.</w:t>
      </w:r>
    </w:p>
    <w:p w14:paraId="16C3DB16"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From this, one lesson is immediately clear – partnerships usually mean heterogeneity, not tidiness. Indeed, some authors (e.g. Loeffler, 1999) have gone further, suggesting that a major problem with the partnership approach to public issues is that it brings </w:t>
      </w:r>
      <w:r w:rsidRPr="00114432">
        <w:rPr>
          <w:rFonts w:ascii="LinLibertine" w:eastAsia="Times New Roman" w:hAnsi="LinLibertine" w:cs="Times New Roman"/>
          <w:i/>
          <w:iCs/>
          <w:color w:val="000000"/>
          <w:sz w:val="24"/>
          <w:szCs w:val="24"/>
          <w:lang w:eastAsia="en-GB"/>
        </w:rPr>
        <w:t>fragmentation of structures and processes</w:t>
      </w:r>
      <w:r w:rsidRPr="00114432">
        <w:rPr>
          <w:rFonts w:ascii="LinLibertine" w:eastAsia="Times New Roman" w:hAnsi="LinLibertine" w:cs="Times New Roman"/>
          <w:color w:val="000000"/>
          <w:sz w:val="24"/>
          <w:szCs w:val="24"/>
          <w:lang w:eastAsia="en-GB"/>
        </w:rPr>
        <w:t>, which in turn leads to </w:t>
      </w:r>
      <w:r w:rsidRPr="00114432">
        <w:rPr>
          <w:rFonts w:ascii="LinLibertine" w:eastAsia="Times New Roman" w:hAnsi="LinLibertine" w:cs="Times New Roman"/>
          <w:i/>
          <w:iCs/>
          <w:color w:val="000000"/>
          <w:sz w:val="24"/>
          <w:szCs w:val="24"/>
          <w:lang w:eastAsia="en-GB"/>
        </w:rPr>
        <w:t>blurring of responsibilities</w:t>
      </w:r>
      <w:r w:rsidRPr="00114432">
        <w:rPr>
          <w:rFonts w:ascii="LinLibertine" w:eastAsia="Times New Roman" w:hAnsi="LinLibertine" w:cs="Times New Roman"/>
          <w:color w:val="000000"/>
          <w:sz w:val="24"/>
          <w:szCs w:val="24"/>
          <w:lang w:eastAsia="en-GB"/>
        </w:rPr>
        <w:t> and of </w:t>
      </w:r>
      <w:r w:rsidRPr="00114432">
        <w:rPr>
          <w:rFonts w:ascii="LinLibertine" w:eastAsia="Times New Roman" w:hAnsi="LinLibertine" w:cs="Times New Roman"/>
          <w:i/>
          <w:iCs/>
          <w:color w:val="000000"/>
          <w:sz w:val="24"/>
          <w:szCs w:val="24"/>
          <w:lang w:eastAsia="en-GB"/>
        </w:rPr>
        <w:t>accountability</w:t>
      </w:r>
      <w:r w:rsidRPr="00114432">
        <w:rPr>
          <w:rFonts w:ascii="LinLibertine" w:eastAsia="Times New Roman" w:hAnsi="LinLibertine" w:cs="Times New Roman"/>
          <w:color w:val="000000"/>
          <w:sz w:val="24"/>
          <w:szCs w:val="24"/>
          <w:lang w:eastAsia="en-GB"/>
        </w:rPr>
        <w:t xml:space="preserve"> – as each agency has sacrificed some of its sovereignty in joining the partnership, it can also claim that the partnership, rather than itself, is the accountable body – yet there is often no direct mechanism by which these partnerships can be held accountable in a proper fashion. Such problems can be all the more acute when the partnership is reluctant to divulge information to outsiders on grounds of ‘commercial confidentiality’ (particularly in the case of partnerships that </w:t>
      </w:r>
      <w:r w:rsidRPr="00114432">
        <w:rPr>
          <w:rFonts w:ascii="LinLibertine" w:eastAsia="Times New Roman" w:hAnsi="LinLibertine" w:cs="Times New Roman"/>
          <w:color w:val="000000"/>
          <w:sz w:val="24"/>
          <w:szCs w:val="24"/>
          <w:lang w:eastAsia="en-GB"/>
        </w:rPr>
        <w:lastRenderedPageBreak/>
        <w:t>involve private firms) or ‘data protection’ (which can be used as a ground for secretiveness in virtually all partnerships).</w:t>
      </w:r>
    </w:p>
    <w:p w14:paraId="72B8991B"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Moreover, ensuring achievement of the principles of good governance in </w:t>
      </w:r>
      <w:hyperlink r:id="rId21" w:anchor="tab17_1" w:history="1">
        <w:r w:rsidRPr="00114432">
          <w:rPr>
            <w:rFonts w:ascii="LinLibertine" w:eastAsia="Times New Roman" w:hAnsi="LinLibertine" w:cs="Times New Roman"/>
            <w:color w:val="0000FF"/>
            <w:sz w:val="24"/>
            <w:szCs w:val="24"/>
            <w:u w:val="single"/>
            <w:lang w:eastAsia="en-GB"/>
          </w:rPr>
          <w:t>Table 17.1</w:t>
        </w:r>
      </w:hyperlink>
      <w:r w:rsidRPr="00114432">
        <w:rPr>
          <w:rFonts w:ascii="LinLibertine" w:eastAsia="Times New Roman" w:hAnsi="LinLibertine" w:cs="Times New Roman"/>
          <w:color w:val="000000"/>
          <w:sz w:val="24"/>
          <w:szCs w:val="24"/>
          <w:lang w:eastAsia="en-GB"/>
        </w:rPr>
        <w:t> is often very difficult in practice, even if they are agreed by all the actors. For example, PPPs are often claimed to have a design that will ensure that the public sector procuring body remains ultimately accountable – e.g. because it has responsibility for specifying outcomes and standards and monitoring performance. However, the dynamics of organizational behaviour mean that the actual level of ‘control’ between the procurer and the provider is often difficult to establish, with plenty of room for games-playing on both sides. We are still far from being able to assess the balance of achievements of partnerships in terms of ‘good governance’. All the more difficult is it to judge the overall cost-effectiveness of partnerships, weighing up both the governance and service improvement dimensions. And even where there is no alternative for partnerships, e.g. because policy problems require ‘joined-up’ activities of various actors, we need to decide which forms of partnership are likely to achieve the right balance between service improvements and good governance principles.</w:t>
      </w:r>
    </w:p>
    <w:p w14:paraId="2ED690E7" w14:textId="77777777" w:rsidR="00114432" w:rsidRPr="00114432" w:rsidRDefault="00114432" w:rsidP="00114432">
      <w:pPr>
        <w:spacing w:before="480" w:after="240" w:line="468" w:lineRule="atLeast"/>
        <w:outlineLvl w:val="1"/>
        <w:rPr>
          <w:rFonts w:ascii="LinLibertine" w:eastAsia="Times New Roman" w:hAnsi="LinLibertine" w:cs="Times New Roman"/>
          <w:b/>
          <w:bCs/>
          <w:color w:val="000000"/>
          <w:sz w:val="36"/>
          <w:szCs w:val="36"/>
          <w:lang w:eastAsia="en-GB"/>
        </w:rPr>
      </w:pPr>
      <w:r w:rsidRPr="00114432">
        <w:rPr>
          <w:rFonts w:ascii="LinLibertine" w:eastAsia="Times New Roman" w:hAnsi="LinLibertine" w:cs="Times New Roman"/>
          <w:b/>
          <w:bCs/>
          <w:color w:val="000000"/>
          <w:sz w:val="36"/>
          <w:szCs w:val="36"/>
          <w:lang w:eastAsia="en-GB"/>
        </w:rPr>
        <w:t>Summary</w:t>
      </w:r>
    </w:p>
    <w:p w14:paraId="7881BD90" w14:textId="77777777" w:rsidR="00114432" w:rsidRPr="00114432" w:rsidRDefault="00114432" w:rsidP="00114432">
      <w:pPr>
        <w:spacing w:before="240" w:after="0" w:line="240" w:lineRule="auto"/>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This chapter has argued that there are major advantages to partnership working in the public domain – but also some important dangers that need to be understood. Just as many case studies demonstrate that partnerships can have very successful outcomes, and that some problems can probably only be tackled by partnerships, often involving private sector partners, there are also some horror stories of where partnership working has gone wrong.</w:t>
      </w:r>
    </w:p>
    <w:p w14:paraId="245240BD"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It is important to recognize that most public service partnerships are still young and their success is not yet clear. For the moment, it is important to experiment with them, as with other approaches to managing the public good – and to watch the results with care, not simply monitoring their efficiency and cost-effectiveness but also subjecting them to stringent tests of how well they comply with appropriate criteria of public governance.</w:t>
      </w:r>
    </w:p>
    <w:p w14:paraId="028A5D38"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As the novelty of the ‘partnership’ fad wears off, it is likely that many partnerships will be seen to have been inefficient, even unnecessary. We can therefore expect to hear more often in the future the advice ‘Say “no” to partnerships, where they don’t help!’ Similarly, strategic partnerships will have to learn that it is not strategic to try to use partnership working for all activities that occur within their area.</w:t>
      </w:r>
    </w:p>
    <w:p w14:paraId="1126D68F"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Moreover, there is a big question mark over the degree of genuine ‘partnership’ that is the norm in many partnerships. The language of ‘relational contracting’ and ‘partnering’ may often be used in such arrangements, but actual relationships often appear to reflect traditional ‘transactional’ or even ‘confrontational’ contracting (Bovaird, 2004).</w:t>
      </w:r>
    </w:p>
    <w:p w14:paraId="1A01DBAF" w14:textId="77777777" w:rsidR="00114432" w:rsidRPr="00114432" w:rsidRDefault="00114432" w:rsidP="00114432">
      <w:pPr>
        <w:spacing w:after="0" w:line="240" w:lineRule="auto"/>
        <w:ind w:firstLine="24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Perhaps the key concern about partnerships, especially PPPs, is the extent to which their governance is appropriate for bodies that have command over the use of public money. The greatest challenge for partnership working is therefore to demonstrate that it can achieve the potential arising from collaborative efforts across many different types of organization, while still conforming to the basic principles of public governance.</w:t>
      </w:r>
    </w:p>
    <w:p w14:paraId="545587BD" w14:textId="77777777" w:rsidR="00114432" w:rsidRPr="00114432" w:rsidRDefault="00114432" w:rsidP="00114432">
      <w:pPr>
        <w:spacing w:before="480" w:after="240" w:line="468" w:lineRule="atLeast"/>
        <w:outlineLvl w:val="1"/>
        <w:rPr>
          <w:rFonts w:ascii="LinLibertine" w:eastAsia="Times New Roman" w:hAnsi="LinLibertine" w:cs="Times New Roman"/>
          <w:b/>
          <w:bCs/>
          <w:color w:val="000000"/>
          <w:sz w:val="36"/>
          <w:szCs w:val="36"/>
          <w:lang w:eastAsia="en-GB"/>
        </w:rPr>
      </w:pPr>
      <w:r w:rsidRPr="00114432">
        <w:rPr>
          <w:rFonts w:ascii="LinLibertine" w:eastAsia="Times New Roman" w:hAnsi="LinLibertine" w:cs="Times New Roman"/>
          <w:b/>
          <w:bCs/>
          <w:color w:val="000000"/>
          <w:sz w:val="36"/>
          <w:szCs w:val="36"/>
          <w:lang w:eastAsia="en-GB"/>
        </w:rPr>
        <w:t>Questions for review and discussion</w:t>
      </w:r>
    </w:p>
    <w:p w14:paraId="70453C38" w14:textId="77777777" w:rsidR="00114432" w:rsidRPr="00114432" w:rsidRDefault="00114432" w:rsidP="00114432">
      <w:pPr>
        <w:numPr>
          <w:ilvl w:val="0"/>
          <w:numId w:val="6"/>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lastRenderedPageBreak/>
        <w:t>What are the main reasons why partnerships may provide better results in the design and delivery of public services than agencies working alone?</w:t>
      </w:r>
    </w:p>
    <w:p w14:paraId="2B241307" w14:textId="77777777" w:rsidR="00114432" w:rsidRPr="00114432" w:rsidRDefault="00114432" w:rsidP="00114432">
      <w:pPr>
        <w:numPr>
          <w:ilvl w:val="0"/>
          <w:numId w:val="6"/>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What are the main governance issues that tend to make PPPs more controversial than other forms of public sector partnership working?</w:t>
      </w:r>
    </w:p>
    <w:p w14:paraId="21FAAF90" w14:textId="77777777" w:rsidR="00114432" w:rsidRPr="00114432" w:rsidRDefault="00114432" w:rsidP="00114432">
      <w:pPr>
        <w:spacing w:before="480" w:after="240" w:line="468" w:lineRule="atLeast"/>
        <w:outlineLvl w:val="1"/>
        <w:rPr>
          <w:rFonts w:ascii="LinLibertine" w:eastAsia="Times New Roman" w:hAnsi="LinLibertine" w:cs="Times New Roman"/>
          <w:b/>
          <w:bCs/>
          <w:color w:val="000000"/>
          <w:sz w:val="36"/>
          <w:szCs w:val="36"/>
          <w:lang w:eastAsia="en-GB"/>
        </w:rPr>
      </w:pPr>
      <w:r w:rsidRPr="00114432">
        <w:rPr>
          <w:rFonts w:ascii="LinLibertine" w:eastAsia="Times New Roman" w:hAnsi="LinLibertine" w:cs="Times New Roman"/>
          <w:b/>
          <w:bCs/>
          <w:color w:val="000000"/>
          <w:sz w:val="36"/>
          <w:szCs w:val="36"/>
          <w:lang w:eastAsia="en-GB"/>
        </w:rPr>
        <w:t>Reader exercises</w:t>
      </w:r>
    </w:p>
    <w:p w14:paraId="292DEDBF" w14:textId="77777777" w:rsidR="00114432" w:rsidRPr="00114432" w:rsidRDefault="00114432" w:rsidP="00114432">
      <w:pPr>
        <w:numPr>
          <w:ilvl w:val="0"/>
          <w:numId w:val="7"/>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How would you distinguish between the concepts ‘partnership working’, ‘collaboration’, ‘cooperation’ and ‘coordination’? Find authors in the literature who agree with your definitions and authors who disagree. Identify what factors seem to lie behind these disagreements.</w:t>
      </w:r>
    </w:p>
    <w:p w14:paraId="62068855" w14:textId="77777777" w:rsidR="00114432" w:rsidRPr="00114432" w:rsidRDefault="00114432" w:rsidP="00114432">
      <w:pPr>
        <w:numPr>
          <w:ilvl w:val="0"/>
          <w:numId w:val="7"/>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Examine copies of high-quality newspapers in your country and identify stories about services that are being delivered by a public service partnership. Can you identify any ways in which the transparency of these services has been hindered by virtue of their partnership form?</w:t>
      </w:r>
    </w:p>
    <w:p w14:paraId="2FA91DD1" w14:textId="77777777" w:rsidR="00114432" w:rsidRPr="00114432" w:rsidRDefault="00114432" w:rsidP="00114432">
      <w:pPr>
        <w:numPr>
          <w:ilvl w:val="0"/>
          <w:numId w:val="7"/>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In this chapter you will find many phrases which appear to praise PPPs and many which appear to criticize them. Examine them and try to identify the images which are used to make partnerships appear more – and less – attractive. How many of these images do you think could be justified by a rigorous evidence-based analysis – and which are likely to remain simply as ‘nudges’ to evoke emotional reactions in their audiences?</w:t>
      </w:r>
    </w:p>
    <w:p w14:paraId="05E994D9" w14:textId="77777777" w:rsidR="00114432" w:rsidRPr="00114432" w:rsidRDefault="00114432" w:rsidP="00114432">
      <w:pPr>
        <w:spacing w:before="480" w:after="240" w:line="468" w:lineRule="atLeast"/>
        <w:outlineLvl w:val="1"/>
        <w:rPr>
          <w:rFonts w:ascii="LinLibertine" w:eastAsia="Times New Roman" w:hAnsi="LinLibertine" w:cs="Times New Roman"/>
          <w:b/>
          <w:bCs/>
          <w:color w:val="000000"/>
          <w:sz w:val="36"/>
          <w:szCs w:val="36"/>
          <w:lang w:eastAsia="en-GB"/>
        </w:rPr>
      </w:pPr>
      <w:r w:rsidRPr="00114432">
        <w:rPr>
          <w:rFonts w:ascii="LinLibertine" w:eastAsia="Times New Roman" w:hAnsi="LinLibertine" w:cs="Times New Roman"/>
          <w:b/>
          <w:bCs/>
          <w:color w:val="000000"/>
          <w:sz w:val="36"/>
          <w:szCs w:val="36"/>
          <w:lang w:eastAsia="en-GB"/>
        </w:rPr>
        <w:t>Class exercise</w:t>
      </w:r>
    </w:p>
    <w:p w14:paraId="6D000BF7" w14:textId="77777777" w:rsidR="00114432" w:rsidRPr="00114432" w:rsidRDefault="00114432" w:rsidP="00114432">
      <w:pPr>
        <w:spacing w:before="240" w:after="0" w:line="240" w:lineRule="auto"/>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The class should break into groups of four to six people. Each group should identify a public service that is now being delivered by a partnership. For that partnership, the group should consider why a partnership might in theory be a better arrangement for the design and delivery of this service and should then collect evidence to see whether this potential has been borne out in practice. The groups should then compare their conclusions in a plenary discussion.</w:t>
      </w:r>
    </w:p>
    <w:p w14:paraId="35D7F958" w14:textId="77777777" w:rsidR="00114432" w:rsidRPr="00114432" w:rsidRDefault="00114432" w:rsidP="00114432">
      <w:pPr>
        <w:spacing w:before="480" w:after="240" w:line="468" w:lineRule="atLeast"/>
        <w:outlineLvl w:val="1"/>
        <w:rPr>
          <w:rFonts w:ascii="LinLibertine" w:eastAsia="Times New Roman" w:hAnsi="LinLibertine" w:cs="Times New Roman"/>
          <w:b/>
          <w:bCs/>
          <w:color w:val="000000"/>
          <w:sz w:val="36"/>
          <w:szCs w:val="36"/>
          <w:lang w:eastAsia="en-GB"/>
        </w:rPr>
      </w:pPr>
      <w:r w:rsidRPr="00114432">
        <w:rPr>
          <w:rFonts w:ascii="LinLibertine" w:eastAsia="Times New Roman" w:hAnsi="LinLibertine" w:cs="Times New Roman"/>
          <w:b/>
          <w:bCs/>
          <w:color w:val="000000"/>
          <w:sz w:val="36"/>
          <w:szCs w:val="36"/>
          <w:lang w:eastAsia="en-GB"/>
        </w:rPr>
        <w:t>Further reading</w:t>
      </w:r>
    </w:p>
    <w:p w14:paraId="39856D20"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Robert </w:t>
      </w:r>
      <w:proofErr w:type="spellStart"/>
      <w:r w:rsidRPr="00114432">
        <w:rPr>
          <w:rFonts w:ascii="LinLibertine" w:eastAsia="Times New Roman" w:hAnsi="LinLibertine" w:cs="Times New Roman"/>
          <w:color w:val="000000"/>
          <w:sz w:val="24"/>
          <w:szCs w:val="24"/>
          <w:lang w:eastAsia="en-GB"/>
        </w:rPr>
        <w:t>Agranoff</w:t>
      </w:r>
      <w:proofErr w:type="spellEnd"/>
      <w:r w:rsidRPr="00114432">
        <w:rPr>
          <w:rFonts w:ascii="LinLibertine" w:eastAsia="Times New Roman" w:hAnsi="LinLibertine" w:cs="Times New Roman"/>
          <w:color w:val="000000"/>
          <w:sz w:val="24"/>
          <w:szCs w:val="24"/>
          <w:lang w:eastAsia="en-GB"/>
        </w:rPr>
        <w:t xml:space="preserve"> (2007), </w:t>
      </w:r>
      <w:r w:rsidRPr="00114432">
        <w:rPr>
          <w:rFonts w:ascii="LinLibertine" w:eastAsia="Times New Roman" w:hAnsi="LinLibertine" w:cs="Times New Roman"/>
          <w:i/>
          <w:iCs/>
          <w:color w:val="000000"/>
          <w:sz w:val="24"/>
          <w:szCs w:val="24"/>
          <w:lang w:eastAsia="en-GB"/>
        </w:rPr>
        <w:t>Managing within networks: adding value to public organizations</w:t>
      </w:r>
      <w:r w:rsidRPr="00114432">
        <w:rPr>
          <w:rFonts w:ascii="LinLibertine" w:eastAsia="Times New Roman" w:hAnsi="LinLibertine" w:cs="Times New Roman"/>
          <w:color w:val="000000"/>
          <w:sz w:val="24"/>
          <w:szCs w:val="24"/>
          <w:lang w:eastAsia="en-GB"/>
        </w:rPr>
        <w:t>. Washington, DC: Georgetown University Press.</w:t>
      </w:r>
    </w:p>
    <w:p w14:paraId="4EB83B64"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Graeme Hodge, Carsten </w:t>
      </w:r>
      <w:proofErr w:type="spellStart"/>
      <w:r w:rsidRPr="00114432">
        <w:rPr>
          <w:rFonts w:ascii="LinLibertine" w:eastAsia="Times New Roman" w:hAnsi="LinLibertine" w:cs="Times New Roman"/>
          <w:color w:val="000000"/>
          <w:sz w:val="24"/>
          <w:szCs w:val="24"/>
          <w:lang w:eastAsia="en-GB"/>
        </w:rPr>
        <w:t>Greve</w:t>
      </w:r>
      <w:proofErr w:type="spellEnd"/>
      <w:r w:rsidRPr="00114432">
        <w:rPr>
          <w:rFonts w:ascii="LinLibertine" w:eastAsia="Times New Roman" w:hAnsi="LinLibertine" w:cs="Times New Roman"/>
          <w:color w:val="000000"/>
          <w:sz w:val="24"/>
          <w:szCs w:val="24"/>
          <w:lang w:eastAsia="en-GB"/>
        </w:rPr>
        <w:t xml:space="preserve"> and Anthony Boardman (2010), </w:t>
      </w:r>
      <w:r w:rsidRPr="00114432">
        <w:rPr>
          <w:rFonts w:ascii="LinLibertine" w:eastAsia="Times New Roman" w:hAnsi="LinLibertine" w:cs="Times New Roman"/>
          <w:i/>
          <w:iCs/>
          <w:color w:val="000000"/>
          <w:sz w:val="24"/>
          <w:szCs w:val="24"/>
          <w:lang w:eastAsia="en-GB"/>
        </w:rPr>
        <w:t>International handbook of public- private partnerships</w:t>
      </w:r>
      <w:r w:rsidRPr="00114432">
        <w:rPr>
          <w:rFonts w:ascii="LinLibertine" w:eastAsia="Times New Roman" w:hAnsi="LinLibertine" w:cs="Times New Roman"/>
          <w:color w:val="000000"/>
          <w:sz w:val="24"/>
          <w:szCs w:val="24"/>
          <w:lang w:eastAsia="en-GB"/>
        </w:rPr>
        <w:t>. Cheltenham: Edward Elgar.</w:t>
      </w:r>
    </w:p>
    <w:p w14:paraId="0CCB5235"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Chris </w:t>
      </w:r>
      <w:proofErr w:type="spellStart"/>
      <w:r w:rsidRPr="00114432">
        <w:rPr>
          <w:rFonts w:ascii="LinLibertine" w:eastAsia="Times New Roman" w:hAnsi="LinLibertine" w:cs="Times New Roman"/>
          <w:color w:val="000000"/>
          <w:sz w:val="24"/>
          <w:szCs w:val="24"/>
          <w:lang w:eastAsia="en-GB"/>
        </w:rPr>
        <w:t>Huxham</w:t>
      </w:r>
      <w:proofErr w:type="spellEnd"/>
      <w:r w:rsidRPr="00114432">
        <w:rPr>
          <w:rFonts w:ascii="LinLibertine" w:eastAsia="Times New Roman" w:hAnsi="LinLibertine" w:cs="Times New Roman"/>
          <w:color w:val="000000"/>
          <w:sz w:val="24"/>
          <w:szCs w:val="24"/>
          <w:lang w:eastAsia="en-GB"/>
        </w:rPr>
        <w:t xml:space="preserve"> and </w:t>
      </w:r>
      <w:proofErr w:type="spellStart"/>
      <w:r w:rsidRPr="00114432">
        <w:rPr>
          <w:rFonts w:ascii="LinLibertine" w:eastAsia="Times New Roman" w:hAnsi="LinLibertine" w:cs="Times New Roman"/>
          <w:color w:val="000000"/>
          <w:sz w:val="24"/>
          <w:szCs w:val="24"/>
          <w:lang w:eastAsia="en-GB"/>
        </w:rPr>
        <w:t>Siv</w:t>
      </w:r>
      <w:proofErr w:type="spellEnd"/>
      <w:r w:rsidRPr="00114432">
        <w:rPr>
          <w:rFonts w:ascii="LinLibertine" w:eastAsia="Times New Roman" w:hAnsi="LinLibertine" w:cs="Times New Roman"/>
          <w:color w:val="000000"/>
          <w:sz w:val="24"/>
          <w:szCs w:val="24"/>
          <w:lang w:eastAsia="en-GB"/>
        </w:rPr>
        <w:t xml:space="preserve"> </w:t>
      </w:r>
      <w:proofErr w:type="spellStart"/>
      <w:r w:rsidRPr="00114432">
        <w:rPr>
          <w:rFonts w:ascii="LinLibertine" w:eastAsia="Times New Roman" w:hAnsi="LinLibertine" w:cs="Times New Roman"/>
          <w:color w:val="000000"/>
          <w:sz w:val="24"/>
          <w:szCs w:val="24"/>
          <w:lang w:eastAsia="en-GB"/>
        </w:rPr>
        <w:t>Vangen</w:t>
      </w:r>
      <w:proofErr w:type="spellEnd"/>
      <w:r w:rsidRPr="00114432">
        <w:rPr>
          <w:rFonts w:ascii="LinLibertine" w:eastAsia="Times New Roman" w:hAnsi="LinLibertine" w:cs="Times New Roman"/>
          <w:color w:val="000000"/>
          <w:sz w:val="24"/>
          <w:szCs w:val="24"/>
          <w:lang w:eastAsia="en-GB"/>
        </w:rPr>
        <w:t xml:space="preserve"> (2005), </w:t>
      </w:r>
      <w:r w:rsidRPr="00114432">
        <w:rPr>
          <w:rFonts w:ascii="LinLibertine" w:eastAsia="Times New Roman" w:hAnsi="LinLibertine" w:cs="Times New Roman"/>
          <w:i/>
          <w:iCs/>
          <w:color w:val="000000"/>
          <w:sz w:val="24"/>
          <w:szCs w:val="24"/>
          <w:lang w:eastAsia="en-GB"/>
        </w:rPr>
        <w:t>Managing to collaborate: the theory and practice of collaborative advantage</w:t>
      </w:r>
      <w:r w:rsidRPr="00114432">
        <w:rPr>
          <w:rFonts w:ascii="LinLibertine" w:eastAsia="Times New Roman" w:hAnsi="LinLibertine" w:cs="Times New Roman"/>
          <w:color w:val="000000"/>
          <w:sz w:val="24"/>
          <w:szCs w:val="24"/>
          <w:lang w:eastAsia="en-GB"/>
        </w:rPr>
        <w:t>. London: Routledge.</w:t>
      </w:r>
    </w:p>
    <w:p w14:paraId="6F1D7DCA"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Kenneth Kernaghan (1993), ‘Partnership and public administration – conceptual and practical considerations’, </w:t>
      </w:r>
      <w:r w:rsidRPr="00114432">
        <w:rPr>
          <w:rFonts w:ascii="LinLibertine" w:eastAsia="Times New Roman" w:hAnsi="LinLibertine" w:cs="Times New Roman"/>
          <w:i/>
          <w:iCs/>
          <w:color w:val="000000"/>
          <w:sz w:val="24"/>
          <w:szCs w:val="24"/>
          <w:lang w:eastAsia="en-GB"/>
        </w:rPr>
        <w:t>Canadian Public Administration</w:t>
      </w:r>
      <w:r w:rsidRPr="00114432">
        <w:rPr>
          <w:rFonts w:ascii="LinLibertine" w:eastAsia="Times New Roman" w:hAnsi="LinLibertine" w:cs="Times New Roman"/>
          <w:color w:val="000000"/>
          <w:sz w:val="24"/>
          <w:szCs w:val="24"/>
          <w:lang w:eastAsia="en-GB"/>
        </w:rPr>
        <w:t>, 36 (1): 57–76.</w:t>
      </w:r>
    </w:p>
    <w:p w14:paraId="596F939C"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Erik-Hans </w:t>
      </w:r>
      <w:proofErr w:type="spellStart"/>
      <w:r w:rsidRPr="00114432">
        <w:rPr>
          <w:rFonts w:ascii="LinLibertine" w:eastAsia="Times New Roman" w:hAnsi="LinLibertine" w:cs="Times New Roman"/>
          <w:color w:val="000000"/>
          <w:sz w:val="24"/>
          <w:szCs w:val="24"/>
          <w:lang w:eastAsia="en-GB"/>
        </w:rPr>
        <w:t>Klijn</w:t>
      </w:r>
      <w:proofErr w:type="spellEnd"/>
      <w:r w:rsidRPr="00114432">
        <w:rPr>
          <w:rFonts w:ascii="LinLibertine" w:eastAsia="Times New Roman" w:hAnsi="LinLibertine" w:cs="Times New Roman"/>
          <w:color w:val="000000"/>
          <w:sz w:val="24"/>
          <w:szCs w:val="24"/>
          <w:lang w:eastAsia="en-GB"/>
        </w:rPr>
        <w:t xml:space="preserve"> and </w:t>
      </w:r>
      <w:proofErr w:type="spellStart"/>
      <w:r w:rsidRPr="00114432">
        <w:rPr>
          <w:rFonts w:ascii="LinLibertine" w:eastAsia="Times New Roman" w:hAnsi="LinLibertine" w:cs="Times New Roman"/>
          <w:color w:val="000000"/>
          <w:sz w:val="24"/>
          <w:szCs w:val="24"/>
          <w:lang w:eastAsia="en-GB"/>
        </w:rPr>
        <w:t>Joop</w:t>
      </w:r>
      <w:proofErr w:type="spellEnd"/>
      <w:r w:rsidRPr="00114432">
        <w:rPr>
          <w:rFonts w:ascii="LinLibertine" w:eastAsia="Times New Roman" w:hAnsi="LinLibertine" w:cs="Times New Roman"/>
          <w:color w:val="000000"/>
          <w:sz w:val="24"/>
          <w:szCs w:val="24"/>
          <w:lang w:eastAsia="en-GB"/>
        </w:rPr>
        <w:t xml:space="preserve"> </w:t>
      </w:r>
      <w:proofErr w:type="spellStart"/>
      <w:r w:rsidRPr="00114432">
        <w:rPr>
          <w:rFonts w:ascii="LinLibertine" w:eastAsia="Times New Roman" w:hAnsi="LinLibertine" w:cs="Times New Roman"/>
          <w:color w:val="000000"/>
          <w:sz w:val="24"/>
          <w:szCs w:val="24"/>
          <w:lang w:eastAsia="en-GB"/>
        </w:rPr>
        <w:t>Koppenjan</w:t>
      </w:r>
      <w:proofErr w:type="spellEnd"/>
      <w:r w:rsidRPr="00114432">
        <w:rPr>
          <w:rFonts w:ascii="LinLibertine" w:eastAsia="Times New Roman" w:hAnsi="LinLibertine" w:cs="Times New Roman"/>
          <w:color w:val="000000"/>
          <w:sz w:val="24"/>
          <w:szCs w:val="24"/>
          <w:lang w:eastAsia="en-GB"/>
        </w:rPr>
        <w:t xml:space="preserve"> (2015), </w:t>
      </w:r>
      <w:r w:rsidRPr="00114432">
        <w:rPr>
          <w:rFonts w:ascii="LinLibertine" w:eastAsia="Times New Roman" w:hAnsi="LinLibertine" w:cs="Times New Roman"/>
          <w:i/>
          <w:iCs/>
          <w:color w:val="000000"/>
          <w:sz w:val="24"/>
          <w:szCs w:val="24"/>
          <w:lang w:eastAsia="en-GB"/>
        </w:rPr>
        <w:t>Governance networks in the public sector</w:t>
      </w:r>
      <w:r w:rsidRPr="00114432">
        <w:rPr>
          <w:rFonts w:ascii="LinLibertine" w:eastAsia="Times New Roman" w:hAnsi="LinLibertine" w:cs="Times New Roman"/>
          <w:color w:val="000000"/>
          <w:sz w:val="24"/>
          <w:szCs w:val="24"/>
          <w:lang w:eastAsia="en-GB"/>
        </w:rPr>
        <w:t>. London: Routledge.</w:t>
      </w:r>
    </w:p>
    <w:p w14:paraId="287EB0CC"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Lester M. </w:t>
      </w:r>
      <w:proofErr w:type="spellStart"/>
      <w:r w:rsidRPr="00114432">
        <w:rPr>
          <w:rFonts w:ascii="LinLibertine" w:eastAsia="Times New Roman" w:hAnsi="LinLibertine" w:cs="Times New Roman"/>
          <w:color w:val="000000"/>
          <w:sz w:val="24"/>
          <w:szCs w:val="24"/>
          <w:lang w:eastAsia="en-GB"/>
        </w:rPr>
        <w:t>Salamon</w:t>
      </w:r>
      <w:proofErr w:type="spellEnd"/>
      <w:r w:rsidRPr="00114432">
        <w:rPr>
          <w:rFonts w:ascii="LinLibertine" w:eastAsia="Times New Roman" w:hAnsi="LinLibertine" w:cs="Times New Roman"/>
          <w:color w:val="000000"/>
          <w:sz w:val="24"/>
          <w:szCs w:val="24"/>
          <w:lang w:eastAsia="en-GB"/>
        </w:rPr>
        <w:t xml:space="preserve"> (1995), </w:t>
      </w:r>
      <w:r w:rsidRPr="00114432">
        <w:rPr>
          <w:rFonts w:ascii="LinLibertine" w:eastAsia="Times New Roman" w:hAnsi="LinLibertine" w:cs="Times New Roman"/>
          <w:i/>
          <w:iCs/>
          <w:color w:val="000000"/>
          <w:sz w:val="24"/>
          <w:szCs w:val="24"/>
          <w:lang w:eastAsia="en-GB"/>
        </w:rPr>
        <w:t>Partners in public service: government-</w:t>
      </w:r>
      <w:proofErr w:type="spellStart"/>
      <w:r w:rsidRPr="00114432">
        <w:rPr>
          <w:rFonts w:ascii="LinLibertine" w:eastAsia="Times New Roman" w:hAnsi="LinLibertine" w:cs="Times New Roman"/>
          <w:i/>
          <w:iCs/>
          <w:color w:val="000000"/>
          <w:sz w:val="24"/>
          <w:szCs w:val="24"/>
          <w:lang w:eastAsia="en-GB"/>
        </w:rPr>
        <w:t>nonprofit</w:t>
      </w:r>
      <w:proofErr w:type="spellEnd"/>
      <w:r w:rsidRPr="00114432">
        <w:rPr>
          <w:rFonts w:ascii="LinLibertine" w:eastAsia="Times New Roman" w:hAnsi="LinLibertine" w:cs="Times New Roman"/>
          <w:i/>
          <w:iCs/>
          <w:color w:val="000000"/>
          <w:sz w:val="24"/>
          <w:szCs w:val="24"/>
          <w:lang w:eastAsia="en-GB"/>
        </w:rPr>
        <w:t xml:space="preserve"> relations in the modern welfare state</w:t>
      </w:r>
      <w:r w:rsidRPr="00114432">
        <w:rPr>
          <w:rFonts w:ascii="LinLibertine" w:eastAsia="Times New Roman" w:hAnsi="LinLibertine" w:cs="Times New Roman"/>
          <w:color w:val="000000"/>
          <w:sz w:val="24"/>
          <w:szCs w:val="24"/>
          <w:lang w:eastAsia="en-GB"/>
        </w:rPr>
        <w:t>. Baltimore, MD: Johns Hopkins University Press.</w:t>
      </w:r>
    </w:p>
    <w:p w14:paraId="1F5155E2"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lastRenderedPageBreak/>
        <w:t xml:space="preserve">Helen Sullivan and Chris </w:t>
      </w:r>
      <w:proofErr w:type="spellStart"/>
      <w:r w:rsidRPr="00114432">
        <w:rPr>
          <w:rFonts w:ascii="LinLibertine" w:eastAsia="Times New Roman" w:hAnsi="LinLibertine" w:cs="Times New Roman"/>
          <w:color w:val="000000"/>
          <w:sz w:val="24"/>
          <w:szCs w:val="24"/>
          <w:lang w:eastAsia="en-GB"/>
        </w:rPr>
        <w:t>Skelcher</w:t>
      </w:r>
      <w:proofErr w:type="spellEnd"/>
      <w:r w:rsidRPr="00114432">
        <w:rPr>
          <w:rFonts w:ascii="LinLibertine" w:eastAsia="Times New Roman" w:hAnsi="LinLibertine" w:cs="Times New Roman"/>
          <w:color w:val="000000"/>
          <w:sz w:val="24"/>
          <w:szCs w:val="24"/>
          <w:lang w:eastAsia="en-GB"/>
        </w:rPr>
        <w:t xml:space="preserve"> (2002), </w:t>
      </w:r>
      <w:r w:rsidRPr="00114432">
        <w:rPr>
          <w:rFonts w:ascii="LinLibertine" w:eastAsia="Times New Roman" w:hAnsi="LinLibertine" w:cs="Times New Roman"/>
          <w:i/>
          <w:iCs/>
          <w:color w:val="000000"/>
          <w:sz w:val="24"/>
          <w:szCs w:val="24"/>
          <w:lang w:eastAsia="en-GB"/>
        </w:rPr>
        <w:t>Working across boundaries: collaboration in public services</w:t>
      </w:r>
      <w:r w:rsidRPr="00114432">
        <w:rPr>
          <w:rFonts w:ascii="LinLibertine" w:eastAsia="Times New Roman" w:hAnsi="LinLibertine" w:cs="Times New Roman"/>
          <w:color w:val="000000"/>
          <w:sz w:val="24"/>
          <w:szCs w:val="24"/>
          <w:lang w:eastAsia="en-GB"/>
        </w:rPr>
        <w:t>. Basingstoke: Palgrave Macmillan.</w:t>
      </w:r>
    </w:p>
    <w:p w14:paraId="0E58756E"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Oliver Williamson (1975), </w:t>
      </w:r>
      <w:r w:rsidRPr="00114432">
        <w:rPr>
          <w:rFonts w:ascii="LinLibertine" w:eastAsia="Times New Roman" w:hAnsi="LinLibertine" w:cs="Times New Roman"/>
          <w:i/>
          <w:iCs/>
          <w:color w:val="000000"/>
          <w:sz w:val="24"/>
          <w:szCs w:val="24"/>
          <w:lang w:eastAsia="en-GB"/>
        </w:rPr>
        <w:t>Markets and hierarchies: analysis and antitrust implications</w:t>
      </w:r>
      <w:r w:rsidRPr="00114432">
        <w:rPr>
          <w:rFonts w:ascii="LinLibertine" w:eastAsia="Times New Roman" w:hAnsi="LinLibertine" w:cs="Times New Roman"/>
          <w:color w:val="000000"/>
          <w:sz w:val="24"/>
          <w:szCs w:val="24"/>
          <w:lang w:eastAsia="en-GB"/>
        </w:rPr>
        <w:t>. New York: Free Press.</w:t>
      </w:r>
    </w:p>
    <w:p w14:paraId="729DA485" w14:textId="77777777" w:rsidR="00114432" w:rsidRPr="00114432" w:rsidRDefault="00114432" w:rsidP="00114432">
      <w:pPr>
        <w:spacing w:before="480" w:after="240" w:line="468" w:lineRule="atLeast"/>
        <w:outlineLvl w:val="1"/>
        <w:rPr>
          <w:rFonts w:ascii="LinLibertine" w:eastAsia="Times New Roman" w:hAnsi="LinLibertine" w:cs="Times New Roman"/>
          <w:b/>
          <w:bCs/>
          <w:color w:val="000000"/>
          <w:sz w:val="36"/>
          <w:szCs w:val="36"/>
          <w:lang w:eastAsia="en-GB"/>
        </w:rPr>
      </w:pPr>
      <w:r w:rsidRPr="00114432">
        <w:rPr>
          <w:rFonts w:ascii="LinLibertine" w:eastAsia="Times New Roman" w:hAnsi="LinLibertine" w:cs="Times New Roman"/>
          <w:b/>
          <w:bCs/>
          <w:color w:val="000000"/>
          <w:sz w:val="36"/>
          <w:szCs w:val="36"/>
          <w:lang w:eastAsia="en-GB"/>
        </w:rPr>
        <w:t>References</w:t>
      </w:r>
    </w:p>
    <w:p w14:paraId="24BD7EED"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J. Ball (1999), ‘Marketing a concept abroad’, </w:t>
      </w:r>
      <w:r w:rsidRPr="00114432">
        <w:rPr>
          <w:rFonts w:ascii="LinLibertine" w:eastAsia="Times New Roman" w:hAnsi="LinLibertine" w:cs="Times New Roman"/>
          <w:i/>
          <w:iCs/>
          <w:color w:val="000000"/>
          <w:sz w:val="24"/>
          <w:szCs w:val="24"/>
          <w:lang w:eastAsia="en-GB"/>
        </w:rPr>
        <w:t>Project Finance</w:t>
      </w:r>
      <w:r w:rsidRPr="00114432">
        <w:rPr>
          <w:rFonts w:ascii="LinLibertine" w:eastAsia="Times New Roman" w:hAnsi="LinLibertine" w:cs="Times New Roman"/>
          <w:color w:val="000000"/>
          <w:sz w:val="24"/>
          <w:szCs w:val="24"/>
          <w:lang w:eastAsia="en-GB"/>
        </w:rPr>
        <w:t xml:space="preserve">, 193: 18–19. Cited in </w:t>
      </w:r>
      <w:proofErr w:type="spellStart"/>
      <w:r w:rsidRPr="00114432">
        <w:rPr>
          <w:rFonts w:ascii="LinLibertine" w:eastAsia="Times New Roman" w:hAnsi="LinLibertine" w:cs="Times New Roman"/>
          <w:color w:val="000000"/>
          <w:sz w:val="24"/>
          <w:szCs w:val="24"/>
          <w:lang w:eastAsia="en-GB"/>
        </w:rPr>
        <w:t>Akintola</w:t>
      </w:r>
      <w:proofErr w:type="spellEnd"/>
      <w:r w:rsidRPr="00114432">
        <w:rPr>
          <w:rFonts w:ascii="LinLibertine" w:eastAsia="Times New Roman" w:hAnsi="LinLibertine" w:cs="Times New Roman"/>
          <w:color w:val="000000"/>
          <w:sz w:val="24"/>
          <w:szCs w:val="24"/>
          <w:lang w:eastAsia="en-GB"/>
        </w:rPr>
        <w:t xml:space="preserve"> </w:t>
      </w:r>
      <w:proofErr w:type="spellStart"/>
      <w:r w:rsidRPr="00114432">
        <w:rPr>
          <w:rFonts w:ascii="LinLibertine" w:eastAsia="Times New Roman" w:hAnsi="LinLibertine" w:cs="Times New Roman"/>
          <w:color w:val="000000"/>
          <w:sz w:val="24"/>
          <w:szCs w:val="24"/>
          <w:lang w:eastAsia="en-GB"/>
        </w:rPr>
        <w:t>Akintoye</w:t>
      </w:r>
      <w:proofErr w:type="spellEnd"/>
      <w:r w:rsidRPr="00114432">
        <w:rPr>
          <w:rFonts w:ascii="LinLibertine" w:eastAsia="Times New Roman" w:hAnsi="LinLibertine" w:cs="Times New Roman"/>
          <w:color w:val="000000"/>
          <w:sz w:val="24"/>
          <w:szCs w:val="24"/>
          <w:lang w:eastAsia="en-GB"/>
        </w:rPr>
        <w:t xml:space="preserve"> Matthias Beck Cliff Hardcastle (eds) (2003), </w:t>
      </w:r>
      <w:r w:rsidRPr="00114432">
        <w:rPr>
          <w:rFonts w:ascii="LinLibertine" w:eastAsia="Times New Roman" w:hAnsi="LinLibertine" w:cs="Times New Roman"/>
          <w:i/>
          <w:iCs/>
          <w:color w:val="000000"/>
          <w:sz w:val="24"/>
          <w:szCs w:val="24"/>
          <w:lang w:eastAsia="en-GB"/>
        </w:rPr>
        <w:t>Public-private partnerships: managing risks and opportunities</w:t>
      </w:r>
      <w:r w:rsidRPr="00114432">
        <w:rPr>
          <w:rFonts w:ascii="LinLibertine" w:eastAsia="Times New Roman" w:hAnsi="LinLibertine" w:cs="Times New Roman"/>
          <w:color w:val="000000"/>
          <w:sz w:val="24"/>
          <w:szCs w:val="24"/>
          <w:lang w:eastAsia="en-GB"/>
        </w:rPr>
        <w:t>. Oxford: Blackwell.</w:t>
      </w:r>
    </w:p>
    <w:p w14:paraId="14BB0046"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Tony Bovaird (2004), ‘Public private partnerships: from contested concepts to prevalent practice’, </w:t>
      </w:r>
      <w:r w:rsidRPr="00114432">
        <w:rPr>
          <w:rFonts w:ascii="LinLibertine" w:eastAsia="Times New Roman" w:hAnsi="LinLibertine" w:cs="Times New Roman"/>
          <w:i/>
          <w:iCs/>
          <w:color w:val="000000"/>
          <w:sz w:val="24"/>
          <w:szCs w:val="24"/>
          <w:lang w:eastAsia="en-GB"/>
        </w:rPr>
        <w:t>International Review of Administrative Sciences</w:t>
      </w:r>
      <w:r w:rsidRPr="00114432">
        <w:rPr>
          <w:rFonts w:ascii="LinLibertine" w:eastAsia="Times New Roman" w:hAnsi="LinLibertine" w:cs="Times New Roman"/>
          <w:color w:val="000000"/>
          <w:sz w:val="24"/>
          <w:szCs w:val="24"/>
          <w:lang w:eastAsia="en-GB"/>
        </w:rPr>
        <w:t>, 70 (2): 199–215.</w:t>
      </w:r>
    </w:p>
    <w:p w14:paraId="65063D6B"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Tony Bovaird (2006), ‘Developing new relationships with the “market” in the procurement of public services’, </w:t>
      </w:r>
      <w:r w:rsidRPr="00114432">
        <w:rPr>
          <w:rFonts w:ascii="LinLibertine" w:eastAsia="Times New Roman" w:hAnsi="LinLibertine" w:cs="Times New Roman"/>
          <w:i/>
          <w:iCs/>
          <w:color w:val="000000"/>
          <w:sz w:val="24"/>
          <w:szCs w:val="24"/>
          <w:lang w:eastAsia="en-GB"/>
        </w:rPr>
        <w:t>Public Administration</w:t>
      </w:r>
      <w:r w:rsidRPr="00114432">
        <w:rPr>
          <w:rFonts w:ascii="LinLibertine" w:eastAsia="Times New Roman" w:hAnsi="LinLibertine" w:cs="Times New Roman"/>
          <w:color w:val="000000"/>
          <w:sz w:val="24"/>
          <w:szCs w:val="24"/>
          <w:lang w:eastAsia="en-GB"/>
        </w:rPr>
        <w:t>, 84 (1): 81–102.</w:t>
      </w:r>
    </w:p>
    <w:p w14:paraId="3B6F105B"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Tony Bovaird (2010), ‘A brief intellectual history of the PPP movement’, in Graeme Hodge Carsten </w:t>
      </w:r>
      <w:proofErr w:type="spellStart"/>
      <w:r w:rsidRPr="00114432">
        <w:rPr>
          <w:rFonts w:ascii="LinLibertine" w:eastAsia="Times New Roman" w:hAnsi="LinLibertine" w:cs="Times New Roman"/>
          <w:color w:val="000000"/>
          <w:sz w:val="24"/>
          <w:szCs w:val="24"/>
          <w:lang w:eastAsia="en-GB"/>
        </w:rPr>
        <w:t>Greve</w:t>
      </w:r>
      <w:proofErr w:type="spellEnd"/>
      <w:r w:rsidRPr="00114432">
        <w:rPr>
          <w:rFonts w:ascii="LinLibertine" w:eastAsia="Times New Roman" w:hAnsi="LinLibertine" w:cs="Times New Roman"/>
          <w:color w:val="000000"/>
          <w:sz w:val="24"/>
          <w:szCs w:val="24"/>
          <w:lang w:eastAsia="en-GB"/>
        </w:rPr>
        <w:t xml:space="preserve"> Anthony Boardman (</w:t>
      </w:r>
      <w:proofErr w:type="spellStart"/>
      <w:r w:rsidRPr="00114432">
        <w:rPr>
          <w:rFonts w:ascii="LinLibertine" w:eastAsia="Times New Roman" w:hAnsi="LinLibertine" w:cs="Times New Roman"/>
          <w:color w:val="000000"/>
          <w:sz w:val="24"/>
          <w:szCs w:val="24"/>
          <w:lang w:eastAsia="en-GB"/>
        </w:rPr>
        <w:t>eds</w:t>
      </w:r>
      <w:proofErr w:type="spellEnd"/>
      <w:r w:rsidRPr="00114432">
        <w:rPr>
          <w:rFonts w:ascii="LinLibertine" w:eastAsia="Times New Roman" w:hAnsi="LinLibertine" w:cs="Times New Roman"/>
          <w:color w:val="000000"/>
          <w:sz w:val="24"/>
          <w:szCs w:val="24"/>
          <w:lang w:eastAsia="en-GB"/>
        </w:rPr>
        <w:t>), </w:t>
      </w:r>
      <w:r w:rsidRPr="00114432">
        <w:rPr>
          <w:rFonts w:ascii="LinLibertine" w:eastAsia="Times New Roman" w:hAnsi="LinLibertine" w:cs="Times New Roman"/>
          <w:i/>
          <w:iCs/>
          <w:color w:val="000000"/>
          <w:sz w:val="24"/>
          <w:szCs w:val="24"/>
          <w:lang w:eastAsia="en-GB"/>
        </w:rPr>
        <w:t>International handbook on public-private-partnerships</w:t>
      </w:r>
      <w:r w:rsidRPr="00114432">
        <w:rPr>
          <w:rFonts w:ascii="LinLibertine" w:eastAsia="Times New Roman" w:hAnsi="LinLibertine" w:cs="Times New Roman"/>
          <w:color w:val="000000"/>
          <w:sz w:val="24"/>
          <w:szCs w:val="24"/>
          <w:lang w:eastAsia="en-GB"/>
        </w:rPr>
        <w:t>. Cheltenham: Edward Elgar.</w:t>
      </w:r>
    </w:p>
    <w:p w14:paraId="2ED34EC6"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Tony Bovaird (2014), ‘Efficiency in third sector partnerships for delivering local government services: the role of economies of scale, scope and learning’, </w:t>
      </w:r>
      <w:r w:rsidRPr="00114432">
        <w:rPr>
          <w:rFonts w:ascii="LinLibertine" w:eastAsia="Times New Roman" w:hAnsi="LinLibertine" w:cs="Times New Roman"/>
          <w:i/>
          <w:iCs/>
          <w:color w:val="000000"/>
          <w:sz w:val="24"/>
          <w:szCs w:val="24"/>
          <w:lang w:eastAsia="en-GB"/>
        </w:rPr>
        <w:t>Public Management Review</w:t>
      </w:r>
      <w:r w:rsidRPr="00114432">
        <w:rPr>
          <w:rFonts w:ascii="LinLibertine" w:eastAsia="Times New Roman" w:hAnsi="LinLibertine" w:cs="Times New Roman"/>
          <w:color w:val="000000"/>
          <w:sz w:val="24"/>
          <w:szCs w:val="24"/>
          <w:lang w:eastAsia="en-GB"/>
        </w:rPr>
        <w:t>, 16 (8): 1067–1090.</w:t>
      </w:r>
    </w:p>
    <w:p w14:paraId="7B81C1FD"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Tony Bovaird and Elke Loeffler (2007), ‘Assessing the quality of local governance: a case study of public services’, </w:t>
      </w:r>
      <w:r w:rsidRPr="00114432">
        <w:rPr>
          <w:rFonts w:ascii="LinLibertine" w:eastAsia="Times New Roman" w:hAnsi="LinLibertine" w:cs="Times New Roman"/>
          <w:i/>
          <w:iCs/>
          <w:color w:val="000000"/>
          <w:sz w:val="24"/>
          <w:szCs w:val="24"/>
          <w:lang w:eastAsia="en-GB"/>
        </w:rPr>
        <w:t>Public Money and Management</w:t>
      </w:r>
      <w:r w:rsidRPr="00114432">
        <w:rPr>
          <w:rFonts w:ascii="LinLibertine" w:eastAsia="Times New Roman" w:hAnsi="LinLibertine" w:cs="Times New Roman"/>
          <w:color w:val="000000"/>
          <w:sz w:val="24"/>
          <w:szCs w:val="24"/>
          <w:lang w:eastAsia="en-GB"/>
        </w:rPr>
        <w:t>, 27 (4): 293–300.</w:t>
      </w:r>
    </w:p>
    <w:p w14:paraId="3BFC12BA"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J. Burnham (2001), ‘Local public-private partnerships in France: rarely disputed, scarcely competitive, weakly regulated’, </w:t>
      </w:r>
      <w:r w:rsidRPr="00114432">
        <w:rPr>
          <w:rFonts w:ascii="LinLibertine" w:eastAsia="Times New Roman" w:hAnsi="LinLibertine" w:cs="Times New Roman"/>
          <w:i/>
          <w:iCs/>
          <w:color w:val="000000"/>
          <w:sz w:val="24"/>
          <w:szCs w:val="24"/>
          <w:lang w:eastAsia="en-GB"/>
        </w:rPr>
        <w:t>Public Policy and Administration</w:t>
      </w:r>
      <w:r w:rsidRPr="00114432">
        <w:rPr>
          <w:rFonts w:ascii="LinLibertine" w:eastAsia="Times New Roman" w:hAnsi="LinLibertine" w:cs="Times New Roman"/>
          <w:color w:val="000000"/>
          <w:sz w:val="24"/>
          <w:szCs w:val="24"/>
          <w:lang w:eastAsia="en-GB"/>
        </w:rPr>
        <w:t>, 16 (4): 47–60.</w:t>
      </w:r>
    </w:p>
    <w:p w14:paraId="50674150"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R.S. </w:t>
      </w:r>
      <w:proofErr w:type="spellStart"/>
      <w:r w:rsidRPr="00114432">
        <w:rPr>
          <w:rFonts w:ascii="LinLibertine" w:eastAsia="Times New Roman" w:hAnsi="LinLibertine" w:cs="Times New Roman"/>
          <w:color w:val="000000"/>
          <w:sz w:val="24"/>
          <w:szCs w:val="24"/>
          <w:lang w:eastAsia="en-GB"/>
        </w:rPr>
        <w:t>Fosler</w:t>
      </w:r>
      <w:proofErr w:type="spellEnd"/>
      <w:r w:rsidRPr="00114432">
        <w:rPr>
          <w:rFonts w:ascii="LinLibertine" w:eastAsia="Times New Roman" w:hAnsi="LinLibertine" w:cs="Times New Roman"/>
          <w:color w:val="000000"/>
          <w:sz w:val="24"/>
          <w:szCs w:val="24"/>
          <w:lang w:eastAsia="en-GB"/>
        </w:rPr>
        <w:t xml:space="preserve"> R.A. Berger (</w:t>
      </w:r>
      <w:proofErr w:type="spellStart"/>
      <w:r w:rsidRPr="00114432">
        <w:rPr>
          <w:rFonts w:ascii="LinLibertine" w:eastAsia="Times New Roman" w:hAnsi="LinLibertine" w:cs="Times New Roman"/>
          <w:color w:val="000000"/>
          <w:sz w:val="24"/>
          <w:szCs w:val="24"/>
          <w:lang w:eastAsia="en-GB"/>
        </w:rPr>
        <w:t>eds</w:t>
      </w:r>
      <w:proofErr w:type="spellEnd"/>
      <w:r w:rsidRPr="00114432">
        <w:rPr>
          <w:rFonts w:ascii="LinLibertine" w:eastAsia="Times New Roman" w:hAnsi="LinLibertine" w:cs="Times New Roman"/>
          <w:color w:val="000000"/>
          <w:sz w:val="24"/>
          <w:szCs w:val="24"/>
          <w:lang w:eastAsia="en-GB"/>
        </w:rPr>
        <w:t>) (1982), </w:t>
      </w:r>
      <w:r w:rsidRPr="00114432">
        <w:rPr>
          <w:rFonts w:ascii="LinLibertine" w:eastAsia="Times New Roman" w:hAnsi="LinLibertine" w:cs="Times New Roman"/>
          <w:i/>
          <w:iCs/>
          <w:color w:val="000000"/>
          <w:sz w:val="24"/>
          <w:szCs w:val="24"/>
          <w:lang w:eastAsia="en-GB"/>
        </w:rPr>
        <w:t>Public-private partnership in American cities: seven case studies</w:t>
      </w:r>
      <w:r w:rsidRPr="00114432">
        <w:rPr>
          <w:rFonts w:ascii="LinLibertine" w:eastAsia="Times New Roman" w:hAnsi="LinLibertine" w:cs="Times New Roman"/>
          <w:color w:val="000000"/>
          <w:sz w:val="24"/>
          <w:szCs w:val="24"/>
          <w:lang w:eastAsia="en-GB"/>
        </w:rPr>
        <w:t>. Lexington, MA: Lexington Press.</w:t>
      </w:r>
    </w:p>
    <w:p w14:paraId="24416871"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Graeme Hodge Carsten </w:t>
      </w:r>
      <w:proofErr w:type="spellStart"/>
      <w:r w:rsidRPr="00114432">
        <w:rPr>
          <w:rFonts w:ascii="LinLibertine" w:eastAsia="Times New Roman" w:hAnsi="LinLibertine" w:cs="Times New Roman"/>
          <w:color w:val="000000"/>
          <w:sz w:val="24"/>
          <w:szCs w:val="24"/>
          <w:lang w:eastAsia="en-GB"/>
        </w:rPr>
        <w:t>Greve</w:t>
      </w:r>
      <w:proofErr w:type="spellEnd"/>
      <w:r w:rsidRPr="00114432">
        <w:rPr>
          <w:rFonts w:ascii="LinLibertine" w:eastAsia="Times New Roman" w:hAnsi="LinLibertine" w:cs="Times New Roman"/>
          <w:color w:val="000000"/>
          <w:sz w:val="24"/>
          <w:szCs w:val="24"/>
          <w:lang w:eastAsia="en-GB"/>
        </w:rPr>
        <w:t xml:space="preserve"> Anthony Boardman (</w:t>
      </w:r>
      <w:proofErr w:type="spellStart"/>
      <w:r w:rsidRPr="00114432">
        <w:rPr>
          <w:rFonts w:ascii="LinLibertine" w:eastAsia="Times New Roman" w:hAnsi="LinLibertine" w:cs="Times New Roman"/>
          <w:color w:val="000000"/>
          <w:sz w:val="24"/>
          <w:szCs w:val="24"/>
          <w:lang w:eastAsia="en-GB"/>
        </w:rPr>
        <w:t>eds</w:t>
      </w:r>
      <w:proofErr w:type="spellEnd"/>
      <w:r w:rsidRPr="00114432">
        <w:rPr>
          <w:rFonts w:ascii="LinLibertine" w:eastAsia="Times New Roman" w:hAnsi="LinLibertine" w:cs="Times New Roman"/>
          <w:color w:val="000000"/>
          <w:sz w:val="24"/>
          <w:szCs w:val="24"/>
          <w:lang w:eastAsia="en-GB"/>
        </w:rPr>
        <w:t>) (2010), </w:t>
      </w:r>
      <w:r w:rsidRPr="00114432">
        <w:rPr>
          <w:rFonts w:ascii="LinLibertine" w:eastAsia="Times New Roman" w:hAnsi="LinLibertine" w:cs="Times New Roman"/>
          <w:i/>
          <w:iCs/>
          <w:color w:val="000000"/>
          <w:sz w:val="24"/>
          <w:szCs w:val="24"/>
          <w:lang w:eastAsia="en-GB"/>
        </w:rPr>
        <w:t>International handbook on public-private partnerships</w:t>
      </w:r>
      <w:r w:rsidRPr="00114432">
        <w:rPr>
          <w:rFonts w:ascii="LinLibertine" w:eastAsia="Times New Roman" w:hAnsi="LinLibertine" w:cs="Times New Roman"/>
          <w:color w:val="000000"/>
          <w:sz w:val="24"/>
          <w:szCs w:val="24"/>
          <w:lang w:eastAsia="en-GB"/>
        </w:rPr>
        <w:t>. Cheltenham: Edward Elgar.</w:t>
      </w:r>
    </w:p>
    <w:p w14:paraId="7C506A60"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Chris </w:t>
      </w:r>
      <w:proofErr w:type="spellStart"/>
      <w:r w:rsidRPr="00114432">
        <w:rPr>
          <w:rFonts w:ascii="LinLibertine" w:eastAsia="Times New Roman" w:hAnsi="LinLibertine" w:cs="Times New Roman"/>
          <w:color w:val="000000"/>
          <w:sz w:val="24"/>
          <w:szCs w:val="24"/>
          <w:lang w:eastAsia="en-GB"/>
        </w:rPr>
        <w:t>Huxham</w:t>
      </w:r>
      <w:proofErr w:type="spellEnd"/>
      <w:r w:rsidRPr="00114432">
        <w:rPr>
          <w:rFonts w:ascii="LinLibertine" w:eastAsia="Times New Roman" w:hAnsi="LinLibertine" w:cs="Times New Roman"/>
          <w:color w:val="000000"/>
          <w:sz w:val="24"/>
          <w:szCs w:val="24"/>
          <w:lang w:eastAsia="en-GB"/>
        </w:rPr>
        <w:t xml:space="preserve"> (1993), ‘Pursuing collaborative advantage’, </w:t>
      </w:r>
      <w:r w:rsidRPr="00114432">
        <w:rPr>
          <w:rFonts w:ascii="LinLibertine" w:eastAsia="Times New Roman" w:hAnsi="LinLibertine" w:cs="Times New Roman"/>
          <w:i/>
          <w:iCs/>
          <w:color w:val="000000"/>
          <w:sz w:val="24"/>
          <w:szCs w:val="24"/>
          <w:lang w:eastAsia="en-GB"/>
        </w:rPr>
        <w:t>Journal of the Operational Research Society</w:t>
      </w:r>
      <w:r w:rsidRPr="00114432">
        <w:rPr>
          <w:rFonts w:ascii="LinLibertine" w:eastAsia="Times New Roman" w:hAnsi="LinLibertine" w:cs="Times New Roman"/>
          <w:color w:val="000000"/>
          <w:sz w:val="24"/>
          <w:szCs w:val="24"/>
          <w:lang w:eastAsia="en-GB"/>
        </w:rPr>
        <w:t>, 44 (6): 599–611.</w:t>
      </w:r>
    </w:p>
    <w:p w14:paraId="340DCEF9"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Robert Jones (1999), ‘The European Union as a promoter of public-private partnerships’, </w:t>
      </w:r>
      <w:r w:rsidRPr="00114432">
        <w:rPr>
          <w:rFonts w:ascii="LinLibertine" w:eastAsia="Times New Roman" w:hAnsi="LinLibertine" w:cs="Times New Roman"/>
          <w:i/>
          <w:iCs/>
          <w:color w:val="000000"/>
          <w:sz w:val="24"/>
          <w:szCs w:val="24"/>
          <w:lang w:eastAsia="en-GB"/>
        </w:rPr>
        <w:t>International Journal of Public-Private Partnerships</w:t>
      </w:r>
      <w:r w:rsidRPr="00114432">
        <w:rPr>
          <w:rFonts w:ascii="LinLibertine" w:eastAsia="Times New Roman" w:hAnsi="LinLibertine" w:cs="Times New Roman"/>
          <w:color w:val="000000"/>
          <w:sz w:val="24"/>
          <w:szCs w:val="24"/>
          <w:lang w:eastAsia="en-GB"/>
        </w:rPr>
        <w:t>, 1 (3): 289–305.</w:t>
      </w:r>
    </w:p>
    <w:p w14:paraId="10CA0818"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Erik-Hans </w:t>
      </w:r>
      <w:proofErr w:type="spellStart"/>
      <w:r w:rsidRPr="00114432">
        <w:rPr>
          <w:rFonts w:ascii="LinLibertine" w:eastAsia="Times New Roman" w:hAnsi="LinLibertine" w:cs="Times New Roman"/>
          <w:color w:val="000000"/>
          <w:sz w:val="24"/>
          <w:szCs w:val="24"/>
          <w:lang w:eastAsia="en-GB"/>
        </w:rPr>
        <w:t>Klijn</w:t>
      </w:r>
      <w:proofErr w:type="spellEnd"/>
      <w:r w:rsidRPr="00114432">
        <w:rPr>
          <w:rFonts w:ascii="LinLibertine" w:eastAsia="Times New Roman" w:hAnsi="LinLibertine" w:cs="Times New Roman"/>
          <w:color w:val="000000"/>
          <w:sz w:val="24"/>
          <w:szCs w:val="24"/>
          <w:lang w:eastAsia="en-GB"/>
        </w:rPr>
        <w:t xml:space="preserve"> (2010), ‘Public-private partnerships: deciphering meaning, message and phenomenon’, in G. Hodge C. </w:t>
      </w:r>
      <w:proofErr w:type="spellStart"/>
      <w:r w:rsidRPr="00114432">
        <w:rPr>
          <w:rFonts w:ascii="LinLibertine" w:eastAsia="Times New Roman" w:hAnsi="LinLibertine" w:cs="Times New Roman"/>
          <w:color w:val="000000"/>
          <w:sz w:val="24"/>
          <w:szCs w:val="24"/>
          <w:lang w:eastAsia="en-GB"/>
        </w:rPr>
        <w:t>Greve</w:t>
      </w:r>
      <w:proofErr w:type="spellEnd"/>
      <w:r w:rsidRPr="00114432">
        <w:rPr>
          <w:rFonts w:ascii="LinLibertine" w:eastAsia="Times New Roman" w:hAnsi="LinLibertine" w:cs="Times New Roman"/>
          <w:color w:val="000000"/>
          <w:sz w:val="24"/>
          <w:szCs w:val="24"/>
          <w:lang w:eastAsia="en-GB"/>
        </w:rPr>
        <w:t xml:space="preserve"> A.E. Boardman (</w:t>
      </w:r>
      <w:proofErr w:type="spellStart"/>
      <w:r w:rsidRPr="00114432">
        <w:rPr>
          <w:rFonts w:ascii="LinLibertine" w:eastAsia="Times New Roman" w:hAnsi="LinLibertine" w:cs="Times New Roman"/>
          <w:color w:val="000000"/>
          <w:sz w:val="24"/>
          <w:szCs w:val="24"/>
          <w:lang w:eastAsia="en-GB"/>
        </w:rPr>
        <w:t>eds</w:t>
      </w:r>
      <w:proofErr w:type="spellEnd"/>
      <w:r w:rsidRPr="00114432">
        <w:rPr>
          <w:rFonts w:ascii="LinLibertine" w:eastAsia="Times New Roman" w:hAnsi="LinLibertine" w:cs="Times New Roman"/>
          <w:color w:val="000000"/>
          <w:sz w:val="24"/>
          <w:szCs w:val="24"/>
          <w:lang w:eastAsia="en-GB"/>
        </w:rPr>
        <w:t>) (2010), </w:t>
      </w:r>
      <w:r w:rsidRPr="00114432">
        <w:rPr>
          <w:rFonts w:ascii="LinLibertine" w:eastAsia="Times New Roman" w:hAnsi="LinLibertine" w:cs="Times New Roman"/>
          <w:i/>
          <w:iCs/>
          <w:color w:val="000000"/>
          <w:sz w:val="24"/>
          <w:szCs w:val="24"/>
          <w:lang w:eastAsia="en-GB"/>
        </w:rPr>
        <w:t>International handbook of public-private partnerships</w:t>
      </w:r>
      <w:r w:rsidRPr="00114432">
        <w:rPr>
          <w:rFonts w:ascii="LinLibertine" w:eastAsia="Times New Roman" w:hAnsi="LinLibertine" w:cs="Times New Roman"/>
          <w:color w:val="000000"/>
          <w:sz w:val="24"/>
          <w:szCs w:val="24"/>
          <w:lang w:eastAsia="en-GB"/>
        </w:rPr>
        <w:t>, Cheltenham: Edward Elgar: 68–80.</w:t>
      </w:r>
    </w:p>
    <w:p w14:paraId="31A527D5"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M. </w:t>
      </w:r>
      <w:proofErr w:type="spellStart"/>
      <w:r w:rsidRPr="00114432">
        <w:rPr>
          <w:rFonts w:ascii="LinLibertine" w:eastAsia="Times New Roman" w:hAnsi="LinLibertine" w:cs="Times New Roman"/>
          <w:color w:val="000000"/>
          <w:sz w:val="24"/>
          <w:szCs w:val="24"/>
          <w:lang w:eastAsia="en-GB"/>
        </w:rPr>
        <w:t>Kort</w:t>
      </w:r>
      <w:proofErr w:type="spellEnd"/>
      <w:r w:rsidRPr="00114432">
        <w:rPr>
          <w:rFonts w:ascii="LinLibertine" w:eastAsia="Times New Roman" w:hAnsi="LinLibertine" w:cs="Times New Roman"/>
          <w:color w:val="000000"/>
          <w:sz w:val="24"/>
          <w:szCs w:val="24"/>
          <w:lang w:eastAsia="en-GB"/>
        </w:rPr>
        <w:t xml:space="preserve"> and Erik-Hans </w:t>
      </w:r>
      <w:proofErr w:type="spellStart"/>
      <w:r w:rsidRPr="00114432">
        <w:rPr>
          <w:rFonts w:ascii="LinLibertine" w:eastAsia="Times New Roman" w:hAnsi="LinLibertine" w:cs="Times New Roman"/>
          <w:color w:val="000000"/>
          <w:sz w:val="24"/>
          <w:szCs w:val="24"/>
          <w:lang w:eastAsia="en-GB"/>
        </w:rPr>
        <w:t>Klijn</w:t>
      </w:r>
      <w:proofErr w:type="spellEnd"/>
      <w:r w:rsidRPr="00114432">
        <w:rPr>
          <w:rFonts w:ascii="LinLibertine" w:eastAsia="Times New Roman" w:hAnsi="LinLibertine" w:cs="Times New Roman"/>
          <w:color w:val="000000"/>
          <w:sz w:val="24"/>
          <w:szCs w:val="24"/>
          <w:lang w:eastAsia="en-GB"/>
        </w:rPr>
        <w:t xml:space="preserve"> (2011), ‘Public-private partnerships in urban renewal: organizational form or managerial capacity’, </w:t>
      </w:r>
      <w:r w:rsidRPr="00114432">
        <w:rPr>
          <w:rFonts w:ascii="LinLibertine" w:eastAsia="Times New Roman" w:hAnsi="LinLibertine" w:cs="Times New Roman"/>
          <w:i/>
          <w:iCs/>
          <w:color w:val="000000"/>
          <w:sz w:val="24"/>
          <w:szCs w:val="24"/>
          <w:lang w:eastAsia="en-GB"/>
        </w:rPr>
        <w:t>Public Administration Review</w:t>
      </w:r>
      <w:r w:rsidRPr="00114432">
        <w:rPr>
          <w:rFonts w:ascii="LinLibertine" w:eastAsia="Times New Roman" w:hAnsi="LinLibertine" w:cs="Times New Roman"/>
          <w:color w:val="000000"/>
          <w:sz w:val="24"/>
          <w:szCs w:val="24"/>
          <w:lang w:eastAsia="en-GB"/>
        </w:rPr>
        <w:t>, 71 (4): 618–626.</w:t>
      </w:r>
    </w:p>
    <w:p w14:paraId="27F5E92D"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Patrick Le </w:t>
      </w:r>
      <w:proofErr w:type="spellStart"/>
      <w:r w:rsidRPr="00114432">
        <w:rPr>
          <w:rFonts w:ascii="LinLibertine" w:eastAsia="Times New Roman" w:hAnsi="LinLibertine" w:cs="Times New Roman"/>
          <w:color w:val="000000"/>
          <w:sz w:val="24"/>
          <w:szCs w:val="24"/>
          <w:lang w:eastAsia="en-GB"/>
        </w:rPr>
        <w:t>Galès</w:t>
      </w:r>
      <w:proofErr w:type="spellEnd"/>
      <w:r w:rsidRPr="00114432">
        <w:rPr>
          <w:rFonts w:ascii="LinLibertine" w:eastAsia="Times New Roman" w:hAnsi="LinLibertine" w:cs="Times New Roman"/>
          <w:color w:val="000000"/>
          <w:sz w:val="24"/>
          <w:szCs w:val="24"/>
          <w:lang w:eastAsia="en-GB"/>
        </w:rPr>
        <w:t xml:space="preserve"> and John Mawson (1994), </w:t>
      </w:r>
      <w:r w:rsidRPr="00114432">
        <w:rPr>
          <w:rFonts w:ascii="LinLibertine" w:eastAsia="Times New Roman" w:hAnsi="LinLibertine" w:cs="Times New Roman"/>
          <w:i/>
          <w:iCs/>
          <w:color w:val="000000"/>
          <w:sz w:val="24"/>
          <w:szCs w:val="24"/>
          <w:lang w:eastAsia="en-GB"/>
        </w:rPr>
        <w:t>Management innovations in urban policy: lessons from France</w:t>
      </w:r>
      <w:r w:rsidRPr="00114432">
        <w:rPr>
          <w:rFonts w:ascii="LinLibertine" w:eastAsia="Times New Roman" w:hAnsi="LinLibertine" w:cs="Times New Roman"/>
          <w:color w:val="000000"/>
          <w:sz w:val="24"/>
          <w:szCs w:val="24"/>
          <w:lang w:eastAsia="en-GB"/>
        </w:rPr>
        <w:t>. Luton: Local Government Management Board.</w:t>
      </w:r>
    </w:p>
    <w:p w14:paraId="1FFF322D"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Bing Li and </w:t>
      </w:r>
      <w:proofErr w:type="spellStart"/>
      <w:r w:rsidRPr="00114432">
        <w:rPr>
          <w:rFonts w:ascii="LinLibertine" w:eastAsia="Times New Roman" w:hAnsi="LinLibertine" w:cs="Times New Roman"/>
          <w:color w:val="000000"/>
          <w:sz w:val="24"/>
          <w:szCs w:val="24"/>
          <w:lang w:eastAsia="en-GB"/>
        </w:rPr>
        <w:t>Akintola</w:t>
      </w:r>
      <w:proofErr w:type="spellEnd"/>
      <w:r w:rsidRPr="00114432">
        <w:rPr>
          <w:rFonts w:ascii="LinLibertine" w:eastAsia="Times New Roman" w:hAnsi="LinLibertine" w:cs="Times New Roman"/>
          <w:color w:val="000000"/>
          <w:sz w:val="24"/>
          <w:szCs w:val="24"/>
          <w:lang w:eastAsia="en-GB"/>
        </w:rPr>
        <w:t xml:space="preserve"> </w:t>
      </w:r>
      <w:proofErr w:type="spellStart"/>
      <w:r w:rsidRPr="00114432">
        <w:rPr>
          <w:rFonts w:ascii="LinLibertine" w:eastAsia="Times New Roman" w:hAnsi="LinLibertine" w:cs="Times New Roman"/>
          <w:color w:val="000000"/>
          <w:sz w:val="24"/>
          <w:szCs w:val="24"/>
          <w:lang w:eastAsia="en-GB"/>
        </w:rPr>
        <w:t>Akintoye</w:t>
      </w:r>
      <w:proofErr w:type="spellEnd"/>
      <w:r w:rsidRPr="00114432">
        <w:rPr>
          <w:rFonts w:ascii="LinLibertine" w:eastAsia="Times New Roman" w:hAnsi="LinLibertine" w:cs="Times New Roman"/>
          <w:color w:val="000000"/>
          <w:sz w:val="24"/>
          <w:szCs w:val="24"/>
          <w:lang w:eastAsia="en-GB"/>
        </w:rPr>
        <w:t xml:space="preserve"> (2003), ‘An overview of public-private partnership’, in </w:t>
      </w:r>
      <w:proofErr w:type="spellStart"/>
      <w:r w:rsidRPr="00114432">
        <w:rPr>
          <w:rFonts w:ascii="LinLibertine" w:eastAsia="Times New Roman" w:hAnsi="LinLibertine" w:cs="Times New Roman"/>
          <w:color w:val="000000"/>
          <w:sz w:val="24"/>
          <w:szCs w:val="24"/>
          <w:lang w:eastAsia="en-GB"/>
        </w:rPr>
        <w:t>Akintola</w:t>
      </w:r>
      <w:proofErr w:type="spellEnd"/>
      <w:r w:rsidRPr="00114432">
        <w:rPr>
          <w:rFonts w:ascii="LinLibertine" w:eastAsia="Times New Roman" w:hAnsi="LinLibertine" w:cs="Times New Roman"/>
          <w:color w:val="000000"/>
          <w:sz w:val="24"/>
          <w:szCs w:val="24"/>
          <w:lang w:eastAsia="en-GB"/>
        </w:rPr>
        <w:t xml:space="preserve"> </w:t>
      </w:r>
      <w:proofErr w:type="spellStart"/>
      <w:r w:rsidRPr="00114432">
        <w:rPr>
          <w:rFonts w:ascii="LinLibertine" w:eastAsia="Times New Roman" w:hAnsi="LinLibertine" w:cs="Times New Roman"/>
          <w:color w:val="000000"/>
          <w:sz w:val="24"/>
          <w:szCs w:val="24"/>
          <w:lang w:eastAsia="en-GB"/>
        </w:rPr>
        <w:t>Akintoye</w:t>
      </w:r>
      <w:proofErr w:type="spellEnd"/>
      <w:r w:rsidRPr="00114432">
        <w:rPr>
          <w:rFonts w:ascii="LinLibertine" w:eastAsia="Times New Roman" w:hAnsi="LinLibertine" w:cs="Times New Roman"/>
          <w:color w:val="000000"/>
          <w:sz w:val="24"/>
          <w:szCs w:val="24"/>
          <w:lang w:eastAsia="en-GB"/>
        </w:rPr>
        <w:t xml:space="preserve"> Matthias Beck Cliff Hardcastle (eds), </w:t>
      </w:r>
      <w:r w:rsidRPr="00114432">
        <w:rPr>
          <w:rFonts w:ascii="LinLibertine" w:eastAsia="Times New Roman" w:hAnsi="LinLibertine" w:cs="Times New Roman"/>
          <w:i/>
          <w:iCs/>
          <w:color w:val="000000"/>
          <w:sz w:val="24"/>
          <w:szCs w:val="24"/>
          <w:lang w:eastAsia="en-GB"/>
        </w:rPr>
        <w:t>Public-private partnerships: managing risks and opportunities</w:t>
      </w:r>
      <w:r w:rsidRPr="00114432">
        <w:rPr>
          <w:rFonts w:ascii="LinLibertine" w:eastAsia="Times New Roman" w:hAnsi="LinLibertine" w:cs="Times New Roman"/>
          <w:color w:val="000000"/>
          <w:sz w:val="24"/>
          <w:szCs w:val="24"/>
          <w:lang w:eastAsia="en-GB"/>
        </w:rPr>
        <w:t>. Oxford: Blackwell.</w:t>
      </w:r>
    </w:p>
    <w:p w14:paraId="1C349F1F"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Elke Loeffler (1999), </w:t>
      </w:r>
      <w:r w:rsidRPr="00114432">
        <w:rPr>
          <w:rFonts w:ascii="LinLibertine" w:eastAsia="Times New Roman" w:hAnsi="LinLibertine" w:cs="Times New Roman"/>
          <w:i/>
          <w:iCs/>
          <w:color w:val="000000"/>
          <w:sz w:val="24"/>
          <w:szCs w:val="24"/>
          <w:lang w:eastAsia="en-GB"/>
        </w:rPr>
        <w:t>Accountability management in intergovernmental partnerships</w:t>
      </w:r>
      <w:r w:rsidRPr="00114432">
        <w:rPr>
          <w:rFonts w:ascii="LinLibertine" w:eastAsia="Times New Roman" w:hAnsi="LinLibertine" w:cs="Times New Roman"/>
          <w:color w:val="000000"/>
          <w:sz w:val="24"/>
          <w:szCs w:val="24"/>
          <w:lang w:eastAsia="en-GB"/>
        </w:rPr>
        <w:t>. Paris: OECD.</w:t>
      </w:r>
    </w:p>
    <w:p w14:paraId="29C939A3"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C. L. Mulford and D. L. Rogers (1982), ‘Definitions and models’, in D.L. Rogers D.A. Whetten (eds), </w:t>
      </w:r>
      <w:r w:rsidRPr="00114432">
        <w:rPr>
          <w:rFonts w:ascii="LinLibertine" w:eastAsia="Times New Roman" w:hAnsi="LinLibertine" w:cs="Times New Roman"/>
          <w:i/>
          <w:iCs/>
          <w:color w:val="000000"/>
          <w:sz w:val="24"/>
          <w:szCs w:val="24"/>
          <w:lang w:eastAsia="en-GB"/>
        </w:rPr>
        <w:t>Interorganizational coordination: theory, research, and implementation</w:t>
      </w:r>
      <w:r w:rsidRPr="00114432">
        <w:rPr>
          <w:rFonts w:ascii="LinLibertine" w:eastAsia="Times New Roman" w:hAnsi="LinLibertine" w:cs="Times New Roman"/>
          <w:color w:val="000000"/>
          <w:sz w:val="24"/>
          <w:szCs w:val="24"/>
          <w:lang w:eastAsia="en-GB"/>
        </w:rPr>
        <w:t>. Ames: Iowa State University Press.</w:t>
      </w:r>
    </w:p>
    <w:p w14:paraId="27B4DFBC"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lastRenderedPageBreak/>
        <w:t>Stephen P. Osborne (2000), </w:t>
      </w:r>
      <w:r w:rsidRPr="00114432">
        <w:rPr>
          <w:rFonts w:ascii="LinLibertine" w:eastAsia="Times New Roman" w:hAnsi="LinLibertine" w:cs="Times New Roman"/>
          <w:i/>
          <w:iCs/>
          <w:color w:val="000000"/>
          <w:sz w:val="24"/>
          <w:szCs w:val="24"/>
          <w:lang w:eastAsia="en-GB"/>
        </w:rPr>
        <w:t>Public-private partnerships: theory and practice in international perspective</w:t>
      </w:r>
      <w:r w:rsidRPr="00114432">
        <w:rPr>
          <w:rFonts w:ascii="LinLibertine" w:eastAsia="Times New Roman" w:hAnsi="LinLibertine" w:cs="Times New Roman"/>
          <w:color w:val="000000"/>
          <w:sz w:val="24"/>
          <w:szCs w:val="24"/>
          <w:lang w:eastAsia="en-GB"/>
        </w:rPr>
        <w:t>. London: Routledge.</w:t>
      </w:r>
    </w:p>
    <w:p w14:paraId="60F7E7A4"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 xml:space="preserve">Geert </w:t>
      </w:r>
      <w:proofErr w:type="spellStart"/>
      <w:r w:rsidRPr="00114432">
        <w:rPr>
          <w:rFonts w:ascii="LinLibertine" w:eastAsia="Times New Roman" w:hAnsi="LinLibertine" w:cs="Times New Roman"/>
          <w:color w:val="000000"/>
          <w:sz w:val="24"/>
          <w:szCs w:val="24"/>
          <w:lang w:eastAsia="en-GB"/>
        </w:rPr>
        <w:t>Teisman</w:t>
      </w:r>
      <w:proofErr w:type="spellEnd"/>
      <w:r w:rsidRPr="00114432">
        <w:rPr>
          <w:rFonts w:ascii="LinLibertine" w:eastAsia="Times New Roman" w:hAnsi="LinLibertine" w:cs="Times New Roman"/>
          <w:color w:val="000000"/>
          <w:sz w:val="24"/>
          <w:szCs w:val="24"/>
          <w:lang w:eastAsia="en-GB"/>
        </w:rPr>
        <w:t xml:space="preserve"> and Erik-Hans </w:t>
      </w:r>
      <w:proofErr w:type="spellStart"/>
      <w:r w:rsidRPr="00114432">
        <w:rPr>
          <w:rFonts w:ascii="LinLibertine" w:eastAsia="Times New Roman" w:hAnsi="LinLibertine" w:cs="Times New Roman"/>
          <w:color w:val="000000"/>
          <w:sz w:val="24"/>
          <w:szCs w:val="24"/>
          <w:lang w:eastAsia="en-GB"/>
        </w:rPr>
        <w:t>Klijn</w:t>
      </w:r>
      <w:proofErr w:type="spellEnd"/>
      <w:r w:rsidRPr="00114432">
        <w:rPr>
          <w:rFonts w:ascii="LinLibertine" w:eastAsia="Times New Roman" w:hAnsi="LinLibertine" w:cs="Times New Roman"/>
          <w:color w:val="000000"/>
          <w:sz w:val="24"/>
          <w:szCs w:val="24"/>
          <w:lang w:eastAsia="en-GB"/>
        </w:rPr>
        <w:t xml:space="preserve"> (2000), ‘Public-private partnerships in the European Union: officially suspect, embraced in daily practice’, in Stephen Osborne (ed.), </w:t>
      </w:r>
      <w:r w:rsidRPr="00114432">
        <w:rPr>
          <w:rFonts w:ascii="LinLibertine" w:eastAsia="Times New Roman" w:hAnsi="LinLibertine" w:cs="Times New Roman"/>
          <w:i/>
          <w:iCs/>
          <w:color w:val="000000"/>
          <w:sz w:val="24"/>
          <w:szCs w:val="24"/>
          <w:lang w:eastAsia="en-GB"/>
        </w:rPr>
        <w:t>Public-private partnerships: theory and practice in international perspective</w:t>
      </w:r>
      <w:r w:rsidRPr="00114432">
        <w:rPr>
          <w:rFonts w:ascii="LinLibertine" w:eastAsia="Times New Roman" w:hAnsi="LinLibertine" w:cs="Times New Roman"/>
          <w:color w:val="000000"/>
          <w:sz w:val="24"/>
          <w:szCs w:val="24"/>
          <w:lang w:eastAsia="en-GB"/>
        </w:rPr>
        <w:t>. London: Routledge, pp. 165–186.</w:t>
      </w:r>
    </w:p>
    <w:p w14:paraId="217E6F33"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Kieron Walsh (1995), </w:t>
      </w:r>
      <w:r w:rsidRPr="00114432">
        <w:rPr>
          <w:rFonts w:ascii="LinLibertine" w:eastAsia="Times New Roman" w:hAnsi="LinLibertine" w:cs="Times New Roman"/>
          <w:i/>
          <w:iCs/>
          <w:color w:val="000000"/>
          <w:sz w:val="24"/>
          <w:szCs w:val="24"/>
          <w:lang w:eastAsia="en-GB"/>
        </w:rPr>
        <w:t>Competition, contracting and the new public management</w:t>
      </w:r>
      <w:r w:rsidRPr="00114432">
        <w:rPr>
          <w:rFonts w:ascii="LinLibertine" w:eastAsia="Times New Roman" w:hAnsi="LinLibertine" w:cs="Times New Roman"/>
          <w:color w:val="000000"/>
          <w:sz w:val="24"/>
          <w:szCs w:val="24"/>
          <w:lang w:eastAsia="en-GB"/>
        </w:rPr>
        <w:t xml:space="preserve">. </w:t>
      </w:r>
      <w:proofErr w:type="spellStart"/>
      <w:r w:rsidRPr="00114432">
        <w:rPr>
          <w:rFonts w:ascii="LinLibertine" w:eastAsia="Times New Roman" w:hAnsi="LinLibertine" w:cs="Times New Roman"/>
          <w:color w:val="000000"/>
          <w:sz w:val="24"/>
          <w:szCs w:val="24"/>
          <w:lang w:eastAsia="en-GB"/>
        </w:rPr>
        <w:t>Houndmills</w:t>
      </w:r>
      <w:proofErr w:type="spellEnd"/>
      <w:r w:rsidRPr="00114432">
        <w:rPr>
          <w:rFonts w:ascii="LinLibertine" w:eastAsia="Times New Roman" w:hAnsi="LinLibertine" w:cs="Times New Roman"/>
          <w:color w:val="000000"/>
          <w:sz w:val="24"/>
          <w:szCs w:val="24"/>
          <w:lang w:eastAsia="en-GB"/>
        </w:rPr>
        <w:t>: Palgrave Macmillan.</w:t>
      </w:r>
    </w:p>
    <w:p w14:paraId="0A7CAB3B"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proofErr w:type="spellStart"/>
      <w:r w:rsidRPr="00114432">
        <w:rPr>
          <w:rFonts w:ascii="LinLibertine" w:eastAsia="Times New Roman" w:hAnsi="LinLibertine" w:cs="Times New Roman"/>
          <w:color w:val="000000"/>
          <w:sz w:val="24"/>
          <w:szCs w:val="24"/>
          <w:lang w:eastAsia="en-GB"/>
        </w:rPr>
        <w:t>Guri</w:t>
      </w:r>
      <w:proofErr w:type="spellEnd"/>
      <w:r w:rsidRPr="00114432">
        <w:rPr>
          <w:rFonts w:ascii="LinLibertine" w:eastAsia="Times New Roman" w:hAnsi="LinLibertine" w:cs="Times New Roman"/>
          <w:color w:val="000000"/>
          <w:sz w:val="24"/>
          <w:szCs w:val="24"/>
          <w:lang w:eastAsia="en-GB"/>
        </w:rPr>
        <w:t xml:space="preserve"> </w:t>
      </w:r>
      <w:proofErr w:type="spellStart"/>
      <w:r w:rsidRPr="00114432">
        <w:rPr>
          <w:rFonts w:ascii="LinLibertine" w:eastAsia="Times New Roman" w:hAnsi="LinLibertine" w:cs="Times New Roman"/>
          <w:color w:val="000000"/>
          <w:sz w:val="24"/>
          <w:szCs w:val="24"/>
          <w:lang w:eastAsia="en-GB"/>
        </w:rPr>
        <w:t>Weihe</w:t>
      </w:r>
      <w:proofErr w:type="spellEnd"/>
      <w:r w:rsidRPr="00114432">
        <w:rPr>
          <w:rFonts w:ascii="LinLibertine" w:eastAsia="Times New Roman" w:hAnsi="LinLibertine" w:cs="Times New Roman"/>
          <w:color w:val="000000"/>
          <w:sz w:val="24"/>
          <w:szCs w:val="24"/>
          <w:lang w:eastAsia="en-GB"/>
        </w:rPr>
        <w:t xml:space="preserve"> (2008), ‘Ordering disorder: on the perplexities of the partnership literature’, </w:t>
      </w:r>
      <w:r w:rsidRPr="00114432">
        <w:rPr>
          <w:rFonts w:ascii="LinLibertine" w:eastAsia="Times New Roman" w:hAnsi="LinLibertine" w:cs="Times New Roman"/>
          <w:i/>
          <w:iCs/>
          <w:color w:val="000000"/>
          <w:sz w:val="24"/>
          <w:szCs w:val="24"/>
          <w:lang w:eastAsia="en-GB"/>
        </w:rPr>
        <w:t>Australian Journal of Public Administration</w:t>
      </w:r>
      <w:r w:rsidRPr="00114432">
        <w:rPr>
          <w:rFonts w:ascii="LinLibertine" w:eastAsia="Times New Roman" w:hAnsi="LinLibertine" w:cs="Times New Roman"/>
          <w:color w:val="000000"/>
          <w:sz w:val="24"/>
          <w:szCs w:val="24"/>
          <w:lang w:eastAsia="en-GB"/>
        </w:rPr>
        <w:t>, 67 (4): 430–442.</w:t>
      </w:r>
    </w:p>
    <w:p w14:paraId="6BC1B6A5"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Karen West (2005), ‘From bilateral to trilateral governance in local government contracting in France’, </w:t>
      </w:r>
      <w:r w:rsidRPr="00114432">
        <w:rPr>
          <w:rFonts w:ascii="LinLibertine" w:eastAsia="Times New Roman" w:hAnsi="LinLibertine" w:cs="Times New Roman"/>
          <w:i/>
          <w:iCs/>
          <w:color w:val="000000"/>
          <w:sz w:val="24"/>
          <w:szCs w:val="24"/>
          <w:lang w:eastAsia="en-GB"/>
        </w:rPr>
        <w:t>Public Administration</w:t>
      </w:r>
      <w:r w:rsidRPr="00114432">
        <w:rPr>
          <w:rFonts w:ascii="LinLibertine" w:eastAsia="Times New Roman" w:hAnsi="LinLibertine" w:cs="Times New Roman"/>
          <w:color w:val="000000"/>
          <w:sz w:val="24"/>
          <w:szCs w:val="24"/>
          <w:lang w:eastAsia="en-GB"/>
        </w:rPr>
        <w:t>, 83 (2): 473–492.</w:t>
      </w:r>
    </w:p>
    <w:p w14:paraId="0188CB56"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Oliver Williamson (1986), </w:t>
      </w:r>
      <w:r w:rsidRPr="00114432">
        <w:rPr>
          <w:rFonts w:ascii="LinLibertine" w:eastAsia="Times New Roman" w:hAnsi="LinLibertine" w:cs="Times New Roman"/>
          <w:i/>
          <w:iCs/>
          <w:color w:val="000000"/>
          <w:sz w:val="24"/>
          <w:szCs w:val="24"/>
          <w:lang w:eastAsia="en-GB"/>
        </w:rPr>
        <w:t>Economic organization: firms, markets, and policy control</w:t>
      </w:r>
      <w:r w:rsidRPr="00114432">
        <w:rPr>
          <w:rFonts w:ascii="LinLibertine" w:eastAsia="Times New Roman" w:hAnsi="LinLibertine" w:cs="Times New Roman"/>
          <w:color w:val="000000"/>
          <w:sz w:val="24"/>
          <w:szCs w:val="24"/>
          <w:lang w:eastAsia="en-GB"/>
        </w:rPr>
        <w:t>. New York: New York University Press.</w:t>
      </w:r>
    </w:p>
    <w:p w14:paraId="77ED4B3A" w14:textId="77777777" w:rsidR="00114432" w:rsidRPr="00114432" w:rsidRDefault="00114432" w:rsidP="00114432">
      <w:pPr>
        <w:spacing w:after="0" w:line="240" w:lineRule="auto"/>
        <w:ind w:left="360" w:hanging="360"/>
        <w:jc w:val="both"/>
        <w:rPr>
          <w:rFonts w:ascii="LinLibertine" w:eastAsia="Times New Roman" w:hAnsi="LinLibertine" w:cs="Times New Roman"/>
          <w:color w:val="000000"/>
          <w:sz w:val="24"/>
          <w:szCs w:val="24"/>
          <w:lang w:eastAsia="en-GB"/>
        </w:rPr>
      </w:pPr>
      <w:r w:rsidRPr="00114432">
        <w:rPr>
          <w:rFonts w:ascii="LinLibertine" w:eastAsia="Times New Roman" w:hAnsi="LinLibertine" w:cs="Times New Roman"/>
          <w:color w:val="000000"/>
          <w:sz w:val="24"/>
          <w:szCs w:val="24"/>
          <w:lang w:eastAsia="en-GB"/>
        </w:rPr>
        <w:t>O.E. Williamson (1996), </w:t>
      </w:r>
      <w:r w:rsidRPr="00114432">
        <w:rPr>
          <w:rFonts w:ascii="LinLibertine" w:eastAsia="Times New Roman" w:hAnsi="LinLibertine" w:cs="Times New Roman"/>
          <w:i/>
          <w:iCs/>
          <w:color w:val="000000"/>
          <w:sz w:val="24"/>
          <w:szCs w:val="24"/>
          <w:lang w:eastAsia="en-GB"/>
        </w:rPr>
        <w:t>The mechanisms of governance</w:t>
      </w:r>
      <w:r w:rsidRPr="00114432">
        <w:rPr>
          <w:rFonts w:ascii="LinLibertine" w:eastAsia="Times New Roman" w:hAnsi="LinLibertine" w:cs="Times New Roman"/>
          <w:color w:val="000000"/>
          <w:sz w:val="24"/>
          <w:szCs w:val="24"/>
          <w:lang w:eastAsia="en-GB"/>
        </w:rPr>
        <w:t>. Oxford: Oxford University Press.</w:t>
      </w:r>
    </w:p>
    <w:p w14:paraId="1CAD2140" w14:textId="77777777" w:rsidR="0001453D" w:rsidRDefault="0001453D"/>
    <w:sectPr w:rsidR="0001453D" w:rsidSect="009D3EF0">
      <w:headerReference w:type="default" r:id="rId22"/>
      <w:footerReference w:type="default" r:id="rId23"/>
      <w:pgSz w:w="11906" w:h="16838"/>
      <w:pgMar w:top="1440" w:right="1440" w:bottom="1440" w:left="1440" w:header="708" w:footer="708" w:gutter="0"/>
      <w:pgNumType w:start="236"/>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BFC1A5" w14:textId="77777777" w:rsidR="009D3EF0" w:rsidRDefault="009D3EF0" w:rsidP="009D3EF0">
      <w:pPr>
        <w:spacing w:after="0" w:line="240" w:lineRule="auto"/>
      </w:pPr>
      <w:r>
        <w:separator/>
      </w:r>
    </w:p>
  </w:endnote>
  <w:endnote w:type="continuationSeparator" w:id="0">
    <w:p w14:paraId="31E80FE0" w14:textId="77777777" w:rsidR="009D3EF0" w:rsidRDefault="009D3EF0" w:rsidP="009D3E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LinLibertine">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0619814"/>
      <w:docPartObj>
        <w:docPartGallery w:val="Page Numbers (Bottom of Page)"/>
        <w:docPartUnique/>
      </w:docPartObj>
    </w:sdtPr>
    <w:sdtEndPr>
      <w:rPr>
        <w:noProof/>
      </w:rPr>
    </w:sdtEndPr>
    <w:sdtContent>
      <w:p w14:paraId="586DC86C" w14:textId="7741D245" w:rsidR="009D3EF0" w:rsidRDefault="009D3EF0">
        <w:pPr>
          <w:pStyle w:val="Footer"/>
          <w:jc w:val="right"/>
        </w:pPr>
        <w:r>
          <w:fldChar w:fldCharType="begin"/>
        </w:r>
        <w:r>
          <w:instrText xml:space="preserve"> PAGE   \* MERGEFORMAT </w:instrText>
        </w:r>
        <w:r>
          <w:fldChar w:fldCharType="separate"/>
        </w:r>
        <w:r w:rsidR="00995940">
          <w:rPr>
            <w:noProof/>
          </w:rPr>
          <w:t>236</w:t>
        </w:r>
        <w:r>
          <w:rPr>
            <w:noProof/>
          </w:rPr>
          <w:fldChar w:fldCharType="end"/>
        </w:r>
      </w:p>
    </w:sdtContent>
  </w:sdt>
  <w:p w14:paraId="2F762AC4" w14:textId="77777777" w:rsidR="009D3EF0" w:rsidRDefault="009D3EF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246170" w14:textId="77777777" w:rsidR="009D3EF0" w:rsidRDefault="009D3EF0" w:rsidP="009D3EF0">
      <w:pPr>
        <w:spacing w:after="0" w:line="240" w:lineRule="auto"/>
      </w:pPr>
      <w:r>
        <w:separator/>
      </w:r>
    </w:p>
  </w:footnote>
  <w:footnote w:type="continuationSeparator" w:id="0">
    <w:p w14:paraId="2EC2D2EA" w14:textId="77777777" w:rsidR="009D3EF0" w:rsidRDefault="009D3EF0" w:rsidP="009D3EF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095638" w14:textId="2579D0DB" w:rsidR="004A3FDC" w:rsidRDefault="004A3FDC">
    <w:pPr>
      <w:pStyle w:val="Header"/>
    </w:pPr>
    <w:proofErr w:type="spellStart"/>
    <w:r>
      <w:t>Bovaird</w:t>
    </w:r>
    <w:proofErr w:type="spellEnd"/>
    <w:r>
      <w:t xml:space="preserve">, T. and </w:t>
    </w:r>
    <w:proofErr w:type="spellStart"/>
    <w:r>
      <w:t>Klijn</w:t>
    </w:r>
    <w:proofErr w:type="spellEnd"/>
    <w:r>
      <w:t xml:space="preserve">, E.H. (2016) ‘Partnership working across public and private sectors,’ in </w:t>
    </w:r>
    <w:proofErr w:type="spellStart"/>
    <w:r>
      <w:t>Bovaird</w:t>
    </w:r>
    <w:proofErr w:type="spellEnd"/>
    <w:r>
      <w:t xml:space="preserve">, T. and </w:t>
    </w:r>
    <w:proofErr w:type="spellStart"/>
    <w:r>
      <w:t>Loeffler</w:t>
    </w:r>
    <w:proofErr w:type="spellEnd"/>
    <w:r>
      <w:t>, E. (</w:t>
    </w:r>
    <w:proofErr w:type="spellStart"/>
    <w:r>
      <w:t>eds</w:t>
    </w:r>
    <w:proofErr w:type="spellEnd"/>
    <w:r>
      <w:t xml:space="preserve">) (2016) </w:t>
    </w:r>
    <w:r w:rsidRPr="004A3FDC">
      <w:rPr>
        <w:i/>
      </w:rPr>
      <w:t>Public Management and Governance</w:t>
    </w:r>
    <w:r>
      <w:t xml:space="preserve"> 3</w:t>
    </w:r>
    <w:r w:rsidRPr="004A3FDC">
      <w:rPr>
        <w:vertAlign w:val="superscript"/>
      </w:rPr>
      <w:t>rd</w:t>
    </w:r>
    <w:r>
      <w:t xml:space="preserve"> edition. Abingdon: Routledge</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3865F0"/>
    <w:multiLevelType w:val="multilevel"/>
    <w:tmpl w:val="E46E0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B0043F"/>
    <w:multiLevelType w:val="multilevel"/>
    <w:tmpl w:val="0D108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B9705B2"/>
    <w:multiLevelType w:val="multilevel"/>
    <w:tmpl w:val="6F9E7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BF059D"/>
    <w:multiLevelType w:val="multilevel"/>
    <w:tmpl w:val="00BED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C054792"/>
    <w:multiLevelType w:val="multilevel"/>
    <w:tmpl w:val="C3566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8E26AD9"/>
    <w:multiLevelType w:val="multilevel"/>
    <w:tmpl w:val="A93AC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E2A0542"/>
    <w:multiLevelType w:val="multilevel"/>
    <w:tmpl w:val="D84EB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4"/>
  </w:num>
  <w:num w:numId="4">
    <w:abstractNumId w:val="5"/>
  </w:num>
  <w:num w:numId="5">
    <w:abstractNumId w:val="0"/>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36D3"/>
    <w:rsid w:val="0001453D"/>
    <w:rsid w:val="00114432"/>
    <w:rsid w:val="004A3FDC"/>
    <w:rsid w:val="006E1E9A"/>
    <w:rsid w:val="0097226F"/>
    <w:rsid w:val="00995940"/>
    <w:rsid w:val="009D3EF0"/>
    <w:rsid w:val="00E036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5:chartTrackingRefBased/>
  <w15:docId w15:val="{508388F3-52B2-4BDF-99F0-A3FC0A464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3E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3EF0"/>
  </w:style>
  <w:style w:type="paragraph" w:styleId="Footer">
    <w:name w:val="footer"/>
    <w:basedOn w:val="Normal"/>
    <w:link w:val="FooterChar"/>
    <w:uiPriority w:val="99"/>
    <w:unhideWhenUsed/>
    <w:rsid w:val="009D3E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3EF0"/>
  </w:style>
  <w:style w:type="paragraph" w:styleId="BalloonText">
    <w:name w:val="Balloon Text"/>
    <w:basedOn w:val="Normal"/>
    <w:link w:val="BalloonTextChar"/>
    <w:uiPriority w:val="99"/>
    <w:semiHidden/>
    <w:unhideWhenUsed/>
    <w:rsid w:val="004A3F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3FD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0925750">
      <w:bodyDiv w:val="1"/>
      <w:marLeft w:val="0"/>
      <w:marRight w:val="0"/>
      <w:marTop w:val="0"/>
      <w:marBottom w:val="0"/>
      <w:divBdr>
        <w:top w:val="none" w:sz="0" w:space="0" w:color="auto"/>
        <w:left w:val="none" w:sz="0" w:space="0" w:color="auto"/>
        <w:bottom w:val="none" w:sz="0" w:space="0" w:color="auto"/>
        <w:right w:val="none" w:sz="0" w:space="0" w:color="auto"/>
      </w:divBdr>
      <w:divsChild>
        <w:div w:id="859856520">
          <w:marLeft w:val="0"/>
          <w:marRight w:val="0"/>
          <w:marTop w:val="0"/>
          <w:marBottom w:val="0"/>
          <w:divBdr>
            <w:top w:val="none" w:sz="0" w:space="0" w:color="auto"/>
            <w:left w:val="none" w:sz="0" w:space="0" w:color="auto"/>
            <w:bottom w:val="none" w:sz="0" w:space="0" w:color="auto"/>
            <w:right w:val="none" w:sz="0" w:space="0" w:color="auto"/>
          </w:divBdr>
        </w:div>
        <w:div w:id="880628781">
          <w:marLeft w:val="0"/>
          <w:marRight w:val="0"/>
          <w:marTop w:val="0"/>
          <w:marBottom w:val="0"/>
          <w:divBdr>
            <w:top w:val="none" w:sz="0" w:space="0" w:color="auto"/>
            <w:left w:val="none" w:sz="0" w:space="0" w:color="auto"/>
            <w:bottom w:val="none" w:sz="0" w:space="0" w:color="auto"/>
            <w:right w:val="none" w:sz="0" w:space="0" w:color="auto"/>
          </w:divBdr>
          <w:divsChild>
            <w:div w:id="2083796708">
              <w:marLeft w:val="0"/>
              <w:marRight w:val="0"/>
              <w:marTop w:val="240"/>
              <w:marBottom w:val="240"/>
              <w:divBdr>
                <w:top w:val="none" w:sz="0" w:space="0" w:color="auto"/>
                <w:left w:val="none" w:sz="0" w:space="0" w:color="auto"/>
                <w:bottom w:val="none" w:sz="0" w:space="0" w:color="auto"/>
                <w:right w:val="none" w:sz="0" w:space="0" w:color="auto"/>
              </w:divBdr>
            </w:div>
            <w:div w:id="1083643256">
              <w:marLeft w:val="0"/>
              <w:marRight w:val="0"/>
              <w:marTop w:val="0"/>
              <w:marBottom w:val="0"/>
              <w:divBdr>
                <w:top w:val="none" w:sz="0" w:space="0" w:color="auto"/>
                <w:left w:val="none" w:sz="0" w:space="0" w:color="auto"/>
                <w:bottom w:val="none" w:sz="0" w:space="0" w:color="auto"/>
                <w:right w:val="none" w:sz="0" w:space="0" w:color="auto"/>
              </w:divBdr>
              <w:divsChild>
                <w:div w:id="1588269055">
                  <w:marLeft w:val="0"/>
                  <w:marRight w:val="0"/>
                  <w:marTop w:val="240"/>
                  <w:marBottom w:val="240"/>
                  <w:divBdr>
                    <w:top w:val="none" w:sz="0" w:space="0" w:color="auto"/>
                    <w:left w:val="none" w:sz="0" w:space="0" w:color="auto"/>
                    <w:bottom w:val="none" w:sz="0" w:space="0" w:color="auto"/>
                    <w:right w:val="none" w:sz="0" w:space="0" w:color="auto"/>
                  </w:divBdr>
                </w:div>
              </w:divsChild>
            </w:div>
            <w:div w:id="80687382">
              <w:marLeft w:val="0"/>
              <w:marRight w:val="0"/>
              <w:marTop w:val="0"/>
              <w:marBottom w:val="0"/>
              <w:divBdr>
                <w:top w:val="none" w:sz="0" w:space="0" w:color="auto"/>
                <w:left w:val="none" w:sz="0" w:space="0" w:color="auto"/>
                <w:bottom w:val="none" w:sz="0" w:space="0" w:color="auto"/>
                <w:right w:val="none" w:sz="0" w:space="0" w:color="auto"/>
              </w:divBdr>
              <w:divsChild>
                <w:div w:id="854466584">
                  <w:marLeft w:val="0"/>
                  <w:marRight w:val="0"/>
                  <w:marTop w:val="240"/>
                  <w:marBottom w:val="240"/>
                  <w:divBdr>
                    <w:top w:val="single" w:sz="24" w:space="12" w:color="auto"/>
                    <w:left w:val="single" w:sz="24" w:space="12" w:color="auto"/>
                    <w:bottom w:val="single" w:sz="24" w:space="12" w:color="auto"/>
                    <w:right w:val="single" w:sz="24" w:space="12" w:color="auto"/>
                  </w:divBdr>
                </w:div>
                <w:div w:id="1096292107">
                  <w:marLeft w:val="0"/>
                  <w:marRight w:val="0"/>
                  <w:marTop w:val="240"/>
                  <w:marBottom w:val="240"/>
                  <w:divBdr>
                    <w:top w:val="single" w:sz="24" w:space="12" w:color="auto"/>
                    <w:left w:val="single" w:sz="24" w:space="12" w:color="auto"/>
                    <w:bottom w:val="single" w:sz="24" w:space="12" w:color="auto"/>
                    <w:right w:val="single" w:sz="24" w:space="12" w:color="auto"/>
                  </w:divBdr>
                </w:div>
              </w:divsChild>
            </w:div>
          </w:divsChild>
        </w:div>
        <w:div w:id="1690791566">
          <w:marLeft w:val="0"/>
          <w:marRight w:val="0"/>
          <w:marTop w:val="0"/>
          <w:marBottom w:val="0"/>
          <w:divBdr>
            <w:top w:val="none" w:sz="0" w:space="0" w:color="auto"/>
            <w:left w:val="none" w:sz="0" w:space="0" w:color="auto"/>
            <w:bottom w:val="none" w:sz="0" w:space="0" w:color="auto"/>
            <w:right w:val="none" w:sz="0" w:space="0" w:color="auto"/>
          </w:divBdr>
        </w:div>
        <w:div w:id="809591397">
          <w:marLeft w:val="0"/>
          <w:marRight w:val="0"/>
          <w:marTop w:val="0"/>
          <w:marBottom w:val="0"/>
          <w:divBdr>
            <w:top w:val="none" w:sz="0" w:space="0" w:color="auto"/>
            <w:left w:val="none" w:sz="0" w:space="0" w:color="auto"/>
            <w:bottom w:val="none" w:sz="0" w:space="0" w:color="auto"/>
            <w:right w:val="none" w:sz="0" w:space="0" w:color="auto"/>
          </w:divBdr>
        </w:div>
        <w:div w:id="676690581">
          <w:marLeft w:val="0"/>
          <w:marRight w:val="0"/>
          <w:marTop w:val="0"/>
          <w:marBottom w:val="0"/>
          <w:divBdr>
            <w:top w:val="none" w:sz="0" w:space="0" w:color="auto"/>
            <w:left w:val="none" w:sz="0" w:space="0" w:color="auto"/>
            <w:bottom w:val="none" w:sz="0" w:space="0" w:color="auto"/>
            <w:right w:val="none" w:sz="0" w:space="0" w:color="auto"/>
          </w:divBdr>
          <w:divsChild>
            <w:div w:id="1251819238">
              <w:marLeft w:val="0"/>
              <w:marRight w:val="0"/>
              <w:marTop w:val="240"/>
              <w:marBottom w:val="240"/>
              <w:divBdr>
                <w:top w:val="none" w:sz="0" w:space="0" w:color="auto"/>
                <w:left w:val="none" w:sz="0" w:space="0" w:color="auto"/>
                <w:bottom w:val="none" w:sz="0" w:space="0" w:color="auto"/>
                <w:right w:val="none" w:sz="0" w:space="0" w:color="auto"/>
              </w:divBdr>
            </w:div>
          </w:divsChild>
        </w:div>
        <w:div w:id="1129936236">
          <w:marLeft w:val="0"/>
          <w:marRight w:val="0"/>
          <w:marTop w:val="0"/>
          <w:marBottom w:val="0"/>
          <w:divBdr>
            <w:top w:val="none" w:sz="0" w:space="0" w:color="auto"/>
            <w:left w:val="none" w:sz="0" w:space="0" w:color="auto"/>
            <w:bottom w:val="none" w:sz="0" w:space="0" w:color="auto"/>
            <w:right w:val="none" w:sz="0" w:space="0" w:color="auto"/>
          </w:divBdr>
        </w:div>
        <w:div w:id="529301050">
          <w:marLeft w:val="0"/>
          <w:marRight w:val="0"/>
          <w:marTop w:val="0"/>
          <w:marBottom w:val="0"/>
          <w:divBdr>
            <w:top w:val="none" w:sz="0" w:space="0" w:color="auto"/>
            <w:left w:val="none" w:sz="0" w:space="0" w:color="auto"/>
            <w:bottom w:val="none" w:sz="0" w:space="0" w:color="auto"/>
            <w:right w:val="none" w:sz="0" w:space="0" w:color="auto"/>
          </w:divBdr>
        </w:div>
        <w:div w:id="923145595">
          <w:marLeft w:val="0"/>
          <w:marRight w:val="0"/>
          <w:marTop w:val="0"/>
          <w:marBottom w:val="0"/>
          <w:divBdr>
            <w:top w:val="none" w:sz="0" w:space="0" w:color="auto"/>
            <w:left w:val="none" w:sz="0" w:space="0" w:color="auto"/>
            <w:bottom w:val="none" w:sz="0" w:space="0" w:color="auto"/>
            <w:right w:val="none" w:sz="0" w:space="0" w:color="auto"/>
          </w:divBdr>
        </w:div>
        <w:div w:id="3114953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igsaw.vitalsource.com/books/9781317435839/epub/OEBPS/xhtml/tables.xhtml" TargetMode="External"/><Relationship Id="rId13" Type="http://schemas.openxmlformats.org/officeDocument/2006/relationships/hyperlink" Target="https://jigsaw.vitalsource.com/books/9781317435839/epub/OEBPS/xhtml/Ch017.xhtml" TargetMode="External"/><Relationship Id="rId18" Type="http://schemas.openxmlformats.org/officeDocument/2006/relationships/hyperlink" Target="https://jigsaw.vitalsource.com/books/9781317435839/epub/OEBPS/xhtml/Ch017.xhtml" TargetMode="External"/><Relationship Id="rId3" Type="http://schemas.openxmlformats.org/officeDocument/2006/relationships/settings" Target="settings.xml"/><Relationship Id="rId21" Type="http://schemas.openxmlformats.org/officeDocument/2006/relationships/hyperlink" Target="https://jigsaw.vitalsource.com/books/9781317435839/epub/OEBPS/xhtml/Ch017.xhtml" TargetMode="External"/><Relationship Id="rId7" Type="http://schemas.openxmlformats.org/officeDocument/2006/relationships/hyperlink" Target="https://jigsaw.vitalsource.com/books/9781317435839/epub/OEBPS/xhtml/Ch017.xhtml" TargetMode="External"/><Relationship Id="rId12" Type="http://schemas.openxmlformats.org/officeDocument/2006/relationships/hyperlink" Target="https://jigsaw.vitalsource.com/books/9781317435839/epub/OEBPS/xhtml/Ch017.xhtml" TargetMode="External"/><Relationship Id="rId17" Type="http://schemas.openxmlformats.org/officeDocument/2006/relationships/hyperlink" Target="https://jigsaw.vitalsource.com/books/9781317435839/epub/OEBPS/xhtml/Ch07.x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jigsaw.vitalsource.com/books/9781317435839/epub/OEBPS/xhtml/Ch019.xhtml" TargetMode="External"/><Relationship Id="rId20" Type="http://schemas.openxmlformats.org/officeDocument/2006/relationships/hyperlink" Target="https://jigsaw.vitalsource.com/books/9781317435839/epub/OEBPS/xhtml/tables.x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igsaw.vitalsource.com/books/9781317435839/epub/OEBPS/xhtml/Ch017.xhtm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jigsaw.vitalsource.com/books/9781317435839/epub/OEBPS/xhtml/Ch07.xhtml" TargetMode="External"/><Relationship Id="rId23" Type="http://schemas.openxmlformats.org/officeDocument/2006/relationships/footer" Target="footer1.xml"/><Relationship Id="rId10" Type="http://schemas.openxmlformats.org/officeDocument/2006/relationships/hyperlink" Target="https://jigsaw.vitalsource.com/books/9781317435839/epub/OEBPS/xhtml/Ch017.xhtml" TargetMode="External"/><Relationship Id="rId19" Type="http://schemas.openxmlformats.org/officeDocument/2006/relationships/hyperlink" Target="https://jigsaw.vitalsource.com/books/9781317435839/epub/OEBPS/xhtml/Ch017.xhtml" TargetMode="External"/><Relationship Id="rId4" Type="http://schemas.openxmlformats.org/officeDocument/2006/relationships/webSettings" Target="webSettings.xml"/><Relationship Id="rId9" Type="http://schemas.openxmlformats.org/officeDocument/2006/relationships/hyperlink" Target="https://jigsaw.vitalsource.com/books/9781317435839/epub/OEBPS/xhtml/Ch017.xhtml" TargetMode="External"/><Relationship Id="rId14" Type="http://schemas.openxmlformats.org/officeDocument/2006/relationships/hyperlink" Target="http://www.eib.org/epec"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14</Pages>
  <Words>7022</Words>
  <Characters>40032</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7</cp:revision>
  <cp:lastPrinted>2019-03-05T10:27:00Z</cp:lastPrinted>
  <dcterms:created xsi:type="dcterms:W3CDTF">2019-01-30T10:59:00Z</dcterms:created>
  <dcterms:modified xsi:type="dcterms:W3CDTF">2019-03-05T10:51:00Z</dcterms:modified>
</cp:coreProperties>
</file>