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6849AF" w14:textId="0E005553" w:rsidR="00AE4CE6" w:rsidRPr="00000E9F" w:rsidRDefault="00AE4CE6" w:rsidP="00AE4CE6">
      <w:pPr>
        <w:rPr>
          <w:rFonts w:ascii="Times New Roman" w:hAnsi="Times New Roman" w:cs="Times New Roman"/>
          <w:b/>
          <w:sz w:val="32"/>
          <w:szCs w:val="32"/>
        </w:rPr>
      </w:pPr>
      <w:r w:rsidRPr="00000E9F">
        <w:rPr>
          <w:rFonts w:ascii="Times New Roman" w:hAnsi="Times New Roman" w:cs="Times New Roman"/>
          <w:b/>
          <w:sz w:val="32"/>
          <w:szCs w:val="32"/>
        </w:rPr>
        <w:t>Rasha</w:t>
      </w:r>
      <w:r w:rsidR="0013590F">
        <w:rPr>
          <w:rFonts w:ascii="Times New Roman" w:hAnsi="Times New Roman" w:cs="Times New Roman"/>
          <w:b/>
          <w:sz w:val="32"/>
          <w:szCs w:val="32"/>
        </w:rPr>
        <w:t xml:space="preserve"> </w:t>
      </w:r>
      <w:r w:rsidR="002B4B30">
        <w:rPr>
          <w:rFonts w:ascii="Times New Roman" w:hAnsi="Times New Roman" w:cs="Times New Roman"/>
          <w:b/>
          <w:sz w:val="32"/>
          <w:szCs w:val="32"/>
        </w:rPr>
        <w:t xml:space="preserve">Hassan </w:t>
      </w:r>
      <w:r w:rsidR="002B4B30" w:rsidRPr="00000E9F">
        <w:rPr>
          <w:rFonts w:ascii="Times New Roman" w:hAnsi="Times New Roman" w:cs="Times New Roman"/>
          <w:b/>
          <w:sz w:val="32"/>
          <w:szCs w:val="32"/>
        </w:rPr>
        <w:t>Salim</w:t>
      </w:r>
    </w:p>
    <w:p w14:paraId="08DF829D" w14:textId="77777777" w:rsidR="00AE4CE6" w:rsidRPr="00000E9F" w:rsidRDefault="00AE4CE6" w:rsidP="00AE4CE6">
      <w:pPr>
        <w:rPr>
          <w:rFonts w:ascii="Times New Roman" w:hAnsi="Times New Roman" w:cs="Times New Roman"/>
          <w:b/>
          <w:sz w:val="32"/>
          <w:szCs w:val="32"/>
        </w:rPr>
      </w:pPr>
      <w:r w:rsidRPr="00000E9F">
        <w:rPr>
          <w:rFonts w:ascii="Times New Roman" w:hAnsi="Times New Roman" w:cs="Times New Roman"/>
          <w:b/>
          <w:sz w:val="32"/>
          <w:szCs w:val="32"/>
        </w:rPr>
        <w:t>Id:2024613</w:t>
      </w:r>
    </w:p>
    <w:p w14:paraId="01A271D1" w14:textId="77777777" w:rsidR="00AE4CE6" w:rsidRPr="00000E9F" w:rsidRDefault="00AE4CE6" w:rsidP="00AE4CE6">
      <w:pPr>
        <w:rPr>
          <w:rFonts w:ascii="Times New Roman" w:hAnsi="Times New Roman" w:cs="Times New Roman"/>
          <w:b/>
          <w:sz w:val="32"/>
          <w:szCs w:val="32"/>
        </w:rPr>
      </w:pPr>
      <w:r w:rsidRPr="00000E9F">
        <w:rPr>
          <w:rFonts w:ascii="Times New Roman" w:hAnsi="Times New Roman" w:cs="Times New Roman"/>
          <w:b/>
          <w:sz w:val="32"/>
          <w:szCs w:val="32"/>
        </w:rPr>
        <w:t>Criminal Law Assignment 1</w:t>
      </w:r>
    </w:p>
    <w:p w14:paraId="4FF51BEB" w14:textId="77777777" w:rsidR="00AE4CE6" w:rsidRDefault="00AE4CE6" w:rsidP="00AE4CE6">
      <w:pPr>
        <w:rPr>
          <w:rFonts w:ascii="Times New Roman" w:hAnsi="Times New Roman" w:cs="Times New Roman"/>
          <w:b/>
          <w:sz w:val="32"/>
          <w:szCs w:val="32"/>
        </w:rPr>
      </w:pPr>
      <w:r w:rsidRPr="00000E9F">
        <w:rPr>
          <w:rFonts w:ascii="Times New Roman" w:hAnsi="Times New Roman" w:cs="Times New Roman"/>
          <w:b/>
          <w:sz w:val="32"/>
          <w:szCs w:val="32"/>
        </w:rPr>
        <w:t>Cut of date: 05/03/2021.</w:t>
      </w:r>
    </w:p>
    <w:p w14:paraId="093CDAAC" w14:textId="77777777" w:rsidR="00AE4CE6" w:rsidRPr="00000E9F" w:rsidRDefault="00AE4CE6" w:rsidP="00AE4CE6">
      <w:pPr>
        <w:rPr>
          <w:rFonts w:ascii="Times New Roman" w:hAnsi="Times New Roman" w:cs="Times New Roman"/>
          <w:b/>
          <w:sz w:val="32"/>
          <w:szCs w:val="32"/>
        </w:rPr>
      </w:pPr>
    </w:p>
    <w:p w14:paraId="7E9D9E52" w14:textId="0CBDBA52" w:rsidR="00AE4CE6" w:rsidRDefault="00BF2B68" w:rsidP="00AE4CE6">
      <w:pPr>
        <w:rPr>
          <w:b/>
          <w:sz w:val="28"/>
          <w:szCs w:val="28"/>
        </w:rPr>
      </w:pPr>
      <w:r>
        <w:rPr>
          <w:b/>
          <w:sz w:val="28"/>
          <w:szCs w:val="28"/>
        </w:rPr>
        <w:t>The law in relation to non-fatal offences against the person is no longer fit for purpose and needs reform.</w:t>
      </w:r>
    </w:p>
    <w:p w14:paraId="5EBF411B" w14:textId="77777777" w:rsidR="00BF2B68" w:rsidRDefault="00BF2B68" w:rsidP="00564A3E">
      <w:pPr>
        <w:rPr>
          <w:rFonts w:ascii="Times New Roman" w:hAnsi="Times New Roman" w:cs="Times New Roman"/>
          <w:b/>
          <w:sz w:val="28"/>
          <w:szCs w:val="28"/>
          <w:u w:val="single"/>
        </w:rPr>
      </w:pPr>
    </w:p>
    <w:p w14:paraId="7FCFA593" w14:textId="77777777" w:rsidR="00AE4CE6" w:rsidRPr="00000E9F" w:rsidRDefault="00AE4CE6" w:rsidP="00564A3E">
      <w:pPr>
        <w:rPr>
          <w:rFonts w:ascii="Times New Roman" w:hAnsi="Times New Roman" w:cs="Times New Roman"/>
          <w:b/>
          <w:bCs/>
          <w:sz w:val="28"/>
          <w:szCs w:val="28"/>
        </w:rPr>
      </w:pPr>
      <w:r w:rsidRPr="00000E9F">
        <w:rPr>
          <w:rFonts w:ascii="Times New Roman" w:hAnsi="Times New Roman" w:cs="Times New Roman"/>
          <w:b/>
          <w:bCs/>
          <w:sz w:val="28"/>
          <w:szCs w:val="28"/>
        </w:rPr>
        <w:t>Introduction:</w:t>
      </w:r>
    </w:p>
    <w:p w14:paraId="5C0FE6EC" w14:textId="56B17471" w:rsidR="00AE4CE6" w:rsidRPr="00CA3059" w:rsidRDefault="00BF2B68"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Non-fatal offences law in</w:t>
      </w:r>
      <w:r w:rsidR="00AE4CE6" w:rsidRPr="00CA3059">
        <w:rPr>
          <w:rFonts w:asciiTheme="majorBidi" w:hAnsiTheme="majorBidi" w:cstheme="majorBidi"/>
          <w:sz w:val="28"/>
          <w:szCs w:val="28"/>
        </w:rPr>
        <w:t xml:space="preserve"> the United Kingdome are old and outdated. But due to its effectiveness therefore, some amendments are become necessary. Criminal laws deal with specific offense against the relevant person. In United Kingdom, it is considered as the group of acts and knows as the Criminal Law Consolidation Act 1861. </w:t>
      </w:r>
      <w:r w:rsidR="00BE6C9B" w:rsidRPr="00CA3059">
        <w:rPr>
          <w:rFonts w:asciiTheme="majorBidi" w:hAnsiTheme="majorBidi" w:cstheme="majorBidi"/>
          <w:sz w:val="28"/>
          <w:szCs w:val="28"/>
        </w:rPr>
        <w:t>Many of the laws presented for this are very restricted because they are based on time.</w:t>
      </w:r>
    </w:p>
    <w:p w14:paraId="1DB44091" w14:textId="032C9B89" w:rsidR="0013590F" w:rsidRPr="00CA3059" w:rsidRDefault="00AE4CE6"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 xml:space="preserve">The main purpose of the Criminal Law Consolidation Act 1861 is to simplify the complexions in the prevailing criminal law and these revised versions also called Peel’s Acts. These acts include The Accessories and Abettors Acts 1861 c. 94, The Criminal Statutes Repeal Act 1861 c.95 etc. The integral prospects in this act are of assaults. This law articulates the definition of Assault as an intentional or unwanted physical force which is used against the victim. It includes various actions including punching, kicking, etc. These physical forces can be direct or indirect. For example, if someone hits the victim unintentionally and the victim is carrying a baby in his/her lap, and due to the intentional force, that baby </w:t>
      </w:r>
      <w:r w:rsidR="00BF2B68" w:rsidRPr="00CA3059">
        <w:rPr>
          <w:rFonts w:asciiTheme="majorBidi" w:hAnsiTheme="majorBidi" w:cstheme="majorBidi"/>
          <w:sz w:val="28"/>
          <w:szCs w:val="28"/>
        </w:rPr>
        <w:t>falls</w:t>
      </w:r>
      <w:r w:rsidRPr="00CA3059">
        <w:rPr>
          <w:rFonts w:asciiTheme="majorBidi" w:hAnsiTheme="majorBidi" w:cstheme="majorBidi"/>
          <w:sz w:val="28"/>
          <w:szCs w:val="28"/>
        </w:rPr>
        <w:t xml:space="preserve">, it will also be an act of assault on the baby, which is not direct, along with the direct victim. </w:t>
      </w:r>
      <w:r w:rsidR="0013590F" w:rsidRPr="00CA3059">
        <w:rPr>
          <w:rFonts w:asciiTheme="majorBidi" w:hAnsiTheme="majorBidi" w:cstheme="majorBidi"/>
          <w:sz w:val="28"/>
          <w:szCs w:val="28"/>
        </w:rPr>
        <w:t>(law commission,2014)</w:t>
      </w:r>
    </w:p>
    <w:p w14:paraId="691AC293" w14:textId="271DCA1A" w:rsidR="00AE4CE6" w:rsidRPr="00CA3059" w:rsidRDefault="00AE4CE6" w:rsidP="00564A3E">
      <w:pPr>
        <w:spacing w:line="360" w:lineRule="auto"/>
        <w:rPr>
          <w:rFonts w:asciiTheme="majorBidi" w:hAnsiTheme="majorBidi" w:cstheme="majorBidi"/>
          <w:sz w:val="28"/>
          <w:szCs w:val="28"/>
        </w:rPr>
      </w:pPr>
    </w:p>
    <w:p w14:paraId="42A76F3F" w14:textId="1C16472B" w:rsidR="00AE4CE6" w:rsidRPr="00CA3059" w:rsidRDefault="00AE4CE6"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 xml:space="preserve">Section </w:t>
      </w:r>
      <w:r w:rsidR="00BF2B68" w:rsidRPr="00CA3059">
        <w:rPr>
          <w:rFonts w:asciiTheme="majorBidi" w:hAnsiTheme="majorBidi" w:cstheme="majorBidi"/>
          <w:sz w:val="28"/>
          <w:szCs w:val="28"/>
        </w:rPr>
        <w:t xml:space="preserve">20 assault </w:t>
      </w:r>
      <w:r w:rsidRPr="00CA3059">
        <w:rPr>
          <w:rFonts w:asciiTheme="majorBidi" w:hAnsiTheme="majorBidi" w:cstheme="majorBidi"/>
          <w:sz w:val="28"/>
          <w:szCs w:val="28"/>
        </w:rPr>
        <w:t xml:space="preserve">of the Criminal Law Consolidation Act </w:t>
      </w:r>
      <w:r w:rsidR="00BF2B68" w:rsidRPr="00CA3059">
        <w:rPr>
          <w:rFonts w:asciiTheme="majorBidi" w:hAnsiTheme="majorBidi" w:cstheme="majorBidi"/>
          <w:sz w:val="28"/>
          <w:szCs w:val="28"/>
        </w:rPr>
        <w:t>1861</w:t>
      </w:r>
      <w:r w:rsidRPr="00CA3059">
        <w:rPr>
          <w:rFonts w:asciiTheme="majorBidi" w:hAnsiTheme="majorBidi" w:cstheme="majorBidi"/>
          <w:sz w:val="28"/>
          <w:szCs w:val="28"/>
        </w:rPr>
        <w:t xml:space="preserve">. </w:t>
      </w:r>
      <w:r w:rsidR="002F26EE" w:rsidRPr="00CA3059">
        <w:rPr>
          <w:rFonts w:asciiTheme="majorBidi" w:hAnsiTheme="majorBidi" w:cstheme="majorBidi"/>
          <w:sz w:val="28"/>
          <w:szCs w:val="28"/>
        </w:rPr>
        <w:t xml:space="preserve">Where </w:t>
      </w:r>
      <w:r w:rsidR="002F26EE" w:rsidRPr="00CA3059">
        <w:rPr>
          <w:rFonts w:asciiTheme="majorBidi" w:hAnsiTheme="majorBidi" w:cstheme="majorBidi"/>
          <w:color w:val="333333"/>
          <w:sz w:val="28"/>
          <w:szCs w:val="28"/>
          <w:shd w:val="clear" w:color="auto" w:fill="FFFFFF"/>
        </w:rPr>
        <w:t>the Actus Reus of section 20 assault includes unlawful wounding and serious bodily harm.</w:t>
      </w:r>
      <w:r w:rsidR="002F26EE" w:rsidRPr="00CA3059">
        <w:rPr>
          <w:rFonts w:asciiTheme="majorBidi" w:hAnsiTheme="majorBidi" w:cstheme="majorBidi"/>
          <w:sz w:val="28"/>
          <w:szCs w:val="28"/>
        </w:rPr>
        <w:t xml:space="preserve">, while men reus of s.20 assault is the intention to cause harm to the victim. Regardless causing any harm to the victim and the defendant could charge only for </w:t>
      </w:r>
      <w:r w:rsidR="00CA3059" w:rsidRPr="00CA3059">
        <w:rPr>
          <w:rFonts w:asciiTheme="majorBidi" w:hAnsiTheme="majorBidi" w:cstheme="majorBidi"/>
          <w:sz w:val="28"/>
          <w:szCs w:val="28"/>
        </w:rPr>
        <w:t xml:space="preserve">ABH actual bodily </w:t>
      </w:r>
      <w:r w:rsidR="00564A3E" w:rsidRPr="00CA3059">
        <w:rPr>
          <w:rFonts w:asciiTheme="majorBidi" w:hAnsiTheme="majorBidi" w:cstheme="majorBidi"/>
          <w:sz w:val="28"/>
          <w:szCs w:val="28"/>
        </w:rPr>
        <w:t>harm.</w:t>
      </w:r>
      <w:r w:rsidR="00CA3059" w:rsidRPr="00CA3059">
        <w:rPr>
          <w:rFonts w:asciiTheme="majorBidi" w:hAnsiTheme="majorBidi" w:cstheme="majorBidi"/>
          <w:sz w:val="28"/>
          <w:szCs w:val="28"/>
        </w:rPr>
        <w:t xml:space="preserve"> with</w:t>
      </w:r>
      <w:r w:rsidR="002F26EE" w:rsidRPr="00CA3059">
        <w:rPr>
          <w:rFonts w:asciiTheme="majorBidi" w:hAnsiTheme="majorBidi" w:cstheme="majorBidi"/>
          <w:sz w:val="28"/>
          <w:szCs w:val="28"/>
        </w:rPr>
        <w:t xml:space="preserve"> the lowest penalty of maximum five years prisoned. While s.18 assault is the in serious with conviction with GBH. only by proofing the intention of the defendant </w:t>
      </w:r>
      <w:r w:rsidR="00CA3059" w:rsidRPr="00CA3059">
        <w:rPr>
          <w:rFonts w:asciiTheme="majorBidi" w:hAnsiTheme="majorBidi" w:cstheme="majorBidi"/>
          <w:sz w:val="28"/>
          <w:szCs w:val="28"/>
        </w:rPr>
        <w:t>without</w:t>
      </w:r>
      <w:r w:rsidR="002F26EE" w:rsidRPr="00CA3059">
        <w:rPr>
          <w:rFonts w:asciiTheme="majorBidi" w:hAnsiTheme="majorBidi" w:cstheme="majorBidi"/>
          <w:sz w:val="28"/>
          <w:szCs w:val="28"/>
        </w:rPr>
        <w:t xml:space="preserve"> causing any </w:t>
      </w:r>
      <w:r w:rsidR="00CA3059" w:rsidRPr="00CA3059">
        <w:rPr>
          <w:rFonts w:asciiTheme="majorBidi" w:hAnsiTheme="majorBidi" w:cstheme="majorBidi"/>
          <w:sz w:val="28"/>
          <w:szCs w:val="28"/>
        </w:rPr>
        <w:t>harm. this</w:t>
      </w:r>
      <w:r w:rsidR="002F26EE" w:rsidRPr="00CA3059">
        <w:rPr>
          <w:rFonts w:asciiTheme="majorBidi" w:hAnsiTheme="majorBidi" w:cstheme="majorBidi"/>
          <w:sz w:val="28"/>
          <w:szCs w:val="28"/>
        </w:rPr>
        <w:t xml:space="preserve"> part need reform considering mental and physical state for the </w:t>
      </w:r>
      <w:r w:rsidR="00CA3059" w:rsidRPr="00CA3059">
        <w:rPr>
          <w:rFonts w:asciiTheme="majorBidi" w:hAnsiTheme="majorBidi" w:cstheme="majorBidi"/>
          <w:sz w:val="28"/>
          <w:szCs w:val="28"/>
        </w:rPr>
        <w:t>victim.</w:t>
      </w:r>
    </w:p>
    <w:p w14:paraId="2C63A8AB" w14:textId="09A3EC72" w:rsidR="00AE4CE6" w:rsidRPr="00CA3059" w:rsidRDefault="00AE4CE6"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 xml:space="preserve">There are also many things which do not fall under the criteria of assault like the normal social interaction etc. For example, if someone patting the shoulder of other for the sake of embracing or touching anyone unintentionally is not an assault and will not be judged </w:t>
      </w:r>
      <w:r w:rsidR="00CA3059" w:rsidRPr="00CA3059">
        <w:rPr>
          <w:rFonts w:asciiTheme="majorBidi" w:hAnsiTheme="majorBidi" w:cstheme="majorBidi"/>
          <w:sz w:val="28"/>
          <w:szCs w:val="28"/>
        </w:rPr>
        <w:t>based on</w:t>
      </w:r>
      <w:r w:rsidRPr="00CA3059">
        <w:rPr>
          <w:rFonts w:asciiTheme="majorBidi" w:hAnsiTheme="majorBidi" w:cstheme="majorBidi"/>
          <w:sz w:val="28"/>
          <w:szCs w:val="28"/>
        </w:rPr>
        <w:t xml:space="preserve"> criteria made for an assault. The punishments in this statue include the basic offense having punishment of maximum two years, aggravated offense having the punishment of maximum 3 years imprisonment etc. </w:t>
      </w:r>
    </w:p>
    <w:p w14:paraId="064A675D" w14:textId="66E4076A" w:rsidR="00AE4CE6" w:rsidRPr="00CA3059" w:rsidRDefault="00AE4CE6"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 xml:space="preserve">The other distinction can be made </w:t>
      </w:r>
      <w:r w:rsidR="00CC6ACF" w:rsidRPr="00CA3059">
        <w:rPr>
          <w:rFonts w:asciiTheme="majorBidi" w:hAnsiTheme="majorBidi" w:cstheme="majorBidi"/>
          <w:sz w:val="28"/>
          <w:szCs w:val="28"/>
        </w:rPr>
        <w:t>based on</w:t>
      </w:r>
      <w:r w:rsidRPr="00CA3059">
        <w:rPr>
          <w:rFonts w:asciiTheme="majorBidi" w:hAnsiTheme="majorBidi" w:cstheme="majorBidi"/>
          <w:sz w:val="28"/>
          <w:szCs w:val="28"/>
        </w:rPr>
        <w:t xml:space="preserve"> severity of assault like those assaults which are causing serious harm to the defendant. Serious harms are those categories of assault which can put the life of the person of stake or death. The punishment in these cases is between 20 to 25 years imprisonment. </w:t>
      </w:r>
    </w:p>
    <w:p w14:paraId="6F6C19F2" w14:textId="77777777" w:rsidR="00AE4CE6" w:rsidRPr="00CA3059" w:rsidRDefault="00AE4CE6"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This law has several enticing features which are necessary to be deliberated. In the contemporary era, this law allows the defendants to take legal advocate and those who cannot afford the lawyer pertaining to that matter; the state is liable to provide them the lawyer in order to commence the legal procedure. This law does not consider any myths and rumors as a valid and transparent evidence unless the defendant concedes that those words were articulated by him either intentionally or unintentionally.</w:t>
      </w:r>
    </w:p>
    <w:p w14:paraId="212C5DD7" w14:textId="77777777" w:rsidR="00AE4CE6" w:rsidRPr="00CA3059" w:rsidRDefault="00AE4CE6"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lastRenderedPageBreak/>
        <w:t xml:space="preserve">In this law of UK, the role of criminal litigation is crucial to be elaborated. The process of trying a criminal defendant in the courts in UK is criminal litigation. Those who defend the criminals in the court of law are the criminal litigators and they can be broadly categorized into two broader ways. One is the criminal prosecutor who is the representative of the government and defends the case of government against the defendant. The other one is the criminal defense attorneys, who work for the sole interest of the defendant. Another difference between these is that the criminal prosecutor works at federal or state level and on the other hand, the main task of criminal defense attorneys is carried out through private practices. They have expertise in various areas of crime including white-collar crimes, violent crimes, trafficking, drugs, rape etc. </w:t>
      </w:r>
    </w:p>
    <w:p w14:paraId="3E18BD93" w14:textId="77777777" w:rsidR="00AE4CE6" w:rsidRPr="00CA3059" w:rsidRDefault="00AE4CE6" w:rsidP="00564A3E">
      <w:pPr>
        <w:rPr>
          <w:rFonts w:asciiTheme="majorBidi" w:hAnsiTheme="majorBidi" w:cstheme="majorBidi"/>
          <w:b/>
          <w:sz w:val="28"/>
          <w:szCs w:val="28"/>
          <w:u w:val="single"/>
        </w:rPr>
      </w:pPr>
    </w:p>
    <w:p w14:paraId="562D7A48" w14:textId="77777777" w:rsidR="00AE4CE6" w:rsidRPr="00CA3059" w:rsidRDefault="00AE4CE6" w:rsidP="00564A3E">
      <w:pPr>
        <w:rPr>
          <w:rFonts w:asciiTheme="majorBidi" w:hAnsiTheme="majorBidi" w:cstheme="majorBidi"/>
          <w:b/>
          <w:sz w:val="28"/>
          <w:szCs w:val="28"/>
          <w:u w:val="single"/>
        </w:rPr>
      </w:pPr>
    </w:p>
    <w:p w14:paraId="29B8F9BE" w14:textId="5BCA21FB" w:rsidR="00AE4CE6" w:rsidRPr="00CA3059" w:rsidRDefault="00AE4CE6"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An act to integrate and adapt the representation Law of Ireland and England relating to Offence against the person. It is considered as a group of Acts which is sometimes referred to as the Criminal Law Consolidation Act 1861. OAPA (Offence Against the Person Act 1861) has been greatly criticized because this act is outdated and there is a need for reformation in this Act. Act of 1861 is brought together</w:t>
      </w:r>
      <w:r w:rsidR="00CC6ACF" w:rsidRPr="00CA3059">
        <w:rPr>
          <w:rFonts w:asciiTheme="majorBidi" w:hAnsiTheme="majorBidi" w:cstheme="majorBidi"/>
          <w:sz w:val="28"/>
          <w:szCs w:val="28"/>
        </w:rPr>
        <w:t xml:space="preserve"> crimes from</w:t>
      </w:r>
      <w:r w:rsidRPr="00CA3059">
        <w:rPr>
          <w:rFonts w:asciiTheme="majorBidi" w:hAnsiTheme="majorBidi" w:cstheme="majorBidi"/>
          <w:sz w:val="28"/>
          <w:szCs w:val="28"/>
        </w:rPr>
        <w:t xml:space="preserve"> different sources. However, some show </w:t>
      </w:r>
      <w:r w:rsidR="00CC6ACF" w:rsidRPr="00CA3059">
        <w:rPr>
          <w:rFonts w:asciiTheme="majorBidi" w:hAnsiTheme="majorBidi" w:cstheme="majorBidi"/>
          <w:sz w:val="28"/>
          <w:szCs w:val="28"/>
        </w:rPr>
        <w:t>there</w:t>
      </w:r>
      <w:r w:rsidRPr="00CA3059">
        <w:rPr>
          <w:rFonts w:asciiTheme="majorBidi" w:hAnsiTheme="majorBidi" w:cstheme="majorBidi"/>
          <w:sz w:val="28"/>
          <w:szCs w:val="28"/>
        </w:rPr>
        <w:t xml:space="preserve">. </w:t>
      </w:r>
      <w:r w:rsidR="00CC6ACF" w:rsidRPr="00CA3059">
        <w:rPr>
          <w:rFonts w:asciiTheme="majorBidi" w:hAnsiTheme="majorBidi" w:cstheme="majorBidi"/>
          <w:sz w:val="28"/>
          <w:szCs w:val="28"/>
        </w:rPr>
        <w:t xml:space="preserve">In this essay present </w:t>
      </w:r>
      <w:r w:rsidRPr="00CA3059">
        <w:rPr>
          <w:rFonts w:asciiTheme="majorBidi" w:hAnsiTheme="majorBidi" w:cstheme="majorBidi"/>
          <w:sz w:val="28"/>
          <w:szCs w:val="28"/>
        </w:rPr>
        <w:t xml:space="preserve">law on non-fatal crimes with regards to an assault. </w:t>
      </w:r>
    </w:p>
    <w:p w14:paraId="4E729428" w14:textId="1CAAAC7B" w:rsidR="00BE6C9B" w:rsidRPr="00CA3059" w:rsidRDefault="00BE6C9B" w:rsidP="00564A3E">
      <w:pPr>
        <w:spacing w:line="360" w:lineRule="auto"/>
        <w:rPr>
          <w:rFonts w:asciiTheme="majorBidi" w:hAnsiTheme="majorBidi" w:cstheme="majorBidi"/>
          <w:sz w:val="28"/>
          <w:szCs w:val="28"/>
        </w:rPr>
      </w:pPr>
    </w:p>
    <w:p w14:paraId="703F64F4" w14:textId="77777777" w:rsidR="00BE6C9B" w:rsidRPr="00CA3059" w:rsidRDefault="00BE6C9B"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 xml:space="preserve">The older offenses against the Person Act 1861 are highly downgraded by today’s criminal lawyers. There are many provisions of this Act that were rejected by the Court of Appeal. Except for a few provisions, all others were not accepted by the House of the Lords and the whole structure was declared as illogical. The 18, 20, and 47 sections of the Act dealing with the offenses against non-fatal and non-sexual kind persons. The main headings that cover </w:t>
      </w:r>
      <w:r w:rsidRPr="00CA3059">
        <w:rPr>
          <w:rFonts w:asciiTheme="majorBidi" w:hAnsiTheme="majorBidi" w:cstheme="majorBidi"/>
          <w:sz w:val="28"/>
          <w:szCs w:val="28"/>
        </w:rPr>
        <w:lastRenderedPageBreak/>
        <w:t>these dealing come under the heading of individuality, stressing, and adaptation</w:t>
      </w:r>
      <w:sdt>
        <w:sdtPr>
          <w:rPr>
            <w:rFonts w:asciiTheme="majorBidi" w:hAnsiTheme="majorBidi" w:cstheme="majorBidi"/>
            <w:sz w:val="28"/>
            <w:szCs w:val="28"/>
          </w:rPr>
          <w:id w:val="284858228"/>
          <w:citation/>
        </w:sdtPr>
        <w:sdtEndPr/>
        <w:sdtContent>
          <w:r w:rsidRPr="00CA3059">
            <w:rPr>
              <w:rFonts w:asciiTheme="majorBidi" w:hAnsiTheme="majorBidi" w:cstheme="majorBidi"/>
              <w:sz w:val="28"/>
              <w:szCs w:val="28"/>
            </w:rPr>
            <w:fldChar w:fldCharType="begin"/>
          </w:r>
          <w:r w:rsidRPr="00CA3059">
            <w:rPr>
              <w:rFonts w:asciiTheme="majorBidi" w:hAnsiTheme="majorBidi" w:cstheme="majorBidi"/>
              <w:sz w:val="28"/>
              <w:szCs w:val="28"/>
            </w:rPr>
            <w:instrText xml:space="preserve"> CITATION Joh94 \l 1033 </w:instrText>
          </w:r>
          <w:r w:rsidRPr="00CA3059">
            <w:rPr>
              <w:rFonts w:asciiTheme="majorBidi" w:hAnsiTheme="majorBidi" w:cstheme="majorBidi"/>
              <w:sz w:val="28"/>
              <w:szCs w:val="28"/>
            </w:rPr>
            <w:fldChar w:fldCharType="separate"/>
          </w:r>
          <w:r w:rsidRPr="00CA3059">
            <w:rPr>
              <w:rFonts w:asciiTheme="majorBidi" w:hAnsiTheme="majorBidi" w:cstheme="majorBidi"/>
              <w:noProof/>
              <w:sz w:val="28"/>
              <w:szCs w:val="28"/>
            </w:rPr>
            <w:t xml:space="preserve"> (Gardner, 1994)</w:t>
          </w:r>
          <w:r w:rsidRPr="00CA3059">
            <w:rPr>
              <w:rFonts w:asciiTheme="majorBidi" w:hAnsiTheme="majorBidi" w:cstheme="majorBidi"/>
              <w:sz w:val="28"/>
              <w:szCs w:val="28"/>
            </w:rPr>
            <w:fldChar w:fldCharType="end"/>
          </w:r>
        </w:sdtContent>
      </w:sdt>
      <w:r w:rsidRPr="00CA3059">
        <w:rPr>
          <w:rFonts w:asciiTheme="majorBidi" w:hAnsiTheme="majorBidi" w:cstheme="majorBidi"/>
          <w:sz w:val="28"/>
          <w:szCs w:val="28"/>
        </w:rPr>
        <w:t>.</w:t>
      </w:r>
    </w:p>
    <w:p w14:paraId="4B10DD0D" w14:textId="77777777" w:rsidR="00BE6C9B" w:rsidRPr="00CA3059" w:rsidRDefault="00BE6C9B"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Similarly, some reforms are also made in Act of 1861 by the Law of Commission. It is proposed that modifications should be simple, clear, and up to date. The new representation of the Act should consider the following principles which are taken from Substitute Care Provider (SCP). These include:</w:t>
      </w:r>
    </w:p>
    <w:p w14:paraId="4E26DCDE" w14:textId="1443A727" w:rsidR="00BE6C9B" w:rsidRPr="00564A3E" w:rsidRDefault="00BE6C9B" w:rsidP="00564A3E">
      <w:pPr>
        <w:tabs>
          <w:tab w:val="left" w:pos="420"/>
        </w:tabs>
        <w:spacing w:after="0" w:line="360" w:lineRule="auto"/>
        <w:rPr>
          <w:rFonts w:asciiTheme="majorBidi" w:hAnsiTheme="majorBidi" w:cstheme="majorBidi"/>
          <w:sz w:val="28"/>
          <w:szCs w:val="28"/>
        </w:rPr>
      </w:pPr>
      <w:r w:rsidRPr="00CA3059">
        <w:rPr>
          <w:rFonts w:asciiTheme="majorBidi" w:hAnsiTheme="majorBidi" w:cstheme="majorBidi"/>
          <w:sz w:val="28"/>
          <w:szCs w:val="28"/>
        </w:rPr>
        <w:t>It should give a clear social scale of crimes from serious most to least one. The place of every crime in ranking should consider</w:t>
      </w:r>
      <w:r w:rsidR="00564A3E">
        <w:rPr>
          <w:rFonts w:asciiTheme="majorBidi" w:hAnsiTheme="majorBidi" w:cstheme="majorBidi"/>
          <w:sz w:val="28"/>
          <w:szCs w:val="28"/>
        </w:rPr>
        <w:t xml:space="preserve"> </w:t>
      </w:r>
      <w:r w:rsidR="00564A3E" w:rsidRPr="00CA3059">
        <w:rPr>
          <w:rFonts w:asciiTheme="majorBidi" w:hAnsiTheme="majorBidi" w:cstheme="majorBidi"/>
          <w:sz w:val="28"/>
          <w:szCs w:val="28"/>
        </w:rPr>
        <w:t>the</w:t>
      </w:r>
      <w:r w:rsidRPr="00CA3059">
        <w:rPr>
          <w:rFonts w:asciiTheme="majorBidi" w:hAnsiTheme="majorBidi" w:cstheme="majorBidi"/>
          <w:sz w:val="28"/>
          <w:szCs w:val="28"/>
        </w:rPr>
        <w:t xml:space="preserve"> damage caused; </w:t>
      </w:r>
      <w:r w:rsidR="00564A3E" w:rsidRPr="00CA3059">
        <w:rPr>
          <w:rFonts w:asciiTheme="majorBidi" w:hAnsiTheme="majorBidi" w:cstheme="majorBidi"/>
          <w:sz w:val="28"/>
          <w:szCs w:val="28"/>
        </w:rPr>
        <w:t>and, The</w:t>
      </w:r>
      <w:r w:rsidRPr="00CA3059">
        <w:rPr>
          <w:rFonts w:asciiTheme="majorBidi" w:hAnsiTheme="majorBidi" w:cstheme="majorBidi"/>
          <w:sz w:val="28"/>
          <w:szCs w:val="28"/>
        </w:rPr>
        <w:t xml:space="preserve"> accountability of </w:t>
      </w:r>
      <w:r w:rsidR="00564A3E" w:rsidRPr="00CA3059">
        <w:rPr>
          <w:rFonts w:asciiTheme="majorBidi" w:hAnsiTheme="majorBidi" w:cstheme="majorBidi"/>
          <w:sz w:val="28"/>
          <w:szCs w:val="28"/>
        </w:rPr>
        <w:t>defendant.</w:t>
      </w:r>
      <w:r w:rsidR="00564A3E" w:rsidRPr="00564A3E">
        <w:rPr>
          <w:rFonts w:asciiTheme="majorBidi" w:hAnsiTheme="majorBidi" w:cstheme="majorBidi"/>
          <w:sz w:val="28"/>
          <w:szCs w:val="28"/>
        </w:rPr>
        <w:t xml:space="preserve"> And</w:t>
      </w:r>
      <w:r w:rsidRPr="00564A3E">
        <w:rPr>
          <w:rFonts w:asciiTheme="majorBidi" w:hAnsiTheme="majorBidi" w:cstheme="majorBidi"/>
          <w:sz w:val="28"/>
          <w:szCs w:val="28"/>
        </w:rPr>
        <w:t xml:space="preserve"> maximum sanction should be in distribution.</w:t>
      </w:r>
    </w:p>
    <w:p w14:paraId="39A81B47" w14:textId="06260637" w:rsidR="00BE6C9B" w:rsidRPr="00CA3059" w:rsidRDefault="00BE6C9B" w:rsidP="00564A3E">
      <w:pPr>
        <w:tabs>
          <w:tab w:val="left" w:pos="425"/>
        </w:tabs>
        <w:spacing w:after="0" w:line="360" w:lineRule="auto"/>
        <w:rPr>
          <w:rFonts w:asciiTheme="majorBidi" w:hAnsiTheme="majorBidi" w:cstheme="majorBidi"/>
          <w:sz w:val="28"/>
          <w:szCs w:val="28"/>
        </w:rPr>
      </w:pPr>
      <w:r w:rsidRPr="00CA3059">
        <w:rPr>
          <w:rFonts w:asciiTheme="majorBidi" w:hAnsiTheme="majorBidi" w:cstheme="majorBidi"/>
          <w:sz w:val="28"/>
          <w:szCs w:val="28"/>
        </w:rPr>
        <w:t xml:space="preserve">Every crime should give an accurate and clear label for the deportment in the question and should be described in a language that easy and simple to </w:t>
      </w:r>
      <w:r w:rsidR="00564A3E" w:rsidRPr="00CA3059">
        <w:rPr>
          <w:rFonts w:asciiTheme="majorBidi" w:hAnsiTheme="majorBidi" w:cstheme="majorBidi"/>
          <w:sz w:val="28"/>
          <w:szCs w:val="28"/>
        </w:rPr>
        <w:t>understand. Every</w:t>
      </w:r>
      <w:r w:rsidRPr="00CA3059">
        <w:rPr>
          <w:rFonts w:asciiTheme="majorBidi" w:hAnsiTheme="majorBidi" w:cstheme="majorBidi"/>
          <w:sz w:val="28"/>
          <w:szCs w:val="28"/>
        </w:rPr>
        <w:t xml:space="preserve"> part of an offense, either it is a mental element or an external component, should be formulated clearly and not left for the </w:t>
      </w:r>
      <w:r w:rsidR="00564A3E" w:rsidRPr="00CA3059">
        <w:rPr>
          <w:rFonts w:asciiTheme="majorBidi" w:hAnsiTheme="majorBidi" w:cstheme="majorBidi"/>
          <w:sz w:val="28"/>
          <w:szCs w:val="28"/>
        </w:rPr>
        <w:t>suggestion. The</w:t>
      </w:r>
      <w:r w:rsidRPr="00CA3059">
        <w:rPr>
          <w:rFonts w:asciiTheme="majorBidi" w:hAnsiTheme="majorBidi" w:cstheme="majorBidi"/>
          <w:sz w:val="28"/>
          <w:szCs w:val="28"/>
        </w:rPr>
        <w:t xml:space="preserve"> offenses should be withdrawn in a way that </w:t>
      </w:r>
      <w:r w:rsidR="00180EC6" w:rsidRPr="00CA3059">
        <w:rPr>
          <w:rFonts w:asciiTheme="majorBidi" w:hAnsiTheme="majorBidi" w:cstheme="majorBidi"/>
          <w:sz w:val="28"/>
          <w:szCs w:val="28"/>
        </w:rPr>
        <w:t>all</w:t>
      </w:r>
      <w:r w:rsidRPr="00CA3059">
        <w:rPr>
          <w:rFonts w:asciiTheme="majorBidi" w:hAnsiTheme="majorBidi" w:cstheme="majorBidi"/>
          <w:sz w:val="28"/>
          <w:szCs w:val="28"/>
        </w:rPr>
        <w:t xml:space="preserve"> the crimes are attempted in a tribunal at the appropriate level. </w:t>
      </w:r>
    </w:p>
    <w:p w14:paraId="012B4239" w14:textId="77777777" w:rsidR="00BE6C9B" w:rsidRPr="00CA3059" w:rsidRDefault="00BE6C9B" w:rsidP="00564A3E">
      <w:pPr>
        <w:tabs>
          <w:tab w:val="left" w:pos="425"/>
        </w:tabs>
        <w:spacing w:after="0" w:line="360" w:lineRule="auto"/>
        <w:rPr>
          <w:rFonts w:asciiTheme="majorBidi" w:hAnsiTheme="majorBidi" w:cstheme="majorBidi"/>
          <w:sz w:val="28"/>
          <w:szCs w:val="28"/>
        </w:rPr>
      </w:pPr>
      <w:r w:rsidRPr="00CA3059">
        <w:rPr>
          <w:rFonts w:asciiTheme="majorBidi" w:hAnsiTheme="majorBidi" w:cstheme="majorBidi"/>
          <w:sz w:val="28"/>
          <w:szCs w:val="28"/>
        </w:rPr>
        <w:t>Offenses should not be extended without any reason. In general, the appellant should not be punished for harm that is unforeseeable and inadvertently caused.</w:t>
      </w:r>
    </w:p>
    <w:p w14:paraId="7398267F" w14:textId="77777777" w:rsidR="00BE6C9B" w:rsidRPr="00CA3059" w:rsidRDefault="00BE6C9B"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However, some opposed the reforms such as the Criminal Bar Association and Bar Council both claimed that defects in the Act were largely conjectural and that its constitutional meaning had worked well and largely settled by the judiciary decisions. It was also argued that comprehensive replacements should not be made, but only small changes could be made to the raking of offenses</w:t>
      </w:r>
      <w:sdt>
        <w:sdtPr>
          <w:rPr>
            <w:rFonts w:asciiTheme="majorBidi" w:hAnsiTheme="majorBidi" w:cstheme="majorBidi"/>
            <w:sz w:val="28"/>
            <w:szCs w:val="28"/>
          </w:rPr>
          <w:id w:val="129218699"/>
          <w:citation/>
        </w:sdtPr>
        <w:sdtEndPr/>
        <w:sdtContent>
          <w:r w:rsidRPr="00CA3059">
            <w:rPr>
              <w:rFonts w:asciiTheme="majorBidi" w:hAnsiTheme="majorBidi" w:cstheme="majorBidi"/>
              <w:sz w:val="28"/>
              <w:szCs w:val="28"/>
            </w:rPr>
            <w:fldChar w:fldCharType="begin"/>
          </w:r>
          <w:r w:rsidRPr="00CA3059">
            <w:rPr>
              <w:rFonts w:asciiTheme="majorBidi" w:hAnsiTheme="majorBidi" w:cstheme="majorBidi"/>
              <w:sz w:val="28"/>
              <w:szCs w:val="28"/>
            </w:rPr>
            <w:instrText xml:space="preserve"> CITATION Com15 \l 1033 </w:instrText>
          </w:r>
          <w:r w:rsidRPr="00CA3059">
            <w:rPr>
              <w:rFonts w:asciiTheme="majorBidi" w:hAnsiTheme="majorBidi" w:cstheme="majorBidi"/>
              <w:sz w:val="28"/>
              <w:szCs w:val="28"/>
            </w:rPr>
            <w:fldChar w:fldCharType="separate"/>
          </w:r>
          <w:r w:rsidRPr="00CA3059">
            <w:rPr>
              <w:rFonts w:asciiTheme="majorBidi" w:hAnsiTheme="majorBidi" w:cstheme="majorBidi"/>
              <w:noProof/>
              <w:sz w:val="28"/>
              <w:szCs w:val="28"/>
            </w:rPr>
            <w:t xml:space="preserve"> (Commission, 2015)</w:t>
          </w:r>
          <w:r w:rsidRPr="00CA3059">
            <w:rPr>
              <w:rFonts w:asciiTheme="majorBidi" w:hAnsiTheme="majorBidi" w:cstheme="majorBidi"/>
              <w:sz w:val="28"/>
              <w:szCs w:val="28"/>
            </w:rPr>
            <w:fldChar w:fldCharType="end"/>
          </w:r>
        </w:sdtContent>
      </w:sdt>
      <w:r w:rsidRPr="00CA3059">
        <w:rPr>
          <w:rFonts w:asciiTheme="majorBidi" w:hAnsiTheme="majorBidi" w:cstheme="majorBidi"/>
          <w:sz w:val="28"/>
          <w:szCs w:val="28"/>
        </w:rPr>
        <w:t>.</w:t>
      </w:r>
    </w:p>
    <w:p w14:paraId="7DAA3E25" w14:textId="4BC293F3" w:rsidR="00BE6C9B" w:rsidRPr="00CA3059" w:rsidRDefault="00BE6C9B"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 xml:space="preserve">According to reforms designed by the Law of Commission in 2015 stated that maximum penalty for relatively smaller assaults is about six months of custody, while the maximum penalty for the GBH (grievous bodily harm) is a life sentence. Regarding this the Law of Commission has made some </w:t>
      </w:r>
      <w:r w:rsidR="00564A3E" w:rsidRPr="00CA3059">
        <w:rPr>
          <w:rFonts w:asciiTheme="majorBidi" w:hAnsiTheme="majorBidi" w:cstheme="majorBidi"/>
          <w:sz w:val="28"/>
          <w:szCs w:val="28"/>
        </w:rPr>
        <w:t>implications;</w:t>
      </w:r>
      <w:r w:rsidRPr="00CA3059">
        <w:rPr>
          <w:rFonts w:asciiTheme="majorBidi" w:hAnsiTheme="majorBidi" w:cstheme="majorBidi"/>
          <w:sz w:val="28"/>
          <w:szCs w:val="28"/>
        </w:rPr>
        <w:t xml:space="preserve"> </w:t>
      </w:r>
      <w:r w:rsidR="00564A3E" w:rsidRPr="00CA3059">
        <w:rPr>
          <w:rFonts w:asciiTheme="majorBidi" w:hAnsiTheme="majorBidi" w:cstheme="majorBidi"/>
          <w:sz w:val="28"/>
          <w:szCs w:val="28"/>
        </w:rPr>
        <w:lastRenderedPageBreak/>
        <w:t>the</w:t>
      </w:r>
      <w:r w:rsidRPr="00CA3059">
        <w:rPr>
          <w:rFonts w:asciiTheme="majorBidi" w:hAnsiTheme="majorBidi" w:cstheme="majorBidi"/>
          <w:sz w:val="28"/>
          <w:szCs w:val="28"/>
        </w:rPr>
        <w:t xml:space="preserve"> present law and principle should be modernized according to the needs of the </w:t>
      </w:r>
      <w:r w:rsidR="00564A3E" w:rsidRPr="00CA3059">
        <w:rPr>
          <w:rFonts w:asciiTheme="majorBidi" w:hAnsiTheme="majorBidi" w:cstheme="majorBidi"/>
          <w:sz w:val="28"/>
          <w:szCs w:val="28"/>
        </w:rPr>
        <w:t>time. The</w:t>
      </w:r>
      <w:r w:rsidRPr="00CA3059">
        <w:rPr>
          <w:rFonts w:asciiTheme="majorBidi" w:hAnsiTheme="majorBidi" w:cstheme="majorBidi"/>
          <w:sz w:val="28"/>
          <w:szCs w:val="28"/>
        </w:rPr>
        <w:t xml:space="preserve"> Act of 1861 should be replaced by a new Act of </w:t>
      </w:r>
      <w:r w:rsidR="00564A3E" w:rsidRPr="00CA3059">
        <w:rPr>
          <w:rFonts w:asciiTheme="majorBidi" w:hAnsiTheme="majorBidi" w:cstheme="majorBidi"/>
          <w:sz w:val="28"/>
          <w:szCs w:val="28"/>
        </w:rPr>
        <w:t>Parliament. A</w:t>
      </w:r>
      <w:r w:rsidRPr="00CA3059">
        <w:rPr>
          <w:rFonts w:asciiTheme="majorBidi" w:hAnsiTheme="majorBidi" w:cstheme="majorBidi"/>
          <w:sz w:val="28"/>
          <w:szCs w:val="28"/>
        </w:rPr>
        <w:t xml:space="preserve"> new offence is required for bridging the gap between section 47 and the common principal offenses of battery and assault</w:t>
      </w:r>
      <w:sdt>
        <w:sdtPr>
          <w:rPr>
            <w:rFonts w:asciiTheme="majorBidi" w:hAnsiTheme="majorBidi" w:cstheme="majorBidi"/>
            <w:sz w:val="28"/>
            <w:szCs w:val="28"/>
          </w:rPr>
          <w:id w:val="1014968141"/>
          <w:citation/>
        </w:sdtPr>
        <w:sdtEndPr/>
        <w:sdtContent>
          <w:r w:rsidRPr="00CA3059">
            <w:rPr>
              <w:rFonts w:asciiTheme="majorBidi" w:hAnsiTheme="majorBidi" w:cstheme="majorBidi"/>
              <w:sz w:val="28"/>
              <w:szCs w:val="28"/>
            </w:rPr>
            <w:fldChar w:fldCharType="begin"/>
          </w:r>
          <w:r w:rsidRPr="00CA3059">
            <w:rPr>
              <w:rFonts w:asciiTheme="majorBidi" w:hAnsiTheme="majorBidi" w:cstheme="majorBidi"/>
              <w:sz w:val="28"/>
              <w:szCs w:val="28"/>
            </w:rPr>
            <w:instrText xml:space="preserve"> CITATION Dem21 \l 1033 </w:instrText>
          </w:r>
          <w:r w:rsidRPr="00CA3059">
            <w:rPr>
              <w:rFonts w:asciiTheme="majorBidi" w:hAnsiTheme="majorBidi" w:cstheme="majorBidi"/>
              <w:sz w:val="28"/>
              <w:szCs w:val="28"/>
            </w:rPr>
            <w:fldChar w:fldCharType="separate"/>
          </w:r>
          <w:r w:rsidRPr="00CA3059">
            <w:rPr>
              <w:rFonts w:asciiTheme="majorBidi" w:hAnsiTheme="majorBidi" w:cstheme="majorBidi"/>
              <w:noProof/>
              <w:sz w:val="28"/>
              <w:szCs w:val="28"/>
            </w:rPr>
            <w:t xml:space="preserve"> (Demetriou, 2016)</w:t>
          </w:r>
          <w:r w:rsidRPr="00CA3059">
            <w:rPr>
              <w:rFonts w:asciiTheme="majorBidi" w:hAnsiTheme="majorBidi" w:cstheme="majorBidi"/>
              <w:sz w:val="28"/>
              <w:szCs w:val="28"/>
            </w:rPr>
            <w:fldChar w:fldCharType="end"/>
          </w:r>
        </w:sdtContent>
      </w:sdt>
      <w:r w:rsidRPr="00CA3059">
        <w:rPr>
          <w:rFonts w:asciiTheme="majorBidi" w:hAnsiTheme="majorBidi" w:cstheme="majorBidi"/>
          <w:sz w:val="28"/>
          <w:szCs w:val="28"/>
        </w:rPr>
        <w:t>.</w:t>
      </w:r>
    </w:p>
    <w:p w14:paraId="071F0DE7" w14:textId="2455102F" w:rsidR="00BE6C9B" w:rsidRPr="00CA3059" w:rsidRDefault="00BE6C9B"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 xml:space="preserve">Hence, it can be deduced from the above discussion that the Offenses against Person Act 1861 is a law for offences against a person. Different types of penalties have been described for various crimes. Law of Commission. </w:t>
      </w:r>
    </w:p>
    <w:p w14:paraId="5AA7BE61" w14:textId="77777777" w:rsidR="00BE6C9B" w:rsidRPr="00CA3059" w:rsidRDefault="00BE6C9B" w:rsidP="00564A3E">
      <w:pPr>
        <w:spacing w:line="360" w:lineRule="auto"/>
        <w:rPr>
          <w:rFonts w:asciiTheme="majorBidi" w:hAnsiTheme="majorBidi" w:cstheme="majorBidi"/>
          <w:sz w:val="28"/>
          <w:szCs w:val="28"/>
        </w:rPr>
      </w:pPr>
    </w:p>
    <w:p w14:paraId="11A35951" w14:textId="5BF7174D" w:rsidR="00564A3E" w:rsidRDefault="00AE4CE6" w:rsidP="00564A3E">
      <w:pPr>
        <w:rPr>
          <w:rFonts w:asciiTheme="majorBidi" w:hAnsiTheme="majorBidi" w:cstheme="majorBidi"/>
          <w:sz w:val="28"/>
          <w:szCs w:val="28"/>
        </w:rPr>
      </w:pPr>
      <w:r w:rsidRPr="00564A3E">
        <w:rPr>
          <w:rFonts w:asciiTheme="majorBidi" w:hAnsiTheme="majorBidi" w:cstheme="majorBidi"/>
          <w:sz w:val="28"/>
          <w:szCs w:val="28"/>
        </w:rPr>
        <w:t xml:space="preserve">An assault is a traditional law offence, and it can be any act that causes a </w:t>
      </w:r>
      <w:r w:rsidR="00564A3E" w:rsidRPr="00564A3E">
        <w:rPr>
          <w:rFonts w:asciiTheme="majorBidi" w:hAnsiTheme="majorBidi" w:cstheme="majorBidi"/>
          <w:sz w:val="28"/>
          <w:szCs w:val="28"/>
        </w:rPr>
        <w:t>person.</w:t>
      </w:r>
      <w:r w:rsidRPr="00564A3E">
        <w:rPr>
          <w:rFonts w:asciiTheme="majorBidi" w:hAnsiTheme="majorBidi" w:cstheme="majorBidi"/>
          <w:sz w:val="28"/>
          <w:szCs w:val="28"/>
        </w:rPr>
        <w:t xml:space="preserve"> </w:t>
      </w:r>
    </w:p>
    <w:p w14:paraId="7D731D21" w14:textId="50C34FE2" w:rsidR="00564A3E" w:rsidRDefault="00AE4CE6" w:rsidP="00564A3E">
      <w:pPr>
        <w:rPr>
          <w:rFonts w:asciiTheme="majorBidi" w:hAnsiTheme="majorBidi" w:cstheme="majorBidi"/>
          <w:sz w:val="28"/>
          <w:szCs w:val="28"/>
        </w:rPr>
      </w:pPr>
      <w:r w:rsidRPr="00564A3E">
        <w:rPr>
          <w:rFonts w:asciiTheme="majorBidi" w:hAnsiTheme="majorBidi" w:cstheme="majorBidi"/>
          <w:sz w:val="28"/>
          <w:szCs w:val="28"/>
        </w:rPr>
        <w:t xml:space="preserve">to understand any unlawful violence. </w:t>
      </w:r>
      <w:r w:rsidR="00BE6C9B" w:rsidRPr="00564A3E">
        <w:rPr>
          <w:rFonts w:asciiTheme="majorBidi" w:hAnsiTheme="majorBidi" w:cstheme="majorBidi"/>
          <w:sz w:val="28"/>
          <w:szCs w:val="28"/>
        </w:rPr>
        <w:t xml:space="preserve">Case R v Bollom [2004] the law judged </w:t>
      </w:r>
      <w:r w:rsidR="00564A3E" w:rsidRPr="00564A3E">
        <w:rPr>
          <w:rFonts w:asciiTheme="majorBidi" w:hAnsiTheme="majorBidi" w:cstheme="majorBidi"/>
          <w:sz w:val="28"/>
          <w:szCs w:val="28"/>
        </w:rPr>
        <w:t>it.</w:t>
      </w:r>
    </w:p>
    <w:p w14:paraId="365BDA7C" w14:textId="77777777" w:rsidR="00564A3E" w:rsidRDefault="00BE6C9B" w:rsidP="00564A3E">
      <w:pPr>
        <w:rPr>
          <w:rFonts w:asciiTheme="majorBidi" w:hAnsiTheme="majorBidi" w:cstheme="majorBidi"/>
          <w:sz w:val="28"/>
          <w:szCs w:val="28"/>
        </w:rPr>
      </w:pPr>
      <w:r w:rsidRPr="00564A3E">
        <w:rPr>
          <w:rFonts w:asciiTheme="majorBidi" w:hAnsiTheme="majorBidi" w:cstheme="majorBidi"/>
          <w:sz w:val="28"/>
          <w:szCs w:val="28"/>
        </w:rPr>
        <w:t xml:space="preserve"> as ABH</w:t>
      </w:r>
      <w:r w:rsidR="00CC6ACF" w:rsidRPr="00564A3E">
        <w:rPr>
          <w:rFonts w:asciiTheme="majorBidi" w:hAnsiTheme="majorBidi" w:cstheme="majorBidi"/>
          <w:sz w:val="28"/>
          <w:szCs w:val="28"/>
        </w:rPr>
        <w:t xml:space="preserve"> </w:t>
      </w:r>
      <w:r w:rsidR="00180EC6" w:rsidRPr="00564A3E">
        <w:rPr>
          <w:rFonts w:asciiTheme="majorBidi" w:hAnsiTheme="majorBidi" w:cstheme="majorBidi"/>
          <w:sz w:val="28"/>
          <w:szCs w:val="28"/>
        </w:rPr>
        <w:t xml:space="preserve">(actual bodily harm) only for proving that the defendant has no </w:t>
      </w:r>
    </w:p>
    <w:p w14:paraId="455F863B" w14:textId="77777777" w:rsidR="00564A3E" w:rsidRDefault="00180EC6" w:rsidP="00564A3E">
      <w:pPr>
        <w:rPr>
          <w:rFonts w:asciiTheme="majorBidi" w:hAnsiTheme="majorBidi" w:cstheme="majorBidi"/>
          <w:sz w:val="28"/>
          <w:szCs w:val="28"/>
        </w:rPr>
      </w:pPr>
      <w:r w:rsidRPr="00564A3E">
        <w:rPr>
          <w:rFonts w:asciiTheme="majorBidi" w:hAnsiTheme="majorBidi" w:cstheme="majorBidi"/>
          <w:sz w:val="28"/>
          <w:szCs w:val="28"/>
        </w:rPr>
        <w:t xml:space="preserve">intention to harm his wife 17-month-old daughter. Although she had bruises in </w:t>
      </w:r>
    </w:p>
    <w:p w14:paraId="20E520D9" w14:textId="37E13950" w:rsidR="00564A3E" w:rsidRDefault="00180EC6" w:rsidP="00564A3E">
      <w:pPr>
        <w:rPr>
          <w:rFonts w:asciiTheme="majorBidi" w:hAnsiTheme="majorBidi" w:cstheme="majorBidi"/>
          <w:sz w:val="28"/>
          <w:szCs w:val="28"/>
        </w:rPr>
      </w:pPr>
      <w:r w:rsidRPr="00564A3E">
        <w:rPr>
          <w:rFonts w:asciiTheme="majorBidi" w:hAnsiTheme="majorBidi" w:cstheme="majorBidi"/>
          <w:sz w:val="28"/>
          <w:szCs w:val="28"/>
        </w:rPr>
        <w:t xml:space="preserve">her body, but because the defendant did not confess men’s reus as </w:t>
      </w:r>
      <w:r w:rsidR="00564A3E" w:rsidRPr="00564A3E">
        <w:rPr>
          <w:rFonts w:asciiTheme="majorBidi" w:hAnsiTheme="majorBidi" w:cstheme="majorBidi"/>
          <w:sz w:val="28"/>
          <w:szCs w:val="28"/>
        </w:rPr>
        <w:t>having.</w:t>
      </w:r>
      <w:r w:rsidRPr="00564A3E">
        <w:rPr>
          <w:rFonts w:asciiTheme="majorBidi" w:hAnsiTheme="majorBidi" w:cstheme="majorBidi"/>
          <w:sz w:val="28"/>
          <w:szCs w:val="28"/>
        </w:rPr>
        <w:t xml:space="preserve"> </w:t>
      </w:r>
    </w:p>
    <w:p w14:paraId="0EB510DB" w14:textId="77777777" w:rsidR="00564A3E" w:rsidRDefault="00180EC6" w:rsidP="00564A3E">
      <w:pPr>
        <w:rPr>
          <w:rFonts w:asciiTheme="majorBidi" w:hAnsiTheme="majorBidi" w:cstheme="majorBidi"/>
          <w:sz w:val="28"/>
          <w:szCs w:val="28"/>
        </w:rPr>
      </w:pPr>
      <w:r w:rsidRPr="00564A3E">
        <w:rPr>
          <w:rFonts w:asciiTheme="majorBidi" w:hAnsiTheme="majorBidi" w:cstheme="majorBidi"/>
          <w:sz w:val="28"/>
          <w:szCs w:val="28"/>
        </w:rPr>
        <w:t xml:space="preserve">intention he was charged with lowest penalty. Victim age excluded from the </w:t>
      </w:r>
    </w:p>
    <w:p w14:paraId="65DEC579" w14:textId="597610DD" w:rsidR="00564A3E" w:rsidRDefault="00180EC6" w:rsidP="00564A3E">
      <w:pPr>
        <w:rPr>
          <w:rFonts w:asciiTheme="majorBidi" w:hAnsiTheme="majorBidi" w:cstheme="majorBidi"/>
          <w:sz w:val="28"/>
          <w:szCs w:val="28"/>
        </w:rPr>
      </w:pPr>
      <w:r w:rsidRPr="00564A3E">
        <w:rPr>
          <w:rFonts w:asciiTheme="majorBidi" w:hAnsiTheme="majorBidi" w:cstheme="majorBidi"/>
          <w:sz w:val="28"/>
          <w:szCs w:val="28"/>
        </w:rPr>
        <w:t xml:space="preserve">decision while it is a very vital factor to convict the defendant with </w:t>
      </w:r>
      <w:r w:rsidR="00564A3E" w:rsidRPr="00564A3E">
        <w:rPr>
          <w:rFonts w:asciiTheme="majorBidi" w:hAnsiTheme="majorBidi" w:cstheme="majorBidi"/>
          <w:sz w:val="28"/>
          <w:szCs w:val="28"/>
        </w:rPr>
        <w:t>battery.</w:t>
      </w:r>
      <w:r w:rsidRPr="00564A3E">
        <w:rPr>
          <w:rFonts w:asciiTheme="majorBidi" w:hAnsiTheme="majorBidi" w:cstheme="majorBidi"/>
          <w:sz w:val="28"/>
          <w:szCs w:val="28"/>
        </w:rPr>
        <w:t xml:space="preserve"> </w:t>
      </w:r>
    </w:p>
    <w:p w14:paraId="009496EB" w14:textId="65EBAC8E" w:rsidR="00564A3E" w:rsidRDefault="00180EC6" w:rsidP="00564A3E">
      <w:pPr>
        <w:rPr>
          <w:rFonts w:asciiTheme="majorBidi" w:hAnsiTheme="majorBidi" w:cstheme="majorBidi"/>
          <w:sz w:val="28"/>
          <w:szCs w:val="28"/>
        </w:rPr>
      </w:pPr>
      <w:r w:rsidRPr="00564A3E">
        <w:rPr>
          <w:rFonts w:asciiTheme="majorBidi" w:hAnsiTheme="majorBidi" w:cstheme="majorBidi"/>
          <w:sz w:val="28"/>
          <w:szCs w:val="28"/>
        </w:rPr>
        <w:t xml:space="preserve">assault not common assault. This case shows that non-fatal offences law </w:t>
      </w:r>
      <w:r w:rsidR="00564A3E" w:rsidRPr="00564A3E">
        <w:rPr>
          <w:rFonts w:asciiTheme="majorBidi" w:hAnsiTheme="majorBidi" w:cstheme="majorBidi"/>
          <w:sz w:val="28"/>
          <w:szCs w:val="28"/>
        </w:rPr>
        <w:t>needs.</w:t>
      </w:r>
      <w:r w:rsidRPr="00564A3E">
        <w:rPr>
          <w:rFonts w:asciiTheme="majorBidi" w:hAnsiTheme="majorBidi" w:cstheme="majorBidi"/>
          <w:sz w:val="28"/>
          <w:szCs w:val="28"/>
        </w:rPr>
        <w:t xml:space="preserve"> </w:t>
      </w:r>
    </w:p>
    <w:p w14:paraId="6810F8AC" w14:textId="2E4AA47A" w:rsidR="00BE6C9B" w:rsidRPr="00564A3E" w:rsidRDefault="00180EC6" w:rsidP="00564A3E">
      <w:pPr>
        <w:rPr>
          <w:rFonts w:asciiTheme="majorBidi" w:hAnsiTheme="majorBidi" w:cstheme="majorBidi"/>
          <w:sz w:val="28"/>
          <w:szCs w:val="28"/>
          <w:lang w:val="en-GB"/>
        </w:rPr>
      </w:pPr>
      <w:r w:rsidRPr="00564A3E">
        <w:rPr>
          <w:rFonts w:asciiTheme="majorBidi" w:hAnsiTheme="majorBidi" w:cstheme="majorBidi"/>
          <w:sz w:val="28"/>
          <w:szCs w:val="28"/>
        </w:rPr>
        <w:t>reform.</w:t>
      </w:r>
    </w:p>
    <w:p w14:paraId="3D86E8C2" w14:textId="6E20DB16" w:rsidR="00BE6C9B" w:rsidRPr="00CA3059" w:rsidRDefault="00BE6C9B" w:rsidP="00564A3E">
      <w:pPr>
        <w:spacing w:line="360" w:lineRule="auto"/>
        <w:rPr>
          <w:rFonts w:asciiTheme="majorBidi" w:hAnsiTheme="majorBidi" w:cstheme="majorBidi"/>
          <w:sz w:val="28"/>
          <w:szCs w:val="28"/>
        </w:rPr>
      </w:pPr>
    </w:p>
    <w:p w14:paraId="124AD160" w14:textId="3018526A" w:rsidR="00AE4CE6" w:rsidRPr="00CA3059" w:rsidRDefault="00AE4CE6"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issues from the Ministry of Justice. The environment of law and justice is very important for handling these issues and in the politically unstable atmosphere; many reforms for the criminal laws are needed. It includes the factors like economic arguments, small reforms, and aspects of the offense clearer. The process of the reforms needs cost and time. The law commission needed OAPA reforms and other processes for stability and all this will be included for reforms of offenses against the Act of 1861</w:t>
      </w:r>
      <w:sdt>
        <w:sdtPr>
          <w:rPr>
            <w:rFonts w:asciiTheme="majorBidi" w:hAnsiTheme="majorBidi" w:cstheme="majorBidi"/>
            <w:sz w:val="28"/>
            <w:szCs w:val="28"/>
          </w:rPr>
          <w:id w:val="-655145565"/>
          <w:citation/>
        </w:sdtPr>
        <w:sdtEndPr/>
        <w:sdtContent>
          <w:r w:rsidRPr="00CA3059">
            <w:rPr>
              <w:rFonts w:asciiTheme="majorBidi" w:hAnsiTheme="majorBidi" w:cstheme="majorBidi"/>
              <w:sz w:val="28"/>
              <w:szCs w:val="28"/>
            </w:rPr>
            <w:fldChar w:fldCharType="begin"/>
          </w:r>
          <w:r w:rsidRPr="00CA3059">
            <w:rPr>
              <w:rFonts w:asciiTheme="majorBidi" w:hAnsiTheme="majorBidi" w:cstheme="majorBidi"/>
              <w:sz w:val="28"/>
              <w:szCs w:val="28"/>
            </w:rPr>
            <w:instrText xml:space="preserve"> CITATION Ale172 \l 1033 </w:instrText>
          </w:r>
          <w:r w:rsidRPr="00CA3059">
            <w:rPr>
              <w:rFonts w:asciiTheme="majorBidi" w:hAnsiTheme="majorBidi" w:cstheme="majorBidi"/>
              <w:sz w:val="28"/>
              <w:szCs w:val="28"/>
            </w:rPr>
            <w:fldChar w:fldCharType="separate"/>
          </w:r>
          <w:r w:rsidRPr="00CA3059">
            <w:rPr>
              <w:rFonts w:asciiTheme="majorBidi" w:hAnsiTheme="majorBidi" w:cstheme="majorBidi"/>
              <w:noProof/>
              <w:sz w:val="28"/>
              <w:szCs w:val="28"/>
            </w:rPr>
            <w:t xml:space="preserve"> (Eugenicos, 2017)</w:t>
          </w:r>
          <w:r w:rsidRPr="00CA3059">
            <w:rPr>
              <w:rFonts w:asciiTheme="majorBidi" w:hAnsiTheme="majorBidi" w:cstheme="majorBidi"/>
              <w:sz w:val="28"/>
              <w:szCs w:val="28"/>
            </w:rPr>
            <w:fldChar w:fldCharType="end"/>
          </w:r>
        </w:sdtContent>
      </w:sdt>
      <w:r w:rsidRPr="00CA3059">
        <w:rPr>
          <w:rFonts w:asciiTheme="majorBidi" w:hAnsiTheme="majorBidi" w:cstheme="majorBidi"/>
          <w:sz w:val="28"/>
          <w:szCs w:val="28"/>
        </w:rPr>
        <w:t xml:space="preserve">. </w:t>
      </w:r>
    </w:p>
    <w:p w14:paraId="6787A1C7" w14:textId="249473F1" w:rsidR="00AE4CE6" w:rsidRPr="00CA3059" w:rsidRDefault="00AE4CE6"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lastRenderedPageBreak/>
        <w:t>The different kinds of domestic violence offenses in England and Wales include threats to kills, shooting, wounding, inflicting with or without injury, attempting to choke, child destruction, rape, cruelty, theft, blackmailing, and damaging property. For these offenses, there are defined legal provisions and common laws against all these domestic violence offenses. The different Acts against the above-defined offenses are the Person Act 1861 s16, s18, s20, s21, s22, s23, and so on</w:t>
      </w:r>
      <w:sdt>
        <w:sdtPr>
          <w:rPr>
            <w:rFonts w:asciiTheme="majorBidi" w:hAnsiTheme="majorBidi" w:cstheme="majorBidi"/>
            <w:sz w:val="28"/>
            <w:szCs w:val="28"/>
          </w:rPr>
          <w:id w:val="43183568"/>
          <w:citation/>
        </w:sdtPr>
        <w:sdtEndPr/>
        <w:sdtContent>
          <w:r w:rsidRPr="00CA3059">
            <w:rPr>
              <w:rFonts w:asciiTheme="majorBidi" w:hAnsiTheme="majorBidi" w:cstheme="majorBidi"/>
              <w:sz w:val="28"/>
              <w:szCs w:val="28"/>
            </w:rPr>
            <w:fldChar w:fldCharType="begin"/>
          </w:r>
          <w:r w:rsidRPr="00CA3059">
            <w:rPr>
              <w:rFonts w:asciiTheme="majorBidi" w:hAnsiTheme="majorBidi" w:cstheme="majorBidi"/>
              <w:sz w:val="28"/>
              <w:szCs w:val="28"/>
            </w:rPr>
            <w:instrText xml:space="preserve"> CITATION Min21 \l 1033 </w:instrText>
          </w:r>
          <w:r w:rsidRPr="00CA3059">
            <w:rPr>
              <w:rFonts w:asciiTheme="majorBidi" w:hAnsiTheme="majorBidi" w:cstheme="majorBidi"/>
              <w:sz w:val="28"/>
              <w:szCs w:val="28"/>
            </w:rPr>
            <w:fldChar w:fldCharType="separate"/>
          </w:r>
          <w:r w:rsidRPr="00CA3059">
            <w:rPr>
              <w:rFonts w:asciiTheme="majorBidi" w:hAnsiTheme="majorBidi" w:cstheme="majorBidi"/>
              <w:noProof/>
              <w:sz w:val="28"/>
              <w:szCs w:val="28"/>
            </w:rPr>
            <w:t xml:space="preserve"> (MinistryofJustice, 2021)</w:t>
          </w:r>
          <w:r w:rsidRPr="00CA3059">
            <w:rPr>
              <w:rFonts w:asciiTheme="majorBidi" w:hAnsiTheme="majorBidi" w:cstheme="majorBidi"/>
              <w:sz w:val="28"/>
              <w:szCs w:val="28"/>
            </w:rPr>
            <w:fldChar w:fldCharType="end"/>
          </w:r>
        </w:sdtContent>
      </w:sdt>
      <w:r w:rsidRPr="00CA3059">
        <w:rPr>
          <w:rFonts w:asciiTheme="majorBidi" w:hAnsiTheme="majorBidi" w:cstheme="majorBidi"/>
          <w:sz w:val="28"/>
          <w:szCs w:val="28"/>
        </w:rPr>
        <w:t xml:space="preserve">. </w:t>
      </w:r>
    </w:p>
    <w:p w14:paraId="6E30A55C" w14:textId="5846F605" w:rsidR="00CA3059" w:rsidRPr="00CA3059" w:rsidRDefault="00CA3059" w:rsidP="00564A3E">
      <w:pPr>
        <w:spacing w:line="360" w:lineRule="auto"/>
        <w:rPr>
          <w:rFonts w:asciiTheme="majorBidi" w:hAnsiTheme="majorBidi" w:cstheme="majorBidi"/>
          <w:b/>
          <w:bCs/>
          <w:sz w:val="28"/>
          <w:szCs w:val="28"/>
        </w:rPr>
      </w:pPr>
      <w:r w:rsidRPr="00CA3059">
        <w:rPr>
          <w:rFonts w:asciiTheme="majorBidi" w:hAnsiTheme="majorBidi" w:cstheme="majorBidi"/>
          <w:b/>
          <w:bCs/>
          <w:sz w:val="28"/>
          <w:szCs w:val="28"/>
        </w:rPr>
        <w:t xml:space="preserve">Conclusion </w:t>
      </w:r>
    </w:p>
    <w:p w14:paraId="3119258E" w14:textId="58AFAC0B" w:rsidR="00CA3059" w:rsidRPr="00CA3059" w:rsidRDefault="00CA3059" w:rsidP="00564A3E">
      <w:pPr>
        <w:spacing w:line="360" w:lineRule="auto"/>
        <w:rPr>
          <w:rFonts w:asciiTheme="majorBidi" w:hAnsiTheme="majorBidi" w:cstheme="majorBidi"/>
          <w:sz w:val="28"/>
          <w:szCs w:val="28"/>
        </w:rPr>
      </w:pPr>
      <w:r w:rsidRPr="00CA3059">
        <w:rPr>
          <w:rFonts w:asciiTheme="majorBidi" w:hAnsiTheme="majorBidi" w:cstheme="majorBidi"/>
          <w:sz w:val="28"/>
          <w:szCs w:val="28"/>
        </w:rPr>
        <w:t xml:space="preserve">Criminal Law Consolidation Act 1861.representing group of crimes which have outdated languages and need to reform with the modern society considering difference in </w:t>
      </w:r>
      <w:r w:rsidR="00564A3E" w:rsidRPr="00CA3059">
        <w:rPr>
          <w:rFonts w:asciiTheme="majorBidi" w:hAnsiTheme="majorBidi" w:cstheme="majorBidi"/>
          <w:sz w:val="28"/>
          <w:szCs w:val="28"/>
        </w:rPr>
        <w:t>people’s</w:t>
      </w:r>
      <w:r w:rsidRPr="00CA3059">
        <w:rPr>
          <w:rFonts w:asciiTheme="majorBidi" w:hAnsiTheme="majorBidi" w:cstheme="majorBidi"/>
          <w:sz w:val="28"/>
          <w:szCs w:val="28"/>
        </w:rPr>
        <w:t xml:space="preserve"> circumstances </w:t>
      </w:r>
      <w:r w:rsidR="00564A3E" w:rsidRPr="00CA3059">
        <w:rPr>
          <w:rFonts w:asciiTheme="majorBidi" w:hAnsiTheme="majorBidi" w:cstheme="majorBidi"/>
          <w:sz w:val="28"/>
          <w:szCs w:val="28"/>
        </w:rPr>
        <w:t>mentally</w:t>
      </w:r>
      <w:r w:rsidRPr="00CA3059">
        <w:rPr>
          <w:rFonts w:asciiTheme="majorBidi" w:hAnsiTheme="majorBidi" w:cstheme="majorBidi"/>
          <w:sz w:val="28"/>
          <w:szCs w:val="28"/>
        </w:rPr>
        <w:t xml:space="preserve">, physically, economically to have fair sentencing with the committed </w:t>
      </w:r>
      <w:r w:rsidR="00564A3E" w:rsidRPr="00CA3059">
        <w:rPr>
          <w:rFonts w:asciiTheme="majorBidi" w:hAnsiTheme="majorBidi" w:cstheme="majorBidi"/>
          <w:sz w:val="28"/>
          <w:szCs w:val="28"/>
        </w:rPr>
        <w:t>offence.</w:t>
      </w:r>
      <w:r w:rsidR="00564A3E">
        <w:rPr>
          <w:rFonts w:asciiTheme="majorBidi" w:hAnsiTheme="majorBidi" w:cstheme="majorBidi"/>
          <w:sz w:val="28"/>
          <w:szCs w:val="28"/>
        </w:rPr>
        <w:t xml:space="preserve"> (1531 word)</w:t>
      </w:r>
    </w:p>
    <w:p w14:paraId="3558F76F" w14:textId="77777777" w:rsidR="00CA3059" w:rsidRPr="00CA3059" w:rsidRDefault="00CA3059" w:rsidP="00AE4CE6">
      <w:pPr>
        <w:spacing w:line="360" w:lineRule="auto"/>
        <w:jc w:val="both"/>
        <w:rPr>
          <w:rFonts w:asciiTheme="majorBidi" w:hAnsiTheme="majorBidi" w:cstheme="majorBidi"/>
          <w:sz w:val="28"/>
          <w:szCs w:val="28"/>
        </w:rPr>
      </w:pPr>
    </w:p>
    <w:p w14:paraId="0CDFCCB2" w14:textId="77777777" w:rsidR="00CA3059" w:rsidRDefault="00CA3059" w:rsidP="00AE4CE6">
      <w:pPr>
        <w:spacing w:line="360" w:lineRule="auto"/>
        <w:jc w:val="both"/>
        <w:rPr>
          <w:rFonts w:ascii="Times New Roman" w:hAnsi="Times New Roman" w:cs="Times New Roman"/>
          <w:sz w:val="24"/>
          <w:szCs w:val="24"/>
        </w:rPr>
      </w:pPr>
    </w:p>
    <w:p w14:paraId="108352D2" w14:textId="6F7D2D6A" w:rsidR="00CD0B7C" w:rsidRDefault="00AE58D8"/>
    <w:p w14:paraId="304433D8" w14:textId="4385B485" w:rsidR="0013590F" w:rsidRDefault="0013590F"/>
    <w:p w14:paraId="7B6B1DFE" w14:textId="72BB0D2D" w:rsidR="0013590F" w:rsidRPr="00CA3059" w:rsidRDefault="0013590F">
      <w:pPr>
        <w:rPr>
          <w:b/>
          <w:bCs/>
          <w:sz w:val="28"/>
          <w:szCs w:val="28"/>
        </w:rPr>
      </w:pPr>
      <w:r w:rsidRPr="00CA3059">
        <w:rPr>
          <w:b/>
          <w:bCs/>
          <w:sz w:val="28"/>
          <w:szCs w:val="28"/>
        </w:rPr>
        <w:t>Reference:</w:t>
      </w:r>
    </w:p>
    <w:p w14:paraId="0CF56100" w14:textId="3C96F4F9" w:rsidR="0013590F" w:rsidRDefault="0013590F"/>
    <w:p w14:paraId="7D684019" w14:textId="712DD602" w:rsidR="0013590F" w:rsidRDefault="0013590F" w:rsidP="0013590F">
      <w:pPr>
        <w:pStyle w:val="Bibliography"/>
        <w:ind w:left="720" w:hanging="720"/>
        <w:rPr>
          <w:noProof/>
          <w:sz w:val="24"/>
          <w:szCs w:val="24"/>
        </w:rPr>
      </w:pPr>
      <w:r>
        <w:rPr>
          <w:noProof/>
        </w:rPr>
        <w:t xml:space="preserve">Commission, L. (2015). </w:t>
      </w:r>
      <w:r>
        <w:rPr>
          <w:i/>
          <w:iCs/>
          <w:noProof/>
        </w:rPr>
        <w:t>Reform of Offences against the Person</w:t>
      </w:r>
      <w:r>
        <w:rPr>
          <w:noProof/>
        </w:rPr>
        <w:t xml:space="preserve">. </w:t>
      </w:r>
      <w:hyperlink r:id="rId6" w:history="1">
        <w:r w:rsidR="00180EC6" w:rsidRPr="00376BD2">
          <w:rPr>
            <w:rStyle w:val="Hyperlink"/>
            <w:noProof/>
          </w:rPr>
          <w:t>www.gov.uk/government/publications</w:t>
        </w:r>
      </w:hyperlink>
      <w:r w:rsidR="00180EC6">
        <w:rPr>
          <w:noProof/>
        </w:rPr>
        <w:t xml:space="preserve"> </w:t>
      </w:r>
      <w:r w:rsidR="00CA3059">
        <w:rPr>
          <w:noProof/>
        </w:rPr>
        <w:t>.(</w:t>
      </w:r>
      <w:r w:rsidR="00180EC6">
        <w:rPr>
          <w:noProof/>
        </w:rPr>
        <w:t>Accessed 12th</w:t>
      </w:r>
      <w:r w:rsidR="00CA3059">
        <w:rPr>
          <w:noProof/>
        </w:rPr>
        <w:t xml:space="preserve"> March, 2021)</w:t>
      </w:r>
    </w:p>
    <w:p w14:paraId="50ED15E3" w14:textId="77777777" w:rsidR="00CA3059" w:rsidRDefault="0013590F" w:rsidP="0013590F">
      <w:pPr>
        <w:pStyle w:val="Bibliography"/>
        <w:ind w:left="720" w:hanging="720"/>
        <w:rPr>
          <w:noProof/>
        </w:rPr>
      </w:pPr>
      <w:r>
        <w:rPr>
          <w:noProof/>
        </w:rPr>
        <w:t xml:space="preserve">Demetriou, S. (2016). </w:t>
      </w:r>
      <w:r>
        <w:rPr>
          <w:i/>
          <w:iCs/>
          <w:noProof/>
        </w:rPr>
        <w:t>Reviewing the Law Commission’s Recommendations on the Offences against the Person” 2015 Report (Part I)</w:t>
      </w:r>
      <w:r>
        <w:rPr>
          <w:noProof/>
        </w:rPr>
        <w:t xml:space="preserve">. </w:t>
      </w:r>
    </w:p>
    <w:p w14:paraId="3096A408" w14:textId="42D5F95D" w:rsidR="00CA3059" w:rsidRDefault="00CA3059" w:rsidP="00CA3059">
      <w:pPr>
        <w:pStyle w:val="Bibliography"/>
        <w:ind w:left="720" w:hanging="720"/>
        <w:rPr>
          <w:noProof/>
        </w:rPr>
      </w:pPr>
      <w:r>
        <w:rPr>
          <w:noProof/>
        </w:rPr>
        <w:t xml:space="preserve">LawCommission. (2014). </w:t>
      </w:r>
      <w:r>
        <w:rPr>
          <w:i/>
          <w:iCs/>
          <w:noProof/>
        </w:rPr>
        <w:t>REFORM OF OFFENCES AGAINST THE PERSON</w:t>
      </w:r>
    </w:p>
    <w:p w14:paraId="23700A27" w14:textId="723DBEB9" w:rsidR="0013590F" w:rsidRDefault="00AE58D8" w:rsidP="0013590F">
      <w:pPr>
        <w:pStyle w:val="Bibliography"/>
        <w:ind w:left="720" w:hanging="720"/>
        <w:rPr>
          <w:noProof/>
        </w:rPr>
      </w:pPr>
      <w:hyperlink r:id="rId7" w:history="1">
        <w:r w:rsidR="00CA3059" w:rsidRPr="00376BD2">
          <w:rPr>
            <w:rStyle w:val="Hyperlink"/>
            <w:noProof/>
          </w:rPr>
          <w:t>https://lawpoliticsandsociology.wordpress.com/2016/02/03/reviewing-law-commissions-recommendations-on-the-offences-against-the-person-2015-report-part-i/</w:t>
        </w:r>
      </w:hyperlink>
      <w:r w:rsidR="0013590F">
        <w:rPr>
          <w:noProof/>
        </w:rPr>
        <w:t xml:space="preserve"> Accessed 1</w:t>
      </w:r>
      <w:r w:rsidR="0013590F" w:rsidRPr="0013590F">
        <w:rPr>
          <w:noProof/>
          <w:vertAlign w:val="superscript"/>
        </w:rPr>
        <w:t>st</w:t>
      </w:r>
      <w:r w:rsidR="0013590F">
        <w:rPr>
          <w:noProof/>
        </w:rPr>
        <w:t xml:space="preserve"> March, 2021</w:t>
      </w:r>
    </w:p>
    <w:p w14:paraId="73CF23E6" w14:textId="77777777" w:rsidR="00CA3059" w:rsidRDefault="00CA3059" w:rsidP="00CA3059">
      <w:pPr>
        <w:pStyle w:val="Bibliography"/>
        <w:ind w:left="720" w:hanging="720"/>
        <w:rPr>
          <w:noProof/>
        </w:rPr>
      </w:pPr>
      <w:r>
        <w:rPr>
          <w:noProof/>
        </w:rPr>
        <w:lastRenderedPageBreak/>
        <w:t xml:space="preserve">MinistryofJustice. (2021). </w:t>
      </w:r>
      <w:r>
        <w:rPr>
          <w:i/>
          <w:iCs/>
          <w:noProof/>
        </w:rPr>
        <w:t>Domestic Violence &amp; Child Abuse Offences</w:t>
      </w:r>
      <w:r>
        <w:rPr>
          <w:noProof/>
        </w:rPr>
        <w:t xml:space="preserve">. </w:t>
      </w:r>
      <w:hyperlink r:id="rId8" w:history="1">
        <w:r w:rsidRPr="00376BD2">
          <w:rPr>
            <w:rStyle w:val="Hyperlink"/>
            <w:noProof/>
          </w:rPr>
          <w:t>https://assets.publishing.service.gov.uk/government/uploads/system/uploads/attachment_data/file/509614/domestic-violence-child-abuse-offences.pdf(Accessed</w:t>
        </w:r>
      </w:hyperlink>
      <w:r>
        <w:rPr>
          <w:noProof/>
        </w:rPr>
        <w:t xml:space="preserve"> 12</w:t>
      </w:r>
      <w:r w:rsidRPr="00CA3059">
        <w:rPr>
          <w:noProof/>
          <w:vertAlign w:val="superscript"/>
        </w:rPr>
        <w:t>th</w:t>
      </w:r>
      <w:r>
        <w:rPr>
          <w:noProof/>
        </w:rPr>
        <w:t xml:space="preserve"> March 2021).</w:t>
      </w:r>
    </w:p>
    <w:p w14:paraId="4562A134" w14:textId="77777777" w:rsidR="00CA3059" w:rsidRPr="00CA3059" w:rsidRDefault="00CA3059" w:rsidP="00CA3059"/>
    <w:p w14:paraId="3295DC56" w14:textId="77777777" w:rsidR="0013590F" w:rsidRDefault="0013590F" w:rsidP="0013590F">
      <w:pPr>
        <w:pStyle w:val="Bibliography"/>
        <w:ind w:left="720" w:hanging="720"/>
        <w:rPr>
          <w:noProof/>
        </w:rPr>
      </w:pPr>
      <w:r>
        <w:rPr>
          <w:noProof/>
        </w:rPr>
        <w:t xml:space="preserve">Eugenicos, A.-M. (2017). Should We Reform the Offences Against the Person Act 1861? </w:t>
      </w:r>
      <w:r>
        <w:rPr>
          <w:i/>
          <w:iCs/>
          <w:noProof/>
        </w:rPr>
        <w:t>The Journal of Criminal Law</w:t>
      </w:r>
      <w:r>
        <w:rPr>
          <w:noProof/>
        </w:rPr>
        <w:t>.</w:t>
      </w:r>
    </w:p>
    <w:p w14:paraId="453414CD" w14:textId="337245C0" w:rsidR="0013590F" w:rsidRDefault="0013590F" w:rsidP="0013590F">
      <w:pPr>
        <w:pStyle w:val="Bibliography"/>
        <w:ind w:left="720" w:hanging="720"/>
        <w:rPr>
          <w:noProof/>
        </w:rPr>
      </w:pPr>
      <w:r>
        <w:rPr>
          <w:noProof/>
        </w:rPr>
        <w:t xml:space="preserve">Gardner, J. (1994). rationality and the rule of law in offences against the person. </w:t>
      </w:r>
      <w:r>
        <w:rPr>
          <w:i/>
          <w:iCs/>
          <w:noProof/>
        </w:rPr>
        <w:t>53 Cambridge L.J. 502 (1994)</w:t>
      </w:r>
    </w:p>
    <w:sectPr w:rsidR="001359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936D1BC4"/>
    <w:multiLevelType w:val="singleLevel"/>
    <w:tmpl w:val="936D1BC4"/>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115A2D40"/>
    <w:multiLevelType w:val="singleLevel"/>
    <w:tmpl w:val="115A2D40"/>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4F827C61"/>
    <w:multiLevelType w:val="hybridMultilevel"/>
    <w:tmpl w:val="B4049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AC4BB6"/>
    <w:multiLevelType w:val="singleLevel"/>
    <w:tmpl w:val="5BAC4BB6"/>
    <w:lvl w:ilvl="0">
      <w:start w:val="1"/>
      <w:numFmt w:val="decimal"/>
      <w:lvlText w:val="%1."/>
      <w:lvlJc w:val="left"/>
      <w:pPr>
        <w:tabs>
          <w:tab w:val="left" w:pos="425"/>
        </w:tabs>
        <w:ind w:left="425" w:hanging="425"/>
      </w:pPr>
    </w:lvl>
  </w:abstractNum>
  <w:abstractNum w:abstractNumId="4" w15:restartNumberingAfterBreak="0">
    <w:nsid w:val="7D5737DF"/>
    <w:multiLevelType w:val="singleLevel"/>
    <w:tmpl w:val="7D5737DF"/>
    <w:lvl w:ilvl="0">
      <w:start w:val="1"/>
      <w:numFmt w:val="bullet"/>
      <w:lvlText w:val=""/>
      <w:lvlJc w:val="left"/>
      <w:pPr>
        <w:tabs>
          <w:tab w:val="left" w:pos="420"/>
        </w:tabs>
        <w:ind w:left="420" w:hanging="420"/>
      </w:pPr>
      <w:rPr>
        <w:rFonts w:ascii="Wingdings" w:hAnsi="Wingdings" w:hint="default"/>
      </w:rPr>
    </w:lvl>
  </w:abstractNum>
  <w:num w:numId="1">
    <w:abstractNumId w:val="2"/>
  </w:num>
  <w:num w:numId="2">
    <w:abstractNumId w:val="3"/>
    <w:lvlOverride w:ilvl="0">
      <w:startOverride w:val="1"/>
    </w:lvlOverride>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CE6"/>
    <w:rsid w:val="0013590F"/>
    <w:rsid w:val="00180EC6"/>
    <w:rsid w:val="001B5EE6"/>
    <w:rsid w:val="002B4B30"/>
    <w:rsid w:val="002F26EE"/>
    <w:rsid w:val="0039042D"/>
    <w:rsid w:val="003A5125"/>
    <w:rsid w:val="00564A3E"/>
    <w:rsid w:val="00587CC6"/>
    <w:rsid w:val="00AE4CE6"/>
    <w:rsid w:val="00AE58D8"/>
    <w:rsid w:val="00BE6C9B"/>
    <w:rsid w:val="00BF2B68"/>
    <w:rsid w:val="00C7262F"/>
    <w:rsid w:val="00CA3059"/>
    <w:rsid w:val="00CC6AC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49244"/>
  <w15:chartTrackingRefBased/>
  <w15:docId w15:val="{48A9E4C7-5621-4460-B225-A96201268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059"/>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4CE6"/>
    <w:pPr>
      <w:ind w:left="720"/>
      <w:contextualSpacing/>
    </w:pPr>
  </w:style>
  <w:style w:type="paragraph" w:styleId="Bibliography">
    <w:name w:val="Bibliography"/>
    <w:basedOn w:val="Normal"/>
    <w:next w:val="Normal"/>
    <w:uiPriority w:val="37"/>
    <w:unhideWhenUsed/>
    <w:rsid w:val="0013590F"/>
  </w:style>
  <w:style w:type="character" w:styleId="Hyperlink">
    <w:name w:val="Hyperlink"/>
    <w:basedOn w:val="DefaultParagraphFont"/>
    <w:uiPriority w:val="99"/>
    <w:unhideWhenUsed/>
    <w:rsid w:val="0013590F"/>
    <w:rPr>
      <w:color w:val="0563C1" w:themeColor="hyperlink"/>
      <w:u w:val="single"/>
    </w:rPr>
  </w:style>
  <w:style w:type="character" w:styleId="UnresolvedMention">
    <w:name w:val="Unresolved Mention"/>
    <w:basedOn w:val="DefaultParagraphFont"/>
    <w:uiPriority w:val="99"/>
    <w:semiHidden/>
    <w:unhideWhenUsed/>
    <w:rsid w:val="00135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5419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509614/domestic-violence-child-abuse-offences.pdf(Accessed" TargetMode="External"/><Relationship Id="rId3" Type="http://schemas.openxmlformats.org/officeDocument/2006/relationships/styles" Target="styles.xml"/><Relationship Id="rId7" Type="http://schemas.openxmlformats.org/officeDocument/2006/relationships/hyperlink" Target="https://lawpoliticsandsociology.wordpress.com/2016/02/03/reviewing-law-commissions-recommendations-on-the-offences-against-the-person-2015-report-part-i/"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gov.uk/government/publications"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42C3F-C6BA-4D21-8681-B460377D9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Pages>
  <Words>1668</Words>
  <Characters>9509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rasha salim</dc:creator>
  <cp:keywords/>
  <dc:description/>
  <cp:lastModifiedBy>rasha salim</cp:lastModifiedBy>
  <cp:revision>5</cp:revision>
  <dcterms:created xsi:type="dcterms:W3CDTF">2021-03-12T20:32:00Z</dcterms:created>
  <dcterms:modified xsi:type="dcterms:W3CDTF">2021-03-12T22:26:00Z</dcterms:modified>
</cp:coreProperties>
</file>