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08C2D73C"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A54B9D">
              <w:rPr>
                <w:rFonts w:ascii="Times New Roman" w:hAnsi="Times New Roman" w:cs="Times New Roman"/>
                <w:b/>
                <w:color w:val="auto"/>
                <w:sz w:val="48"/>
              </w:rPr>
              <w:t xml:space="preserve">Ceri Jones </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5DCE6607"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A54B9D">
              <w:rPr>
                <w:rFonts w:ascii="Times New Roman" w:hAnsi="Times New Roman" w:cs="Times New Roman"/>
                <w:b/>
                <w:color w:val="auto"/>
                <w:sz w:val="48"/>
              </w:rPr>
              <w:t xml:space="preserve"> cerihonez@yahoo.com</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37A924E3" w14:textId="77777777" w:rsidR="00A54B9D" w:rsidRPr="005D3F07" w:rsidRDefault="00A54B9D" w:rsidP="00A54B9D">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sz w:val="48"/>
              </w:rPr>
              <w:t>2238434</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048C9EAF"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B037B0">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r>
        <w:rPr>
          <w:b/>
          <w:color w:val="auto"/>
          <w:sz w:val="24"/>
          <w:szCs w:val="24"/>
        </w:rPr>
        <w:t>Guidance</w:t>
      </w:r>
      <w:r w:rsidR="00084DA6">
        <w:rPr>
          <w:b/>
          <w:color w:val="auto"/>
          <w:sz w:val="24"/>
          <w:szCs w:val="24"/>
        </w:rPr>
        <w:t>;</w:t>
      </w:r>
    </w:p>
    <w:p w14:paraId="104AED32" w14:textId="7E0942CD"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appendix </w:t>
      </w:r>
      <w:r w:rsidR="6D1B720D" w:rsidRPr="00A5656A">
        <w:rPr>
          <w:i/>
          <w:iCs/>
          <w:sz w:val="24"/>
          <w:szCs w:val="24"/>
        </w:rPr>
        <w:t>5 and 6 of the 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shd w:val="clear" w:color="auto" w:fill="auto"/>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2F8A7CA5" w14:textId="6EDC9DFB" w:rsidR="008D5999" w:rsidRDefault="008D5999" w:rsidP="00064063">
            <w:pPr>
              <w:jc w:val="both"/>
              <w:rPr>
                <w:sz w:val="24"/>
                <w:szCs w:val="24"/>
              </w:rPr>
            </w:pPr>
          </w:p>
          <w:p w14:paraId="20A5906F" w14:textId="77777777" w:rsidR="008D5999" w:rsidRDefault="008D5999" w:rsidP="00064063">
            <w:pPr>
              <w:jc w:val="both"/>
              <w:rPr>
                <w:sz w:val="24"/>
                <w:szCs w:val="24"/>
              </w:rPr>
            </w:pPr>
          </w:p>
          <w:p w14:paraId="51AF4546" w14:textId="476CB9AF" w:rsidR="00D3203C"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701D8D4D" w14:textId="38C2B218" w:rsidR="00D3203C" w:rsidRDefault="00D3203C" w:rsidP="00FF7EBB">
            <w:pPr>
              <w:jc w:val="both"/>
              <w:rPr>
                <w:i/>
                <w:sz w:val="24"/>
                <w:szCs w:val="24"/>
              </w:rPr>
            </w:pPr>
          </w:p>
          <w:p w14:paraId="681FDE9C" w14:textId="77777777" w:rsidR="00C15DAC" w:rsidRPr="00C15DAC" w:rsidRDefault="00C15DAC" w:rsidP="00C15DAC">
            <w:pPr>
              <w:rPr>
                <w:sz w:val="24"/>
                <w:szCs w:val="24"/>
              </w:rPr>
            </w:pPr>
            <w:r w:rsidRPr="00C15DAC">
              <w:rPr>
                <w:sz w:val="24"/>
                <w:szCs w:val="24"/>
              </w:rPr>
              <w:t xml:space="preserve">Safeguarding is about ensuring adults and children are protected from abuse or neglect, enabling them to live free from harm. It provides the foundation for recognising the signs and dangers for adults or children who are, or could be at risk and how to respond. Practicing in Wales the Social Services and Well-being (Wales) Act 2014 (2014) (SSWBA) underpins the legal framework for safeguarding adults and children in Wales. The SSWBA (2014) says that well-being means individuals are safe, healthy, happy and comfortable within their own lives. It advocates working in partnership with individuals, giving people a strong voice and control over their lives, prevention and early intervention as well as co-production to support and empower individuals to achieve their well-being. The Welsh Governments Well-being statement identifies that all individuals should be protected from abuse, harm and neglect (Welsh Government, 2015). </w:t>
            </w:r>
          </w:p>
          <w:p w14:paraId="29ABEA41" w14:textId="77777777" w:rsidR="00C15DAC" w:rsidRPr="00C15DAC" w:rsidRDefault="00C15DAC" w:rsidP="00C15DAC">
            <w:pPr>
              <w:rPr>
                <w:sz w:val="24"/>
                <w:szCs w:val="24"/>
              </w:rPr>
            </w:pPr>
            <w:r w:rsidRPr="00C15DAC">
              <w:rPr>
                <w:sz w:val="24"/>
                <w:szCs w:val="24"/>
              </w:rPr>
              <w:t> </w:t>
            </w:r>
          </w:p>
          <w:p w14:paraId="43468273" w14:textId="77777777" w:rsidR="00C15DAC" w:rsidRPr="00C15DAC" w:rsidRDefault="00C15DAC" w:rsidP="00C15DAC">
            <w:pPr>
              <w:rPr>
                <w:sz w:val="24"/>
                <w:szCs w:val="24"/>
              </w:rPr>
            </w:pPr>
            <w:r w:rsidRPr="00C15DAC">
              <w:rPr>
                <w:sz w:val="24"/>
                <w:szCs w:val="24"/>
              </w:rPr>
              <w:t xml:space="preserve">I will critically reflect on my involvement with 2, who is an older adult that has a diagnosis of Dementia and his wife who is also an older adult, who is his main carer. They are both English, originating from a large England urban area. They emigrated to Canada for a number of years before moving to live in the small Welsh rural market town. The town relies heavily on tourism, despite this it is a close-knit community. 2 and his wife integrated well into the community, often participating in community events during the winter to support the community and local residents. From my experience of working with this client group, I have gained insight that many people revert to their first language in their dementia journey, which in this locality, is often Welsh. Being a bilingual social worker I offered my Welsh language skills to the couple. A ‘More than just words’ video compiled by the Welsh </w:t>
            </w:r>
            <w:r w:rsidRPr="00C15DAC">
              <w:rPr>
                <w:sz w:val="24"/>
                <w:szCs w:val="24"/>
              </w:rPr>
              <w:lastRenderedPageBreak/>
              <w:t xml:space="preserve">Government (2016) says that offering a Welsh language service is to do with the respect and dignity of the person accessing care services. If an individual is not comfortable with the language used it is possible that the quality of care could be compromised. I offered 2 and his wife the option to receive their service in Welsh to prevent them having to ask for it, as per the ‘Active Offer’ in accordance with the ‘More than just words’ Strategic Framework (2012). They declined, saying they are not able to communicate in Welsh. Stats Wales (2023) confirms that only 20.5% of individuals aged 65+ are able to speak Welsh in this area. </w:t>
            </w:r>
          </w:p>
          <w:p w14:paraId="03075085" w14:textId="77777777" w:rsidR="00C15DAC" w:rsidRPr="00C15DAC" w:rsidRDefault="00C15DAC" w:rsidP="00C15DAC">
            <w:pPr>
              <w:rPr>
                <w:sz w:val="24"/>
                <w:szCs w:val="24"/>
              </w:rPr>
            </w:pPr>
            <w:r w:rsidRPr="00C15DAC">
              <w:rPr>
                <w:sz w:val="24"/>
                <w:szCs w:val="24"/>
              </w:rPr>
              <w:t> </w:t>
            </w:r>
          </w:p>
          <w:p w14:paraId="4AA8B085" w14:textId="77777777" w:rsidR="00C15DAC" w:rsidRPr="00C15DAC" w:rsidRDefault="00C15DAC" w:rsidP="00C15DAC">
            <w:pPr>
              <w:rPr>
                <w:sz w:val="24"/>
                <w:szCs w:val="24"/>
              </w:rPr>
            </w:pPr>
            <w:r w:rsidRPr="00C15DAC">
              <w:rPr>
                <w:sz w:val="24"/>
                <w:szCs w:val="24"/>
              </w:rPr>
              <w:t>Under the SSWBA (2014), 2 has care and support needs. As the main carer, 2’s wife also has care and support needs. Assessments are carried out to support individuals to meet their personal outcomes. My assessments with 2 and his wife identified that they could only overcome their barriers to achieving their personal outcomes if the local authority supported them with a care and support plan. 2’s wife was struggling in her caring role and finding it difficult to manage the demands, as well as challenging behaviours associated with 2’s dementia diagnosis. 2’s personal outcome was to remain living at home; 2’s wife supported this but needed help to enable this. Due to the high risk of carer’s breakdown, a package of care was implemented immediately as an early intervention and preventative measure to prevent any escalating concerns, and to prevent the need for 2 to move into residential care. Prevention and early intervention is one of the main principles of the SSWBA (2014); it promotes people accessing support at an early stage to enable them to maintain a good quality of life. The Department of Health and Social Care (2018) define prevention as:</w:t>
            </w:r>
          </w:p>
          <w:p w14:paraId="4488AC9E" w14:textId="77777777" w:rsidR="00C15DAC" w:rsidRPr="00C15DAC" w:rsidRDefault="00C15DAC" w:rsidP="00C15DAC">
            <w:pPr>
              <w:rPr>
                <w:sz w:val="24"/>
                <w:szCs w:val="24"/>
              </w:rPr>
            </w:pPr>
            <w:r w:rsidRPr="00C15DAC">
              <w:rPr>
                <w:sz w:val="24"/>
                <w:szCs w:val="24"/>
              </w:rPr>
              <w:t> </w:t>
            </w:r>
          </w:p>
          <w:p w14:paraId="4A53131F" w14:textId="77777777" w:rsidR="00C15DAC" w:rsidRPr="00C15DAC" w:rsidRDefault="00C15DAC" w:rsidP="00C15DAC">
            <w:pPr>
              <w:rPr>
                <w:sz w:val="24"/>
                <w:szCs w:val="24"/>
              </w:rPr>
            </w:pPr>
            <w:r w:rsidRPr="00C15DAC">
              <w:rPr>
                <w:sz w:val="24"/>
                <w:szCs w:val="24"/>
              </w:rPr>
              <w:t>Stopping problems from arising in the first place; focusing on keeping people healthy, not just treating them when they become ill. And if they do, it means supporting them to manage their health earlier and more effectively.</w:t>
            </w:r>
          </w:p>
          <w:p w14:paraId="7011716A" w14:textId="77777777" w:rsidR="00C15DAC" w:rsidRPr="00C15DAC" w:rsidRDefault="00C15DAC" w:rsidP="00C15DAC">
            <w:pPr>
              <w:rPr>
                <w:sz w:val="24"/>
                <w:szCs w:val="24"/>
              </w:rPr>
            </w:pPr>
            <w:r w:rsidRPr="00C15DAC">
              <w:rPr>
                <w:sz w:val="24"/>
                <w:szCs w:val="24"/>
              </w:rPr>
              <w:t> </w:t>
            </w:r>
          </w:p>
          <w:p w14:paraId="6838D196" w14:textId="77777777" w:rsidR="00C15DAC" w:rsidRPr="00C15DAC" w:rsidRDefault="00C15DAC" w:rsidP="00C15DAC">
            <w:pPr>
              <w:rPr>
                <w:sz w:val="24"/>
                <w:szCs w:val="24"/>
              </w:rPr>
            </w:pPr>
            <w:r w:rsidRPr="00C15DAC">
              <w:rPr>
                <w:sz w:val="24"/>
                <w:szCs w:val="24"/>
              </w:rPr>
              <w:t>Due to receiving a number of Adult at risk reports, preventative work with 2 and his wife was influential and continuous throughout my intervention with them. Duggal and Tanner (2021) highlight that Older People’s needs are complex, and can fluctuate; preventative interventions means having provisions in place to review needs and be able to respond to changes in a flexible way. This will be demonstrated throughout this reflective piece of work.</w:t>
            </w:r>
          </w:p>
          <w:p w14:paraId="66CD5EDA" w14:textId="77777777" w:rsidR="00C15DAC" w:rsidRPr="00C15DAC" w:rsidRDefault="00C15DAC" w:rsidP="00C15DAC">
            <w:pPr>
              <w:rPr>
                <w:sz w:val="24"/>
                <w:szCs w:val="24"/>
              </w:rPr>
            </w:pPr>
            <w:r w:rsidRPr="00C15DAC">
              <w:rPr>
                <w:sz w:val="24"/>
                <w:szCs w:val="24"/>
              </w:rPr>
              <w:t> </w:t>
            </w:r>
          </w:p>
          <w:p w14:paraId="6FBCB898" w14:textId="77777777" w:rsidR="00C15DAC" w:rsidRPr="00C15DAC" w:rsidRDefault="00C15DAC" w:rsidP="00C15DAC">
            <w:pPr>
              <w:rPr>
                <w:sz w:val="24"/>
                <w:szCs w:val="24"/>
              </w:rPr>
            </w:pPr>
            <w:r w:rsidRPr="00C15DAC">
              <w:rPr>
                <w:sz w:val="24"/>
                <w:szCs w:val="24"/>
              </w:rPr>
              <w:t xml:space="preserve">The initial Adult at Risk report received was escalated by the care agency. The report highlighted concerns that things had become physically aggressive between 2 and his wife during an altercation in their home. The report suggested that the wife had presented with goading behaviours; she obstructed 2 not allowing him to pass by her. This led to the escalation of aggressive behaviours and 2 lashed out, hitting his wife. The Alzheimer’s Society (2024) puts forward that individuals with dementia have difficulties such as memory loss, orientation problems, and struggles with day to day activities and making decisions. As a result of these cognitive difficulties, it can make individuals more at risk of abuse or neglect and it makes it more difficult for the individual to protect themselves. In addition to this, carers could be at risk of abuse and neglect due to risk of carer breakdown and suffering extreme stress, which can lead to them not looking after themselves. This can impact the way they are caring for the individual they are caring for. </w:t>
            </w:r>
          </w:p>
          <w:p w14:paraId="36029289" w14:textId="77777777" w:rsidR="00C15DAC" w:rsidRPr="00C15DAC" w:rsidRDefault="00C15DAC" w:rsidP="00C15DAC">
            <w:pPr>
              <w:rPr>
                <w:sz w:val="24"/>
                <w:szCs w:val="24"/>
              </w:rPr>
            </w:pPr>
            <w:r w:rsidRPr="00C15DAC">
              <w:rPr>
                <w:sz w:val="24"/>
                <w:szCs w:val="24"/>
              </w:rPr>
              <w:t> </w:t>
            </w:r>
          </w:p>
          <w:p w14:paraId="1BBC5A3A" w14:textId="77777777" w:rsidR="00C15DAC" w:rsidRPr="00C15DAC" w:rsidRDefault="00C15DAC" w:rsidP="00C15DAC">
            <w:pPr>
              <w:rPr>
                <w:sz w:val="24"/>
                <w:szCs w:val="24"/>
              </w:rPr>
            </w:pPr>
            <w:r w:rsidRPr="00C15DAC">
              <w:rPr>
                <w:sz w:val="24"/>
                <w:szCs w:val="24"/>
              </w:rPr>
              <w:lastRenderedPageBreak/>
              <w:t>I was apprehensive about the report and had concerns for both 2 and his wife’s safety. My initial thoughts were whether 2 needed to be removed to a place of safety to de-escalate the fraught situation between them. I was contacted by the safeguarding social worker who was able to give me clear guidance on what was required, which put me at ease. In accordance with section 126 of the SSWBA (2014), we conducted an initial screening together to check for factual accuracy. This involved a discussion with the reporting care agency. From this there was sufficient evidence to suggest that 2 could be an adult at risk due to his care and support needs around his vulnerabilities associated with dementia and the inability to protect himself from harm. An adult at risk is defined as an adult who is experiencing or is at risk of abuse and neglect, has care and support needs and as a result of those needs, is unable to protect themselves against abuse or neglect or the risk of it (s126, SSWBA 2014). Consequently, this prompted an initial evaluation under s126, SSWBA (2014). I was responsible for carrying out the enquiries. Statutory guidance under the SSWBA (2014) volume one introduction and overview tells us that enquiries need to take place within seven days of receiving the adult at risk report (Welsh Government, 2016).</w:t>
            </w:r>
          </w:p>
          <w:p w14:paraId="23DE2F59" w14:textId="77777777" w:rsidR="00C15DAC" w:rsidRPr="00C15DAC" w:rsidRDefault="00C15DAC" w:rsidP="00C15DAC">
            <w:pPr>
              <w:rPr>
                <w:sz w:val="24"/>
                <w:szCs w:val="24"/>
              </w:rPr>
            </w:pPr>
            <w:r w:rsidRPr="00C15DAC">
              <w:rPr>
                <w:sz w:val="24"/>
                <w:szCs w:val="24"/>
              </w:rPr>
              <w:t> </w:t>
            </w:r>
          </w:p>
          <w:p w14:paraId="1DCB3FBA" w14:textId="77777777" w:rsidR="00C15DAC" w:rsidRPr="00C15DAC" w:rsidRDefault="00C15DAC" w:rsidP="00C15DAC">
            <w:pPr>
              <w:rPr>
                <w:sz w:val="24"/>
                <w:szCs w:val="24"/>
              </w:rPr>
            </w:pPr>
            <w:r w:rsidRPr="00C15DAC">
              <w:rPr>
                <w:sz w:val="24"/>
                <w:szCs w:val="24"/>
              </w:rPr>
              <w:t xml:space="preserve">In addition to the support from the safeguarding social worker I accessed the national Wales Safeguarding Procedures (2019) (WSP). This supported my practice and gave me clear guidance in relation to my role and responsibilities when carrying out the enquiries. WSP (2019) say that when undertaking s126 enquiries, Adult Practice Reviews have highlighted the absence of a person-centred approach by practitioners. Stating the lack of a person-centred approach can lead to a misrepresentation of a person’s experiences and wishes and feelings. With this in mind, it was vital that my enquiries with 2 were person centred. I did this by speaking with him on his own, to get his views wishes and feelings. </w:t>
            </w:r>
          </w:p>
          <w:p w14:paraId="1958869C" w14:textId="77777777" w:rsidR="00C15DAC" w:rsidRPr="00C15DAC" w:rsidRDefault="00C15DAC" w:rsidP="00C15DAC">
            <w:pPr>
              <w:rPr>
                <w:sz w:val="24"/>
                <w:szCs w:val="24"/>
              </w:rPr>
            </w:pPr>
            <w:r w:rsidRPr="00C15DAC">
              <w:rPr>
                <w:sz w:val="24"/>
                <w:szCs w:val="24"/>
              </w:rPr>
              <w:t> </w:t>
            </w:r>
          </w:p>
          <w:p w14:paraId="7430BF73" w14:textId="77777777" w:rsidR="00C15DAC" w:rsidRPr="00C15DAC" w:rsidRDefault="00C15DAC" w:rsidP="00C15DAC">
            <w:pPr>
              <w:rPr>
                <w:sz w:val="24"/>
                <w:szCs w:val="24"/>
              </w:rPr>
            </w:pPr>
            <w:r w:rsidRPr="00C15DAC">
              <w:rPr>
                <w:sz w:val="24"/>
                <w:szCs w:val="24"/>
              </w:rPr>
              <w:t xml:space="preserve">2 was able to verbally communicate, however short term memory was impaired and it was evident that his series of events was muddled. To promote person-centred care it was important for me to use the appropriate communication methods by promoting a humanness respectful relationship with 2. Seden, 2013, p. 360 identifies how bureaucracy and service-led approaches can be oppressive. Seden highlights the importance of using a holistic approach when interviewing individuals because it builds on a positive working relationship and helps to distinguish the impact of discrimination. Having regard to the Human Rights Act 1998 (HRA) was paramount. Human rights are universal and are applicable worldwide. In accordance with this, the European Convention on Human Rights (ECHR) protects the human rights of individuals in countries that are part of the council of Europe. It is key to note that this is still lawful and should be abided by despite the UK leaving the EU. Article 3 says that 2 should not be subjected to any inhuman or degrading treatment. HRA &amp; ECHR puts a requirement on all public authorities to treat people with equality, dignity, fairness, respect and autonomy. To uphold equality when conducting enquiries with 2, UK legislation through the Equality Act 2010 was also prevalent. Under the Equality Act 2010, 2 has a legal right to be protected from discrimination; not only does he have a protected characteristic in relation to a disability due to the dementia but also age is a protected characteristic, and therefore he should not be treated any differently due to his age. </w:t>
            </w:r>
          </w:p>
          <w:p w14:paraId="0D2D8223" w14:textId="77777777" w:rsidR="00C15DAC" w:rsidRPr="00C15DAC" w:rsidRDefault="00C15DAC" w:rsidP="00C15DAC">
            <w:pPr>
              <w:rPr>
                <w:sz w:val="24"/>
                <w:szCs w:val="24"/>
              </w:rPr>
            </w:pPr>
            <w:r w:rsidRPr="00C15DAC">
              <w:rPr>
                <w:sz w:val="24"/>
                <w:szCs w:val="24"/>
              </w:rPr>
              <w:t> </w:t>
            </w:r>
          </w:p>
          <w:p w14:paraId="25E626CC" w14:textId="77777777" w:rsidR="00C15DAC" w:rsidRPr="00C15DAC" w:rsidRDefault="00C15DAC" w:rsidP="00C15DAC">
            <w:pPr>
              <w:rPr>
                <w:sz w:val="24"/>
                <w:szCs w:val="24"/>
              </w:rPr>
            </w:pPr>
            <w:r w:rsidRPr="00C15DAC">
              <w:rPr>
                <w:sz w:val="24"/>
                <w:szCs w:val="24"/>
              </w:rPr>
              <w:t xml:space="preserve">Language difficulties and problems finding words during conversation can be present in dementia. To maintain a person-centred approach, it was important that I was patient. </w:t>
            </w:r>
            <w:r w:rsidRPr="00C15DAC">
              <w:rPr>
                <w:sz w:val="24"/>
                <w:szCs w:val="24"/>
              </w:rPr>
              <w:lastRenderedPageBreak/>
              <w:t xml:space="preserve">Initially 2 was a bit suspicious questioning ‘why are you here?’ ‘What do you want?’. Due to this I had a more generalised conversation with 2 to help put him at ease. I had to ask simple and clear questions such as ‘is everything ok?’ ‘What happened?’ I used a collaborative approach by being warm and friendly, acknowledging and accepting the information he was sharing. I listened to understand and I was honest. This is supported by Howe (2009, quoted in Seden, 2013, p. 360) Howe suggests that it is important for Social Workers to recognise and understand what transpires when a practitioner and service user meets. 2 evidenced some difficulty with processing the information I was sharing. This made me self-aware by being mindful of the choice of words and safeguarding terminology I was using, as well as my body language. </w:t>
            </w:r>
          </w:p>
          <w:p w14:paraId="096B2ECA" w14:textId="77777777" w:rsidR="00C15DAC" w:rsidRPr="00C15DAC" w:rsidRDefault="00C15DAC" w:rsidP="00C15DAC">
            <w:pPr>
              <w:rPr>
                <w:sz w:val="24"/>
                <w:szCs w:val="24"/>
              </w:rPr>
            </w:pPr>
            <w:r w:rsidRPr="00C15DAC">
              <w:rPr>
                <w:sz w:val="24"/>
                <w:szCs w:val="24"/>
              </w:rPr>
              <w:t> </w:t>
            </w:r>
          </w:p>
          <w:p w14:paraId="6FEEA437" w14:textId="77777777" w:rsidR="00C15DAC" w:rsidRPr="00C15DAC" w:rsidRDefault="00C15DAC" w:rsidP="00C15DAC">
            <w:pPr>
              <w:rPr>
                <w:sz w:val="24"/>
                <w:szCs w:val="24"/>
              </w:rPr>
            </w:pPr>
            <w:r w:rsidRPr="00C15DAC">
              <w:rPr>
                <w:sz w:val="24"/>
                <w:szCs w:val="24"/>
              </w:rPr>
              <w:t xml:space="preserve">From my initial meeting with 2 to carry out the safeguarding enquiries, I was concerned that I didn’t get the information I required and I did not feel satisfied. 2 could not really recall the events and he had lapses in attention and concentration. Because of this, the conversation appeared to be confabulated at times. I was also apprehensive due to the 7 day timescale to carry out the enquiries. During my supervision session, I expressed apprehension regarding the situation. Upon reflection, I was able to identify that perhaps I expected too much from 2 and although I had a timescale to adhere to, it was a process and it did not necessarily mean I would get everything I required in that one meeting with 2. We made reference to statutory guidance; enquiries include a range of activities and are not always alike. Enquiries are information-gathering rather than a formal commissioned investigation (Welsh Government, 2016). In addition to this, to support my professional accountability and development we explored articles associated with safeguarding adults with dementia. One report suggested the need to be prepared to accept that you will not always get the required information or problem solve immediately. Rather it suggests that safeguarding adults involves not trying to achieve everything in one visit, it is about small gains and working with the adult on issues little by little (Hardy, 2018). The outcome of this was that I would return to visit 2. It took a further two visits until I was satisfied that I had the information required for the enquiries. </w:t>
            </w:r>
          </w:p>
          <w:p w14:paraId="311ED1F6" w14:textId="77777777" w:rsidR="00C15DAC" w:rsidRPr="00C15DAC" w:rsidRDefault="00C15DAC" w:rsidP="00C15DAC">
            <w:pPr>
              <w:rPr>
                <w:sz w:val="24"/>
                <w:szCs w:val="24"/>
              </w:rPr>
            </w:pPr>
            <w:r w:rsidRPr="00C15DAC">
              <w:rPr>
                <w:sz w:val="24"/>
                <w:szCs w:val="24"/>
              </w:rPr>
              <w:t> </w:t>
            </w:r>
          </w:p>
          <w:p w14:paraId="06698723" w14:textId="77777777" w:rsidR="00C15DAC" w:rsidRPr="00C15DAC" w:rsidRDefault="00C15DAC" w:rsidP="00C15DAC">
            <w:pPr>
              <w:rPr>
                <w:sz w:val="24"/>
                <w:szCs w:val="24"/>
              </w:rPr>
            </w:pPr>
            <w:r w:rsidRPr="00C15DAC">
              <w:rPr>
                <w:sz w:val="24"/>
                <w:szCs w:val="24"/>
              </w:rPr>
              <w:t xml:space="preserve">2’s views were that he was generally happy at home. He wished to remain living at home ‘without interference’ and he disliked having to attend the day care centre. The Code of Professional Practice (COPP) says that social workers must respect the rights of individuals but ensure that their behaviour doesn’t harm themselves or others (Social Care Wales, 2017) (SCW). I was aware that there were potential risks of harm to both 2 and his wife and therefore I would need to balance their rights, responsibilities and risks. I perceived this could be challenging because statutory guidance under the SSWBA (2014) Volume 6 handling individual cases, says that any decisions made under safeguarding has to be in partnership with the adult at risk. It should be recognised in accordance with what matters to the individual and what they want from the safeguarding process. However, 2 wasn’t able to identify any potential risks of physical and abusive harm that could be present. He wanted to be left alone and was not really forthcoming with engagement. I was aware that I would have to take the required actions to reduce the risks by ensuring 2 and his wife’s behaviours were not causing harm to each other or themselves. </w:t>
            </w:r>
          </w:p>
          <w:p w14:paraId="1972091B" w14:textId="77777777" w:rsidR="00C15DAC" w:rsidRPr="00C15DAC" w:rsidRDefault="00C15DAC" w:rsidP="00C15DAC">
            <w:pPr>
              <w:rPr>
                <w:sz w:val="24"/>
                <w:szCs w:val="24"/>
              </w:rPr>
            </w:pPr>
            <w:r w:rsidRPr="00C15DAC">
              <w:rPr>
                <w:sz w:val="24"/>
                <w:szCs w:val="24"/>
              </w:rPr>
              <w:t> </w:t>
            </w:r>
          </w:p>
          <w:p w14:paraId="46D41DE9" w14:textId="77777777" w:rsidR="00C15DAC" w:rsidRPr="00C15DAC" w:rsidRDefault="00C15DAC" w:rsidP="00C15DAC">
            <w:pPr>
              <w:rPr>
                <w:sz w:val="24"/>
                <w:szCs w:val="24"/>
              </w:rPr>
            </w:pPr>
            <w:r w:rsidRPr="00C15DAC">
              <w:rPr>
                <w:sz w:val="24"/>
                <w:szCs w:val="24"/>
              </w:rPr>
              <w:lastRenderedPageBreak/>
              <w:t xml:space="preserve">WSP (2019) say that effective person-centred practice should involve the family or carer if it is appropriate. Consideration had to be taken whether it was appropriate for me to engage the wife within the s126 enquiry process. Being 2’s main carer and the fact that she was involved in the event that led to the adult at risk report being submitted, I used my professional judgement and decided that her engagement was vital. My professional curiosity led me to question whether the wife was close to carers breakdown and whether the preventative services that were provided via the package of care were sufficient in meeting the carer’s needs. Hardy (2018) suggests that individuals with dementia can be vulnerable to abuse because the main carer has reached burnout and they display signs of anger and being unkind. The vulnerable individual may not understand or be able to process the reaction and how it has come about. </w:t>
            </w:r>
          </w:p>
          <w:p w14:paraId="528C49F6" w14:textId="77777777" w:rsidR="00C15DAC" w:rsidRPr="00C15DAC" w:rsidRDefault="00C15DAC" w:rsidP="00C15DAC">
            <w:pPr>
              <w:rPr>
                <w:sz w:val="24"/>
                <w:szCs w:val="24"/>
              </w:rPr>
            </w:pPr>
            <w:r w:rsidRPr="00C15DAC">
              <w:rPr>
                <w:sz w:val="24"/>
                <w:szCs w:val="24"/>
              </w:rPr>
              <w:t> </w:t>
            </w:r>
          </w:p>
          <w:p w14:paraId="6AFE45CB" w14:textId="329E3AF1" w:rsidR="00C15DAC" w:rsidRPr="00C15DAC" w:rsidRDefault="00C15DAC" w:rsidP="00C15DAC">
            <w:pPr>
              <w:rPr>
                <w:sz w:val="24"/>
                <w:szCs w:val="24"/>
              </w:rPr>
            </w:pPr>
            <w:r w:rsidRPr="00C15DAC">
              <w:rPr>
                <w:sz w:val="24"/>
                <w:szCs w:val="24"/>
              </w:rPr>
              <w:t xml:space="preserve">The SSWBA (2014) puts duties on local authorities to provide information, advice and assistance to carers. It also gives carers rights to an assessment to assess their care and support needs. In the locality where 2 and his wife reside, there are 79,000 unpaid adult carers in the area, 14% of those are aged 65 and over. A high percentage of these carers reported to have suffered mental ill health (North Wales Population Assessment, 2022). My professional curiosity prompted me further to query whether the mental health statistics are associated with the high demands of the caring roles and whether mental ill health was a factor affecting 2’s wife. The information I gathered from the wife was </w:t>
            </w:r>
            <w:r w:rsidR="00A57B8F">
              <w:rPr>
                <w:sz w:val="24"/>
                <w:szCs w:val="24"/>
              </w:rPr>
              <w:t xml:space="preserve">that </w:t>
            </w:r>
            <w:r w:rsidRPr="00C15DAC">
              <w:rPr>
                <w:sz w:val="24"/>
                <w:szCs w:val="24"/>
              </w:rPr>
              <w:t xml:space="preserve">she was experiencing severe stress and burnout. She felt her mental health was suffering. She admitted that when the incident occurred between her and 2, she should have walked away, but in the moment, things escalated. She discussed how she no longer felt like 2’s wife and due to the caring demands she was beginning to resent her husband. During this process, systems theory was relevant. Systems theory identifies that changes in an individual’s circumstance can put their support networks under stress and result in their systems not working harmoniously. It was evident that 2’s system had become unbalanced. Systems theory proposes that when individuals experience challenges that they can’t resolve within their support systems they are confronted with conflict and difficulties (Maclean and Harrison, 2015, p. 196). </w:t>
            </w:r>
          </w:p>
          <w:p w14:paraId="37C87E5F" w14:textId="77777777" w:rsidR="00C15DAC" w:rsidRPr="00C15DAC" w:rsidRDefault="00C15DAC" w:rsidP="00C15DAC">
            <w:pPr>
              <w:rPr>
                <w:sz w:val="24"/>
                <w:szCs w:val="24"/>
              </w:rPr>
            </w:pPr>
            <w:r w:rsidRPr="00C15DAC">
              <w:rPr>
                <w:sz w:val="24"/>
                <w:szCs w:val="24"/>
              </w:rPr>
              <w:t> </w:t>
            </w:r>
          </w:p>
          <w:p w14:paraId="21A4E5A5" w14:textId="77777777" w:rsidR="00C15DAC" w:rsidRPr="00C15DAC" w:rsidRDefault="00C15DAC" w:rsidP="00C15DAC">
            <w:pPr>
              <w:rPr>
                <w:sz w:val="24"/>
                <w:szCs w:val="24"/>
              </w:rPr>
            </w:pPr>
            <w:r w:rsidRPr="00C15DAC">
              <w:rPr>
                <w:sz w:val="24"/>
                <w:szCs w:val="24"/>
              </w:rPr>
              <w:t>From the submission of my s126, the determination was that 2 was not an adult at risk but had other needs for care &amp; support services. As a result of this, there was a requirement for me to reassess 2 in accordance to part 3 of the SSWBA (2014). Following the reassessment, I was able to make a judgement that 2 had increased eligible needs for care and support in accordance with Care and Support (Eligibility) (Wales) Regulations (2015). Nevertheless, having knowledge of part 4 of the SSWBA (2014), I understood that the local authority has a duty to meet 2’s needs in order to safeguard and protect him from risk of abuse or neglect, regardless of the determination of eligibility. Applying systems theory enabled me to view 2 holistically and helped me to gain an understanding of his social and family structures and how they were affecting him. Systems theory supported me to identify areas where 2 and his wife were under strain and enabled me to maximise support for them with a view to sustaining relationships.</w:t>
            </w:r>
          </w:p>
          <w:p w14:paraId="4E0AAA55" w14:textId="77777777" w:rsidR="00C15DAC" w:rsidRPr="00C15DAC" w:rsidRDefault="00C15DAC" w:rsidP="00C15DAC">
            <w:pPr>
              <w:rPr>
                <w:sz w:val="24"/>
                <w:szCs w:val="24"/>
              </w:rPr>
            </w:pPr>
            <w:r w:rsidRPr="00C15DAC">
              <w:rPr>
                <w:sz w:val="24"/>
                <w:szCs w:val="24"/>
              </w:rPr>
              <w:t> </w:t>
            </w:r>
          </w:p>
          <w:p w14:paraId="0A354BFC" w14:textId="77777777" w:rsidR="00C15DAC" w:rsidRPr="00C15DAC" w:rsidRDefault="00C15DAC" w:rsidP="00C15DAC">
            <w:pPr>
              <w:rPr>
                <w:sz w:val="24"/>
                <w:szCs w:val="24"/>
              </w:rPr>
            </w:pPr>
            <w:r w:rsidRPr="00C15DAC">
              <w:rPr>
                <w:sz w:val="24"/>
                <w:szCs w:val="24"/>
              </w:rPr>
              <w:t xml:space="preserve">Faulkner and Sweeney (2014) suggest that prevention in safeguarding is about managing risks and empowering people to make decisions rather than being risk-averse. I accessed </w:t>
            </w:r>
            <w:r w:rsidRPr="00C15DAC">
              <w:rPr>
                <w:sz w:val="24"/>
                <w:szCs w:val="24"/>
              </w:rPr>
              <w:lastRenderedPageBreak/>
              <w:t>the Regional Safeguarding Board (2024) information on direct payments and safeguarding. This highlighted the importance of the implementation of a robust care and support plan. I was able to implement an increased care and support package of direct payments to meet 2 and his wife’s care and support needs as preventative services. The SSWBA (2014) says that direct payments need to be made available to all who have care and support needs. A report carried out by Audit Wales (2022) says it is vital an approachable person-centred method is used to help individuals take up direct payments. However, the report identifies that people who access services are not always encouraged consistently to take them up, and participation by local authorities can be inconsistent. Given direct payments can be used as a valuable preventative service, the report identifies that within the local authority where 2 resides, only 239 individuals out of 7,060 are receiving direct payments. Within Wales, just over a third of people receiving direct payments are aged 65 and older, so it can be predicted that the amount of older people using direct payments within 2’s local authority would be a significantly low percent of the 239 users. To gain confidence with promoting the direct payments in an approachable person-centred way with 2 and his wife, I was able to access a direct payment training course, which I found this to be valuable. 2 and his wife were able to use direct payments flexibility and innovatively which suited their circumstances</w:t>
            </w:r>
          </w:p>
          <w:p w14:paraId="39B0B280" w14:textId="77777777" w:rsidR="00C15DAC" w:rsidRPr="00C15DAC" w:rsidRDefault="00C15DAC" w:rsidP="00C15DAC">
            <w:pPr>
              <w:rPr>
                <w:sz w:val="24"/>
                <w:szCs w:val="24"/>
              </w:rPr>
            </w:pPr>
            <w:r w:rsidRPr="00C15DAC">
              <w:rPr>
                <w:sz w:val="24"/>
                <w:szCs w:val="24"/>
              </w:rPr>
              <w:t> </w:t>
            </w:r>
          </w:p>
          <w:p w14:paraId="4ABCBBEE" w14:textId="77777777" w:rsidR="00C15DAC" w:rsidRPr="00C15DAC" w:rsidRDefault="00C15DAC" w:rsidP="00C15DAC">
            <w:pPr>
              <w:rPr>
                <w:sz w:val="24"/>
                <w:szCs w:val="24"/>
              </w:rPr>
            </w:pPr>
            <w:r w:rsidRPr="00C15DAC">
              <w:rPr>
                <w:sz w:val="24"/>
                <w:szCs w:val="24"/>
              </w:rPr>
              <w:t xml:space="preserve">The care agency had a further reasonable cause to suspect that 2 could be at risk. Under s128 of the SSWBA (2014), another adult at risk report was submitted. This was in relation to the wife pouring water on 2 when he was being non-compliant and aggressive by refusing to get up out of bed to get ready to attend day care. This action from his wife would escalate 2’s behaviours and he would react by attempting to physically hurt his wife. I completed enquiries under s126 of the SSWBA (2014) and again the determination was that 2 was not at risk as he was not experiencing any physical harm. I was informed the situation could be monitored by risk assessing and collaboration with other professionals to safeguard the situation to prevent escalating concerns. I felt apprehensive about this; in my own professional judgement I thought that 2 was at risk of psychological abuse. Section 134 of the SSWBA (2014) puts forward regional safeguarding boards. I explored the Regional Safeguarding Board guidance tools, which confirms that psychological abuse can involve humiliation, threats, intimidation that is used to harm, punish or frighten the victim. This showed that making a decision on what is abuse is not straightforward. The International Federation of Social Worker (IFSW) is the worldwide body for the social work profession, which promotes social justice, inclusivity and human rights. One of the underpinning ethical principles advocates the requirement for social workers to recognise and respect the dignity and worth of all human beings and urges us to challenge beliefs and actions of people who devalue or harm other people. This supports the COPP and the need to promote and uphold 2’s rights to dignity (SCW, 2017). </w:t>
            </w:r>
          </w:p>
          <w:p w14:paraId="458274B9" w14:textId="77777777" w:rsidR="00C15DAC" w:rsidRPr="00C15DAC" w:rsidRDefault="00C15DAC" w:rsidP="00C15DAC">
            <w:pPr>
              <w:rPr>
                <w:sz w:val="24"/>
                <w:szCs w:val="24"/>
              </w:rPr>
            </w:pPr>
            <w:r w:rsidRPr="00C15DAC">
              <w:rPr>
                <w:sz w:val="24"/>
                <w:szCs w:val="24"/>
              </w:rPr>
              <w:t> </w:t>
            </w:r>
          </w:p>
          <w:p w14:paraId="38C4C030" w14:textId="77777777" w:rsidR="00C15DAC" w:rsidRPr="00C15DAC" w:rsidRDefault="00C15DAC" w:rsidP="00C15DAC">
            <w:pPr>
              <w:rPr>
                <w:sz w:val="24"/>
                <w:szCs w:val="24"/>
              </w:rPr>
            </w:pPr>
            <w:r w:rsidRPr="00C15DAC">
              <w:rPr>
                <w:sz w:val="24"/>
                <w:szCs w:val="24"/>
              </w:rPr>
              <w:t xml:space="preserve">Throughout my work with 2 and his wife, I co-worked the case with a CPN. I was hesitant about working with the CPN initially due to previous experiences, where I found it challenging due to a lack of communication and tensions with how to achieve different outcomes. For example the CPN wasn’t communicating with me wasn’t forthcoming with joint visits, when a crisis became evident the CPN was hasty to try and get the individual into residential care without exploring alternative options that were person centred. A paper by Lymbery (2005) argues that partnership working can be challenging, due to the </w:t>
            </w:r>
            <w:r w:rsidRPr="00C15DAC">
              <w:rPr>
                <w:sz w:val="24"/>
                <w:szCs w:val="24"/>
              </w:rPr>
              <w:lastRenderedPageBreak/>
              <w:t xml:space="preserve">disparities in power and culture between various occupations. However co-working with this CPN was positive. Lymbery (2005) says it is important to clarify roles of all professionals concerned so everyone can contribute effectively. The CPN and I did this at the start of our partnership together, we made our roles clear and I had an understanding of what the CPN could support with medically and what I could bring socially. On occasions 2’s wife could be quite insistent by asking me to alter 2’s medication, I would make it clear that this was the CPN remit. The CPN and I were respectful of each other’s roles and boundaries, as a result we built trust in each other. Hutchinson, 2013, p. 326 says that working in a multidisciplinary way to provide a holistic approach to the needs of individuals is crucial. When viable we ensured all our visits were completed together, at the end of the visit we shared notes with a list of actions that needed to be carried out by one another. This was consistent and gave 2 and his wife confidence that their needs were being assessed holistically. If we had any difficulties carrying out any actions we would communicate with one another to try and problem solve. </w:t>
            </w:r>
          </w:p>
          <w:p w14:paraId="6F0DC940" w14:textId="77777777" w:rsidR="00C15DAC" w:rsidRPr="00C15DAC" w:rsidRDefault="00C15DAC" w:rsidP="00C15DAC">
            <w:pPr>
              <w:rPr>
                <w:sz w:val="24"/>
                <w:szCs w:val="24"/>
              </w:rPr>
            </w:pPr>
          </w:p>
          <w:p w14:paraId="7EEE97F4" w14:textId="77777777" w:rsidR="00C15DAC" w:rsidRPr="00C15DAC" w:rsidRDefault="00C15DAC" w:rsidP="00C15DAC">
            <w:pPr>
              <w:rPr>
                <w:sz w:val="24"/>
                <w:szCs w:val="24"/>
              </w:rPr>
            </w:pPr>
            <w:r w:rsidRPr="00C15DAC">
              <w:rPr>
                <w:sz w:val="24"/>
                <w:szCs w:val="24"/>
              </w:rPr>
              <w:t>The CPN and I took a collaborative approach to draw up a risk assessment. The COPP (SCW, 2017) says social workers should use risk assessments to assess whether an individual’s behaviours are a risk of harm to themselves or others. My professional curiosity led me to explore why the wife felt the need to pour water on 2. I learnt that the wife was so desperate for some respite she felt she had to coerce 2. I addressed this behaviour with wife and explained why it was unacceptable. Doing this I was aware of a power imbalance and did not want to be oppressive. Lee (2022) suggests that assessments may not always reflect a person’s experiences but rather represents how social workers use their professional power to perceive and select information to determine what the person needs. Collaborating with the wife and CPN during the risk assessment process was invaluable. The risk assessment became a tool for the wife to refer to for guidance. She was able to participate in the process which shared the power. Empowerment theories are about achieving ‘power together’ so that individuals and families can take action to improve their situations (Tew, 2013, p. 439). In supervision I was able to analyse how the collaboration of the risk assessment with 2’s wife informed theories of empowerment. I perceived how promoting empowerment along with safeguarding is complex. Promoting empowerment meant me seeing 2 and his wife as experts in their own lives, if individuals don’t have an element of risk taking they can feel disempowered, however if risk taking is allowed and something goes wrong, I could be criticised. I found it difficult to balance both 2 and his wife needs without showing bias to one. For example as a risk reduction strategy I was arranging day care for the wife to have a break, however 2 more often than not did not want to attend day care. I  previously thought risk assessments were more of a ‘tick box exercise’ for health and safety purposes, nevertheless it became a valuable tool that was continuously updated and reviewed, which resulted in protecting both 2 and his wife from harm.  </w:t>
            </w:r>
          </w:p>
          <w:p w14:paraId="224867A6" w14:textId="77777777" w:rsidR="00C15DAC" w:rsidRPr="00C15DAC" w:rsidRDefault="00C15DAC" w:rsidP="00C15DAC">
            <w:pPr>
              <w:rPr>
                <w:sz w:val="24"/>
                <w:szCs w:val="24"/>
              </w:rPr>
            </w:pPr>
            <w:r w:rsidRPr="00C15DAC">
              <w:rPr>
                <w:sz w:val="24"/>
                <w:szCs w:val="24"/>
              </w:rPr>
              <w:t> </w:t>
            </w:r>
          </w:p>
          <w:p w14:paraId="4EBD1675" w14:textId="77777777" w:rsidR="00C15DAC" w:rsidRPr="00C15DAC" w:rsidRDefault="00C15DAC" w:rsidP="00C15DAC">
            <w:pPr>
              <w:rPr>
                <w:sz w:val="24"/>
                <w:szCs w:val="24"/>
              </w:rPr>
            </w:pPr>
            <w:r w:rsidRPr="00C15DAC">
              <w:rPr>
                <w:sz w:val="24"/>
                <w:szCs w:val="24"/>
              </w:rPr>
              <w:t xml:space="preserve">Should the s126 enquiries determined that there was reasonable cause to suspect 2 was at risk the next step in the safeguarding process would have been a strategy meeting. Strategy discussions determine what action should be taken to ensure the safety and care and support needs of the adult at risk. If the outcome of strategy was that 2 remained at risk and required ongoing intervention to protect from abuse and neglect, an adult protection conference would have to be arranged, to agree on care and support plans as well as </w:t>
            </w:r>
            <w:r w:rsidRPr="00C15DAC">
              <w:rPr>
                <w:sz w:val="24"/>
                <w:szCs w:val="24"/>
              </w:rPr>
              <w:lastRenderedPageBreak/>
              <w:t xml:space="preserve">protection plans. I am also aware that should the determination have been that 2 required immediate protection, he would have needed to have been removed from immediate risk, followed by strategy and then conference (WSP, 2019). </w:t>
            </w:r>
          </w:p>
          <w:p w14:paraId="47136776" w14:textId="77777777" w:rsidR="00C15DAC" w:rsidRPr="00C15DAC" w:rsidRDefault="00C15DAC" w:rsidP="00C15DAC">
            <w:pPr>
              <w:rPr>
                <w:sz w:val="24"/>
                <w:szCs w:val="24"/>
              </w:rPr>
            </w:pPr>
            <w:r w:rsidRPr="00C15DAC">
              <w:rPr>
                <w:sz w:val="24"/>
                <w:szCs w:val="24"/>
              </w:rPr>
              <w:t> </w:t>
            </w:r>
          </w:p>
          <w:p w14:paraId="4E74F55B" w14:textId="77777777" w:rsidR="00C15DAC" w:rsidRPr="00C15DAC" w:rsidRDefault="00C15DAC" w:rsidP="00C15DAC">
            <w:pPr>
              <w:rPr>
                <w:sz w:val="24"/>
                <w:szCs w:val="24"/>
              </w:rPr>
            </w:pPr>
            <w:r w:rsidRPr="00C15DAC">
              <w:rPr>
                <w:sz w:val="24"/>
                <w:szCs w:val="24"/>
              </w:rPr>
              <w:t xml:space="preserve">A significant theme from Adult Practice Reviews is the requirement for improved multi-agency communication and information sharing. The Welsh Government (2024) tells us that when information is not shared timely and effectively, decisions on how to act may be misinformed. As a result, this could lead to poor safeguarding practice and leave people more exposed to harm. When completing both s126 enquiries, I ensured it was done within the seven day timescale. In addition to this, I ensured that the risk assessment was shared and recorded appropriately with all relevant professionals. Effective information sharing is paramount to good safeguarding practice. Schedule 1 of the Data Protection Act (2018) allows for information sharing in order to prevent harm to individuals. Incorporated into this is the GDPR legal framework. Adhering to this ensured that when I was working with 2 and his wife, all of their sensitive data was collected, processed and stored securely on the local authority’s data base.  </w:t>
            </w:r>
          </w:p>
          <w:p w14:paraId="77F57594" w14:textId="77777777" w:rsidR="00C15DAC" w:rsidRPr="00C15DAC" w:rsidRDefault="00C15DAC" w:rsidP="00C15DAC">
            <w:pPr>
              <w:rPr>
                <w:sz w:val="24"/>
                <w:szCs w:val="24"/>
              </w:rPr>
            </w:pPr>
            <w:r w:rsidRPr="00C15DAC">
              <w:rPr>
                <w:sz w:val="24"/>
                <w:szCs w:val="24"/>
              </w:rPr>
              <w:t> </w:t>
            </w:r>
          </w:p>
          <w:p w14:paraId="1EACA096" w14:textId="77777777" w:rsidR="00C15DAC" w:rsidRPr="00C15DAC" w:rsidRDefault="00C15DAC" w:rsidP="00C15DAC">
            <w:pPr>
              <w:rPr>
                <w:sz w:val="24"/>
                <w:szCs w:val="24"/>
              </w:rPr>
            </w:pPr>
            <w:r w:rsidRPr="00C15DAC">
              <w:rPr>
                <w:sz w:val="24"/>
                <w:szCs w:val="24"/>
              </w:rPr>
              <w:t>This piece of work has evidenced that professionals can’t always get a full picture of individuals and their families, so having a person centred approach is essential, along with working with other agencies to build strong working relationships to be able to gain an enhanced understanding of an individual’s circumstances and their need for care and support. Working with 2, I was aware that mental capacity had to be presumed unless there was reason to suspect that his capacity was compromised. Due to 2’s cognitive impairment this was continuously monitored and discussed in my supervision sessions that if at any point should his capacity become compromised, I would have had to complete a capacity assessment (The Mental Capacity Act, 2005). This is a learning outcome that has been identified in relation to completing mental capacity assessments and in relation to best interest decisions about protective arrangements under safeguarding. My manager has agreed for me to shadow these types of assessments being undertaken as well as attending best interest meetings to build on my knowledge base and confidence.</w:t>
            </w:r>
          </w:p>
          <w:p w14:paraId="5F994AAB" w14:textId="77777777" w:rsidR="00C15DAC" w:rsidRPr="00C15DAC" w:rsidRDefault="00C15DAC" w:rsidP="00C15DAC">
            <w:pPr>
              <w:rPr>
                <w:sz w:val="24"/>
                <w:szCs w:val="24"/>
              </w:rPr>
            </w:pPr>
            <w:r w:rsidRPr="00C15DAC">
              <w:rPr>
                <w:sz w:val="24"/>
                <w:szCs w:val="24"/>
              </w:rPr>
              <w:t> </w:t>
            </w:r>
          </w:p>
          <w:p w14:paraId="16D27A75" w14:textId="5CE06882" w:rsidR="00C15DAC" w:rsidRPr="00C15DAC" w:rsidRDefault="00C15DAC" w:rsidP="00C15DAC">
            <w:pPr>
              <w:rPr>
                <w:sz w:val="24"/>
                <w:szCs w:val="24"/>
              </w:rPr>
            </w:pPr>
            <w:r w:rsidRPr="00C15DAC">
              <w:rPr>
                <w:sz w:val="24"/>
                <w:szCs w:val="24"/>
              </w:rPr>
              <w:t xml:space="preserve">Word </w:t>
            </w:r>
            <w:r w:rsidR="00A57B8F">
              <w:rPr>
                <w:sz w:val="24"/>
                <w:szCs w:val="24"/>
              </w:rPr>
              <w:t>count: 4398</w:t>
            </w:r>
          </w:p>
          <w:p w14:paraId="23B0A968" w14:textId="77777777" w:rsidR="00C15DAC" w:rsidRPr="00C15DAC" w:rsidRDefault="00C15DAC" w:rsidP="00C15DAC">
            <w:pPr>
              <w:rPr>
                <w:sz w:val="24"/>
                <w:szCs w:val="24"/>
              </w:rPr>
            </w:pPr>
            <w:r w:rsidRPr="00C15DAC">
              <w:rPr>
                <w:sz w:val="24"/>
                <w:szCs w:val="24"/>
              </w:rPr>
              <w:t>  </w:t>
            </w:r>
          </w:p>
          <w:p w14:paraId="4B5FB886" w14:textId="77777777" w:rsidR="00C15DAC" w:rsidRPr="00C15DAC" w:rsidRDefault="00C15DAC" w:rsidP="00C15DAC">
            <w:pPr>
              <w:rPr>
                <w:sz w:val="24"/>
                <w:szCs w:val="24"/>
              </w:rPr>
            </w:pPr>
            <w:r w:rsidRPr="00C15DAC">
              <w:rPr>
                <w:sz w:val="24"/>
                <w:szCs w:val="24"/>
              </w:rPr>
              <w:t> </w:t>
            </w:r>
          </w:p>
          <w:p w14:paraId="47F21B6A" w14:textId="5982CDDB" w:rsidR="007A628F" w:rsidRPr="008B28E7" w:rsidRDefault="00C15DAC" w:rsidP="00333F3F">
            <w:pPr>
              <w:rPr>
                <w:sz w:val="24"/>
                <w:szCs w:val="24"/>
              </w:rPr>
            </w:pPr>
            <w:r w:rsidRPr="00C15DAC">
              <w:rPr>
                <w:sz w:val="24"/>
                <w:szCs w:val="24"/>
              </w:rPr>
              <w:t> </w:t>
            </w:r>
            <w:bookmarkStart w:id="0" w:name="_GoBack"/>
            <w:bookmarkEnd w:id="0"/>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1B02E9F" w14:textId="77777777" w:rsidR="00DD31C5" w:rsidRPr="008B28E7" w:rsidRDefault="00DD31C5" w:rsidP="00064063">
      <w:pPr>
        <w:ind w:firstLine="720"/>
        <w:jc w:val="both"/>
        <w:rPr>
          <w:b/>
          <w:sz w:val="24"/>
          <w:szCs w:val="24"/>
        </w:rPr>
      </w:pPr>
    </w:p>
    <w:p w14:paraId="7F4433FA" w14:textId="247A8309" w:rsidR="00CC135E" w:rsidRPr="003B29BC" w:rsidRDefault="00CC135E" w:rsidP="003B29BC">
      <w:pPr>
        <w:rPr>
          <w:color w:val="auto"/>
          <w:sz w:val="24"/>
          <w:szCs w:val="24"/>
        </w:rPr>
      </w:pPr>
    </w:p>
    <w:sectPr w:rsidR="00CC135E" w:rsidRPr="003B29BC" w:rsidSect="00F15354">
      <w:headerReference w:type="default" r:id="rId12"/>
      <w:footerReference w:type="default" r:id="rId13"/>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7B50787" w14:textId="77777777" w:rsidR="00A5656A" w:rsidRDefault="00A5656A">
      <w:r>
        <w:separator/>
      </w:r>
    </w:p>
  </w:endnote>
  <w:endnote w:type="continuationSeparator" w:id="0">
    <w:p w14:paraId="66F4E6C3" w14:textId="77777777" w:rsidR="00A5656A" w:rsidRDefault="00A565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Microsoft YaHei"/>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SimSu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A3DEAF" w14:textId="5B47E7C9" w:rsidR="00A5656A" w:rsidRDefault="00A5656A">
    <w:pPr>
      <w:pStyle w:val="Footer"/>
      <w:jc w:val="right"/>
    </w:pPr>
    <w:r>
      <w:fldChar w:fldCharType="begin"/>
    </w:r>
    <w:r>
      <w:instrText xml:space="preserve"> PAGE   \* MERGEFORMAT </w:instrText>
    </w:r>
    <w:r>
      <w:fldChar w:fldCharType="separate"/>
    </w:r>
    <w:r w:rsidR="00333F3F">
      <w:rPr>
        <w:noProof/>
      </w:rPr>
      <w:t>3</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98C8CAB" w14:textId="77777777" w:rsidR="00A5656A" w:rsidRDefault="00A5656A">
      <w:r>
        <w:separator/>
      </w:r>
    </w:p>
  </w:footnote>
  <w:footnote w:type="continuationSeparator" w:id="0">
    <w:p w14:paraId="62146FDA" w14:textId="77777777" w:rsidR="00A5656A" w:rsidRDefault="00A565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5"/>
  </w:num>
  <w:num w:numId="4">
    <w:abstractNumId w:val="47"/>
  </w:num>
  <w:num w:numId="5">
    <w:abstractNumId w:val="34"/>
  </w:num>
  <w:num w:numId="6">
    <w:abstractNumId w:val="32"/>
  </w:num>
  <w:num w:numId="7">
    <w:abstractNumId w:val="29"/>
  </w:num>
  <w:num w:numId="8">
    <w:abstractNumId w:val="30"/>
  </w:num>
  <w:num w:numId="9">
    <w:abstractNumId w:val="10"/>
  </w:num>
  <w:num w:numId="10">
    <w:abstractNumId w:val="33"/>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1"/>
  </w:num>
  <w:num w:numId="26">
    <w:abstractNumId w:val="35"/>
  </w:num>
  <w:num w:numId="27">
    <w:abstractNumId w:val="40"/>
  </w:num>
  <w:num w:numId="28">
    <w:abstractNumId w:val="20"/>
  </w:num>
  <w:num w:numId="29">
    <w:abstractNumId w:val="43"/>
  </w:num>
  <w:num w:numId="30">
    <w:abstractNumId w:val="31"/>
  </w:num>
  <w:num w:numId="31">
    <w:abstractNumId w:val="12"/>
  </w:num>
  <w:num w:numId="32">
    <w:abstractNumId w:val="44"/>
  </w:num>
  <w:num w:numId="33">
    <w:abstractNumId w:val="39"/>
  </w:num>
  <w:num w:numId="34">
    <w:abstractNumId w:val="5"/>
  </w:num>
  <w:num w:numId="35">
    <w:abstractNumId w:val="46"/>
  </w:num>
  <w:num w:numId="36">
    <w:abstractNumId w:val="42"/>
  </w:num>
  <w:num w:numId="37">
    <w:abstractNumId w:val="36"/>
  </w:num>
  <w:num w:numId="38">
    <w:abstractNumId w:val="37"/>
  </w:num>
  <w:num w:numId="39">
    <w:abstractNumId w:val="4"/>
  </w:num>
  <w:num w:numId="40">
    <w:abstractNumId w:val="6"/>
  </w:num>
  <w:num w:numId="41">
    <w:abstractNumId w:val="25"/>
  </w:num>
  <w:num w:numId="42">
    <w:abstractNumId w:val="7"/>
  </w:num>
  <w:num w:numId="43">
    <w:abstractNumId w:val="3"/>
  </w:num>
  <w:num w:numId="44">
    <w:abstractNumId w:val="38"/>
  </w:num>
  <w:num w:numId="45">
    <w:abstractNumId w:val="0"/>
  </w:num>
  <w:num w:numId="46">
    <w:abstractNumId w:val="14"/>
  </w:num>
  <w:num w:numId="47">
    <w:abstractNumId w:val="48"/>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3891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24C15"/>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3F3F"/>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29BC"/>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B9D"/>
    <w:rsid w:val="00A54D67"/>
    <w:rsid w:val="00A55A3F"/>
    <w:rsid w:val="00A5656A"/>
    <w:rsid w:val="00A57B8F"/>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37B0"/>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5DA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8913"/>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styleId="Emphasis">
    <w:name w:val="Emphasis"/>
    <w:basedOn w:val="DefaultParagraphFont"/>
    <w:uiPriority w:val="20"/>
    <w:qFormat/>
    <w:rsid w:val="00C15DAC"/>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ip_UnifiedCompliancePolicyUIAction xmlns="http://schemas.microsoft.com/sharepoint/v3" xsi:nil="true"/>
    <_ip_UnifiedCompliancePolicyProperties xmlns="http://schemas.microsoft.com/sharepoint/v3"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F41CF471FD656142A18648629781B87F" ma:contentTypeVersion="11" ma:contentTypeDescription="Create a new document." ma:contentTypeScope="" ma:versionID="4e9c7676ac74e8b30f6f1bd8676fbb25">
  <xsd:schema xmlns:xsd="http://www.w3.org/2001/XMLSchema" xmlns:xs="http://www.w3.org/2001/XMLSchema" xmlns:p="http://schemas.microsoft.com/office/2006/metadata/properties" xmlns:ns1="http://schemas.microsoft.com/sharepoint/v3" xmlns:ns3="1b97bfc6-b7f9-4f97-bda1-3491dbcf9c0d" targetNamespace="http://schemas.microsoft.com/office/2006/metadata/properties" ma:root="true" ma:fieldsID="e545c5ab16d65f1c4c99955eb3b33247" ns1:_="" ns3:_="">
    <xsd:import namespace="http://schemas.microsoft.com/sharepoint/v3"/>
    <xsd:import namespace="1b97bfc6-b7f9-4f97-bda1-3491dbcf9c0d"/>
    <xsd:element name="properties">
      <xsd:complexType>
        <xsd:sequence>
          <xsd:element name="documentManagement">
            <xsd:complexType>
              <xsd:all>
                <xsd:element ref="ns3:MediaServiceMetadata" minOccurs="0"/>
                <xsd:element ref="ns3:MediaServiceFastMetadata" minOccurs="0"/>
                <xsd:element ref="ns1:_ip_UnifiedCompliancePolicyProperties" minOccurs="0"/>
                <xsd:element ref="ns1:_ip_UnifiedCompliancePolicyUIAction"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_ip_UnifiedCompliancePolicyProperties" ma:index="10" nillable="true" ma:displayName="Unified Compliance Policy Properties" ma:hidden="true" ma:internalName="_ip_UnifiedCompliancePolicyProperties">
      <xsd:simpleType>
        <xsd:restriction base="dms:Note"/>
      </xsd:simpleType>
    </xsd:element>
    <xsd:element name="_ip_UnifiedCompliancePolicyUIAction" ma:index="11" nillable="true" ma:displayName="Unified Compliance Policy UI Action" ma:hidden="true" ma:internalName="_ip_UnifiedCompliancePolicyUIAction">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b97bfc6-b7f9-4f97-bda1-3491dbcf9c0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element name="MediaServiceSystemTags" ma:index="18" nillable="true" ma:displayName="MediaServiceSystemTags" ma:hidden="true" ma:internalName="MediaServiceSystemTag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1A55659-DE0C-4440-8B32-78CAABD6AFE4}">
  <ds:schemaRefs>
    <ds:schemaRef ds:uri="http://schemas.microsoft.com/office/infopath/2007/PartnerControls"/>
    <ds:schemaRef ds:uri="http://purl.org/dc/terms/"/>
    <ds:schemaRef ds:uri="http://schemas.microsoft.com/office/2006/documentManagement/types"/>
    <ds:schemaRef ds:uri="http://purl.org/dc/dcmitype/"/>
    <ds:schemaRef ds:uri="http://schemas.microsoft.com/sharepoint/v3"/>
    <ds:schemaRef ds:uri="http://purl.org/dc/elements/1.1/"/>
    <ds:schemaRef ds:uri="http://schemas.microsoft.com/office/2006/metadata/properties"/>
    <ds:schemaRef ds:uri="http://schemas.openxmlformats.org/package/2006/metadata/core-properties"/>
    <ds:schemaRef ds:uri="1b97bfc6-b7f9-4f97-bda1-3491dbcf9c0d"/>
    <ds:schemaRef ds:uri="http://www.w3.org/XML/1998/namespace"/>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985642B9-0327-44B5-A4A6-DB275222EB0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1b97bfc6-b7f9-4f97-bda1-3491dbcf9c0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B7F2B7B3-77F1-4303-A2A4-C7F6AB947E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TotalTime>
  <Pages>9</Pages>
  <Words>4187</Words>
  <Characters>23870</Characters>
  <Application>Microsoft Office Word</Application>
  <DocSecurity>0</DocSecurity>
  <Lines>198</Lines>
  <Paragraphs>56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28001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Ceri Jones</cp:lastModifiedBy>
  <cp:revision>6</cp:revision>
  <cp:lastPrinted>2020-02-11T19:20:00Z</cp:lastPrinted>
  <dcterms:created xsi:type="dcterms:W3CDTF">2023-11-29T16:37:00Z</dcterms:created>
  <dcterms:modified xsi:type="dcterms:W3CDTF">2024-10-06T19:55:00Z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0x010100F41CF471FD656142A18648629781B87F</vt:lpwstr>
  </property>
</Properties>
</file>