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AEAF4C" w14:textId="2FC6FB03" w:rsidR="00A708E3" w:rsidRDefault="00A708E3" w:rsidP="00985EDB">
      <w:pPr>
        <w:jc w:val="center"/>
        <w:rPr>
          <w:sz w:val="28"/>
          <w:szCs w:val="28"/>
          <w:u w:val="single"/>
        </w:rPr>
      </w:pPr>
      <w:r>
        <w:rPr>
          <w:sz w:val="28"/>
          <w:szCs w:val="28"/>
          <w:u w:val="single"/>
        </w:rPr>
        <w:t>Assessment One -Portfolio</w:t>
      </w:r>
    </w:p>
    <w:p w14:paraId="3B15D1DB" w14:textId="4015A6D9" w:rsidR="008859B6" w:rsidRDefault="00985EDB" w:rsidP="00985EDB">
      <w:pPr>
        <w:jc w:val="center"/>
        <w:rPr>
          <w:sz w:val="28"/>
          <w:szCs w:val="28"/>
          <w:u w:val="single"/>
        </w:rPr>
      </w:pPr>
      <w:r w:rsidRPr="00985EDB">
        <w:rPr>
          <w:sz w:val="28"/>
          <w:szCs w:val="28"/>
          <w:u w:val="single"/>
        </w:rPr>
        <w:t>Document Re</w:t>
      </w:r>
      <w:r w:rsidR="00C032D9">
        <w:rPr>
          <w:sz w:val="28"/>
          <w:szCs w:val="28"/>
          <w:u w:val="single"/>
        </w:rPr>
        <w:t>port</w:t>
      </w:r>
    </w:p>
    <w:p w14:paraId="4F208B96" w14:textId="7F7D7595" w:rsidR="00985EDB" w:rsidRDefault="0043750B" w:rsidP="00976524">
      <w:pPr>
        <w:jc w:val="both"/>
        <w:rPr>
          <w:sz w:val="24"/>
          <w:szCs w:val="24"/>
        </w:rPr>
      </w:pPr>
      <w:r>
        <w:rPr>
          <w:sz w:val="24"/>
          <w:szCs w:val="24"/>
        </w:rPr>
        <w:t>For the first part of my portfolio, I have chosen to conduct a document re</w:t>
      </w:r>
      <w:r w:rsidR="00C032D9">
        <w:rPr>
          <w:sz w:val="24"/>
          <w:szCs w:val="24"/>
        </w:rPr>
        <w:t>port</w:t>
      </w:r>
      <w:r>
        <w:rPr>
          <w:sz w:val="24"/>
          <w:szCs w:val="24"/>
        </w:rPr>
        <w:t xml:space="preserve"> of a letter sent from the Front Line entitled ‘They were mostly mere boys’.</w:t>
      </w:r>
      <w:r>
        <w:rPr>
          <w:rStyle w:val="FootnoteReference"/>
          <w:sz w:val="24"/>
          <w:szCs w:val="24"/>
        </w:rPr>
        <w:footnoteReference w:id="1"/>
      </w:r>
      <w:r>
        <w:rPr>
          <w:sz w:val="24"/>
          <w:szCs w:val="24"/>
        </w:rPr>
        <w:t xml:space="preserve"> </w:t>
      </w:r>
      <w:r w:rsidR="00210CE1">
        <w:rPr>
          <w:sz w:val="24"/>
          <w:szCs w:val="24"/>
        </w:rPr>
        <w:t xml:space="preserve">This document review will discuss </w:t>
      </w:r>
      <w:r w:rsidR="00537693">
        <w:rPr>
          <w:sz w:val="24"/>
          <w:szCs w:val="24"/>
        </w:rPr>
        <w:t xml:space="preserve">the </w:t>
      </w:r>
      <w:r w:rsidR="00210CE1">
        <w:rPr>
          <w:sz w:val="24"/>
          <w:szCs w:val="24"/>
        </w:rPr>
        <w:t xml:space="preserve">content and also the motives of the author, the letter’s intended audience, and when it was written. The letter will also be compared against </w:t>
      </w:r>
      <w:r w:rsidR="00537693">
        <w:rPr>
          <w:sz w:val="24"/>
          <w:szCs w:val="24"/>
        </w:rPr>
        <w:t>another</w:t>
      </w:r>
      <w:r w:rsidR="00210CE1">
        <w:rPr>
          <w:sz w:val="24"/>
          <w:szCs w:val="24"/>
        </w:rPr>
        <w:t xml:space="preserve"> letter written during the same period, in order to determine if there were any contrasting experiences/opinions of the war by other soldiers. </w:t>
      </w:r>
    </w:p>
    <w:p w14:paraId="2E97C8D8" w14:textId="04FE02A7" w:rsidR="00210CE1" w:rsidRDefault="00210CE1" w:rsidP="00976524">
      <w:pPr>
        <w:jc w:val="both"/>
        <w:rPr>
          <w:sz w:val="24"/>
          <w:szCs w:val="24"/>
        </w:rPr>
      </w:pPr>
      <w:r>
        <w:rPr>
          <w:sz w:val="24"/>
          <w:szCs w:val="24"/>
        </w:rPr>
        <w:t>The letter under review was written by Acting Colour Sergeant Richard Gilson</w:t>
      </w:r>
      <w:r w:rsidR="00A25442">
        <w:rPr>
          <w:sz w:val="24"/>
          <w:szCs w:val="24"/>
        </w:rPr>
        <w:t xml:space="preserve"> (born 20</w:t>
      </w:r>
      <w:r w:rsidR="00A25442" w:rsidRPr="00A25442">
        <w:rPr>
          <w:sz w:val="24"/>
          <w:szCs w:val="24"/>
          <w:vertAlign w:val="superscript"/>
        </w:rPr>
        <w:t>th</w:t>
      </w:r>
      <w:r w:rsidR="00A25442">
        <w:rPr>
          <w:sz w:val="24"/>
          <w:szCs w:val="24"/>
        </w:rPr>
        <w:t xml:space="preserve"> September 1887)</w:t>
      </w:r>
      <w:r>
        <w:rPr>
          <w:sz w:val="24"/>
          <w:szCs w:val="24"/>
        </w:rPr>
        <w:t xml:space="preserve"> of the 4</w:t>
      </w:r>
      <w:r w:rsidRPr="00210CE1">
        <w:rPr>
          <w:sz w:val="24"/>
          <w:szCs w:val="24"/>
          <w:vertAlign w:val="superscript"/>
        </w:rPr>
        <w:t>th</w:t>
      </w:r>
      <w:r>
        <w:rPr>
          <w:sz w:val="24"/>
          <w:szCs w:val="24"/>
        </w:rPr>
        <w:t xml:space="preserve"> Seaforth Highlanders. Prior to the war, Gilson was employed by </w:t>
      </w:r>
      <w:r w:rsidR="00537693">
        <w:rPr>
          <w:sz w:val="24"/>
          <w:szCs w:val="24"/>
        </w:rPr>
        <w:t xml:space="preserve">the </w:t>
      </w:r>
      <w:r>
        <w:rPr>
          <w:sz w:val="24"/>
          <w:szCs w:val="24"/>
        </w:rPr>
        <w:t>Great Western Railway Audit Office</w:t>
      </w:r>
      <w:r w:rsidR="00C27461">
        <w:rPr>
          <w:sz w:val="24"/>
          <w:szCs w:val="24"/>
        </w:rPr>
        <w:t xml:space="preserve"> at Paddington</w:t>
      </w:r>
      <w:r w:rsidR="008812D1">
        <w:rPr>
          <w:sz w:val="24"/>
          <w:szCs w:val="24"/>
        </w:rPr>
        <w:t xml:space="preserve"> and enlisted in the army in 1914. Prior to the outbreak of the First World War, one of Britain’s biggest employers was the railway</w:t>
      </w:r>
      <w:r w:rsidR="00A25442">
        <w:rPr>
          <w:sz w:val="24"/>
          <w:szCs w:val="24"/>
        </w:rPr>
        <w:t xml:space="preserve">, a third of their workforce enlisted to fight </w:t>
      </w:r>
      <w:r w:rsidR="00537693">
        <w:rPr>
          <w:sz w:val="24"/>
          <w:szCs w:val="24"/>
        </w:rPr>
        <w:t>(</w:t>
      </w:r>
      <w:r w:rsidR="00A25442">
        <w:rPr>
          <w:sz w:val="24"/>
          <w:szCs w:val="24"/>
        </w:rPr>
        <w:t>just as Gilson did</w:t>
      </w:r>
      <w:r w:rsidR="00537693">
        <w:rPr>
          <w:sz w:val="24"/>
          <w:szCs w:val="24"/>
        </w:rPr>
        <w:t>),</w:t>
      </w:r>
      <w:r w:rsidR="00A25442">
        <w:rPr>
          <w:sz w:val="24"/>
          <w:szCs w:val="24"/>
        </w:rPr>
        <w:t xml:space="preserve"> an estimated 20,000</w:t>
      </w:r>
      <w:r w:rsidR="00A25442">
        <w:rPr>
          <w:rStyle w:val="FootnoteReference"/>
          <w:sz w:val="24"/>
          <w:szCs w:val="24"/>
        </w:rPr>
        <w:footnoteReference w:id="2"/>
      </w:r>
      <w:r w:rsidR="00A25442">
        <w:rPr>
          <w:sz w:val="24"/>
          <w:szCs w:val="24"/>
        </w:rPr>
        <w:t xml:space="preserve"> railway workers lost their lives during the First World War. </w:t>
      </w:r>
      <w:r w:rsidR="003F7D6E">
        <w:rPr>
          <w:sz w:val="24"/>
          <w:szCs w:val="24"/>
        </w:rPr>
        <w:t>Fortunately</w:t>
      </w:r>
      <w:r w:rsidR="00A25442">
        <w:rPr>
          <w:sz w:val="24"/>
          <w:szCs w:val="24"/>
        </w:rPr>
        <w:t xml:space="preserve"> for Gilson, he would survive the conflict and die in 1961 at the age of </w:t>
      </w:r>
      <w:r w:rsidR="00CF228B">
        <w:rPr>
          <w:sz w:val="24"/>
          <w:szCs w:val="24"/>
        </w:rPr>
        <w:t xml:space="preserve">seventy four. The emotional wellbeing of soldiers and their families was important during the war, penned letters to and from home was an essential means of maintaining this, as well as raising morale. This could have been a potential motivation for Gilson in penning his letter as his intended audience was his mother back in Britain. </w:t>
      </w:r>
      <w:r w:rsidR="00F95AF7">
        <w:rPr>
          <w:sz w:val="24"/>
          <w:szCs w:val="24"/>
        </w:rPr>
        <w:t xml:space="preserve">Gilson may have also written </w:t>
      </w:r>
      <w:r w:rsidR="004E5C94">
        <w:rPr>
          <w:sz w:val="24"/>
          <w:szCs w:val="24"/>
        </w:rPr>
        <w:t>his</w:t>
      </w:r>
      <w:r w:rsidR="00F95AF7">
        <w:rPr>
          <w:sz w:val="24"/>
          <w:szCs w:val="24"/>
        </w:rPr>
        <w:t xml:space="preserve"> letter in order to provide his mother with a true </w:t>
      </w:r>
      <w:r w:rsidR="00537693">
        <w:rPr>
          <w:sz w:val="24"/>
          <w:szCs w:val="24"/>
        </w:rPr>
        <w:t>account</w:t>
      </w:r>
      <w:r w:rsidR="00F95AF7">
        <w:rPr>
          <w:sz w:val="24"/>
          <w:szCs w:val="24"/>
        </w:rPr>
        <w:t xml:space="preserve"> of the war. In his letter, he details a recent attempted attack by his unit on a German trench</w:t>
      </w:r>
      <w:r w:rsidR="004E5C94">
        <w:rPr>
          <w:sz w:val="24"/>
          <w:szCs w:val="24"/>
        </w:rPr>
        <w:t>. He states that after four days in the trench , he and his unit were sent over the top of the trench following a twenty minute bombardment by British artillery. Gilson details the horror he faced, “My goodness what a reception the Huns had in store for us, they simply swept the ground with machine gun fire and shrapnel”.</w:t>
      </w:r>
      <w:r w:rsidR="004E5C94">
        <w:rPr>
          <w:rStyle w:val="FootnoteReference"/>
          <w:sz w:val="24"/>
          <w:szCs w:val="24"/>
        </w:rPr>
        <w:footnoteReference w:id="3"/>
      </w:r>
      <w:r w:rsidR="004E5C94">
        <w:rPr>
          <w:sz w:val="24"/>
          <w:szCs w:val="24"/>
        </w:rPr>
        <w:t xml:space="preserve"> </w:t>
      </w:r>
      <w:r w:rsidR="0039165A">
        <w:rPr>
          <w:sz w:val="24"/>
          <w:szCs w:val="24"/>
        </w:rPr>
        <w:t xml:space="preserve">In this extract, Gilson conveys the futility and danger he faced </w:t>
      </w:r>
      <w:r w:rsidR="002F78D5">
        <w:rPr>
          <w:sz w:val="24"/>
          <w:szCs w:val="24"/>
        </w:rPr>
        <w:t>outside the trench against the overwhelming firepower of the Germans</w:t>
      </w:r>
      <w:r w:rsidR="001C1D8B">
        <w:rPr>
          <w:sz w:val="24"/>
          <w:szCs w:val="24"/>
        </w:rPr>
        <w:t xml:space="preserve"> on the Western Front. This is further backed by Hobsbawm, he noted, “This was the ‘Western Front’, which became a machine</w:t>
      </w:r>
      <w:r w:rsidR="00582886">
        <w:rPr>
          <w:sz w:val="24"/>
          <w:szCs w:val="24"/>
        </w:rPr>
        <w:t xml:space="preserve"> </w:t>
      </w:r>
      <w:r w:rsidR="001C1D8B">
        <w:rPr>
          <w:sz w:val="24"/>
          <w:szCs w:val="24"/>
        </w:rPr>
        <w:t xml:space="preserve">for massacre such as had probably </w:t>
      </w:r>
      <w:r w:rsidR="00582886">
        <w:rPr>
          <w:sz w:val="24"/>
          <w:szCs w:val="24"/>
        </w:rPr>
        <w:t>never before seen in the history of warfare”.</w:t>
      </w:r>
      <w:r w:rsidR="001C1D8B">
        <w:rPr>
          <w:sz w:val="24"/>
          <w:szCs w:val="24"/>
        </w:rPr>
        <w:t xml:space="preserve"> </w:t>
      </w:r>
      <w:r w:rsidR="00582886">
        <w:rPr>
          <w:rStyle w:val="FootnoteReference"/>
          <w:sz w:val="24"/>
          <w:szCs w:val="24"/>
        </w:rPr>
        <w:footnoteReference w:id="4"/>
      </w:r>
      <w:r w:rsidR="002F78D5">
        <w:rPr>
          <w:sz w:val="24"/>
          <w:szCs w:val="24"/>
        </w:rPr>
        <w:t xml:space="preserve"> He writes that he</w:t>
      </w:r>
      <w:r w:rsidR="00537693">
        <w:rPr>
          <w:sz w:val="24"/>
          <w:szCs w:val="24"/>
        </w:rPr>
        <w:t xml:space="preserve"> was</w:t>
      </w:r>
      <w:r w:rsidR="002F78D5">
        <w:rPr>
          <w:sz w:val="24"/>
          <w:szCs w:val="24"/>
        </w:rPr>
        <w:t xml:space="preserve"> forced</w:t>
      </w:r>
      <w:r w:rsidR="00537693">
        <w:rPr>
          <w:sz w:val="24"/>
          <w:szCs w:val="24"/>
        </w:rPr>
        <w:t xml:space="preserve"> to</w:t>
      </w:r>
      <w:r w:rsidR="002F78D5">
        <w:rPr>
          <w:sz w:val="24"/>
          <w:szCs w:val="24"/>
        </w:rPr>
        <w:t xml:space="preserve"> create a make shift dug out and wait in horrible suspense for the event to pass</w:t>
      </w:r>
      <w:r w:rsidR="00D344F1">
        <w:rPr>
          <w:sz w:val="24"/>
          <w:szCs w:val="24"/>
        </w:rPr>
        <w:t>. Gilson comments that the men killed in th</w:t>
      </w:r>
      <w:r w:rsidR="00537693">
        <w:rPr>
          <w:sz w:val="24"/>
          <w:szCs w:val="24"/>
        </w:rPr>
        <w:t>e</w:t>
      </w:r>
      <w:r w:rsidR="00D344F1">
        <w:rPr>
          <w:sz w:val="24"/>
          <w:szCs w:val="24"/>
        </w:rPr>
        <w:t xml:space="preserve"> attack were mostly boys than men</w:t>
      </w:r>
      <w:r w:rsidR="00463993">
        <w:rPr>
          <w:sz w:val="24"/>
          <w:szCs w:val="24"/>
        </w:rPr>
        <w:t xml:space="preserve">. It’s an interesting observation from Gilson as the </w:t>
      </w:r>
      <w:r w:rsidR="00BB1727">
        <w:rPr>
          <w:sz w:val="24"/>
          <w:szCs w:val="24"/>
        </w:rPr>
        <w:t xml:space="preserve">enlisting age at this point was nineteen to forty one, however, boys in the army was not unheard of. Britain was desperate for manpower and many youths were swayed by recruitment </w:t>
      </w:r>
      <w:r w:rsidR="00B5608E">
        <w:rPr>
          <w:sz w:val="24"/>
          <w:szCs w:val="24"/>
        </w:rPr>
        <w:t>rallies</w:t>
      </w:r>
      <w:r w:rsidR="0000306B">
        <w:rPr>
          <w:sz w:val="24"/>
          <w:szCs w:val="24"/>
        </w:rPr>
        <w:t xml:space="preserve"> and people like Horatio Bottomley (a one man propaganda machine)</w:t>
      </w:r>
      <w:r w:rsidR="00B5608E">
        <w:rPr>
          <w:sz w:val="24"/>
          <w:szCs w:val="24"/>
        </w:rPr>
        <w:t>,</w:t>
      </w:r>
      <w:r w:rsidR="0000306B">
        <w:rPr>
          <w:sz w:val="24"/>
          <w:szCs w:val="24"/>
        </w:rPr>
        <w:t xml:space="preserve"> </w:t>
      </w:r>
      <w:r w:rsidR="00537693">
        <w:rPr>
          <w:sz w:val="24"/>
          <w:szCs w:val="24"/>
        </w:rPr>
        <w:t>gave</w:t>
      </w:r>
      <w:r w:rsidR="0000306B">
        <w:rPr>
          <w:sz w:val="24"/>
          <w:szCs w:val="24"/>
        </w:rPr>
        <w:t xml:space="preserve"> rousing speeches</w:t>
      </w:r>
      <w:r w:rsidR="00F75431">
        <w:rPr>
          <w:sz w:val="24"/>
          <w:szCs w:val="24"/>
        </w:rPr>
        <w:t xml:space="preserve"> and false promises such as; </w:t>
      </w:r>
      <w:r w:rsidR="00537693">
        <w:rPr>
          <w:sz w:val="24"/>
          <w:szCs w:val="24"/>
        </w:rPr>
        <w:t>“</w:t>
      </w:r>
      <w:r w:rsidR="00F75431">
        <w:rPr>
          <w:sz w:val="24"/>
          <w:szCs w:val="24"/>
        </w:rPr>
        <w:t xml:space="preserve">I want to assure you that within six weeks of </w:t>
      </w:r>
      <w:r w:rsidR="00F75431">
        <w:rPr>
          <w:sz w:val="24"/>
          <w:szCs w:val="24"/>
        </w:rPr>
        <w:lastRenderedPageBreak/>
        <w:t>to-day we shall have the Huns on the run</w:t>
      </w:r>
      <w:r w:rsidR="0001665E">
        <w:rPr>
          <w:sz w:val="24"/>
          <w:szCs w:val="24"/>
        </w:rPr>
        <w:t>”</w:t>
      </w:r>
      <w:r w:rsidR="00322554">
        <w:rPr>
          <w:sz w:val="24"/>
          <w:szCs w:val="24"/>
        </w:rPr>
        <w:t>.</w:t>
      </w:r>
      <w:r w:rsidR="0001665E">
        <w:rPr>
          <w:rStyle w:val="FootnoteReference"/>
          <w:sz w:val="24"/>
          <w:szCs w:val="24"/>
        </w:rPr>
        <w:footnoteReference w:id="5"/>
      </w:r>
      <w:r w:rsidR="00322554">
        <w:rPr>
          <w:sz w:val="24"/>
          <w:szCs w:val="24"/>
        </w:rPr>
        <w:t xml:space="preserve"> Upon further examination it is not difficult to see why the</w:t>
      </w:r>
      <w:r w:rsidR="0001665E">
        <w:rPr>
          <w:sz w:val="24"/>
          <w:szCs w:val="24"/>
        </w:rPr>
        <w:t xml:space="preserve"> underage were admitted</w:t>
      </w:r>
      <w:r w:rsidR="00322554">
        <w:rPr>
          <w:sz w:val="24"/>
          <w:szCs w:val="24"/>
        </w:rPr>
        <w:t xml:space="preserve">, </w:t>
      </w:r>
      <w:r w:rsidR="0001665E">
        <w:rPr>
          <w:sz w:val="24"/>
          <w:szCs w:val="24"/>
        </w:rPr>
        <w:t>Va</w:t>
      </w:r>
      <w:r w:rsidR="00322554">
        <w:rPr>
          <w:sz w:val="24"/>
          <w:szCs w:val="24"/>
        </w:rPr>
        <w:t>n Emden states in his book, “Every recruiting sergeant was paid two shillings and sixpence (£6 in today’s money) for each man attested into the infantry, as was the medical officer”.</w:t>
      </w:r>
      <w:r w:rsidR="00322554">
        <w:rPr>
          <w:rStyle w:val="FootnoteReference"/>
          <w:sz w:val="24"/>
          <w:szCs w:val="24"/>
        </w:rPr>
        <w:footnoteReference w:id="6"/>
      </w:r>
      <w:r w:rsidR="00322554">
        <w:rPr>
          <w:sz w:val="24"/>
          <w:szCs w:val="24"/>
        </w:rPr>
        <w:t xml:space="preserve"> </w:t>
      </w:r>
      <w:r w:rsidR="00F50DAD">
        <w:rPr>
          <w:sz w:val="24"/>
          <w:szCs w:val="24"/>
        </w:rPr>
        <w:t xml:space="preserve">This demonstrates some officials were more concerned about profit rather than the well-being and future of the youths enlisting, despite them being totally </w:t>
      </w:r>
      <w:r w:rsidR="00CB74E1">
        <w:rPr>
          <w:sz w:val="24"/>
          <w:szCs w:val="24"/>
        </w:rPr>
        <w:t>unprepared</w:t>
      </w:r>
      <w:r w:rsidR="00F50DAD">
        <w:rPr>
          <w:sz w:val="24"/>
          <w:szCs w:val="24"/>
        </w:rPr>
        <w:t xml:space="preserve"> for what awaited then on the Western Front. Other youths that enlisted</w:t>
      </w:r>
      <w:r w:rsidR="00BB1727">
        <w:rPr>
          <w:sz w:val="24"/>
          <w:szCs w:val="24"/>
        </w:rPr>
        <w:t xml:space="preserve"> found it as a </w:t>
      </w:r>
      <w:r w:rsidR="0020791B">
        <w:rPr>
          <w:sz w:val="24"/>
          <w:szCs w:val="24"/>
        </w:rPr>
        <w:t>means of escape</w:t>
      </w:r>
      <w:r w:rsidR="00BB1727">
        <w:rPr>
          <w:sz w:val="24"/>
          <w:szCs w:val="24"/>
        </w:rPr>
        <w:t>. Len Thomas enlisted at seventeen</w:t>
      </w:r>
      <w:r w:rsidR="0020791B">
        <w:rPr>
          <w:sz w:val="24"/>
          <w:szCs w:val="24"/>
        </w:rPr>
        <w:t>, in a letter he noted, “[I] found it a way to escape from the terrible working conditions”.</w:t>
      </w:r>
      <w:r w:rsidR="0020791B">
        <w:rPr>
          <w:rStyle w:val="FootnoteReference"/>
          <w:sz w:val="24"/>
          <w:szCs w:val="24"/>
        </w:rPr>
        <w:footnoteReference w:id="7"/>
      </w:r>
      <w:r w:rsidR="0020791B">
        <w:rPr>
          <w:sz w:val="24"/>
          <w:szCs w:val="24"/>
        </w:rPr>
        <w:t xml:space="preserve"> </w:t>
      </w:r>
      <w:r w:rsidR="00CB74E1">
        <w:rPr>
          <w:sz w:val="24"/>
          <w:szCs w:val="24"/>
        </w:rPr>
        <w:t xml:space="preserve">This extract shows the harsh condition that many faced at home in Britain, it is especially telling that some youth would rather risk death in </w:t>
      </w:r>
      <w:r w:rsidR="00537693">
        <w:rPr>
          <w:sz w:val="24"/>
          <w:szCs w:val="24"/>
        </w:rPr>
        <w:t xml:space="preserve">the </w:t>
      </w:r>
      <w:r w:rsidR="00CB74E1">
        <w:rPr>
          <w:sz w:val="24"/>
          <w:szCs w:val="24"/>
        </w:rPr>
        <w:t>war</w:t>
      </w:r>
      <w:r w:rsidR="00537693">
        <w:rPr>
          <w:sz w:val="24"/>
          <w:szCs w:val="24"/>
        </w:rPr>
        <w:t>,</w:t>
      </w:r>
      <w:r w:rsidR="00CB74E1">
        <w:rPr>
          <w:sz w:val="24"/>
          <w:szCs w:val="24"/>
        </w:rPr>
        <w:t xml:space="preserve"> rather than subjugate themselves to the working conditions in Britain. </w:t>
      </w:r>
    </w:p>
    <w:p w14:paraId="1000C7A9" w14:textId="322ECFC7" w:rsidR="0016422A" w:rsidRDefault="0016422A" w:rsidP="00976524">
      <w:pPr>
        <w:jc w:val="both"/>
        <w:rPr>
          <w:sz w:val="24"/>
          <w:szCs w:val="24"/>
        </w:rPr>
      </w:pPr>
      <w:r>
        <w:rPr>
          <w:sz w:val="24"/>
          <w:szCs w:val="24"/>
        </w:rPr>
        <w:t>In his letter, Gilson states that he received a box and letter from his mother dated the sixth</w:t>
      </w:r>
      <w:r w:rsidR="00121404">
        <w:rPr>
          <w:sz w:val="24"/>
          <w:szCs w:val="24"/>
        </w:rPr>
        <w:t>, he is writing his letter on the fifteenth, it can’t help but be noticed the speed at which Gilson had received his mail in France from his mother back in Britain. Letters and care packages for soldiers at the front line was crucial in raising the troops morale as this was their only form of communicating with their loved ones back home</w:t>
      </w:r>
      <w:r w:rsidR="00537693">
        <w:rPr>
          <w:sz w:val="24"/>
          <w:szCs w:val="24"/>
        </w:rPr>
        <w:t>.</w:t>
      </w:r>
      <w:r w:rsidR="00121404">
        <w:rPr>
          <w:sz w:val="24"/>
          <w:szCs w:val="24"/>
        </w:rPr>
        <w:t xml:space="preserve"> </w:t>
      </w:r>
      <w:r w:rsidR="00537693">
        <w:rPr>
          <w:sz w:val="24"/>
          <w:szCs w:val="24"/>
        </w:rPr>
        <w:t>A</w:t>
      </w:r>
      <w:r w:rsidR="00121404">
        <w:rPr>
          <w:sz w:val="24"/>
          <w:szCs w:val="24"/>
        </w:rPr>
        <w:t xml:space="preserve">s a result, great lengths were made by the authorities to create a postal system </w:t>
      </w:r>
      <w:r w:rsidR="00E1492A">
        <w:rPr>
          <w:sz w:val="24"/>
          <w:szCs w:val="24"/>
        </w:rPr>
        <w:t>that would be capable of handling and delivering mail to all the locations of the war. All letters and packages bound for the Western Front was sorted at a large depot in Regent Park (the largest wooden building in the world at the time)</w:t>
      </w:r>
      <w:r w:rsidR="0032676C">
        <w:rPr>
          <w:sz w:val="24"/>
          <w:szCs w:val="24"/>
        </w:rPr>
        <w:t>. Jacqueline Wadsworth states, “It was staffed by 2,500 workers, mostly women, who despatched a total of 2 billion letters and 114 million parcels between 1914 and 1918”</w:t>
      </w:r>
      <w:r w:rsidR="003F4196">
        <w:rPr>
          <w:sz w:val="24"/>
          <w:szCs w:val="24"/>
        </w:rPr>
        <w:t>.</w:t>
      </w:r>
      <w:r w:rsidR="00455DB7">
        <w:rPr>
          <w:rStyle w:val="FootnoteReference"/>
          <w:sz w:val="24"/>
          <w:szCs w:val="24"/>
        </w:rPr>
        <w:footnoteReference w:id="8"/>
      </w:r>
      <w:r w:rsidR="003F4196">
        <w:rPr>
          <w:sz w:val="24"/>
          <w:szCs w:val="24"/>
        </w:rPr>
        <w:t xml:space="preserve"> Once in France, the Army Postal Service would then despatch the mail to the correct units. This demonstrates the great lengths the government went to in order to keep up morale on the </w:t>
      </w:r>
      <w:r w:rsidR="00537693">
        <w:rPr>
          <w:sz w:val="24"/>
          <w:szCs w:val="24"/>
        </w:rPr>
        <w:t>f</w:t>
      </w:r>
      <w:r w:rsidR="003F4196">
        <w:rPr>
          <w:sz w:val="24"/>
          <w:szCs w:val="24"/>
        </w:rPr>
        <w:t xml:space="preserve">ront </w:t>
      </w:r>
      <w:r w:rsidR="00537693">
        <w:rPr>
          <w:sz w:val="24"/>
          <w:szCs w:val="24"/>
        </w:rPr>
        <w:t>l</w:t>
      </w:r>
      <w:r w:rsidR="003F4196">
        <w:rPr>
          <w:sz w:val="24"/>
          <w:szCs w:val="24"/>
        </w:rPr>
        <w:t>ine</w:t>
      </w:r>
      <w:r w:rsidR="00537693">
        <w:rPr>
          <w:sz w:val="24"/>
          <w:szCs w:val="24"/>
        </w:rPr>
        <w:t xml:space="preserve">. </w:t>
      </w:r>
      <w:r w:rsidR="003F4196">
        <w:rPr>
          <w:sz w:val="24"/>
          <w:szCs w:val="24"/>
        </w:rPr>
        <w:t xml:space="preserve">Gilson shows </w:t>
      </w:r>
      <w:r w:rsidR="00537693">
        <w:rPr>
          <w:sz w:val="24"/>
          <w:szCs w:val="24"/>
        </w:rPr>
        <w:t>he is</w:t>
      </w:r>
      <w:r w:rsidR="003F4196">
        <w:rPr>
          <w:sz w:val="24"/>
          <w:szCs w:val="24"/>
        </w:rPr>
        <w:t xml:space="preserve"> extremely thankful for everything his mother is sending him, thus demonstrating </w:t>
      </w:r>
      <w:r w:rsidR="00537693">
        <w:rPr>
          <w:sz w:val="24"/>
          <w:szCs w:val="24"/>
        </w:rPr>
        <w:t xml:space="preserve">why </w:t>
      </w:r>
      <w:r w:rsidR="003F4196">
        <w:rPr>
          <w:sz w:val="24"/>
          <w:szCs w:val="24"/>
        </w:rPr>
        <w:t xml:space="preserve">he is in high spirits. </w:t>
      </w:r>
    </w:p>
    <w:p w14:paraId="08F852EC" w14:textId="51248C19" w:rsidR="00351EDC" w:rsidRDefault="003F4196" w:rsidP="00976524">
      <w:pPr>
        <w:jc w:val="both"/>
        <w:rPr>
          <w:sz w:val="24"/>
          <w:szCs w:val="24"/>
        </w:rPr>
      </w:pPr>
      <w:r>
        <w:rPr>
          <w:sz w:val="24"/>
          <w:szCs w:val="24"/>
        </w:rPr>
        <w:t xml:space="preserve">The next few lines of Gilson’s letter is </w:t>
      </w:r>
      <w:r w:rsidR="00FA3672">
        <w:rPr>
          <w:sz w:val="24"/>
          <w:szCs w:val="24"/>
        </w:rPr>
        <w:t>ineligible</w:t>
      </w:r>
      <w:r>
        <w:rPr>
          <w:sz w:val="24"/>
          <w:szCs w:val="24"/>
        </w:rPr>
        <w:t xml:space="preserve"> due to it being hidden behind black </w:t>
      </w:r>
      <w:r w:rsidR="00537693">
        <w:rPr>
          <w:sz w:val="24"/>
          <w:szCs w:val="24"/>
        </w:rPr>
        <w:t>ink</w:t>
      </w:r>
      <w:r>
        <w:rPr>
          <w:sz w:val="24"/>
          <w:szCs w:val="24"/>
        </w:rPr>
        <w:t xml:space="preserve">, a clear act of </w:t>
      </w:r>
      <w:r w:rsidR="00FA3672">
        <w:rPr>
          <w:sz w:val="24"/>
          <w:szCs w:val="24"/>
        </w:rPr>
        <w:t>censorship</w:t>
      </w:r>
      <w:r>
        <w:rPr>
          <w:sz w:val="24"/>
          <w:szCs w:val="24"/>
        </w:rPr>
        <w:t xml:space="preserve"> by the British Army</w:t>
      </w:r>
      <w:r w:rsidR="00FA3672">
        <w:rPr>
          <w:sz w:val="24"/>
          <w:szCs w:val="24"/>
        </w:rPr>
        <w:t>. The act of censorship of letter</w:t>
      </w:r>
      <w:r w:rsidR="002A2FC7">
        <w:rPr>
          <w:sz w:val="24"/>
          <w:szCs w:val="24"/>
        </w:rPr>
        <w:t>s</w:t>
      </w:r>
      <w:r w:rsidR="00FA3672">
        <w:rPr>
          <w:sz w:val="24"/>
          <w:szCs w:val="24"/>
        </w:rPr>
        <w:t xml:space="preserve"> during the war was very common</w:t>
      </w:r>
      <w:r w:rsidR="00537693">
        <w:rPr>
          <w:sz w:val="24"/>
          <w:szCs w:val="24"/>
        </w:rPr>
        <w:t xml:space="preserve"> as</w:t>
      </w:r>
      <w:r w:rsidR="00A31023">
        <w:rPr>
          <w:sz w:val="24"/>
          <w:szCs w:val="24"/>
        </w:rPr>
        <w:t xml:space="preserve"> the authorities did not want to lower morale at home and therefore read and censored anything a soldier’s letter that could expose the true status of the war on the Western Front</w:t>
      </w:r>
      <w:r w:rsidR="00537693">
        <w:rPr>
          <w:sz w:val="24"/>
          <w:szCs w:val="24"/>
        </w:rPr>
        <w:t>.</w:t>
      </w:r>
      <w:r w:rsidR="00A31023">
        <w:rPr>
          <w:sz w:val="24"/>
          <w:szCs w:val="24"/>
        </w:rPr>
        <w:t xml:space="preserve"> </w:t>
      </w:r>
      <w:r w:rsidR="00537693">
        <w:rPr>
          <w:sz w:val="24"/>
          <w:szCs w:val="24"/>
        </w:rPr>
        <w:t>T</w:t>
      </w:r>
      <w:r w:rsidR="00AF4782">
        <w:rPr>
          <w:sz w:val="24"/>
          <w:szCs w:val="24"/>
        </w:rPr>
        <w:t>h</w:t>
      </w:r>
      <w:r w:rsidR="00A31023">
        <w:rPr>
          <w:sz w:val="24"/>
          <w:szCs w:val="24"/>
        </w:rPr>
        <w:t>e Somme was a great example of this</w:t>
      </w:r>
      <w:r w:rsidR="00AF4782">
        <w:rPr>
          <w:sz w:val="24"/>
          <w:szCs w:val="24"/>
        </w:rPr>
        <w:t xml:space="preserve">. While the first day of the Battle of the Somme is seen as a </w:t>
      </w:r>
      <w:r w:rsidR="00072294">
        <w:rPr>
          <w:sz w:val="24"/>
          <w:szCs w:val="24"/>
        </w:rPr>
        <w:t>disaster</w:t>
      </w:r>
      <w:r w:rsidR="00AF4782">
        <w:rPr>
          <w:sz w:val="24"/>
          <w:szCs w:val="24"/>
        </w:rPr>
        <w:t>, the authorities in Britain would not have wanted the public to know it’s failure</w:t>
      </w:r>
      <w:r w:rsidR="000B7852">
        <w:rPr>
          <w:sz w:val="24"/>
          <w:szCs w:val="24"/>
        </w:rPr>
        <w:t>, as it could lead to</w:t>
      </w:r>
      <w:r w:rsidR="00537693">
        <w:rPr>
          <w:sz w:val="24"/>
          <w:szCs w:val="24"/>
        </w:rPr>
        <w:t xml:space="preserve"> downturn in</w:t>
      </w:r>
      <w:r w:rsidR="000B7852">
        <w:rPr>
          <w:sz w:val="24"/>
          <w:szCs w:val="24"/>
        </w:rPr>
        <w:t xml:space="preserve"> public support at home.</w:t>
      </w:r>
      <w:r w:rsidR="00AF4782">
        <w:rPr>
          <w:sz w:val="24"/>
          <w:szCs w:val="24"/>
        </w:rPr>
        <w:t xml:space="preserve"> </w:t>
      </w:r>
      <w:r w:rsidR="000B7852">
        <w:rPr>
          <w:sz w:val="24"/>
          <w:szCs w:val="24"/>
        </w:rPr>
        <w:t>T</w:t>
      </w:r>
      <w:r w:rsidR="00AF4782">
        <w:rPr>
          <w:sz w:val="24"/>
          <w:szCs w:val="24"/>
        </w:rPr>
        <w:t>herefore details of the battle would have been censored in letters, while newspapers would have been used to place a positive point of view on it. For example, the</w:t>
      </w:r>
      <w:r w:rsidR="00072294">
        <w:rPr>
          <w:sz w:val="24"/>
          <w:szCs w:val="24"/>
        </w:rPr>
        <w:t xml:space="preserve"> headline of</w:t>
      </w:r>
      <w:r w:rsidR="00AF4782">
        <w:rPr>
          <w:sz w:val="24"/>
          <w:szCs w:val="24"/>
        </w:rPr>
        <w:t xml:space="preserve"> </w:t>
      </w:r>
      <w:r w:rsidR="00AF4782">
        <w:rPr>
          <w:i/>
          <w:iCs/>
          <w:sz w:val="24"/>
          <w:szCs w:val="24"/>
        </w:rPr>
        <w:t>Belfast News Letter</w:t>
      </w:r>
      <w:r w:rsidR="00AF4782">
        <w:rPr>
          <w:sz w:val="24"/>
          <w:szCs w:val="24"/>
        </w:rPr>
        <w:t xml:space="preserve"> on the </w:t>
      </w:r>
      <w:r w:rsidR="00072294">
        <w:rPr>
          <w:sz w:val="24"/>
          <w:szCs w:val="24"/>
        </w:rPr>
        <w:t>2</w:t>
      </w:r>
      <w:r w:rsidR="00072294" w:rsidRPr="00072294">
        <w:rPr>
          <w:sz w:val="24"/>
          <w:szCs w:val="24"/>
          <w:vertAlign w:val="superscript"/>
        </w:rPr>
        <w:t>nd</w:t>
      </w:r>
      <w:r w:rsidR="00072294">
        <w:rPr>
          <w:sz w:val="24"/>
          <w:szCs w:val="24"/>
        </w:rPr>
        <w:t xml:space="preserve"> of July</w:t>
      </w:r>
      <w:r w:rsidR="00A31023">
        <w:rPr>
          <w:sz w:val="24"/>
          <w:szCs w:val="24"/>
        </w:rPr>
        <w:t xml:space="preserve"> </w:t>
      </w:r>
      <w:r w:rsidR="00072294">
        <w:rPr>
          <w:sz w:val="24"/>
          <w:szCs w:val="24"/>
        </w:rPr>
        <w:t xml:space="preserve">claimed that all was going well at the Somme with further progressions made on the British Front, the article is quoted as stating, “ </w:t>
      </w:r>
      <w:r w:rsidR="00072294" w:rsidRPr="00072294">
        <w:rPr>
          <w:sz w:val="24"/>
          <w:szCs w:val="24"/>
        </w:rPr>
        <w:t xml:space="preserve">Many prisoners have already fallen into our </w:t>
      </w:r>
      <w:r w:rsidR="00072294" w:rsidRPr="00072294">
        <w:rPr>
          <w:sz w:val="24"/>
          <w:szCs w:val="24"/>
        </w:rPr>
        <w:lastRenderedPageBreak/>
        <w:t>hands, and as far as can be ascertained, our casualties have not been heavy</w:t>
      </w:r>
      <w:r w:rsidR="00072294">
        <w:rPr>
          <w:sz w:val="24"/>
          <w:szCs w:val="24"/>
        </w:rPr>
        <w:t>”.</w:t>
      </w:r>
      <w:r w:rsidR="00072294">
        <w:rPr>
          <w:rStyle w:val="FootnoteReference"/>
          <w:sz w:val="24"/>
          <w:szCs w:val="24"/>
        </w:rPr>
        <w:footnoteReference w:id="9"/>
      </w:r>
      <w:r w:rsidR="00072294">
        <w:rPr>
          <w:sz w:val="24"/>
          <w:szCs w:val="24"/>
        </w:rPr>
        <w:t xml:space="preserve"> This is a clear example of British propaganda as their aim was to keep any news of the war positive. </w:t>
      </w:r>
      <w:r w:rsidR="00351EDC">
        <w:rPr>
          <w:sz w:val="24"/>
          <w:szCs w:val="24"/>
        </w:rPr>
        <w:t>Wadsworth also notes that there was a second reason to censor mail, “Anything that could reveal troop position or battle plans was forbidden and officers were responsible for censoring their men’s letters.”</w:t>
      </w:r>
      <w:r w:rsidR="00351EDC">
        <w:rPr>
          <w:rStyle w:val="FootnoteReference"/>
          <w:sz w:val="24"/>
          <w:szCs w:val="24"/>
        </w:rPr>
        <w:footnoteReference w:id="10"/>
      </w:r>
    </w:p>
    <w:p w14:paraId="3991E7E0" w14:textId="5D7A0346" w:rsidR="00C032D9" w:rsidRDefault="008A22B7" w:rsidP="00976524">
      <w:pPr>
        <w:jc w:val="both"/>
        <w:rPr>
          <w:sz w:val="24"/>
          <w:szCs w:val="24"/>
        </w:rPr>
      </w:pPr>
      <w:r>
        <w:rPr>
          <w:sz w:val="24"/>
          <w:szCs w:val="24"/>
        </w:rPr>
        <w:t>Despite his recent experience of combat</w:t>
      </w:r>
      <w:r w:rsidR="000B7852">
        <w:rPr>
          <w:sz w:val="24"/>
          <w:szCs w:val="24"/>
        </w:rPr>
        <w:t>, Gilson does not complain about life at the Western Front</w:t>
      </w:r>
      <w:r>
        <w:rPr>
          <w:sz w:val="24"/>
          <w:szCs w:val="24"/>
        </w:rPr>
        <w:t xml:space="preserve">, but merely accepts his position and carry on the best he can, this is especially evident when compared to another letter written by a Great Western Railway employee from the Western Front called Jack Symons. </w:t>
      </w:r>
      <w:r w:rsidR="00285C01">
        <w:rPr>
          <w:sz w:val="24"/>
          <w:szCs w:val="24"/>
        </w:rPr>
        <w:t xml:space="preserve">In a letter addressed </w:t>
      </w:r>
      <w:r w:rsidR="00537693">
        <w:rPr>
          <w:sz w:val="24"/>
          <w:szCs w:val="24"/>
        </w:rPr>
        <w:t>t</w:t>
      </w:r>
      <w:r w:rsidR="00285C01">
        <w:rPr>
          <w:sz w:val="24"/>
          <w:szCs w:val="24"/>
        </w:rPr>
        <w:t>o</w:t>
      </w:r>
      <w:r w:rsidR="00537693">
        <w:rPr>
          <w:sz w:val="24"/>
          <w:szCs w:val="24"/>
        </w:rPr>
        <w:t xml:space="preserve"> a</w:t>
      </w:r>
      <w:r w:rsidR="00285C01">
        <w:rPr>
          <w:sz w:val="24"/>
          <w:szCs w:val="24"/>
        </w:rPr>
        <w:t xml:space="preserve"> recipient called Bert, he details the atrocious conditions of trench life. He says that the weather is terrible with non-stop rain, he states, “While writing this letter I am wet through to the skin and not a dry thing for a change”.</w:t>
      </w:r>
      <w:r w:rsidR="00285C01">
        <w:rPr>
          <w:rStyle w:val="FootnoteReference"/>
          <w:sz w:val="24"/>
          <w:szCs w:val="24"/>
        </w:rPr>
        <w:footnoteReference w:id="11"/>
      </w:r>
      <w:r w:rsidR="00285C01">
        <w:rPr>
          <w:sz w:val="24"/>
          <w:szCs w:val="24"/>
        </w:rPr>
        <w:t xml:space="preserve"> He continues to say that they are up to their knees in water and fails to understand how they are expected to live in these conditions. </w:t>
      </w:r>
      <w:r w:rsidR="00D321B5">
        <w:rPr>
          <w:sz w:val="24"/>
          <w:szCs w:val="24"/>
        </w:rPr>
        <w:t>This is a great example of how the soldiers had to not only battle the Germans, but also learn how to battle and survive the elements, as drowning was a real concern in certain trenches in winter.</w:t>
      </w:r>
      <w:r w:rsidR="00CC0E71">
        <w:rPr>
          <w:sz w:val="24"/>
          <w:szCs w:val="24"/>
        </w:rPr>
        <w:t xml:space="preserve"> Jack notes in passing, that shelling they endure is just something you get used to, this is similar to Gilson’s letter where he brushes off the bombardments as something you just learn to cope with. Interestingly, there are lines in Jack’s letter that been censored just like Gilson’s, further demonstrating the army’s determination to maintain a positive outlook on the war back in Britain. Jack concludes his letter by stating he is hoping for </w:t>
      </w:r>
      <w:r w:rsidR="00C561EE">
        <w:rPr>
          <w:sz w:val="24"/>
          <w:szCs w:val="24"/>
        </w:rPr>
        <w:t xml:space="preserve">a short leave from the trenches, while Gilson concludes his letter with a request for a few more toiletries in his next package. Out of the two letters, Gilson’s seems to be written in a more upbeat tone whilst Jack’s is riddled with complaints regarding the conditions and the war. One aspect that is noticeable is that Gilson’s letter was written in May 1915, whilst Jack’s was November 1915. This potentially explains the two contrasting tones in the letters, because Gilson was writing in spring, the conditions would have been more manageable and bearable. Jack was writing during late autumn/early winter. This meant that Jack would have had a different experience to Gilson of trench life. He would have to battle the cold and frosty conditions whilst increasing likelihood </w:t>
      </w:r>
      <w:r w:rsidR="00C032D9">
        <w:rPr>
          <w:sz w:val="24"/>
          <w:szCs w:val="24"/>
        </w:rPr>
        <w:t xml:space="preserve">of hypothermia and frostbite. </w:t>
      </w:r>
    </w:p>
    <w:p w14:paraId="2D79426F" w14:textId="77777777" w:rsidR="00C032D9" w:rsidRDefault="00C032D9" w:rsidP="00985EDB">
      <w:pPr>
        <w:rPr>
          <w:sz w:val="24"/>
          <w:szCs w:val="24"/>
        </w:rPr>
      </w:pPr>
    </w:p>
    <w:p w14:paraId="1FF66FCC" w14:textId="77777777" w:rsidR="00C032D9" w:rsidRDefault="00C032D9" w:rsidP="00985EDB">
      <w:pPr>
        <w:rPr>
          <w:sz w:val="24"/>
          <w:szCs w:val="24"/>
        </w:rPr>
      </w:pPr>
    </w:p>
    <w:p w14:paraId="4C2BA5EC" w14:textId="77777777" w:rsidR="00C032D9" w:rsidRDefault="00C032D9" w:rsidP="00985EDB">
      <w:pPr>
        <w:rPr>
          <w:sz w:val="24"/>
          <w:szCs w:val="24"/>
        </w:rPr>
      </w:pPr>
    </w:p>
    <w:p w14:paraId="41892D25" w14:textId="77777777" w:rsidR="00C032D9" w:rsidRDefault="00C032D9" w:rsidP="00985EDB">
      <w:pPr>
        <w:rPr>
          <w:sz w:val="24"/>
          <w:szCs w:val="24"/>
        </w:rPr>
      </w:pPr>
    </w:p>
    <w:p w14:paraId="61400524" w14:textId="77777777" w:rsidR="00A21458" w:rsidRDefault="00A21458" w:rsidP="00A21458">
      <w:pPr>
        <w:rPr>
          <w:sz w:val="24"/>
          <w:szCs w:val="24"/>
        </w:rPr>
      </w:pPr>
    </w:p>
    <w:p w14:paraId="6A6D4A41" w14:textId="3C248CF2" w:rsidR="00C032D9" w:rsidRPr="00C032D9" w:rsidRDefault="00C032D9" w:rsidP="00A21458">
      <w:pPr>
        <w:jc w:val="center"/>
        <w:rPr>
          <w:sz w:val="28"/>
          <w:szCs w:val="28"/>
          <w:u w:val="single"/>
        </w:rPr>
      </w:pPr>
      <w:r w:rsidRPr="00C032D9">
        <w:rPr>
          <w:sz w:val="28"/>
          <w:szCs w:val="28"/>
          <w:u w:val="single"/>
        </w:rPr>
        <w:lastRenderedPageBreak/>
        <w:t>Bibliography</w:t>
      </w:r>
    </w:p>
    <w:p w14:paraId="7DC6A1E9" w14:textId="77777777" w:rsidR="00C032D9" w:rsidRDefault="00C032D9" w:rsidP="00985EDB">
      <w:pPr>
        <w:rPr>
          <w:sz w:val="24"/>
          <w:szCs w:val="24"/>
          <w:u w:val="single"/>
        </w:rPr>
      </w:pPr>
      <w:r>
        <w:rPr>
          <w:sz w:val="24"/>
          <w:szCs w:val="24"/>
          <w:u w:val="single"/>
        </w:rPr>
        <w:t>Primary Sources</w:t>
      </w:r>
    </w:p>
    <w:p w14:paraId="483E62FA" w14:textId="77777777" w:rsidR="00C032D9" w:rsidRPr="00C032D9" w:rsidRDefault="00C032D9" w:rsidP="00985EDB">
      <w:pPr>
        <w:rPr>
          <w:sz w:val="24"/>
          <w:szCs w:val="24"/>
        </w:rPr>
      </w:pPr>
      <w:r w:rsidRPr="00C032D9">
        <w:rPr>
          <w:sz w:val="24"/>
          <w:szCs w:val="24"/>
        </w:rPr>
        <w:t xml:space="preserve">Correspondent, 'Battle of the Somme. All Still Going Well', </w:t>
      </w:r>
      <w:r w:rsidRPr="00C032D9">
        <w:rPr>
          <w:i/>
          <w:iCs/>
          <w:sz w:val="24"/>
          <w:szCs w:val="24"/>
        </w:rPr>
        <w:t xml:space="preserve">Belfast News Letter, </w:t>
      </w:r>
      <w:r w:rsidRPr="00C032D9">
        <w:rPr>
          <w:sz w:val="24"/>
          <w:szCs w:val="24"/>
        </w:rPr>
        <w:t>2 July 1916</w:t>
      </w:r>
      <w:r>
        <w:rPr>
          <w:sz w:val="24"/>
          <w:szCs w:val="24"/>
        </w:rPr>
        <w:t>.</w:t>
      </w:r>
    </w:p>
    <w:p w14:paraId="1C67EA10" w14:textId="77777777" w:rsidR="00C032D9" w:rsidRDefault="00C032D9" w:rsidP="00985EDB">
      <w:pPr>
        <w:rPr>
          <w:sz w:val="24"/>
          <w:szCs w:val="24"/>
          <w:u w:val="single"/>
        </w:rPr>
      </w:pPr>
    </w:p>
    <w:p w14:paraId="598B281A" w14:textId="77777777" w:rsidR="00C032D9" w:rsidRDefault="00C032D9" w:rsidP="00985EDB">
      <w:pPr>
        <w:rPr>
          <w:sz w:val="24"/>
          <w:szCs w:val="24"/>
          <w:u w:val="single"/>
        </w:rPr>
      </w:pPr>
      <w:r>
        <w:rPr>
          <w:sz w:val="24"/>
          <w:szCs w:val="24"/>
          <w:u w:val="single"/>
        </w:rPr>
        <w:t>Secondary Sources</w:t>
      </w:r>
    </w:p>
    <w:p w14:paraId="4A8E4171" w14:textId="77777777" w:rsidR="00E96F42" w:rsidRDefault="00E96F42" w:rsidP="00985EDB">
      <w:pPr>
        <w:rPr>
          <w:sz w:val="24"/>
          <w:szCs w:val="24"/>
        </w:rPr>
      </w:pPr>
      <w:r w:rsidRPr="00E96F42">
        <w:rPr>
          <w:sz w:val="24"/>
          <w:szCs w:val="24"/>
        </w:rPr>
        <w:t>DeGroot</w:t>
      </w:r>
      <w:r>
        <w:rPr>
          <w:sz w:val="24"/>
          <w:szCs w:val="24"/>
        </w:rPr>
        <w:t>. G,</w:t>
      </w:r>
      <w:r w:rsidRPr="00E96F42">
        <w:rPr>
          <w:sz w:val="24"/>
          <w:szCs w:val="24"/>
        </w:rPr>
        <w:t xml:space="preserve"> </w:t>
      </w:r>
      <w:r w:rsidRPr="00E96F42">
        <w:rPr>
          <w:i/>
          <w:iCs/>
          <w:sz w:val="24"/>
          <w:szCs w:val="24"/>
        </w:rPr>
        <w:t>Back in Blighty: The British at Home in World War I</w:t>
      </w:r>
      <w:r w:rsidRPr="00E96F42">
        <w:rPr>
          <w:sz w:val="24"/>
          <w:szCs w:val="24"/>
        </w:rPr>
        <w:t xml:space="preserve">, </w:t>
      </w:r>
      <w:r w:rsidR="00976524">
        <w:rPr>
          <w:sz w:val="24"/>
          <w:szCs w:val="24"/>
        </w:rPr>
        <w:t>Rev.</w:t>
      </w:r>
      <w:r w:rsidRPr="00E96F42">
        <w:rPr>
          <w:sz w:val="24"/>
          <w:szCs w:val="24"/>
        </w:rPr>
        <w:t xml:space="preserve"> </w:t>
      </w:r>
      <w:proofErr w:type="spellStart"/>
      <w:r w:rsidRPr="00E96F42">
        <w:rPr>
          <w:sz w:val="24"/>
          <w:szCs w:val="24"/>
        </w:rPr>
        <w:t>edn</w:t>
      </w:r>
      <w:proofErr w:type="spellEnd"/>
      <w:r w:rsidRPr="00E96F42">
        <w:rPr>
          <w:sz w:val="24"/>
          <w:szCs w:val="24"/>
        </w:rPr>
        <w:t xml:space="preserve"> (London: Vintage UK, 2014)</w:t>
      </w:r>
      <w:r>
        <w:rPr>
          <w:sz w:val="24"/>
          <w:szCs w:val="24"/>
        </w:rPr>
        <w:t>.</w:t>
      </w:r>
    </w:p>
    <w:p w14:paraId="4E715747" w14:textId="77777777" w:rsidR="00C032D9" w:rsidRDefault="00C032D9" w:rsidP="00985EDB">
      <w:pPr>
        <w:rPr>
          <w:sz w:val="24"/>
          <w:szCs w:val="24"/>
        </w:rPr>
      </w:pPr>
      <w:r w:rsidRPr="00C032D9">
        <w:rPr>
          <w:sz w:val="24"/>
          <w:szCs w:val="24"/>
        </w:rPr>
        <w:t>Hobsbawm</w:t>
      </w:r>
      <w:r>
        <w:rPr>
          <w:sz w:val="24"/>
          <w:szCs w:val="24"/>
        </w:rPr>
        <w:t>. E,</w:t>
      </w:r>
      <w:r w:rsidRPr="00C032D9">
        <w:rPr>
          <w:sz w:val="24"/>
          <w:szCs w:val="24"/>
        </w:rPr>
        <w:t xml:space="preserve"> </w:t>
      </w:r>
      <w:r w:rsidRPr="00C032D9">
        <w:rPr>
          <w:i/>
          <w:iCs/>
          <w:sz w:val="24"/>
          <w:szCs w:val="24"/>
        </w:rPr>
        <w:t>The Age of Extremes: 1914-1991</w:t>
      </w:r>
      <w:r w:rsidRPr="00C032D9">
        <w:rPr>
          <w:sz w:val="24"/>
          <w:szCs w:val="24"/>
        </w:rPr>
        <w:t xml:space="preserve"> (London: Abacus, 1995)</w:t>
      </w:r>
      <w:r>
        <w:rPr>
          <w:sz w:val="24"/>
          <w:szCs w:val="24"/>
        </w:rPr>
        <w:t>.</w:t>
      </w:r>
    </w:p>
    <w:p w14:paraId="6D2E26B7" w14:textId="77777777" w:rsidR="00C032D9" w:rsidRDefault="00C032D9" w:rsidP="00985EDB">
      <w:pPr>
        <w:rPr>
          <w:sz w:val="24"/>
          <w:szCs w:val="24"/>
        </w:rPr>
      </w:pPr>
      <w:r>
        <w:rPr>
          <w:sz w:val="24"/>
          <w:szCs w:val="24"/>
        </w:rPr>
        <w:t>V</w:t>
      </w:r>
      <w:r w:rsidRPr="00C032D9">
        <w:rPr>
          <w:sz w:val="24"/>
          <w:szCs w:val="24"/>
        </w:rPr>
        <w:t>an Emden</w:t>
      </w:r>
      <w:r>
        <w:rPr>
          <w:sz w:val="24"/>
          <w:szCs w:val="24"/>
        </w:rPr>
        <w:t xml:space="preserve">. R, </w:t>
      </w:r>
      <w:r w:rsidRPr="00C032D9">
        <w:rPr>
          <w:i/>
          <w:iCs/>
          <w:sz w:val="24"/>
          <w:szCs w:val="24"/>
        </w:rPr>
        <w:t>Boy Soldiers of the Great War</w:t>
      </w:r>
      <w:r w:rsidRPr="00C032D9">
        <w:rPr>
          <w:sz w:val="24"/>
          <w:szCs w:val="24"/>
        </w:rPr>
        <w:t xml:space="preserve"> (London: Bloomsbury, 2012)</w:t>
      </w:r>
      <w:r>
        <w:rPr>
          <w:sz w:val="24"/>
          <w:szCs w:val="24"/>
        </w:rPr>
        <w:t>.</w:t>
      </w:r>
    </w:p>
    <w:p w14:paraId="1E903836" w14:textId="77777777" w:rsidR="00C032D9" w:rsidRPr="00C032D9" w:rsidRDefault="00C032D9" w:rsidP="00985EDB">
      <w:pPr>
        <w:rPr>
          <w:sz w:val="24"/>
          <w:szCs w:val="24"/>
        </w:rPr>
      </w:pPr>
      <w:r w:rsidRPr="00C032D9">
        <w:rPr>
          <w:sz w:val="24"/>
          <w:szCs w:val="24"/>
        </w:rPr>
        <w:t>Wadsworth</w:t>
      </w:r>
      <w:r>
        <w:rPr>
          <w:sz w:val="24"/>
          <w:szCs w:val="24"/>
        </w:rPr>
        <w:t xml:space="preserve">. J, </w:t>
      </w:r>
      <w:r w:rsidRPr="00C032D9">
        <w:rPr>
          <w:i/>
          <w:iCs/>
          <w:sz w:val="24"/>
          <w:szCs w:val="24"/>
        </w:rPr>
        <w:t>Letters from the Trenches: The First World War by Those Who Were There</w:t>
      </w:r>
      <w:r w:rsidRPr="00C032D9">
        <w:rPr>
          <w:sz w:val="24"/>
          <w:szCs w:val="24"/>
        </w:rPr>
        <w:t xml:space="preserve"> (Barnsley: Pen &amp; Sword Military, 2014)</w:t>
      </w:r>
      <w:r>
        <w:rPr>
          <w:sz w:val="24"/>
          <w:szCs w:val="24"/>
        </w:rPr>
        <w:t>.</w:t>
      </w:r>
    </w:p>
    <w:p w14:paraId="1DC941AB" w14:textId="77777777" w:rsidR="00C032D9" w:rsidRDefault="00C032D9" w:rsidP="00985EDB">
      <w:pPr>
        <w:rPr>
          <w:sz w:val="24"/>
          <w:szCs w:val="24"/>
          <w:u w:val="single"/>
        </w:rPr>
      </w:pPr>
    </w:p>
    <w:p w14:paraId="4CE8ECA0" w14:textId="77777777" w:rsidR="00C032D9" w:rsidRPr="00C032D9" w:rsidRDefault="00C032D9" w:rsidP="00985EDB">
      <w:pPr>
        <w:rPr>
          <w:sz w:val="24"/>
          <w:szCs w:val="24"/>
          <w:u w:val="single"/>
        </w:rPr>
      </w:pPr>
      <w:r>
        <w:rPr>
          <w:sz w:val="24"/>
          <w:szCs w:val="24"/>
          <w:u w:val="single"/>
        </w:rPr>
        <w:t>Websites</w:t>
      </w:r>
    </w:p>
    <w:p w14:paraId="1ECA961C" w14:textId="77777777" w:rsidR="00C032D9" w:rsidRDefault="00C032D9" w:rsidP="00C032D9">
      <w:pPr>
        <w:rPr>
          <w:sz w:val="24"/>
          <w:szCs w:val="24"/>
        </w:rPr>
      </w:pPr>
      <w:r w:rsidRPr="00C032D9">
        <w:rPr>
          <w:sz w:val="24"/>
          <w:szCs w:val="24"/>
        </w:rPr>
        <w:t>Gilson</w:t>
      </w:r>
      <w:r>
        <w:rPr>
          <w:sz w:val="24"/>
          <w:szCs w:val="24"/>
        </w:rPr>
        <w:t>. R,</w:t>
      </w:r>
      <w:r w:rsidRPr="00C032D9">
        <w:rPr>
          <w:sz w:val="24"/>
          <w:szCs w:val="24"/>
        </w:rPr>
        <w:t xml:space="preserve"> </w:t>
      </w:r>
      <w:r w:rsidRPr="00C032D9">
        <w:rPr>
          <w:i/>
          <w:iCs/>
          <w:sz w:val="24"/>
          <w:szCs w:val="24"/>
        </w:rPr>
        <w:t>They Were Mostly Boys</w:t>
      </w:r>
      <w:r w:rsidRPr="00C032D9">
        <w:rPr>
          <w:sz w:val="24"/>
          <w:szCs w:val="24"/>
        </w:rPr>
        <w:t xml:space="preserve"> (2019) &lt;https://www.nationalarchives.gov.uk/education/resources/letters-first-world-war-1915/trenches-mostly-mere-boys/&gt; [accessed 10 November 2019].</w:t>
      </w:r>
    </w:p>
    <w:p w14:paraId="5CED7DCC" w14:textId="77777777" w:rsidR="00C032D9" w:rsidRDefault="00C032D9" w:rsidP="00C032D9">
      <w:pPr>
        <w:rPr>
          <w:sz w:val="24"/>
          <w:szCs w:val="24"/>
        </w:rPr>
      </w:pPr>
      <w:r w:rsidRPr="00C032D9">
        <w:rPr>
          <w:sz w:val="24"/>
          <w:szCs w:val="24"/>
        </w:rPr>
        <w:t xml:space="preserve">Network Rail, </w:t>
      </w:r>
      <w:r w:rsidRPr="00C032D9">
        <w:rPr>
          <w:i/>
          <w:iCs/>
          <w:sz w:val="24"/>
          <w:szCs w:val="24"/>
        </w:rPr>
        <w:t>WWI and the railway</w:t>
      </w:r>
      <w:r w:rsidRPr="00C032D9">
        <w:rPr>
          <w:sz w:val="24"/>
          <w:szCs w:val="24"/>
        </w:rPr>
        <w:t xml:space="preserve"> (2019) &lt;https://www.networkrail.co.uk/stories/wwi-and-the-railway/&gt; [accessed 11 November 2019].</w:t>
      </w:r>
    </w:p>
    <w:p w14:paraId="1DFFDBD8" w14:textId="77777777" w:rsidR="00C032D9" w:rsidRPr="00C032D9" w:rsidRDefault="00C032D9" w:rsidP="00C032D9">
      <w:pPr>
        <w:rPr>
          <w:sz w:val="24"/>
          <w:szCs w:val="24"/>
        </w:rPr>
      </w:pPr>
      <w:r w:rsidRPr="00C032D9">
        <w:rPr>
          <w:sz w:val="24"/>
          <w:szCs w:val="24"/>
        </w:rPr>
        <w:t>Symons</w:t>
      </w:r>
      <w:r>
        <w:rPr>
          <w:sz w:val="24"/>
          <w:szCs w:val="24"/>
        </w:rPr>
        <w:t>. J,</w:t>
      </w:r>
      <w:r w:rsidRPr="00C032D9">
        <w:rPr>
          <w:sz w:val="24"/>
          <w:szCs w:val="24"/>
        </w:rPr>
        <w:t xml:space="preserve"> </w:t>
      </w:r>
      <w:r w:rsidRPr="00C032D9">
        <w:rPr>
          <w:i/>
          <w:iCs/>
          <w:sz w:val="24"/>
          <w:szCs w:val="24"/>
        </w:rPr>
        <w:t>Trenches: 'up to our knees in water'</w:t>
      </w:r>
      <w:r w:rsidRPr="00C032D9">
        <w:rPr>
          <w:sz w:val="24"/>
          <w:szCs w:val="24"/>
        </w:rPr>
        <w:t xml:space="preserve"> (2019) &lt;https://www.nationalarchives.gov.uk/education/resources/letters-first-world-war-1915/trenches-knees-water/&gt; [accessed 13 November 2019].</w:t>
      </w:r>
    </w:p>
    <w:p w14:paraId="7BA1B40C" w14:textId="77777777" w:rsidR="00C032D9" w:rsidRDefault="00C032D9" w:rsidP="00C032D9">
      <w:pPr>
        <w:rPr>
          <w:sz w:val="24"/>
          <w:szCs w:val="24"/>
        </w:rPr>
      </w:pPr>
    </w:p>
    <w:p w14:paraId="0585349D" w14:textId="77777777" w:rsidR="00C032D9" w:rsidRPr="00C032D9" w:rsidRDefault="00C032D9" w:rsidP="00C032D9">
      <w:pPr>
        <w:rPr>
          <w:sz w:val="24"/>
          <w:szCs w:val="24"/>
        </w:rPr>
      </w:pPr>
    </w:p>
    <w:p w14:paraId="62400F13" w14:textId="3467890A" w:rsidR="00C032D9" w:rsidRDefault="00C032D9" w:rsidP="00985EDB">
      <w:pPr>
        <w:rPr>
          <w:sz w:val="24"/>
          <w:szCs w:val="24"/>
        </w:rPr>
      </w:pPr>
    </w:p>
    <w:p w14:paraId="03010945" w14:textId="59CD5E3A" w:rsidR="009E3CEE" w:rsidRDefault="009E3CEE" w:rsidP="00985EDB">
      <w:pPr>
        <w:rPr>
          <w:sz w:val="24"/>
          <w:szCs w:val="24"/>
        </w:rPr>
      </w:pPr>
    </w:p>
    <w:p w14:paraId="36A4BFD3" w14:textId="695FC995" w:rsidR="009E3CEE" w:rsidRDefault="009E3CEE" w:rsidP="00985EDB">
      <w:pPr>
        <w:rPr>
          <w:sz w:val="24"/>
          <w:szCs w:val="24"/>
        </w:rPr>
      </w:pPr>
    </w:p>
    <w:p w14:paraId="1AC5415B" w14:textId="1C690CF0" w:rsidR="009E3CEE" w:rsidRDefault="009E3CEE" w:rsidP="00985EDB">
      <w:pPr>
        <w:rPr>
          <w:sz w:val="24"/>
          <w:szCs w:val="24"/>
        </w:rPr>
      </w:pPr>
    </w:p>
    <w:p w14:paraId="0522149B" w14:textId="077D2161" w:rsidR="009E3CEE" w:rsidRDefault="009E3CEE" w:rsidP="00985EDB">
      <w:pPr>
        <w:rPr>
          <w:sz w:val="24"/>
          <w:szCs w:val="24"/>
        </w:rPr>
      </w:pPr>
    </w:p>
    <w:p w14:paraId="66763A03" w14:textId="609C72A2" w:rsidR="009E3CEE" w:rsidRDefault="009E3CEE" w:rsidP="00985EDB">
      <w:pPr>
        <w:rPr>
          <w:sz w:val="24"/>
          <w:szCs w:val="24"/>
        </w:rPr>
      </w:pPr>
    </w:p>
    <w:p w14:paraId="6CE6A01E" w14:textId="669994FC" w:rsidR="009E3CEE" w:rsidRDefault="009E3CEE" w:rsidP="00985EDB">
      <w:pPr>
        <w:rPr>
          <w:sz w:val="24"/>
          <w:szCs w:val="24"/>
        </w:rPr>
      </w:pPr>
    </w:p>
    <w:p w14:paraId="2CF56B94" w14:textId="5E2CD30C" w:rsidR="009E3CEE" w:rsidRDefault="009E3CEE" w:rsidP="00985EDB">
      <w:pPr>
        <w:rPr>
          <w:sz w:val="24"/>
          <w:szCs w:val="24"/>
        </w:rPr>
      </w:pPr>
    </w:p>
    <w:p w14:paraId="50B1E921" w14:textId="77777777" w:rsidR="00EB5FC1" w:rsidRDefault="00EB5FC1" w:rsidP="009E3CEE">
      <w:pPr>
        <w:jc w:val="center"/>
        <w:rPr>
          <w:sz w:val="28"/>
          <w:szCs w:val="28"/>
          <w:u w:val="single"/>
        </w:rPr>
        <w:sectPr w:rsidR="00EB5FC1">
          <w:footerReference w:type="default" r:id="rId7"/>
          <w:pgSz w:w="11906" w:h="16838"/>
          <w:pgMar w:top="1440" w:right="1440" w:bottom="1440" w:left="1440" w:header="708" w:footer="708" w:gutter="0"/>
          <w:cols w:space="708"/>
          <w:docGrid w:linePitch="360"/>
        </w:sectPr>
      </w:pPr>
    </w:p>
    <w:p w14:paraId="7AA95CEE" w14:textId="5F51658E" w:rsidR="009E3CEE" w:rsidRPr="009E3CEE" w:rsidRDefault="009E3CEE" w:rsidP="009E3CEE">
      <w:pPr>
        <w:jc w:val="center"/>
        <w:rPr>
          <w:sz w:val="28"/>
          <w:szCs w:val="28"/>
          <w:u w:val="single"/>
        </w:rPr>
      </w:pPr>
      <w:r w:rsidRPr="009E3CEE">
        <w:rPr>
          <w:sz w:val="28"/>
          <w:szCs w:val="28"/>
          <w:u w:val="single"/>
        </w:rPr>
        <w:lastRenderedPageBreak/>
        <w:t>Annotated Bibliography</w:t>
      </w:r>
    </w:p>
    <w:p w14:paraId="4E5F0FEB" w14:textId="77777777" w:rsidR="009E3CEE" w:rsidRPr="009E3CEE" w:rsidRDefault="009E3CEE" w:rsidP="009E3CEE">
      <w:pPr>
        <w:jc w:val="both"/>
        <w:rPr>
          <w:sz w:val="24"/>
          <w:szCs w:val="24"/>
        </w:rPr>
      </w:pPr>
      <w:r w:rsidRPr="009E3CEE">
        <w:rPr>
          <w:sz w:val="24"/>
          <w:szCs w:val="24"/>
        </w:rPr>
        <w:t xml:space="preserve">DeGroot. G, </w:t>
      </w:r>
      <w:r w:rsidRPr="009E3CEE">
        <w:rPr>
          <w:i/>
          <w:iCs/>
          <w:sz w:val="24"/>
          <w:szCs w:val="24"/>
        </w:rPr>
        <w:t>Back in Blighty: The British at Home in World War I</w:t>
      </w:r>
      <w:r w:rsidRPr="009E3CEE">
        <w:rPr>
          <w:sz w:val="24"/>
          <w:szCs w:val="24"/>
        </w:rPr>
        <w:t xml:space="preserve">, Rev. </w:t>
      </w:r>
      <w:proofErr w:type="spellStart"/>
      <w:r w:rsidRPr="009E3CEE">
        <w:rPr>
          <w:sz w:val="24"/>
          <w:szCs w:val="24"/>
        </w:rPr>
        <w:t>edn</w:t>
      </w:r>
      <w:proofErr w:type="spellEnd"/>
      <w:r w:rsidRPr="009E3CEE">
        <w:rPr>
          <w:sz w:val="24"/>
          <w:szCs w:val="24"/>
        </w:rPr>
        <w:t xml:space="preserve"> (London: Vintage UK, 2014).</w:t>
      </w:r>
    </w:p>
    <w:p w14:paraId="2FF29525" w14:textId="0CA30092" w:rsidR="009E3CEE" w:rsidRPr="009E3CEE" w:rsidRDefault="009E3CEE" w:rsidP="009E3CEE">
      <w:pPr>
        <w:jc w:val="both"/>
        <w:rPr>
          <w:sz w:val="24"/>
          <w:szCs w:val="24"/>
        </w:rPr>
      </w:pPr>
      <w:r w:rsidRPr="009E3CEE">
        <w:rPr>
          <w:sz w:val="24"/>
          <w:szCs w:val="24"/>
        </w:rPr>
        <w:t>Whilst many books written on the First World focus on the Western Front and the war itself, Gerard DeGroot’s book focuses on life back at home in Britain and how the war affected the everyday life of the British people. The presumption that the consequences of the war would have brought about changes in British life is a statement DeGroot argues strongly against. DeGroot argues against this statement in his book. Through his research, he concludes that the British hierarchy were very much against altering their pre-war social structure following the conclusion of the war. He states, “What is striking is how much of pre-war war society has survived”.</w:t>
      </w:r>
      <w:r w:rsidRPr="009E3CEE">
        <w:rPr>
          <w:sz w:val="24"/>
          <w:szCs w:val="24"/>
          <w:vertAlign w:val="superscript"/>
        </w:rPr>
        <w:footnoteReference w:id="12"/>
      </w:r>
      <w:r w:rsidRPr="009E3CEE">
        <w:rPr>
          <w:sz w:val="24"/>
          <w:szCs w:val="24"/>
        </w:rPr>
        <w:t xml:space="preserve"> DeGroot argues that Britain would rather reinforce their old structure rather than embrace anything remotely linked to change, and that fighting the enemy is just as important as fighting change, he believes this is an accurate depiction of British conservatism. DeGroot uses the various source at his disposal to demonstrate a different Britain to what many today envisioned life at home back during the First World War. He describes Britain as a place of racism and cruelty. DeGroot specifically outlines the cruelty conscientious objectors faced in Britain, and notes how they were viewed as traitors and cowards for not taking up arms. It is particularly disturbing to learn that the government in some cases, aimed to break their will by forcibly sending them to the front and order their execution should they continue to refuse. DeGroot notes, “Of those who maintained their refusal even to the battlefield, 34 were sentenced to death</w:t>
      </w:r>
      <w:r w:rsidR="00EB5FC1">
        <w:rPr>
          <w:sz w:val="24"/>
          <w:szCs w:val="24"/>
        </w:rPr>
        <w:t>”</w:t>
      </w:r>
      <w:r w:rsidRPr="009E3CEE">
        <w:rPr>
          <w:sz w:val="24"/>
          <w:szCs w:val="24"/>
        </w:rPr>
        <w:t>.</w:t>
      </w:r>
      <w:r w:rsidRPr="009E3CEE">
        <w:rPr>
          <w:sz w:val="24"/>
          <w:szCs w:val="24"/>
          <w:vertAlign w:val="superscript"/>
        </w:rPr>
        <w:footnoteReference w:id="13"/>
      </w:r>
      <w:r w:rsidRPr="009E3CEE">
        <w:rPr>
          <w:sz w:val="24"/>
          <w:szCs w:val="24"/>
        </w:rPr>
        <w:t xml:space="preserve"> I believe that DeGroot’s work was very useful during my research as it aided my understanding of life in Britain during First World War, but more importantly, allowed me to gain an alternative perspective of Britain. A Britain that is often hidden behind the portrayal of being the land  unity often depicted in the media. This was a land of cruelty and danger if you didn’t conform to the government’s outlook on war. </w:t>
      </w:r>
    </w:p>
    <w:p w14:paraId="08508011" w14:textId="77777777" w:rsidR="009E3CEE" w:rsidRPr="009E3CEE" w:rsidRDefault="009E3CEE" w:rsidP="009E3CEE">
      <w:pPr>
        <w:jc w:val="both"/>
        <w:rPr>
          <w:sz w:val="24"/>
          <w:szCs w:val="24"/>
        </w:rPr>
      </w:pPr>
    </w:p>
    <w:p w14:paraId="134DB491" w14:textId="77777777" w:rsidR="009E3CEE" w:rsidRPr="009E3CEE" w:rsidRDefault="009E3CEE" w:rsidP="009E3CEE">
      <w:pPr>
        <w:jc w:val="both"/>
        <w:rPr>
          <w:sz w:val="24"/>
          <w:szCs w:val="24"/>
        </w:rPr>
      </w:pPr>
      <w:r w:rsidRPr="009E3CEE">
        <w:rPr>
          <w:sz w:val="24"/>
          <w:szCs w:val="24"/>
        </w:rPr>
        <w:t xml:space="preserve">Wadsworth. J, </w:t>
      </w:r>
      <w:r w:rsidRPr="009E3CEE">
        <w:rPr>
          <w:i/>
          <w:iCs/>
          <w:sz w:val="24"/>
          <w:szCs w:val="24"/>
        </w:rPr>
        <w:t>Letters from the Trenches: The First World War by Those Who Were There</w:t>
      </w:r>
      <w:r w:rsidRPr="009E3CEE">
        <w:rPr>
          <w:sz w:val="24"/>
          <w:szCs w:val="24"/>
        </w:rPr>
        <w:t xml:space="preserve"> (Barnsley: Pen &amp; Sword Military, 2014).</w:t>
      </w:r>
    </w:p>
    <w:p w14:paraId="2714CE7B" w14:textId="77777777" w:rsidR="009E3CEE" w:rsidRPr="009E3CEE" w:rsidRDefault="009E3CEE" w:rsidP="009E3CEE">
      <w:pPr>
        <w:jc w:val="both"/>
        <w:rPr>
          <w:sz w:val="24"/>
          <w:szCs w:val="24"/>
        </w:rPr>
      </w:pPr>
      <w:r w:rsidRPr="009E3CEE">
        <w:rPr>
          <w:sz w:val="24"/>
          <w:szCs w:val="24"/>
        </w:rPr>
        <w:t xml:space="preserve">When researching source material for my document report, I felt it was important to not only attempt to gain an understanding of the conditions the soldiers faced in the trenches, but also to uncover exactly what soldiers experienced and felt on the front lines at the Western Front. Therefore, Jacqueline Wadsworth book was an ideal source material for my document report as it contained within it; letters written by soldiers on the Western Front for their loved ones back home in Britain. The principal aim of Wadsworth’s book is to convey the history of the First World War through using the letters exchanged between regular soldiers on the Wester Front, and their families. Most importantly however, the letters written demonstrates how people truly felt about the war. The book contains letters of people belonging to all types of social classes and structures. Through Wadsworth book, we learn that for some soldiers, the </w:t>
      </w:r>
      <w:r w:rsidRPr="009E3CEE">
        <w:rPr>
          <w:sz w:val="24"/>
          <w:szCs w:val="24"/>
        </w:rPr>
        <w:lastRenderedPageBreak/>
        <w:t>long exile from their family gave them time to reflect on their time at home and come to appreciate what their families had done for them. One such soldier was Charles Alderton, in October 1917, he wrote to his family; “I realise the number of things done and got for me at home, which I was not in the least thankful for, and I want to say now I am really jolly thankful.”</w:t>
      </w:r>
      <w:r w:rsidRPr="009E3CEE">
        <w:rPr>
          <w:sz w:val="24"/>
          <w:szCs w:val="24"/>
          <w:vertAlign w:val="superscript"/>
        </w:rPr>
        <w:footnoteReference w:id="14"/>
      </w:r>
      <w:r w:rsidRPr="009E3CEE">
        <w:rPr>
          <w:sz w:val="24"/>
          <w:szCs w:val="24"/>
        </w:rPr>
        <w:t xml:space="preserve"> One particular argument that come across when reviewing this source is, how war can change an individual, an how difficult it would have been for many soldiers to transition back to civilian life following conclusion of the war, as Life carried on at home during the war and many places changed. Wadsworth notes that many live had to altered to accommodate the new circumstances.</w:t>
      </w:r>
      <w:r w:rsidRPr="009E3CEE">
        <w:rPr>
          <w:sz w:val="24"/>
          <w:szCs w:val="24"/>
          <w:vertAlign w:val="superscript"/>
        </w:rPr>
        <w:footnoteReference w:id="15"/>
      </w:r>
      <w:r w:rsidRPr="009E3CEE">
        <w:rPr>
          <w:sz w:val="24"/>
          <w:szCs w:val="24"/>
        </w:rPr>
        <w:t xml:space="preserve"> I found the source useful, as it gave an insight into the lives of experiences of soldiers, however, I had to be cautious in its use. Due to censorship, perhaps the soldiers were not always able to give accurate accounts of their feeling of the war, as a result certain letter may not be truthful and accurate.</w:t>
      </w:r>
    </w:p>
    <w:p w14:paraId="64421A2D" w14:textId="77777777" w:rsidR="009E3CEE" w:rsidRPr="009E3CEE" w:rsidRDefault="009E3CEE" w:rsidP="009E3CEE">
      <w:pPr>
        <w:jc w:val="both"/>
        <w:rPr>
          <w:sz w:val="24"/>
          <w:szCs w:val="24"/>
        </w:rPr>
      </w:pPr>
    </w:p>
    <w:p w14:paraId="56F313DA" w14:textId="77777777" w:rsidR="009E3CEE" w:rsidRPr="009E3CEE" w:rsidRDefault="009E3CEE" w:rsidP="009E3CEE">
      <w:pPr>
        <w:jc w:val="both"/>
        <w:rPr>
          <w:sz w:val="24"/>
          <w:szCs w:val="24"/>
        </w:rPr>
      </w:pPr>
      <w:bookmarkStart w:id="7" w:name="_Hlk24729850"/>
      <w:r w:rsidRPr="009E3CEE">
        <w:rPr>
          <w:sz w:val="24"/>
          <w:szCs w:val="24"/>
        </w:rPr>
        <w:t xml:space="preserve">Van Emden. R, </w:t>
      </w:r>
      <w:r w:rsidRPr="009E3CEE">
        <w:rPr>
          <w:i/>
          <w:iCs/>
          <w:sz w:val="24"/>
          <w:szCs w:val="24"/>
        </w:rPr>
        <w:t>Boy Soldiers of the Great War</w:t>
      </w:r>
      <w:r w:rsidRPr="009E3CEE">
        <w:rPr>
          <w:sz w:val="24"/>
          <w:szCs w:val="24"/>
        </w:rPr>
        <w:t xml:space="preserve"> (London: Bloomsbury, 2012). </w:t>
      </w:r>
    </w:p>
    <w:bookmarkEnd w:id="7"/>
    <w:p w14:paraId="464D746D" w14:textId="44F75FB1" w:rsidR="009E3CEE" w:rsidRPr="009E3CEE" w:rsidRDefault="009E3CEE" w:rsidP="009E3CEE">
      <w:pPr>
        <w:jc w:val="both"/>
        <w:rPr>
          <w:sz w:val="24"/>
          <w:szCs w:val="24"/>
        </w:rPr>
      </w:pPr>
      <w:r w:rsidRPr="009E3CEE">
        <w:rPr>
          <w:sz w:val="24"/>
          <w:szCs w:val="24"/>
        </w:rPr>
        <w:t xml:space="preserve">Whilst examining my chosen document, I was struck by the author of the letter mentioning how the men in his unit were mostly boys. This encouraged me to research that statement further and examine how there was so many boys on the front line. The purpose of Richard van Emden’s book is to tell the untold story of heroics committed by underage boys who made it to the Western Front, and convey to the reader their experiences  and why young boys like George White chose to go to war. Van Emden notes, “George, like </w:t>
      </w:r>
      <w:r w:rsidR="004070F9" w:rsidRPr="009E3CEE">
        <w:rPr>
          <w:sz w:val="24"/>
          <w:szCs w:val="24"/>
        </w:rPr>
        <w:t>tens</w:t>
      </w:r>
      <w:r w:rsidRPr="009E3CEE">
        <w:rPr>
          <w:sz w:val="24"/>
          <w:szCs w:val="24"/>
        </w:rPr>
        <w:t xml:space="preserve"> of thousands of other young boys, would be driven by a deep-seated patriotism and a desire for adventure.”</w:t>
      </w:r>
      <w:r w:rsidRPr="009E3CEE">
        <w:rPr>
          <w:sz w:val="24"/>
          <w:szCs w:val="24"/>
          <w:vertAlign w:val="superscript"/>
        </w:rPr>
        <w:footnoteReference w:id="16"/>
      </w:r>
      <w:r w:rsidRPr="009E3CEE">
        <w:rPr>
          <w:sz w:val="24"/>
          <w:szCs w:val="24"/>
        </w:rPr>
        <w:t xml:space="preserve"> Van Emden argues that boys would have been eager to fight for King and country, and the adventure it would have provided. We are told that there were boys as young as thirteen attempting to enlist. Van Emden wanted to give the young boys who enlisted their opportunity to share their stories of sacrifice and how they managed to survive such a harrowing experience at such a tender age. During his time on the Western Front, Dick Trafford was sixteen and was gassed and wounded three times.</w:t>
      </w:r>
      <w:r w:rsidRPr="009E3CEE">
        <w:rPr>
          <w:sz w:val="24"/>
          <w:szCs w:val="24"/>
          <w:vertAlign w:val="superscript"/>
        </w:rPr>
        <w:footnoteReference w:id="17"/>
      </w:r>
      <w:r w:rsidRPr="009E3CEE">
        <w:rPr>
          <w:sz w:val="24"/>
          <w:szCs w:val="24"/>
        </w:rPr>
        <w:t xml:space="preserve"> Van Emden’s work is valuable to study because not only does he detail through his research the experiences the young boys faced, but also details how they were able to make it out to the Western Front in the first place. With medial officers and sergeants being paid for every successful recruit, </w:t>
      </w:r>
      <w:proofErr w:type="spellStart"/>
      <w:r w:rsidRPr="009E3CEE">
        <w:rPr>
          <w:sz w:val="24"/>
          <w:szCs w:val="24"/>
        </w:rPr>
        <w:t>its</w:t>
      </w:r>
      <w:proofErr w:type="spellEnd"/>
      <w:r w:rsidRPr="009E3CEE">
        <w:rPr>
          <w:sz w:val="24"/>
          <w:szCs w:val="24"/>
        </w:rPr>
        <w:t xml:space="preserve"> not difficult to see how they were let through. The fact the underage boys were let through is also very telling of the manpower situation in Britain, with the country facing a manpower crisis. This meant they were desperate to get as many men to the front as they could, despite certain recruits falling below the enlistment age. Although it is a useful source, one noticeable criticism I noticed was the book is only detailing young boys of Britain. It would have been interesting and useful to discover if the situation was similar in America or across other parts of the British Empire.</w:t>
      </w:r>
    </w:p>
    <w:p w14:paraId="3A2A0FB5" w14:textId="443CB31A" w:rsidR="009E3CEE" w:rsidRDefault="009E3CEE" w:rsidP="00A21458">
      <w:pPr>
        <w:jc w:val="center"/>
        <w:rPr>
          <w:sz w:val="28"/>
          <w:szCs w:val="28"/>
          <w:u w:val="single"/>
        </w:rPr>
      </w:pPr>
      <w:r w:rsidRPr="009E3CEE">
        <w:rPr>
          <w:sz w:val="28"/>
          <w:szCs w:val="28"/>
          <w:u w:val="single"/>
        </w:rPr>
        <w:lastRenderedPageBreak/>
        <w:t>Bibliography</w:t>
      </w:r>
    </w:p>
    <w:p w14:paraId="67AFC29C" w14:textId="409EE93F" w:rsidR="00A21458" w:rsidRPr="00A21458" w:rsidRDefault="00A21458" w:rsidP="00A21458">
      <w:pPr>
        <w:rPr>
          <w:sz w:val="24"/>
          <w:szCs w:val="24"/>
          <w:u w:val="single"/>
        </w:rPr>
      </w:pPr>
      <w:r w:rsidRPr="00A21458">
        <w:rPr>
          <w:sz w:val="24"/>
          <w:szCs w:val="24"/>
          <w:u w:val="single"/>
        </w:rPr>
        <w:t>Secondary Sources</w:t>
      </w:r>
    </w:p>
    <w:p w14:paraId="6969408E" w14:textId="77777777" w:rsidR="009E3CEE" w:rsidRPr="009E3CEE" w:rsidRDefault="009E3CEE" w:rsidP="009E3CEE">
      <w:pPr>
        <w:rPr>
          <w:sz w:val="24"/>
          <w:szCs w:val="24"/>
        </w:rPr>
      </w:pPr>
      <w:r w:rsidRPr="009E3CEE">
        <w:rPr>
          <w:sz w:val="24"/>
          <w:szCs w:val="24"/>
        </w:rPr>
        <w:t xml:space="preserve">DeGroot. G, </w:t>
      </w:r>
      <w:r w:rsidRPr="009E3CEE">
        <w:rPr>
          <w:i/>
          <w:iCs/>
          <w:sz w:val="24"/>
          <w:szCs w:val="24"/>
        </w:rPr>
        <w:t>Back in Blighty: The British at Home in World War I</w:t>
      </w:r>
      <w:r w:rsidRPr="009E3CEE">
        <w:rPr>
          <w:sz w:val="24"/>
          <w:szCs w:val="24"/>
        </w:rPr>
        <w:t xml:space="preserve">, Rev. </w:t>
      </w:r>
      <w:proofErr w:type="spellStart"/>
      <w:r w:rsidRPr="009E3CEE">
        <w:rPr>
          <w:sz w:val="24"/>
          <w:szCs w:val="24"/>
        </w:rPr>
        <w:t>edn</w:t>
      </w:r>
      <w:proofErr w:type="spellEnd"/>
      <w:r w:rsidRPr="009E3CEE">
        <w:rPr>
          <w:sz w:val="24"/>
          <w:szCs w:val="24"/>
        </w:rPr>
        <w:t xml:space="preserve"> (London: Vintage UK, 2014).</w:t>
      </w:r>
    </w:p>
    <w:p w14:paraId="6ADF3D91" w14:textId="77777777" w:rsidR="009E3CEE" w:rsidRPr="009E3CEE" w:rsidRDefault="009E3CEE" w:rsidP="009E3CEE">
      <w:pPr>
        <w:rPr>
          <w:sz w:val="24"/>
          <w:szCs w:val="24"/>
        </w:rPr>
      </w:pPr>
      <w:r w:rsidRPr="009E3CEE">
        <w:rPr>
          <w:sz w:val="24"/>
          <w:szCs w:val="24"/>
        </w:rPr>
        <w:t xml:space="preserve">Van Emden. R, </w:t>
      </w:r>
      <w:r w:rsidRPr="009E3CEE">
        <w:rPr>
          <w:i/>
          <w:iCs/>
          <w:sz w:val="24"/>
          <w:szCs w:val="24"/>
        </w:rPr>
        <w:t>Boy Soldiers of the Great War</w:t>
      </w:r>
      <w:r w:rsidRPr="009E3CEE">
        <w:rPr>
          <w:sz w:val="24"/>
          <w:szCs w:val="24"/>
        </w:rPr>
        <w:t xml:space="preserve"> (London: Bloomsbury, 2012). </w:t>
      </w:r>
    </w:p>
    <w:p w14:paraId="4CDF00EB" w14:textId="77777777" w:rsidR="009E3CEE" w:rsidRPr="009E3CEE" w:rsidRDefault="009E3CEE" w:rsidP="009E3CEE">
      <w:pPr>
        <w:rPr>
          <w:sz w:val="24"/>
          <w:szCs w:val="24"/>
        </w:rPr>
      </w:pPr>
      <w:r w:rsidRPr="009E3CEE">
        <w:rPr>
          <w:sz w:val="24"/>
          <w:szCs w:val="24"/>
        </w:rPr>
        <w:t xml:space="preserve">Wadsworth. J, </w:t>
      </w:r>
      <w:r w:rsidRPr="009E3CEE">
        <w:rPr>
          <w:i/>
          <w:iCs/>
          <w:sz w:val="24"/>
          <w:szCs w:val="24"/>
        </w:rPr>
        <w:t>Letters from the Trenches: The First World War by Those Who Were There</w:t>
      </w:r>
      <w:r w:rsidRPr="009E3CEE">
        <w:rPr>
          <w:sz w:val="24"/>
          <w:szCs w:val="24"/>
        </w:rPr>
        <w:t xml:space="preserve"> (Barnsley: Pen &amp; Sword Military, 2014).</w:t>
      </w:r>
    </w:p>
    <w:p w14:paraId="1D12986F" w14:textId="6D6EA28D" w:rsidR="009E3CEE" w:rsidRPr="009E3CEE" w:rsidRDefault="009E3CEE" w:rsidP="00985EDB">
      <w:pPr>
        <w:rPr>
          <w:sz w:val="24"/>
          <w:szCs w:val="24"/>
        </w:rPr>
      </w:pPr>
    </w:p>
    <w:p w14:paraId="485EFF52" w14:textId="7F75CF9E" w:rsidR="009E3CEE" w:rsidRDefault="009E3CEE" w:rsidP="00985EDB">
      <w:pPr>
        <w:rPr>
          <w:sz w:val="24"/>
          <w:szCs w:val="24"/>
        </w:rPr>
      </w:pPr>
    </w:p>
    <w:p w14:paraId="65AAD0A4" w14:textId="65130150" w:rsidR="009E3CEE" w:rsidRDefault="009E3CEE" w:rsidP="00985EDB">
      <w:pPr>
        <w:rPr>
          <w:sz w:val="24"/>
          <w:szCs w:val="24"/>
        </w:rPr>
      </w:pPr>
    </w:p>
    <w:p w14:paraId="25263CD2" w14:textId="46F80733" w:rsidR="009E3CEE" w:rsidRDefault="009E3CEE" w:rsidP="00985EDB">
      <w:pPr>
        <w:rPr>
          <w:sz w:val="24"/>
          <w:szCs w:val="24"/>
        </w:rPr>
      </w:pPr>
    </w:p>
    <w:p w14:paraId="3439113C" w14:textId="0C56FF3F" w:rsidR="009E3CEE" w:rsidRDefault="009E3CEE" w:rsidP="00985EDB">
      <w:pPr>
        <w:rPr>
          <w:sz w:val="24"/>
          <w:szCs w:val="24"/>
        </w:rPr>
      </w:pPr>
    </w:p>
    <w:p w14:paraId="008ABC34" w14:textId="6562BFB9" w:rsidR="009E3CEE" w:rsidRDefault="009E3CEE" w:rsidP="00985EDB">
      <w:pPr>
        <w:rPr>
          <w:sz w:val="24"/>
          <w:szCs w:val="24"/>
        </w:rPr>
      </w:pPr>
    </w:p>
    <w:p w14:paraId="18621C30" w14:textId="06E025AC" w:rsidR="009E3CEE" w:rsidRDefault="009E3CEE" w:rsidP="00985EDB">
      <w:pPr>
        <w:rPr>
          <w:sz w:val="24"/>
          <w:szCs w:val="24"/>
        </w:rPr>
      </w:pPr>
    </w:p>
    <w:p w14:paraId="6011EEDB" w14:textId="2B052A51" w:rsidR="009E3CEE" w:rsidRDefault="009E3CEE" w:rsidP="00985EDB">
      <w:pPr>
        <w:rPr>
          <w:sz w:val="24"/>
          <w:szCs w:val="24"/>
        </w:rPr>
      </w:pPr>
    </w:p>
    <w:p w14:paraId="00352857" w14:textId="12594CF4" w:rsidR="009E3CEE" w:rsidRDefault="009E3CEE" w:rsidP="00985EDB">
      <w:pPr>
        <w:rPr>
          <w:sz w:val="24"/>
          <w:szCs w:val="24"/>
        </w:rPr>
      </w:pPr>
    </w:p>
    <w:p w14:paraId="06E9DABA" w14:textId="77777777" w:rsidR="009E3CEE" w:rsidRPr="00985EDB" w:rsidRDefault="009E3CEE" w:rsidP="00985EDB">
      <w:pPr>
        <w:rPr>
          <w:sz w:val="24"/>
          <w:szCs w:val="24"/>
        </w:rPr>
      </w:pPr>
    </w:p>
    <w:sectPr w:rsidR="009E3CEE" w:rsidRPr="00985EDB" w:rsidSect="00EB5FC1">
      <w:footnotePr>
        <w:numRestart w:val="eachSect"/>
      </w:footnotePr>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4B549D" w14:textId="77777777" w:rsidR="00476E40" w:rsidRDefault="00476E40" w:rsidP="0043750B">
      <w:pPr>
        <w:spacing w:after="0" w:line="240" w:lineRule="auto"/>
      </w:pPr>
      <w:r>
        <w:separator/>
      </w:r>
    </w:p>
  </w:endnote>
  <w:endnote w:type="continuationSeparator" w:id="0">
    <w:p w14:paraId="6A5A8E2D" w14:textId="77777777" w:rsidR="00476E40" w:rsidRDefault="00476E40" w:rsidP="004375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0090098"/>
      <w:docPartObj>
        <w:docPartGallery w:val="Page Numbers (Bottom of Page)"/>
        <w:docPartUnique/>
      </w:docPartObj>
    </w:sdtPr>
    <w:sdtEndPr>
      <w:rPr>
        <w:noProof/>
      </w:rPr>
    </w:sdtEndPr>
    <w:sdtContent>
      <w:p w14:paraId="501A05F0" w14:textId="0FD1F983" w:rsidR="003714F8" w:rsidRDefault="003714F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B629FD7" w14:textId="77777777" w:rsidR="003714F8" w:rsidRDefault="003714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D56C56" w14:textId="77777777" w:rsidR="00476E40" w:rsidRDefault="00476E40" w:rsidP="0043750B">
      <w:pPr>
        <w:spacing w:after="0" w:line="240" w:lineRule="auto"/>
      </w:pPr>
      <w:r>
        <w:separator/>
      </w:r>
    </w:p>
  </w:footnote>
  <w:footnote w:type="continuationSeparator" w:id="0">
    <w:p w14:paraId="1AA1E8DF" w14:textId="77777777" w:rsidR="00476E40" w:rsidRDefault="00476E40" w:rsidP="0043750B">
      <w:pPr>
        <w:spacing w:after="0" w:line="240" w:lineRule="auto"/>
      </w:pPr>
      <w:r>
        <w:continuationSeparator/>
      </w:r>
    </w:p>
  </w:footnote>
  <w:footnote w:id="1">
    <w:p w14:paraId="798769DC" w14:textId="77777777" w:rsidR="0043750B" w:rsidRDefault="0043750B">
      <w:pPr>
        <w:pStyle w:val="FootnoteText"/>
      </w:pPr>
      <w:r>
        <w:rPr>
          <w:rStyle w:val="FootnoteReference"/>
        </w:rPr>
        <w:footnoteRef/>
      </w:r>
      <w:r>
        <w:t xml:space="preserve"> </w:t>
      </w:r>
      <w:bookmarkStart w:id="0" w:name="_Hlk24634751"/>
      <w:r w:rsidR="00816937">
        <w:t>Richard Gilson</w:t>
      </w:r>
      <w:r w:rsidRPr="0043750B">
        <w:t xml:space="preserve">, </w:t>
      </w:r>
      <w:r w:rsidRPr="0043750B">
        <w:rPr>
          <w:i/>
          <w:iCs/>
        </w:rPr>
        <w:t>They Were Mostly Boys</w:t>
      </w:r>
      <w:r w:rsidRPr="0043750B">
        <w:t xml:space="preserve"> (2019) &lt;https://www.nationalarchives.gov.uk/education/resources/letters-first-world-war-1915/trenches-mostly-mere-boys/&gt; [accessed 10 November 2019].</w:t>
      </w:r>
    </w:p>
    <w:bookmarkEnd w:id="0"/>
  </w:footnote>
  <w:footnote w:id="2">
    <w:p w14:paraId="5AF5181A" w14:textId="77777777" w:rsidR="00A25442" w:rsidRDefault="00A25442">
      <w:pPr>
        <w:pStyle w:val="FootnoteText"/>
      </w:pPr>
      <w:r>
        <w:rPr>
          <w:rStyle w:val="FootnoteReference"/>
        </w:rPr>
        <w:footnoteRef/>
      </w:r>
      <w:r>
        <w:t xml:space="preserve"> </w:t>
      </w:r>
      <w:r w:rsidRPr="00A25442">
        <w:t xml:space="preserve">Network Rail, </w:t>
      </w:r>
      <w:r w:rsidRPr="00A25442">
        <w:rPr>
          <w:i/>
          <w:iCs/>
        </w:rPr>
        <w:t>WWI and the railway</w:t>
      </w:r>
      <w:r w:rsidRPr="00A25442">
        <w:t xml:space="preserve"> (2019) &lt;https://www.networkrail.co.uk/stories/wwi-and-the-railway/&gt; [accessed 11 November 2019].</w:t>
      </w:r>
    </w:p>
  </w:footnote>
  <w:footnote w:id="3">
    <w:p w14:paraId="07AA8EF7" w14:textId="77777777" w:rsidR="004E5C94" w:rsidRPr="004E5C94" w:rsidRDefault="004E5C94">
      <w:pPr>
        <w:pStyle w:val="FootnoteText"/>
        <w:rPr>
          <w:i/>
          <w:iCs/>
        </w:rPr>
      </w:pPr>
      <w:r>
        <w:rPr>
          <w:rStyle w:val="FootnoteReference"/>
        </w:rPr>
        <w:footnoteRef/>
      </w:r>
      <w:r>
        <w:t xml:space="preserve"> </w:t>
      </w:r>
      <w:r w:rsidR="00816937">
        <w:t>R. Gilson</w:t>
      </w:r>
      <w:r>
        <w:t xml:space="preserve">, </w:t>
      </w:r>
      <w:r>
        <w:rPr>
          <w:i/>
          <w:iCs/>
        </w:rPr>
        <w:t>Mostly Boys.</w:t>
      </w:r>
    </w:p>
  </w:footnote>
  <w:footnote w:id="4">
    <w:p w14:paraId="353B5453" w14:textId="77777777" w:rsidR="00582886" w:rsidRDefault="00582886">
      <w:pPr>
        <w:pStyle w:val="FootnoteText"/>
      </w:pPr>
      <w:r>
        <w:rPr>
          <w:rStyle w:val="FootnoteReference"/>
        </w:rPr>
        <w:footnoteRef/>
      </w:r>
      <w:r>
        <w:t xml:space="preserve"> </w:t>
      </w:r>
      <w:bookmarkStart w:id="1" w:name="_Hlk24635017"/>
      <w:r w:rsidRPr="00582886">
        <w:t xml:space="preserve">Eric Hobsbawm, </w:t>
      </w:r>
      <w:r w:rsidRPr="00582886">
        <w:rPr>
          <w:i/>
          <w:iCs/>
        </w:rPr>
        <w:t>The Age of Extremes: 1914-1991</w:t>
      </w:r>
      <w:r w:rsidRPr="00582886">
        <w:t xml:space="preserve"> (London: Abacus, 1995),</w:t>
      </w:r>
      <w:bookmarkEnd w:id="1"/>
      <w:r w:rsidRPr="00582886">
        <w:t xml:space="preserve"> p. 25.</w:t>
      </w:r>
    </w:p>
  </w:footnote>
  <w:footnote w:id="5">
    <w:p w14:paraId="0CA7E8E7" w14:textId="5B17454C" w:rsidR="0001665E" w:rsidRDefault="0001665E">
      <w:pPr>
        <w:pStyle w:val="FootnoteText"/>
      </w:pPr>
      <w:r>
        <w:rPr>
          <w:rStyle w:val="FootnoteReference"/>
        </w:rPr>
        <w:footnoteRef/>
      </w:r>
      <w:r>
        <w:t xml:space="preserve"> </w:t>
      </w:r>
      <w:bookmarkStart w:id="2" w:name="_Hlk24702692"/>
      <w:r w:rsidRPr="0001665E">
        <w:t xml:space="preserve">Gerard DeGroot, </w:t>
      </w:r>
      <w:r w:rsidRPr="0001665E">
        <w:rPr>
          <w:i/>
          <w:iCs/>
        </w:rPr>
        <w:t>Back in Blighty: The British at Home in World War I</w:t>
      </w:r>
      <w:r w:rsidRPr="0001665E">
        <w:t>,</w:t>
      </w:r>
      <w:r w:rsidR="00A21458">
        <w:t xml:space="preserve"> </w:t>
      </w:r>
      <w:r w:rsidR="00976524">
        <w:t>Rev.</w:t>
      </w:r>
      <w:r>
        <w:t xml:space="preserve"> </w:t>
      </w:r>
      <w:proofErr w:type="spellStart"/>
      <w:r w:rsidRPr="0001665E">
        <w:t>edn</w:t>
      </w:r>
      <w:proofErr w:type="spellEnd"/>
      <w:r w:rsidRPr="0001665E">
        <w:t xml:space="preserve"> (London: Vintage UK, 2014), p. 223.</w:t>
      </w:r>
      <w:bookmarkEnd w:id="2"/>
    </w:p>
  </w:footnote>
  <w:footnote w:id="6">
    <w:p w14:paraId="209E9619" w14:textId="77777777" w:rsidR="00322554" w:rsidRDefault="00322554">
      <w:pPr>
        <w:pStyle w:val="FootnoteText"/>
      </w:pPr>
      <w:r>
        <w:rPr>
          <w:rStyle w:val="FootnoteReference"/>
        </w:rPr>
        <w:footnoteRef/>
      </w:r>
      <w:r>
        <w:t xml:space="preserve"> </w:t>
      </w:r>
      <w:bookmarkStart w:id="3" w:name="_Hlk24634879"/>
      <w:bookmarkStart w:id="4" w:name="_Hlk24716703"/>
      <w:r>
        <w:t xml:space="preserve">Richard van Emden, </w:t>
      </w:r>
      <w:r w:rsidRPr="00322554">
        <w:rPr>
          <w:i/>
          <w:iCs/>
        </w:rPr>
        <w:t>Boy Soldiers of the Great War</w:t>
      </w:r>
      <w:r w:rsidRPr="00322554">
        <w:t xml:space="preserve"> (London: Bloomsbury, 2012), </w:t>
      </w:r>
      <w:bookmarkEnd w:id="3"/>
      <w:r w:rsidRPr="00322554">
        <w:t>p. 4</w:t>
      </w:r>
      <w:r>
        <w:t>3.</w:t>
      </w:r>
      <w:bookmarkEnd w:id="4"/>
    </w:p>
  </w:footnote>
  <w:footnote w:id="7">
    <w:p w14:paraId="7EF10F0D" w14:textId="77777777" w:rsidR="0020791B" w:rsidRDefault="0020791B">
      <w:pPr>
        <w:pStyle w:val="FootnoteText"/>
      </w:pPr>
      <w:r>
        <w:rPr>
          <w:rStyle w:val="FootnoteReference"/>
        </w:rPr>
        <w:footnoteRef/>
      </w:r>
      <w:r>
        <w:t xml:space="preserve"> </w:t>
      </w:r>
      <w:r w:rsidRPr="0020791B">
        <w:t>R</w:t>
      </w:r>
      <w:r w:rsidR="00322554">
        <w:t>.</w:t>
      </w:r>
      <w:r w:rsidRPr="0020791B">
        <w:t xml:space="preserve"> van Emden, </w:t>
      </w:r>
      <w:bookmarkStart w:id="5" w:name="_Hlk24618546"/>
      <w:r w:rsidRPr="0020791B">
        <w:rPr>
          <w:i/>
          <w:iCs/>
        </w:rPr>
        <w:t>Boy Soldiers</w:t>
      </w:r>
      <w:r w:rsidR="00A54C60">
        <w:t>,</w:t>
      </w:r>
      <w:r w:rsidRPr="0020791B">
        <w:rPr>
          <w:i/>
          <w:iCs/>
        </w:rPr>
        <w:t xml:space="preserve"> </w:t>
      </w:r>
      <w:r w:rsidRPr="0020791B">
        <w:t>p. 49</w:t>
      </w:r>
      <w:bookmarkEnd w:id="5"/>
      <w:r w:rsidRPr="0020791B">
        <w:t>.</w:t>
      </w:r>
    </w:p>
  </w:footnote>
  <w:footnote w:id="8">
    <w:p w14:paraId="00DB5AFD" w14:textId="77777777" w:rsidR="00455DB7" w:rsidRDefault="00455DB7">
      <w:pPr>
        <w:pStyle w:val="FootnoteText"/>
      </w:pPr>
      <w:r>
        <w:rPr>
          <w:rStyle w:val="FootnoteReference"/>
        </w:rPr>
        <w:footnoteRef/>
      </w:r>
      <w:r>
        <w:t xml:space="preserve"> </w:t>
      </w:r>
      <w:bookmarkStart w:id="6" w:name="_Hlk24635085"/>
      <w:r w:rsidRPr="00455DB7">
        <w:t xml:space="preserve">Jacqueline Wadsworth, </w:t>
      </w:r>
      <w:r w:rsidRPr="00455DB7">
        <w:rPr>
          <w:i/>
          <w:iCs/>
        </w:rPr>
        <w:t>Letters from the Trenches: The First World War by Those Who Were There</w:t>
      </w:r>
      <w:r w:rsidRPr="00455DB7">
        <w:t xml:space="preserve"> (Barnsley: Pen &amp; Sword Military, 2014)</w:t>
      </w:r>
      <w:bookmarkEnd w:id="6"/>
      <w:r w:rsidRPr="00455DB7">
        <w:t>, p. 69.</w:t>
      </w:r>
    </w:p>
  </w:footnote>
  <w:footnote w:id="9">
    <w:p w14:paraId="450508CA" w14:textId="26CA5B7D" w:rsidR="00072294" w:rsidRDefault="00072294">
      <w:pPr>
        <w:pStyle w:val="FootnoteText"/>
      </w:pPr>
      <w:r>
        <w:rPr>
          <w:rStyle w:val="FootnoteReference"/>
        </w:rPr>
        <w:footnoteRef/>
      </w:r>
      <w:r>
        <w:t xml:space="preserve"> </w:t>
      </w:r>
      <w:r w:rsidRPr="00072294">
        <w:t xml:space="preserve">Correspondent, 'Battle of the Somme. All Still Going Well', </w:t>
      </w:r>
      <w:r w:rsidRPr="00072294">
        <w:rPr>
          <w:i/>
          <w:iCs/>
        </w:rPr>
        <w:t xml:space="preserve">Belfast News Letter, </w:t>
      </w:r>
      <w:r w:rsidRPr="00072294">
        <w:t>2 July 1916, p.1.</w:t>
      </w:r>
    </w:p>
  </w:footnote>
  <w:footnote w:id="10">
    <w:p w14:paraId="6D2F190D" w14:textId="77777777" w:rsidR="00351EDC" w:rsidRDefault="00351EDC">
      <w:pPr>
        <w:pStyle w:val="FootnoteText"/>
      </w:pPr>
      <w:r>
        <w:rPr>
          <w:rStyle w:val="FootnoteReference"/>
        </w:rPr>
        <w:footnoteRef/>
      </w:r>
      <w:r>
        <w:t xml:space="preserve"> Wadsworth, </w:t>
      </w:r>
      <w:r w:rsidRPr="00351EDC">
        <w:rPr>
          <w:i/>
          <w:iCs/>
        </w:rPr>
        <w:t>Letters from the Trenches</w:t>
      </w:r>
      <w:r>
        <w:t>, p. 73.</w:t>
      </w:r>
    </w:p>
  </w:footnote>
  <w:footnote w:id="11">
    <w:p w14:paraId="42E10899" w14:textId="77777777" w:rsidR="00285C01" w:rsidRPr="00285C01" w:rsidRDefault="00285C01" w:rsidP="00285C01">
      <w:pPr>
        <w:pStyle w:val="FootnoteText"/>
      </w:pPr>
      <w:r>
        <w:rPr>
          <w:rStyle w:val="FootnoteReference"/>
        </w:rPr>
        <w:footnoteRef/>
      </w:r>
      <w:r>
        <w:t xml:space="preserve"> </w:t>
      </w:r>
      <w:r w:rsidRPr="00285C01">
        <w:t>J</w:t>
      </w:r>
      <w:r w:rsidR="00C032D9">
        <w:t xml:space="preserve">ack </w:t>
      </w:r>
      <w:r w:rsidRPr="00285C01">
        <w:t xml:space="preserve">Symons, </w:t>
      </w:r>
      <w:r w:rsidRPr="00285C01">
        <w:rPr>
          <w:i/>
          <w:iCs/>
        </w:rPr>
        <w:t>Trenches: 'up to our knees in water'</w:t>
      </w:r>
      <w:r w:rsidRPr="00285C01">
        <w:t xml:space="preserve"> (2019) &lt;https://www.nationalarchives.gov.uk/education/resources/letters-first-world-war-1915/trenches-knees-water/&gt; [accessed 13 November 2019].</w:t>
      </w:r>
    </w:p>
    <w:p w14:paraId="4E13BF9B" w14:textId="77777777" w:rsidR="00285C01" w:rsidRDefault="00285C01">
      <w:pPr>
        <w:pStyle w:val="FootnoteText"/>
      </w:pPr>
    </w:p>
  </w:footnote>
  <w:footnote w:id="12">
    <w:p w14:paraId="0B87D8B7" w14:textId="77777777" w:rsidR="009E3CEE" w:rsidRDefault="009E3CEE" w:rsidP="009E3CEE">
      <w:pPr>
        <w:pStyle w:val="FootnoteText"/>
      </w:pPr>
      <w:r>
        <w:rPr>
          <w:rStyle w:val="FootnoteReference"/>
        </w:rPr>
        <w:footnoteRef/>
      </w:r>
      <w:r>
        <w:t xml:space="preserve"> Gerard </w:t>
      </w:r>
      <w:r w:rsidRPr="00867BED">
        <w:t>DeGroot</w:t>
      </w:r>
      <w:r>
        <w:t>,</w:t>
      </w:r>
      <w:r w:rsidRPr="00867BED">
        <w:t xml:space="preserve"> </w:t>
      </w:r>
      <w:r w:rsidRPr="00867BED">
        <w:rPr>
          <w:i/>
          <w:iCs/>
        </w:rPr>
        <w:t>Back in Blighty: The British at Home in World War I</w:t>
      </w:r>
      <w:r w:rsidRPr="00867BED">
        <w:t xml:space="preserve">, Rev. </w:t>
      </w:r>
      <w:proofErr w:type="spellStart"/>
      <w:r w:rsidRPr="00867BED">
        <w:t>edn</w:t>
      </w:r>
      <w:proofErr w:type="spellEnd"/>
      <w:r w:rsidRPr="00867BED">
        <w:t xml:space="preserve"> (London: Vintage UK, 2014)</w:t>
      </w:r>
      <w:r>
        <w:t>, p. 368.</w:t>
      </w:r>
    </w:p>
  </w:footnote>
  <w:footnote w:id="13">
    <w:p w14:paraId="75919C60" w14:textId="77777777" w:rsidR="009E3CEE" w:rsidRDefault="009E3CEE" w:rsidP="009E3CEE">
      <w:pPr>
        <w:pStyle w:val="FootnoteText"/>
      </w:pPr>
      <w:r>
        <w:rPr>
          <w:rStyle w:val="FootnoteReference"/>
        </w:rPr>
        <w:footnoteRef/>
      </w:r>
      <w:r>
        <w:t xml:space="preserve"> G. DeGroot, </w:t>
      </w:r>
      <w:r w:rsidRPr="00A83584">
        <w:rPr>
          <w:i/>
          <w:iCs/>
        </w:rPr>
        <w:t>Back in Blighty</w:t>
      </w:r>
      <w:r>
        <w:t>, p. 215.</w:t>
      </w:r>
    </w:p>
  </w:footnote>
  <w:footnote w:id="14">
    <w:p w14:paraId="6E28FC0B" w14:textId="77777777" w:rsidR="009E3CEE" w:rsidRDefault="009E3CEE" w:rsidP="009E3CEE">
      <w:pPr>
        <w:pStyle w:val="FootnoteText"/>
      </w:pPr>
      <w:r>
        <w:rPr>
          <w:rStyle w:val="FootnoteReference"/>
        </w:rPr>
        <w:footnoteRef/>
      </w:r>
      <w:r>
        <w:t xml:space="preserve">Jacqueline </w:t>
      </w:r>
      <w:r w:rsidRPr="00205F1A">
        <w:t>Wadsworth</w:t>
      </w:r>
      <w:r>
        <w:t>,</w:t>
      </w:r>
      <w:r w:rsidRPr="00205F1A">
        <w:t xml:space="preserve"> </w:t>
      </w:r>
      <w:r w:rsidRPr="00205F1A">
        <w:rPr>
          <w:i/>
          <w:iCs/>
        </w:rPr>
        <w:t>Letters from the Trenches: The First World War by Those Who Were There</w:t>
      </w:r>
      <w:r w:rsidRPr="00205F1A">
        <w:t xml:space="preserve"> (Barnsley: Pen &amp; Sword Military, 2014)</w:t>
      </w:r>
      <w:r>
        <w:t>, p. 35.</w:t>
      </w:r>
    </w:p>
  </w:footnote>
  <w:footnote w:id="15">
    <w:p w14:paraId="355A24DD" w14:textId="77777777" w:rsidR="009E3CEE" w:rsidRDefault="009E3CEE" w:rsidP="009E3CEE">
      <w:pPr>
        <w:pStyle w:val="FootnoteText"/>
      </w:pPr>
      <w:r>
        <w:rPr>
          <w:rStyle w:val="FootnoteReference"/>
        </w:rPr>
        <w:footnoteRef/>
      </w:r>
      <w:r>
        <w:t xml:space="preserve"> Wadsworth, </w:t>
      </w:r>
      <w:r w:rsidRPr="002F22F2">
        <w:rPr>
          <w:i/>
          <w:iCs/>
        </w:rPr>
        <w:t>Letters from the Trenches</w:t>
      </w:r>
      <w:r>
        <w:t>, p. 155.</w:t>
      </w:r>
    </w:p>
  </w:footnote>
  <w:footnote w:id="16">
    <w:p w14:paraId="611ED161" w14:textId="77777777" w:rsidR="009E3CEE" w:rsidRDefault="009E3CEE" w:rsidP="009E3CEE">
      <w:pPr>
        <w:pStyle w:val="FootnoteText"/>
      </w:pPr>
      <w:r>
        <w:rPr>
          <w:rStyle w:val="FootnoteReference"/>
        </w:rPr>
        <w:footnoteRef/>
      </w:r>
      <w:r>
        <w:t xml:space="preserve"> Richard v</w:t>
      </w:r>
      <w:r w:rsidRPr="003E640C">
        <w:t xml:space="preserve">an Emden, </w:t>
      </w:r>
      <w:r w:rsidRPr="003E640C">
        <w:rPr>
          <w:i/>
          <w:iCs/>
        </w:rPr>
        <w:t>Boy Soldiers of the Great War</w:t>
      </w:r>
      <w:r w:rsidRPr="003E640C">
        <w:t xml:space="preserve"> (London: Bloomsbury, 2012)</w:t>
      </w:r>
      <w:r>
        <w:t>, p. 10.</w:t>
      </w:r>
      <w:r w:rsidRPr="003E640C">
        <w:t xml:space="preserve"> </w:t>
      </w:r>
    </w:p>
  </w:footnote>
  <w:footnote w:id="17">
    <w:p w14:paraId="76536C66" w14:textId="77777777" w:rsidR="009E3CEE" w:rsidRDefault="009E3CEE" w:rsidP="009E3CEE">
      <w:pPr>
        <w:pStyle w:val="FootnoteText"/>
      </w:pPr>
      <w:r>
        <w:rPr>
          <w:rStyle w:val="FootnoteReference"/>
        </w:rPr>
        <w:footnoteRef/>
      </w:r>
      <w:r>
        <w:t xml:space="preserve"> Van Emden, </w:t>
      </w:r>
      <w:r w:rsidRPr="00156642">
        <w:rPr>
          <w:i/>
          <w:iCs/>
        </w:rPr>
        <w:t>Boy Soldiers</w:t>
      </w:r>
      <w:r>
        <w:t>, p. 168.</w:t>
      </w:r>
      <w:bookmarkStart w:id="8" w:name="_GoBack"/>
      <w:bookmarkEnd w:id="8"/>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5EDB"/>
    <w:rsid w:val="0000306B"/>
    <w:rsid w:val="0001665E"/>
    <w:rsid w:val="00072294"/>
    <w:rsid w:val="000B7852"/>
    <w:rsid w:val="00121404"/>
    <w:rsid w:val="0016422A"/>
    <w:rsid w:val="001C1D8B"/>
    <w:rsid w:val="0020791B"/>
    <w:rsid w:val="00210CE1"/>
    <w:rsid w:val="00285C01"/>
    <w:rsid w:val="002A2FC7"/>
    <w:rsid w:val="002C2ECF"/>
    <w:rsid w:val="002F78D5"/>
    <w:rsid w:val="00322554"/>
    <w:rsid w:val="0032676C"/>
    <w:rsid w:val="00351EDC"/>
    <w:rsid w:val="00360997"/>
    <w:rsid w:val="0036637F"/>
    <w:rsid w:val="003714F8"/>
    <w:rsid w:val="003905D1"/>
    <w:rsid w:val="0039165A"/>
    <w:rsid w:val="003B44D7"/>
    <w:rsid w:val="003F4196"/>
    <w:rsid w:val="003F7D6E"/>
    <w:rsid w:val="004070F9"/>
    <w:rsid w:val="00421A0E"/>
    <w:rsid w:val="0043750B"/>
    <w:rsid w:val="0045142B"/>
    <w:rsid w:val="00455DB7"/>
    <w:rsid w:val="00463993"/>
    <w:rsid w:val="00476E40"/>
    <w:rsid w:val="004E5C94"/>
    <w:rsid w:val="00537693"/>
    <w:rsid w:val="00582886"/>
    <w:rsid w:val="005E26CD"/>
    <w:rsid w:val="007058DC"/>
    <w:rsid w:val="00816937"/>
    <w:rsid w:val="008812D1"/>
    <w:rsid w:val="008859B6"/>
    <w:rsid w:val="008A22B7"/>
    <w:rsid w:val="00976524"/>
    <w:rsid w:val="00985EDB"/>
    <w:rsid w:val="009C5388"/>
    <w:rsid w:val="009E3CEE"/>
    <w:rsid w:val="00A21458"/>
    <w:rsid w:val="00A25442"/>
    <w:rsid w:val="00A31023"/>
    <w:rsid w:val="00A54C60"/>
    <w:rsid w:val="00A708E3"/>
    <w:rsid w:val="00A73BCE"/>
    <w:rsid w:val="00AC106B"/>
    <w:rsid w:val="00AF4782"/>
    <w:rsid w:val="00B5608E"/>
    <w:rsid w:val="00BB1727"/>
    <w:rsid w:val="00BC482B"/>
    <w:rsid w:val="00C032D9"/>
    <w:rsid w:val="00C13D91"/>
    <w:rsid w:val="00C27461"/>
    <w:rsid w:val="00C561EE"/>
    <w:rsid w:val="00CB74E1"/>
    <w:rsid w:val="00CC0E71"/>
    <w:rsid w:val="00CD1AF9"/>
    <w:rsid w:val="00CF228B"/>
    <w:rsid w:val="00D271E1"/>
    <w:rsid w:val="00D321B5"/>
    <w:rsid w:val="00D344F1"/>
    <w:rsid w:val="00D900DC"/>
    <w:rsid w:val="00DD3798"/>
    <w:rsid w:val="00DF034B"/>
    <w:rsid w:val="00E1492A"/>
    <w:rsid w:val="00E96F42"/>
    <w:rsid w:val="00EB5FC1"/>
    <w:rsid w:val="00F50DAD"/>
    <w:rsid w:val="00F75431"/>
    <w:rsid w:val="00F95AF7"/>
    <w:rsid w:val="00FA36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C6A0170"/>
  <w15:chartTrackingRefBased/>
  <w15:docId w15:val="{07630E72-2503-48CC-AC2E-AC4BCF7CEC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3750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3750B"/>
    <w:rPr>
      <w:sz w:val="20"/>
      <w:szCs w:val="20"/>
    </w:rPr>
  </w:style>
  <w:style w:type="character" w:styleId="FootnoteReference">
    <w:name w:val="footnote reference"/>
    <w:basedOn w:val="DefaultParagraphFont"/>
    <w:uiPriority w:val="99"/>
    <w:semiHidden/>
    <w:unhideWhenUsed/>
    <w:rsid w:val="0043750B"/>
    <w:rPr>
      <w:vertAlign w:val="superscript"/>
    </w:rPr>
  </w:style>
  <w:style w:type="paragraph" w:styleId="Header">
    <w:name w:val="header"/>
    <w:basedOn w:val="Normal"/>
    <w:link w:val="HeaderChar"/>
    <w:uiPriority w:val="99"/>
    <w:unhideWhenUsed/>
    <w:rsid w:val="003714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14F8"/>
  </w:style>
  <w:style w:type="paragraph" w:styleId="Footer">
    <w:name w:val="footer"/>
    <w:basedOn w:val="Normal"/>
    <w:link w:val="FooterChar"/>
    <w:uiPriority w:val="99"/>
    <w:unhideWhenUsed/>
    <w:rsid w:val="003714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14F8"/>
  </w:style>
  <w:style w:type="character" w:styleId="Hyperlink">
    <w:name w:val="Hyperlink"/>
    <w:basedOn w:val="DefaultParagraphFont"/>
    <w:uiPriority w:val="99"/>
    <w:unhideWhenUsed/>
    <w:rsid w:val="00C13D91"/>
    <w:rPr>
      <w:color w:val="0563C1" w:themeColor="hyperlink"/>
      <w:u w:val="single"/>
    </w:rPr>
  </w:style>
  <w:style w:type="character" w:styleId="UnresolvedMention">
    <w:name w:val="Unresolved Mention"/>
    <w:basedOn w:val="DefaultParagraphFont"/>
    <w:uiPriority w:val="99"/>
    <w:semiHidden/>
    <w:unhideWhenUsed/>
    <w:rsid w:val="00C13D91"/>
    <w:rPr>
      <w:color w:val="605E5C"/>
      <w:shd w:val="clear" w:color="auto" w:fill="E1DFDD"/>
    </w:rPr>
  </w:style>
  <w:style w:type="paragraph" w:styleId="EndnoteText">
    <w:name w:val="endnote text"/>
    <w:basedOn w:val="Normal"/>
    <w:link w:val="EndnoteTextChar"/>
    <w:uiPriority w:val="99"/>
    <w:semiHidden/>
    <w:unhideWhenUsed/>
    <w:rsid w:val="00EB5FC1"/>
    <w:pPr>
      <w:spacing w:after="0" w:line="240" w:lineRule="auto"/>
    </w:pPr>
    <w:rPr>
      <w:sz w:val="20"/>
      <w:szCs w:val="20"/>
    </w:rPr>
  </w:style>
  <w:style w:type="character" w:customStyle="1" w:styleId="EndnoteTextChar">
    <w:name w:val="Endnote Text Char"/>
    <w:basedOn w:val="DefaultParagraphFont"/>
    <w:link w:val="EndnoteText"/>
    <w:uiPriority w:val="99"/>
    <w:semiHidden/>
    <w:rsid w:val="00EB5FC1"/>
    <w:rPr>
      <w:sz w:val="20"/>
      <w:szCs w:val="20"/>
    </w:rPr>
  </w:style>
  <w:style w:type="character" w:styleId="EndnoteReference">
    <w:name w:val="endnote reference"/>
    <w:basedOn w:val="DefaultParagraphFont"/>
    <w:uiPriority w:val="99"/>
    <w:semiHidden/>
    <w:unhideWhenUsed/>
    <w:rsid w:val="00EB5FC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117924">
      <w:bodyDiv w:val="1"/>
      <w:marLeft w:val="0"/>
      <w:marRight w:val="0"/>
      <w:marTop w:val="0"/>
      <w:marBottom w:val="0"/>
      <w:divBdr>
        <w:top w:val="none" w:sz="0" w:space="0" w:color="auto"/>
        <w:left w:val="none" w:sz="0" w:space="0" w:color="auto"/>
        <w:bottom w:val="none" w:sz="0" w:space="0" w:color="auto"/>
        <w:right w:val="none" w:sz="0" w:space="0" w:color="auto"/>
      </w:divBdr>
    </w:div>
    <w:div w:id="559023042">
      <w:bodyDiv w:val="1"/>
      <w:marLeft w:val="0"/>
      <w:marRight w:val="0"/>
      <w:marTop w:val="0"/>
      <w:marBottom w:val="0"/>
      <w:divBdr>
        <w:top w:val="none" w:sz="0" w:space="0" w:color="auto"/>
        <w:left w:val="none" w:sz="0" w:space="0" w:color="auto"/>
        <w:bottom w:val="none" w:sz="0" w:space="0" w:color="auto"/>
        <w:right w:val="none" w:sz="0" w:space="0" w:color="auto"/>
      </w:divBdr>
    </w:div>
    <w:div w:id="755979336">
      <w:bodyDiv w:val="1"/>
      <w:marLeft w:val="0"/>
      <w:marRight w:val="0"/>
      <w:marTop w:val="0"/>
      <w:marBottom w:val="0"/>
      <w:divBdr>
        <w:top w:val="none" w:sz="0" w:space="0" w:color="auto"/>
        <w:left w:val="none" w:sz="0" w:space="0" w:color="auto"/>
        <w:bottom w:val="none" w:sz="0" w:space="0" w:color="auto"/>
        <w:right w:val="none" w:sz="0" w:space="0" w:color="auto"/>
      </w:divBdr>
    </w:div>
    <w:div w:id="910115246">
      <w:bodyDiv w:val="1"/>
      <w:marLeft w:val="0"/>
      <w:marRight w:val="0"/>
      <w:marTop w:val="0"/>
      <w:marBottom w:val="0"/>
      <w:divBdr>
        <w:top w:val="none" w:sz="0" w:space="0" w:color="auto"/>
        <w:left w:val="none" w:sz="0" w:space="0" w:color="auto"/>
        <w:bottom w:val="none" w:sz="0" w:space="0" w:color="auto"/>
        <w:right w:val="none" w:sz="0" w:space="0" w:color="auto"/>
      </w:divBdr>
    </w:div>
    <w:div w:id="938293729">
      <w:bodyDiv w:val="1"/>
      <w:marLeft w:val="0"/>
      <w:marRight w:val="0"/>
      <w:marTop w:val="0"/>
      <w:marBottom w:val="0"/>
      <w:divBdr>
        <w:top w:val="none" w:sz="0" w:space="0" w:color="auto"/>
        <w:left w:val="none" w:sz="0" w:space="0" w:color="auto"/>
        <w:bottom w:val="none" w:sz="0" w:space="0" w:color="auto"/>
        <w:right w:val="none" w:sz="0" w:space="0" w:color="auto"/>
      </w:divBdr>
    </w:div>
    <w:div w:id="989095431">
      <w:bodyDiv w:val="1"/>
      <w:marLeft w:val="0"/>
      <w:marRight w:val="0"/>
      <w:marTop w:val="0"/>
      <w:marBottom w:val="0"/>
      <w:divBdr>
        <w:top w:val="none" w:sz="0" w:space="0" w:color="auto"/>
        <w:left w:val="none" w:sz="0" w:space="0" w:color="auto"/>
        <w:bottom w:val="none" w:sz="0" w:space="0" w:color="auto"/>
        <w:right w:val="none" w:sz="0" w:space="0" w:color="auto"/>
      </w:divBdr>
    </w:div>
    <w:div w:id="1493058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8D9D7AF-3D4A-4CEF-90D2-F1C6828600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2447</Words>
  <Characters>13952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Griffiths</dc:creator>
  <cp:keywords/>
  <dc:description/>
  <cp:lastModifiedBy>Chris Griffiths</cp:lastModifiedBy>
  <cp:revision>50</cp:revision>
  <dcterms:created xsi:type="dcterms:W3CDTF">2019-11-13T10:21:00Z</dcterms:created>
  <dcterms:modified xsi:type="dcterms:W3CDTF">2019-11-15T17:50:00Z</dcterms:modified>
</cp:coreProperties>
</file>