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E1C4" w14:textId="77777777" w:rsidR="00166772" w:rsidRDefault="00166772" w:rsidP="008B6E5C">
      <w:pPr>
        <w:ind w:left="1440" w:hanging="720"/>
        <w:jc w:val="both"/>
      </w:pPr>
    </w:p>
    <w:p w14:paraId="05FE7A70" w14:textId="77777777" w:rsidR="008965F9" w:rsidRDefault="008965F9" w:rsidP="008B6E5C">
      <w:pPr>
        <w:ind w:left="1440" w:hanging="720"/>
        <w:jc w:val="both"/>
      </w:pPr>
    </w:p>
    <w:p w14:paraId="6F9B183B" w14:textId="77777777" w:rsidR="008965F9" w:rsidRDefault="008965F9" w:rsidP="008B6E5C">
      <w:pPr>
        <w:ind w:left="1440" w:hanging="720"/>
        <w:jc w:val="both"/>
      </w:pPr>
    </w:p>
    <w:p w14:paraId="35FE3A1C" w14:textId="77777777" w:rsidR="008965F9" w:rsidRDefault="008965F9" w:rsidP="008B6E5C">
      <w:pPr>
        <w:ind w:left="1440" w:hanging="720"/>
        <w:jc w:val="both"/>
      </w:pPr>
    </w:p>
    <w:p w14:paraId="4FFBF2B9" w14:textId="77777777" w:rsidR="008965F9" w:rsidRDefault="008965F9" w:rsidP="008B6E5C">
      <w:pPr>
        <w:ind w:left="1440" w:hanging="720"/>
        <w:jc w:val="both"/>
      </w:pPr>
    </w:p>
    <w:p w14:paraId="5C273AE0" w14:textId="77777777" w:rsidR="008965F9" w:rsidRDefault="008965F9" w:rsidP="008B6E5C">
      <w:pPr>
        <w:ind w:left="1440" w:hanging="720"/>
        <w:jc w:val="both"/>
      </w:pPr>
    </w:p>
    <w:p w14:paraId="74D17FE4" w14:textId="77777777" w:rsidR="008965F9" w:rsidRDefault="008965F9" w:rsidP="008B6E5C">
      <w:pPr>
        <w:ind w:left="1440" w:hanging="720"/>
        <w:jc w:val="both"/>
      </w:pPr>
    </w:p>
    <w:p w14:paraId="2610997E" w14:textId="77777777" w:rsidR="00166772" w:rsidRDefault="00166772" w:rsidP="008B6E5C">
      <w:pPr>
        <w:ind w:left="1440" w:hanging="720"/>
        <w:jc w:val="both"/>
      </w:pPr>
    </w:p>
    <w:p w14:paraId="74F1D9A5" w14:textId="77777777" w:rsidR="00166772" w:rsidRDefault="00166772" w:rsidP="008B6E5C">
      <w:pPr>
        <w:ind w:left="1440" w:hanging="720"/>
        <w:jc w:val="both"/>
      </w:pPr>
    </w:p>
    <w:p w14:paraId="57D46C41" w14:textId="77777777" w:rsidR="00166772" w:rsidRDefault="00166772" w:rsidP="008B6E5C">
      <w:pPr>
        <w:ind w:left="1440" w:hanging="720"/>
        <w:jc w:val="both"/>
      </w:pPr>
    </w:p>
    <w:p w14:paraId="1ECDEC21" w14:textId="10AC1B3F" w:rsidR="008965F9" w:rsidRPr="008965F9" w:rsidRDefault="008965F9" w:rsidP="008965F9">
      <w:pPr>
        <w:jc w:val="center"/>
        <w:rPr>
          <w:rFonts w:ascii="Arial" w:hAnsi="Arial" w:cs="Arial"/>
          <w:b/>
          <w:sz w:val="40"/>
          <w:szCs w:val="40"/>
        </w:rPr>
      </w:pPr>
      <w:r w:rsidRPr="008965F9">
        <w:rPr>
          <w:rFonts w:ascii="Arial" w:hAnsi="Arial" w:cs="Arial"/>
          <w:b/>
          <w:sz w:val="40"/>
          <w:szCs w:val="40"/>
        </w:rPr>
        <w:t>A Critical Comparison of Two Secondary Sources</w:t>
      </w:r>
    </w:p>
    <w:p w14:paraId="2A645943" w14:textId="77777777" w:rsidR="00166772" w:rsidRDefault="00166772" w:rsidP="008B6E5C">
      <w:pPr>
        <w:ind w:left="1440" w:hanging="720"/>
        <w:jc w:val="both"/>
      </w:pPr>
    </w:p>
    <w:p w14:paraId="1C00BF4D" w14:textId="77777777" w:rsidR="00166772" w:rsidRDefault="00166772" w:rsidP="008B6E5C">
      <w:pPr>
        <w:ind w:left="1440" w:hanging="720"/>
        <w:jc w:val="both"/>
      </w:pPr>
    </w:p>
    <w:p w14:paraId="19A10A46" w14:textId="77777777" w:rsidR="00166772" w:rsidRDefault="00166772" w:rsidP="008B6E5C">
      <w:pPr>
        <w:ind w:left="1440" w:hanging="720"/>
        <w:jc w:val="both"/>
      </w:pPr>
    </w:p>
    <w:p w14:paraId="61FB6CFF" w14:textId="77777777" w:rsidR="00166772" w:rsidRDefault="00166772" w:rsidP="008B6E5C">
      <w:pPr>
        <w:ind w:left="1440" w:hanging="720"/>
        <w:jc w:val="both"/>
      </w:pPr>
    </w:p>
    <w:p w14:paraId="36010A06" w14:textId="77777777" w:rsidR="00166772" w:rsidRDefault="00166772" w:rsidP="008B6E5C">
      <w:pPr>
        <w:ind w:left="1440" w:hanging="720"/>
        <w:jc w:val="both"/>
      </w:pPr>
    </w:p>
    <w:p w14:paraId="077EB295" w14:textId="77777777" w:rsidR="003F66AC" w:rsidRDefault="003F66AC" w:rsidP="008B6E5C">
      <w:pPr>
        <w:ind w:left="1440" w:hanging="720"/>
        <w:jc w:val="both"/>
      </w:pPr>
    </w:p>
    <w:p w14:paraId="757D0870" w14:textId="77777777" w:rsidR="003F66AC" w:rsidRDefault="003F66AC" w:rsidP="008B6E5C">
      <w:pPr>
        <w:ind w:left="1440" w:hanging="720"/>
        <w:jc w:val="both"/>
      </w:pPr>
    </w:p>
    <w:p w14:paraId="55C63624" w14:textId="77777777" w:rsidR="00166772" w:rsidRDefault="00166772" w:rsidP="008B6E5C">
      <w:pPr>
        <w:ind w:left="1440" w:hanging="720"/>
        <w:jc w:val="both"/>
      </w:pPr>
    </w:p>
    <w:p w14:paraId="3BD1D805" w14:textId="77777777" w:rsidR="0077264E" w:rsidRDefault="0077264E" w:rsidP="0077264E">
      <w:pPr>
        <w:ind w:left="1440" w:hanging="720"/>
      </w:pPr>
      <w:r w:rsidRPr="0077264E">
        <w:rPr>
          <w:b/>
          <w:bCs/>
        </w:rPr>
        <w:t>Student name:</w:t>
      </w:r>
      <w:r>
        <w:t xml:space="preserve"> Mohammed Gabris</w:t>
      </w:r>
    </w:p>
    <w:p w14:paraId="7C58FEEC" w14:textId="74B5DD50" w:rsidR="0077264E" w:rsidRDefault="0077264E" w:rsidP="0077264E">
      <w:pPr>
        <w:ind w:left="1440" w:hanging="720"/>
      </w:pPr>
      <w:r w:rsidRPr="0077264E">
        <w:rPr>
          <w:b/>
          <w:bCs/>
        </w:rPr>
        <w:t>Student ID:</w:t>
      </w:r>
      <w:r>
        <w:t xml:space="preserve"> </w:t>
      </w:r>
      <w:r w:rsidR="00A936CB">
        <w:t>2502666</w:t>
      </w:r>
    </w:p>
    <w:p w14:paraId="7D61091C" w14:textId="1727E9B3" w:rsidR="0077264E" w:rsidRDefault="0077264E" w:rsidP="0077264E">
      <w:pPr>
        <w:ind w:left="1440" w:hanging="720"/>
      </w:pPr>
      <w:r w:rsidRPr="0077264E">
        <w:rPr>
          <w:b/>
          <w:bCs/>
        </w:rPr>
        <w:t>Module</w:t>
      </w:r>
      <w:r w:rsidRPr="00D533B8">
        <w:rPr>
          <w:b/>
          <w:bCs/>
        </w:rPr>
        <w:t>:</w:t>
      </w:r>
      <w:r>
        <w:t xml:space="preserve"> Harmony: Theory and Practice</w:t>
      </w:r>
      <w:r w:rsidRPr="0077264E">
        <w:t xml:space="preserve"> </w:t>
      </w:r>
      <w:r>
        <w:t xml:space="preserve">- </w:t>
      </w:r>
      <w:r>
        <w:t>HPCA7032</w:t>
      </w:r>
    </w:p>
    <w:p w14:paraId="4764A0B0" w14:textId="77777777" w:rsidR="0077264E" w:rsidRDefault="0077264E" w:rsidP="0077264E">
      <w:pPr>
        <w:ind w:left="1440" w:hanging="720"/>
      </w:pPr>
      <w:r w:rsidRPr="00D533B8">
        <w:rPr>
          <w:b/>
          <w:bCs/>
        </w:rPr>
        <w:t>Essay title:</w:t>
      </w:r>
      <w:r>
        <w:t xml:space="preserve"> A Critical Comparison of Two Secondary Sources</w:t>
      </w:r>
    </w:p>
    <w:p w14:paraId="1D46C345" w14:textId="081FA03B" w:rsidR="00166772" w:rsidRDefault="0077264E" w:rsidP="003F66AC">
      <w:pPr>
        <w:ind w:left="1440" w:hanging="720"/>
        <w:jc w:val="both"/>
      </w:pPr>
      <w:r w:rsidRPr="0077264E">
        <w:rPr>
          <w:b/>
          <w:bCs/>
        </w:rPr>
        <w:t>Submission date:</w:t>
      </w:r>
      <w:r>
        <w:t xml:space="preserve"> </w:t>
      </w:r>
      <w:r w:rsidR="00D533B8">
        <w:t>5/18/2026</w:t>
      </w:r>
    </w:p>
    <w:p w14:paraId="102F8FBE" w14:textId="77777777" w:rsidR="00166772" w:rsidRDefault="00166772" w:rsidP="008B6E5C">
      <w:pPr>
        <w:ind w:left="1440" w:hanging="720"/>
        <w:jc w:val="both"/>
      </w:pPr>
    </w:p>
    <w:p w14:paraId="37D76F5E" w14:textId="6F71102D" w:rsidR="008E4974" w:rsidRPr="008E4974" w:rsidRDefault="008E4974" w:rsidP="008B6E5C">
      <w:pPr>
        <w:pStyle w:val="ListParagraph"/>
        <w:numPr>
          <w:ilvl w:val="0"/>
          <w:numId w:val="1"/>
        </w:numPr>
        <w:jc w:val="both"/>
        <w:rPr>
          <w:b/>
          <w:bCs/>
        </w:rPr>
      </w:pPr>
      <w:r w:rsidRPr="008E4974">
        <w:rPr>
          <w:b/>
          <w:bCs/>
        </w:rPr>
        <w:t>Introduction</w:t>
      </w:r>
    </w:p>
    <w:p w14:paraId="69FCAA4C" w14:textId="211FD73B" w:rsidR="00252F82" w:rsidRDefault="00252F82" w:rsidP="008B6E5C">
      <w:pPr>
        <w:ind w:firstLine="720"/>
        <w:jc w:val="both"/>
      </w:pPr>
      <w:r>
        <w:t xml:space="preserve">The following essay aims to compare two academic works: Angus Slater’s “Difference, Beauty, and the Divine: Harmony in Religious Plurality” and Asma Afsaruddin’s “The Concept of Harmony in Islamic Thought and Practice.” Both academic pieces explore the notion of harmony as a religious and ethical concept. However, each </w:t>
      </w:r>
      <w:r w:rsidR="00071D86">
        <w:t>approach</w:t>
      </w:r>
      <w:r>
        <w:t xml:space="preserve"> it from a different intellectual position. On one hand, Slater develops a philosophical and theological argument in which harmony manifests through difference, relationality, purpose, vulnerability and desire (Slater, 2020, pp. 47–50). He discusses religious plurality </w:t>
      </w:r>
      <w:r w:rsidR="00147E50">
        <w:t xml:space="preserve">exploring how different faith traditions can </w:t>
      </w:r>
      <w:r w:rsidR="001907E2">
        <w:t>related to one another despite the differences,</w:t>
      </w:r>
      <w:r>
        <w:t xml:space="preserve"> exploring the possibility of meaningful relations </w:t>
      </w:r>
      <w:r w:rsidR="00C73CAC">
        <w:t>amongst such differences</w:t>
      </w:r>
      <w:r>
        <w:t xml:space="preserve">. </w:t>
      </w:r>
      <w:r w:rsidR="00C73CAC">
        <w:t>By contrast</w:t>
      </w:r>
      <w:r>
        <w:t xml:space="preserve">, Afsaruddin sheds light on harmony within Islamic thought, deriving her discussion from reflections in Qur’anic verses, classical </w:t>
      </w:r>
      <w:r w:rsidR="00B974C3">
        <w:t>interpretations</w:t>
      </w:r>
      <w:r>
        <w:t>, and modern debates on moderation, justice, reconciliation and extremism (Afsaruddin, 2022, pp. 155–156).</w:t>
      </w:r>
    </w:p>
    <w:p w14:paraId="244F8C3C" w14:textId="2ABE58F1" w:rsidR="00FE5868" w:rsidRDefault="00252F82" w:rsidP="008B6E5C">
      <w:pPr>
        <w:ind w:firstLine="720"/>
        <w:jc w:val="both"/>
      </w:pPr>
      <w:r>
        <w:t>Both authors reject the idea that harmony means simple sameness or passive coexistence; however, they differ in how they build their arguments, which dimensions of harmony are emphasized, and how they apply the concept in practice. Slater offers a wider theoretical framework for understanding why contrast is crucial to harmony, while Afsaruddin focuses more on how harmony can be cultivated in practice through Islamic ethical practices. This essay will evaluate the main similarities and differences between the two academic pieces, in addition to their respective strengths and limitations.</w:t>
      </w:r>
    </w:p>
    <w:p w14:paraId="4C570018" w14:textId="223A0141" w:rsidR="00C76B95" w:rsidRPr="004E62A6" w:rsidRDefault="000102A6" w:rsidP="008B6E5C">
      <w:pPr>
        <w:pStyle w:val="ListParagraph"/>
        <w:numPr>
          <w:ilvl w:val="0"/>
          <w:numId w:val="1"/>
        </w:numPr>
        <w:jc w:val="both"/>
        <w:rPr>
          <w:b/>
          <w:bCs/>
        </w:rPr>
      </w:pPr>
      <w:r w:rsidRPr="004E62A6">
        <w:rPr>
          <w:b/>
          <w:bCs/>
        </w:rPr>
        <w:t xml:space="preserve">Main Subject, </w:t>
      </w:r>
      <w:r w:rsidR="00FA65B0" w:rsidRPr="004E62A6">
        <w:rPr>
          <w:b/>
          <w:bCs/>
        </w:rPr>
        <w:t>Context, and Method</w:t>
      </w:r>
    </w:p>
    <w:p w14:paraId="182CA03C" w14:textId="3D33FF59" w:rsidR="00027D10" w:rsidRDefault="00027D10" w:rsidP="008B6E5C">
      <w:pPr>
        <w:ind w:firstLine="720"/>
        <w:jc w:val="both"/>
      </w:pPr>
      <w:r>
        <w:t>Slater’s article focuses mainly on harmony in the context of religious plurality. He attempts to understand how harmony is interpreted in a world that encompasses different religious traditions that make different claims about truth, purpose, and the divine. Slater describes an aesthetic experience of harmony, suggesting that it appears in experiences “whether found in our enjoyment of musically, naturally or physically harmonious experiences” and explains that this concerns “the aesthetic quality of harmony” (Slater, 2020, p. 41). Therefore, his starting point begins with an abstract description of the experience of beauty and meaningful relation</w:t>
      </w:r>
      <w:r w:rsidR="00F21613">
        <w:t xml:space="preserve"> </w:t>
      </w:r>
      <w:r>
        <w:t>before extending this framework to the matter of religious plurality. Slater’s wider concern is therefore how different religions can exist together without being reduced to sameness.</w:t>
      </w:r>
    </w:p>
    <w:p w14:paraId="76D88291" w14:textId="5B476600" w:rsidR="00027D10" w:rsidRDefault="00027D10" w:rsidP="008B6E5C">
      <w:pPr>
        <w:ind w:firstLine="720"/>
        <w:jc w:val="both"/>
      </w:pPr>
      <w:r>
        <w:t xml:space="preserve">Afsaruddin has a different focus in her chapter, in which she examines harmony within Islamic thought and practice. She begins with the Qur’an as the main source for discussing moral and social ideas in Islam, stating that “the point of departure for a </w:t>
      </w:r>
      <w:r>
        <w:lastRenderedPageBreak/>
        <w:t>discussion of harmony … in the Islamic context is the Qur’an” (Afsaruddin, 2022, p. 155). She explains that in Islam, harmony cannot be captured by one Arabic word. As she states, “There is no single word in the Arabic-Islamic milieu that would capture all these different elements of harmony” (Afsaruddin, 2022, p. 156). Instead, it must be understood through several related ideas of reconciliation, moderation, balance, justice, and peaceful relations.</w:t>
      </w:r>
    </w:p>
    <w:p w14:paraId="40B16ED5" w14:textId="34E4E5B5" w:rsidR="00027D10" w:rsidRDefault="00027D10" w:rsidP="008B6E5C">
      <w:pPr>
        <w:ind w:firstLine="720"/>
        <w:jc w:val="both"/>
      </w:pPr>
      <w:r>
        <w:t>The two authors also differ in their methods. Slater has a philosophical, theological, and aesthetic approach. He presents ideas from beauty, music, philosophy, ecology, art, and Christian theology to establish his argument. Compared with Afsaruddin’s method, Slater’s approach is broader and more conceptual. As for Afsaruddin, she adopts a more textual and historical approach within an Islamic framework. Through her studies of Qur’anic verses, she explains how they were interpreted by Muslim scholars such as al-Tabari, al-Qurtubi, Ibn Kathir, al-Zamakhshari, al-Razi, and Muhammad ‘Abduh. Hence, her argument is grounded in scripture and Islamic intellectual interpretations.</w:t>
      </w:r>
    </w:p>
    <w:p w14:paraId="2A21EB33" w14:textId="10CC5CC6" w:rsidR="004E62A6" w:rsidRPr="004E62A6" w:rsidRDefault="004E62A6" w:rsidP="008B6E5C">
      <w:pPr>
        <w:pStyle w:val="ListParagraph"/>
        <w:numPr>
          <w:ilvl w:val="0"/>
          <w:numId w:val="1"/>
        </w:numPr>
        <w:jc w:val="both"/>
        <w:rPr>
          <w:b/>
          <w:bCs/>
        </w:rPr>
      </w:pPr>
      <w:r w:rsidRPr="004E62A6">
        <w:rPr>
          <w:b/>
          <w:bCs/>
        </w:rPr>
        <w:t>Definitions of Harmony: Similarities and Differences</w:t>
      </w:r>
    </w:p>
    <w:p w14:paraId="0DC00182" w14:textId="6CE4629E" w:rsidR="00265E15" w:rsidRDefault="005730E2" w:rsidP="00C148F0">
      <w:pPr>
        <w:ind w:firstLine="720"/>
        <w:jc w:val="both"/>
      </w:pPr>
      <w:r>
        <w:t>One major similarity between Slater and Afsaruddin is that both reject the idea that harmony depends on similarity, or that it means uniformity. Slater explicitly expresses that “without difference” harmony cannot exist (Slater, 2020, p. 47). For him, harmony requires difference, since relations are only possible when there are diverse elements to relate to. Slater explains this through a musical example by arguing that “the different sounds produced within a harmonious piece of music rely, for their harmony, on their relationship to the other sounds produced within the same moment” (Slater, 2020, p. 44). By extension, religious harmony cannot exist if all religious diversity is removed. This is reinforced later when Slater states that his argument is “not a call toward homogeneity” or “the obliteration of difference through agreement” (Slater, 2020, p. 55).</w:t>
      </w:r>
      <w:r w:rsidR="00265E15">
        <w:t xml:space="preserve"> </w:t>
      </w:r>
      <w:r w:rsidR="00C148F0">
        <w:t xml:space="preserve"> </w:t>
      </w:r>
      <w:r w:rsidR="00610016">
        <w:t xml:space="preserve">This outlook is also supported by other scholars such as </w:t>
      </w:r>
      <w:r w:rsidR="00610016" w:rsidRPr="00610016">
        <w:t>Chenyang Li’s discussion of harmony in Confucian thought</w:t>
      </w:r>
      <w:r w:rsidR="00610016">
        <w:t xml:space="preserve">, in which Li explains that the </w:t>
      </w:r>
      <w:r w:rsidR="00C148F0" w:rsidRPr="00C148F0">
        <w:t>Confucian concept of harmony is closely linked to the relation between harmony, sameness, and difference (Li, 2006).</w:t>
      </w:r>
      <w:r w:rsidR="006F707B">
        <w:t xml:space="preserve"> Showing that harmony is often understood across different traditions as something that goes beyond uniformity and sameness</w:t>
      </w:r>
      <w:r w:rsidR="00977D2C">
        <w:t>.</w:t>
      </w:r>
    </w:p>
    <w:p w14:paraId="4C66D474" w14:textId="2CE4071E" w:rsidR="005730E2" w:rsidRDefault="005730E2" w:rsidP="00FF5891">
      <w:pPr>
        <w:ind w:firstLine="720"/>
        <w:jc w:val="both"/>
      </w:pPr>
      <w:r>
        <w:t xml:space="preserve">Afsaruddin shows that harmony does not mean the exclusion of all </w:t>
      </w:r>
      <w:r w:rsidR="00265E15">
        <w:t>differences</w:t>
      </w:r>
      <w:r>
        <w:t xml:space="preserve">. Instead, her discussion of Qur’an 3:103 focuses on the reconciliation of hearts and the restoration of unity after conflict. She also adds that Islamic scholars did not view all difference as harmful. In her discussion of al-Qurtubi’s interpretation of Qur’an 3:103, she notes that the verse “does not rule out differences with regard to secondary matters of religion” (Afsaruddin, 2022, p. 159). Afsaruddin clarifies that the prohibited form of difference is the kind that “leads to corruption and sectarianism and disrupts the harmony </w:t>
      </w:r>
      <w:r>
        <w:lastRenderedPageBreak/>
        <w:t xml:space="preserve">of the community” (Afsaruddin, 2022, pp. 159–160). Overall, she presents harmony as something that encompasses difference, </w:t>
      </w:r>
      <w:r w:rsidR="00265E15">
        <w:t>if</w:t>
      </w:r>
      <w:r>
        <w:t xml:space="preserve"> it is handled ethically.</w:t>
      </w:r>
    </w:p>
    <w:p w14:paraId="04DFD57B" w14:textId="56F6E53B" w:rsidR="005730E2" w:rsidRDefault="005730E2" w:rsidP="007A6068">
      <w:pPr>
        <w:ind w:firstLine="720"/>
        <w:jc w:val="both"/>
      </w:pPr>
      <w:r>
        <w:t>However, both authors differ in how they attempt to define harmony and what they emphasise. Slater frames harmony through concepts such as difference, relation, vulnerability, purpose, and desire. He argues that harmony forms when different things relate meaningfully. Continuing with his analysis of religious plurality, he argues that religions are “meaning producing systems” since they showcase the purpose and structure of human life (Slater, 2020, p. 48). Slater gives religious difference particular importance because religions often make claims about truth, salvation, and the divine.</w:t>
      </w:r>
      <w:r w:rsidR="007A6656">
        <w:t xml:space="preserve"> </w:t>
      </w:r>
      <w:r w:rsidR="00DD49DA">
        <w:t xml:space="preserve">Diana Eck’s work on religious pluralism supports this point, arguing that pluralism is not simply the existence of diversity but </w:t>
      </w:r>
      <w:r w:rsidR="007A6068" w:rsidRPr="007A6068">
        <w:t>“the energetic engagement with that diversity” (Eck, 1996).</w:t>
      </w:r>
      <w:r w:rsidR="007A6068">
        <w:t xml:space="preserve"> This supports Slater’s argument </w:t>
      </w:r>
      <w:r w:rsidR="00175601">
        <w:t xml:space="preserve">in showcasing the active relation rather than passive coexistence </w:t>
      </w:r>
      <w:r w:rsidR="008B68B5">
        <w:t>amongst diverse religious traditions.</w:t>
      </w:r>
    </w:p>
    <w:p w14:paraId="1367CDD4" w14:textId="1C97540A" w:rsidR="005730E2" w:rsidRDefault="005730E2" w:rsidP="00FF5891">
      <w:pPr>
        <w:ind w:firstLine="720"/>
        <w:jc w:val="both"/>
      </w:pPr>
      <w:r>
        <w:t xml:space="preserve">Afsaruddin attempts to define harmony from a practical and ethical lens, connecting harmony to reconciliation, justice, moderation, balance, forgiveness, and self-restraint. In her discussion of Qur’an 41:34–35, she shows that harmony requires </w:t>
      </w:r>
      <w:r w:rsidR="00A9684F">
        <w:t>a</w:t>
      </w:r>
      <w:r>
        <w:t xml:space="preserve"> morally disciplined behavior. The verse states: “Repel [evil] with what is better, then the one between whom and yourself enmity prevails will become like your friend” (Afsaruddin, 2022, p. 163). She also connects harmony to moderation through her discussion of Qur’an 2:143, where believers are described as a middle community. The verse states, “We have made you [believers] into a middle community” (Afsaruddin, 2022, p. 166). This links harmony with moderation and justice.</w:t>
      </w:r>
    </w:p>
    <w:p w14:paraId="31BC0479" w14:textId="2EDD2D36" w:rsidR="0038177A" w:rsidRDefault="005730E2" w:rsidP="008B6E5C">
      <w:pPr>
        <w:ind w:firstLine="720"/>
        <w:jc w:val="both"/>
      </w:pPr>
      <w:r>
        <w:t xml:space="preserve">The view on religious plurality is examined differently in both texts. For Slater, religious plurality is central to his argument, showing interest in how different religious traditions can coexist amid their diversity. Afsaruddin also discusses diversity and social difference; however, her </w:t>
      </w:r>
      <w:r>
        <w:t>focus</w:t>
      </w:r>
      <w:r>
        <w:t xml:space="preserve"> is Islamic ethical life. She discusses how Islamic sources advocate </w:t>
      </w:r>
      <w:r w:rsidR="00C1521E">
        <w:t xml:space="preserve">for </w:t>
      </w:r>
      <w:r>
        <w:t xml:space="preserve">reconciliation, justice, and moderation for peaceful social relations. </w:t>
      </w:r>
    </w:p>
    <w:p w14:paraId="47112BE8" w14:textId="50DD2A5C" w:rsidR="00BF59FE" w:rsidRPr="00BF59FE" w:rsidRDefault="0084354B" w:rsidP="008B6E5C">
      <w:pPr>
        <w:pStyle w:val="ListParagraph"/>
        <w:numPr>
          <w:ilvl w:val="0"/>
          <w:numId w:val="1"/>
        </w:numPr>
        <w:jc w:val="both"/>
        <w:rPr>
          <w:b/>
          <w:bCs/>
        </w:rPr>
      </w:pPr>
      <w:r w:rsidRPr="00BF59FE">
        <w:rPr>
          <w:b/>
          <w:bCs/>
        </w:rPr>
        <w:t>Practical Application, Strengths, and Limitations</w:t>
      </w:r>
    </w:p>
    <w:p w14:paraId="4891A56E" w14:textId="68249DEC" w:rsidR="00B97145" w:rsidRDefault="00B97145" w:rsidP="008B6E5C">
      <w:pPr>
        <w:ind w:firstLine="720"/>
        <w:jc w:val="both"/>
      </w:pPr>
      <w:r>
        <w:t xml:space="preserve">As previously </w:t>
      </w:r>
      <w:r w:rsidR="00D811C7">
        <w:t>mentioned</w:t>
      </w:r>
      <w:r>
        <w:t xml:space="preserve">, Slater’s main strength lies in his argument that harmony depends on difference. This argument is crucial since harmony is often understood as similarity, agreement, or the absence of conflict. Slater challenges this generalized perception by showing that harmony requires contrast and diversity to remain distinct while also being meaningfully related. This approach is useful for thinking about interfaith relations since it calls for embracing religious diversity, preventing religious harmony from being confined to the search for sameness only. </w:t>
      </w:r>
    </w:p>
    <w:p w14:paraId="6CEA749B" w14:textId="7E3968C0" w:rsidR="00B97145" w:rsidRDefault="00B97145" w:rsidP="008B6E5C">
      <w:pPr>
        <w:ind w:firstLine="720"/>
        <w:jc w:val="both"/>
      </w:pPr>
      <w:r>
        <w:lastRenderedPageBreak/>
        <w:t xml:space="preserve">However, Slater’s limitation is that most of his work in this piece can be quite abstract. This can be seen through his concepts of beauty, desire, relation, vulnerability and purpose. Although these concepts are useful for understanding harmony, they are not always easy to apply to real social or religious conflicts. He explains why difference matters but lacks practical details on how this reflects in religious communities or on how to respond to emerging tensions in practice. This limitation can be seen when Slater describes social harmony as “the performance of deliberate relation” and “a deliberate vulnerability of our certainties” (Slater, 2020, p. 55). Although this is a powerful idea, it remains quite general. </w:t>
      </w:r>
    </w:p>
    <w:p w14:paraId="7BB3668B" w14:textId="572C914B" w:rsidR="00B97145" w:rsidRDefault="00B97145" w:rsidP="008B6E5C">
      <w:pPr>
        <w:ind w:firstLine="720"/>
        <w:jc w:val="both"/>
      </w:pPr>
      <w:r>
        <w:t>A further limitation of Slater’s article is that its discussion of religious plurality is largely shaped by Christian theological reflection. This can be drawn from the opening of the paper, which begins with a quotation from Colossians 3:12–14, ending with the claim that love “binds everything together in perfect harmony” (Slater, 2020, p. 41). This framing continues throughout his article, especially when he discusses “the place of the Christian tradition relative to people of other faiths” and refers to questions about “Christian truth” (Slater, 2020, p. 52). Although he includes Qur’anic references, they appear mainly to support a wider argument that is developed through Christian and Western philosophical categories. Slater’s approach does not discredit his argument, but it narrows its scope in representing religious plurality. In comparison, Afsaruddin’s chapter is more tradition-specific, as she makes clear that her discussion is about understanding harmony “in the Islamic context” and begins from “the Qur’an” (Afsaruddin, 2022, p. 155). Slater’s argument, therefore, might have been stronger if he had explored and engaged with other non-Christian traditions on their own terms, rather than developing the argument mainly within a framework shaped by Christian theology.</w:t>
      </w:r>
    </w:p>
    <w:p w14:paraId="272CC91F" w14:textId="6B07A0E8" w:rsidR="00B97145" w:rsidRDefault="00B97145" w:rsidP="008B6E5C">
      <w:pPr>
        <w:ind w:firstLine="720"/>
        <w:jc w:val="both"/>
      </w:pPr>
      <w:r>
        <w:t>Afsaruddin’s argument is more concrete, because she links harmony to ethical practices within the specific context of Islamic thought. These discussed ethical practices include forgiveness, reconciliation, moderation, restraint, and justice. Through her chapter, she shows how harmony can be manifested and developed in personal behavior, communal relations, and social life in general. For instance, in her discussion, Afsaruddin shows that moderation applies to “all our daily activities: eating, drinking, wearing clothing, giving charity, and doing good deeds in general” (Afsaruddin, 2022, p. 172). Her approach is practical because it shows how harmony can be lived through everyday life choices and social responsibilities.</w:t>
      </w:r>
    </w:p>
    <w:p w14:paraId="5178DAC4" w14:textId="6FA86C91" w:rsidR="00B97145" w:rsidRDefault="00B97145" w:rsidP="004A0479">
      <w:pPr>
        <w:ind w:firstLine="720"/>
        <w:jc w:val="both"/>
      </w:pPr>
      <w:r>
        <w:t xml:space="preserve">Afsaruddin connects harmony to modern social and political topics. Through her discussion of wasatiyya, she shows how the Islamic idea of moderation has become crucial in debates around reform, tolerance, pluralism, and opposition to extremism. She explains that in the twentieth century, “‘Moderation’ acquires a new name—wasatiyya” (Afsaruddin, </w:t>
      </w:r>
      <w:r>
        <w:lastRenderedPageBreak/>
        <w:t>2022, p. 173), which becomes linked to reformist movements concerned with democracy, human rights, women, and minorities (Afsaruddin, 2022, p. 174). This shows that, for Afsaruddin, harmony is not only a private moral matter but also a public and political idea. She notes that after September 11, Muslim reform discussions focused on “moderation, coupled with the concepts of tolerance and pluralism” (Afsaruddin, 2022, p. 175). Hence, her argument is relevant to contemporary discussions of religion, politics, and social cohesion.</w:t>
      </w:r>
      <w:r w:rsidR="00057BB3">
        <w:t xml:space="preserve"> </w:t>
      </w:r>
      <w:r w:rsidR="00274EB6">
        <w:t xml:space="preserve">Her argument is also supported by Khaled Abou El Fadl’s work on tolerenace in the Islamic tradition. </w:t>
      </w:r>
      <w:r w:rsidR="00AE178C">
        <w:t xml:space="preserve">He argues that Islam </w:t>
      </w:r>
      <w:r w:rsidR="00420319">
        <w:t xml:space="preserve">strongly advocates for tolerance, which is supported by many resources reinforcing this </w:t>
      </w:r>
      <w:r w:rsidR="0017420A">
        <w:t>virtue</w:t>
      </w:r>
      <w:r w:rsidR="00F62F63">
        <w:t xml:space="preserve">. Abou El Fadl also adds that violent readings of Islam often </w:t>
      </w:r>
      <w:r w:rsidR="004A0479">
        <w:t>come</w:t>
      </w:r>
      <w:r w:rsidR="00F62F63">
        <w:t xml:space="preserve"> from </w:t>
      </w:r>
      <w:r w:rsidR="00357020">
        <w:t>misinterpretations</w:t>
      </w:r>
      <w:r w:rsidR="00F62F63">
        <w:t xml:space="preserve"> of the </w:t>
      </w:r>
      <w:r w:rsidR="004A0479">
        <w:t>Qur’an’s,</w:t>
      </w:r>
      <w:r w:rsidR="002C5597">
        <w:t xml:space="preserve"> and not from the text itself</w:t>
      </w:r>
      <w:r w:rsidR="004A0479">
        <w:t xml:space="preserve"> </w:t>
      </w:r>
      <w:r w:rsidR="004A0479" w:rsidRPr="004A0479">
        <w:t>(Abou El Fadl, 2002</w:t>
      </w:r>
      <w:r w:rsidR="004A0479">
        <w:t xml:space="preserve">). </w:t>
      </w:r>
      <w:r w:rsidR="00A322DC">
        <w:t xml:space="preserve">This supports Afsaruddin’s argument that moderation, justice, and tolerance </w:t>
      </w:r>
      <w:r w:rsidR="00437C8E">
        <w:t>can be grounded in Islamic ethical and scriptural traditions. Finally, s</w:t>
      </w:r>
      <w:r>
        <w:t>he reinforces this in her conclusion, in which she argues that “a lack of moderation and balance” leads to “a lack of harmony” in human life (Afsaruddin, 2022, p. 180).</w:t>
      </w:r>
    </w:p>
    <w:p w14:paraId="149F1772" w14:textId="29FE80B5" w:rsidR="00B97145" w:rsidRDefault="00B97145" w:rsidP="008B6E5C">
      <w:pPr>
        <w:ind w:firstLine="720"/>
        <w:jc w:val="both"/>
      </w:pPr>
      <w:r>
        <w:t>One of the possible limitations of Afsaruddin’s chapter is that it is more tradition-specific than Slater’s. Since her purpose is to explain harmony in Islamic thought and practice, she does not offer a general theory of religious plurality in the same way that Slater does. This on its own is not a weakness, since her focus is harmony in an Islamic context. However, her discussion gives less attention to how different religions relate to one another as separate systems of meaning. Slater is stronger on this point since he addresses “religious difference” directly as a challenge to harmony and argues that “without difference, however conceived, harmony does not and cannot exist” (Slater, 2020, p. 47). On the other hand, Afsaruddin is stronger in showing how harmony can manifest in practice through moderation, justice, reconciliation, and ethical conduct within a specific religious tradition.</w:t>
      </w:r>
    </w:p>
    <w:p w14:paraId="32380999" w14:textId="4102E686" w:rsidR="00B97145" w:rsidRDefault="00B97145" w:rsidP="008B6E5C">
      <w:pPr>
        <w:ind w:firstLine="720"/>
        <w:jc w:val="both"/>
      </w:pPr>
      <w:r>
        <w:t xml:space="preserve">Another limitation is Afsaruddin’s use of moderation can raise </w:t>
      </w:r>
      <w:r w:rsidR="0013187D">
        <w:t>ambiguity</w:t>
      </w:r>
      <w:r>
        <w:t xml:space="preserve"> and </w:t>
      </w:r>
      <w:r w:rsidR="0013187D">
        <w:t>debates</w:t>
      </w:r>
      <w:r>
        <w:t>. She presents moderation as linked to tolerance, pluralism, and peaceful coexistence. However, the notion of moderation itself is subjective, as in modern public debate, people might disagree about who decides what is moderate and what is extreme. This does not weaken her argument, but it shows that moderation is not only an ethical concept; it can also become</w:t>
      </w:r>
      <w:r w:rsidR="0013187D">
        <w:t xml:space="preserve"> a</w:t>
      </w:r>
      <w:r>
        <w:t xml:space="preserve"> politically contested</w:t>
      </w:r>
      <w:r w:rsidR="0013187D">
        <w:t xml:space="preserve"> term</w:t>
      </w:r>
      <w:r>
        <w:t>.</w:t>
      </w:r>
    </w:p>
    <w:p w14:paraId="6DCA06FB" w14:textId="365893AC" w:rsidR="00E074C8" w:rsidRDefault="00B97145" w:rsidP="008B6E5C">
      <w:pPr>
        <w:ind w:firstLine="720"/>
        <w:jc w:val="both"/>
      </w:pPr>
      <w:r>
        <w:t xml:space="preserve">When comparing these two sources, they seem to be more complementary than contradictory. Slater is stronger in explaining why difference is vital for harmony, specifically in the context of religious plurality. Afsaruddin is stronger in showing how harmony can be practiced through grounded and tangible ethical behavior. Slater’s argument is presented through a philosophical framework, while Afsaruddin provides a detailed methodology and example through an Islamic-tradition-specific framework. </w:t>
      </w:r>
      <w:r w:rsidR="0013187D">
        <w:t>T</w:t>
      </w:r>
      <w:r>
        <w:t xml:space="preserve">ogether, both arguments show </w:t>
      </w:r>
      <w:r>
        <w:lastRenderedPageBreak/>
        <w:t>that harmony is both a way of understanding differences and a way of co-existing and living ethically with others</w:t>
      </w:r>
      <w:r w:rsidR="00E074C8">
        <w:t>.</w:t>
      </w:r>
    </w:p>
    <w:p w14:paraId="369FFA9E" w14:textId="77777777" w:rsidR="00BF59FE" w:rsidRDefault="00BF59FE" w:rsidP="008B6E5C">
      <w:pPr>
        <w:ind w:firstLine="720"/>
        <w:jc w:val="both"/>
      </w:pPr>
    </w:p>
    <w:p w14:paraId="3BBD110B" w14:textId="5CD451D1" w:rsidR="00BF59FE" w:rsidRPr="006C6FDD" w:rsidRDefault="00BF59FE" w:rsidP="008B6E5C">
      <w:pPr>
        <w:pStyle w:val="ListParagraph"/>
        <w:numPr>
          <w:ilvl w:val="0"/>
          <w:numId w:val="1"/>
        </w:numPr>
        <w:jc w:val="both"/>
        <w:rPr>
          <w:b/>
          <w:bCs/>
        </w:rPr>
      </w:pPr>
      <w:r w:rsidRPr="006C6FDD">
        <w:rPr>
          <w:b/>
          <w:bCs/>
        </w:rPr>
        <w:t>Conclusion</w:t>
      </w:r>
    </w:p>
    <w:p w14:paraId="301A1F89" w14:textId="49DBD302" w:rsidR="008B6E5C" w:rsidRDefault="008B6E5C" w:rsidP="008B6E5C">
      <w:pPr>
        <w:ind w:firstLine="720"/>
        <w:jc w:val="both"/>
      </w:pPr>
      <w:r>
        <w:t xml:space="preserve">In conclusion, both authors, Slater and Afsaruddin, present harmony as an active ethical concept, rather than as simple peace, sameness, or passive coexistence. However, they both develop this idea in different ways. Slater’s approach adopts a philosophical and theological lens to understand harmony within the context of religious plurality. His main contribution and insight </w:t>
      </w:r>
      <w:r w:rsidR="00A834B3">
        <w:t>are</w:t>
      </w:r>
      <w:r>
        <w:t xml:space="preserve"> showing that harmony depends on difference, relation, vulnerability, purpose, and desire. </w:t>
      </w:r>
      <w:r w:rsidR="008108F1">
        <w:t xml:space="preserve">On the other hand, </w:t>
      </w:r>
      <w:r>
        <w:t>Afsaruddin offers a more textually grounded analysis and understanding of harmony within the framework of Islamic thought. Her main contribution shows a wider view of harmony, demonstrating how it is connected to reconciliation, moderation, justice, balance, and the avoidance of extremes.</w:t>
      </w:r>
    </w:p>
    <w:p w14:paraId="0F72F0EE" w14:textId="0525264B" w:rsidR="00BF59FE" w:rsidRDefault="008B6E5C" w:rsidP="008B6E5C">
      <w:pPr>
        <w:ind w:firstLine="720"/>
        <w:jc w:val="both"/>
      </w:pPr>
      <w:r>
        <w:t xml:space="preserve">The two authors therefore complement one another. Slater explains why the existence of difference is significant for harmony, while Afsaruddin shows how harmony can be developed through religious ethics and social practices. Slater’s writing is rich and expansive, but abstract and open to interpretation in several aspects. Afsaruddin’s account adopts a practical and well-grounded interpretation in Islamic sources, but it has less focus on wider interreligious theory. Overall, together these two texts suggest that harmony is not the absence of difference. Rather, harmony is about learning to embrace and live with </w:t>
      </w:r>
      <w:r w:rsidR="008108F1">
        <w:t>differences</w:t>
      </w:r>
      <w:r>
        <w:t xml:space="preserve"> in an ethical and accountable way, especially in religious and social relationships. It does not require people or religious traditions to become the same. Instead, it invites us to acknowledge these differences and find meaning and synergy within these differences.</w:t>
      </w:r>
    </w:p>
    <w:p w14:paraId="6408F364" w14:textId="77777777" w:rsidR="004D3890" w:rsidRDefault="004D3890" w:rsidP="008B6E5C">
      <w:pPr>
        <w:ind w:firstLine="720"/>
        <w:jc w:val="both"/>
      </w:pPr>
    </w:p>
    <w:p w14:paraId="0C334BD6" w14:textId="77777777" w:rsidR="004D3890" w:rsidRDefault="004D3890" w:rsidP="008B6E5C">
      <w:pPr>
        <w:ind w:firstLine="720"/>
        <w:jc w:val="both"/>
      </w:pPr>
    </w:p>
    <w:p w14:paraId="07610857" w14:textId="77777777" w:rsidR="004D3890" w:rsidRDefault="004D3890" w:rsidP="008B6E5C">
      <w:pPr>
        <w:ind w:firstLine="720"/>
        <w:jc w:val="both"/>
      </w:pPr>
    </w:p>
    <w:p w14:paraId="29362355" w14:textId="77777777" w:rsidR="004D3890" w:rsidRDefault="004D3890" w:rsidP="008B6E5C">
      <w:pPr>
        <w:ind w:firstLine="720"/>
        <w:jc w:val="both"/>
      </w:pPr>
    </w:p>
    <w:p w14:paraId="2CD762A2" w14:textId="77777777" w:rsidR="004D3890" w:rsidRDefault="004D3890" w:rsidP="008B6E5C">
      <w:pPr>
        <w:ind w:firstLine="720"/>
        <w:jc w:val="both"/>
      </w:pPr>
    </w:p>
    <w:p w14:paraId="4FCE9600" w14:textId="77777777" w:rsidR="004D3890" w:rsidRDefault="004D3890" w:rsidP="008B6E5C">
      <w:pPr>
        <w:ind w:firstLine="720"/>
        <w:jc w:val="both"/>
      </w:pPr>
    </w:p>
    <w:p w14:paraId="6EE00633" w14:textId="77777777" w:rsidR="004D3890" w:rsidRDefault="004D3890" w:rsidP="008B6E5C">
      <w:pPr>
        <w:ind w:firstLine="720"/>
        <w:jc w:val="both"/>
      </w:pPr>
    </w:p>
    <w:p w14:paraId="698D78B7" w14:textId="77777777" w:rsidR="004D3890" w:rsidRDefault="004D3890" w:rsidP="008B6E5C">
      <w:pPr>
        <w:ind w:firstLine="720"/>
        <w:jc w:val="both"/>
      </w:pPr>
    </w:p>
    <w:p w14:paraId="52921EDB" w14:textId="77777777" w:rsidR="004D3890" w:rsidRDefault="004D3890" w:rsidP="008B6E5C">
      <w:pPr>
        <w:ind w:firstLine="720"/>
        <w:jc w:val="both"/>
      </w:pPr>
    </w:p>
    <w:p w14:paraId="3795CBB3" w14:textId="77777777" w:rsidR="004D3890" w:rsidRDefault="004D3890" w:rsidP="008B6E5C">
      <w:pPr>
        <w:ind w:firstLine="720"/>
        <w:jc w:val="both"/>
      </w:pPr>
    </w:p>
    <w:p w14:paraId="68F9C959" w14:textId="22C64C39" w:rsidR="004D3890" w:rsidRPr="004D3890" w:rsidRDefault="004D3890" w:rsidP="008B6E5C">
      <w:pPr>
        <w:ind w:firstLine="720"/>
        <w:jc w:val="both"/>
        <w:rPr>
          <w:b/>
          <w:bCs/>
          <w:sz w:val="28"/>
          <w:szCs w:val="28"/>
        </w:rPr>
      </w:pPr>
      <w:r w:rsidRPr="004D3890">
        <w:rPr>
          <w:b/>
          <w:bCs/>
          <w:sz w:val="28"/>
          <w:szCs w:val="28"/>
        </w:rPr>
        <w:t>References</w:t>
      </w:r>
    </w:p>
    <w:p w14:paraId="02D53EF0" w14:textId="77777777" w:rsidR="00166772" w:rsidRPr="00166772" w:rsidRDefault="00166772" w:rsidP="00166772">
      <w:pPr>
        <w:ind w:left="720"/>
        <w:jc w:val="both"/>
      </w:pPr>
      <w:r w:rsidRPr="00166772">
        <w:t xml:space="preserve">Abou El Fadl, K. (2002) </w:t>
      </w:r>
      <w:r w:rsidRPr="00166772">
        <w:rPr>
          <w:i/>
          <w:iCs/>
        </w:rPr>
        <w:t>The Place of Tolerance in Islam</w:t>
      </w:r>
      <w:r w:rsidRPr="00166772">
        <w:t>. Boston: Beacon Press.</w:t>
      </w:r>
    </w:p>
    <w:p w14:paraId="49DC1ED4" w14:textId="77777777" w:rsidR="00166772" w:rsidRPr="00166772" w:rsidRDefault="00166772" w:rsidP="00166772">
      <w:pPr>
        <w:ind w:left="720"/>
        <w:jc w:val="both"/>
      </w:pPr>
      <w:r w:rsidRPr="00166772">
        <w:t xml:space="preserve">Afsaruddin, A. (2022) ‘The Concept of Harmony in Islamic Thought and Practice’, in Li, C. and Düring, D. (eds.) </w:t>
      </w:r>
      <w:r w:rsidRPr="00166772">
        <w:rPr>
          <w:i/>
          <w:iCs/>
        </w:rPr>
        <w:t>The Virtue of Harmony</w:t>
      </w:r>
      <w:r w:rsidRPr="00166772">
        <w:t>. Oxford: Oxford University Press, pp. 155–181.</w:t>
      </w:r>
    </w:p>
    <w:p w14:paraId="1C979A37" w14:textId="77777777" w:rsidR="00166772" w:rsidRPr="00166772" w:rsidRDefault="00166772" w:rsidP="00166772">
      <w:pPr>
        <w:ind w:left="720"/>
        <w:jc w:val="both"/>
      </w:pPr>
      <w:r w:rsidRPr="00166772">
        <w:t xml:space="preserve">Eck, D.L. (2001) </w:t>
      </w:r>
      <w:r w:rsidRPr="00166772">
        <w:rPr>
          <w:i/>
          <w:iCs/>
        </w:rPr>
        <w:t>A New Religious America: How a “Christian Country” Has Become the World’s Most Religiously Diverse Nation</w:t>
      </w:r>
      <w:r w:rsidRPr="00166772">
        <w:t>. San Francisco: HarperSanFrancisco.</w:t>
      </w:r>
    </w:p>
    <w:p w14:paraId="7F03E95F" w14:textId="77777777" w:rsidR="00166772" w:rsidRPr="00166772" w:rsidRDefault="00166772" w:rsidP="00166772">
      <w:pPr>
        <w:ind w:left="720"/>
        <w:jc w:val="both"/>
      </w:pPr>
      <w:r w:rsidRPr="00166772">
        <w:t xml:space="preserve">Li, C. (2006) ‘The Confucian Ideal of Harmony’, </w:t>
      </w:r>
      <w:r w:rsidRPr="00166772">
        <w:rPr>
          <w:i/>
          <w:iCs/>
        </w:rPr>
        <w:t>Philosophy East and West</w:t>
      </w:r>
      <w:r w:rsidRPr="00166772">
        <w:t>, 56(4), pp. 583–603.</w:t>
      </w:r>
    </w:p>
    <w:p w14:paraId="541CE6F5" w14:textId="77777777" w:rsidR="00166772" w:rsidRPr="00166772" w:rsidRDefault="00166772" w:rsidP="00166772">
      <w:pPr>
        <w:ind w:left="720"/>
        <w:jc w:val="both"/>
      </w:pPr>
      <w:r w:rsidRPr="00166772">
        <w:t xml:space="preserve">Slater, A. (2020) ‘Difference, Beauty, and the Divine: Harmony in Religious Plurality’, in Campion, N. (ed.) </w:t>
      </w:r>
      <w:r w:rsidRPr="00166772">
        <w:rPr>
          <w:i/>
          <w:iCs/>
        </w:rPr>
        <w:t>The Harmony Debates: Exploring a Practical Philosophy for a Sustainable Future</w:t>
      </w:r>
      <w:r w:rsidRPr="00166772">
        <w:t>. Lampeter: Sophia Centre Press, pp. 97–114.</w:t>
      </w:r>
    </w:p>
    <w:p w14:paraId="0530FC2F" w14:textId="77777777" w:rsidR="004D3890" w:rsidRDefault="004D3890" w:rsidP="008B6E5C">
      <w:pPr>
        <w:ind w:firstLine="720"/>
        <w:jc w:val="both"/>
      </w:pPr>
    </w:p>
    <w:sectPr w:rsidR="004D3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15512"/>
    <w:multiLevelType w:val="hybridMultilevel"/>
    <w:tmpl w:val="035057DC"/>
    <w:lvl w:ilvl="0" w:tplc="0B2CE8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F11CDF"/>
    <w:multiLevelType w:val="hybridMultilevel"/>
    <w:tmpl w:val="BD725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0961F06"/>
    <w:multiLevelType w:val="hybridMultilevel"/>
    <w:tmpl w:val="A406E2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C007ED8"/>
    <w:multiLevelType w:val="hybridMultilevel"/>
    <w:tmpl w:val="CB8AF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82943122">
    <w:abstractNumId w:val="0"/>
  </w:num>
  <w:num w:numId="2" w16cid:durableId="487092522">
    <w:abstractNumId w:val="1"/>
  </w:num>
  <w:num w:numId="3" w16cid:durableId="777681800">
    <w:abstractNumId w:val="2"/>
  </w:num>
  <w:num w:numId="4" w16cid:durableId="121191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EB8"/>
    <w:rsid w:val="000102A6"/>
    <w:rsid w:val="00027D10"/>
    <w:rsid w:val="00056CBE"/>
    <w:rsid w:val="00057BB3"/>
    <w:rsid w:val="00071898"/>
    <w:rsid w:val="00071D86"/>
    <w:rsid w:val="00076FE1"/>
    <w:rsid w:val="0007777E"/>
    <w:rsid w:val="000929B9"/>
    <w:rsid w:val="000943A2"/>
    <w:rsid w:val="000944BD"/>
    <w:rsid w:val="00096B28"/>
    <w:rsid w:val="00096C98"/>
    <w:rsid w:val="000B227E"/>
    <w:rsid w:val="000B5386"/>
    <w:rsid w:val="000C55AB"/>
    <w:rsid w:val="000F0959"/>
    <w:rsid w:val="0013187D"/>
    <w:rsid w:val="00147E50"/>
    <w:rsid w:val="00152A32"/>
    <w:rsid w:val="0016596E"/>
    <w:rsid w:val="00166772"/>
    <w:rsid w:val="0017420A"/>
    <w:rsid w:val="00174415"/>
    <w:rsid w:val="00175601"/>
    <w:rsid w:val="001907E2"/>
    <w:rsid w:val="00197B5B"/>
    <w:rsid w:val="001A2722"/>
    <w:rsid w:val="001B34B5"/>
    <w:rsid w:val="001B6D01"/>
    <w:rsid w:val="001D6A7C"/>
    <w:rsid w:val="001D7306"/>
    <w:rsid w:val="001E2683"/>
    <w:rsid w:val="001F13E5"/>
    <w:rsid w:val="001F6ABA"/>
    <w:rsid w:val="002227E4"/>
    <w:rsid w:val="002235FA"/>
    <w:rsid w:val="00230ED9"/>
    <w:rsid w:val="00252F82"/>
    <w:rsid w:val="00254E88"/>
    <w:rsid w:val="00256F8A"/>
    <w:rsid w:val="0026022D"/>
    <w:rsid w:val="00265E15"/>
    <w:rsid w:val="00270240"/>
    <w:rsid w:val="00274EB6"/>
    <w:rsid w:val="002C5597"/>
    <w:rsid w:val="00334425"/>
    <w:rsid w:val="00340257"/>
    <w:rsid w:val="003470E2"/>
    <w:rsid w:val="003513FC"/>
    <w:rsid w:val="00357020"/>
    <w:rsid w:val="0035772B"/>
    <w:rsid w:val="003646AD"/>
    <w:rsid w:val="0038177A"/>
    <w:rsid w:val="003B0A61"/>
    <w:rsid w:val="003E24DC"/>
    <w:rsid w:val="003F4C21"/>
    <w:rsid w:val="003F66AC"/>
    <w:rsid w:val="004029EC"/>
    <w:rsid w:val="0041467A"/>
    <w:rsid w:val="00417176"/>
    <w:rsid w:val="00420174"/>
    <w:rsid w:val="00420319"/>
    <w:rsid w:val="00424ADA"/>
    <w:rsid w:val="00433109"/>
    <w:rsid w:val="0043503A"/>
    <w:rsid w:val="00437C8E"/>
    <w:rsid w:val="00441F90"/>
    <w:rsid w:val="00442BF9"/>
    <w:rsid w:val="00444147"/>
    <w:rsid w:val="004573A5"/>
    <w:rsid w:val="00462154"/>
    <w:rsid w:val="00462399"/>
    <w:rsid w:val="004745B1"/>
    <w:rsid w:val="004802F9"/>
    <w:rsid w:val="00497DF7"/>
    <w:rsid w:val="004A02C3"/>
    <w:rsid w:val="004A0479"/>
    <w:rsid w:val="004D3890"/>
    <w:rsid w:val="004E1977"/>
    <w:rsid w:val="004E27A8"/>
    <w:rsid w:val="004E35A6"/>
    <w:rsid w:val="004E62A6"/>
    <w:rsid w:val="004F6F55"/>
    <w:rsid w:val="005365E4"/>
    <w:rsid w:val="005518B7"/>
    <w:rsid w:val="00552F5A"/>
    <w:rsid w:val="00554A1F"/>
    <w:rsid w:val="00564F86"/>
    <w:rsid w:val="005656B0"/>
    <w:rsid w:val="005679E8"/>
    <w:rsid w:val="005730E2"/>
    <w:rsid w:val="00592855"/>
    <w:rsid w:val="00597942"/>
    <w:rsid w:val="005C22FD"/>
    <w:rsid w:val="005C53E0"/>
    <w:rsid w:val="005F0B73"/>
    <w:rsid w:val="005F75FC"/>
    <w:rsid w:val="00610016"/>
    <w:rsid w:val="00630896"/>
    <w:rsid w:val="0063174A"/>
    <w:rsid w:val="00667A6D"/>
    <w:rsid w:val="006843B4"/>
    <w:rsid w:val="00684C21"/>
    <w:rsid w:val="006878E0"/>
    <w:rsid w:val="006964B0"/>
    <w:rsid w:val="006C6FDD"/>
    <w:rsid w:val="006F707B"/>
    <w:rsid w:val="00710C90"/>
    <w:rsid w:val="00734D18"/>
    <w:rsid w:val="0077264E"/>
    <w:rsid w:val="007754B7"/>
    <w:rsid w:val="007A0AB5"/>
    <w:rsid w:val="007A6068"/>
    <w:rsid w:val="007A6656"/>
    <w:rsid w:val="007E77EA"/>
    <w:rsid w:val="008001A8"/>
    <w:rsid w:val="0080206F"/>
    <w:rsid w:val="0080518C"/>
    <w:rsid w:val="008108F1"/>
    <w:rsid w:val="00842C68"/>
    <w:rsid w:val="0084354B"/>
    <w:rsid w:val="008511B8"/>
    <w:rsid w:val="00880DA5"/>
    <w:rsid w:val="00885550"/>
    <w:rsid w:val="0089128B"/>
    <w:rsid w:val="008965F9"/>
    <w:rsid w:val="008B23DD"/>
    <w:rsid w:val="008B68B5"/>
    <w:rsid w:val="008B6E5C"/>
    <w:rsid w:val="008E29BD"/>
    <w:rsid w:val="008E4974"/>
    <w:rsid w:val="008F2754"/>
    <w:rsid w:val="008F4F87"/>
    <w:rsid w:val="009102AD"/>
    <w:rsid w:val="00945A26"/>
    <w:rsid w:val="00955619"/>
    <w:rsid w:val="00971672"/>
    <w:rsid w:val="00977D2C"/>
    <w:rsid w:val="009A1ACC"/>
    <w:rsid w:val="009C55F5"/>
    <w:rsid w:val="009D2DD0"/>
    <w:rsid w:val="009E5FB3"/>
    <w:rsid w:val="00A02FFF"/>
    <w:rsid w:val="00A03DFC"/>
    <w:rsid w:val="00A07433"/>
    <w:rsid w:val="00A11F02"/>
    <w:rsid w:val="00A322DC"/>
    <w:rsid w:val="00A37939"/>
    <w:rsid w:val="00A834B3"/>
    <w:rsid w:val="00A936CB"/>
    <w:rsid w:val="00A9684F"/>
    <w:rsid w:val="00AA4EB8"/>
    <w:rsid w:val="00AE178C"/>
    <w:rsid w:val="00AF471D"/>
    <w:rsid w:val="00B2402B"/>
    <w:rsid w:val="00B251A3"/>
    <w:rsid w:val="00B537CC"/>
    <w:rsid w:val="00B565C5"/>
    <w:rsid w:val="00B66608"/>
    <w:rsid w:val="00B84A90"/>
    <w:rsid w:val="00B90C5E"/>
    <w:rsid w:val="00B97145"/>
    <w:rsid w:val="00B974C3"/>
    <w:rsid w:val="00BA3FC1"/>
    <w:rsid w:val="00BB372B"/>
    <w:rsid w:val="00BD2FC9"/>
    <w:rsid w:val="00BD6DF4"/>
    <w:rsid w:val="00BE6480"/>
    <w:rsid w:val="00BF59FE"/>
    <w:rsid w:val="00C12C64"/>
    <w:rsid w:val="00C148F0"/>
    <w:rsid w:val="00C1521E"/>
    <w:rsid w:val="00C27A51"/>
    <w:rsid w:val="00C35B81"/>
    <w:rsid w:val="00C42E67"/>
    <w:rsid w:val="00C73626"/>
    <w:rsid w:val="00C73CAC"/>
    <w:rsid w:val="00C76B95"/>
    <w:rsid w:val="00C812CA"/>
    <w:rsid w:val="00C833BD"/>
    <w:rsid w:val="00C83DC3"/>
    <w:rsid w:val="00C97699"/>
    <w:rsid w:val="00CB029B"/>
    <w:rsid w:val="00CB6EC6"/>
    <w:rsid w:val="00CC5B90"/>
    <w:rsid w:val="00CD17AB"/>
    <w:rsid w:val="00CD1BB4"/>
    <w:rsid w:val="00CE2039"/>
    <w:rsid w:val="00CF334F"/>
    <w:rsid w:val="00CF4E04"/>
    <w:rsid w:val="00D02482"/>
    <w:rsid w:val="00D06763"/>
    <w:rsid w:val="00D503CE"/>
    <w:rsid w:val="00D533B8"/>
    <w:rsid w:val="00D811C7"/>
    <w:rsid w:val="00D95EF5"/>
    <w:rsid w:val="00DA0EE8"/>
    <w:rsid w:val="00DB1491"/>
    <w:rsid w:val="00DC3B42"/>
    <w:rsid w:val="00DD1B98"/>
    <w:rsid w:val="00DD49DA"/>
    <w:rsid w:val="00DE6D3F"/>
    <w:rsid w:val="00E0181C"/>
    <w:rsid w:val="00E074C8"/>
    <w:rsid w:val="00E11204"/>
    <w:rsid w:val="00E13AB3"/>
    <w:rsid w:val="00E172CF"/>
    <w:rsid w:val="00E17C06"/>
    <w:rsid w:val="00E471E2"/>
    <w:rsid w:val="00E579C2"/>
    <w:rsid w:val="00E75109"/>
    <w:rsid w:val="00E7756C"/>
    <w:rsid w:val="00E80A1E"/>
    <w:rsid w:val="00E95E05"/>
    <w:rsid w:val="00EB0F46"/>
    <w:rsid w:val="00F107C1"/>
    <w:rsid w:val="00F21613"/>
    <w:rsid w:val="00F2563F"/>
    <w:rsid w:val="00F25E14"/>
    <w:rsid w:val="00F326AC"/>
    <w:rsid w:val="00F3630F"/>
    <w:rsid w:val="00F53364"/>
    <w:rsid w:val="00F54027"/>
    <w:rsid w:val="00F62F63"/>
    <w:rsid w:val="00F7276B"/>
    <w:rsid w:val="00FA65B0"/>
    <w:rsid w:val="00FB6916"/>
    <w:rsid w:val="00FD2507"/>
    <w:rsid w:val="00FD53F6"/>
    <w:rsid w:val="00FE073F"/>
    <w:rsid w:val="00FE5868"/>
    <w:rsid w:val="00FF328E"/>
    <w:rsid w:val="00FF58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1ADB"/>
  <w15:chartTrackingRefBased/>
  <w15:docId w15:val="{8B7A5F56-5659-4515-AD17-963E61862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E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E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E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E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EB8"/>
    <w:rPr>
      <w:rFonts w:eastAsiaTheme="majorEastAsia" w:cstheme="majorBidi"/>
      <w:color w:val="272727" w:themeColor="text1" w:themeTint="D8"/>
    </w:rPr>
  </w:style>
  <w:style w:type="paragraph" w:styleId="Title">
    <w:name w:val="Title"/>
    <w:basedOn w:val="Normal"/>
    <w:next w:val="Normal"/>
    <w:link w:val="TitleChar"/>
    <w:uiPriority w:val="10"/>
    <w:qFormat/>
    <w:rsid w:val="00AA4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EB8"/>
    <w:pPr>
      <w:spacing w:before="160"/>
      <w:jc w:val="center"/>
    </w:pPr>
    <w:rPr>
      <w:i/>
      <w:iCs/>
      <w:color w:val="404040" w:themeColor="text1" w:themeTint="BF"/>
    </w:rPr>
  </w:style>
  <w:style w:type="character" w:customStyle="1" w:styleId="QuoteChar">
    <w:name w:val="Quote Char"/>
    <w:basedOn w:val="DefaultParagraphFont"/>
    <w:link w:val="Quote"/>
    <w:uiPriority w:val="29"/>
    <w:rsid w:val="00AA4EB8"/>
    <w:rPr>
      <w:i/>
      <w:iCs/>
      <w:color w:val="404040" w:themeColor="text1" w:themeTint="BF"/>
    </w:rPr>
  </w:style>
  <w:style w:type="paragraph" w:styleId="ListParagraph">
    <w:name w:val="List Paragraph"/>
    <w:basedOn w:val="Normal"/>
    <w:uiPriority w:val="34"/>
    <w:qFormat/>
    <w:rsid w:val="00AA4EB8"/>
    <w:pPr>
      <w:ind w:left="720"/>
      <w:contextualSpacing/>
    </w:pPr>
  </w:style>
  <w:style w:type="character" w:styleId="IntenseEmphasis">
    <w:name w:val="Intense Emphasis"/>
    <w:basedOn w:val="DefaultParagraphFont"/>
    <w:uiPriority w:val="21"/>
    <w:qFormat/>
    <w:rsid w:val="00AA4EB8"/>
    <w:rPr>
      <w:i/>
      <w:iCs/>
      <w:color w:val="0F4761" w:themeColor="accent1" w:themeShade="BF"/>
    </w:rPr>
  </w:style>
  <w:style w:type="paragraph" w:styleId="IntenseQuote">
    <w:name w:val="Intense Quote"/>
    <w:basedOn w:val="Normal"/>
    <w:next w:val="Normal"/>
    <w:link w:val="IntenseQuoteChar"/>
    <w:uiPriority w:val="30"/>
    <w:qFormat/>
    <w:rsid w:val="00AA4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EB8"/>
    <w:rPr>
      <w:i/>
      <w:iCs/>
      <w:color w:val="0F4761" w:themeColor="accent1" w:themeShade="BF"/>
    </w:rPr>
  </w:style>
  <w:style w:type="character" w:styleId="IntenseReference">
    <w:name w:val="Intense Reference"/>
    <w:basedOn w:val="DefaultParagraphFont"/>
    <w:uiPriority w:val="32"/>
    <w:qFormat/>
    <w:rsid w:val="00AA4E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2908</TotalTime>
  <Pages>8</Pages>
  <Words>2650</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Mohamad Ghabris</dc:creator>
  <cp:keywords/>
  <dc:description/>
  <cp:lastModifiedBy>Mohamad Ghabris</cp:lastModifiedBy>
  <cp:revision>203</cp:revision>
  <dcterms:created xsi:type="dcterms:W3CDTF">2026-05-10T12:35:00Z</dcterms:created>
  <dcterms:modified xsi:type="dcterms:W3CDTF">2026-05-18T17:28:00Z</dcterms:modified>
</cp:coreProperties>
</file>