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687BC" w14:textId="77777777" w:rsidR="009A3636" w:rsidRDefault="009A3636" w:rsidP="009A3636">
      <w:pPr>
        <w:jc w:val="center"/>
        <w:rPr>
          <w:b/>
          <w:bCs/>
          <w:sz w:val="24"/>
          <w:szCs w:val="24"/>
        </w:rPr>
      </w:pPr>
    </w:p>
    <w:p w14:paraId="77B5AA21" w14:textId="77777777" w:rsidR="009A3636" w:rsidRDefault="009A3636" w:rsidP="009A3636">
      <w:pPr>
        <w:jc w:val="center"/>
        <w:rPr>
          <w:b/>
          <w:bCs/>
          <w:sz w:val="24"/>
          <w:szCs w:val="24"/>
        </w:rPr>
      </w:pPr>
    </w:p>
    <w:p w14:paraId="0D8F8334" w14:textId="77777777" w:rsidR="009A3636" w:rsidRDefault="009A3636" w:rsidP="009A3636">
      <w:pPr>
        <w:jc w:val="center"/>
        <w:rPr>
          <w:b/>
          <w:bCs/>
          <w:sz w:val="24"/>
          <w:szCs w:val="24"/>
        </w:rPr>
      </w:pPr>
    </w:p>
    <w:p w14:paraId="403F2D62" w14:textId="0F4CBA30" w:rsidR="008C09B0" w:rsidRDefault="005B1ED6" w:rsidP="009A3636">
      <w:pPr>
        <w:jc w:val="center"/>
        <w:rPr>
          <w:b/>
          <w:bCs/>
          <w:sz w:val="24"/>
          <w:szCs w:val="24"/>
        </w:rPr>
      </w:pPr>
      <w:r>
        <w:rPr>
          <w:b/>
          <w:bCs/>
          <w:sz w:val="24"/>
          <w:szCs w:val="24"/>
        </w:rPr>
        <w:t>Programme: MSc Public Health and Social Care in Practice</w:t>
      </w:r>
    </w:p>
    <w:p w14:paraId="52BCDFBE" w14:textId="77777777" w:rsidR="008C09B0" w:rsidRDefault="005B1ED6" w:rsidP="009A3636">
      <w:pPr>
        <w:jc w:val="center"/>
        <w:rPr>
          <w:b/>
          <w:bCs/>
          <w:sz w:val="24"/>
          <w:szCs w:val="24"/>
        </w:rPr>
      </w:pPr>
      <w:r>
        <w:rPr>
          <w:b/>
          <w:bCs/>
          <w:sz w:val="24"/>
          <w:szCs w:val="24"/>
        </w:rPr>
        <w:t>Module: Social Epidemiology and Public Health Development</w:t>
      </w:r>
    </w:p>
    <w:p w14:paraId="32E05F61" w14:textId="77777777" w:rsidR="008C09B0" w:rsidRDefault="005B1ED6" w:rsidP="009A3636">
      <w:pPr>
        <w:jc w:val="center"/>
        <w:rPr>
          <w:b/>
          <w:bCs/>
          <w:sz w:val="24"/>
          <w:szCs w:val="24"/>
        </w:rPr>
      </w:pPr>
      <w:r>
        <w:rPr>
          <w:b/>
          <w:bCs/>
          <w:sz w:val="24"/>
          <w:szCs w:val="24"/>
        </w:rPr>
        <w:t>Module code: LCHS7000</w:t>
      </w:r>
    </w:p>
    <w:p w14:paraId="64B7E088" w14:textId="77777777" w:rsidR="008C09B0" w:rsidRDefault="005B1ED6" w:rsidP="009A3636">
      <w:pPr>
        <w:jc w:val="center"/>
        <w:rPr>
          <w:b/>
          <w:bCs/>
          <w:sz w:val="24"/>
          <w:szCs w:val="24"/>
        </w:rPr>
      </w:pPr>
      <w:r>
        <w:rPr>
          <w:b/>
          <w:bCs/>
          <w:sz w:val="24"/>
          <w:szCs w:val="24"/>
        </w:rPr>
        <w:t>Assignment Title: Component 2 Analytical Report</w:t>
      </w:r>
    </w:p>
    <w:p w14:paraId="7D2DA881" w14:textId="77777777" w:rsidR="008C09B0" w:rsidRDefault="008C09B0" w:rsidP="009A3636">
      <w:pPr>
        <w:jc w:val="center"/>
        <w:rPr>
          <w:b/>
          <w:bCs/>
          <w:i/>
          <w:iCs/>
          <w:sz w:val="24"/>
          <w:szCs w:val="24"/>
        </w:rPr>
      </w:pPr>
    </w:p>
    <w:p w14:paraId="5BA65AAB" w14:textId="3C822077" w:rsidR="008C09B0" w:rsidRDefault="005B1ED6" w:rsidP="009A3636">
      <w:pPr>
        <w:jc w:val="center"/>
        <w:rPr>
          <w:b/>
          <w:bCs/>
          <w:i/>
          <w:iCs/>
          <w:sz w:val="24"/>
          <w:szCs w:val="24"/>
        </w:rPr>
      </w:pPr>
      <w:r>
        <w:rPr>
          <w:b/>
          <w:bCs/>
          <w:i/>
          <w:iCs/>
          <w:sz w:val="24"/>
          <w:szCs w:val="24"/>
        </w:rPr>
        <w:t>Student name:</w:t>
      </w:r>
      <w:r w:rsidR="00901026">
        <w:rPr>
          <w:b/>
          <w:bCs/>
          <w:i/>
          <w:iCs/>
          <w:sz w:val="24"/>
          <w:szCs w:val="24"/>
        </w:rPr>
        <w:t>Pati Asha</w:t>
      </w:r>
    </w:p>
    <w:p w14:paraId="17F12B10" w14:textId="199F0DAF" w:rsidR="008C09B0" w:rsidRDefault="005B1ED6" w:rsidP="009A3636">
      <w:pPr>
        <w:jc w:val="center"/>
        <w:rPr>
          <w:b/>
          <w:bCs/>
          <w:i/>
          <w:iCs/>
          <w:sz w:val="24"/>
          <w:szCs w:val="24"/>
        </w:rPr>
      </w:pPr>
      <w:r>
        <w:rPr>
          <w:b/>
          <w:bCs/>
          <w:i/>
          <w:iCs/>
          <w:sz w:val="24"/>
          <w:szCs w:val="24"/>
        </w:rPr>
        <w:t>Student numbers:</w:t>
      </w:r>
      <w:r w:rsidR="00901026">
        <w:rPr>
          <w:b/>
          <w:bCs/>
          <w:i/>
          <w:iCs/>
          <w:sz w:val="24"/>
          <w:szCs w:val="24"/>
        </w:rPr>
        <w:t>2513192</w:t>
      </w:r>
    </w:p>
    <w:p w14:paraId="1A0DCF98" w14:textId="2AC82E6B" w:rsidR="008C09B0" w:rsidRDefault="005B1ED6" w:rsidP="009A3636">
      <w:pPr>
        <w:jc w:val="center"/>
        <w:rPr>
          <w:b/>
          <w:bCs/>
          <w:i/>
          <w:iCs/>
          <w:sz w:val="24"/>
          <w:szCs w:val="24"/>
        </w:rPr>
      </w:pPr>
      <w:r>
        <w:rPr>
          <w:b/>
          <w:bCs/>
          <w:i/>
          <w:iCs/>
          <w:sz w:val="24"/>
          <w:szCs w:val="24"/>
        </w:rPr>
        <w:t>Lecturer’s name:</w:t>
      </w:r>
      <w:r w:rsidR="00901026">
        <w:rPr>
          <w:b/>
          <w:bCs/>
          <w:i/>
          <w:iCs/>
          <w:sz w:val="24"/>
          <w:szCs w:val="24"/>
        </w:rPr>
        <w:t xml:space="preserve"> Dr Hamdi Hussain</w:t>
      </w:r>
    </w:p>
    <w:p w14:paraId="1EE1B856" w14:textId="77777777" w:rsidR="008C09B0" w:rsidRDefault="008C09B0" w:rsidP="00E359C0">
      <w:pPr>
        <w:rPr>
          <w:b/>
          <w:bCs/>
          <w:i/>
          <w:iCs/>
          <w:sz w:val="24"/>
          <w:szCs w:val="24"/>
        </w:rPr>
      </w:pPr>
    </w:p>
    <w:p w14:paraId="12A7A558" w14:textId="347746DC" w:rsidR="00E359C0" w:rsidRDefault="00E359C0">
      <w:pPr>
        <w:rPr>
          <w:b/>
          <w:bCs/>
          <w:i/>
          <w:iCs/>
          <w:sz w:val="24"/>
          <w:szCs w:val="24"/>
        </w:rPr>
      </w:pPr>
      <w:r>
        <w:rPr>
          <w:b/>
          <w:bCs/>
          <w:i/>
          <w:iCs/>
          <w:sz w:val="24"/>
          <w:szCs w:val="24"/>
        </w:rPr>
        <w:br w:type="page"/>
      </w:r>
    </w:p>
    <w:sdt>
      <w:sdtPr>
        <w:rPr>
          <w:rFonts w:ascii="Arial" w:eastAsia="Arial" w:hAnsi="Arial" w:cs="Arial"/>
          <w:color w:val="auto"/>
          <w:sz w:val="22"/>
          <w:szCs w:val="22"/>
          <w:lang w:val="en" w:eastAsia="en-GB" w:bidi="hi-IN"/>
        </w:rPr>
        <w:id w:val="1343360406"/>
        <w:docPartObj>
          <w:docPartGallery w:val="Table of Contents"/>
          <w:docPartUnique/>
        </w:docPartObj>
      </w:sdtPr>
      <w:sdtEndPr>
        <w:rPr>
          <w:b/>
          <w:bCs/>
          <w:noProof/>
        </w:rPr>
      </w:sdtEndPr>
      <w:sdtContent>
        <w:p w14:paraId="447ED7F7" w14:textId="3475D8C1" w:rsidR="00E359C0" w:rsidRPr="009A3636" w:rsidRDefault="00E359C0" w:rsidP="009A3636">
          <w:pPr>
            <w:pStyle w:val="TOCHeading"/>
            <w:jc w:val="center"/>
            <w:rPr>
              <w:rFonts w:ascii="Arial" w:hAnsi="Arial" w:cs="Arial"/>
              <w:b/>
              <w:color w:val="auto"/>
            </w:rPr>
          </w:pPr>
          <w:r w:rsidRPr="009A3636">
            <w:rPr>
              <w:rFonts w:ascii="Arial" w:hAnsi="Arial" w:cs="Arial"/>
              <w:b/>
              <w:color w:val="auto"/>
            </w:rPr>
            <w:t>Table of Contents</w:t>
          </w:r>
        </w:p>
        <w:p w14:paraId="6859976A" w14:textId="4CE6FC4A" w:rsidR="00E359C0" w:rsidRDefault="00E359C0">
          <w:pPr>
            <w:pStyle w:val="TOC1"/>
            <w:tabs>
              <w:tab w:val="right" w:leader="dot" w:pos="9350"/>
            </w:tabs>
            <w:rPr>
              <w:noProof/>
            </w:rPr>
          </w:pPr>
          <w:r>
            <w:fldChar w:fldCharType="begin"/>
          </w:r>
          <w:r>
            <w:instrText xml:space="preserve"> TOC \o "1-3" \h \z \u </w:instrText>
          </w:r>
          <w:r>
            <w:fldChar w:fldCharType="separate"/>
          </w:r>
          <w:hyperlink w:anchor="_Toc213687360" w:history="1">
            <w:r w:rsidRPr="00BE5BEF">
              <w:rPr>
                <w:rStyle w:val="Hyperlink"/>
                <w:noProof/>
              </w:rPr>
              <w:t>Task 1: Social Epidemiological Analysis: Disability and health inequalities</w:t>
            </w:r>
            <w:r>
              <w:rPr>
                <w:noProof/>
                <w:webHidden/>
              </w:rPr>
              <w:tab/>
            </w:r>
            <w:r>
              <w:rPr>
                <w:noProof/>
                <w:webHidden/>
              </w:rPr>
              <w:fldChar w:fldCharType="begin"/>
            </w:r>
            <w:r>
              <w:rPr>
                <w:noProof/>
                <w:webHidden/>
              </w:rPr>
              <w:instrText xml:space="preserve"> PAGEREF _Toc213687360 \h </w:instrText>
            </w:r>
            <w:r>
              <w:rPr>
                <w:noProof/>
                <w:webHidden/>
              </w:rPr>
            </w:r>
            <w:r>
              <w:rPr>
                <w:noProof/>
                <w:webHidden/>
              </w:rPr>
              <w:fldChar w:fldCharType="separate"/>
            </w:r>
            <w:r>
              <w:rPr>
                <w:noProof/>
                <w:webHidden/>
              </w:rPr>
              <w:t>4</w:t>
            </w:r>
            <w:r>
              <w:rPr>
                <w:noProof/>
                <w:webHidden/>
              </w:rPr>
              <w:fldChar w:fldCharType="end"/>
            </w:r>
          </w:hyperlink>
        </w:p>
        <w:p w14:paraId="5012B611" w14:textId="7115D205" w:rsidR="00E359C0" w:rsidRDefault="00E359C0">
          <w:pPr>
            <w:pStyle w:val="TOC1"/>
            <w:tabs>
              <w:tab w:val="right" w:leader="dot" w:pos="9350"/>
            </w:tabs>
            <w:rPr>
              <w:noProof/>
            </w:rPr>
          </w:pPr>
          <w:hyperlink w:anchor="_Toc213687361" w:history="1">
            <w:r w:rsidRPr="00BE5BEF">
              <w:rPr>
                <w:rStyle w:val="Hyperlink"/>
                <w:noProof/>
              </w:rPr>
              <w:t>Title: Inequalities in Health: Disability and Health Inequalities in the United Kingdom</w:t>
            </w:r>
            <w:r>
              <w:rPr>
                <w:noProof/>
                <w:webHidden/>
              </w:rPr>
              <w:tab/>
            </w:r>
            <w:r>
              <w:rPr>
                <w:noProof/>
                <w:webHidden/>
              </w:rPr>
              <w:fldChar w:fldCharType="begin"/>
            </w:r>
            <w:r>
              <w:rPr>
                <w:noProof/>
                <w:webHidden/>
              </w:rPr>
              <w:instrText xml:space="preserve"> PAGEREF _Toc213687361 \h </w:instrText>
            </w:r>
            <w:r>
              <w:rPr>
                <w:noProof/>
                <w:webHidden/>
              </w:rPr>
            </w:r>
            <w:r>
              <w:rPr>
                <w:noProof/>
                <w:webHidden/>
              </w:rPr>
              <w:fldChar w:fldCharType="separate"/>
            </w:r>
            <w:r>
              <w:rPr>
                <w:noProof/>
                <w:webHidden/>
              </w:rPr>
              <w:t>4</w:t>
            </w:r>
            <w:r>
              <w:rPr>
                <w:noProof/>
                <w:webHidden/>
              </w:rPr>
              <w:fldChar w:fldCharType="end"/>
            </w:r>
          </w:hyperlink>
        </w:p>
        <w:p w14:paraId="78DF8DFA" w14:textId="0A1D7D28" w:rsidR="00E359C0" w:rsidRDefault="00E359C0">
          <w:pPr>
            <w:pStyle w:val="TOC1"/>
            <w:tabs>
              <w:tab w:val="right" w:leader="dot" w:pos="9350"/>
            </w:tabs>
            <w:rPr>
              <w:noProof/>
            </w:rPr>
          </w:pPr>
          <w:hyperlink w:anchor="_Toc213687362" w:history="1">
            <w:r w:rsidRPr="00BE5BEF">
              <w:rPr>
                <w:rStyle w:val="Hyperlink"/>
                <w:noProof/>
              </w:rPr>
              <w:t>1. Introduction</w:t>
            </w:r>
            <w:r>
              <w:rPr>
                <w:noProof/>
                <w:webHidden/>
              </w:rPr>
              <w:tab/>
            </w:r>
            <w:r>
              <w:rPr>
                <w:noProof/>
                <w:webHidden/>
              </w:rPr>
              <w:fldChar w:fldCharType="begin"/>
            </w:r>
            <w:r>
              <w:rPr>
                <w:noProof/>
                <w:webHidden/>
              </w:rPr>
              <w:instrText xml:space="preserve"> PAGEREF _Toc213687362 \h </w:instrText>
            </w:r>
            <w:r>
              <w:rPr>
                <w:noProof/>
                <w:webHidden/>
              </w:rPr>
            </w:r>
            <w:r>
              <w:rPr>
                <w:noProof/>
                <w:webHidden/>
              </w:rPr>
              <w:fldChar w:fldCharType="separate"/>
            </w:r>
            <w:r>
              <w:rPr>
                <w:noProof/>
                <w:webHidden/>
              </w:rPr>
              <w:t>4</w:t>
            </w:r>
            <w:r>
              <w:rPr>
                <w:noProof/>
                <w:webHidden/>
              </w:rPr>
              <w:fldChar w:fldCharType="end"/>
            </w:r>
          </w:hyperlink>
        </w:p>
        <w:p w14:paraId="3356ADED" w14:textId="2FC27843" w:rsidR="00E359C0" w:rsidRDefault="00E359C0">
          <w:pPr>
            <w:pStyle w:val="TOC1"/>
            <w:tabs>
              <w:tab w:val="right" w:leader="dot" w:pos="9350"/>
            </w:tabs>
            <w:rPr>
              <w:noProof/>
            </w:rPr>
          </w:pPr>
          <w:hyperlink w:anchor="_Toc213687363" w:history="1">
            <w:r w:rsidRPr="00BE5BEF">
              <w:rPr>
                <w:rStyle w:val="Hyperlink"/>
                <w:noProof/>
              </w:rPr>
              <w:t>2. Contextual background and underlying factors</w:t>
            </w:r>
            <w:r>
              <w:rPr>
                <w:noProof/>
                <w:webHidden/>
              </w:rPr>
              <w:tab/>
            </w:r>
            <w:r>
              <w:rPr>
                <w:noProof/>
                <w:webHidden/>
              </w:rPr>
              <w:fldChar w:fldCharType="begin"/>
            </w:r>
            <w:r>
              <w:rPr>
                <w:noProof/>
                <w:webHidden/>
              </w:rPr>
              <w:instrText xml:space="preserve"> PAGEREF _Toc213687363 \h </w:instrText>
            </w:r>
            <w:r>
              <w:rPr>
                <w:noProof/>
                <w:webHidden/>
              </w:rPr>
            </w:r>
            <w:r>
              <w:rPr>
                <w:noProof/>
                <w:webHidden/>
              </w:rPr>
              <w:fldChar w:fldCharType="separate"/>
            </w:r>
            <w:r>
              <w:rPr>
                <w:noProof/>
                <w:webHidden/>
              </w:rPr>
              <w:t>5</w:t>
            </w:r>
            <w:r>
              <w:rPr>
                <w:noProof/>
                <w:webHidden/>
              </w:rPr>
              <w:fldChar w:fldCharType="end"/>
            </w:r>
          </w:hyperlink>
        </w:p>
        <w:p w14:paraId="1F5B2B8D" w14:textId="7296019B" w:rsidR="00E359C0" w:rsidRDefault="00E359C0">
          <w:pPr>
            <w:pStyle w:val="TOC2"/>
            <w:tabs>
              <w:tab w:val="right" w:leader="dot" w:pos="9350"/>
            </w:tabs>
            <w:rPr>
              <w:noProof/>
            </w:rPr>
          </w:pPr>
          <w:hyperlink w:anchor="_Toc213687364" w:history="1">
            <w:r w:rsidRPr="00BE5BEF">
              <w:rPr>
                <w:rStyle w:val="Hyperlink"/>
                <w:noProof/>
              </w:rPr>
              <w:t>2.1 Several and Diversifiable Cases.</w:t>
            </w:r>
            <w:r>
              <w:rPr>
                <w:noProof/>
                <w:webHidden/>
              </w:rPr>
              <w:tab/>
            </w:r>
            <w:r>
              <w:rPr>
                <w:noProof/>
                <w:webHidden/>
              </w:rPr>
              <w:fldChar w:fldCharType="begin"/>
            </w:r>
            <w:r>
              <w:rPr>
                <w:noProof/>
                <w:webHidden/>
              </w:rPr>
              <w:instrText xml:space="preserve"> PAGEREF _Toc213687364 \h </w:instrText>
            </w:r>
            <w:r>
              <w:rPr>
                <w:noProof/>
                <w:webHidden/>
              </w:rPr>
            </w:r>
            <w:r>
              <w:rPr>
                <w:noProof/>
                <w:webHidden/>
              </w:rPr>
              <w:fldChar w:fldCharType="separate"/>
            </w:r>
            <w:r>
              <w:rPr>
                <w:noProof/>
                <w:webHidden/>
              </w:rPr>
              <w:t>5</w:t>
            </w:r>
            <w:r>
              <w:rPr>
                <w:noProof/>
                <w:webHidden/>
              </w:rPr>
              <w:fldChar w:fldCharType="end"/>
            </w:r>
          </w:hyperlink>
        </w:p>
        <w:p w14:paraId="07A27A85" w14:textId="49A379CA" w:rsidR="00E359C0" w:rsidRDefault="00E359C0">
          <w:pPr>
            <w:pStyle w:val="TOC2"/>
            <w:tabs>
              <w:tab w:val="right" w:leader="dot" w:pos="9350"/>
            </w:tabs>
            <w:rPr>
              <w:noProof/>
            </w:rPr>
          </w:pPr>
          <w:hyperlink w:anchor="_Toc213687365" w:history="1">
            <w:r w:rsidRPr="00BE5BEF">
              <w:rPr>
                <w:rStyle w:val="Hyperlink"/>
                <w:noProof/>
              </w:rPr>
              <w:t>2.2 Poor Healthcare Accessibility and Preventable Death.</w:t>
            </w:r>
            <w:r>
              <w:rPr>
                <w:noProof/>
                <w:webHidden/>
              </w:rPr>
              <w:tab/>
            </w:r>
            <w:r>
              <w:rPr>
                <w:noProof/>
                <w:webHidden/>
              </w:rPr>
              <w:fldChar w:fldCharType="begin"/>
            </w:r>
            <w:r>
              <w:rPr>
                <w:noProof/>
                <w:webHidden/>
              </w:rPr>
              <w:instrText xml:space="preserve"> PAGEREF _Toc213687365 \h </w:instrText>
            </w:r>
            <w:r>
              <w:rPr>
                <w:noProof/>
                <w:webHidden/>
              </w:rPr>
            </w:r>
            <w:r>
              <w:rPr>
                <w:noProof/>
                <w:webHidden/>
              </w:rPr>
              <w:fldChar w:fldCharType="separate"/>
            </w:r>
            <w:r>
              <w:rPr>
                <w:noProof/>
                <w:webHidden/>
              </w:rPr>
              <w:t>6</w:t>
            </w:r>
            <w:r>
              <w:rPr>
                <w:noProof/>
                <w:webHidden/>
              </w:rPr>
              <w:fldChar w:fldCharType="end"/>
            </w:r>
          </w:hyperlink>
        </w:p>
        <w:p w14:paraId="7F42FFED" w14:textId="2A8F8ECB" w:rsidR="00E359C0" w:rsidRDefault="00E359C0">
          <w:pPr>
            <w:pStyle w:val="TOC2"/>
            <w:tabs>
              <w:tab w:val="right" w:leader="dot" w:pos="9350"/>
            </w:tabs>
            <w:rPr>
              <w:noProof/>
            </w:rPr>
          </w:pPr>
          <w:hyperlink w:anchor="_Toc213687366" w:history="1">
            <w:r w:rsidRPr="00BE5BEF">
              <w:rPr>
                <w:rStyle w:val="Hyperlink"/>
                <w:noProof/>
              </w:rPr>
              <w:t>2.3 Employment and Economic Disparity.</w:t>
            </w:r>
            <w:r>
              <w:rPr>
                <w:noProof/>
                <w:webHidden/>
              </w:rPr>
              <w:tab/>
            </w:r>
            <w:r>
              <w:rPr>
                <w:noProof/>
                <w:webHidden/>
              </w:rPr>
              <w:fldChar w:fldCharType="begin"/>
            </w:r>
            <w:r>
              <w:rPr>
                <w:noProof/>
                <w:webHidden/>
              </w:rPr>
              <w:instrText xml:space="preserve"> PAGEREF _Toc213687366 \h </w:instrText>
            </w:r>
            <w:r>
              <w:rPr>
                <w:noProof/>
                <w:webHidden/>
              </w:rPr>
            </w:r>
            <w:r>
              <w:rPr>
                <w:noProof/>
                <w:webHidden/>
              </w:rPr>
              <w:fldChar w:fldCharType="separate"/>
            </w:r>
            <w:r>
              <w:rPr>
                <w:noProof/>
                <w:webHidden/>
              </w:rPr>
              <w:t>6</w:t>
            </w:r>
            <w:r>
              <w:rPr>
                <w:noProof/>
                <w:webHidden/>
              </w:rPr>
              <w:fldChar w:fldCharType="end"/>
            </w:r>
          </w:hyperlink>
        </w:p>
        <w:p w14:paraId="48612F78" w14:textId="3B13C44A" w:rsidR="00E359C0" w:rsidRDefault="00E359C0">
          <w:pPr>
            <w:pStyle w:val="TOC2"/>
            <w:tabs>
              <w:tab w:val="right" w:leader="dot" w:pos="9350"/>
            </w:tabs>
            <w:rPr>
              <w:noProof/>
            </w:rPr>
          </w:pPr>
          <w:hyperlink w:anchor="_Toc213687367" w:history="1">
            <w:r w:rsidRPr="00BE5BEF">
              <w:rPr>
                <w:rStyle w:val="Hyperlink"/>
                <w:noProof/>
              </w:rPr>
              <w:t>2.4 Poverty and Material Deprivation.</w:t>
            </w:r>
            <w:r>
              <w:rPr>
                <w:noProof/>
                <w:webHidden/>
              </w:rPr>
              <w:tab/>
            </w:r>
            <w:r>
              <w:rPr>
                <w:noProof/>
                <w:webHidden/>
              </w:rPr>
              <w:fldChar w:fldCharType="begin"/>
            </w:r>
            <w:r>
              <w:rPr>
                <w:noProof/>
                <w:webHidden/>
              </w:rPr>
              <w:instrText xml:space="preserve"> PAGEREF _Toc213687367 \h </w:instrText>
            </w:r>
            <w:r>
              <w:rPr>
                <w:noProof/>
                <w:webHidden/>
              </w:rPr>
            </w:r>
            <w:r>
              <w:rPr>
                <w:noProof/>
                <w:webHidden/>
              </w:rPr>
              <w:fldChar w:fldCharType="separate"/>
            </w:r>
            <w:r>
              <w:rPr>
                <w:noProof/>
                <w:webHidden/>
              </w:rPr>
              <w:t>7</w:t>
            </w:r>
            <w:r>
              <w:rPr>
                <w:noProof/>
                <w:webHidden/>
              </w:rPr>
              <w:fldChar w:fldCharType="end"/>
            </w:r>
          </w:hyperlink>
        </w:p>
        <w:p w14:paraId="5366D88C" w14:textId="378E150D" w:rsidR="00E359C0" w:rsidRDefault="00E359C0">
          <w:pPr>
            <w:pStyle w:val="TOC2"/>
            <w:tabs>
              <w:tab w:val="right" w:leader="dot" w:pos="9350"/>
            </w:tabs>
            <w:rPr>
              <w:noProof/>
            </w:rPr>
          </w:pPr>
          <w:hyperlink w:anchor="_Toc213687368" w:history="1">
            <w:r w:rsidRPr="00BE5BEF">
              <w:rPr>
                <w:rStyle w:val="Hyperlink"/>
                <w:noProof/>
              </w:rPr>
              <w:t>2.5 Social Loneliness and Isolation.</w:t>
            </w:r>
            <w:r>
              <w:rPr>
                <w:noProof/>
                <w:webHidden/>
              </w:rPr>
              <w:tab/>
            </w:r>
            <w:r>
              <w:rPr>
                <w:noProof/>
                <w:webHidden/>
              </w:rPr>
              <w:fldChar w:fldCharType="begin"/>
            </w:r>
            <w:r>
              <w:rPr>
                <w:noProof/>
                <w:webHidden/>
              </w:rPr>
              <w:instrText xml:space="preserve"> PAGEREF _Toc213687368 \h </w:instrText>
            </w:r>
            <w:r>
              <w:rPr>
                <w:noProof/>
                <w:webHidden/>
              </w:rPr>
            </w:r>
            <w:r>
              <w:rPr>
                <w:noProof/>
                <w:webHidden/>
              </w:rPr>
              <w:fldChar w:fldCharType="separate"/>
            </w:r>
            <w:r>
              <w:rPr>
                <w:noProof/>
                <w:webHidden/>
              </w:rPr>
              <w:t>7</w:t>
            </w:r>
            <w:r>
              <w:rPr>
                <w:noProof/>
                <w:webHidden/>
              </w:rPr>
              <w:fldChar w:fldCharType="end"/>
            </w:r>
          </w:hyperlink>
        </w:p>
        <w:p w14:paraId="2B8E576A" w14:textId="4FD75902" w:rsidR="00E359C0" w:rsidRDefault="00E359C0">
          <w:pPr>
            <w:pStyle w:val="TOC2"/>
            <w:tabs>
              <w:tab w:val="right" w:leader="dot" w:pos="9350"/>
            </w:tabs>
            <w:rPr>
              <w:noProof/>
            </w:rPr>
          </w:pPr>
          <w:hyperlink w:anchor="_Toc213687369" w:history="1">
            <w:r w:rsidRPr="00BE5BEF">
              <w:rPr>
                <w:rStyle w:val="Hyperlink"/>
                <w:noProof/>
              </w:rPr>
              <w:t>2.6 Enhancement of Housing and Environmental Barriers.</w:t>
            </w:r>
            <w:r>
              <w:rPr>
                <w:noProof/>
                <w:webHidden/>
              </w:rPr>
              <w:tab/>
            </w:r>
            <w:r>
              <w:rPr>
                <w:noProof/>
                <w:webHidden/>
              </w:rPr>
              <w:fldChar w:fldCharType="begin"/>
            </w:r>
            <w:r>
              <w:rPr>
                <w:noProof/>
                <w:webHidden/>
              </w:rPr>
              <w:instrText xml:space="preserve"> PAGEREF _Toc213687369 \h </w:instrText>
            </w:r>
            <w:r>
              <w:rPr>
                <w:noProof/>
                <w:webHidden/>
              </w:rPr>
            </w:r>
            <w:r>
              <w:rPr>
                <w:noProof/>
                <w:webHidden/>
              </w:rPr>
              <w:fldChar w:fldCharType="separate"/>
            </w:r>
            <w:r>
              <w:rPr>
                <w:noProof/>
                <w:webHidden/>
              </w:rPr>
              <w:t>8</w:t>
            </w:r>
            <w:r>
              <w:rPr>
                <w:noProof/>
                <w:webHidden/>
              </w:rPr>
              <w:fldChar w:fldCharType="end"/>
            </w:r>
          </w:hyperlink>
        </w:p>
        <w:p w14:paraId="0EBC4E35" w14:textId="7965182B" w:rsidR="00E359C0" w:rsidRDefault="00E359C0">
          <w:pPr>
            <w:pStyle w:val="TOC1"/>
            <w:tabs>
              <w:tab w:val="right" w:leader="dot" w:pos="9350"/>
            </w:tabs>
            <w:rPr>
              <w:noProof/>
            </w:rPr>
          </w:pPr>
          <w:hyperlink w:anchor="_Toc213687370" w:history="1">
            <w:r w:rsidRPr="00BE5BEF">
              <w:rPr>
                <w:rStyle w:val="Hyperlink"/>
                <w:noProof/>
              </w:rPr>
              <w:t>3. National Response to Reduce Health Inequalities</w:t>
            </w:r>
            <w:r>
              <w:rPr>
                <w:noProof/>
                <w:webHidden/>
              </w:rPr>
              <w:tab/>
            </w:r>
            <w:r>
              <w:rPr>
                <w:noProof/>
                <w:webHidden/>
              </w:rPr>
              <w:fldChar w:fldCharType="begin"/>
            </w:r>
            <w:r>
              <w:rPr>
                <w:noProof/>
                <w:webHidden/>
              </w:rPr>
              <w:instrText xml:space="preserve"> PAGEREF _Toc213687370 \h </w:instrText>
            </w:r>
            <w:r>
              <w:rPr>
                <w:noProof/>
                <w:webHidden/>
              </w:rPr>
            </w:r>
            <w:r>
              <w:rPr>
                <w:noProof/>
                <w:webHidden/>
              </w:rPr>
              <w:fldChar w:fldCharType="separate"/>
            </w:r>
            <w:r>
              <w:rPr>
                <w:noProof/>
                <w:webHidden/>
              </w:rPr>
              <w:t>8</w:t>
            </w:r>
            <w:r>
              <w:rPr>
                <w:noProof/>
                <w:webHidden/>
              </w:rPr>
              <w:fldChar w:fldCharType="end"/>
            </w:r>
          </w:hyperlink>
        </w:p>
        <w:p w14:paraId="691112C8" w14:textId="2DC724A9" w:rsidR="00E359C0" w:rsidRDefault="00E359C0">
          <w:pPr>
            <w:pStyle w:val="TOC1"/>
            <w:tabs>
              <w:tab w:val="right" w:leader="dot" w:pos="9350"/>
            </w:tabs>
            <w:rPr>
              <w:noProof/>
            </w:rPr>
          </w:pPr>
          <w:hyperlink w:anchor="_Toc213687371" w:history="1">
            <w:r w:rsidRPr="00BE5BEF">
              <w:rPr>
                <w:rStyle w:val="Hyperlink"/>
                <w:noProof/>
              </w:rPr>
              <w:t>4. Organisations that Support the Chosen Group</w:t>
            </w:r>
            <w:r>
              <w:rPr>
                <w:noProof/>
                <w:webHidden/>
              </w:rPr>
              <w:tab/>
            </w:r>
            <w:r>
              <w:rPr>
                <w:noProof/>
                <w:webHidden/>
              </w:rPr>
              <w:fldChar w:fldCharType="begin"/>
            </w:r>
            <w:r>
              <w:rPr>
                <w:noProof/>
                <w:webHidden/>
              </w:rPr>
              <w:instrText xml:space="preserve"> PAGEREF _Toc213687371 \h </w:instrText>
            </w:r>
            <w:r>
              <w:rPr>
                <w:noProof/>
                <w:webHidden/>
              </w:rPr>
            </w:r>
            <w:r>
              <w:rPr>
                <w:noProof/>
                <w:webHidden/>
              </w:rPr>
              <w:fldChar w:fldCharType="separate"/>
            </w:r>
            <w:r>
              <w:rPr>
                <w:noProof/>
                <w:webHidden/>
              </w:rPr>
              <w:t>8</w:t>
            </w:r>
            <w:r>
              <w:rPr>
                <w:noProof/>
                <w:webHidden/>
              </w:rPr>
              <w:fldChar w:fldCharType="end"/>
            </w:r>
          </w:hyperlink>
        </w:p>
        <w:p w14:paraId="4F0A6017" w14:textId="74AE56AF" w:rsidR="00E359C0" w:rsidRDefault="00E359C0">
          <w:pPr>
            <w:pStyle w:val="TOC1"/>
            <w:tabs>
              <w:tab w:val="right" w:leader="dot" w:pos="9350"/>
            </w:tabs>
            <w:rPr>
              <w:noProof/>
            </w:rPr>
          </w:pPr>
          <w:hyperlink w:anchor="_Toc213687372" w:history="1">
            <w:r w:rsidRPr="00BE5BEF">
              <w:rPr>
                <w:rStyle w:val="Hyperlink"/>
                <w:noProof/>
              </w:rPr>
              <w:t>5. Conclusion</w:t>
            </w:r>
            <w:r>
              <w:rPr>
                <w:noProof/>
                <w:webHidden/>
              </w:rPr>
              <w:tab/>
            </w:r>
            <w:r>
              <w:rPr>
                <w:noProof/>
                <w:webHidden/>
              </w:rPr>
              <w:fldChar w:fldCharType="begin"/>
            </w:r>
            <w:r>
              <w:rPr>
                <w:noProof/>
                <w:webHidden/>
              </w:rPr>
              <w:instrText xml:space="preserve"> PAGEREF _Toc213687372 \h </w:instrText>
            </w:r>
            <w:r>
              <w:rPr>
                <w:noProof/>
                <w:webHidden/>
              </w:rPr>
            </w:r>
            <w:r>
              <w:rPr>
                <w:noProof/>
                <w:webHidden/>
              </w:rPr>
              <w:fldChar w:fldCharType="separate"/>
            </w:r>
            <w:r>
              <w:rPr>
                <w:noProof/>
                <w:webHidden/>
              </w:rPr>
              <w:t>8</w:t>
            </w:r>
            <w:r>
              <w:rPr>
                <w:noProof/>
                <w:webHidden/>
              </w:rPr>
              <w:fldChar w:fldCharType="end"/>
            </w:r>
          </w:hyperlink>
        </w:p>
        <w:p w14:paraId="5C153F99" w14:textId="443AA1E7" w:rsidR="00E359C0" w:rsidRDefault="00E359C0">
          <w:pPr>
            <w:pStyle w:val="TOC1"/>
            <w:tabs>
              <w:tab w:val="right" w:leader="dot" w:pos="9350"/>
            </w:tabs>
            <w:rPr>
              <w:noProof/>
            </w:rPr>
          </w:pPr>
          <w:hyperlink w:anchor="_Toc213687373" w:history="1">
            <w:r w:rsidRPr="00BE5BEF">
              <w:rPr>
                <w:rStyle w:val="Hyperlink"/>
                <w:noProof/>
              </w:rPr>
              <w:t>Task 2: Epidemiological Analysis: Cardiovascular Health Inequalities in England: An Epidemiological Analysis of Hypertension and CVD in the UK</w:t>
            </w:r>
            <w:r>
              <w:rPr>
                <w:noProof/>
                <w:webHidden/>
              </w:rPr>
              <w:tab/>
            </w:r>
            <w:r>
              <w:rPr>
                <w:noProof/>
                <w:webHidden/>
              </w:rPr>
              <w:fldChar w:fldCharType="begin"/>
            </w:r>
            <w:r>
              <w:rPr>
                <w:noProof/>
                <w:webHidden/>
              </w:rPr>
              <w:instrText xml:space="preserve"> PAGEREF _Toc213687373 \h </w:instrText>
            </w:r>
            <w:r>
              <w:rPr>
                <w:noProof/>
                <w:webHidden/>
              </w:rPr>
            </w:r>
            <w:r>
              <w:rPr>
                <w:noProof/>
                <w:webHidden/>
              </w:rPr>
              <w:fldChar w:fldCharType="separate"/>
            </w:r>
            <w:r>
              <w:rPr>
                <w:noProof/>
                <w:webHidden/>
              </w:rPr>
              <w:t>10</w:t>
            </w:r>
            <w:r>
              <w:rPr>
                <w:noProof/>
                <w:webHidden/>
              </w:rPr>
              <w:fldChar w:fldCharType="end"/>
            </w:r>
          </w:hyperlink>
        </w:p>
        <w:p w14:paraId="3635CA57" w14:textId="026497BA" w:rsidR="00E359C0" w:rsidRDefault="00E359C0">
          <w:pPr>
            <w:pStyle w:val="TOC1"/>
            <w:tabs>
              <w:tab w:val="right" w:leader="dot" w:pos="9350"/>
            </w:tabs>
            <w:rPr>
              <w:noProof/>
            </w:rPr>
          </w:pPr>
          <w:hyperlink w:anchor="_Toc213687374" w:history="1">
            <w:r w:rsidRPr="00BE5BEF">
              <w:rPr>
                <w:rStyle w:val="Hyperlink"/>
                <w:noProof/>
              </w:rPr>
              <w:t>1. Introduction</w:t>
            </w:r>
            <w:r>
              <w:rPr>
                <w:noProof/>
                <w:webHidden/>
              </w:rPr>
              <w:tab/>
            </w:r>
            <w:r>
              <w:rPr>
                <w:noProof/>
                <w:webHidden/>
              </w:rPr>
              <w:fldChar w:fldCharType="begin"/>
            </w:r>
            <w:r>
              <w:rPr>
                <w:noProof/>
                <w:webHidden/>
              </w:rPr>
              <w:instrText xml:space="preserve"> PAGEREF _Toc213687374 \h </w:instrText>
            </w:r>
            <w:r>
              <w:rPr>
                <w:noProof/>
                <w:webHidden/>
              </w:rPr>
            </w:r>
            <w:r>
              <w:rPr>
                <w:noProof/>
                <w:webHidden/>
              </w:rPr>
              <w:fldChar w:fldCharType="separate"/>
            </w:r>
            <w:r>
              <w:rPr>
                <w:noProof/>
                <w:webHidden/>
              </w:rPr>
              <w:t>10</w:t>
            </w:r>
            <w:r>
              <w:rPr>
                <w:noProof/>
                <w:webHidden/>
              </w:rPr>
              <w:fldChar w:fldCharType="end"/>
            </w:r>
          </w:hyperlink>
        </w:p>
        <w:p w14:paraId="48A04BD0" w14:textId="4E105D24" w:rsidR="00E359C0" w:rsidRDefault="00E359C0">
          <w:pPr>
            <w:pStyle w:val="TOC1"/>
            <w:tabs>
              <w:tab w:val="right" w:leader="dot" w:pos="9350"/>
            </w:tabs>
            <w:rPr>
              <w:noProof/>
            </w:rPr>
          </w:pPr>
          <w:hyperlink w:anchor="_Toc213687375" w:history="1">
            <w:r w:rsidRPr="00BE5BEF">
              <w:rPr>
                <w:rStyle w:val="Hyperlink"/>
                <w:noProof/>
              </w:rPr>
              <w:t>2. Main Body</w:t>
            </w:r>
            <w:r>
              <w:rPr>
                <w:noProof/>
                <w:webHidden/>
              </w:rPr>
              <w:tab/>
            </w:r>
            <w:r>
              <w:rPr>
                <w:noProof/>
                <w:webHidden/>
              </w:rPr>
              <w:fldChar w:fldCharType="begin"/>
            </w:r>
            <w:r>
              <w:rPr>
                <w:noProof/>
                <w:webHidden/>
              </w:rPr>
              <w:instrText xml:space="preserve"> PAGEREF _Toc213687375 \h </w:instrText>
            </w:r>
            <w:r>
              <w:rPr>
                <w:noProof/>
                <w:webHidden/>
              </w:rPr>
            </w:r>
            <w:r>
              <w:rPr>
                <w:noProof/>
                <w:webHidden/>
              </w:rPr>
              <w:fldChar w:fldCharType="separate"/>
            </w:r>
            <w:r>
              <w:rPr>
                <w:noProof/>
                <w:webHidden/>
              </w:rPr>
              <w:t>11</w:t>
            </w:r>
            <w:r>
              <w:rPr>
                <w:noProof/>
                <w:webHidden/>
              </w:rPr>
              <w:fldChar w:fldCharType="end"/>
            </w:r>
          </w:hyperlink>
        </w:p>
        <w:p w14:paraId="48894D18" w14:textId="6BD3AE05" w:rsidR="00E359C0" w:rsidRDefault="00E359C0">
          <w:pPr>
            <w:pStyle w:val="TOC2"/>
            <w:tabs>
              <w:tab w:val="right" w:leader="dot" w:pos="9350"/>
            </w:tabs>
            <w:rPr>
              <w:noProof/>
            </w:rPr>
          </w:pPr>
          <w:hyperlink w:anchor="_Toc213687376" w:history="1">
            <w:r w:rsidRPr="00BE5BEF">
              <w:rPr>
                <w:rStyle w:val="Hyperlink"/>
                <w:noProof/>
              </w:rPr>
              <w:t>2.1 Public health practices (the three Ps)</w:t>
            </w:r>
            <w:r>
              <w:rPr>
                <w:noProof/>
                <w:webHidden/>
              </w:rPr>
              <w:tab/>
            </w:r>
            <w:r>
              <w:rPr>
                <w:noProof/>
                <w:webHidden/>
              </w:rPr>
              <w:fldChar w:fldCharType="begin"/>
            </w:r>
            <w:r>
              <w:rPr>
                <w:noProof/>
                <w:webHidden/>
              </w:rPr>
              <w:instrText xml:space="preserve"> PAGEREF _Toc213687376 \h </w:instrText>
            </w:r>
            <w:r>
              <w:rPr>
                <w:noProof/>
                <w:webHidden/>
              </w:rPr>
            </w:r>
            <w:r>
              <w:rPr>
                <w:noProof/>
                <w:webHidden/>
              </w:rPr>
              <w:fldChar w:fldCharType="separate"/>
            </w:r>
            <w:r>
              <w:rPr>
                <w:noProof/>
                <w:webHidden/>
              </w:rPr>
              <w:t>11</w:t>
            </w:r>
            <w:r>
              <w:rPr>
                <w:noProof/>
                <w:webHidden/>
              </w:rPr>
              <w:fldChar w:fldCharType="end"/>
            </w:r>
          </w:hyperlink>
        </w:p>
        <w:p w14:paraId="565F6616" w14:textId="38CC16E1" w:rsidR="00E359C0" w:rsidRDefault="00E359C0">
          <w:pPr>
            <w:pStyle w:val="TOC2"/>
            <w:tabs>
              <w:tab w:val="right" w:leader="dot" w:pos="9350"/>
            </w:tabs>
            <w:rPr>
              <w:noProof/>
            </w:rPr>
          </w:pPr>
          <w:hyperlink w:anchor="_Toc213687377" w:history="1">
            <w:r w:rsidRPr="00BE5BEF">
              <w:rPr>
                <w:rStyle w:val="Hyperlink"/>
                <w:noProof/>
              </w:rPr>
              <w:t>2.2 Epidemiology and Burden of Disease</w:t>
            </w:r>
            <w:r>
              <w:rPr>
                <w:noProof/>
                <w:webHidden/>
              </w:rPr>
              <w:tab/>
            </w:r>
            <w:r>
              <w:rPr>
                <w:noProof/>
                <w:webHidden/>
              </w:rPr>
              <w:fldChar w:fldCharType="begin"/>
            </w:r>
            <w:r>
              <w:rPr>
                <w:noProof/>
                <w:webHidden/>
              </w:rPr>
              <w:instrText xml:space="preserve"> PAGEREF _Toc213687377 \h </w:instrText>
            </w:r>
            <w:r>
              <w:rPr>
                <w:noProof/>
                <w:webHidden/>
              </w:rPr>
            </w:r>
            <w:r>
              <w:rPr>
                <w:noProof/>
                <w:webHidden/>
              </w:rPr>
              <w:fldChar w:fldCharType="separate"/>
            </w:r>
            <w:r>
              <w:rPr>
                <w:noProof/>
                <w:webHidden/>
              </w:rPr>
              <w:t>13</w:t>
            </w:r>
            <w:r>
              <w:rPr>
                <w:noProof/>
                <w:webHidden/>
              </w:rPr>
              <w:fldChar w:fldCharType="end"/>
            </w:r>
          </w:hyperlink>
        </w:p>
        <w:p w14:paraId="24DC4810" w14:textId="120F1DF3" w:rsidR="00E359C0" w:rsidRDefault="00E359C0">
          <w:pPr>
            <w:pStyle w:val="TOC2"/>
            <w:tabs>
              <w:tab w:val="right" w:leader="dot" w:pos="9350"/>
            </w:tabs>
            <w:rPr>
              <w:noProof/>
            </w:rPr>
          </w:pPr>
          <w:hyperlink w:anchor="_Toc213687378" w:history="1">
            <w:r w:rsidRPr="00BE5BEF">
              <w:rPr>
                <w:rStyle w:val="Hyperlink"/>
                <w:noProof/>
              </w:rPr>
              <w:t>2.3 Significant Determinants and Risk Factors.</w:t>
            </w:r>
            <w:r>
              <w:rPr>
                <w:noProof/>
                <w:webHidden/>
              </w:rPr>
              <w:tab/>
            </w:r>
            <w:r>
              <w:rPr>
                <w:noProof/>
                <w:webHidden/>
              </w:rPr>
              <w:fldChar w:fldCharType="begin"/>
            </w:r>
            <w:r>
              <w:rPr>
                <w:noProof/>
                <w:webHidden/>
              </w:rPr>
              <w:instrText xml:space="preserve"> PAGEREF _Toc213687378 \h </w:instrText>
            </w:r>
            <w:r>
              <w:rPr>
                <w:noProof/>
                <w:webHidden/>
              </w:rPr>
            </w:r>
            <w:r>
              <w:rPr>
                <w:noProof/>
                <w:webHidden/>
              </w:rPr>
              <w:fldChar w:fldCharType="separate"/>
            </w:r>
            <w:r>
              <w:rPr>
                <w:noProof/>
                <w:webHidden/>
              </w:rPr>
              <w:t>14</w:t>
            </w:r>
            <w:r>
              <w:rPr>
                <w:noProof/>
                <w:webHidden/>
              </w:rPr>
              <w:fldChar w:fldCharType="end"/>
            </w:r>
          </w:hyperlink>
        </w:p>
        <w:p w14:paraId="31C56122" w14:textId="42BDC772" w:rsidR="00E359C0" w:rsidRDefault="00E359C0">
          <w:pPr>
            <w:pStyle w:val="TOC2"/>
            <w:tabs>
              <w:tab w:val="right" w:leader="dot" w:pos="9350"/>
            </w:tabs>
            <w:rPr>
              <w:noProof/>
            </w:rPr>
          </w:pPr>
          <w:hyperlink w:anchor="_Toc213687379" w:history="1">
            <w:r w:rsidRPr="00BE5BEF">
              <w:rPr>
                <w:rStyle w:val="Hyperlink"/>
                <w:noProof/>
              </w:rPr>
              <w:t>2.4 Incidence and Prevalence Surveillance and Monitoring.</w:t>
            </w:r>
            <w:r>
              <w:rPr>
                <w:noProof/>
                <w:webHidden/>
              </w:rPr>
              <w:tab/>
            </w:r>
            <w:r>
              <w:rPr>
                <w:noProof/>
                <w:webHidden/>
              </w:rPr>
              <w:fldChar w:fldCharType="begin"/>
            </w:r>
            <w:r>
              <w:rPr>
                <w:noProof/>
                <w:webHidden/>
              </w:rPr>
              <w:instrText xml:space="preserve"> PAGEREF _Toc213687379 \h </w:instrText>
            </w:r>
            <w:r>
              <w:rPr>
                <w:noProof/>
                <w:webHidden/>
              </w:rPr>
            </w:r>
            <w:r>
              <w:rPr>
                <w:noProof/>
                <w:webHidden/>
              </w:rPr>
              <w:fldChar w:fldCharType="separate"/>
            </w:r>
            <w:r>
              <w:rPr>
                <w:noProof/>
                <w:webHidden/>
              </w:rPr>
              <w:t>14</w:t>
            </w:r>
            <w:r>
              <w:rPr>
                <w:noProof/>
                <w:webHidden/>
              </w:rPr>
              <w:fldChar w:fldCharType="end"/>
            </w:r>
          </w:hyperlink>
        </w:p>
        <w:p w14:paraId="7C2C2E96" w14:textId="613A4E58" w:rsidR="00E359C0" w:rsidRDefault="00E359C0">
          <w:pPr>
            <w:pStyle w:val="TOC2"/>
            <w:tabs>
              <w:tab w:val="right" w:leader="dot" w:pos="9350"/>
            </w:tabs>
            <w:rPr>
              <w:noProof/>
            </w:rPr>
          </w:pPr>
          <w:hyperlink w:anchor="_Toc213687380" w:history="1">
            <w:r w:rsidRPr="00BE5BEF">
              <w:rPr>
                <w:rStyle w:val="Hyperlink"/>
                <w:noProof/>
              </w:rPr>
              <w:t>2.5 Public Health Impact</w:t>
            </w:r>
            <w:r>
              <w:rPr>
                <w:noProof/>
                <w:webHidden/>
              </w:rPr>
              <w:tab/>
            </w:r>
            <w:r>
              <w:rPr>
                <w:noProof/>
                <w:webHidden/>
              </w:rPr>
              <w:fldChar w:fldCharType="begin"/>
            </w:r>
            <w:r>
              <w:rPr>
                <w:noProof/>
                <w:webHidden/>
              </w:rPr>
              <w:instrText xml:space="preserve"> PAGEREF _Toc213687380 \h </w:instrText>
            </w:r>
            <w:r>
              <w:rPr>
                <w:noProof/>
                <w:webHidden/>
              </w:rPr>
            </w:r>
            <w:r>
              <w:rPr>
                <w:noProof/>
                <w:webHidden/>
              </w:rPr>
              <w:fldChar w:fldCharType="separate"/>
            </w:r>
            <w:r>
              <w:rPr>
                <w:noProof/>
                <w:webHidden/>
              </w:rPr>
              <w:t>14</w:t>
            </w:r>
            <w:r>
              <w:rPr>
                <w:noProof/>
                <w:webHidden/>
              </w:rPr>
              <w:fldChar w:fldCharType="end"/>
            </w:r>
          </w:hyperlink>
        </w:p>
        <w:p w14:paraId="46043D82" w14:textId="6A258263" w:rsidR="00E359C0" w:rsidRDefault="00E359C0">
          <w:pPr>
            <w:pStyle w:val="TOC2"/>
            <w:tabs>
              <w:tab w:val="right" w:leader="dot" w:pos="9350"/>
            </w:tabs>
            <w:rPr>
              <w:noProof/>
            </w:rPr>
          </w:pPr>
          <w:hyperlink w:anchor="_Toc213687381" w:history="1">
            <w:r w:rsidRPr="00BE5BEF">
              <w:rPr>
                <w:rStyle w:val="Hyperlink"/>
                <w:noProof/>
              </w:rPr>
              <w:t>2.6 Advantages and Disadvantages of the Epidemiological Approach.</w:t>
            </w:r>
            <w:r>
              <w:rPr>
                <w:noProof/>
                <w:webHidden/>
              </w:rPr>
              <w:tab/>
            </w:r>
            <w:r>
              <w:rPr>
                <w:noProof/>
                <w:webHidden/>
              </w:rPr>
              <w:fldChar w:fldCharType="begin"/>
            </w:r>
            <w:r>
              <w:rPr>
                <w:noProof/>
                <w:webHidden/>
              </w:rPr>
              <w:instrText xml:space="preserve"> PAGEREF _Toc213687381 \h </w:instrText>
            </w:r>
            <w:r>
              <w:rPr>
                <w:noProof/>
                <w:webHidden/>
              </w:rPr>
            </w:r>
            <w:r>
              <w:rPr>
                <w:noProof/>
                <w:webHidden/>
              </w:rPr>
              <w:fldChar w:fldCharType="separate"/>
            </w:r>
            <w:r>
              <w:rPr>
                <w:noProof/>
                <w:webHidden/>
              </w:rPr>
              <w:t>15</w:t>
            </w:r>
            <w:r>
              <w:rPr>
                <w:noProof/>
                <w:webHidden/>
              </w:rPr>
              <w:fldChar w:fldCharType="end"/>
            </w:r>
          </w:hyperlink>
        </w:p>
        <w:p w14:paraId="2BB8785F" w14:textId="1BD439A2" w:rsidR="00E359C0" w:rsidRDefault="00E359C0">
          <w:pPr>
            <w:pStyle w:val="TOC2"/>
            <w:tabs>
              <w:tab w:val="right" w:leader="dot" w:pos="9350"/>
            </w:tabs>
            <w:rPr>
              <w:noProof/>
            </w:rPr>
          </w:pPr>
          <w:hyperlink w:anchor="_Toc213687382" w:history="1">
            <w:r w:rsidRPr="00BE5BEF">
              <w:rPr>
                <w:rStyle w:val="Hyperlink"/>
                <w:noProof/>
              </w:rPr>
              <w:t>2.7 Intervention Design and Evaluation</w:t>
            </w:r>
            <w:r>
              <w:rPr>
                <w:noProof/>
                <w:webHidden/>
              </w:rPr>
              <w:tab/>
            </w:r>
            <w:r>
              <w:rPr>
                <w:noProof/>
                <w:webHidden/>
              </w:rPr>
              <w:fldChar w:fldCharType="begin"/>
            </w:r>
            <w:r>
              <w:rPr>
                <w:noProof/>
                <w:webHidden/>
              </w:rPr>
              <w:instrText xml:space="preserve"> PAGEREF _Toc213687382 \h </w:instrText>
            </w:r>
            <w:r>
              <w:rPr>
                <w:noProof/>
                <w:webHidden/>
              </w:rPr>
            </w:r>
            <w:r>
              <w:rPr>
                <w:noProof/>
                <w:webHidden/>
              </w:rPr>
              <w:fldChar w:fldCharType="separate"/>
            </w:r>
            <w:r>
              <w:rPr>
                <w:noProof/>
                <w:webHidden/>
              </w:rPr>
              <w:t>15</w:t>
            </w:r>
            <w:r>
              <w:rPr>
                <w:noProof/>
                <w:webHidden/>
              </w:rPr>
              <w:fldChar w:fldCharType="end"/>
            </w:r>
          </w:hyperlink>
        </w:p>
        <w:p w14:paraId="5EEEADAD" w14:textId="04CCCA82" w:rsidR="00E359C0" w:rsidRDefault="00E359C0">
          <w:pPr>
            <w:pStyle w:val="TOC1"/>
            <w:tabs>
              <w:tab w:val="right" w:leader="dot" w:pos="9350"/>
            </w:tabs>
            <w:rPr>
              <w:noProof/>
            </w:rPr>
          </w:pPr>
          <w:hyperlink w:anchor="_Toc213687383" w:history="1">
            <w:r w:rsidRPr="00BE5BEF">
              <w:rPr>
                <w:rStyle w:val="Hyperlink"/>
                <w:noProof/>
              </w:rPr>
              <w:t>3. Conclusion</w:t>
            </w:r>
            <w:r>
              <w:rPr>
                <w:noProof/>
                <w:webHidden/>
              </w:rPr>
              <w:tab/>
            </w:r>
            <w:r>
              <w:rPr>
                <w:noProof/>
                <w:webHidden/>
              </w:rPr>
              <w:fldChar w:fldCharType="begin"/>
            </w:r>
            <w:r>
              <w:rPr>
                <w:noProof/>
                <w:webHidden/>
              </w:rPr>
              <w:instrText xml:space="preserve"> PAGEREF _Toc213687383 \h </w:instrText>
            </w:r>
            <w:r>
              <w:rPr>
                <w:noProof/>
                <w:webHidden/>
              </w:rPr>
            </w:r>
            <w:r>
              <w:rPr>
                <w:noProof/>
                <w:webHidden/>
              </w:rPr>
              <w:fldChar w:fldCharType="separate"/>
            </w:r>
            <w:r>
              <w:rPr>
                <w:noProof/>
                <w:webHidden/>
              </w:rPr>
              <w:t>17</w:t>
            </w:r>
            <w:r>
              <w:rPr>
                <w:noProof/>
                <w:webHidden/>
              </w:rPr>
              <w:fldChar w:fldCharType="end"/>
            </w:r>
          </w:hyperlink>
        </w:p>
        <w:p w14:paraId="0589A589" w14:textId="6959B265" w:rsidR="00E359C0" w:rsidRDefault="00E359C0">
          <w:pPr>
            <w:pStyle w:val="TOC1"/>
            <w:tabs>
              <w:tab w:val="right" w:leader="dot" w:pos="9350"/>
            </w:tabs>
            <w:rPr>
              <w:noProof/>
            </w:rPr>
          </w:pPr>
          <w:hyperlink w:anchor="_Toc213687384" w:history="1">
            <w:r w:rsidRPr="00BE5BEF">
              <w:rPr>
                <w:rStyle w:val="Hyperlink"/>
                <w:noProof/>
              </w:rPr>
              <w:t>References</w:t>
            </w:r>
            <w:r>
              <w:rPr>
                <w:noProof/>
                <w:webHidden/>
              </w:rPr>
              <w:tab/>
            </w:r>
            <w:r>
              <w:rPr>
                <w:noProof/>
                <w:webHidden/>
              </w:rPr>
              <w:fldChar w:fldCharType="begin"/>
            </w:r>
            <w:r>
              <w:rPr>
                <w:noProof/>
                <w:webHidden/>
              </w:rPr>
              <w:instrText xml:space="preserve"> PAGEREF _Toc213687384 \h </w:instrText>
            </w:r>
            <w:r>
              <w:rPr>
                <w:noProof/>
                <w:webHidden/>
              </w:rPr>
            </w:r>
            <w:r>
              <w:rPr>
                <w:noProof/>
                <w:webHidden/>
              </w:rPr>
              <w:fldChar w:fldCharType="separate"/>
            </w:r>
            <w:r>
              <w:rPr>
                <w:noProof/>
                <w:webHidden/>
              </w:rPr>
              <w:t>18</w:t>
            </w:r>
            <w:r>
              <w:rPr>
                <w:noProof/>
                <w:webHidden/>
              </w:rPr>
              <w:fldChar w:fldCharType="end"/>
            </w:r>
          </w:hyperlink>
        </w:p>
        <w:p w14:paraId="51300502" w14:textId="676F50A6" w:rsidR="00E359C0" w:rsidRDefault="00E359C0">
          <w:r>
            <w:rPr>
              <w:b/>
              <w:bCs/>
              <w:noProof/>
            </w:rPr>
            <w:fldChar w:fldCharType="end"/>
          </w:r>
        </w:p>
      </w:sdtContent>
    </w:sdt>
    <w:p w14:paraId="2A25506C" w14:textId="2D6BE573" w:rsidR="00E359C0" w:rsidRDefault="00E359C0">
      <w:pPr>
        <w:rPr>
          <w:b/>
          <w:bCs/>
          <w:i/>
          <w:iCs/>
          <w:sz w:val="24"/>
          <w:szCs w:val="24"/>
        </w:rPr>
      </w:pPr>
    </w:p>
    <w:p w14:paraId="1F4E2846" w14:textId="77777777" w:rsidR="00E359C0" w:rsidRDefault="00E359C0">
      <w:pPr>
        <w:rPr>
          <w:b/>
          <w:bCs/>
          <w:i/>
          <w:iCs/>
          <w:sz w:val="24"/>
          <w:szCs w:val="24"/>
        </w:rPr>
      </w:pPr>
      <w:r>
        <w:rPr>
          <w:b/>
          <w:bCs/>
          <w:i/>
          <w:iCs/>
          <w:sz w:val="24"/>
          <w:szCs w:val="24"/>
        </w:rPr>
        <w:br w:type="page"/>
      </w:r>
    </w:p>
    <w:p w14:paraId="28BB5EC5" w14:textId="77777777" w:rsidR="008C09B0" w:rsidRDefault="005B1ED6" w:rsidP="00E359C0">
      <w:pPr>
        <w:pStyle w:val="Heading1"/>
      </w:pPr>
      <w:bookmarkStart w:id="0" w:name="_k7d44t3pkwf8" w:colFirst="0" w:colLast="0"/>
      <w:bookmarkStart w:id="1" w:name="_Toc213687360"/>
      <w:bookmarkEnd w:id="0"/>
      <w:r>
        <w:t>Task 1: Social Epidemiological Analysis: Disability and health inequalities</w:t>
      </w:r>
      <w:bookmarkEnd w:id="1"/>
    </w:p>
    <w:p w14:paraId="372F7E23" w14:textId="77777777" w:rsidR="008C09B0" w:rsidRDefault="005B1ED6" w:rsidP="00E359C0">
      <w:pPr>
        <w:pStyle w:val="Heading1"/>
        <w:spacing w:before="360" w:after="80"/>
      </w:pPr>
      <w:bookmarkStart w:id="2" w:name="_vdblnhyexqsy" w:colFirst="0" w:colLast="0"/>
      <w:bookmarkStart w:id="3" w:name="_Toc213687361"/>
      <w:bookmarkEnd w:id="2"/>
      <w:r>
        <w:t>Title: Inequalities in Health: Disability and Health Inequalities in the United Kingdom</w:t>
      </w:r>
      <w:bookmarkEnd w:id="3"/>
    </w:p>
    <w:p w14:paraId="3406E500" w14:textId="77777777" w:rsidR="008C09B0" w:rsidRDefault="005B1ED6" w:rsidP="00E359C0">
      <w:pPr>
        <w:pStyle w:val="Heading1"/>
        <w:keepNext w:val="0"/>
        <w:keepLines w:val="0"/>
        <w:spacing w:before="360" w:after="80"/>
      </w:pPr>
      <w:bookmarkStart w:id="4" w:name="_4pn4gss8e5my" w:colFirst="0" w:colLast="0"/>
      <w:bookmarkStart w:id="5" w:name="_Toc213687362"/>
      <w:bookmarkEnd w:id="4"/>
      <w:r>
        <w:t>1. Introduction</w:t>
      </w:r>
      <w:bookmarkEnd w:id="5"/>
    </w:p>
    <w:p w14:paraId="078BF424" w14:textId="77777777" w:rsidR="008C09B0" w:rsidRDefault="005B1ED6" w:rsidP="00E359C0">
      <w:r>
        <w:t xml:space="preserve">Persons with disabilities, including physical, sensory, intellectual, and mental-health disabilities, amount to around 16 million individuals in the United Kingdom, which is 24 per cent of the entire population (UK Parliament, 2024). Regarding this cohort, children are 11 per cent, working age 23 per cent and pension age 45 per cent, implying the broad spread of disability throughout the life course. However, disabled individuals continue to carry the disproportionately high load of health inequities, which are affected by social determinants like poverty, unemployment, and deprivation (Banks </w:t>
      </w:r>
      <w:r>
        <w:rPr>
          <w:i/>
          <w:iCs/>
        </w:rPr>
        <w:t>et al.,</w:t>
      </w:r>
      <w:r>
        <w:t xml:space="preserve"> 2024). </w:t>
      </w:r>
    </w:p>
    <w:p w14:paraId="1F21B2F7" w14:textId="77777777" w:rsidR="008C09B0" w:rsidRDefault="005B1ED6" w:rsidP="00E359C0">
      <w:pPr>
        <w:jc w:val="center"/>
      </w:pPr>
      <w:r>
        <w:rPr>
          <w:noProof/>
          <w:lang w:val="en-IN" w:eastAsia="en-IN" w:bidi="ar-SA"/>
        </w:rPr>
        <w:drawing>
          <wp:inline distT="114300" distB="114300" distL="114300" distR="114300" wp14:anchorId="75124A37" wp14:editId="108D208D">
            <wp:extent cx="2994247" cy="3015512"/>
            <wp:effectExtent l="38100" t="38100" r="34925" b="3302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b="12570"/>
                    <a:stretch>
                      <a:fillRect/>
                    </a:stretch>
                  </pic:blipFill>
                  <pic:spPr>
                    <a:xfrm>
                      <a:off x="0" y="0"/>
                      <a:ext cx="2997897" cy="3019188"/>
                    </a:xfrm>
                    <a:prstGeom prst="rect">
                      <a:avLst/>
                    </a:prstGeom>
                    <a:ln w="25400">
                      <a:solidFill>
                        <a:srgbClr val="000000"/>
                      </a:solidFill>
                      <a:prstDash val="solid"/>
                    </a:ln>
                  </pic:spPr>
                </pic:pic>
              </a:graphicData>
            </a:graphic>
          </wp:inline>
        </w:drawing>
      </w:r>
    </w:p>
    <w:p w14:paraId="6ADB75CF" w14:textId="77777777" w:rsidR="008C09B0" w:rsidRDefault="005B1ED6" w:rsidP="00E359C0">
      <w:pPr>
        <w:jc w:val="center"/>
        <w:rPr>
          <w:b/>
          <w:bCs/>
        </w:rPr>
      </w:pPr>
      <w:r>
        <w:rPr>
          <w:b/>
          <w:bCs/>
        </w:rPr>
        <w:t>Figure 1: Health Inequalities in the UK</w:t>
      </w:r>
    </w:p>
    <w:p w14:paraId="00437C5E" w14:textId="77777777" w:rsidR="008C09B0" w:rsidRDefault="005B1ED6" w:rsidP="00E359C0">
      <w:pPr>
        <w:jc w:val="center"/>
        <w:rPr>
          <w:b/>
          <w:bCs/>
        </w:rPr>
      </w:pPr>
      <w:r>
        <w:rPr>
          <w:b/>
          <w:bCs/>
        </w:rPr>
        <w:t>(Source: Local Gov, 2025)</w:t>
      </w:r>
    </w:p>
    <w:p w14:paraId="3806C07F" w14:textId="77777777" w:rsidR="008C09B0" w:rsidRDefault="005B1ED6" w:rsidP="00E359C0">
      <w:r>
        <w:t xml:space="preserve">The disability employment gap has been pegged at 29% and 53 per cent of disabled individuals are in a job as compared to 82 per cent of non-disabled counterparts, and the average extra monthly expenditure of households with a disabled person is 975 (Scope, 2025). These inequalities are the factors that lead to high morbidity, early death, and poor health (Gov. UK, 2025). </w:t>
      </w:r>
    </w:p>
    <w:p w14:paraId="76139144" w14:textId="5E399771" w:rsidR="008C09B0" w:rsidRDefault="00E555B6" w:rsidP="00E359C0">
      <w:r w:rsidRPr="00901026">
        <w:rPr>
          <w:color w:val="000000" w:themeColor="text1"/>
        </w:rPr>
        <w:t>In the UK, adults with physical disabilities and learning disabilities experience among the highest social and health inequality. This paper investigates that. The lack of job opportunities, affordable housing and access to quality healthcare can harm a person’s health.</w:t>
      </w:r>
      <w:r w:rsidRPr="00E555B6">
        <w:rPr>
          <w:color w:val="EE0000"/>
        </w:rPr>
        <w:t xml:space="preserve"> </w:t>
      </w:r>
      <w:r w:rsidR="005B1ED6">
        <w:t>This report critically analyses the disease outcome and social inequality determinants that form the basis of disability-based health inequalities in the United Kingdom, and considers how the national policy and organisational functions address these inequalities using the analytic platform of social epidemiology, with specific emphasis on the role of structural inequities and intersectional disadvantages in perpetuating disparities.</w:t>
      </w:r>
    </w:p>
    <w:p w14:paraId="67B8D0B7" w14:textId="77777777" w:rsidR="008C09B0" w:rsidRDefault="005B1ED6" w:rsidP="00E359C0">
      <w:pPr>
        <w:pStyle w:val="Heading1"/>
        <w:keepNext w:val="0"/>
        <w:keepLines w:val="0"/>
        <w:spacing w:before="360" w:after="80"/>
      </w:pPr>
      <w:bookmarkStart w:id="6" w:name="_on8l0yggy8zg" w:colFirst="0" w:colLast="0"/>
      <w:bookmarkStart w:id="7" w:name="_Toc213687363"/>
      <w:bookmarkEnd w:id="6"/>
      <w:r>
        <w:t>2. Contextual background and underlying factors</w:t>
      </w:r>
      <w:bookmarkEnd w:id="7"/>
    </w:p>
    <w:p w14:paraId="382BF5CA" w14:textId="77777777" w:rsidR="008C09B0" w:rsidRDefault="005B1ED6" w:rsidP="00E359C0">
      <w:pPr>
        <w:pStyle w:val="Heading2"/>
      </w:pPr>
      <w:bookmarkStart w:id="8" w:name="_2n2niii4yldl" w:colFirst="0" w:colLast="0"/>
      <w:bookmarkStart w:id="9" w:name="_Toc213687364"/>
      <w:bookmarkEnd w:id="8"/>
      <w:r>
        <w:t>2.1 Several and Diversifiable Cases.</w:t>
      </w:r>
      <w:bookmarkEnd w:id="9"/>
      <w:r>
        <w:t xml:space="preserve">  </w:t>
      </w:r>
    </w:p>
    <w:p w14:paraId="09812326" w14:textId="77777777" w:rsidR="008C09B0" w:rsidRDefault="005B1ED6" w:rsidP="00E359C0">
      <w:r>
        <w:t>The disabled individuals have high incidences of various long-term conditions (MLTCs), including chronic pain, fatigue, and mental-health disorders (IFS, 2022). The statistics on mortality show that people with learning disabilities die 19.5 years earlier on average than the general population (Mencap, 2025). Such disparities reflect biological vulnerabilities and social determinants, including poor housing, deprivation, and a lack of access to preventive care (Zaninotto et al., 2020). The austerity measures have increased mortality disparity by compromising basic services (Case and Kraftman, 2022).</w:t>
      </w:r>
    </w:p>
    <w:p w14:paraId="3A2E1756" w14:textId="7EF1BFB3" w:rsidR="008C09B0" w:rsidRDefault="009349EB" w:rsidP="00E359C0">
      <w:pPr>
        <w:jc w:val="center"/>
      </w:pPr>
      <w:r w:rsidRPr="009349EB">
        <w:rPr>
          <w:noProof/>
          <w:lang w:eastAsia="en-IN" w:bidi="ar-SA"/>
        </w:rPr>
        <w:drawing>
          <wp:inline distT="0" distB="0" distL="0" distR="0" wp14:anchorId="014482A0" wp14:editId="0AC3B05D">
            <wp:extent cx="5943600" cy="3598545"/>
            <wp:effectExtent l="0" t="0" r="0" b="1905"/>
            <wp:docPr id="1158446794" name="Picture 2" descr="Life expectancy of people with a learning disability vs. genera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ife expectancy of people with a learning disability vs. general...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98545"/>
                    </a:xfrm>
                    <a:prstGeom prst="rect">
                      <a:avLst/>
                    </a:prstGeom>
                    <a:noFill/>
                    <a:ln>
                      <a:noFill/>
                    </a:ln>
                  </pic:spPr>
                </pic:pic>
              </a:graphicData>
            </a:graphic>
          </wp:inline>
        </w:drawing>
      </w:r>
      <w:r w:rsidRPr="009349EB">
        <w:rPr>
          <w:noProof/>
          <w:lang w:val="en-IN" w:eastAsia="en-IN" w:bidi="ar-SA"/>
        </w:rPr>
        <w:t xml:space="preserve"> </w:t>
      </w:r>
    </w:p>
    <w:p w14:paraId="1542105E" w14:textId="5FFD2934" w:rsidR="008C09B0" w:rsidRDefault="005B1ED6" w:rsidP="00E359C0">
      <w:pPr>
        <w:jc w:val="center"/>
        <w:rPr>
          <w:b/>
          <w:bCs/>
          <w:sz w:val="24"/>
          <w:szCs w:val="24"/>
        </w:rPr>
      </w:pPr>
      <w:r>
        <w:rPr>
          <w:b/>
          <w:bCs/>
        </w:rPr>
        <w:t xml:space="preserve">Figure 2: </w:t>
      </w:r>
      <w:r>
        <w:rPr>
          <w:b/>
          <w:bCs/>
          <w:color w:val="323132"/>
          <w:sz w:val="27"/>
          <w:szCs w:val="27"/>
        </w:rPr>
        <w:t xml:space="preserve"> </w:t>
      </w:r>
      <w:r w:rsidR="009349EB">
        <w:rPr>
          <w:b/>
          <w:bCs/>
          <w:sz w:val="24"/>
          <w:szCs w:val="24"/>
        </w:rPr>
        <w:t xml:space="preserve">Life expectancy of </w:t>
      </w:r>
      <w:r w:rsidR="009349EB" w:rsidRPr="009349EB">
        <w:rPr>
          <w:b/>
          <w:bCs/>
        </w:rPr>
        <w:t>individuals with learning disabilities dies 19.5 years earlier on average than the general population</w:t>
      </w:r>
    </w:p>
    <w:p w14:paraId="227A9CA0" w14:textId="5F093E7F" w:rsidR="008C09B0" w:rsidRDefault="005B1ED6" w:rsidP="00E359C0">
      <w:pPr>
        <w:jc w:val="center"/>
        <w:rPr>
          <w:b/>
          <w:bCs/>
        </w:rPr>
      </w:pPr>
      <w:r>
        <w:rPr>
          <w:b/>
          <w:bCs/>
        </w:rPr>
        <w:t xml:space="preserve">(Source: </w:t>
      </w:r>
      <w:r w:rsidR="009349EB">
        <w:rPr>
          <w:b/>
          <w:bCs/>
        </w:rPr>
        <w:t>Mencap</w:t>
      </w:r>
      <w:r>
        <w:rPr>
          <w:b/>
          <w:bCs/>
        </w:rPr>
        <w:t>, 2025)</w:t>
      </w:r>
    </w:p>
    <w:p w14:paraId="54D75B9F" w14:textId="77777777" w:rsidR="008C09B0" w:rsidRDefault="005B1ED6" w:rsidP="00E359C0">
      <w:pPr>
        <w:pStyle w:val="Heading2"/>
      </w:pPr>
      <w:bookmarkStart w:id="10" w:name="_b181mv16rrjz" w:colFirst="0" w:colLast="0"/>
      <w:bookmarkStart w:id="11" w:name="_Toc213687365"/>
      <w:bookmarkEnd w:id="10"/>
      <w:r>
        <w:t>2.2 Poor Healthcare Accessibility and Preventable Death.</w:t>
      </w:r>
      <w:bookmarkEnd w:id="11"/>
      <w:r>
        <w:t xml:space="preserve">  </w:t>
      </w:r>
    </w:p>
    <w:p w14:paraId="64E2D720" w14:textId="77777777" w:rsidR="008C09B0" w:rsidRDefault="005B1ED6" w:rsidP="00E359C0">
      <w:r>
        <w:t xml:space="preserve">The equity of health-care services is still not high. 38 per cent of the deaths among individuals with learning disabilities are considered preventable, whereas 9 per cent of non-disabled populations (Lee et al., 2024). Some of the obstacles are poor transportation, lack of staff training, and disjointed service delivery (Umpleby </w:t>
      </w:r>
      <w:r>
        <w:rPr>
          <w:i/>
          <w:iCs/>
        </w:rPr>
        <w:t>et al.,</w:t>
      </w:r>
      <w:r>
        <w:t> 2023). Exclusion is further aggravated by intersectional disadvantages, especially to ethnic minorities.</w:t>
      </w:r>
    </w:p>
    <w:p w14:paraId="6D63C3D5" w14:textId="77777777" w:rsidR="008C09B0" w:rsidRDefault="005B1ED6" w:rsidP="00E359C0">
      <w:pPr>
        <w:pStyle w:val="Heading2"/>
      </w:pPr>
      <w:bookmarkStart w:id="12" w:name="_4s4v6dbhqv81" w:colFirst="0" w:colLast="0"/>
      <w:bookmarkStart w:id="13" w:name="_Toc213687366"/>
      <w:bookmarkEnd w:id="12"/>
      <w:r>
        <w:t>2.3 Employment and Economic Disparity.</w:t>
      </w:r>
      <w:bookmarkEnd w:id="13"/>
      <w:r>
        <w:t xml:space="preserve">  </w:t>
      </w:r>
    </w:p>
    <w:p w14:paraId="275CC116" w14:textId="77777777" w:rsidR="008C09B0" w:rsidRDefault="005B1ED6" w:rsidP="00E359C0">
      <w:r>
        <w:t xml:space="preserve">The disabled people face twice the risk of unemployment and are forced to deal with a pay gap of 12.4% (ONS, 2025; Scope, 2025). Inequality is promoted by discrimination and lack of accessibility at the workplace (Naz </w:t>
      </w:r>
      <w:r>
        <w:rPr>
          <w:i/>
          <w:iCs/>
        </w:rPr>
        <w:t>et al.,</w:t>
      </w:r>
      <w:r>
        <w:t xml:space="preserve"> 2020). Mental health problems are worsened because of economic marginalisation, and access to care is limited (Hackett </w:t>
      </w:r>
      <w:r>
        <w:rPr>
          <w:i/>
          <w:iCs/>
        </w:rPr>
        <w:t>et al.,</w:t>
      </w:r>
      <w:r>
        <w:t> 2020).</w:t>
      </w:r>
    </w:p>
    <w:p w14:paraId="2C682277" w14:textId="77777777" w:rsidR="008C09B0" w:rsidRDefault="005B1ED6" w:rsidP="00E359C0">
      <w:pPr>
        <w:jc w:val="center"/>
      </w:pPr>
      <w:r>
        <w:rPr>
          <w:noProof/>
          <w:lang w:val="en-IN" w:eastAsia="en-IN" w:bidi="ar-SA"/>
        </w:rPr>
        <w:drawing>
          <wp:inline distT="114300" distB="114300" distL="114300" distR="114300" wp14:anchorId="5036DDC6" wp14:editId="63E6D56F">
            <wp:extent cx="3929063" cy="2562706"/>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3929063" cy="2562706"/>
                    </a:xfrm>
                    <a:prstGeom prst="rect">
                      <a:avLst/>
                    </a:prstGeom>
                    <a:ln w="25400">
                      <a:solidFill>
                        <a:srgbClr val="000000"/>
                      </a:solidFill>
                      <a:prstDash val="solid"/>
                    </a:ln>
                  </pic:spPr>
                </pic:pic>
              </a:graphicData>
            </a:graphic>
          </wp:inline>
        </w:drawing>
      </w:r>
    </w:p>
    <w:p w14:paraId="31FEEEEC" w14:textId="16474ABF" w:rsidR="008C09B0" w:rsidRDefault="005B1ED6" w:rsidP="00E359C0">
      <w:pPr>
        <w:jc w:val="center"/>
        <w:rPr>
          <w:b/>
          <w:bCs/>
          <w:sz w:val="24"/>
          <w:szCs w:val="24"/>
        </w:rPr>
      </w:pPr>
      <w:r>
        <w:rPr>
          <w:b/>
          <w:bCs/>
          <w:sz w:val="24"/>
          <w:szCs w:val="24"/>
        </w:rPr>
        <w:t>Figure 3:  The disability pay gap was 1</w:t>
      </w:r>
      <w:r w:rsidR="009349EB">
        <w:rPr>
          <w:b/>
          <w:bCs/>
          <w:sz w:val="24"/>
          <w:szCs w:val="24"/>
        </w:rPr>
        <w:t>2</w:t>
      </w:r>
      <w:r>
        <w:rPr>
          <w:b/>
          <w:bCs/>
          <w:sz w:val="24"/>
          <w:szCs w:val="24"/>
        </w:rPr>
        <w:t>.</w:t>
      </w:r>
      <w:r w:rsidR="009349EB">
        <w:rPr>
          <w:b/>
          <w:bCs/>
          <w:sz w:val="24"/>
          <w:szCs w:val="24"/>
        </w:rPr>
        <w:t>4</w:t>
      </w:r>
      <w:r>
        <w:rPr>
          <w:b/>
          <w:bCs/>
          <w:sz w:val="24"/>
          <w:szCs w:val="24"/>
        </w:rPr>
        <w:t>% in 2021</w:t>
      </w:r>
    </w:p>
    <w:p w14:paraId="1C209659" w14:textId="77777777" w:rsidR="008C09B0" w:rsidRDefault="005B1ED6" w:rsidP="00E359C0">
      <w:pPr>
        <w:jc w:val="center"/>
        <w:rPr>
          <w:b/>
          <w:bCs/>
        </w:rPr>
      </w:pPr>
      <w:r>
        <w:rPr>
          <w:b/>
          <w:bCs/>
        </w:rPr>
        <w:t>(Source: ONS, 2025)</w:t>
      </w:r>
    </w:p>
    <w:p w14:paraId="29349A2B" w14:textId="77777777" w:rsidR="008C09B0" w:rsidRDefault="005B1ED6" w:rsidP="00E359C0">
      <w:pPr>
        <w:pStyle w:val="Heading2"/>
      </w:pPr>
      <w:bookmarkStart w:id="14" w:name="_4y6x7ghysh8w" w:colFirst="0" w:colLast="0"/>
      <w:bookmarkStart w:id="15" w:name="_Toc213687367"/>
      <w:bookmarkEnd w:id="14"/>
      <w:r>
        <w:t>2.4 Poverty and Material Deprivation.</w:t>
      </w:r>
      <w:bookmarkEnd w:id="15"/>
      <w:r>
        <w:t xml:space="preserve">  </w:t>
      </w:r>
    </w:p>
    <w:p w14:paraId="620B222F" w14:textId="77777777" w:rsidR="008C09B0" w:rsidRDefault="005B1ED6" w:rsidP="00E359C0">
      <w:r>
        <w:t xml:space="preserve">There is an intersection between disability and poverty. Those who live in deprived places constitute 21.6 per cent of the disabled (ONS, 2025). The extra costs every month of the 975 pounds make it impossible to have access to healthy food and other services (Scope, 2025). The social protection is to be reformed and provided with sufficient benefits (Banks </w:t>
      </w:r>
      <w:r>
        <w:rPr>
          <w:i/>
          <w:iCs/>
        </w:rPr>
        <w:t>et al.,</w:t>
      </w:r>
      <w:r>
        <w:t> 2024).</w:t>
      </w:r>
    </w:p>
    <w:p w14:paraId="602B589D" w14:textId="77777777" w:rsidR="008C09B0" w:rsidRDefault="005B1ED6" w:rsidP="00E359C0">
      <w:pPr>
        <w:pStyle w:val="Heading2"/>
      </w:pPr>
      <w:bookmarkStart w:id="16" w:name="_9zhlj1562m0c" w:colFirst="0" w:colLast="0"/>
      <w:bookmarkStart w:id="17" w:name="_Toc213687368"/>
      <w:bookmarkEnd w:id="16"/>
      <w:r>
        <w:t>2.5 Social Loneliness and Isolation.</w:t>
      </w:r>
      <w:bookmarkEnd w:id="17"/>
      <w:r>
        <w:t xml:space="preserve">  </w:t>
      </w:r>
    </w:p>
    <w:p w14:paraId="79F35C51" w14:textId="77777777" w:rsidR="008C09B0" w:rsidRDefault="005B1ED6" w:rsidP="00E359C0">
      <w:r>
        <w:t xml:space="preserve">Almost fifty per cent of people with learning disabilities live with chronic loneliness (Local Government Association, 2025). The aspects of stigma, inaccessibility, and discrimination hurt mental well-being (Hackett </w:t>
      </w:r>
      <w:r>
        <w:rPr>
          <w:i/>
          <w:iCs/>
        </w:rPr>
        <w:t>et al.,</w:t>
      </w:r>
      <w:r>
        <w:t xml:space="preserve"> 2020). These effects can be reduced with the help of inclusive community programmes and peer networks.</w:t>
      </w:r>
    </w:p>
    <w:p w14:paraId="0829951A" w14:textId="32955A8A" w:rsidR="008C09B0" w:rsidRDefault="009349EB" w:rsidP="00E359C0">
      <w:pPr>
        <w:jc w:val="center"/>
      </w:pPr>
      <w:r>
        <w:rPr>
          <w:noProof/>
        </w:rPr>
        <w:drawing>
          <wp:inline distT="0" distB="0" distL="0" distR="0" wp14:anchorId="134A0CFB" wp14:editId="3751B1A1">
            <wp:extent cx="5943600" cy="3346450"/>
            <wp:effectExtent l="0" t="0" r="0" b="6350"/>
            <wp:docPr id="361657386" name="Picture 3" descr="Loneliness Awareness Week 2022 - Community Health Champ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neliness Awareness Week 2022 - Community Health Champ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3E49BBB8" w14:textId="0C224DE4" w:rsidR="008C09B0" w:rsidRDefault="005B1ED6" w:rsidP="00E359C0">
      <w:pPr>
        <w:jc w:val="center"/>
        <w:rPr>
          <w:b/>
          <w:bCs/>
          <w:sz w:val="24"/>
          <w:szCs w:val="24"/>
        </w:rPr>
      </w:pPr>
      <w:r>
        <w:rPr>
          <w:b/>
          <w:bCs/>
          <w:sz w:val="24"/>
          <w:szCs w:val="24"/>
        </w:rPr>
        <w:t xml:space="preserve">Figure 4 </w:t>
      </w:r>
    </w:p>
    <w:p w14:paraId="2DB3614E" w14:textId="77777777" w:rsidR="008C09B0" w:rsidRDefault="005B1ED6" w:rsidP="00E359C0">
      <w:pPr>
        <w:jc w:val="center"/>
        <w:rPr>
          <w:b/>
          <w:bCs/>
        </w:rPr>
      </w:pPr>
      <w:r>
        <w:rPr>
          <w:b/>
          <w:bCs/>
        </w:rPr>
        <w:t>(Source: ONS, 2025)</w:t>
      </w:r>
    </w:p>
    <w:p w14:paraId="55A8B08C" w14:textId="77777777" w:rsidR="008C09B0" w:rsidRDefault="005B1ED6" w:rsidP="00E359C0">
      <w:pPr>
        <w:pStyle w:val="Heading2"/>
      </w:pPr>
      <w:bookmarkStart w:id="18" w:name="_vmxpbtg4bbc" w:colFirst="0" w:colLast="0"/>
      <w:bookmarkStart w:id="19" w:name="_Toc213687369"/>
      <w:bookmarkEnd w:id="18"/>
      <w:r>
        <w:t>2.6 Enhancement of Housing and Environmental Barriers.</w:t>
      </w:r>
      <w:bookmarkEnd w:id="19"/>
      <w:r>
        <w:t xml:space="preserve">  </w:t>
      </w:r>
    </w:p>
    <w:p w14:paraId="4389C213" w14:textId="77777777" w:rsidR="008C09B0" w:rsidRDefault="005B1ED6" w:rsidP="00E359C0">
      <w:r>
        <w:t xml:space="preserve">There is also a high number of persons with disabilities who live in inappropriate housing and, thus, health outcomes are worsened (Mitra </w:t>
      </w:r>
      <w:r>
        <w:rPr>
          <w:i/>
          <w:iCs/>
        </w:rPr>
        <w:t>et al.,</w:t>
      </w:r>
      <w:r>
        <w:t xml:space="preserve"> 2022). The available housing and home-adaptation grants should be expanded to foster autonomy and equality.</w:t>
      </w:r>
    </w:p>
    <w:p w14:paraId="16E73D3A" w14:textId="77777777" w:rsidR="008C09B0" w:rsidRDefault="005B1ED6" w:rsidP="00E359C0">
      <w:pPr>
        <w:pStyle w:val="Heading1"/>
        <w:keepNext w:val="0"/>
        <w:keepLines w:val="0"/>
        <w:spacing w:before="360" w:after="80"/>
      </w:pPr>
      <w:bookmarkStart w:id="20" w:name="_azunkt992t3e" w:colFirst="0" w:colLast="0"/>
      <w:bookmarkStart w:id="21" w:name="_Toc213687370"/>
      <w:bookmarkEnd w:id="20"/>
      <w:r>
        <w:t>3. National Response to Reduce Health Inequalities</w:t>
      </w:r>
      <w:bookmarkEnd w:id="21"/>
    </w:p>
    <w:p w14:paraId="4024AA3E" w14:textId="77777777" w:rsidR="008C09B0" w:rsidRDefault="005B1ED6" w:rsidP="00E359C0">
      <w:r>
        <w:t>Local government programs have attempted to track and reduce inequalities. Targeted interventions are facilitated by the use of the Health Inequalities Dashboard (</w:t>
      </w:r>
      <w:hyperlink r:id="rId11">
        <w:r>
          <w:rPr>
            <w:color w:val="1155CC"/>
            <w:u w:val="single"/>
          </w:rPr>
          <w:t>Gov.UK</w:t>
        </w:r>
      </w:hyperlink>
      <w:r>
        <w:t xml:space="preserve">,، 2025), which monitors the deprivation, life expectancy and the level of activity. In the same way, the Local Government Association Health Inequalities Hub provides information and case studies to help councils fill the health gaps with learning disabilities ( Local Gov.., 2025). </w:t>
      </w:r>
    </w:p>
    <w:p w14:paraId="59A3F400" w14:textId="77777777" w:rsidR="008C09B0" w:rsidRDefault="005B1ED6" w:rsidP="00E359C0">
      <w:r>
        <w:t xml:space="preserve">Although such initiatives increase the level of data transparency and awareness, critics claim that these initiatives are not that intersectional, as they usually consider disability and deprivation as distinct variables, instead of interrelated determinants (Shafik, 2025). </w:t>
      </w:r>
    </w:p>
    <w:p w14:paraId="01D477EC" w14:textId="77777777" w:rsidR="008C09B0" w:rsidRDefault="005B1ED6" w:rsidP="00E359C0">
      <w:pPr>
        <w:pStyle w:val="Heading1"/>
        <w:keepNext w:val="0"/>
        <w:keepLines w:val="0"/>
        <w:spacing w:before="360" w:after="80"/>
      </w:pPr>
      <w:bookmarkStart w:id="22" w:name="_c3rh7cvfw7wr" w:colFirst="0" w:colLast="0"/>
      <w:bookmarkStart w:id="23" w:name="_Toc213687371"/>
      <w:bookmarkEnd w:id="22"/>
      <w:r>
        <w:t>4. Organisations that Support the Chosen Group</w:t>
      </w:r>
      <w:bookmarkEnd w:id="23"/>
    </w:p>
    <w:p w14:paraId="4F095CFE" w14:textId="77777777" w:rsidR="008C09B0" w:rsidRDefault="005B1ED6" w:rsidP="00E359C0">
      <w:r>
        <w:t xml:space="preserve">Charities like Mencap and Scope play central roles in taking care of these inequalities. They advocate fair healthcare to people with learning disabilities, which is predicted will avoid death and shorten life span (Lee </w:t>
      </w:r>
      <w:r>
        <w:rPr>
          <w:i/>
          <w:iCs/>
        </w:rPr>
        <w:t>et al.,</w:t>
      </w:r>
      <w:r>
        <w:t xml:space="preserve"> 2024). Scope offers employment services, carries out research, and defends disability rights, and the mentioned mission is to establish equality for disabled people in their day-to-day life (Scope, 2025). Their collaboration in creating awareness, training staff, establishing peer networks, and lobbying for policy changes fills the gap between governmental responses and lived experiences, and is a prime example of the social-epidemiological approach, which operates based on not only biomedical outcomes but also social structures that drive it.</w:t>
      </w:r>
    </w:p>
    <w:p w14:paraId="35416853" w14:textId="77777777" w:rsidR="008C09B0" w:rsidRDefault="005B1ED6" w:rsidP="00E359C0">
      <w:pPr>
        <w:pStyle w:val="Heading1"/>
        <w:keepNext w:val="0"/>
        <w:keepLines w:val="0"/>
        <w:spacing w:before="360" w:after="80"/>
      </w:pPr>
      <w:bookmarkStart w:id="24" w:name="_ce1zq2namci7" w:colFirst="0" w:colLast="0"/>
      <w:bookmarkStart w:id="25" w:name="_Toc213687372"/>
      <w:bookmarkEnd w:id="24"/>
      <w:r>
        <w:t>5. Conclusion</w:t>
      </w:r>
      <w:bookmarkEnd w:id="25"/>
    </w:p>
    <w:p w14:paraId="294BFFC9" w14:textId="77777777" w:rsidR="008C09B0" w:rsidRDefault="005B1ED6" w:rsidP="00E359C0">
      <w:r>
        <w:t>The disabled people in the United Kingdom are characterised by longstanding health disparities in terms of disease outcome (premature mortality, chronic medical conditions, avoidable deaths) and social determinants (poverty, deficit in employment, isolation and housing). These differences stem from organisational inequalities and not personal failures. Empirical data suggest that there is an interaction between the social environment, discrimination, and economic disadvantage to form synergistic vulnerability. Further developments need to involve stringent data gathering, intersectional policy formulation and improved co-production with the disabled communities. The social-epidemiological approach of intersecting health and the socioeconomic environment requires the integration of interventions that span both healthcare and social systems to ensure true equity and inclusion.</w:t>
      </w:r>
    </w:p>
    <w:p w14:paraId="63A08E5F" w14:textId="77777777" w:rsidR="008C09B0" w:rsidRDefault="008C09B0" w:rsidP="00E359C0">
      <w:pPr>
        <w:rPr>
          <w:sz w:val="24"/>
          <w:szCs w:val="24"/>
        </w:rPr>
      </w:pPr>
    </w:p>
    <w:p w14:paraId="2182AFE0" w14:textId="77777777" w:rsidR="008C09B0" w:rsidRDefault="008C09B0" w:rsidP="00E359C0">
      <w:pPr>
        <w:rPr>
          <w:sz w:val="24"/>
          <w:szCs w:val="24"/>
        </w:rPr>
      </w:pPr>
    </w:p>
    <w:p w14:paraId="2DA1E44A" w14:textId="77777777" w:rsidR="008C09B0" w:rsidRDefault="008C09B0" w:rsidP="00E359C0">
      <w:pPr>
        <w:rPr>
          <w:sz w:val="24"/>
          <w:szCs w:val="24"/>
        </w:rPr>
      </w:pPr>
    </w:p>
    <w:p w14:paraId="36BFC266" w14:textId="77777777" w:rsidR="008C09B0" w:rsidRDefault="008C09B0" w:rsidP="00E359C0">
      <w:pPr>
        <w:rPr>
          <w:sz w:val="24"/>
          <w:szCs w:val="24"/>
        </w:rPr>
      </w:pPr>
    </w:p>
    <w:p w14:paraId="7591A2E3" w14:textId="77777777" w:rsidR="008C09B0" w:rsidRDefault="008C09B0" w:rsidP="00E359C0">
      <w:pPr>
        <w:rPr>
          <w:sz w:val="24"/>
          <w:szCs w:val="24"/>
        </w:rPr>
      </w:pPr>
    </w:p>
    <w:p w14:paraId="6F22C484" w14:textId="77777777" w:rsidR="008C09B0" w:rsidRDefault="008C09B0" w:rsidP="00E359C0">
      <w:pPr>
        <w:rPr>
          <w:sz w:val="24"/>
          <w:szCs w:val="24"/>
        </w:rPr>
      </w:pPr>
    </w:p>
    <w:p w14:paraId="23D9E514" w14:textId="77777777" w:rsidR="008C09B0" w:rsidRDefault="008C09B0" w:rsidP="00E359C0">
      <w:pPr>
        <w:rPr>
          <w:sz w:val="24"/>
          <w:szCs w:val="24"/>
        </w:rPr>
      </w:pPr>
    </w:p>
    <w:p w14:paraId="7936041B" w14:textId="77777777" w:rsidR="008C09B0" w:rsidRDefault="008C09B0" w:rsidP="00E359C0">
      <w:pPr>
        <w:rPr>
          <w:sz w:val="24"/>
          <w:szCs w:val="24"/>
        </w:rPr>
      </w:pPr>
    </w:p>
    <w:p w14:paraId="284889D4" w14:textId="77777777" w:rsidR="008C09B0" w:rsidRDefault="008C09B0" w:rsidP="00E359C0">
      <w:pPr>
        <w:rPr>
          <w:sz w:val="24"/>
          <w:szCs w:val="24"/>
        </w:rPr>
      </w:pPr>
    </w:p>
    <w:p w14:paraId="01DC53F9" w14:textId="77777777" w:rsidR="008C09B0" w:rsidRDefault="005B1ED6" w:rsidP="00E359C0">
      <w:pPr>
        <w:rPr>
          <w:sz w:val="24"/>
          <w:szCs w:val="24"/>
        </w:rPr>
      </w:pPr>
      <w:r>
        <w:br w:type="page"/>
      </w:r>
    </w:p>
    <w:p w14:paraId="7C8E35A5" w14:textId="77777777" w:rsidR="008C09B0" w:rsidRDefault="005B1ED6" w:rsidP="00E359C0">
      <w:pPr>
        <w:pStyle w:val="Heading1"/>
        <w:spacing w:before="240" w:after="240"/>
      </w:pPr>
      <w:bookmarkStart w:id="26" w:name="_wsr0446ji7r2" w:colFirst="0" w:colLast="0"/>
      <w:bookmarkStart w:id="27" w:name="_Toc213687373"/>
      <w:bookmarkEnd w:id="26"/>
      <w:r>
        <w:t>Task 2: Epidemiological Analysis: Cardiovascular Health Inequalities in England: An Epidemiological Analysis of Hypertension and CVD in the UK</w:t>
      </w:r>
      <w:bookmarkEnd w:id="27"/>
    </w:p>
    <w:p w14:paraId="76ACF200" w14:textId="77777777" w:rsidR="008C09B0" w:rsidRDefault="005B1ED6" w:rsidP="00E359C0">
      <w:pPr>
        <w:pStyle w:val="Heading1"/>
      </w:pPr>
      <w:bookmarkStart w:id="28" w:name="_jvlpklyg8io" w:colFirst="0" w:colLast="0"/>
      <w:bookmarkStart w:id="29" w:name="_Toc213687374"/>
      <w:bookmarkEnd w:id="28"/>
      <w:r>
        <w:t>1. Introduction</w:t>
      </w:r>
      <w:bookmarkEnd w:id="29"/>
      <w:r>
        <w:t xml:space="preserve">  </w:t>
      </w:r>
    </w:p>
    <w:p w14:paraId="63CCF2E4" w14:textId="77777777" w:rsidR="008C09B0" w:rsidRDefault="005B1ED6" w:rsidP="00E359C0">
      <w:pPr>
        <w:spacing w:before="0" w:after="0"/>
        <w:rPr>
          <w:color w:val="222222"/>
          <w:highlight w:val="white"/>
        </w:rPr>
      </w:pPr>
      <w:r>
        <w:rPr>
          <w:color w:val="222222"/>
          <w:highlight w:val="white"/>
        </w:rPr>
        <w:t xml:space="preserve">Cardiovascular disease (CVD), including hypertension, coronary heart disease, and stroke, is one of the leading causes of death in England. Hypertension, also known as high blood pressure, is not only a pathological process but also a major risk factor of secondary cardiovascular outcomes, i.e., heart failure, renal disease, and cerebrovascular events (WHO, 2025). Lack of clinical manifestations frequently makes the title of a so-called silent killer, and people can remain without diagnosis for a long time until they reach severe pathology (NHS, 2025). </w:t>
      </w:r>
    </w:p>
    <w:p w14:paraId="488F0FA3" w14:textId="77777777" w:rsidR="008C09B0" w:rsidRDefault="005B1ED6" w:rsidP="00E359C0">
      <w:pPr>
        <w:spacing w:before="0" w:after="0"/>
        <w:rPr>
          <w:color w:val="222222"/>
          <w:highlight w:val="white"/>
        </w:rPr>
      </w:pPr>
      <w:r>
        <w:rPr>
          <w:color w:val="222222"/>
          <w:highlight w:val="white"/>
        </w:rPr>
        <w:t xml:space="preserve">In the United Kingdom, the number of people living with cardiac and circulatory conditions is around 7.6 million, and one out of every four adults in England is a hypertensive person, which is often unnoticed by them (BP, 2025). The geographical distribution of the prevalence of hypertension is also not uniform: it is high specifically in boroughs in socioeconomically disadvantaged areas of London, as well as among Black, Asian, and minority ethnic (BAME) groups, which implies deeply rooted social and health inequities (ONS, 2025). </w:t>
      </w:r>
    </w:p>
    <w:p w14:paraId="3357AEE4" w14:textId="77777777" w:rsidR="008C09B0" w:rsidRDefault="005B1ED6" w:rsidP="00E359C0">
      <w:pPr>
        <w:spacing w:before="0" w:after="0"/>
        <w:jc w:val="center"/>
        <w:rPr>
          <w:color w:val="222222"/>
          <w:highlight w:val="white"/>
        </w:rPr>
      </w:pPr>
      <w:r>
        <w:rPr>
          <w:noProof/>
          <w:color w:val="222222"/>
          <w:highlight w:val="white"/>
          <w:lang w:val="en-IN" w:eastAsia="en-IN" w:bidi="ar-SA"/>
        </w:rPr>
        <w:drawing>
          <wp:inline distT="114300" distB="114300" distL="114300" distR="114300" wp14:anchorId="69200F7E" wp14:editId="2DF414ED">
            <wp:extent cx="4486275" cy="3136900"/>
            <wp:effectExtent l="38100" t="38100" r="47625" b="444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486275" cy="3136900"/>
                    </a:xfrm>
                    <a:prstGeom prst="rect">
                      <a:avLst/>
                    </a:prstGeom>
                    <a:ln w="25400">
                      <a:solidFill>
                        <a:srgbClr val="000000"/>
                      </a:solidFill>
                      <a:prstDash val="solid"/>
                    </a:ln>
                  </pic:spPr>
                </pic:pic>
              </a:graphicData>
            </a:graphic>
          </wp:inline>
        </w:drawing>
      </w:r>
    </w:p>
    <w:p w14:paraId="45DD3007" w14:textId="77777777" w:rsidR="008C09B0" w:rsidRPr="0053190A" w:rsidRDefault="005B1ED6" w:rsidP="00E359C0">
      <w:pPr>
        <w:spacing w:before="0" w:after="0"/>
        <w:jc w:val="center"/>
        <w:rPr>
          <w:b/>
          <w:bCs/>
          <w:color w:val="000000" w:themeColor="text1"/>
          <w:highlight w:val="white"/>
        </w:rPr>
      </w:pPr>
      <w:r w:rsidRPr="0053190A">
        <w:rPr>
          <w:b/>
          <w:bCs/>
          <w:color w:val="000000" w:themeColor="text1"/>
          <w:highlight w:val="white"/>
        </w:rPr>
        <w:t>Figure 1: Younger adults with hypertension were more likely to be undiagnosed than older adults</w:t>
      </w:r>
    </w:p>
    <w:p w14:paraId="51885628" w14:textId="77777777" w:rsidR="008C09B0" w:rsidRPr="0053190A" w:rsidRDefault="005B1ED6" w:rsidP="00E359C0">
      <w:pPr>
        <w:spacing w:before="0" w:after="0"/>
        <w:jc w:val="center"/>
        <w:rPr>
          <w:b/>
          <w:bCs/>
          <w:color w:val="000000" w:themeColor="text1"/>
          <w:highlight w:val="white"/>
        </w:rPr>
      </w:pPr>
      <w:r w:rsidRPr="0053190A">
        <w:rPr>
          <w:b/>
          <w:bCs/>
          <w:color w:val="000000" w:themeColor="text1"/>
          <w:highlight w:val="white"/>
        </w:rPr>
        <w:t>(Source: ONS, 2025)</w:t>
      </w:r>
    </w:p>
    <w:p w14:paraId="765E1FA9" w14:textId="77777777" w:rsidR="008C09B0" w:rsidRPr="0053190A" w:rsidRDefault="005B1ED6" w:rsidP="00E359C0">
      <w:pPr>
        <w:spacing w:before="0" w:after="0"/>
        <w:rPr>
          <w:color w:val="222222"/>
          <w:highlight w:val="white"/>
        </w:rPr>
      </w:pPr>
      <w:r w:rsidRPr="0053190A">
        <w:rPr>
          <w:color w:val="222222"/>
          <w:highlight w:val="white"/>
        </w:rPr>
        <w:t xml:space="preserve">Hypertension is one of the main global health problems, as it is the primary cause of mortality in the entire world. The World Health Organisation (WHO, 2025) estimates that 1.4 0 b billion adults aged 30-79 years have hypertension, almost two-thirds of whom are in low- and middle-income countries. Hypertension is estimated to cause about 10 million deaths annually worldwide, and this shows a dire need to implement preventive and control measures. </w:t>
      </w:r>
    </w:p>
    <w:p w14:paraId="13F17C26" w14:textId="77777777" w:rsidR="008C09B0" w:rsidRPr="0053190A" w:rsidRDefault="005B1ED6" w:rsidP="00E359C0">
      <w:pPr>
        <w:spacing w:before="0" w:after="0"/>
      </w:pPr>
      <w:r w:rsidRPr="0053190A">
        <w:rPr>
          <w:color w:val="222222"/>
          <w:highlight w:val="white"/>
        </w:rPr>
        <w:t xml:space="preserve">Recent data shows that, even though the number of deaths due to coronary heart diseases has decreased by 30 per cent, there is an increase in other cases of the heart, like heart failure (Paharia, 2024). The paper will critically analyse hypertension in London through the prism of epidemiological surveillance and response in terms of the health care system (public health), within the framework of the three Ps triad: prevention, protection, and health promotion. </w:t>
      </w:r>
    </w:p>
    <w:p w14:paraId="32348B0F" w14:textId="77777777" w:rsidR="008C09B0" w:rsidRDefault="005B1ED6" w:rsidP="00E359C0">
      <w:pPr>
        <w:pStyle w:val="Heading1"/>
      </w:pPr>
      <w:bookmarkStart w:id="30" w:name="_yvohn0ypz5gn" w:colFirst="0" w:colLast="0"/>
      <w:bookmarkStart w:id="31" w:name="_Toc213687375"/>
      <w:bookmarkEnd w:id="30"/>
      <w:r>
        <w:t>2. Main Body</w:t>
      </w:r>
      <w:bookmarkEnd w:id="31"/>
      <w:r>
        <w:t xml:space="preserve">  </w:t>
      </w:r>
    </w:p>
    <w:p w14:paraId="24C77C58" w14:textId="77777777" w:rsidR="008C09B0" w:rsidRDefault="005B1ED6" w:rsidP="00E359C0">
      <w:pPr>
        <w:pStyle w:val="Heading2"/>
        <w:spacing w:before="0" w:after="0"/>
      </w:pPr>
      <w:bookmarkStart w:id="32" w:name="_9cvzsu7omlil" w:colFirst="0" w:colLast="0"/>
      <w:bookmarkStart w:id="33" w:name="_Toc213687376"/>
      <w:bookmarkEnd w:id="32"/>
      <w:r>
        <w:t>2.1 Public health practices (the three Ps)</w:t>
      </w:r>
      <w:bookmarkEnd w:id="33"/>
      <w:r>
        <w:t xml:space="preserve">  </w:t>
      </w:r>
    </w:p>
    <w:p w14:paraId="13F9F0CC" w14:textId="77777777" w:rsidR="008C09B0" w:rsidRDefault="005B1ED6" w:rsidP="00E359C0">
      <w:pPr>
        <w:spacing w:before="0" w:after="0"/>
        <w:rPr>
          <w:color w:val="222222"/>
          <w:highlight w:val="white"/>
        </w:rPr>
      </w:pPr>
      <w:r w:rsidRPr="0053190A">
        <w:rPr>
          <w:b/>
          <w:bCs/>
          <w:i/>
          <w:iCs/>
          <w:color w:val="222222"/>
          <w:highlight w:val="white"/>
        </w:rPr>
        <w:t>Prevention:</w:t>
      </w:r>
      <w:r>
        <w:rPr>
          <w:b/>
          <w:bCs/>
          <w:i/>
          <w:iCs/>
          <w:color w:val="222222"/>
          <w:highlight w:val="white"/>
        </w:rPr>
        <w:t xml:space="preserve"> </w:t>
      </w:r>
      <w:r>
        <w:rPr>
          <w:color w:val="222222"/>
          <w:highlight w:val="white"/>
        </w:rPr>
        <w:t xml:space="preserve">Prevention takes a central role in the CVD prevention plan of England, and it aims at addressing some of the risk factors that can be altered through diet, smoking, and physical exercise. Primary prevention aims at early diagnosis through the NHS Health Checks, where adults aged 40-74 years are given free blood pressure, cholesterol, and diabetes screening (Raleigh </w:t>
      </w:r>
      <w:r>
        <w:rPr>
          <w:i/>
          <w:iCs/>
          <w:color w:val="222222"/>
          <w:highlight w:val="white"/>
        </w:rPr>
        <w:t>et al.,</w:t>
      </w:r>
      <w:r>
        <w:rPr>
          <w:color w:val="222222"/>
          <w:highlight w:val="white"/>
        </w:rPr>
        <w:t xml:space="preserve"> 2022). The uptake is, however, still less than optimal in deprived London boroughs, partly because of a lack of health literacy and cultural barriers.  </w:t>
      </w:r>
    </w:p>
    <w:p w14:paraId="769777C1" w14:textId="77777777" w:rsidR="008C09B0" w:rsidRDefault="005B1ED6" w:rsidP="00E359C0">
      <w:pPr>
        <w:spacing w:before="0" w:after="0"/>
        <w:rPr>
          <w:color w:val="222222"/>
          <w:highlight w:val="white"/>
        </w:rPr>
      </w:pPr>
      <w:r>
        <w:rPr>
          <w:color w:val="222222"/>
          <w:highlight w:val="white"/>
        </w:rPr>
        <w:t xml:space="preserve">The testimonies of the British Heart Foundation (2025) emphasise the fact that CVD mortality can be reduced by 30 per cent with the help of timely intervention, i.e. decreases in salt intake and encouragement of healthy eating habits. As an illustration, urban poverty in poorer areas of London hinders preventive measures because food insecurity and access to affordable fresh food pose a challenge (ONS, 2025).  </w:t>
      </w:r>
    </w:p>
    <w:p w14:paraId="2BDA296A" w14:textId="77777777" w:rsidR="008C09B0" w:rsidRDefault="005B1ED6" w:rsidP="00E359C0">
      <w:pPr>
        <w:spacing w:before="0" w:after="0"/>
        <w:rPr>
          <w:color w:val="222222"/>
          <w:highlight w:val="white"/>
        </w:rPr>
      </w:pPr>
      <w:r w:rsidRPr="0053190A">
        <w:rPr>
          <w:b/>
          <w:bCs/>
          <w:i/>
          <w:iCs/>
          <w:color w:val="222222"/>
          <w:highlight w:val="white"/>
        </w:rPr>
        <w:t>Protection:</w:t>
      </w:r>
      <w:r>
        <w:rPr>
          <w:b/>
          <w:bCs/>
          <w:i/>
          <w:iCs/>
          <w:color w:val="222222"/>
          <w:highlight w:val="white"/>
        </w:rPr>
        <w:t xml:space="preserve"> </w:t>
      </w:r>
      <w:r>
        <w:rPr>
          <w:color w:val="222222"/>
          <w:highlight w:val="white"/>
        </w:rPr>
        <w:t xml:space="preserve">The health protection of the population aims at minimising the exposure to cardiovascular risks by means of early diagnosis and proper treatment. The NHS Long-Term Plan (2019-2029) has been challenged to prevent 150,000 heart attacks and strokes during the next 10 years by enhancing the management of hypertension (NHS, 2025). Although such goals are present, recent statistics indicate that only half of those who are diagnosed can reach good levels of blood pressure (Tapela </w:t>
      </w:r>
      <w:r>
        <w:rPr>
          <w:i/>
          <w:iCs/>
          <w:color w:val="222222"/>
          <w:highlight w:val="white"/>
        </w:rPr>
        <w:t>et al.,</w:t>
      </w:r>
      <w:r>
        <w:rPr>
          <w:color w:val="222222"/>
          <w:highlight w:val="white"/>
        </w:rPr>
        <w:t xml:space="preserve"> 2021).  </w:t>
      </w:r>
    </w:p>
    <w:p w14:paraId="6B739C8D" w14:textId="77777777" w:rsidR="008C09B0" w:rsidRDefault="005B1ED6" w:rsidP="00E359C0">
      <w:pPr>
        <w:spacing w:before="0" w:after="0"/>
        <w:rPr>
          <w:color w:val="222222"/>
          <w:highlight w:val="white"/>
        </w:rPr>
      </w:pPr>
      <w:r>
        <w:rPr>
          <w:color w:val="222222"/>
          <w:highlight w:val="white"/>
        </w:rPr>
        <w:t>The main obstacles are divided into broken primary care, poor adherence to medication, and unfairness in access to services. According to The King’s Fund (Raleigh</w:t>
      </w:r>
      <w:r>
        <w:rPr>
          <w:i/>
          <w:iCs/>
          <w:color w:val="222222"/>
          <w:highlight w:val="white"/>
        </w:rPr>
        <w:t xml:space="preserve"> et al.,</w:t>
      </w:r>
      <w:r>
        <w:rPr>
          <w:color w:val="222222"/>
          <w:highlight w:val="white"/>
        </w:rPr>
        <w:t xml:space="preserve"> 2022), workforce shortage and high general-practice workloads in London areas with high levels of deprivation undermine continuity of care, especially to ethnically diverse populations facing language barriers.  </w:t>
      </w:r>
    </w:p>
    <w:p w14:paraId="4D49AD48" w14:textId="77777777" w:rsidR="008C09B0" w:rsidRDefault="005B1ED6" w:rsidP="00E359C0">
      <w:pPr>
        <w:spacing w:before="0" w:after="0"/>
        <w:rPr>
          <w:color w:val="222222"/>
          <w:highlight w:val="white"/>
        </w:rPr>
      </w:pPr>
      <w:r>
        <w:rPr>
          <w:color w:val="222222"/>
          <w:highlight w:val="white"/>
        </w:rPr>
        <w:t xml:space="preserve">Remote blood-pressure monitoring and digital health applications represent technological resources that have promoted self-management of patients, particularly during and after the COVID-19 pandemic (Austin </w:t>
      </w:r>
      <w:r>
        <w:rPr>
          <w:i/>
          <w:iCs/>
          <w:color w:val="222222"/>
          <w:highlight w:val="white"/>
        </w:rPr>
        <w:t>et al.,</w:t>
      </w:r>
      <w:r>
        <w:rPr>
          <w:color w:val="222222"/>
          <w:highlight w:val="white"/>
        </w:rPr>
        <w:t xml:space="preserve"> 2024). Environmental regulation, i.e., trans-fat bans, smoke-free zones, and urban air quality, is also a type of protection on the population level, albeit indirectly reducing the prevalence of hypertension (Paharia, 2024).</w:t>
      </w:r>
    </w:p>
    <w:p w14:paraId="1E8977E7" w14:textId="77777777" w:rsidR="008C09B0" w:rsidRDefault="005B1ED6" w:rsidP="00E359C0">
      <w:pPr>
        <w:spacing w:before="0" w:after="0"/>
        <w:rPr>
          <w:color w:val="222222"/>
          <w:highlight w:val="white"/>
        </w:rPr>
      </w:pPr>
      <w:r w:rsidRPr="0053190A">
        <w:rPr>
          <w:b/>
          <w:bCs/>
          <w:i/>
          <w:iCs/>
          <w:color w:val="222222"/>
          <w:highlight w:val="white"/>
        </w:rPr>
        <w:t>Promotion:</w:t>
      </w:r>
      <w:r>
        <w:rPr>
          <w:b/>
          <w:bCs/>
          <w:i/>
          <w:iCs/>
          <w:color w:val="222222"/>
          <w:highlight w:val="white"/>
        </w:rPr>
        <w:t xml:space="preserve"> </w:t>
      </w:r>
      <w:r>
        <w:rPr>
          <w:color w:val="222222"/>
          <w:highlight w:val="white"/>
        </w:rPr>
        <w:t xml:space="preserve">The role of health promotion is viewed as a complement to prevention and protection, whereby those individuals and communities are enabled to make healthier lifestyle choices. According to Robinson (2021), effective promotion depends on cross-sectoral cooperation, which consolidates the spheres of education, housing, transport and health policy. In London, the British Heart Foundation, with the collaboration of local NHS agencies, organises the Healthy Hearts Campaign, which is aimed at increasing the awareness of people about blood pressure monitoring and a healthy heart lifestyle. </w:t>
      </w:r>
    </w:p>
    <w:p w14:paraId="1AC99D1B" w14:textId="77777777" w:rsidR="008C09B0" w:rsidRDefault="005B1ED6" w:rsidP="00E359C0">
      <w:pPr>
        <w:spacing w:before="0" w:after="0"/>
        <w:jc w:val="center"/>
        <w:rPr>
          <w:color w:val="222222"/>
          <w:highlight w:val="white"/>
        </w:rPr>
      </w:pPr>
      <w:r>
        <w:rPr>
          <w:noProof/>
          <w:color w:val="222222"/>
          <w:highlight w:val="white"/>
          <w:lang w:val="en-IN" w:eastAsia="en-IN" w:bidi="ar-SA"/>
        </w:rPr>
        <w:drawing>
          <wp:inline distT="114300" distB="114300" distL="114300" distR="114300" wp14:anchorId="1455500F" wp14:editId="27ED173B">
            <wp:extent cx="5943600" cy="541972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b="8814"/>
                    <a:stretch>
                      <a:fillRect/>
                    </a:stretch>
                  </pic:blipFill>
                  <pic:spPr>
                    <a:xfrm>
                      <a:off x="0" y="0"/>
                      <a:ext cx="5943600" cy="5419725"/>
                    </a:xfrm>
                    <a:prstGeom prst="rect">
                      <a:avLst/>
                    </a:prstGeom>
                    <a:ln w="25400">
                      <a:solidFill>
                        <a:srgbClr val="000000"/>
                      </a:solidFill>
                      <a:prstDash val="solid"/>
                    </a:ln>
                  </pic:spPr>
                </pic:pic>
              </a:graphicData>
            </a:graphic>
          </wp:inline>
        </w:drawing>
      </w:r>
    </w:p>
    <w:p w14:paraId="439CD386" w14:textId="77777777" w:rsidR="008C09B0" w:rsidRDefault="005B1ED6" w:rsidP="00E359C0">
      <w:pPr>
        <w:spacing w:before="0" w:after="0"/>
        <w:jc w:val="center"/>
        <w:rPr>
          <w:b/>
          <w:bCs/>
          <w:color w:val="323132"/>
          <w:highlight w:val="white"/>
        </w:rPr>
      </w:pPr>
      <w:r>
        <w:rPr>
          <w:b/>
          <w:bCs/>
          <w:color w:val="222222"/>
          <w:highlight w:val="white"/>
        </w:rPr>
        <w:t xml:space="preserve">Figure 2: </w:t>
      </w:r>
      <w:r>
        <w:rPr>
          <w:b/>
          <w:bCs/>
          <w:color w:val="323132"/>
          <w:highlight w:val="white"/>
        </w:rPr>
        <w:t>3 Ps</w:t>
      </w:r>
    </w:p>
    <w:p w14:paraId="726B96CA" w14:textId="77777777" w:rsidR="008C09B0" w:rsidRDefault="005B1ED6" w:rsidP="00E359C0">
      <w:pPr>
        <w:spacing w:before="0" w:after="0"/>
        <w:jc w:val="center"/>
        <w:rPr>
          <w:b/>
          <w:bCs/>
          <w:color w:val="222222"/>
          <w:highlight w:val="white"/>
        </w:rPr>
      </w:pPr>
      <w:r>
        <w:rPr>
          <w:b/>
          <w:bCs/>
          <w:color w:val="323132"/>
          <w:highlight w:val="white"/>
        </w:rPr>
        <w:t>(Source: Author)</w:t>
      </w:r>
    </w:p>
    <w:p w14:paraId="2484BECB" w14:textId="77777777" w:rsidR="008C09B0" w:rsidRDefault="005B1ED6" w:rsidP="00E359C0">
      <w:pPr>
        <w:pStyle w:val="Heading2"/>
        <w:spacing w:before="0" w:after="0"/>
      </w:pPr>
      <w:bookmarkStart w:id="34" w:name="_siljde6rrlee" w:colFirst="0" w:colLast="0"/>
      <w:bookmarkStart w:id="35" w:name="_Toc213687377"/>
      <w:bookmarkEnd w:id="34"/>
      <w:r>
        <w:t>2.2 Epidemiology and Burden of Disease</w:t>
      </w:r>
      <w:bookmarkEnd w:id="35"/>
    </w:p>
    <w:p w14:paraId="13982B85" w14:textId="77777777" w:rsidR="008C09B0" w:rsidRDefault="005B1ED6" w:rsidP="00E359C0">
      <w:pPr>
        <w:spacing w:before="0" w:after="0"/>
        <w:rPr>
          <w:color w:val="222222"/>
          <w:highlight w:val="white"/>
        </w:rPr>
      </w:pPr>
      <w:r>
        <w:rPr>
          <w:color w:val="222222"/>
          <w:highlight w:val="white"/>
        </w:rPr>
        <w:t xml:space="preserve">The epidemiological data show that the prevalence of hypertension has been high in England during the past three decades despite the awareness and treatment progress (Graham et al., 2024). The Health Survey for England (NHS, 2025) shows that about 31% of men and 26% of women have hypertension, and about a third of them are not even diagnosed. The threat of high blood pressure increases with age, socioeconomic deprivation, obesity, and ethnicity. </w:t>
      </w:r>
    </w:p>
    <w:p w14:paraId="4FCA4284" w14:textId="77777777" w:rsidR="008C09B0" w:rsidRDefault="005B1ED6" w:rsidP="00E359C0">
      <w:pPr>
        <w:spacing w:before="0" w:after="0"/>
        <w:rPr>
          <w:color w:val="222222"/>
          <w:highlight w:val="white"/>
        </w:rPr>
      </w:pPr>
      <w:r>
        <w:rPr>
          <w:color w:val="222222"/>
          <w:highlight w:val="white"/>
        </w:rPr>
        <w:t xml:space="preserve">In London, the negative disparity is especially acute: boroughs like Tower Hamlets and Newham have nearly 20 per cent more hypertension rates than such wealthy districts as Richmond upon Thames (ONS, 2025). These inequalities are manifestations of income and environmental inequalities, such as poor access to green areas and healthy food stores, which mediate cardiovascular risk factors. </w:t>
      </w:r>
    </w:p>
    <w:p w14:paraId="1D669A72" w14:textId="77777777" w:rsidR="008C09B0" w:rsidRDefault="005B1ED6" w:rsidP="00E359C0">
      <w:pPr>
        <w:spacing w:before="0" w:after="0"/>
        <w:rPr>
          <w:color w:val="222222"/>
          <w:highlight w:val="white"/>
        </w:rPr>
      </w:pPr>
      <w:r>
        <w:rPr>
          <w:color w:val="222222"/>
          <w:highlight w:val="white"/>
        </w:rPr>
        <w:t xml:space="preserve">Hypertension is linked to more than 100,000 hospital admissions each year that nationally cost the NHS a lot of money (Cheema </w:t>
      </w:r>
      <w:r>
        <w:rPr>
          <w:i/>
          <w:iCs/>
          <w:color w:val="222222"/>
          <w:highlight w:val="white"/>
        </w:rPr>
        <w:t>et al.,</w:t>
      </w:r>
      <w:r>
        <w:rPr>
          <w:color w:val="222222"/>
          <w:highlight w:val="white"/>
        </w:rPr>
        <w:t xml:space="preserve"> 2022). Nevertheless, there is reported underdiagnosis in the area to indicate that the actual burden is greater, therefore, requiring strong public health surveillance mechanisms, including QRISK3, to predict risk in the early stage (QRISK3, 2025).</w:t>
      </w:r>
    </w:p>
    <w:p w14:paraId="043FCEC0" w14:textId="77777777" w:rsidR="008C09B0" w:rsidRDefault="005B1ED6" w:rsidP="00E359C0">
      <w:pPr>
        <w:pStyle w:val="Heading2"/>
        <w:spacing w:before="0" w:after="0"/>
      </w:pPr>
      <w:bookmarkStart w:id="36" w:name="_c0ygq37pdt2" w:colFirst="0" w:colLast="0"/>
      <w:bookmarkStart w:id="37" w:name="_Toc213687378"/>
      <w:bookmarkEnd w:id="36"/>
      <w:r>
        <w:t>2.3 Significant Determinants and Risk Factors.</w:t>
      </w:r>
      <w:bookmarkEnd w:id="37"/>
      <w:r>
        <w:t xml:space="preserve">  </w:t>
      </w:r>
    </w:p>
    <w:p w14:paraId="1EEB4C3B" w14:textId="77777777" w:rsidR="008C09B0" w:rsidRDefault="005B1ED6" w:rsidP="00E359C0">
      <w:pPr>
        <w:spacing w:before="0" w:after="0"/>
        <w:rPr>
          <w:color w:val="222222"/>
          <w:highlight w:val="white"/>
        </w:rPr>
      </w:pPr>
      <w:r>
        <w:rPr>
          <w:color w:val="222222"/>
          <w:highlight w:val="white"/>
        </w:rPr>
        <w:t>The multifactorial nexus of behavioural, biomedical, socioeconomic, and environmental determinants causes cardiovascular disease (CVD) and hypertension. The key behavioural threats include smoking, unhealthy diet, lack of physical activity, and alcoholism. About one out of four adults in England is physically inactive, which also translates to an approximate of 20 per cent of CVD deaths being caused by smoking (British Heart Foundation, 2025). Biomedical risks such as obesity, diabetes and hypercholesterolemia also increase the risk of CVD.</w:t>
      </w:r>
    </w:p>
    <w:p w14:paraId="43D83AEA" w14:textId="77777777" w:rsidR="008C09B0" w:rsidRDefault="005B1ED6" w:rsidP="00E359C0">
      <w:pPr>
        <w:spacing w:before="0" w:after="0"/>
        <w:rPr>
          <w:color w:val="222222"/>
          <w:highlight w:val="white"/>
        </w:rPr>
      </w:pPr>
      <w:r>
        <w:rPr>
          <w:color w:val="222222"/>
          <w:highlight w:val="white"/>
        </w:rPr>
        <w:t xml:space="preserve">The prevalence of obesity is on the increase, with 64%⠁ of adults in England overweight or obese, a condition closely associated with hypertension and coronary disease (BP, 2025). </w:t>
      </w:r>
    </w:p>
    <w:p w14:paraId="595907C9" w14:textId="77777777" w:rsidR="008C09B0" w:rsidRDefault="005B1ED6" w:rsidP="00E359C0">
      <w:pPr>
        <w:pStyle w:val="Heading2"/>
        <w:spacing w:before="0" w:after="0"/>
      </w:pPr>
      <w:bookmarkStart w:id="38" w:name="_rdbhczy54awt" w:colFirst="0" w:colLast="0"/>
      <w:bookmarkStart w:id="39" w:name="_Toc213687379"/>
      <w:bookmarkEnd w:id="38"/>
      <w:r>
        <w:t>2.4 Incidence and Prevalence Surveillance and Monitoring.</w:t>
      </w:r>
      <w:bookmarkEnd w:id="39"/>
      <w:r>
        <w:t xml:space="preserve">  </w:t>
      </w:r>
    </w:p>
    <w:p w14:paraId="478C8F9F" w14:textId="77777777" w:rsidR="008C09B0" w:rsidRDefault="005B1ED6" w:rsidP="00E359C0">
      <w:pPr>
        <w:spacing w:before="0" w:after="0"/>
        <w:rPr>
          <w:color w:val="222222"/>
          <w:highlight w:val="white"/>
        </w:rPr>
      </w:pPr>
      <w:r>
        <w:rPr>
          <w:color w:val="222222"/>
          <w:highlight w:val="white"/>
        </w:rPr>
        <w:t xml:space="preserve">CVD follow-ups on surveillance in England are based on general practitioner records, hospital episode statistics, and mortality (Graham </w:t>
      </w:r>
      <w:r>
        <w:rPr>
          <w:i/>
          <w:iCs/>
          <w:color w:val="222222"/>
          <w:highlight w:val="white"/>
        </w:rPr>
        <w:t>et al.,</w:t>
      </w:r>
      <w:r>
        <w:rPr>
          <w:color w:val="222222"/>
          <w:highlight w:val="white"/>
        </w:rPr>
        <w:t xml:space="preserve"> 2024). The monitoring of risk factors is supported by the use of common surveys like the Health Survey for England and the use of predictive tools like the QRISK3, which is an estimate of the ten-year risk of CVD in an individual (QRISK3, 2025). Even as these systems facilitate continuous observation, they are faced with the challenge of under-diagnosis, insufficient ethnicity data and time-lag delays in their reporting (ONS, 2025). Despite these constraints, these surveillance mechanisms cannot be eliminated in the quest to focus preventive interventions and tracking progress, both regionally and nationally.</w:t>
      </w:r>
    </w:p>
    <w:p w14:paraId="766EAC49" w14:textId="77777777" w:rsidR="008C09B0" w:rsidRDefault="005B1ED6" w:rsidP="00E359C0">
      <w:pPr>
        <w:pStyle w:val="Heading2"/>
        <w:spacing w:before="0" w:after="0"/>
      </w:pPr>
      <w:bookmarkStart w:id="40" w:name="_2k8kfecrwgv2" w:colFirst="0" w:colLast="0"/>
      <w:bookmarkStart w:id="41" w:name="_Toc213687380"/>
      <w:bookmarkEnd w:id="40"/>
      <w:r>
        <w:t>2.5 Public Health Impact</w:t>
      </w:r>
      <w:bookmarkEnd w:id="41"/>
      <w:r>
        <w:t xml:space="preserve">  </w:t>
      </w:r>
    </w:p>
    <w:p w14:paraId="0ED47172" w14:textId="253610AE" w:rsidR="008C09B0" w:rsidRDefault="005B1ED6" w:rsidP="00E359C0">
      <w:pPr>
        <w:spacing w:before="0" w:after="0"/>
        <w:rPr>
          <w:color w:val="222222"/>
          <w:highlight w:val="white"/>
        </w:rPr>
      </w:pPr>
      <w:r>
        <w:rPr>
          <w:color w:val="222222"/>
          <w:highlight w:val="white"/>
        </w:rPr>
        <w:t xml:space="preserve">In the United Kingdom, cardiovascular disease is the cause of most deaths, with an approximate death number of 170,000 each year and 7.6 million people with a heart or blood circulation condition (British Heart Foundation, 2025). In the short run, these include acute hospitalisation and doubled emergency care demand and cost the National Health Service almost £10 billion annually (Raleigh </w:t>
      </w:r>
      <w:r>
        <w:rPr>
          <w:i/>
          <w:iCs/>
          <w:color w:val="222222"/>
          <w:highlight w:val="white"/>
        </w:rPr>
        <w:t>et al.</w:t>
      </w:r>
      <w:r>
        <w:rPr>
          <w:rFonts w:ascii="Fira Mono" w:eastAsia="Fira Mono" w:hAnsi="Fira Mono" w:cs="Fira Mono"/>
          <w:color w:val="222222"/>
          <w:highlight w:val="white"/>
        </w:rPr>
        <w:t xml:space="preserve">2022). </w:t>
      </w:r>
      <w:r w:rsidRPr="00901026">
        <w:rPr>
          <w:rFonts w:eastAsia="Fira Mono"/>
          <w:color w:val="222222"/>
          <w:highlight w:val="white"/>
        </w:rPr>
        <w:t>The long-term effects include disability in the long run, heart failure, and economic loss due to loss of productivity. Even though there is a reduction of 30%</w:t>
      </w:r>
      <w:r w:rsidRPr="00901026">
        <w:rPr>
          <w:rFonts w:ascii="Segoe UI Symbol" w:eastAsia="Fira Mono" w:hAnsi="Segoe UI Symbol" w:cs="Segoe UI Symbol"/>
          <w:color w:val="222222"/>
          <w:highlight w:val="white"/>
        </w:rPr>
        <w:t>⬻</w:t>
      </w:r>
      <w:r w:rsidRPr="00901026">
        <w:rPr>
          <w:rFonts w:eastAsia="Fira Mono"/>
          <w:color w:val="222222"/>
          <w:highlight w:val="white"/>
        </w:rPr>
        <w:t xml:space="preserve"> in mortality due to coronary heart disease, other diseases are increasing, including heart failure and atrial fibrillation (Paharia, 2024).</w:t>
      </w:r>
    </w:p>
    <w:p w14:paraId="0710DEE3" w14:textId="77777777" w:rsidR="008C09B0" w:rsidRDefault="005B1ED6" w:rsidP="00E359C0">
      <w:pPr>
        <w:spacing w:before="0" w:after="0"/>
        <w:jc w:val="center"/>
        <w:rPr>
          <w:color w:val="222222"/>
          <w:highlight w:val="white"/>
        </w:rPr>
      </w:pPr>
      <w:r>
        <w:rPr>
          <w:noProof/>
          <w:color w:val="222222"/>
          <w:highlight w:val="white"/>
          <w:lang w:val="en-IN" w:eastAsia="en-IN" w:bidi="ar-SA"/>
        </w:rPr>
        <w:drawing>
          <wp:inline distT="114300" distB="114300" distL="114300" distR="114300" wp14:anchorId="4DA10CB9" wp14:editId="3671EA54">
            <wp:extent cx="5943600" cy="39624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2D434DFB" w14:textId="77777777" w:rsidR="008C09B0" w:rsidRDefault="005B1ED6" w:rsidP="00E359C0">
      <w:pPr>
        <w:spacing w:before="0" w:after="0"/>
        <w:jc w:val="center"/>
        <w:rPr>
          <w:b/>
          <w:bCs/>
          <w:color w:val="0B0C0C"/>
          <w:highlight w:val="white"/>
        </w:rPr>
      </w:pPr>
      <w:r>
        <w:rPr>
          <w:b/>
          <w:bCs/>
          <w:color w:val="222222"/>
          <w:highlight w:val="white"/>
        </w:rPr>
        <w:t xml:space="preserve">Figure 3: </w:t>
      </w:r>
      <w:r>
        <w:rPr>
          <w:b/>
          <w:bCs/>
          <w:color w:val="0B0C0C"/>
          <w:highlight w:val="white"/>
        </w:rPr>
        <w:t>Why we should invest in cardiovascular disease prevention</w:t>
      </w:r>
    </w:p>
    <w:p w14:paraId="0A1373C6" w14:textId="77777777" w:rsidR="008C09B0" w:rsidRDefault="005B1ED6" w:rsidP="00E359C0">
      <w:pPr>
        <w:spacing w:before="0" w:after="0"/>
        <w:jc w:val="center"/>
        <w:rPr>
          <w:b/>
          <w:bCs/>
          <w:color w:val="0B0C0C"/>
          <w:highlight w:val="white"/>
        </w:rPr>
      </w:pPr>
      <w:r>
        <w:rPr>
          <w:b/>
          <w:bCs/>
          <w:color w:val="0B0C0C"/>
          <w:highlight w:val="white"/>
        </w:rPr>
        <w:t xml:space="preserve">(Source: </w:t>
      </w:r>
      <w:hyperlink r:id="rId15">
        <w:r>
          <w:rPr>
            <w:b/>
            <w:bCs/>
            <w:color w:val="1155CC"/>
            <w:highlight w:val="white"/>
            <w:u w:val="single"/>
          </w:rPr>
          <w:t>Gov.UK</w:t>
        </w:r>
      </w:hyperlink>
      <w:r>
        <w:rPr>
          <w:b/>
          <w:bCs/>
          <w:color w:val="0B0C0C"/>
          <w:highlight w:val="white"/>
        </w:rPr>
        <w:t>, 2025)</w:t>
      </w:r>
    </w:p>
    <w:p w14:paraId="274D2163" w14:textId="77777777" w:rsidR="008C09B0" w:rsidRDefault="005B1ED6" w:rsidP="00E359C0">
      <w:pPr>
        <w:pStyle w:val="Heading2"/>
        <w:spacing w:before="0" w:after="0"/>
      </w:pPr>
      <w:bookmarkStart w:id="42" w:name="_78vaudptkxmu" w:colFirst="0" w:colLast="0"/>
      <w:bookmarkStart w:id="43" w:name="_Toc213687381"/>
      <w:bookmarkEnd w:id="42"/>
      <w:r>
        <w:t>2.6 Advantages and Disadvantages of the Epidemiological Approach.</w:t>
      </w:r>
      <w:bookmarkEnd w:id="43"/>
      <w:r>
        <w:t xml:space="preserve">  </w:t>
      </w:r>
    </w:p>
    <w:p w14:paraId="55069E1E" w14:textId="77777777" w:rsidR="008C09B0" w:rsidRDefault="005B1ED6" w:rsidP="00E359C0">
      <w:pPr>
        <w:spacing w:before="0" w:after="0"/>
        <w:rPr>
          <w:color w:val="222222"/>
          <w:highlight w:val="white"/>
        </w:rPr>
      </w:pPr>
      <w:r>
        <w:rPr>
          <w:color w:val="222222"/>
          <w:highlight w:val="white"/>
        </w:rPr>
        <w:t>Epidemiological data gives a strong knowledge base at a population level by using massive data and longitudinal surveillance (Cheema et al., 2022). Nevertheless, its weaknesses are selection bias, missing diagnosis records and low-income and minority populations (ONS, 2025). Such gaps may result in the underestimation of the actual prevalence of the disease. Another issue that researchers should observe is unintended consequences, e.g. increased inequality in case screening programmes are more accepted by more advantaged groups (Robinson, 2021).</w:t>
      </w:r>
    </w:p>
    <w:p w14:paraId="79ECC5DA" w14:textId="77777777" w:rsidR="008C09B0" w:rsidRDefault="005B1ED6" w:rsidP="00E359C0">
      <w:pPr>
        <w:pStyle w:val="Heading2"/>
        <w:spacing w:before="0" w:after="0"/>
      </w:pPr>
      <w:bookmarkStart w:id="44" w:name="_5p360y1zrw7e" w:colFirst="0" w:colLast="0"/>
      <w:bookmarkStart w:id="45" w:name="_Toc213687382"/>
      <w:bookmarkEnd w:id="44"/>
      <w:r>
        <w:t>2.7 Intervention Design and Evaluation</w:t>
      </w:r>
      <w:bookmarkEnd w:id="45"/>
    </w:p>
    <w:p w14:paraId="0B6F3E0D" w14:textId="77777777" w:rsidR="008C09B0" w:rsidRDefault="005B1ED6" w:rsidP="00E359C0">
      <w:pPr>
        <w:spacing w:before="0" w:after="0"/>
        <w:rPr>
          <w:color w:val="222222"/>
          <w:highlight w:val="white"/>
        </w:rPr>
      </w:pPr>
      <w:r>
        <w:rPr>
          <w:color w:val="222222"/>
          <w:highlight w:val="white"/>
        </w:rPr>
        <w:t xml:space="preserve">Health needs assessment of deprived boroughs of London, e.g. Tower Hamlets or Newham, indicates a high burden of CVD caused by socio-economic deprivation, ethnic diversity, and environmental pressures. This assessment is based on ONS (2025) risk factors data to reveal the identification of the main needs: undiagnosed hypertension, insufficient NHS Health Check attendance, and the lack of preventive care involvement. The tools of asset mapping showcase GP practices, community centres and local charities as platforms of delivery, and there are gaps in culturally competent lifestyle services. A 20-year cohort study of 22 million adults in the UK by Conrad </w:t>
      </w:r>
      <w:r>
        <w:rPr>
          <w:i/>
          <w:iCs/>
          <w:color w:val="222222"/>
          <w:highlight w:val="white"/>
        </w:rPr>
        <w:t>et al.</w:t>
      </w:r>
      <w:r>
        <w:rPr>
          <w:color w:val="222222"/>
          <w:highlight w:val="white"/>
        </w:rPr>
        <w:t xml:space="preserve"> (2024) concluded that there were still socio-economic inequalities in CVD incidence. Tapela et al. (2021) used the data on almost 100,000 treated adults and indicated that poor blood pressure control was predicted by obesity, multimorbidity, and deprivation. Collectively, these investigations highlight the overlap of biomedical and social determinants to the development of CVD risk.  </w:t>
      </w:r>
    </w:p>
    <w:p w14:paraId="45AC23F5" w14:textId="77777777" w:rsidR="008C09B0" w:rsidRDefault="005B1ED6" w:rsidP="00E359C0">
      <w:pPr>
        <w:spacing w:before="0" w:after="0"/>
        <w:jc w:val="center"/>
        <w:rPr>
          <w:color w:val="222222"/>
          <w:highlight w:val="white"/>
        </w:rPr>
      </w:pPr>
      <w:r>
        <w:rPr>
          <w:noProof/>
          <w:color w:val="222222"/>
          <w:highlight w:val="white"/>
          <w:lang w:val="en-IN" w:eastAsia="en-IN" w:bidi="ar-SA"/>
        </w:rPr>
        <w:drawing>
          <wp:inline distT="114300" distB="114300" distL="114300" distR="114300" wp14:anchorId="4B37592E" wp14:editId="25650A30">
            <wp:extent cx="5943600" cy="39624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77EC406C" w14:textId="77777777" w:rsidR="008C09B0" w:rsidRDefault="005B1ED6" w:rsidP="00E359C0">
      <w:pPr>
        <w:spacing w:before="0" w:after="0"/>
        <w:jc w:val="center"/>
        <w:rPr>
          <w:b/>
          <w:bCs/>
          <w:color w:val="0B0C0C"/>
          <w:highlight w:val="white"/>
        </w:rPr>
      </w:pPr>
      <w:r>
        <w:rPr>
          <w:b/>
          <w:bCs/>
          <w:color w:val="222222"/>
          <w:highlight w:val="white"/>
        </w:rPr>
        <w:t xml:space="preserve">Figure 4: </w:t>
      </w:r>
      <w:r>
        <w:rPr>
          <w:b/>
          <w:bCs/>
          <w:color w:val="0B0C0C"/>
          <w:highlight w:val="white"/>
        </w:rPr>
        <w:t>scale of the problem with cardiovascular disease in England</w:t>
      </w:r>
    </w:p>
    <w:p w14:paraId="3D7067F2" w14:textId="77777777" w:rsidR="008C09B0" w:rsidRDefault="005B1ED6" w:rsidP="00E359C0">
      <w:pPr>
        <w:spacing w:before="0" w:after="0"/>
        <w:jc w:val="center"/>
        <w:rPr>
          <w:b/>
          <w:bCs/>
          <w:color w:val="0B0C0C"/>
          <w:highlight w:val="white"/>
        </w:rPr>
      </w:pPr>
      <w:r>
        <w:rPr>
          <w:b/>
          <w:bCs/>
          <w:color w:val="0B0C0C"/>
          <w:highlight w:val="white"/>
        </w:rPr>
        <w:t xml:space="preserve">(Source: </w:t>
      </w:r>
      <w:hyperlink r:id="rId17">
        <w:r>
          <w:rPr>
            <w:b/>
            <w:bCs/>
            <w:color w:val="1155CC"/>
            <w:highlight w:val="white"/>
            <w:u w:val="single"/>
          </w:rPr>
          <w:t>Gov.UK</w:t>
        </w:r>
      </w:hyperlink>
      <w:r>
        <w:rPr>
          <w:b/>
          <w:bCs/>
          <w:color w:val="0B0C0C"/>
          <w:highlight w:val="white"/>
        </w:rPr>
        <w:t>, 2025)</w:t>
      </w:r>
    </w:p>
    <w:p w14:paraId="1C507A5F" w14:textId="77777777" w:rsidR="008C09B0" w:rsidRDefault="005B1ED6" w:rsidP="00E359C0">
      <w:pPr>
        <w:spacing w:before="0" w:after="0"/>
        <w:rPr>
          <w:color w:val="222222"/>
          <w:highlight w:val="white"/>
        </w:rPr>
      </w:pPr>
      <w:r>
        <w:rPr>
          <w:color w:val="222222"/>
          <w:highlight w:val="white"/>
        </w:rPr>
        <w:t xml:space="preserve">The community blood pressure screening and QRISK3 risk scoring (Qrisk3, 2025), lifestyle coaching program, and pharmacist-led medication review could be considered a locally adapted intervention. The programme would target adults aged between 40 and 74 years in deprived wards and will last three years with the aid of local authorities, NHS primary care networks and British Heart Foundation. The results would be a decrease in the mean systolic blood pressure, improved hypertension control rate and decreased hospital admissions. </w:t>
      </w:r>
    </w:p>
    <w:p w14:paraId="2823D3CE" w14:textId="77777777" w:rsidR="00901026" w:rsidRDefault="00901026" w:rsidP="00E359C0">
      <w:pPr>
        <w:spacing w:before="0" w:after="0"/>
        <w:rPr>
          <w:color w:val="222222"/>
          <w:highlight w:val="white"/>
        </w:rPr>
      </w:pPr>
    </w:p>
    <w:p w14:paraId="30992E95" w14:textId="77777777" w:rsidR="00901026" w:rsidRDefault="00901026" w:rsidP="00E359C0">
      <w:pPr>
        <w:spacing w:before="0" w:after="0"/>
        <w:rPr>
          <w:color w:val="222222"/>
          <w:highlight w:val="white"/>
        </w:rPr>
      </w:pPr>
    </w:p>
    <w:p w14:paraId="56733E9D" w14:textId="77777777" w:rsidR="008C09B0" w:rsidRDefault="005B1ED6" w:rsidP="00E359C0">
      <w:pPr>
        <w:pStyle w:val="Heading1"/>
      </w:pPr>
      <w:bookmarkStart w:id="46" w:name="_l2s2xyhez87f" w:colFirst="0" w:colLast="0"/>
      <w:bookmarkStart w:id="47" w:name="_Toc213687383"/>
      <w:bookmarkEnd w:id="46"/>
      <w:r>
        <w:t>3. Conclusion</w:t>
      </w:r>
      <w:bookmarkEnd w:id="47"/>
      <w:r>
        <w:t xml:space="preserve">  </w:t>
      </w:r>
    </w:p>
    <w:p w14:paraId="1E35FE67" w14:textId="77777777" w:rsidR="008C09B0" w:rsidRDefault="005B1ED6" w:rsidP="00E359C0">
      <w:pPr>
        <w:spacing w:before="0" w:after="0"/>
        <w:rPr>
          <w:color w:val="222222"/>
          <w:highlight w:val="white"/>
        </w:rPr>
      </w:pPr>
      <w:r>
        <w:rPr>
          <w:color w:val="222222"/>
          <w:highlight w:val="white"/>
        </w:rPr>
        <w:t>Hypertension remains a significant issue in the wider community in England, with the minority groups and the deprived boroughs of London being disproportionately affected. The condition causes a lot of early premature deaths and costs incurred in healthcare, but can be prevented by early detection and lifestyle change. Although there have been improvements in national measures like NHS Health Checks, community press campaigns, and digital monitoring systems, a similar case of enduring disparities indicates that more efforts should be made to be highly focused and all-encompassing. Simply, the prevention, protection, and promotion of hypertension in England should be integrated using the three Ps based on equity, accessibility, and community empowerment to bring sustained cardiovascular health benefits.</w:t>
      </w:r>
    </w:p>
    <w:p w14:paraId="186D8871" w14:textId="77777777" w:rsidR="008C09B0" w:rsidRDefault="008C09B0" w:rsidP="00E359C0">
      <w:pPr>
        <w:spacing w:before="0" w:after="0"/>
        <w:rPr>
          <w:color w:val="222222"/>
          <w:highlight w:val="white"/>
        </w:rPr>
      </w:pPr>
    </w:p>
    <w:p w14:paraId="3D18146B" w14:textId="77777777" w:rsidR="008C09B0" w:rsidRDefault="008C09B0" w:rsidP="00E359C0"/>
    <w:p w14:paraId="5FD41DA4" w14:textId="77777777" w:rsidR="008C09B0" w:rsidRDefault="008C09B0" w:rsidP="00E359C0">
      <w:pPr>
        <w:rPr>
          <w:sz w:val="24"/>
          <w:szCs w:val="24"/>
        </w:rPr>
      </w:pPr>
    </w:p>
    <w:p w14:paraId="6782156F" w14:textId="77777777" w:rsidR="008C09B0" w:rsidRDefault="008C09B0" w:rsidP="00E359C0">
      <w:pPr>
        <w:rPr>
          <w:sz w:val="24"/>
          <w:szCs w:val="24"/>
        </w:rPr>
      </w:pPr>
    </w:p>
    <w:p w14:paraId="047D4302" w14:textId="77777777" w:rsidR="008C09B0" w:rsidRDefault="008C09B0" w:rsidP="00E359C0">
      <w:pPr>
        <w:rPr>
          <w:sz w:val="24"/>
          <w:szCs w:val="24"/>
        </w:rPr>
      </w:pPr>
    </w:p>
    <w:p w14:paraId="5480449F" w14:textId="77777777" w:rsidR="008C09B0" w:rsidRDefault="008C09B0" w:rsidP="00E359C0">
      <w:pPr>
        <w:rPr>
          <w:sz w:val="24"/>
          <w:szCs w:val="24"/>
        </w:rPr>
      </w:pPr>
    </w:p>
    <w:p w14:paraId="57D557A2" w14:textId="77777777" w:rsidR="008C09B0" w:rsidRDefault="008C09B0" w:rsidP="00E359C0">
      <w:pPr>
        <w:rPr>
          <w:sz w:val="24"/>
          <w:szCs w:val="24"/>
        </w:rPr>
      </w:pPr>
    </w:p>
    <w:p w14:paraId="2E8FD3D2" w14:textId="77777777" w:rsidR="008C09B0" w:rsidRDefault="008C09B0" w:rsidP="00E359C0">
      <w:pPr>
        <w:rPr>
          <w:sz w:val="24"/>
          <w:szCs w:val="24"/>
        </w:rPr>
      </w:pPr>
    </w:p>
    <w:p w14:paraId="5EBDDD54" w14:textId="77777777" w:rsidR="008C09B0" w:rsidRDefault="008C09B0" w:rsidP="00E359C0">
      <w:pPr>
        <w:rPr>
          <w:sz w:val="24"/>
          <w:szCs w:val="24"/>
        </w:rPr>
      </w:pPr>
    </w:p>
    <w:p w14:paraId="34E0C8A4" w14:textId="77777777" w:rsidR="008C09B0" w:rsidRDefault="008C09B0" w:rsidP="00E359C0">
      <w:pPr>
        <w:rPr>
          <w:sz w:val="24"/>
          <w:szCs w:val="24"/>
        </w:rPr>
      </w:pPr>
    </w:p>
    <w:p w14:paraId="2E7E0F59" w14:textId="77777777" w:rsidR="008C09B0" w:rsidRDefault="008C09B0" w:rsidP="00E359C0">
      <w:pPr>
        <w:rPr>
          <w:sz w:val="24"/>
          <w:szCs w:val="24"/>
        </w:rPr>
      </w:pPr>
    </w:p>
    <w:p w14:paraId="351FA605" w14:textId="77777777" w:rsidR="008C09B0" w:rsidRDefault="008C09B0" w:rsidP="00E359C0">
      <w:pPr>
        <w:rPr>
          <w:sz w:val="24"/>
          <w:szCs w:val="24"/>
        </w:rPr>
      </w:pPr>
    </w:p>
    <w:p w14:paraId="1A30DBBF" w14:textId="77777777" w:rsidR="008C09B0" w:rsidRDefault="008C09B0" w:rsidP="00E359C0">
      <w:pPr>
        <w:rPr>
          <w:sz w:val="24"/>
          <w:szCs w:val="24"/>
        </w:rPr>
      </w:pPr>
    </w:p>
    <w:p w14:paraId="4EB503A3" w14:textId="77777777" w:rsidR="00901026" w:rsidRDefault="00901026" w:rsidP="00E359C0">
      <w:pPr>
        <w:rPr>
          <w:sz w:val="24"/>
          <w:szCs w:val="24"/>
        </w:rPr>
      </w:pPr>
    </w:p>
    <w:p w14:paraId="2F2631FB" w14:textId="77777777" w:rsidR="00901026" w:rsidRDefault="00901026" w:rsidP="00E359C0">
      <w:pPr>
        <w:rPr>
          <w:sz w:val="24"/>
          <w:szCs w:val="24"/>
        </w:rPr>
      </w:pPr>
    </w:p>
    <w:p w14:paraId="5F6ADE44" w14:textId="77777777" w:rsidR="008C09B0" w:rsidRDefault="005B1ED6" w:rsidP="00E359C0">
      <w:pPr>
        <w:pStyle w:val="Heading1"/>
      </w:pPr>
      <w:bookmarkStart w:id="48" w:name="_nyfw973a7c3q" w:colFirst="0" w:colLast="0"/>
      <w:bookmarkStart w:id="49" w:name="_Toc213687384"/>
      <w:bookmarkEnd w:id="48"/>
      <w:r>
        <w:t>References</w:t>
      </w:r>
      <w:bookmarkEnd w:id="49"/>
    </w:p>
    <w:p w14:paraId="1FAD6EE3" w14:textId="77777777" w:rsidR="00E359C0" w:rsidRDefault="00E359C0" w:rsidP="00E359C0">
      <w:pPr>
        <w:spacing w:before="0" w:after="0"/>
        <w:rPr>
          <w:color w:val="222222"/>
          <w:highlight w:val="white"/>
        </w:rPr>
      </w:pPr>
      <w:r>
        <w:rPr>
          <w:color w:val="222222"/>
          <w:highlight w:val="white"/>
        </w:rPr>
        <w:t xml:space="preserve">Austin, R., Khair, E., Blakeman, T., Hossain, M.Z., Sowden, E., Chew-Graham, C., Forsyth, F. and Deaton, C., 2024. Diagnosing and managing patients with heart failure with preserved ejection fraction: a consensus survey. </w:t>
      </w:r>
      <w:r>
        <w:rPr>
          <w:i/>
          <w:iCs/>
          <w:color w:val="222222"/>
          <w:highlight w:val="white"/>
        </w:rPr>
        <w:t>BMJ open</w:t>
      </w:r>
      <w:r>
        <w:rPr>
          <w:color w:val="222222"/>
          <w:highlight w:val="white"/>
        </w:rPr>
        <w:t xml:space="preserve">, </w:t>
      </w:r>
      <w:r>
        <w:rPr>
          <w:i/>
          <w:iCs/>
          <w:color w:val="222222"/>
          <w:highlight w:val="white"/>
        </w:rPr>
        <w:t>14</w:t>
      </w:r>
      <w:r>
        <w:rPr>
          <w:color w:val="222222"/>
          <w:highlight w:val="white"/>
        </w:rPr>
        <w:t>(12), p.e092993.</w:t>
      </w:r>
    </w:p>
    <w:p w14:paraId="5B83B3C9" w14:textId="77777777" w:rsidR="00E359C0" w:rsidRDefault="00E359C0" w:rsidP="00E359C0">
      <w:pPr>
        <w:rPr>
          <w:color w:val="222222"/>
          <w:sz w:val="24"/>
          <w:szCs w:val="24"/>
          <w:highlight w:val="white"/>
        </w:rPr>
      </w:pPr>
      <w:r>
        <w:rPr>
          <w:color w:val="222222"/>
          <w:sz w:val="24"/>
          <w:szCs w:val="24"/>
          <w:highlight w:val="white"/>
        </w:rPr>
        <w:t xml:space="preserve">Banks, J., Karjalainen, H. and Waters, T., 2024. Inequalities in disability. </w:t>
      </w:r>
      <w:r>
        <w:rPr>
          <w:i/>
          <w:iCs/>
          <w:color w:val="222222"/>
          <w:sz w:val="24"/>
          <w:szCs w:val="24"/>
          <w:highlight w:val="white"/>
        </w:rPr>
        <w:t>Oxford Open Economics</w:t>
      </w:r>
      <w:r>
        <w:rPr>
          <w:color w:val="222222"/>
          <w:sz w:val="24"/>
          <w:szCs w:val="24"/>
          <w:highlight w:val="white"/>
        </w:rPr>
        <w:t xml:space="preserve">, </w:t>
      </w:r>
      <w:r>
        <w:rPr>
          <w:i/>
          <w:iCs/>
          <w:color w:val="222222"/>
          <w:sz w:val="24"/>
          <w:szCs w:val="24"/>
          <w:highlight w:val="white"/>
        </w:rPr>
        <w:t>3</w:t>
      </w:r>
      <w:r>
        <w:rPr>
          <w:color w:val="222222"/>
          <w:sz w:val="24"/>
          <w:szCs w:val="24"/>
          <w:highlight w:val="white"/>
        </w:rPr>
        <w:t>(Supplement_1), pp.i529-i548.</w:t>
      </w:r>
    </w:p>
    <w:p w14:paraId="6694FE22" w14:textId="77777777" w:rsidR="00E359C0" w:rsidRDefault="00E359C0" w:rsidP="00E359C0">
      <w:pPr>
        <w:spacing w:before="0" w:after="0"/>
        <w:rPr>
          <w:highlight w:val="white"/>
        </w:rPr>
      </w:pPr>
      <w:r>
        <w:rPr>
          <w:color w:val="222222"/>
          <w:highlight w:val="white"/>
        </w:rPr>
        <w:t xml:space="preserve">BP, (2025). </w:t>
      </w:r>
      <w:r>
        <w:rPr>
          <w:i/>
          <w:iCs/>
          <w:color w:val="222222"/>
          <w:highlight w:val="white"/>
        </w:rPr>
        <w:t xml:space="preserve">Blood pressure facts and figures. </w:t>
      </w:r>
      <w:r>
        <w:rPr>
          <w:highlight w:val="white"/>
        </w:rPr>
        <w:t xml:space="preserve">Available at: </w:t>
      </w:r>
      <w:hyperlink r:id="rId18">
        <w:r>
          <w:rPr>
            <w:color w:val="1155CC"/>
            <w:highlight w:val="white"/>
            <w:u w:val="single"/>
          </w:rPr>
          <w:t>https://www.bloodpressureuk.org/news/media-centre/blood-pressure-facts-and-figures/</w:t>
        </w:r>
      </w:hyperlink>
      <w:r>
        <w:rPr>
          <w:highlight w:val="white"/>
        </w:rPr>
        <w:t>. [Accessed on: 10.11.2025].</w:t>
      </w:r>
    </w:p>
    <w:p w14:paraId="7CE64F91" w14:textId="77777777" w:rsidR="00E359C0" w:rsidRDefault="00E359C0" w:rsidP="00E359C0">
      <w:pPr>
        <w:spacing w:before="0" w:after="0"/>
        <w:rPr>
          <w:highlight w:val="white"/>
        </w:rPr>
      </w:pPr>
      <w:r>
        <w:rPr>
          <w:color w:val="222222"/>
          <w:highlight w:val="white"/>
        </w:rPr>
        <w:t>British Heart Foundation (2025).</w:t>
      </w:r>
      <w:r>
        <w:rPr>
          <w:i/>
          <w:iCs/>
          <w:highlight w:val="white"/>
        </w:rPr>
        <w:t xml:space="preserve"> UK Heart And Circulatory Diseases Statistics. </w:t>
      </w:r>
      <w:r>
        <w:rPr>
          <w:highlight w:val="white"/>
        </w:rPr>
        <w:t xml:space="preserve">Available at: </w:t>
      </w:r>
      <w:hyperlink r:id="rId19">
        <w:r>
          <w:rPr>
            <w:color w:val="1155CC"/>
            <w:highlight w:val="white"/>
            <w:u w:val="single"/>
          </w:rPr>
          <w:t>https://www.bhf.org.uk/what-we-do/our-research/heart-statistics</w:t>
        </w:r>
      </w:hyperlink>
      <w:r>
        <w:rPr>
          <w:highlight w:val="white"/>
        </w:rPr>
        <w:t>. [Accessed on: 10.11.2025].</w:t>
      </w:r>
    </w:p>
    <w:p w14:paraId="2A875920" w14:textId="77777777" w:rsidR="00E359C0" w:rsidRDefault="00E359C0" w:rsidP="00E359C0">
      <w:pPr>
        <w:spacing w:before="0" w:after="0"/>
        <w:rPr>
          <w:highlight w:val="white"/>
        </w:rPr>
      </w:pPr>
      <w:r>
        <w:rPr>
          <w:color w:val="222222"/>
          <w:highlight w:val="white"/>
        </w:rPr>
        <w:t xml:space="preserve">British Heart Foundation (2025). </w:t>
      </w:r>
      <w:r>
        <w:rPr>
          <w:i/>
          <w:iCs/>
          <w:highlight w:val="white"/>
        </w:rPr>
        <w:t xml:space="preserve">What we do? </w:t>
      </w:r>
      <w:r>
        <w:rPr>
          <w:highlight w:val="white"/>
        </w:rPr>
        <w:t xml:space="preserve">Available at: </w:t>
      </w:r>
      <w:hyperlink r:id="rId20">
        <w:r>
          <w:rPr>
            <w:color w:val="1155CC"/>
            <w:highlight w:val="white"/>
            <w:u w:val="single"/>
          </w:rPr>
          <w:t>https://www.bhf.org.uk/what-we-do</w:t>
        </w:r>
      </w:hyperlink>
      <w:r>
        <w:rPr>
          <w:highlight w:val="white"/>
        </w:rPr>
        <w:t>. [Accessed on: 10.11.2025].</w:t>
      </w:r>
    </w:p>
    <w:p w14:paraId="2572E663" w14:textId="77777777" w:rsidR="00E359C0" w:rsidRDefault="00E359C0" w:rsidP="00E359C0">
      <w:pPr>
        <w:rPr>
          <w:color w:val="222222"/>
          <w:sz w:val="24"/>
          <w:szCs w:val="24"/>
          <w:highlight w:val="white"/>
        </w:rPr>
      </w:pPr>
      <w:r>
        <w:rPr>
          <w:color w:val="222222"/>
          <w:sz w:val="24"/>
          <w:szCs w:val="24"/>
          <w:highlight w:val="white"/>
        </w:rPr>
        <w:t xml:space="preserve">Case, A. and Kraftman, L., 2022. </w:t>
      </w:r>
      <w:r>
        <w:rPr>
          <w:i/>
          <w:iCs/>
          <w:color w:val="222222"/>
          <w:sz w:val="24"/>
          <w:szCs w:val="24"/>
          <w:highlight w:val="white"/>
        </w:rPr>
        <w:t>Health inequalities</w:t>
      </w:r>
      <w:r>
        <w:rPr>
          <w:color w:val="222222"/>
          <w:sz w:val="24"/>
          <w:szCs w:val="24"/>
          <w:highlight w:val="white"/>
        </w:rPr>
        <w:t xml:space="preserve"> (No. R227). IFS Report.</w:t>
      </w:r>
    </w:p>
    <w:p w14:paraId="43FD1B90" w14:textId="77777777" w:rsidR="00E359C0" w:rsidRDefault="00E359C0" w:rsidP="00E359C0">
      <w:pPr>
        <w:spacing w:before="0" w:after="0"/>
        <w:rPr>
          <w:color w:val="222222"/>
          <w:highlight w:val="white"/>
        </w:rPr>
      </w:pPr>
      <w:r>
        <w:rPr>
          <w:color w:val="222222"/>
          <w:highlight w:val="white"/>
        </w:rPr>
        <w:t xml:space="preserve">Cheema, K.M., Dicks, E., Pearson, J. and Samani, N.J., 2022. Long-term trends in the epidemiology of cardiovascular diseases in the UK: insights from the British Heart Foundation statistical compendium. </w:t>
      </w:r>
      <w:r>
        <w:rPr>
          <w:i/>
          <w:iCs/>
          <w:color w:val="222222"/>
          <w:highlight w:val="white"/>
        </w:rPr>
        <w:t>Cardiovascular Research</w:t>
      </w:r>
      <w:r>
        <w:rPr>
          <w:color w:val="222222"/>
          <w:highlight w:val="white"/>
        </w:rPr>
        <w:t xml:space="preserve">, </w:t>
      </w:r>
      <w:r>
        <w:rPr>
          <w:i/>
          <w:iCs/>
          <w:color w:val="222222"/>
          <w:highlight w:val="white"/>
        </w:rPr>
        <w:t>118</w:t>
      </w:r>
      <w:r>
        <w:rPr>
          <w:color w:val="222222"/>
          <w:highlight w:val="white"/>
        </w:rPr>
        <w:t>(10), pp.2267-2280.</w:t>
      </w:r>
    </w:p>
    <w:p w14:paraId="6017349C" w14:textId="77777777" w:rsidR="00E359C0" w:rsidRDefault="00E359C0" w:rsidP="00E359C0">
      <w:pPr>
        <w:spacing w:before="0" w:after="0"/>
        <w:rPr>
          <w:color w:val="222222"/>
          <w:highlight w:val="white"/>
        </w:rPr>
      </w:pPr>
      <w:r>
        <w:rPr>
          <w:color w:val="222222"/>
          <w:highlight w:val="white"/>
        </w:rPr>
        <w:t xml:space="preserve">Conrad, N., Molenberghs, G., Verbeke, G., Zaccardi, F., Lawson, C., Friday, J.M., Su, H., Jhund, P.S., Sattar, N., Rahimi, K. and Cleland, J.G., 2024. Trends in cardiovascular disease incidence among 22 million people in the UK over 20 years: population based study. </w:t>
      </w:r>
      <w:r>
        <w:rPr>
          <w:i/>
          <w:iCs/>
          <w:color w:val="222222"/>
          <w:highlight w:val="white"/>
        </w:rPr>
        <w:t>Bmj</w:t>
      </w:r>
      <w:r>
        <w:rPr>
          <w:color w:val="222222"/>
          <w:highlight w:val="white"/>
        </w:rPr>
        <w:t xml:space="preserve">, </w:t>
      </w:r>
      <w:r>
        <w:rPr>
          <w:i/>
          <w:iCs/>
          <w:color w:val="222222"/>
          <w:highlight w:val="white"/>
        </w:rPr>
        <w:t>385</w:t>
      </w:r>
      <w:r>
        <w:rPr>
          <w:color w:val="222222"/>
          <w:highlight w:val="white"/>
        </w:rPr>
        <w:t>.</w:t>
      </w:r>
    </w:p>
    <w:p w14:paraId="754A2194" w14:textId="77777777" w:rsidR="00E359C0" w:rsidRDefault="00E359C0" w:rsidP="00E359C0">
      <w:pPr>
        <w:rPr>
          <w:i/>
          <w:iCs/>
          <w:sz w:val="24"/>
          <w:szCs w:val="24"/>
          <w:highlight w:val="white"/>
        </w:rPr>
      </w:pPr>
      <w:hyperlink r:id="rId21">
        <w:r>
          <w:rPr>
            <w:color w:val="1155CC"/>
            <w:sz w:val="24"/>
            <w:szCs w:val="24"/>
            <w:highlight w:val="white"/>
            <w:u w:val="single"/>
          </w:rPr>
          <w:t>Gov.UK</w:t>
        </w:r>
      </w:hyperlink>
      <w:r>
        <w:rPr>
          <w:color w:val="464B51"/>
          <w:sz w:val="24"/>
          <w:szCs w:val="24"/>
          <w:highlight w:val="white"/>
        </w:rPr>
        <w:t xml:space="preserve">, (2025). </w:t>
      </w:r>
      <w:r>
        <w:rPr>
          <w:i/>
          <w:iCs/>
          <w:sz w:val="24"/>
          <w:szCs w:val="24"/>
          <w:highlight w:val="white"/>
        </w:rPr>
        <w:t xml:space="preserve">Health Inequalities Dashboard: statistical commentary, September 2025. </w:t>
      </w:r>
      <w:r>
        <w:rPr>
          <w:color w:val="464B51"/>
          <w:sz w:val="24"/>
          <w:szCs w:val="24"/>
          <w:highlight w:val="white"/>
        </w:rPr>
        <w:t xml:space="preserve">Available at: </w:t>
      </w:r>
      <w:hyperlink r:id="rId22">
        <w:r>
          <w:rPr>
            <w:color w:val="1155CC"/>
            <w:sz w:val="24"/>
            <w:szCs w:val="24"/>
            <w:highlight w:val="white"/>
            <w:u w:val="single"/>
          </w:rPr>
          <w:t>https://www.gov.uk/government/statistics/health-inequalities-dashboard-september-2025-data-update/health-inequalities-dashboard-statistical-commentary-september-2025</w:t>
        </w:r>
      </w:hyperlink>
      <w:r>
        <w:rPr>
          <w:color w:val="464B51"/>
          <w:sz w:val="24"/>
          <w:szCs w:val="24"/>
          <w:highlight w:val="white"/>
        </w:rPr>
        <w:t>. [Accessed on: 10.11.2025].</w:t>
      </w:r>
    </w:p>
    <w:p w14:paraId="37F733F6" w14:textId="77777777" w:rsidR="00E359C0" w:rsidRDefault="00E359C0" w:rsidP="00E359C0">
      <w:pPr>
        <w:spacing w:before="0" w:after="0"/>
        <w:rPr>
          <w:color w:val="222222"/>
          <w:highlight w:val="white"/>
        </w:rPr>
      </w:pPr>
      <w:r>
        <w:rPr>
          <w:color w:val="222222"/>
          <w:highlight w:val="white"/>
        </w:rPr>
        <w:t xml:space="preserve">Graham, C., Steckelmacher, J., Prasher, J., Capel, M., Ahmed, A., Poulter, N., Sever, P. and Gupta, A., 2024. Trends in hypertension prevalence and control in England over the last 3 decades: Health Survey of England 1994-2019. </w:t>
      </w:r>
      <w:r>
        <w:rPr>
          <w:i/>
          <w:iCs/>
          <w:color w:val="222222"/>
          <w:highlight w:val="white"/>
        </w:rPr>
        <w:t>European Heart Journal</w:t>
      </w:r>
      <w:r>
        <w:rPr>
          <w:color w:val="222222"/>
          <w:highlight w:val="white"/>
        </w:rPr>
        <w:t xml:space="preserve">, </w:t>
      </w:r>
      <w:r>
        <w:rPr>
          <w:i/>
          <w:iCs/>
          <w:color w:val="222222"/>
          <w:highlight w:val="white"/>
        </w:rPr>
        <w:t>45</w:t>
      </w:r>
      <w:r>
        <w:rPr>
          <w:color w:val="222222"/>
          <w:highlight w:val="white"/>
        </w:rPr>
        <w:t>(Supplement_1), pp.ehae666-2562.</w:t>
      </w:r>
    </w:p>
    <w:p w14:paraId="21912E53" w14:textId="77777777" w:rsidR="00E359C0" w:rsidRDefault="00E359C0" w:rsidP="00E359C0">
      <w:pPr>
        <w:rPr>
          <w:color w:val="222222"/>
          <w:sz w:val="24"/>
          <w:szCs w:val="24"/>
          <w:highlight w:val="white"/>
        </w:rPr>
      </w:pPr>
      <w:r>
        <w:rPr>
          <w:color w:val="222222"/>
          <w:sz w:val="24"/>
          <w:szCs w:val="24"/>
          <w:highlight w:val="white"/>
        </w:rPr>
        <w:t xml:space="preserve">Hackett, R.A., Steptoe, A., Lang, R.P. and Jackson, S.E., 2020. Disability discrimination and well-being in the United Kingdom: a prospective cohort study. </w:t>
      </w:r>
      <w:r>
        <w:rPr>
          <w:i/>
          <w:iCs/>
          <w:color w:val="222222"/>
          <w:sz w:val="24"/>
          <w:szCs w:val="24"/>
          <w:highlight w:val="white"/>
        </w:rPr>
        <w:t>BMJ open</w:t>
      </w:r>
      <w:r>
        <w:rPr>
          <w:color w:val="222222"/>
          <w:sz w:val="24"/>
          <w:szCs w:val="24"/>
          <w:highlight w:val="white"/>
        </w:rPr>
        <w:t xml:space="preserve">, </w:t>
      </w:r>
      <w:r>
        <w:rPr>
          <w:i/>
          <w:iCs/>
          <w:color w:val="222222"/>
          <w:sz w:val="24"/>
          <w:szCs w:val="24"/>
          <w:highlight w:val="white"/>
        </w:rPr>
        <w:t>10</w:t>
      </w:r>
      <w:r>
        <w:rPr>
          <w:color w:val="222222"/>
          <w:sz w:val="24"/>
          <w:szCs w:val="24"/>
          <w:highlight w:val="white"/>
        </w:rPr>
        <w:t>(3), p.e035714.</w:t>
      </w:r>
    </w:p>
    <w:p w14:paraId="59AAE457" w14:textId="77777777" w:rsidR="00E359C0" w:rsidRDefault="00E359C0" w:rsidP="00E359C0">
      <w:pPr>
        <w:rPr>
          <w:color w:val="464B51"/>
          <w:sz w:val="24"/>
          <w:szCs w:val="24"/>
          <w:highlight w:val="white"/>
        </w:rPr>
      </w:pPr>
      <w:r>
        <w:rPr>
          <w:color w:val="222222"/>
          <w:sz w:val="24"/>
          <w:szCs w:val="24"/>
          <w:highlight w:val="white"/>
        </w:rPr>
        <w:t xml:space="preserve">IFS. (2022). </w:t>
      </w:r>
      <w:r>
        <w:rPr>
          <w:i/>
          <w:iCs/>
          <w:color w:val="222222"/>
          <w:sz w:val="24"/>
          <w:szCs w:val="24"/>
          <w:highlight w:val="white"/>
        </w:rPr>
        <w:t xml:space="preserve">Health inequalities. </w:t>
      </w:r>
      <w:r>
        <w:rPr>
          <w:color w:val="464B51"/>
          <w:sz w:val="24"/>
          <w:szCs w:val="24"/>
          <w:highlight w:val="white"/>
        </w:rPr>
        <w:t xml:space="preserve">Available at: </w:t>
      </w:r>
      <w:hyperlink r:id="rId23">
        <w:r>
          <w:rPr>
            <w:color w:val="1155CC"/>
            <w:sz w:val="24"/>
            <w:szCs w:val="24"/>
            <w:highlight w:val="white"/>
            <w:u w:val="single"/>
          </w:rPr>
          <w:t>https://ifs.org.uk/sites/default/files/2022-11/Health-inequalities-The-IFS-Deaton-Review-of-Inequalities.pdf</w:t>
        </w:r>
      </w:hyperlink>
      <w:r>
        <w:rPr>
          <w:color w:val="464B51"/>
          <w:sz w:val="24"/>
          <w:szCs w:val="24"/>
          <w:highlight w:val="white"/>
        </w:rPr>
        <w:t>. [Accessed on: 10.11.2025].</w:t>
      </w:r>
    </w:p>
    <w:p w14:paraId="0C06D4AC" w14:textId="77777777" w:rsidR="00E359C0" w:rsidRDefault="00E359C0" w:rsidP="00E359C0">
      <w:pPr>
        <w:rPr>
          <w:color w:val="222222"/>
          <w:sz w:val="24"/>
          <w:szCs w:val="24"/>
          <w:highlight w:val="white"/>
        </w:rPr>
      </w:pPr>
      <w:r>
        <w:rPr>
          <w:color w:val="222222"/>
          <w:sz w:val="24"/>
          <w:szCs w:val="24"/>
          <w:highlight w:val="white"/>
        </w:rPr>
        <w:t xml:space="preserve">Lee, A.C., Herrieven, E. and Harrower, N.A., 2024. Health inequalities for people with learning disabilities: why it matters and what emergency physicians need to know. </w:t>
      </w:r>
      <w:r>
        <w:rPr>
          <w:i/>
          <w:iCs/>
          <w:color w:val="222222"/>
          <w:sz w:val="24"/>
          <w:szCs w:val="24"/>
          <w:highlight w:val="white"/>
        </w:rPr>
        <w:t>British Journal of Hospital Medicine</w:t>
      </w:r>
      <w:r>
        <w:rPr>
          <w:color w:val="222222"/>
          <w:sz w:val="24"/>
          <w:szCs w:val="24"/>
          <w:highlight w:val="white"/>
        </w:rPr>
        <w:t xml:space="preserve">, </w:t>
      </w:r>
      <w:r>
        <w:rPr>
          <w:i/>
          <w:iCs/>
          <w:color w:val="222222"/>
          <w:sz w:val="24"/>
          <w:szCs w:val="24"/>
          <w:highlight w:val="white"/>
        </w:rPr>
        <w:t>85</w:t>
      </w:r>
      <w:r>
        <w:rPr>
          <w:color w:val="222222"/>
          <w:sz w:val="24"/>
          <w:szCs w:val="24"/>
          <w:highlight w:val="white"/>
        </w:rPr>
        <w:t>(2), pp.1-7.</w:t>
      </w:r>
    </w:p>
    <w:p w14:paraId="7D196FA5" w14:textId="77777777" w:rsidR="00E359C0" w:rsidRDefault="00E359C0" w:rsidP="00E359C0">
      <w:pPr>
        <w:rPr>
          <w:color w:val="464B51"/>
          <w:sz w:val="24"/>
          <w:szCs w:val="24"/>
          <w:highlight w:val="white"/>
        </w:rPr>
      </w:pPr>
      <w:r>
        <w:rPr>
          <w:color w:val="222222"/>
          <w:sz w:val="24"/>
          <w:szCs w:val="24"/>
          <w:highlight w:val="white"/>
        </w:rPr>
        <w:t xml:space="preserve">Local Gov. (2025). </w:t>
      </w:r>
      <w:r>
        <w:rPr>
          <w:i/>
          <w:iCs/>
          <w:sz w:val="24"/>
          <w:szCs w:val="24"/>
          <w:highlight w:val="white"/>
        </w:rPr>
        <w:t>Health inequalities: Learning disabilities case studies.</w:t>
      </w:r>
      <w:r>
        <w:rPr>
          <w:b/>
          <w:bCs/>
          <w:i/>
          <w:iCs/>
          <w:color w:val="464B51"/>
          <w:sz w:val="24"/>
          <w:szCs w:val="24"/>
          <w:highlight w:val="white"/>
        </w:rPr>
        <w:t xml:space="preserve"> </w:t>
      </w:r>
      <w:r>
        <w:rPr>
          <w:color w:val="464B51"/>
          <w:sz w:val="24"/>
          <w:szCs w:val="24"/>
          <w:highlight w:val="white"/>
        </w:rPr>
        <w:t xml:space="preserve">Available at: </w:t>
      </w:r>
      <w:hyperlink r:id="rId24">
        <w:r>
          <w:rPr>
            <w:color w:val="1155CC"/>
            <w:sz w:val="24"/>
            <w:szCs w:val="24"/>
            <w:highlight w:val="white"/>
            <w:u w:val="single"/>
          </w:rPr>
          <w:t>https://www.local.gov.uk/our-support/safer-and-more-sustainable-communities/health-inequalities-hub/health-inequalities-2</w:t>
        </w:r>
      </w:hyperlink>
      <w:r>
        <w:rPr>
          <w:color w:val="464B51"/>
          <w:sz w:val="24"/>
          <w:szCs w:val="24"/>
          <w:highlight w:val="white"/>
        </w:rPr>
        <w:t>. [Accessed on: 10.11.2025].</w:t>
      </w:r>
    </w:p>
    <w:p w14:paraId="53DD10BD" w14:textId="77777777" w:rsidR="00E359C0" w:rsidRDefault="00E359C0" w:rsidP="00E359C0">
      <w:pPr>
        <w:rPr>
          <w:color w:val="464B51"/>
          <w:sz w:val="24"/>
          <w:szCs w:val="24"/>
          <w:highlight w:val="white"/>
        </w:rPr>
      </w:pPr>
      <w:r>
        <w:rPr>
          <w:color w:val="222222"/>
          <w:sz w:val="24"/>
          <w:szCs w:val="24"/>
          <w:highlight w:val="white"/>
        </w:rPr>
        <w:t xml:space="preserve">Local Gov. (2025). </w:t>
      </w:r>
      <w:r>
        <w:rPr>
          <w:i/>
          <w:iCs/>
          <w:color w:val="464B51"/>
          <w:sz w:val="24"/>
          <w:szCs w:val="24"/>
          <w:highlight w:val="white"/>
        </w:rPr>
        <w:t xml:space="preserve">Health inequalities: Learning disabilities. </w:t>
      </w:r>
      <w:r>
        <w:rPr>
          <w:color w:val="464B51"/>
          <w:sz w:val="24"/>
          <w:szCs w:val="24"/>
          <w:highlight w:val="white"/>
        </w:rPr>
        <w:t xml:space="preserve">Available at: </w:t>
      </w:r>
      <w:hyperlink r:id="rId25">
        <w:r>
          <w:rPr>
            <w:color w:val="1155CC"/>
            <w:sz w:val="24"/>
            <w:szCs w:val="24"/>
            <w:highlight w:val="white"/>
            <w:u w:val="single"/>
          </w:rPr>
          <w:t>https://www.local.gov.uk/our-support/safer-and-more-sustainable-communities/health-inequalities-hub/health-inequalities</w:t>
        </w:r>
      </w:hyperlink>
      <w:r>
        <w:rPr>
          <w:color w:val="464B51"/>
          <w:sz w:val="24"/>
          <w:szCs w:val="24"/>
          <w:highlight w:val="white"/>
        </w:rPr>
        <w:t>. [Accessed on: 10.11.2025].</w:t>
      </w:r>
    </w:p>
    <w:p w14:paraId="62D80FFB" w14:textId="77777777" w:rsidR="00E359C0" w:rsidRDefault="00E359C0" w:rsidP="00E359C0">
      <w:pPr>
        <w:rPr>
          <w:color w:val="222222"/>
          <w:sz w:val="24"/>
          <w:szCs w:val="24"/>
          <w:highlight w:val="white"/>
        </w:rPr>
      </w:pPr>
      <w:r>
        <w:rPr>
          <w:color w:val="222222"/>
          <w:sz w:val="24"/>
          <w:szCs w:val="24"/>
          <w:highlight w:val="white"/>
        </w:rPr>
        <w:t xml:space="preserve">Mitra, M., Long-Bellil, L., Moura, I., Miles, A. and Kaye, H.S., 2022. Advancing Health Equity And Reducing Health Disparities For People With Disabilities In The United States: Study examines health equity and health disparities for people with disabilities in the United States. </w:t>
      </w:r>
      <w:r>
        <w:rPr>
          <w:i/>
          <w:iCs/>
          <w:color w:val="222222"/>
          <w:sz w:val="24"/>
          <w:szCs w:val="24"/>
          <w:highlight w:val="white"/>
        </w:rPr>
        <w:t>Health Affairs</w:t>
      </w:r>
      <w:r>
        <w:rPr>
          <w:color w:val="222222"/>
          <w:sz w:val="24"/>
          <w:szCs w:val="24"/>
          <w:highlight w:val="white"/>
        </w:rPr>
        <w:t xml:space="preserve">, </w:t>
      </w:r>
      <w:r>
        <w:rPr>
          <w:i/>
          <w:iCs/>
          <w:color w:val="222222"/>
          <w:sz w:val="24"/>
          <w:szCs w:val="24"/>
          <w:highlight w:val="white"/>
        </w:rPr>
        <w:t>41</w:t>
      </w:r>
      <w:r>
        <w:rPr>
          <w:color w:val="222222"/>
          <w:sz w:val="24"/>
          <w:szCs w:val="24"/>
          <w:highlight w:val="white"/>
        </w:rPr>
        <w:t>(10), pp.1379-1386.</w:t>
      </w:r>
    </w:p>
    <w:p w14:paraId="15E9EA8D" w14:textId="77777777" w:rsidR="00E359C0" w:rsidRDefault="00E359C0" w:rsidP="00E359C0">
      <w:pPr>
        <w:rPr>
          <w:color w:val="222222"/>
          <w:sz w:val="24"/>
          <w:szCs w:val="24"/>
          <w:highlight w:val="white"/>
        </w:rPr>
      </w:pPr>
      <w:r>
        <w:rPr>
          <w:color w:val="222222"/>
          <w:sz w:val="24"/>
          <w:szCs w:val="24"/>
          <w:highlight w:val="white"/>
        </w:rPr>
        <w:t xml:space="preserve">Naz, F., Anwar, N.H. and Ullah, I.T., 2020. Difficulties faced by the persons with disabilities for getting employment. </w:t>
      </w:r>
      <w:r>
        <w:rPr>
          <w:i/>
          <w:iCs/>
          <w:color w:val="222222"/>
          <w:sz w:val="24"/>
          <w:szCs w:val="24"/>
          <w:highlight w:val="white"/>
        </w:rPr>
        <w:t>Pakistan Social Sciences Review</w:t>
      </w:r>
      <w:r>
        <w:rPr>
          <w:color w:val="222222"/>
          <w:sz w:val="24"/>
          <w:szCs w:val="24"/>
          <w:highlight w:val="white"/>
        </w:rPr>
        <w:t xml:space="preserve">, </w:t>
      </w:r>
      <w:r>
        <w:rPr>
          <w:i/>
          <w:iCs/>
          <w:color w:val="222222"/>
          <w:sz w:val="24"/>
          <w:szCs w:val="24"/>
          <w:highlight w:val="white"/>
        </w:rPr>
        <w:t>4</w:t>
      </w:r>
      <w:r>
        <w:rPr>
          <w:color w:val="222222"/>
          <w:sz w:val="24"/>
          <w:szCs w:val="24"/>
          <w:highlight w:val="white"/>
        </w:rPr>
        <w:t>(2), p.52.</w:t>
      </w:r>
    </w:p>
    <w:p w14:paraId="49D7D8F2" w14:textId="77777777" w:rsidR="00E359C0" w:rsidRDefault="00E359C0" w:rsidP="00E359C0">
      <w:pPr>
        <w:spacing w:before="0" w:after="0"/>
        <w:rPr>
          <w:color w:val="222222"/>
          <w:highlight w:val="white"/>
        </w:rPr>
      </w:pPr>
      <w:r>
        <w:rPr>
          <w:color w:val="222222"/>
          <w:highlight w:val="white"/>
        </w:rPr>
        <w:t>NHS, (2025).</w:t>
      </w:r>
      <w:r>
        <w:rPr>
          <w:i/>
          <w:iCs/>
          <w:highlight w:val="white"/>
        </w:rPr>
        <w:t xml:space="preserve"> Health Survey for England, 2021 part 2. </w:t>
      </w:r>
      <w:r>
        <w:rPr>
          <w:highlight w:val="white"/>
        </w:rPr>
        <w:t xml:space="preserve">Available at: </w:t>
      </w:r>
      <w:hyperlink r:id="rId26">
        <w:r>
          <w:rPr>
            <w:color w:val="1155CC"/>
            <w:highlight w:val="white"/>
            <w:u w:val="single"/>
          </w:rPr>
          <w:t>https://digital.nhs.uk/data-and-information/publications/statistical/health-survey-for-england/2021-part-2/adult-health-hypertension</w:t>
        </w:r>
      </w:hyperlink>
      <w:r>
        <w:rPr>
          <w:highlight w:val="white"/>
        </w:rPr>
        <w:t>. [Accessed on: 10.11.2025].</w:t>
      </w:r>
    </w:p>
    <w:p w14:paraId="78AA9ED1" w14:textId="77777777" w:rsidR="00E359C0" w:rsidRDefault="00E359C0" w:rsidP="00E359C0">
      <w:pPr>
        <w:rPr>
          <w:i/>
          <w:iCs/>
          <w:color w:val="323132"/>
          <w:sz w:val="24"/>
          <w:szCs w:val="24"/>
          <w:highlight w:val="white"/>
        </w:rPr>
      </w:pPr>
      <w:r>
        <w:rPr>
          <w:color w:val="464B51"/>
          <w:sz w:val="24"/>
          <w:szCs w:val="24"/>
          <w:highlight w:val="white"/>
        </w:rPr>
        <w:t xml:space="preserve">ONS, (2025). </w:t>
      </w:r>
      <w:r>
        <w:rPr>
          <w:i/>
          <w:iCs/>
          <w:color w:val="323132"/>
          <w:sz w:val="24"/>
          <w:szCs w:val="24"/>
          <w:highlight w:val="white"/>
        </w:rPr>
        <w:t xml:space="preserve">Disability by age, sex and deprivation, England and Wales: Census 2021. </w:t>
      </w:r>
      <w:r>
        <w:rPr>
          <w:color w:val="464B51"/>
          <w:sz w:val="24"/>
          <w:szCs w:val="24"/>
          <w:highlight w:val="white"/>
        </w:rPr>
        <w:t xml:space="preserve">Available at: </w:t>
      </w:r>
      <w:hyperlink r:id="rId27">
        <w:r>
          <w:rPr>
            <w:color w:val="1155CC"/>
            <w:sz w:val="24"/>
            <w:szCs w:val="24"/>
            <w:highlight w:val="white"/>
            <w:u w:val="single"/>
          </w:rPr>
          <w:t>https://www.ons.gov.uk/peoplepopulationandcommunity/healthandsocialcare/disability/articles/disabilitybyagesexanddeprivationenglandandwales/census2021</w:t>
        </w:r>
      </w:hyperlink>
      <w:r>
        <w:rPr>
          <w:color w:val="464B51"/>
          <w:sz w:val="24"/>
          <w:szCs w:val="24"/>
          <w:highlight w:val="white"/>
        </w:rPr>
        <w:t>. [Accessed on: 10.11.2025].</w:t>
      </w:r>
    </w:p>
    <w:p w14:paraId="449BAF23" w14:textId="77777777" w:rsidR="00E359C0" w:rsidRDefault="00E359C0" w:rsidP="00E359C0">
      <w:pPr>
        <w:rPr>
          <w:color w:val="464B51"/>
          <w:sz w:val="24"/>
          <w:szCs w:val="24"/>
          <w:highlight w:val="white"/>
        </w:rPr>
      </w:pPr>
      <w:r>
        <w:rPr>
          <w:color w:val="464B51"/>
          <w:sz w:val="24"/>
          <w:szCs w:val="24"/>
          <w:highlight w:val="white"/>
        </w:rPr>
        <w:t xml:space="preserve">ONS, (2025). </w:t>
      </w:r>
      <w:r>
        <w:rPr>
          <w:color w:val="323132"/>
          <w:sz w:val="24"/>
          <w:szCs w:val="24"/>
          <w:highlight w:val="white"/>
        </w:rPr>
        <w:t xml:space="preserve">Disability pay gaps in the UK: 2021. </w:t>
      </w:r>
      <w:r>
        <w:rPr>
          <w:color w:val="464B51"/>
          <w:sz w:val="24"/>
          <w:szCs w:val="24"/>
          <w:highlight w:val="white"/>
        </w:rPr>
        <w:t xml:space="preserve">Available at: </w:t>
      </w:r>
      <w:hyperlink r:id="rId28">
        <w:r>
          <w:rPr>
            <w:color w:val="1155CC"/>
            <w:sz w:val="24"/>
            <w:szCs w:val="24"/>
            <w:highlight w:val="white"/>
            <w:u w:val="single"/>
          </w:rPr>
          <w:t>https://www.ons.gov.uk/peoplepopulationandcommunity/healthandsocialcare/disability/articles/disabilitypaygapsintheuk/2021</w:t>
        </w:r>
      </w:hyperlink>
      <w:r>
        <w:rPr>
          <w:color w:val="464B51"/>
          <w:sz w:val="24"/>
          <w:szCs w:val="24"/>
          <w:highlight w:val="white"/>
        </w:rPr>
        <w:t>. [Accessed on: 10.11.2025].</w:t>
      </w:r>
    </w:p>
    <w:p w14:paraId="239AAB42" w14:textId="77777777" w:rsidR="00E359C0" w:rsidRDefault="00E359C0" w:rsidP="00E359C0">
      <w:pPr>
        <w:spacing w:before="0" w:after="0"/>
        <w:rPr>
          <w:i/>
          <w:iCs/>
          <w:color w:val="323132"/>
          <w:highlight w:val="white"/>
        </w:rPr>
      </w:pPr>
      <w:r>
        <w:rPr>
          <w:color w:val="222222"/>
          <w:highlight w:val="white"/>
        </w:rPr>
        <w:t xml:space="preserve">ONS, (2025). </w:t>
      </w:r>
      <w:r>
        <w:rPr>
          <w:i/>
          <w:iCs/>
          <w:color w:val="323132"/>
          <w:highlight w:val="white"/>
        </w:rPr>
        <w:t xml:space="preserve">Risk factors for undiagnosed high blood pressure in England: 2015 to 2019. </w:t>
      </w:r>
      <w:r>
        <w:rPr>
          <w:highlight w:val="white"/>
        </w:rPr>
        <w:t xml:space="preserve">Available at: </w:t>
      </w:r>
      <w:hyperlink r:id="rId29">
        <w:r>
          <w:rPr>
            <w:color w:val="1155CC"/>
            <w:highlight w:val="white"/>
            <w:u w:val="single"/>
          </w:rPr>
          <w:t>https://www.ons.gov.uk/peoplepopulationandcommunity/healthandsocialcare/healthandwellbeing/articles/riskfactorsforundiagnosedhighbloodpressureinengland/2015to2019</w:t>
        </w:r>
      </w:hyperlink>
      <w:r>
        <w:rPr>
          <w:highlight w:val="white"/>
        </w:rPr>
        <w:t>. [Accessed on: 10.11.2025].</w:t>
      </w:r>
    </w:p>
    <w:p w14:paraId="7FA8B8C6" w14:textId="77777777" w:rsidR="00E359C0" w:rsidRDefault="00E359C0" w:rsidP="00E359C0">
      <w:pPr>
        <w:spacing w:before="0" w:after="0"/>
        <w:rPr>
          <w:highlight w:val="white"/>
        </w:rPr>
      </w:pPr>
      <w:r>
        <w:rPr>
          <w:color w:val="222222"/>
          <w:highlight w:val="white"/>
        </w:rPr>
        <w:t xml:space="preserve">Paharia.T.P., (2024). </w:t>
      </w:r>
      <w:r>
        <w:rPr>
          <w:i/>
          <w:iCs/>
          <w:color w:val="333333"/>
          <w:highlight w:val="white"/>
        </w:rPr>
        <w:t xml:space="preserve">UK coronary heart disease drops 30%, but other heart conditions rise. </w:t>
      </w:r>
      <w:r>
        <w:rPr>
          <w:highlight w:val="white"/>
        </w:rPr>
        <w:t xml:space="preserve">Available at: </w:t>
      </w:r>
      <w:hyperlink r:id="rId30">
        <w:r>
          <w:rPr>
            <w:color w:val="1155CC"/>
            <w:highlight w:val="white"/>
            <w:u w:val="single"/>
          </w:rPr>
          <w:t>https://www.news-medical.net/news/20240701/UK-coronary-heart-disease-drops-3025-but-other-heart-conditions-rise.aspx</w:t>
        </w:r>
      </w:hyperlink>
      <w:r>
        <w:rPr>
          <w:highlight w:val="white"/>
        </w:rPr>
        <w:t>. [Accessed on: 10.11.2025].</w:t>
      </w:r>
    </w:p>
    <w:p w14:paraId="06C56DCF" w14:textId="77777777" w:rsidR="00E359C0" w:rsidRDefault="00E359C0" w:rsidP="00E359C0">
      <w:pPr>
        <w:spacing w:before="0" w:after="0"/>
        <w:rPr>
          <w:i/>
          <w:iCs/>
          <w:highlight w:val="white"/>
        </w:rPr>
      </w:pPr>
      <w:r>
        <w:rPr>
          <w:highlight w:val="white"/>
        </w:rPr>
        <w:t xml:space="preserve">Qrisk3, (2025). </w:t>
      </w:r>
      <w:r>
        <w:rPr>
          <w:i/>
          <w:iCs/>
          <w:highlight w:val="white"/>
        </w:rPr>
        <w:t xml:space="preserve">QRISK3. </w:t>
      </w:r>
      <w:r>
        <w:rPr>
          <w:highlight w:val="white"/>
        </w:rPr>
        <w:t xml:space="preserve">Available at: </w:t>
      </w:r>
      <w:hyperlink r:id="rId31">
        <w:r>
          <w:rPr>
            <w:color w:val="1155CC"/>
            <w:highlight w:val="white"/>
            <w:u w:val="single"/>
          </w:rPr>
          <w:t>https://qrisk.org/</w:t>
        </w:r>
      </w:hyperlink>
      <w:r>
        <w:rPr>
          <w:highlight w:val="white"/>
        </w:rPr>
        <w:t>. [Accessed on: 10.11.2025].</w:t>
      </w:r>
    </w:p>
    <w:p w14:paraId="5F1244A3" w14:textId="77777777" w:rsidR="00E359C0" w:rsidRDefault="00E359C0" w:rsidP="00E359C0">
      <w:pPr>
        <w:spacing w:before="0" w:after="0"/>
        <w:rPr>
          <w:color w:val="222222"/>
          <w:highlight w:val="white"/>
        </w:rPr>
      </w:pPr>
      <w:r>
        <w:rPr>
          <w:color w:val="222222"/>
          <w:highlight w:val="white"/>
        </w:rPr>
        <w:t xml:space="preserve">Raleigh, V., Jefferies, D. and Wellings, D., 2022. Cardiovascular disease in England. </w:t>
      </w:r>
      <w:r>
        <w:rPr>
          <w:i/>
          <w:iCs/>
          <w:color w:val="222222"/>
          <w:highlight w:val="white"/>
        </w:rPr>
        <w:t>The King's Fund</w:t>
      </w:r>
      <w:r>
        <w:rPr>
          <w:color w:val="222222"/>
          <w:highlight w:val="white"/>
        </w:rPr>
        <w:t>, pp.2022-11.</w:t>
      </w:r>
    </w:p>
    <w:p w14:paraId="5AE00205" w14:textId="77777777" w:rsidR="00E359C0" w:rsidRDefault="00E359C0" w:rsidP="00E359C0">
      <w:pPr>
        <w:spacing w:before="0" w:after="0"/>
        <w:rPr>
          <w:color w:val="222222"/>
          <w:highlight w:val="white"/>
        </w:rPr>
      </w:pPr>
      <w:r>
        <w:rPr>
          <w:color w:val="222222"/>
          <w:highlight w:val="white"/>
        </w:rPr>
        <w:t xml:space="preserve">Robinson, S., 2021. Cardiovascular disease. In </w:t>
      </w:r>
      <w:r>
        <w:rPr>
          <w:i/>
          <w:iCs/>
          <w:color w:val="222222"/>
          <w:highlight w:val="white"/>
        </w:rPr>
        <w:t>Priorities for Health Promotion and Public Health</w:t>
      </w:r>
      <w:r>
        <w:rPr>
          <w:color w:val="222222"/>
          <w:highlight w:val="white"/>
        </w:rPr>
        <w:t xml:space="preserve"> (pp. 355-393). Routledge.</w:t>
      </w:r>
    </w:p>
    <w:p w14:paraId="5EBA6DBB" w14:textId="77777777" w:rsidR="00E359C0" w:rsidRDefault="00E359C0" w:rsidP="00E359C0">
      <w:pPr>
        <w:rPr>
          <w:i/>
          <w:iCs/>
          <w:sz w:val="24"/>
          <w:szCs w:val="24"/>
          <w:highlight w:val="white"/>
        </w:rPr>
      </w:pPr>
      <w:r>
        <w:rPr>
          <w:color w:val="464B51"/>
          <w:sz w:val="24"/>
          <w:szCs w:val="24"/>
          <w:highlight w:val="white"/>
        </w:rPr>
        <w:t xml:space="preserve">Scope, (2025). </w:t>
      </w:r>
      <w:r>
        <w:rPr>
          <w:i/>
          <w:iCs/>
          <w:sz w:val="24"/>
          <w:szCs w:val="24"/>
          <w:highlight w:val="white"/>
        </w:rPr>
        <w:t xml:space="preserve">Disability facts and figures. </w:t>
      </w:r>
      <w:r>
        <w:rPr>
          <w:color w:val="464B51"/>
          <w:sz w:val="24"/>
          <w:szCs w:val="24"/>
          <w:highlight w:val="white"/>
        </w:rPr>
        <w:t xml:space="preserve">Available at: </w:t>
      </w:r>
      <w:hyperlink r:id="rId32">
        <w:r>
          <w:rPr>
            <w:color w:val="1155CC"/>
            <w:sz w:val="24"/>
            <w:szCs w:val="24"/>
            <w:highlight w:val="white"/>
            <w:u w:val="single"/>
          </w:rPr>
          <w:t>https://www.scope.org.uk/media/disability-facts-figures</w:t>
        </w:r>
      </w:hyperlink>
      <w:r>
        <w:rPr>
          <w:color w:val="464B51"/>
          <w:sz w:val="24"/>
          <w:szCs w:val="24"/>
          <w:highlight w:val="white"/>
        </w:rPr>
        <w:t>. [Accessed on: 10.11.2025].</w:t>
      </w:r>
    </w:p>
    <w:p w14:paraId="311078B3" w14:textId="77777777" w:rsidR="00E359C0" w:rsidRDefault="00E359C0" w:rsidP="00E359C0">
      <w:pPr>
        <w:rPr>
          <w:color w:val="222222"/>
          <w:sz w:val="24"/>
          <w:szCs w:val="24"/>
          <w:highlight w:val="white"/>
        </w:rPr>
      </w:pPr>
      <w:r>
        <w:rPr>
          <w:color w:val="222222"/>
          <w:sz w:val="24"/>
          <w:szCs w:val="24"/>
          <w:highlight w:val="white"/>
        </w:rPr>
        <w:t xml:space="preserve">Shafik, W., 2025. The Landscape of Marginalization and People with Disabilities. In </w:t>
      </w:r>
      <w:r>
        <w:rPr>
          <w:i/>
          <w:iCs/>
          <w:color w:val="222222"/>
          <w:sz w:val="24"/>
          <w:szCs w:val="24"/>
          <w:highlight w:val="white"/>
        </w:rPr>
        <w:t>Global Sustainable Transition with Inclusion: A Focus on the People with Disabilities and the Marginalized</w:t>
      </w:r>
      <w:r>
        <w:rPr>
          <w:color w:val="222222"/>
          <w:sz w:val="24"/>
          <w:szCs w:val="24"/>
          <w:highlight w:val="white"/>
        </w:rPr>
        <w:t xml:space="preserve"> (pp. 35-68). Singapore: Springer Nature Singapore.</w:t>
      </w:r>
    </w:p>
    <w:p w14:paraId="5FF335BB" w14:textId="77777777" w:rsidR="00E359C0" w:rsidRDefault="00E359C0" w:rsidP="00E359C0">
      <w:pPr>
        <w:spacing w:before="0" w:after="0"/>
        <w:rPr>
          <w:color w:val="222222"/>
          <w:highlight w:val="white"/>
        </w:rPr>
      </w:pPr>
      <w:r>
        <w:rPr>
          <w:color w:val="222222"/>
          <w:highlight w:val="white"/>
        </w:rPr>
        <w:t xml:space="preserve">Tapela, N., Collister, J., Clifton, L., Turnbull, I., Rahimi, K. and Hunter, D.J., 2021. Prevalence and determinants of hypertension control among almost 100 000 treated adults in the UK. </w:t>
      </w:r>
      <w:r>
        <w:rPr>
          <w:i/>
          <w:iCs/>
          <w:color w:val="222222"/>
          <w:highlight w:val="white"/>
        </w:rPr>
        <w:t>Open heart</w:t>
      </w:r>
      <w:r>
        <w:rPr>
          <w:color w:val="222222"/>
          <w:highlight w:val="white"/>
        </w:rPr>
        <w:t xml:space="preserve">, </w:t>
      </w:r>
      <w:r>
        <w:rPr>
          <w:i/>
          <w:iCs/>
          <w:color w:val="222222"/>
          <w:highlight w:val="white"/>
        </w:rPr>
        <w:t>8</w:t>
      </w:r>
      <w:r>
        <w:rPr>
          <w:color w:val="222222"/>
          <w:highlight w:val="white"/>
        </w:rPr>
        <w:t>(1), p.e001461.</w:t>
      </w:r>
    </w:p>
    <w:p w14:paraId="10612473" w14:textId="77777777" w:rsidR="00E359C0" w:rsidRDefault="00E359C0" w:rsidP="00E359C0">
      <w:pPr>
        <w:rPr>
          <w:i/>
          <w:iCs/>
          <w:sz w:val="24"/>
          <w:szCs w:val="24"/>
          <w:highlight w:val="white"/>
        </w:rPr>
      </w:pPr>
      <w:r>
        <w:rPr>
          <w:color w:val="464B51"/>
          <w:sz w:val="24"/>
          <w:szCs w:val="24"/>
          <w:highlight w:val="white"/>
        </w:rPr>
        <w:t>UK Parliament (2024).</w:t>
      </w:r>
      <w:r>
        <w:rPr>
          <w:i/>
          <w:iCs/>
          <w:sz w:val="24"/>
          <w:szCs w:val="24"/>
          <w:highlight w:val="white"/>
        </w:rPr>
        <w:t xml:space="preserve"> UK disability statistics: Prevalence and life experiences. </w:t>
      </w:r>
      <w:r>
        <w:rPr>
          <w:color w:val="464B51"/>
          <w:sz w:val="24"/>
          <w:szCs w:val="24"/>
          <w:highlight w:val="white"/>
        </w:rPr>
        <w:t xml:space="preserve">Available at: </w:t>
      </w:r>
      <w:hyperlink r:id="rId33">
        <w:r>
          <w:rPr>
            <w:color w:val="1155CC"/>
            <w:sz w:val="24"/>
            <w:szCs w:val="24"/>
            <w:highlight w:val="white"/>
            <w:u w:val="single"/>
          </w:rPr>
          <w:t>https://commonslibrary.parliament.uk/research-briefings/cbp-9602/</w:t>
        </w:r>
      </w:hyperlink>
      <w:r>
        <w:rPr>
          <w:color w:val="464B51"/>
          <w:sz w:val="24"/>
          <w:szCs w:val="24"/>
          <w:highlight w:val="white"/>
        </w:rPr>
        <w:t>. [Accessed on: 10.11.2025].</w:t>
      </w:r>
    </w:p>
    <w:p w14:paraId="79BFF743" w14:textId="77777777" w:rsidR="00E359C0" w:rsidRDefault="00E359C0" w:rsidP="00E359C0">
      <w:pPr>
        <w:rPr>
          <w:color w:val="222222"/>
          <w:sz w:val="24"/>
          <w:szCs w:val="24"/>
          <w:highlight w:val="white"/>
        </w:rPr>
      </w:pPr>
      <w:r>
        <w:rPr>
          <w:color w:val="222222"/>
          <w:sz w:val="24"/>
          <w:szCs w:val="24"/>
          <w:highlight w:val="white"/>
        </w:rPr>
        <w:t xml:space="preserve">Umpleby, K., Roberts, C., Cooper-Moss, N., Chesterton, L., Ditzel, N., Garner, C., Clark, S., Butt, J., Hatton, C. and Chauhan, U., 2023. We deserve better: Ethnic minorities with a learning disability and barriers to healthcare. </w:t>
      </w:r>
      <w:r>
        <w:rPr>
          <w:i/>
          <w:iCs/>
          <w:color w:val="222222"/>
          <w:sz w:val="24"/>
          <w:szCs w:val="24"/>
          <w:highlight w:val="white"/>
        </w:rPr>
        <w:t>We deserve better: Ethnic minorities with a learning disability and barriers to healthcare</w:t>
      </w:r>
      <w:r>
        <w:rPr>
          <w:color w:val="222222"/>
          <w:sz w:val="24"/>
          <w:szCs w:val="24"/>
          <w:highlight w:val="white"/>
        </w:rPr>
        <w:t>.</w:t>
      </w:r>
    </w:p>
    <w:p w14:paraId="547DBAFA" w14:textId="77777777" w:rsidR="00E359C0" w:rsidRDefault="00E359C0" w:rsidP="00E359C0">
      <w:pPr>
        <w:spacing w:before="0" w:after="0"/>
        <w:rPr>
          <w:i/>
          <w:iCs/>
          <w:color w:val="3C4245"/>
          <w:highlight w:val="white"/>
        </w:rPr>
      </w:pPr>
      <w:r>
        <w:rPr>
          <w:color w:val="222222"/>
          <w:highlight w:val="white"/>
        </w:rPr>
        <w:t xml:space="preserve">WHO, (2025). </w:t>
      </w:r>
      <w:r>
        <w:rPr>
          <w:i/>
          <w:iCs/>
          <w:color w:val="3C4245"/>
          <w:highlight w:val="white"/>
        </w:rPr>
        <w:t xml:space="preserve">Hypertension United Kingdom of Great Britain and Northern Ireland  2023 country profile.  </w:t>
      </w:r>
      <w:r>
        <w:rPr>
          <w:highlight w:val="white"/>
        </w:rPr>
        <w:t xml:space="preserve">Available at: </w:t>
      </w:r>
      <w:hyperlink r:id="rId34">
        <w:r>
          <w:rPr>
            <w:color w:val="1155CC"/>
            <w:highlight w:val="white"/>
            <w:u w:val="single"/>
          </w:rPr>
          <w:t>https://www.who.int/publications/m/item/hypertension-gbr-2023-country-profile</w:t>
        </w:r>
      </w:hyperlink>
      <w:r>
        <w:rPr>
          <w:highlight w:val="white"/>
        </w:rPr>
        <w:t>. [Accessed on: 10.11.2025].</w:t>
      </w:r>
    </w:p>
    <w:p w14:paraId="767AE98D" w14:textId="77777777" w:rsidR="00E359C0" w:rsidRDefault="00E359C0" w:rsidP="00E359C0">
      <w:pPr>
        <w:rPr>
          <w:color w:val="222222"/>
          <w:sz w:val="24"/>
          <w:szCs w:val="24"/>
          <w:highlight w:val="white"/>
        </w:rPr>
      </w:pPr>
      <w:r>
        <w:rPr>
          <w:color w:val="222222"/>
          <w:sz w:val="24"/>
          <w:szCs w:val="24"/>
          <w:highlight w:val="white"/>
        </w:rPr>
        <w:t xml:space="preserve">Zaninotto, P., Batty, G.D., Stenholm, S., Kawachi, I., Hyde, M., Goldberg, M., Westerlund, H., Vahtera, J. and Head, J., 2020. Socioeconomic inequalities in disability-free life expectancy in older people from England and the United States: a cross-national population-based study. </w:t>
      </w:r>
      <w:r>
        <w:rPr>
          <w:i/>
          <w:iCs/>
          <w:color w:val="222222"/>
          <w:sz w:val="24"/>
          <w:szCs w:val="24"/>
          <w:highlight w:val="white"/>
        </w:rPr>
        <w:t>The journals of gerontology: Series A</w:t>
      </w:r>
      <w:r>
        <w:rPr>
          <w:color w:val="222222"/>
          <w:sz w:val="24"/>
          <w:szCs w:val="24"/>
          <w:highlight w:val="white"/>
        </w:rPr>
        <w:t xml:space="preserve">, </w:t>
      </w:r>
      <w:r>
        <w:rPr>
          <w:i/>
          <w:iCs/>
          <w:color w:val="222222"/>
          <w:sz w:val="24"/>
          <w:szCs w:val="24"/>
          <w:highlight w:val="white"/>
        </w:rPr>
        <w:t>75</w:t>
      </w:r>
      <w:r>
        <w:rPr>
          <w:color w:val="222222"/>
          <w:sz w:val="24"/>
          <w:szCs w:val="24"/>
          <w:highlight w:val="white"/>
        </w:rPr>
        <w:t>(5), pp.906-913.</w:t>
      </w:r>
    </w:p>
    <w:p w14:paraId="287230A7" w14:textId="77777777" w:rsidR="008C09B0" w:rsidRDefault="008C09B0" w:rsidP="00E359C0">
      <w:pPr>
        <w:rPr>
          <w:b/>
          <w:bCs/>
          <w:sz w:val="24"/>
          <w:szCs w:val="24"/>
        </w:rPr>
      </w:pPr>
    </w:p>
    <w:p w14:paraId="3FC148CA" w14:textId="77777777" w:rsidR="008C09B0" w:rsidRDefault="008C09B0" w:rsidP="00E359C0">
      <w:pPr>
        <w:rPr>
          <w:sz w:val="24"/>
          <w:szCs w:val="24"/>
        </w:rPr>
      </w:pPr>
    </w:p>
    <w:sectPr w:rsidR="008C09B0" w:rsidSect="00E359C0">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6758E" w14:textId="77777777" w:rsidR="002373C5" w:rsidRDefault="002373C5" w:rsidP="00E359C0">
      <w:pPr>
        <w:spacing w:before="0" w:after="0" w:line="240" w:lineRule="auto"/>
      </w:pPr>
      <w:r>
        <w:separator/>
      </w:r>
    </w:p>
  </w:endnote>
  <w:endnote w:type="continuationSeparator" w:id="0">
    <w:p w14:paraId="0CC19BA8" w14:textId="77777777" w:rsidR="002373C5" w:rsidRDefault="002373C5" w:rsidP="00E359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w:panose1 w:val="020F0502020204030204"/>
    <w:charset w:val="00"/>
    <w:family w:val="swiss"/>
    <w:pitch w:val="variable"/>
    <w:sig w:usb0="E4002EFF" w:usb1="C200ACFF" w:usb2="00000009" w:usb3="00000000" w:csb0="000001FF" w:csb1="00000000"/>
    <w:embedRegular r:id="rId2" w:fontKey="{84D16FB1-2076-4C01-97FC-C90DD800ABEB}"/>
  </w:font>
  <w:font w:name="Fira Mono">
    <w:panose1 w:val="020B0509050000020004"/>
    <w:charset w:val="00"/>
    <w:family w:val="modern"/>
    <w:pitch w:val="fixed"/>
    <w:sig w:usb0="40000287" w:usb1="02003801" w:usb2="00000000" w:usb3="00000000" w:csb0="0000009F" w:csb1="00000000"/>
    <w:embedRegular r:id="rId3" w:fontKey="{DF8B0160-027E-4DC4-9FD8-EFD9154489AC}"/>
  </w:font>
  <w:font w:name="Segoe UI Symbol">
    <w:panose1 w:val="020B0502040204020203"/>
    <w:charset w:val="00"/>
    <w:family w:val="swiss"/>
    <w:pitch w:val="variable"/>
    <w:sig w:usb0="800001E3" w:usb1="1200FFEF" w:usb2="0064C000" w:usb3="00000000" w:csb0="00000001" w:csb1="00000000"/>
    <w:embedRegular r:id="rId4" w:fontKey="{B960ED42-0CA1-4BAD-986D-D915D6C0245E}"/>
  </w:font>
  <w:font w:name="Cambria">
    <w:panose1 w:val="02040503050406030204"/>
    <w:charset w:val="00"/>
    <w:family w:val="roman"/>
    <w:pitch w:val="variable"/>
    <w:sig w:usb0="E00006FF" w:usb1="420024FF" w:usb2="02000000" w:usb3="00000000" w:csb0="0000019F" w:csb1="00000000"/>
    <w:embedRegular r:id="rId5" w:fontKey="{A5495C8E-5959-49BB-BB7B-37351257F6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3989509"/>
      <w:docPartObj>
        <w:docPartGallery w:val="Page Numbers (Bottom of Page)"/>
        <w:docPartUnique/>
      </w:docPartObj>
    </w:sdtPr>
    <w:sdtEndPr>
      <w:rPr>
        <w:noProof/>
      </w:rPr>
    </w:sdtEndPr>
    <w:sdtContent>
      <w:p w14:paraId="201DB82D" w14:textId="3EB15E8D" w:rsidR="00E359C0" w:rsidRDefault="00E359C0">
        <w:pPr>
          <w:pStyle w:val="Footer"/>
          <w:jc w:val="right"/>
        </w:pPr>
        <w:r>
          <w:fldChar w:fldCharType="begin"/>
        </w:r>
        <w:r>
          <w:instrText xml:space="preserve"> PAGE   \* MERGEFORMAT </w:instrText>
        </w:r>
        <w:r>
          <w:fldChar w:fldCharType="separate"/>
        </w:r>
        <w:r w:rsidR="009A3636">
          <w:rPr>
            <w:noProof/>
          </w:rPr>
          <w:t>21</w:t>
        </w:r>
        <w:r>
          <w:rPr>
            <w:noProof/>
          </w:rPr>
          <w:fldChar w:fldCharType="end"/>
        </w:r>
      </w:p>
    </w:sdtContent>
  </w:sdt>
  <w:p w14:paraId="67B218B4" w14:textId="77777777" w:rsidR="00E359C0" w:rsidRDefault="00E35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C1B68" w14:textId="77777777" w:rsidR="002373C5" w:rsidRDefault="002373C5" w:rsidP="00E359C0">
      <w:pPr>
        <w:spacing w:before="0" w:after="0" w:line="240" w:lineRule="auto"/>
      </w:pPr>
      <w:r>
        <w:separator/>
      </w:r>
    </w:p>
  </w:footnote>
  <w:footnote w:type="continuationSeparator" w:id="0">
    <w:p w14:paraId="68E54E9C" w14:textId="77777777" w:rsidR="002373C5" w:rsidRDefault="002373C5" w:rsidP="00E359C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09B0"/>
    <w:rsid w:val="001F3DD3"/>
    <w:rsid w:val="002373C5"/>
    <w:rsid w:val="002B7C67"/>
    <w:rsid w:val="002C5902"/>
    <w:rsid w:val="004752E5"/>
    <w:rsid w:val="0053190A"/>
    <w:rsid w:val="00565A1A"/>
    <w:rsid w:val="005B1ED6"/>
    <w:rsid w:val="00825391"/>
    <w:rsid w:val="008C09B0"/>
    <w:rsid w:val="00901026"/>
    <w:rsid w:val="009349EB"/>
    <w:rsid w:val="009A3636"/>
    <w:rsid w:val="00E359C0"/>
    <w:rsid w:val="00E555B6"/>
    <w:rsid w:val="00E872B3"/>
    <w:rsid w:val="00F259FA"/>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DD6B1"/>
  <w15:docId w15:val="{13C84DBA-E18E-4B23-98AF-CCF40384E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hi-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0" w:after="0"/>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E359C0"/>
    <w:pPr>
      <w:tabs>
        <w:tab w:val="center" w:pos="4513"/>
        <w:tab w:val="right" w:pos="9026"/>
      </w:tabs>
      <w:spacing w:before="0" w:after="0" w:line="240" w:lineRule="auto"/>
    </w:pPr>
    <w:rPr>
      <w:rFonts w:cs="Mangal"/>
      <w:szCs w:val="20"/>
    </w:rPr>
  </w:style>
  <w:style w:type="character" w:customStyle="1" w:styleId="HeaderChar">
    <w:name w:val="Header Char"/>
    <w:basedOn w:val="DefaultParagraphFont"/>
    <w:link w:val="Header"/>
    <w:uiPriority w:val="99"/>
    <w:rsid w:val="00E359C0"/>
    <w:rPr>
      <w:rFonts w:cs="Mangal"/>
      <w:szCs w:val="20"/>
    </w:rPr>
  </w:style>
  <w:style w:type="paragraph" w:styleId="Footer">
    <w:name w:val="footer"/>
    <w:basedOn w:val="Normal"/>
    <w:link w:val="FooterChar"/>
    <w:uiPriority w:val="99"/>
    <w:unhideWhenUsed/>
    <w:rsid w:val="00E359C0"/>
    <w:pPr>
      <w:tabs>
        <w:tab w:val="center" w:pos="4513"/>
        <w:tab w:val="right" w:pos="9026"/>
      </w:tabs>
      <w:spacing w:before="0" w:after="0" w:line="240" w:lineRule="auto"/>
    </w:pPr>
    <w:rPr>
      <w:rFonts w:cs="Mangal"/>
      <w:szCs w:val="20"/>
    </w:rPr>
  </w:style>
  <w:style w:type="character" w:customStyle="1" w:styleId="FooterChar">
    <w:name w:val="Footer Char"/>
    <w:basedOn w:val="DefaultParagraphFont"/>
    <w:link w:val="Footer"/>
    <w:uiPriority w:val="99"/>
    <w:rsid w:val="00E359C0"/>
    <w:rPr>
      <w:rFonts w:cs="Mangal"/>
      <w:szCs w:val="20"/>
    </w:rPr>
  </w:style>
  <w:style w:type="paragraph" w:styleId="TOCHeading">
    <w:name w:val="TOC Heading"/>
    <w:basedOn w:val="Heading1"/>
    <w:next w:val="Normal"/>
    <w:uiPriority w:val="39"/>
    <w:unhideWhenUsed/>
    <w:qFormat/>
    <w:rsid w:val="00E359C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E359C0"/>
    <w:pPr>
      <w:spacing w:after="100"/>
    </w:pPr>
    <w:rPr>
      <w:rFonts w:cs="Mangal"/>
      <w:szCs w:val="20"/>
    </w:rPr>
  </w:style>
  <w:style w:type="paragraph" w:styleId="TOC2">
    <w:name w:val="toc 2"/>
    <w:basedOn w:val="Normal"/>
    <w:next w:val="Normal"/>
    <w:autoRedefine/>
    <w:uiPriority w:val="39"/>
    <w:unhideWhenUsed/>
    <w:rsid w:val="00E359C0"/>
    <w:pPr>
      <w:spacing w:after="100"/>
      <w:ind w:left="220"/>
    </w:pPr>
    <w:rPr>
      <w:rFonts w:cs="Mangal"/>
      <w:szCs w:val="20"/>
    </w:rPr>
  </w:style>
  <w:style w:type="character" w:styleId="Hyperlink">
    <w:name w:val="Hyperlink"/>
    <w:basedOn w:val="DefaultParagraphFont"/>
    <w:uiPriority w:val="99"/>
    <w:unhideWhenUsed/>
    <w:rsid w:val="00E359C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hyperlink" Target="https://www.bhf.org.uk/what-we-do" TargetMode="External" /><Relationship Id="rId26" Type="http://schemas.openxmlformats.org/officeDocument/2006/relationships/hyperlink" Target="https://www.bhf.org.uk/what-we-do" TargetMode="External" /><Relationship Id="rId3" Type="http://schemas.openxmlformats.org/officeDocument/2006/relationships/settings" Target="settings.xml" /><Relationship Id="rId21" Type="http://schemas.openxmlformats.org/officeDocument/2006/relationships/hyperlink" Target="http://gov.uk" TargetMode="External" /><Relationship Id="rId34" Type="http://schemas.openxmlformats.org/officeDocument/2006/relationships/hyperlink" Target="https://www.bhf.org.uk/what-we-do" TargetMode="External"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hyperlink" Target="http://gov.uk" TargetMode="External" /><Relationship Id="rId25" Type="http://schemas.openxmlformats.org/officeDocument/2006/relationships/hyperlink" Target="https://www.local.gov.uk/our-support/safer-and-more-sustainable-communities/health-inequalities-hub/health-inequalities" TargetMode="External" /><Relationship Id="rId33" Type="http://schemas.openxmlformats.org/officeDocument/2006/relationships/hyperlink" Target="https://www.local.gov.uk/our-support/safer-and-more-sustainable-communities/health-inequalities-hub/health-inequalities" TargetMode="External" /><Relationship Id="rId2" Type="http://schemas.openxmlformats.org/officeDocument/2006/relationships/styles" Target="styles.xml" /><Relationship Id="rId16" Type="http://schemas.openxmlformats.org/officeDocument/2006/relationships/image" Target="media/image8.png" /><Relationship Id="rId20" Type="http://schemas.openxmlformats.org/officeDocument/2006/relationships/hyperlink" Target="https://www.bhf.org.uk/what-we-do" TargetMode="External" /><Relationship Id="rId29" Type="http://schemas.openxmlformats.org/officeDocument/2006/relationships/hyperlink" Target="https://www.bhf.org.uk/what-we-do"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gov.uk" TargetMode="External" /><Relationship Id="rId24" Type="http://schemas.openxmlformats.org/officeDocument/2006/relationships/hyperlink" Target="https://www.local.gov.uk/our-support/safer-and-more-sustainable-communities/health-inequalities-hub/health-inequalities" TargetMode="External" /><Relationship Id="rId32" Type="http://schemas.openxmlformats.org/officeDocument/2006/relationships/hyperlink" Target="https://www.local.gov.uk/our-support/safer-and-more-sustainable-communities/health-inequalities-hub/health-inequalities" TargetMode="External" /><Relationship Id="rId37"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gov.uk" TargetMode="External" /><Relationship Id="rId23" Type="http://schemas.openxmlformats.org/officeDocument/2006/relationships/hyperlink" Target="https://www.local.gov.uk/our-support/safer-and-more-sustainable-communities/health-inequalities-hub/health-inequalities" TargetMode="External" /><Relationship Id="rId28" Type="http://schemas.openxmlformats.org/officeDocument/2006/relationships/hyperlink" Target="https://www.local.gov.uk/our-support/safer-and-more-sustainable-communities/health-inequalities-hub/health-inequalities" TargetMode="External" /><Relationship Id="rId36" Type="http://schemas.openxmlformats.org/officeDocument/2006/relationships/fontTable" Target="fontTable.xml" /><Relationship Id="rId10" Type="http://schemas.openxmlformats.org/officeDocument/2006/relationships/image" Target="media/image4.png" /><Relationship Id="rId19" Type="http://schemas.openxmlformats.org/officeDocument/2006/relationships/hyperlink" Target="https://www.bhf.org.uk/what-we-do" TargetMode="External" /><Relationship Id="rId31" Type="http://schemas.openxmlformats.org/officeDocument/2006/relationships/hyperlink" Target="https://www.bhf.org.uk/what-we-do"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7.png" /><Relationship Id="rId22" Type="http://schemas.openxmlformats.org/officeDocument/2006/relationships/hyperlink" Target="https://www.local.gov.uk/our-support/safer-and-more-sustainable-communities/health-inequalities-hub/health-inequalities" TargetMode="External" /><Relationship Id="rId27" Type="http://schemas.openxmlformats.org/officeDocument/2006/relationships/hyperlink" Target="https://www.local.gov.uk/our-support/safer-and-more-sustainable-communities/health-inequalities-hub/health-inequalities" TargetMode="External" /><Relationship Id="rId30" Type="http://schemas.openxmlformats.org/officeDocument/2006/relationships/hyperlink" Target="https://www.bhf.org.uk/what-we-do" TargetMode="External" /><Relationship Id="rId35"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78744-0B02-4982-B3A1-DA4C9480DD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4648</Words>
  <Characters>26497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asha Chowdary</dc:creator>
  <cp:lastModifiedBy>asha Chowdary</cp:lastModifiedBy>
  <cp:revision>2</cp:revision>
  <dcterms:created xsi:type="dcterms:W3CDTF">2025-11-16T18:49:00Z</dcterms:created>
  <dcterms:modified xsi:type="dcterms:W3CDTF">2025-11-16T18:49:00Z</dcterms:modified>
</cp:coreProperties>
</file>