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70B04" w14:textId="77777777" w:rsidR="009B0B06" w:rsidRDefault="005E2BEE">
      <w:pPr>
        <w:jc w:val="left"/>
      </w:pPr>
      <w:r>
        <w:rPr>
          <w:noProof/>
        </w:rPr>
        <w:drawing>
          <wp:inline distT="0" distB="0" distL="0" distR="0" wp14:anchorId="2556E044" wp14:editId="10E6629A">
            <wp:extent cx="2926080" cy="9614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_cropped.png"/>
                    <pic:cNvPicPr/>
                  </pic:nvPicPr>
                  <pic:blipFill>
                    <a:blip r:embed="rId8"/>
                    <a:stretch>
                      <a:fillRect/>
                    </a:stretch>
                  </pic:blipFill>
                  <pic:spPr>
                    <a:xfrm>
                      <a:off x="0" y="0"/>
                      <a:ext cx="2926080" cy="961426"/>
                    </a:xfrm>
                    <a:prstGeom prst="rect">
                      <a:avLst/>
                    </a:prstGeom>
                  </pic:spPr>
                </pic:pic>
              </a:graphicData>
            </a:graphic>
          </wp:inline>
        </w:drawing>
      </w:r>
    </w:p>
    <w:p w14:paraId="08AE505A" w14:textId="77777777" w:rsidR="009B0B06" w:rsidRDefault="009B0B06"/>
    <w:p w14:paraId="224D5381" w14:textId="77777777" w:rsidR="009B0B06" w:rsidRDefault="009B0B06"/>
    <w:p w14:paraId="0B89484B" w14:textId="77777777" w:rsidR="009B0B06" w:rsidRDefault="009B0B06"/>
    <w:p w14:paraId="2CA72337" w14:textId="77777777" w:rsidR="009B0B06" w:rsidRDefault="009B0B06"/>
    <w:p w14:paraId="22FEB0C6" w14:textId="77777777" w:rsidR="009B0B06" w:rsidRDefault="009B0B06"/>
    <w:p w14:paraId="1FD073D3" w14:textId="23672188" w:rsidR="009B0B06" w:rsidRDefault="009B0B06" w:rsidP="00201B8E"/>
    <w:p w14:paraId="1AF81B9A" w14:textId="4F48EBDD" w:rsidR="009B0B06" w:rsidRDefault="009B0B06" w:rsidP="00201B8E">
      <w:pPr>
        <w:rPr>
          <w:b/>
          <w:sz w:val="36"/>
        </w:rPr>
      </w:pPr>
    </w:p>
    <w:p w14:paraId="6B4121AD" w14:textId="26454A7D" w:rsidR="001134DE" w:rsidRDefault="006066D5" w:rsidP="001134DE">
      <w:pPr>
        <w:jc w:val="center"/>
        <w:rPr>
          <w:b/>
          <w:sz w:val="36"/>
        </w:rPr>
      </w:pPr>
      <w:r>
        <w:rPr>
          <w:b/>
          <w:sz w:val="36"/>
        </w:rPr>
        <w:t>Ass</w:t>
      </w:r>
      <w:r w:rsidR="00263EE1">
        <w:rPr>
          <w:b/>
          <w:sz w:val="36"/>
        </w:rPr>
        <w:t xml:space="preserve">ignment </w:t>
      </w:r>
      <w:r w:rsidR="00B66066">
        <w:rPr>
          <w:b/>
          <w:sz w:val="36"/>
        </w:rPr>
        <w:t>Title:</w:t>
      </w:r>
      <w:r w:rsidR="003E28D4">
        <w:rPr>
          <w:b/>
          <w:sz w:val="36"/>
        </w:rPr>
        <w:t xml:space="preserve">  </w:t>
      </w:r>
      <w:r w:rsidR="00B66066">
        <w:rPr>
          <w:b/>
          <w:sz w:val="36"/>
        </w:rPr>
        <w:t xml:space="preserve"> </w:t>
      </w:r>
      <w:r w:rsidR="007D0B96">
        <w:rPr>
          <w:b/>
          <w:sz w:val="36"/>
        </w:rPr>
        <w:t>Component 1</w:t>
      </w:r>
      <w:r w:rsidR="008717EA">
        <w:rPr>
          <w:b/>
          <w:sz w:val="36"/>
        </w:rPr>
        <w:t xml:space="preserve"> Online P</w:t>
      </w:r>
      <w:r w:rsidR="00C54DAC">
        <w:rPr>
          <w:b/>
          <w:sz w:val="36"/>
        </w:rPr>
        <w:t>ort</w:t>
      </w:r>
      <w:r w:rsidR="00B66066">
        <w:rPr>
          <w:b/>
          <w:sz w:val="36"/>
        </w:rPr>
        <w:t>folio</w:t>
      </w:r>
    </w:p>
    <w:p w14:paraId="59B4D2A6" w14:textId="6B180EF5" w:rsidR="0088289A" w:rsidRDefault="007D0B96" w:rsidP="007D0B96">
      <w:pPr>
        <w:rPr>
          <w:b/>
          <w:sz w:val="36"/>
        </w:rPr>
      </w:pPr>
      <w:r>
        <w:rPr>
          <w:b/>
          <w:sz w:val="36"/>
        </w:rPr>
        <w:t xml:space="preserve">    </w:t>
      </w:r>
      <w:r w:rsidR="00C31EB0">
        <w:rPr>
          <w:b/>
          <w:sz w:val="36"/>
        </w:rPr>
        <w:t xml:space="preserve">Module </w:t>
      </w:r>
      <w:r w:rsidR="003D21D3">
        <w:rPr>
          <w:b/>
          <w:sz w:val="36"/>
        </w:rPr>
        <w:t>Code:</w:t>
      </w:r>
      <w:r w:rsidR="0045475B">
        <w:rPr>
          <w:b/>
          <w:sz w:val="36"/>
        </w:rPr>
        <w:t xml:space="preserve">      </w:t>
      </w:r>
      <w:r w:rsidR="003D21D3">
        <w:rPr>
          <w:b/>
          <w:sz w:val="36"/>
        </w:rPr>
        <w:t xml:space="preserve"> </w:t>
      </w:r>
      <w:r w:rsidR="003E28D4">
        <w:rPr>
          <w:b/>
          <w:sz w:val="36"/>
        </w:rPr>
        <w:t xml:space="preserve">  </w:t>
      </w:r>
      <w:r w:rsidR="003D21D3">
        <w:rPr>
          <w:b/>
          <w:sz w:val="36"/>
        </w:rPr>
        <w:t>BMHP5015</w:t>
      </w:r>
    </w:p>
    <w:p w14:paraId="134AD0CB" w14:textId="31C98742" w:rsidR="00817BA8" w:rsidRDefault="00CB2DDA" w:rsidP="00CB2DDA">
      <w:pPr>
        <w:rPr>
          <w:b/>
          <w:sz w:val="36"/>
        </w:rPr>
      </w:pPr>
      <w:r>
        <w:rPr>
          <w:b/>
          <w:sz w:val="36"/>
        </w:rPr>
        <w:t xml:space="preserve">   </w:t>
      </w:r>
      <w:r w:rsidR="00817BA8">
        <w:rPr>
          <w:b/>
          <w:sz w:val="36"/>
        </w:rPr>
        <w:t xml:space="preserve">Student </w:t>
      </w:r>
      <w:r w:rsidR="00201B8E">
        <w:rPr>
          <w:b/>
          <w:sz w:val="36"/>
        </w:rPr>
        <w:t>Name:</w:t>
      </w:r>
      <w:r w:rsidR="0025032F">
        <w:rPr>
          <w:b/>
          <w:sz w:val="36"/>
        </w:rPr>
        <w:t xml:space="preserve">        </w:t>
      </w:r>
      <w:r w:rsidR="00201B8E">
        <w:rPr>
          <w:b/>
          <w:sz w:val="36"/>
        </w:rPr>
        <w:t xml:space="preserve"> Patricia </w:t>
      </w:r>
      <w:r w:rsidR="00BC27B0">
        <w:rPr>
          <w:b/>
          <w:sz w:val="36"/>
        </w:rPr>
        <w:t>Anucha</w:t>
      </w:r>
    </w:p>
    <w:p w14:paraId="173BAD87" w14:textId="4D781CBB" w:rsidR="00BC27B0" w:rsidRDefault="00CB2DDA" w:rsidP="00CB2DDA">
      <w:pPr>
        <w:rPr>
          <w:b/>
          <w:sz w:val="36"/>
        </w:rPr>
      </w:pPr>
      <w:r>
        <w:rPr>
          <w:b/>
          <w:sz w:val="36"/>
        </w:rPr>
        <w:t xml:space="preserve">   Student ID</w:t>
      </w:r>
      <w:r w:rsidR="003E28D4">
        <w:rPr>
          <w:b/>
          <w:sz w:val="36"/>
        </w:rPr>
        <w:t xml:space="preserve">:                </w:t>
      </w:r>
      <w:r w:rsidR="0025032F">
        <w:rPr>
          <w:b/>
          <w:sz w:val="36"/>
        </w:rPr>
        <w:t>2412552</w:t>
      </w:r>
    </w:p>
    <w:p w14:paraId="6356FDF7" w14:textId="0B1EF8D2" w:rsidR="00DA3948" w:rsidRDefault="00CB2DDA" w:rsidP="00CB2DDA">
      <w:pPr>
        <w:rPr>
          <w:b/>
          <w:sz w:val="36"/>
        </w:rPr>
      </w:pPr>
      <w:r>
        <w:rPr>
          <w:b/>
          <w:sz w:val="36"/>
        </w:rPr>
        <w:t xml:space="preserve">  </w:t>
      </w:r>
      <w:r w:rsidR="001628F0">
        <w:rPr>
          <w:b/>
          <w:sz w:val="36"/>
        </w:rPr>
        <w:t xml:space="preserve">Lecturer </w:t>
      </w:r>
      <w:r w:rsidR="0047661F">
        <w:rPr>
          <w:b/>
          <w:sz w:val="36"/>
        </w:rPr>
        <w:t>Name</w:t>
      </w:r>
      <w:r w:rsidR="00B66066">
        <w:rPr>
          <w:b/>
          <w:sz w:val="36"/>
        </w:rPr>
        <w:t xml:space="preserve">: </w:t>
      </w:r>
      <w:r>
        <w:rPr>
          <w:b/>
          <w:sz w:val="36"/>
        </w:rPr>
        <w:t xml:space="preserve">      </w:t>
      </w:r>
      <w:r w:rsidR="003E28D4">
        <w:rPr>
          <w:b/>
          <w:sz w:val="36"/>
        </w:rPr>
        <w:t xml:space="preserve"> </w:t>
      </w:r>
      <w:r w:rsidR="001628F0">
        <w:rPr>
          <w:b/>
          <w:sz w:val="36"/>
        </w:rPr>
        <w:t>C</w:t>
      </w:r>
      <w:r w:rsidR="001D122E">
        <w:rPr>
          <w:b/>
          <w:sz w:val="36"/>
        </w:rPr>
        <w:t>aroline Salami</w:t>
      </w:r>
    </w:p>
    <w:p w14:paraId="0641CC0F" w14:textId="77777777" w:rsidR="0088289A" w:rsidRDefault="0088289A" w:rsidP="001134DE">
      <w:pPr>
        <w:jc w:val="center"/>
        <w:rPr>
          <w:b/>
          <w:sz w:val="36"/>
        </w:rPr>
      </w:pPr>
    </w:p>
    <w:p w14:paraId="57D27726" w14:textId="77777777" w:rsidR="0088289A" w:rsidRDefault="0088289A" w:rsidP="001134DE">
      <w:pPr>
        <w:jc w:val="center"/>
        <w:rPr>
          <w:b/>
          <w:sz w:val="36"/>
        </w:rPr>
      </w:pPr>
    </w:p>
    <w:p w14:paraId="2586284C" w14:textId="77777777" w:rsidR="003A6890" w:rsidRDefault="003A6890" w:rsidP="001134DE">
      <w:pPr>
        <w:jc w:val="center"/>
        <w:rPr>
          <w:b/>
          <w:sz w:val="36"/>
        </w:rPr>
      </w:pPr>
    </w:p>
    <w:p w14:paraId="27FDDC33" w14:textId="77777777" w:rsidR="001134DE" w:rsidRDefault="001134DE" w:rsidP="001134DE">
      <w:pPr>
        <w:jc w:val="center"/>
        <w:rPr>
          <w:b/>
          <w:sz w:val="36"/>
        </w:rPr>
      </w:pPr>
    </w:p>
    <w:p w14:paraId="546B4AF3" w14:textId="77777777" w:rsidR="00643EBA" w:rsidRDefault="00643EBA" w:rsidP="001F12E1">
      <w:pPr>
        <w:jc w:val="center"/>
        <w:rPr>
          <w:b/>
          <w:sz w:val="36"/>
        </w:rPr>
      </w:pPr>
    </w:p>
    <w:p w14:paraId="3A20906A" w14:textId="2FB52C25" w:rsidR="00051D08" w:rsidRDefault="003D05ED" w:rsidP="001F12E1">
      <w:pPr>
        <w:jc w:val="center"/>
        <w:rPr>
          <w:b/>
          <w:sz w:val="36"/>
        </w:rPr>
      </w:pPr>
      <w:r>
        <w:rPr>
          <w:b/>
          <w:sz w:val="36"/>
        </w:rPr>
        <w:lastRenderedPageBreak/>
        <w:t xml:space="preserve">                   </w:t>
      </w:r>
    </w:p>
    <w:p w14:paraId="65239397" w14:textId="72252FF8" w:rsidR="009B0B06" w:rsidRDefault="005E2BEE" w:rsidP="001B6AEF">
      <w:r>
        <w:t>Table of Contents</w:t>
      </w:r>
    </w:p>
    <w:p w14:paraId="20E1E3F2" w14:textId="77777777" w:rsidR="009B0B06" w:rsidRDefault="005E2BEE">
      <w:pPr>
        <w:tabs>
          <w:tab w:val="right" w:leader="dot" w:pos="9000"/>
        </w:tabs>
        <w:spacing w:after="100"/>
      </w:pPr>
      <w:r>
        <w:t>Introduction</w:t>
      </w:r>
      <w:r>
        <w:tab/>
        <w:t>3</w:t>
      </w:r>
    </w:p>
    <w:p w14:paraId="14F27776" w14:textId="77777777" w:rsidR="009B0B06" w:rsidRDefault="005E2BEE">
      <w:pPr>
        <w:tabs>
          <w:tab w:val="right" w:leader="dot" w:pos="9000"/>
        </w:tabs>
        <w:spacing w:after="100"/>
      </w:pPr>
      <w:r>
        <w:t>Task 1 – Reflection on Unit 1: Brand You</w:t>
      </w:r>
      <w:r>
        <w:tab/>
        <w:t>4</w:t>
      </w:r>
    </w:p>
    <w:p w14:paraId="34DD945A" w14:textId="77777777" w:rsidR="009B0B06" w:rsidRDefault="005E2BEE">
      <w:pPr>
        <w:tabs>
          <w:tab w:val="right" w:leader="dot" w:pos="9000"/>
        </w:tabs>
        <w:spacing w:after="100"/>
      </w:pPr>
      <w:r>
        <w:t>Task 2 – Reflection on Unit 2: It’s a Small World</w:t>
      </w:r>
      <w:r>
        <w:tab/>
        <w:t>6</w:t>
      </w:r>
    </w:p>
    <w:p w14:paraId="33911A29" w14:textId="77777777" w:rsidR="009B0B06" w:rsidRDefault="005E2BEE">
      <w:pPr>
        <w:tabs>
          <w:tab w:val="right" w:leader="dot" w:pos="9000"/>
        </w:tabs>
        <w:spacing w:after="100"/>
      </w:pPr>
      <w:r>
        <w:t>Task 3 – Reflection on Unit 3: Opportunity Knocks</w:t>
      </w:r>
      <w:r>
        <w:tab/>
        <w:t>8</w:t>
      </w:r>
    </w:p>
    <w:p w14:paraId="60A56C16" w14:textId="77777777" w:rsidR="009B0B06" w:rsidRDefault="005E2BEE">
      <w:pPr>
        <w:tabs>
          <w:tab w:val="right" w:leader="dot" w:pos="9000"/>
        </w:tabs>
        <w:spacing w:after="100"/>
      </w:pPr>
      <w:r>
        <w:t>Task 4 – Reflection on Unit 4: The Pursuit of Happiness</w:t>
      </w:r>
      <w:r>
        <w:tab/>
        <w:t>10</w:t>
      </w:r>
    </w:p>
    <w:p w14:paraId="453075FD" w14:textId="77777777" w:rsidR="009B0B06" w:rsidRDefault="005E2BEE">
      <w:pPr>
        <w:tabs>
          <w:tab w:val="right" w:leader="dot" w:pos="9000"/>
        </w:tabs>
        <w:spacing w:after="100"/>
      </w:pPr>
      <w:r>
        <w:t>Conclusion</w:t>
      </w:r>
      <w:r>
        <w:tab/>
        <w:t>12</w:t>
      </w:r>
    </w:p>
    <w:p w14:paraId="6F2B3742" w14:textId="77777777" w:rsidR="009B0B06" w:rsidRDefault="005E2BEE">
      <w:pPr>
        <w:tabs>
          <w:tab w:val="right" w:leader="dot" w:pos="9000"/>
        </w:tabs>
        <w:spacing w:after="100"/>
      </w:pPr>
      <w:r>
        <w:t>References</w:t>
      </w:r>
      <w:r>
        <w:tab/>
        <w:t>13</w:t>
      </w:r>
    </w:p>
    <w:p w14:paraId="67F3E2B3" w14:textId="77777777" w:rsidR="009B0B06" w:rsidRDefault="005E2BEE">
      <w:r>
        <w:br w:type="page"/>
      </w:r>
    </w:p>
    <w:p w14:paraId="124CD375" w14:textId="181F67BA" w:rsidR="009B0B06" w:rsidRDefault="005E2BEE" w:rsidP="003E2BA1">
      <w:pPr>
        <w:pStyle w:val="Heading1"/>
        <w:jc w:val="left"/>
      </w:pPr>
      <w:r>
        <w:lastRenderedPageBreak/>
        <w:t>Introduction</w:t>
      </w:r>
    </w:p>
    <w:p w14:paraId="2858EE98" w14:textId="7E9EBE65" w:rsidR="009B0B06" w:rsidRDefault="00AE4018" w:rsidP="003E2BA1">
      <w:r w:rsidRPr="00AE4018">
        <w:t xml:space="preserve">This reflective portfolio examines four learning themes within Assessment Component 1. The themes are Brand You, It's a Small World, Opportunity Knocks and The Pursuit of Happiness. The portfolio is a description of what I learned and how the different units affected my thinking. It also reflects on the application of this learning in health and social care. My reflection uses the academic and professional sources included in the original portfolio. Professional identity, communication, global connections, creativity, leadership and wellbeing are explored. I have incorporated practical examples, as ideas should enhance the care experience. There is also space in each unit for screen shots of </w:t>
      </w:r>
      <w:proofErr w:type="gramStart"/>
      <w:r w:rsidRPr="00AE4018">
        <w:t>the online</w:t>
      </w:r>
      <w:proofErr w:type="gramEnd"/>
      <w:r w:rsidRPr="00AE4018">
        <w:t xml:space="preserve"> activities. Before submission these screenshots should be replaced by the learner's own evidence. The portfolio gradually shifts to explaining concepts to examining strengths and weaknesses. This process gave me some ideas of practical steps to take for ongoing professional learning. Professional development is always interwoven with safe and respectful care.</w:t>
      </w:r>
    </w:p>
    <w:p w14:paraId="76C614CF" w14:textId="77777777" w:rsidR="009B0B06" w:rsidRDefault="005E2BEE" w:rsidP="003E2BA1">
      <w:r>
        <w:br w:type="page"/>
      </w:r>
    </w:p>
    <w:p w14:paraId="28193001" w14:textId="26245042" w:rsidR="009B0B06" w:rsidRDefault="005E2BEE" w:rsidP="003E2BA1">
      <w:pPr>
        <w:pStyle w:val="Heading1"/>
        <w:jc w:val="left"/>
      </w:pPr>
      <w:r>
        <w:lastRenderedPageBreak/>
        <w:t>Task 1 Unit 1: Brand You</w:t>
      </w:r>
    </w:p>
    <w:p w14:paraId="3FA9747B" w14:textId="56E0B9F2" w:rsidR="005D2975" w:rsidRPr="005D2975" w:rsidRDefault="005D2975" w:rsidP="003E2BA1">
      <w:pPr>
        <w:rPr>
          <w:lang w:val="en-GB"/>
        </w:rPr>
      </w:pPr>
      <w:r w:rsidRPr="005D2975">
        <w:rPr>
          <w:lang w:val="en-GB"/>
        </w:rPr>
        <w:t xml:space="preserve">Unit 1, Brand You, made me think about the emerging professional image I'm creating. Self-awareness in personal and professional relationships was the first salient idea. A personal brand is more than qualifications, logos, and social-media profiles. It is developed by the regular messages provided by everyday words and actions. Reflective practice enabled me to make an analysis of my intended image and my behaviour. Gibbs' reflective cycle is used for evaluation and planned improvement following experience (Gibbs, 1988). I </w:t>
      </w:r>
      <w:r w:rsidR="00AE5892">
        <w:rPr>
          <w:lang w:val="en-GB"/>
        </w:rPr>
        <w:t>desire</w:t>
      </w:r>
      <w:r w:rsidRPr="005D2975">
        <w:rPr>
          <w:lang w:val="en-GB"/>
        </w:rPr>
        <w:t xml:space="preserve"> that people know me as dependable and caring to them. I also want them to see my organisation and my desire to learn. I do tend to be quiet when there's doubt in a group discussion.</w:t>
      </w:r>
    </w:p>
    <w:p w14:paraId="62E65DFC" w14:textId="353A6D81" w:rsidR="005D2975" w:rsidRPr="005D2975" w:rsidRDefault="005D2975" w:rsidP="003E2BA1">
      <w:pPr>
        <w:rPr>
          <w:lang w:val="en-GB"/>
        </w:rPr>
      </w:pPr>
      <w:r w:rsidRPr="550821B5">
        <w:rPr>
          <w:lang w:val="en-GB"/>
        </w:rPr>
        <w:t xml:space="preserve">The second idea was to establish a career </w:t>
      </w:r>
      <w:r w:rsidR="00AE5892">
        <w:rPr>
          <w:lang w:val="en-GB"/>
        </w:rPr>
        <w:t>with</w:t>
      </w:r>
      <w:r w:rsidRPr="550821B5">
        <w:rPr>
          <w:lang w:val="en-GB"/>
        </w:rPr>
        <w:t xml:space="preserve"> clear personal values. </w:t>
      </w:r>
      <w:r w:rsidR="4B560B0B" w:rsidRPr="550821B5">
        <w:rPr>
          <w:lang w:val="en-GB"/>
        </w:rPr>
        <w:t>So,</w:t>
      </w:r>
      <w:r w:rsidRPr="550821B5">
        <w:rPr>
          <w:lang w:val="en-GB"/>
        </w:rPr>
        <w:t xml:space="preserve"> a reputable personal brand requires being ethical, respectful and responsible. Compassion, curiosity and collaboration are deemed as important behaviours by the NHS Leadership Academy (NHS Leadership Academy, n.d.). The CQC also links inclusive leadership with staff wellbeing and effective care (CQC, 2024). I found out that one's professional identity should be thought through in terms of their actions and not through self-promotion. Listening, fairness, respect and responsibility should be reflected in my behaviour in daily practice. Transformational leadership also fosters a sense of shared purpose, support, and positive motivation (Bass and Avolio, 1994). I can help build my professional brand by helping colleagues in tough situations.</w:t>
      </w:r>
    </w:p>
    <w:p w14:paraId="3A43F414" w14:textId="291F4DE8" w:rsidR="009B0B06" w:rsidRPr="005D2975" w:rsidRDefault="005D2975" w:rsidP="003E2BA1">
      <w:pPr>
        <w:rPr>
          <w:lang w:val="en-GB"/>
        </w:rPr>
      </w:pPr>
      <w:r w:rsidRPr="005D2975">
        <w:rPr>
          <w:lang w:val="en-GB"/>
        </w:rPr>
        <w:t xml:space="preserve">The third idea was to make it clear, honest and consistent to express personal strengths. Amabile's componential theory relates creativity to knowledge, motivation and creative thinking (Amabile, 2012). I found this theory very useful to identify creativity as one of my emerging strengths. I routinely structure ideas and propose feasible solutions in group activities. But a legitimate professional profile should acknowledge real needs for growth. The values displayed in my online profile, application documents and in the workplace should be consistent. The online activities assisted me to reflect on my strengths and plan my envisioned identity. I will regularly check my professional profile after this unit. I will actively ask for constructive feedback from colleagues, tutors and work supervisors. Specific examples will be used to illustrate my skills and achievements as well. This can help to support a 'real' identity in person-centred care. The other important lesson I learned from the unit is that authenticity is crucial to building trust within the professional circle. </w:t>
      </w:r>
    </w:p>
    <w:p w14:paraId="5DE22308" w14:textId="77777777" w:rsidR="00460422" w:rsidRDefault="00460422" w:rsidP="003E2BA1">
      <w:pPr>
        <w:rPr>
          <w:b/>
          <w:bCs/>
          <w:sz w:val="20"/>
          <w:szCs w:val="20"/>
        </w:rPr>
      </w:pPr>
    </w:p>
    <w:p w14:paraId="0F26A308" w14:textId="77777777" w:rsidR="00B71590" w:rsidRDefault="00B71590" w:rsidP="003E2BA1">
      <w:pPr>
        <w:jc w:val="center"/>
        <w:rPr>
          <w:b/>
          <w:bCs/>
          <w:sz w:val="20"/>
          <w:szCs w:val="20"/>
        </w:rPr>
      </w:pPr>
    </w:p>
    <w:p w14:paraId="0574D421" w14:textId="6AF33434" w:rsidR="00287833" w:rsidRDefault="00287833" w:rsidP="003E2BA1">
      <w:pPr>
        <w:jc w:val="center"/>
        <w:rPr>
          <w:b/>
          <w:bCs/>
          <w:sz w:val="20"/>
          <w:szCs w:val="20"/>
        </w:rPr>
      </w:pPr>
      <w:r>
        <w:rPr>
          <w:b/>
          <w:bCs/>
          <w:sz w:val="20"/>
          <w:szCs w:val="20"/>
        </w:rPr>
        <w:t xml:space="preserve">                                          </w:t>
      </w:r>
    </w:p>
    <w:p w14:paraId="4E2FCC38" w14:textId="1ABA6D71" w:rsidR="00BD7886" w:rsidRDefault="00BD7886" w:rsidP="003E2BA1">
      <w:pPr>
        <w:jc w:val="center"/>
        <w:rPr>
          <w:b/>
          <w:bCs/>
          <w:sz w:val="20"/>
          <w:szCs w:val="20"/>
        </w:rPr>
      </w:pPr>
      <w:r w:rsidRPr="550821B5">
        <w:rPr>
          <w:b/>
          <w:bCs/>
          <w:sz w:val="20"/>
          <w:szCs w:val="20"/>
        </w:rPr>
        <w:lastRenderedPageBreak/>
        <w:t>Screenshot 1: Unit 1 online activity evidence</w:t>
      </w:r>
    </w:p>
    <w:p w14:paraId="6E8773E7" w14:textId="74613D70" w:rsidR="00BD7886" w:rsidRPr="00BD7886" w:rsidRDefault="00BD7886" w:rsidP="003E2BA1">
      <w:pPr>
        <w:jc w:val="center"/>
        <w:rPr>
          <w:lang w:val="en-GB"/>
        </w:rPr>
      </w:pPr>
      <w:r w:rsidRPr="00BD7886">
        <w:rPr>
          <w:noProof/>
          <w:lang w:val="en-GB"/>
        </w:rPr>
        <w:drawing>
          <wp:inline distT="0" distB="0" distL="0" distR="0" wp14:anchorId="52F07A0F" wp14:editId="383C1793">
            <wp:extent cx="5731510" cy="2847975"/>
            <wp:effectExtent l="0" t="0" r="2540" b="9525"/>
            <wp:docPr id="5325135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47975"/>
                    </a:xfrm>
                    <a:prstGeom prst="rect">
                      <a:avLst/>
                    </a:prstGeom>
                    <a:noFill/>
                    <a:ln>
                      <a:noFill/>
                    </a:ln>
                  </pic:spPr>
                </pic:pic>
              </a:graphicData>
            </a:graphic>
          </wp:inline>
        </w:drawing>
      </w:r>
    </w:p>
    <w:p w14:paraId="2B1C11E9" w14:textId="77777777" w:rsidR="00BD7886" w:rsidRDefault="00BD7886" w:rsidP="003E2BA1">
      <w:pPr>
        <w:jc w:val="center"/>
      </w:pPr>
    </w:p>
    <w:p w14:paraId="0A1C3247" w14:textId="6DFABC7E" w:rsidR="00287833" w:rsidRDefault="00287833" w:rsidP="003E2BA1"/>
    <w:p w14:paraId="343FE443" w14:textId="77777777" w:rsidR="003E2BA1" w:rsidRDefault="003E2BA1" w:rsidP="003E2BA1"/>
    <w:p w14:paraId="217BFF45" w14:textId="77777777" w:rsidR="003E2BA1" w:rsidRDefault="003E2BA1" w:rsidP="003E2BA1"/>
    <w:p w14:paraId="780457DA" w14:textId="77777777" w:rsidR="003E2BA1" w:rsidRDefault="003E2BA1" w:rsidP="003E2BA1"/>
    <w:p w14:paraId="16E17509" w14:textId="77777777" w:rsidR="003E2BA1" w:rsidRDefault="003E2BA1" w:rsidP="003E2BA1"/>
    <w:p w14:paraId="39EA9023" w14:textId="77777777" w:rsidR="003E2BA1" w:rsidRDefault="003E2BA1" w:rsidP="003E2BA1"/>
    <w:p w14:paraId="35F67ECD" w14:textId="77777777" w:rsidR="003E2BA1" w:rsidRDefault="003E2BA1" w:rsidP="003E2BA1"/>
    <w:p w14:paraId="10EC19F8" w14:textId="6F514D43" w:rsidR="2601DECB" w:rsidRDefault="2601DECB" w:rsidP="003E2BA1">
      <w:pPr>
        <w:jc w:val="center"/>
      </w:pPr>
      <w:r>
        <w:rPr>
          <w:noProof/>
        </w:rPr>
        <w:lastRenderedPageBreak/>
        <w:drawing>
          <wp:inline distT="0" distB="0" distL="0" distR="0" wp14:anchorId="57A3E284" wp14:editId="743CD36C">
            <wp:extent cx="5724525" cy="2924175"/>
            <wp:effectExtent l="0" t="0" r="0" b="0"/>
            <wp:docPr id="9921562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156246" name="Picture 992156246"/>
                    <pic:cNvPicPr/>
                  </pic:nvPicPr>
                  <pic:blipFill>
                    <a:blip r:embed="rId10">
                      <a:extLst>
                        <a:ext uri="{28A0092B-C50C-407E-A947-70E740481C1C}">
                          <a14:useLocalDpi xmlns:a14="http://schemas.microsoft.com/office/drawing/2010/main"/>
                        </a:ext>
                      </a:extLst>
                    </a:blip>
                    <a:stretch>
                      <a:fillRect/>
                    </a:stretch>
                  </pic:blipFill>
                  <pic:spPr>
                    <a:xfrm>
                      <a:off x="0" y="0"/>
                      <a:ext cx="5724525" cy="2924175"/>
                    </a:xfrm>
                    <a:prstGeom prst="rect">
                      <a:avLst/>
                    </a:prstGeom>
                  </pic:spPr>
                </pic:pic>
              </a:graphicData>
            </a:graphic>
          </wp:inline>
        </w:drawing>
      </w:r>
    </w:p>
    <w:p w14:paraId="63A53305" w14:textId="77777777" w:rsidR="009B0B06" w:rsidRDefault="005E2BEE" w:rsidP="003E2BA1">
      <w:r>
        <w:br w:type="page"/>
      </w:r>
    </w:p>
    <w:p w14:paraId="53A32BBE" w14:textId="42B6AC1E" w:rsidR="009B0B06" w:rsidRDefault="005E2BEE" w:rsidP="003E2BA1">
      <w:pPr>
        <w:pStyle w:val="Heading1"/>
        <w:jc w:val="left"/>
      </w:pPr>
      <w:r>
        <w:lastRenderedPageBreak/>
        <w:t>Task 2 – Reflection on Unit 2: It’s a Small World</w:t>
      </w:r>
    </w:p>
    <w:p w14:paraId="35AE5648" w14:textId="0D34B65B" w:rsidR="00BC19B5" w:rsidRPr="00BC19B5" w:rsidRDefault="00BC19B5" w:rsidP="003E2BA1">
      <w:pPr>
        <w:rPr>
          <w:lang w:val="en-GB"/>
        </w:rPr>
      </w:pPr>
      <w:r w:rsidRPr="550821B5">
        <w:rPr>
          <w:lang w:val="en-GB"/>
        </w:rPr>
        <w:t xml:space="preserve">Unit 2, It's a Small World, broadened my knowledge of interconnected care systems. First, consideration of interdependence across services, communities and countries was an important topic. Meadows (2008) used systems thinking to describe how problems can occur from </w:t>
      </w:r>
      <w:r w:rsidR="2B0F0750" w:rsidRPr="550821B5">
        <w:rPr>
          <w:lang w:val="en-GB"/>
        </w:rPr>
        <w:t>several</w:t>
      </w:r>
      <w:r w:rsidRPr="550821B5">
        <w:rPr>
          <w:lang w:val="en-GB"/>
        </w:rPr>
        <w:t xml:space="preserve"> interrelated causes. This changed my way of thinking about a lack of communication between care teams. Having to use separate systems, </w:t>
      </w:r>
      <w:r w:rsidR="006B2BBD">
        <w:rPr>
          <w:lang w:val="en-GB"/>
        </w:rPr>
        <w:t xml:space="preserve">a lack of staff, and an </w:t>
      </w:r>
      <w:r w:rsidRPr="550821B5">
        <w:rPr>
          <w:lang w:val="en-GB"/>
        </w:rPr>
        <w:t>ambiguous handover can seem like a local issue. These, however, frequently permeate hospitals, families and community services. Services users may then receive a delayed response to their needs, redo assessments, and/or make unsafe choices. The mind mapping activity linked causes, consequences, affected groups and possible solutions. This visual activity gave me a good perspective on the communication as a bigger systems problem.</w:t>
      </w:r>
    </w:p>
    <w:p w14:paraId="7C30D435" w14:textId="04500D18" w:rsidR="00BC19B5" w:rsidRPr="00BC19B5" w:rsidRDefault="00BC19B5" w:rsidP="003E2BA1">
      <w:pPr>
        <w:rPr>
          <w:lang w:val="en-GB"/>
        </w:rPr>
      </w:pPr>
      <w:r w:rsidRPr="550821B5">
        <w:rPr>
          <w:lang w:val="en-GB"/>
        </w:rPr>
        <w:t xml:space="preserve">The second subject was digital connectivity in the modern health and social care. EHRs can offer uniform data on medication and care plans. NHS England </w:t>
      </w:r>
      <w:r w:rsidR="006B2BBD">
        <w:rPr>
          <w:lang w:val="en-GB"/>
        </w:rPr>
        <w:t>states that general practice records are used to support</w:t>
      </w:r>
      <w:r w:rsidRPr="550821B5">
        <w:rPr>
          <w:lang w:val="en-GB"/>
        </w:rPr>
        <w:t xml:space="preserve"> broader digital care goals (NHS England, 2025). But it requires assured communication between various information systems for digital value. According to Hoghton et al. (2023), interoperability is a constant problem in care services. They discovered that without people helping them with technology, there can be no connection. There is also a need for the appropriate training, guidance and confidence of staff. Examples of digital connection include wearable </w:t>
      </w:r>
      <w:r w:rsidR="120387B9" w:rsidRPr="550821B5">
        <w:rPr>
          <w:lang w:val="en-GB"/>
        </w:rPr>
        <w:t>technologies,</w:t>
      </w:r>
      <w:r w:rsidRPr="550821B5">
        <w:rPr>
          <w:lang w:val="en-GB"/>
        </w:rPr>
        <w:t xml:space="preserve"> and the NHS app. Adepoju et al. (2024) recognise benefits for self-monitoring and personalised care. They also raise issues related to privacy, accuracy, and data utilisation.</w:t>
      </w:r>
    </w:p>
    <w:p w14:paraId="4CAB3EB0" w14:textId="7DFC190E" w:rsidR="009B0B06" w:rsidRDefault="00BC19B5" w:rsidP="003E2BA1">
      <w:pPr>
        <w:rPr>
          <w:lang w:val="en-GB"/>
        </w:rPr>
      </w:pPr>
      <w:r w:rsidRPr="550821B5">
        <w:rPr>
          <w:lang w:val="en-GB"/>
        </w:rPr>
        <w:t xml:space="preserve">The unit also made me more aware of disparities in global digital relationships. Yang et al. (2025) link technology acceptance with usefulness and ease. Social influence can also impact older adults' engagement, their findings reveal. Digital services can enhance the possibilities for those with appropriate means and confidence. They can, however, leave out individuals who don't have a smartphone, internet, or digital abilities. The unit had a significant impact on me in terms of respecting difference and understanding that connecting with the world is not an equal opportunity. They need to </w:t>
      </w:r>
      <w:r w:rsidR="482048AE" w:rsidRPr="550821B5">
        <w:rPr>
          <w:lang w:val="en-GB"/>
        </w:rPr>
        <w:t>consider</w:t>
      </w:r>
      <w:r w:rsidRPr="550821B5">
        <w:rPr>
          <w:lang w:val="en-GB"/>
        </w:rPr>
        <w:t xml:space="preserve"> cultural sensitivity, effective communication, and non-digital solutions. My use of the Internet enabled me to see services as components of a system. Future decisions should take account of implications for communities, colleagues, families and service users. I will challenge effective solutions that do not include vulnerable populations. I will also explore if technological changes </w:t>
      </w:r>
      <w:r w:rsidR="7C0A0842" w:rsidRPr="550821B5">
        <w:rPr>
          <w:lang w:val="en-GB"/>
        </w:rPr>
        <w:t>influence</w:t>
      </w:r>
      <w:r w:rsidRPr="550821B5">
        <w:rPr>
          <w:lang w:val="en-GB"/>
        </w:rPr>
        <w:t xml:space="preserve"> access for different users.</w:t>
      </w:r>
    </w:p>
    <w:p w14:paraId="71DCAA20" w14:textId="2B8C56C6" w:rsidR="006D29C6" w:rsidRPr="006D29C6" w:rsidRDefault="006D29C6" w:rsidP="003E2BA1">
      <w:pPr>
        <w:rPr>
          <w:lang w:val="en-GB"/>
        </w:rPr>
      </w:pPr>
      <w:r w:rsidRPr="006D29C6">
        <w:rPr>
          <w:noProof/>
          <w:lang w:val="en-GB"/>
        </w:rPr>
        <w:lastRenderedPageBreak/>
        <w:drawing>
          <wp:inline distT="0" distB="0" distL="0" distR="0" wp14:anchorId="03AF29A1" wp14:editId="0AE26D6B">
            <wp:extent cx="5731510" cy="2927350"/>
            <wp:effectExtent l="0" t="0" r="2540" b="6350"/>
            <wp:docPr id="9710792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27350"/>
                    </a:xfrm>
                    <a:prstGeom prst="rect">
                      <a:avLst/>
                    </a:prstGeom>
                    <a:noFill/>
                    <a:ln>
                      <a:noFill/>
                    </a:ln>
                  </pic:spPr>
                </pic:pic>
              </a:graphicData>
            </a:graphic>
          </wp:inline>
        </w:drawing>
      </w:r>
    </w:p>
    <w:p w14:paraId="022C3AF1" w14:textId="77777777" w:rsidR="006D29C6" w:rsidRPr="00BC19B5" w:rsidRDefault="006D29C6" w:rsidP="003E2BA1"/>
    <w:p w14:paraId="48E264C1" w14:textId="1D65E9F5" w:rsidR="550821B5" w:rsidRDefault="550821B5" w:rsidP="003E2BA1">
      <w:pPr>
        <w:rPr>
          <w:lang w:val="en-GB"/>
        </w:rPr>
      </w:pPr>
    </w:p>
    <w:p w14:paraId="688810B8" w14:textId="5E508743" w:rsidR="550821B5" w:rsidRDefault="550821B5" w:rsidP="003E2BA1">
      <w:pPr>
        <w:rPr>
          <w:lang w:val="en-GB"/>
        </w:rPr>
      </w:pPr>
    </w:p>
    <w:p w14:paraId="33BDBFFD" w14:textId="753C6BA7" w:rsidR="550821B5" w:rsidRDefault="550821B5" w:rsidP="003E2BA1">
      <w:pPr>
        <w:rPr>
          <w:lang w:val="en-GB"/>
        </w:rPr>
      </w:pPr>
    </w:p>
    <w:p w14:paraId="488AD957" w14:textId="5CC27D96" w:rsidR="550821B5" w:rsidRDefault="550821B5" w:rsidP="003E2BA1">
      <w:pPr>
        <w:rPr>
          <w:lang w:val="en-GB"/>
        </w:rPr>
      </w:pPr>
    </w:p>
    <w:p w14:paraId="41248655" w14:textId="23BDA8EF" w:rsidR="550821B5" w:rsidRDefault="550821B5" w:rsidP="003E2BA1">
      <w:pPr>
        <w:rPr>
          <w:lang w:val="en-GB"/>
        </w:rPr>
      </w:pPr>
    </w:p>
    <w:p w14:paraId="28041E08" w14:textId="2724E978" w:rsidR="550821B5" w:rsidRDefault="550821B5" w:rsidP="003E2BA1">
      <w:pPr>
        <w:rPr>
          <w:lang w:val="en-GB"/>
        </w:rPr>
      </w:pPr>
    </w:p>
    <w:p w14:paraId="4EB5942F" w14:textId="0EF16A83" w:rsidR="550821B5" w:rsidRDefault="550821B5" w:rsidP="003E2BA1">
      <w:pPr>
        <w:rPr>
          <w:lang w:val="en-GB"/>
        </w:rPr>
      </w:pPr>
    </w:p>
    <w:p w14:paraId="73BCA502" w14:textId="77777777" w:rsidR="006D29C6" w:rsidRDefault="006D29C6" w:rsidP="003E2BA1">
      <w:pPr>
        <w:rPr>
          <w:lang w:val="en-GB"/>
        </w:rPr>
      </w:pPr>
    </w:p>
    <w:p w14:paraId="293E5992" w14:textId="77777777" w:rsidR="006D29C6" w:rsidRDefault="006D29C6" w:rsidP="003E2BA1">
      <w:pPr>
        <w:rPr>
          <w:lang w:val="en-GB"/>
        </w:rPr>
      </w:pPr>
    </w:p>
    <w:p w14:paraId="6C33FD63" w14:textId="77777777" w:rsidR="006D29C6" w:rsidRDefault="006D29C6" w:rsidP="003E2BA1">
      <w:pPr>
        <w:rPr>
          <w:lang w:val="en-GB"/>
        </w:rPr>
      </w:pPr>
    </w:p>
    <w:p w14:paraId="2BFF6F71" w14:textId="77777777" w:rsidR="006D29C6" w:rsidRDefault="006D29C6" w:rsidP="003E2BA1">
      <w:pPr>
        <w:rPr>
          <w:lang w:val="en-GB"/>
        </w:rPr>
      </w:pPr>
    </w:p>
    <w:p w14:paraId="4EC512F2" w14:textId="77777777" w:rsidR="006D29C6" w:rsidRDefault="006D29C6" w:rsidP="003E2BA1">
      <w:pPr>
        <w:rPr>
          <w:lang w:val="en-GB"/>
        </w:rPr>
      </w:pPr>
    </w:p>
    <w:p w14:paraId="09E764AD" w14:textId="77777777" w:rsidR="006D29C6" w:rsidRDefault="006D29C6" w:rsidP="003E2BA1">
      <w:pPr>
        <w:rPr>
          <w:lang w:val="en-GB"/>
        </w:rPr>
      </w:pPr>
    </w:p>
    <w:p w14:paraId="6DCFC9E3" w14:textId="77777777" w:rsidR="006D29C6" w:rsidRDefault="006D29C6" w:rsidP="003E2BA1">
      <w:pPr>
        <w:rPr>
          <w:lang w:val="en-GB"/>
        </w:rPr>
      </w:pPr>
    </w:p>
    <w:p w14:paraId="0B208519" w14:textId="77777777" w:rsidR="006D29C6" w:rsidRDefault="006D29C6" w:rsidP="003E2BA1">
      <w:pPr>
        <w:rPr>
          <w:lang w:val="en-GB"/>
        </w:rPr>
      </w:pPr>
    </w:p>
    <w:p w14:paraId="603B9029" w14:textId="106CED8D" w:rsidR="550821B5" w:rsidRDefault="550821B5" w:rsidP="003E2BA1">
      <w:pPr>
        <w:rPr>
          <w:lang w:val="en-GB"/>
        </w:rPr>
      </w:pPr>
    </w:p>
    <w:p w14:paraId="6090CF83" w14:textId="77777777" w:rsidR="009B0B06" w:rsidRDefault="005E2BEE" w:rsidP="003E2BA1">
      <w:pPr>
        <w:jc w:val="center"/>
      </w:pPr>
      <w:r>
        <w:rPr>
          <w:b/>
          <w:sz w:val="20"/>
        </w:rPr>
        <w:lastRenderedPageBreak/>
        <w:t>Screenshot 1: Unit 2 systems-thinking mind-map activity retained from the original portfolio</w:t>
      </w:r>
    </w:p>
    <w:p w14:paraId="2E75ABCF" w14:textId="77777777" w:rsidR="009B0B06" w:rsidRDefault="005E2BEE" w:rsidP="003E2BA1">
      <w:pPr>
        <w:jc w:val="center"/>
      </w:pPr>
      <w:r>
        <w:rPr>
          <w:noProof/>
        </w:rPr>
        <w:drawing>
          <wp:inline distT="0" distB="0" distL="0" distR="0" wp14:anchorId="716175E0" wp14:editId="565B2123">
            <wp:extent cx="5420621" cy="31242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2"/>
                    <a:stretch>
                      <a:fillRect/>
                    </a:stretch>
                  </pic:blipFill>
                  <pic:spPr>
                    <a:xfrm>
                      <a:off x="0" y="0"/>
                      <a:ext cx="5421603" cy="3124766"/>
                    </a:xfrm>
                    <a:prstGeom prst="rect">
                      <a:avLst/>
                    </a:prstGeom>
                  </pic:spPr>
                </pic:pic>
              </a:graphicData>
            </a:graphic>
          </wp:inline>
        </w:drawing>
      </w:r>
    </w:p>
    <w:p w14:paraId="3FBCE6E6" w14:textId="77777777" w:rsidR="009B0B06" w:rsidRDefault="005E2BEE" w:rsidP="003E2BA1">
      <w:r>
        <w:br w:type="page"/>
      </w:r>
    </w:p>
    <w:p w14:paraId="4CF2CBFD" w14:textId="74F5D017" w:rsidR="009B0B06" w:rsidRDefault="005E2BEE" w:rsidP="003E2BA1">
      <w:pPr>
        <w:pStyle w:val="Heading1"/>
        <w:jc w:val="left"/>
      </w:pPr>
      <w:r>
        <w:lastRenderedPageBreak/>
        <w:t>Task 3 – Reflection on Unit 3: Opportunity Knocks</w:t>
      </w:r>
    </w:p>
    <w:p w14:paraId="6DF5E9FD" w14:textId="77777777" w:rsidR="007B6EF7" w:rsidRPr="007B6EF7" w:rsidRDefault="007B6EF7" w:rsidP="003E2BA1">
      <w:pPr>
        <w:rPr>
          <w:lang w:val="en-GB"/>
        </w:rPr>
      </w:pPr>
      <w:r w:rsidRPr="007B6EF7">
        <w:rPr>
          <w:lang w:val="en-GB"/>
        </w:rPr>
        <w:t>I learned about personal and professional opportunities in a new way from Unit 3, Opportunity Knocks. The first topic was on the finding of beneficial opportunities in everyday practice. An opportunity may be a promotion, a new job, learning or practical improvement. Before now, I thought that creativity needed to be a brand new, strange concept. The unit demonstrated that creative improvements to the ways things are already done can be useful. Practicality is a factor that encourages people to follow suit, as per Rogers' Diffusion of Innovations theory (2003). The easier people find ideas to be useful and manageable, the more readily they will accept them.</w:t>
      </w:r>
    </w:p>
    <w:p w14:paraId="0E1E7DCF" w14:textId="6F625DDC" w:rsidR="007B6EF7" w:rsidRPr="007B6EF7" w:rsidRDefault="007B6EF7" w:rsidP="003E2BA1">
      <w:pPr>
        <w:rPr>
          <w:lang w:val="en-GB"/>
        </w:rPr>
      </w:pPr>
      <w:r w:rsidRPr="007B6EF7">
        <w:rPr>
          <w:lang w:val="en-GB"/>
        </w:rPr>
        <w:t xml:space="preserve">The other topic was how to convert worthy ideas into valuable and viable value. Porter (2010) equates "value" in healthcare with outcomes that are paired with related costs. This was a good argument for me to ask who would gain from any suggested change. An interesting example of opportunity under today's healthcare is virtual wards. They enable appropriate patients to be assisted in the comfort of their own homes. NHS England (2025) describes how remote monitoring can aid this care approach. The model can enhance capacity and assist with recovery in </w:t>
      </w:r>
      <w:r w:rsidR="009933EB">
        <w:rPr>
          <w:lang w:val="en-GB"/>
        </w:rPr>
        <w:t>non-hospital</w:t>
      </w:r>
      <w:r w:rsidRPr="007B6EF7">
        <w:rPr>
          <w:lang w:val="en-GB"/>
        </w:rPr>
        <w:t xml:space="preserve"> settings. However, Norman et al. (2023) stress the need for ongoing assessment. Jalilian et al. (2024) also note that readmission and economic sustainability are concerns.</w:t>
      </w:r>
    </w:p>
    <w:p w14:paraId="42CD1B15" w14:textId="77777777" w:rsidR="007B6EF7" w:rsidRPr="007B6EF7" w:rsidRDefault="007B6EF7" w:rsidP="003E2BA1">
      <w:pPr>
        <w:rPr>
          <w:lang w:val="en-GB"/>
        </w:rPr>
      </w:pPr>
      <w:r w:rsidRPr="007B6EF7">
        <w:rPr>
          <w:lang w:val="en-GB"/>
        </w:rPr>
        <w:t>The third theme was collaboration, decision-making and well-planned organisational change. In our group activity, we generated several ideas in open divergent thinking. Some of these ideas were to have digital records, team meetings and more structured handovers. But many of the suggestions at first muddied the focus of the conversation. I suggested a “plus or minus” approach to comparing each of the six possible solutions. It helped the group to develop towards more convergent thinking. The group finally decided on structured handovers as the most feasible. Lewin's model of change involves preparing, acting and consolidating (Burnes, 2020).</w:t>
      </w:r>
    </w:p>
    <w:p w14:paraId="0A87811C" w14:textId="32EAA3D4" w:rsidR="009B0B06" w:rsidRPr="007B6EF7" w:rsidRDefault="007B6EF7" w:rsidP="003E2BA1">
      <w:pPr>
        <w:rPr>
          <w:lang w:val="en-GB"/>
        </w:rPr>
      </w:pPr>
      <w:r w:rsidRPr="007B6EF7">
        <w:rPr>
          <w:lang w:val="en-GB"/>
        </w:rPr>
        <w:t>There should be online screenshots showing my opportunity mapping and decision-making activities. The activities enabled me to see opportunities when I had evidence, discussion and reflection. I'll be writing down any good opportunities that come along in the future. I will evaluate the value, constraints and feasibility of each opportunity. I will also seek input from relevant parties prior to developing an actionable plan. Learning, networking, feedback and challenges that are appropriate should all be incorporated into my development.</w:t>
      </w:r>
    </w:p>
    <w:p w14:paraId="0B70B89C" w14:textId="77777777" w:rsidR="009B0B06" w:rsidRDefault="005E2BEE" w:rsidP="003E2BA1">
      <w:pPr>
        <w:jc w:val="center"/>
        <w:rPr>
          <w:b/>
          <w:bCs/>
          <w:sz w:val="20"/>
          <w:szCs w:val="20"/>
        </w:rPr>
      </w:pPr>
      <w:r w:rsidRPr="550821B5">
        <w:rPr>
          <w:b/>
          <w:bCs/>
          <w:sz w:val="20"/>
          <w:szCs w:val="20"/>
        </w:rPr>
        <w:t>Screenshot 1: Unit 3 online activity evidence</w:t>
      </w:r>
    </w:p>
    <w:p w14:paraId="2B7F761D" w14:textId="77777777" w:rsidR="00624744" w:rsidRDefault="00624744" w:rsidP="003E2BA1">
      <w:pPr>
        <w:jc w:val="center"/>
        <w:rPr>
          <w:b/>
          <w:bCs/>
          <w:sz w:val="20"/>
          <w:szCs w:val="20"/>
        </w:rPr>
      </w:pPr>
    </w:p>
    <w:p w14:paraId="10D1C4A7" w14:textId="77777777" w:rsidR="00737821" w:rsidRDefault="00737821" w:rsidP="003E2BA1">
      <w:pPr>
        <w:jc w:val="center"/>
        <w:rPr>
          <w:b/>
          <w:bCs/>
          <w:sz w:val="20"/>
          <w:szCs w:val="20"/>
        </w:rPr>
      </w:pPr>
      <w:r w:rsidRPr="550821B5">
        <w:rPr>
          <w:b/>
          <w:bCs/>
          <w:sz w:val="20"/>
          <w:szCs w:val="20"/>
        </w:rPr>
        <w:lastRenderedPageBreak/>
        <w:t>Screenshot 1: Unit 3 online activity evidence</w:t>
      </w:r>
    </w:p>
    <w:p w14:paraId="41E888B8" w14:textId="77777777" w:rsidR="00737821" w:rsidRDefault="00737821" w:rsidP="003E2BA1">
      <w:pPr>
        <w:jc w:val="center"/>
        <w:rPr>
          <w:b/>
          <w:bCs/>
          <w:sz w:val="20"/>
          <w:szCs w:val="20"/>
        </w:rPr>
      </w:pPr>
    </w:p>
    <w:p w14:paraId="16876C87" w14:textId="247F0B45" w:rsidR="00624744" w:rsidRPr="00624744" w:rsidRDefault="00624744" w:rsidP="003E2BA1">
      <w:pPr>
        <w:jc w:val="center"/>
        <w:rPr>
          <w:lang w:val="en-GB"/>
        </w:rPr>
      </w:pPr>
      <w:r w:rsidRPr="00624744">
        <w:rPr>
          <w:noProof/>
          <w:lang w:val="en-GB"/>
        </w:rPr>
        <w:drawing>
          <wp:inline distT="0" distB="0" distL="0" distR="0" wp14:anchorId="78BA1A14" wp14:editId="24211713">
            <wp:extent cx="5731510" cy="2927350"/>
            <wp:effectExtent l="0" t="0" r="2540" b="6350"/>
            <wp:docPr id="5045245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27350"/>
                    </a:xfrm>
                    <a:prstGeom prst="rect">
                      <a:avLst/>
                    </a:prstGeom>
                    <a:noFill/>
                    <a:ln>
                      <a:noFill/>
                    </a:ln>
                  </pic:spPr>
                </pic:pic>
              </a:graphicData>
            </a:graphic>
          </wp:inline>
        </w:drawing>
      </w:r>
    </w:p>
    <w:p w14:paraId="485CCB88" w14:textId="77777777" w:rsidR="00624744" w:rsidRDefault="00624744" w:rsidP="003E2BA1">
      <w:pPr>
        <w:jc w:val="center"/>
      </w:pPr>
    </w:p>
    <w:p w14:paraId="17A428E7" w14:textId="02DACDAA" w:rsidR="550821B5" w:rsidRDefault="550821B5" w:rsidP="003E2BA1">
      <w:pPr>
        <w:jc w:val="center"/>
        <w:rPr>
          <w:b/>
          <w:bCs/>
          <w:sz w:val="20"/>
          <w:szCs w:val="20"/>
        </w:rPr>
      </w:pPr>
    </w:p>
    <w:p w14:paraId="11AD38D3" w14:textId="77777777" w:rsidR="009B0B06" w:rsidRDefault="005E2BEE" w:rsidP="003E2BA1">
      <w:r>
        <w:br w:type="page"/>
      </w:r>
    </w:p>
    <w:p w14:paraId="70DDBCA0" w14:textId="09270AC0" w:rsidR="009B0B06" w:rsidRDefault="005E2BEE" w:rsidP="003E2BA1">
      <w:pPr>
        <w:pStyle w:val="Heading1"/>
        <w:jc w:val="left"/>
      </w:pPr>
      <w:r>
        <w:lastRenderedPageBreak/>
        <w:t>Task 4 – Reflection on Unit 4: The Pursuit of Happiness</w:t>
      </w:r>
      <w:r>
        <w:rPr>
          <w:i/>
          <w:sz w:val="20"/>
        </w:rPr>
        <w:t xml:space="preserve"> </w:t>
      </w:r>
    </w:p>
    <w:p w14:paraId="2D85F842" w14:textId="77777777" w:rsidR="00930931" w:rsidRPr="00930931" w:rsidRDefault="00930931" w:rsidP="003E2BA1">
      <w:pPr>
        <w:rPr>
          <w:lang w:val="en-GB"/>
        </w:rPr>
      </w:pPr>
      <w:r w:rsidRPr="00930931">
        <w:rPr>
          <w:lang w:val="en-GB"/>
        </w:rPr>
        <w:t>Professional wellbeing was developed in Unit 4, The Pursuit of Happiness. Wellbeing has a direct impact on focus, communication, empathy and support provided to children professionally. The unit taught the difference between a short-lived and a more enduring sense of wellbeing. When it comes to wellbeing, there can be elements of purpose, good relationships, manageable demands and movement towards it. This distinction is important, as caring roles can be fulfilling and challenging. Satisfaction and emotional stress can occur for health and social care professionals.</w:t>
      </w:r>
    </w:p>
    <w:p w14:paraId="0791B946" w14:textId="0C378317" w:rsidR="00930931" w:rsidRPr="00930931" w:rsidRDefault="00930931" w:rsidP="003E2BA1">
      <w:pPr>
        <w:rPr>
          <w:lang w:val="en-GB"/>
        </w:rPr>
      </w:pPr>
      <w:r w:rsidRPr="00930931">
        <w:rPr>
          <w:lang w:val="en-GB"/>
        </w:rPr>
        <w:t xml:space="preserve">Studies on burnout added to my awareness of this professional responsibility. Rizzo et al. (2023) mention emotional exhaustion and depersonalisation as aspects of nursing burnout. According to Li et al. (2024), burnout is related to decreased safety, quality, and satisfaction. This </w:t>
      </w:r>
      <w:r w:rsidR="00EA444E">
        <w:rPr>
          <w:lang w:val="en-GB"/>
        </w:rPr>
        <w:t>contradicts</w:t>
      </w:r>
      <w:r w:rsidRPr="00930931">
        <w:rPr>
          <w:lang w:val="en-GB"/>
        </w:rPr>
        <w:t xml:space="preserve"> my initial views on coping strategies for dealing with job stress. No individual worker can cope with </w:t>
      </w:r>
      <w:r w:rsidR="00EA444E" w:rsidRPr="00930931">
        <w:rPr>
          <w:lang w:val="en-GB"/>
        </w:rPr>
        <w:t>all</w:t>
      </w:r>
      <w:r w:rsidRPr="00930931">
        <w:rPr>
          <w:lang w:val="en-GB"/>
        </w:rPr>
        <w:t xml:space="preserve"> the challenges by themselves. Staffing, workload, leadership and </w:t>
      </w:r>
      <w:r w:rsidR="00EA444E">
        <w:rPr>
          <w:lang w:val="en-GB"/>
        </w:rPr>
        <w:t>organisational</w:t>
      </w:r>
      <w:r w:rsidRPr="00930931">
        <w:rPr>
          <w:lang w:val="en-GB"/>
        </w:rPr>
        <w:t xml:space="preserve"> support are also vital for wellbeing. Burnout can manifest as absenteeism, decreased morale, errors, and/or decreased empathy.</w:t>
      </w:r>
    </w:p>
    <w:p w14:paraId="7C7D55DE" w14:textId="12718ACE" w:rsidR="00930931" w:rsidRPr="00930931" w:rsidRDefault="00930931" w:rsidP="003E2BA1">
      <w:pPr>
        <w:rPr>
          <w:lang w:val="en-GB"/>
        </w:rPr>
      </w:pPr>
      <w:r w:rsidRPr="00930931">
        <w:rPr>
          <w:lang w:val="en-GB"/>
        </w:rPr>
        <w:t xml:space="preserve">Compassionate leadership and personal responsibility in practice were also explored as part of the unit. Leading with care and developing capability is the NHS Leadership Academy's mission (NHS Leadership Academy, n.d.). Inclusive leadership is also linked to wellbeing and effective care in the CQC's guidance (CQC, 2024). These conceptions demonstrate positive attitudinal responses to workplace stress by leaders. </w:t>
      </w:r>
      <w:r w:rsidR="009B3B4D">
        <w:rPr>
          <w:lang w:val="en-GB"/>
        </w:rPr>
        <w:t>A compassionate leader needs to listen</w:t>
      </w:r>
      <w:r w:rsidRPr="00930931">
        <w:rPr>
          <w:lang w:val="en-GB"/>
        </w:rPr>
        <w:t xml:space="preserve"> </w:t>
      </w:r>
      <w:r w:rsidR="00EA444E">
        <w:rPr>
          <w:lang w:val="en-GB"/>
        </w:rPr>
        <w:t xml:space="preserve">deeply </w:t>
      </w:r>
      <w:r w:rsidRPr="00930931">
        <w:rPr>
          <w:lang w:val="en-GB"/>
        </w:rPr>
        <w:t>if employees report having problems. The leader should try to find the root cause of the problem before pointing fingers at anyone. Effective leaders will also engage staff in the process of developing realistic improvements. I also take responsibility for my professional wellbeing, however. Early pressure should be noticed, limits communicated</w:t>
      </w:r>
      <w:r w:rsidR="00EA444E">
        <w:rPr>
          <w:lang w:val="en-GB"/>
        </w:rPr>
        <w:t>,</w:t>
      </w:r>
      <w:r w:rsidRPr="00930931">
        <w:rPr>
          <w:lang w:val="en-GB"/>
        </w:rPr>
        <w:t xml:space="preserve"> and appropriate support sought. Structured reflection following challenging experiences can be facilitated using Gibbs' cycle (Gibbs, 1988). This reflection can help to recognise and avoid reversion to unhelpful responses.</w:t>
      </w:r>
    </w:p>
    <w:p w14:paraId="10F5C53D" w14:textId="3115BB66" w:rsidR="009B0B06" w:rsidRDefault="00930931" w:rsidP="003E2BA1">
      <w:pPr>
        <w:rPr>
          <w:lang w:val="en-GB"/>
        </w:rPr>
      </w:pPr>
      <w:r w:rsidRPr="00930931">
        <w:rPr>
          <w:lang w:val="en-GB"/>
        </w:rPr>
        <w:t>The screenshots for Unit 4 will demonstrate my wellbeing and action-planning activities. My future will involve reflection often and priorities that are attainable in my profession. I will also engage in supportive communication and continue with appropriate professional learning. Throughout the module, I became more aware of identity and connected caring. I also enhanced my knowledge of opportunities, leadership and wellbeing for myself. Themes can foster effective and meaningful inter-service communication. Them, too, I can get them to make useful contributions without exhaustion being normal.</w:t>
      </w:r>
    </w:p>
    <w:p w14:paraId="27E419E2" w14:textId="77777777" w:rsidR="00287AA7" w:rsidRDefault="00287AA7" w:rsidP="00287AA7">
      <w:pPr>
        <w:jc w:val="center"/>
      </w:pPr>
      <w:r>
        <w:rPr>
          <w:b/>
          <w:sz w:val="20"/>
        </w:rPr>
        <w:lastRenderedPageBreak/>
        <w:t>Screenshot 1: Unit 4 online activity evidence</w:t>
      </w:r>
    </w:p>
    <w:p w14:paraId="26DDD93F" w14:textId="77777777" w:rsidR="00287AA7" w:rsidRDefault="00287AA7" w:rsidP="003E2BA1">
      <w:pPr>
        <w:rPr>
          <w:lang w:val="en-GB"/>
        </w:rPr>
      </w:pPr>
    </w:p>
    <w:p w14:paraId="39034948" w14:textId="116435E8" w:rsidR="00287AA7" w:rsidRPr="00287AA7" w:rsidRDefault="00287AA7" w:rsidP="00287AA7">
      <w:pPr>
        <w:rPr>
          <w:lang w:val="en-GB"/>
        </w:rPr>
      </w:pPr>
      <w:r w:rsidRPr="00287AA7">
        <w:rPr>
          <w:noProof/>
          <w:lang w:val="en-GB"/>
        </w:rPr>
        <w:drawing>
          <wp:inline distT="0" distB="0" distL="0" distR="0" wp14:anchorId="59234462" wp14:editId="7426D91D">
            <wp:extent cx="5731510" cy="2927350"/>
            <wp:effectExtent l="0" t="0" r="2540" b="6350"/>
            <wp:docPr id="9956454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27350"/>
                    </a:xfrm>
                    <a:prstGeom prst="rect">
                      <a:avLst/>
                    </a:prstGeom>
                    <a:noFill/>
                    <a:ln>
                      <a:noFill/>
                    </a:ln>
                  </pic:spPr>
                </pic:pic>
              </a:graphicData>
            </a:graphic>
          </wp:inline>
        </w:drawing>
      </w:r>
    </w:p>
    <w:p w14:paraId="43A3CD99" w14:textId="77777777" w:rsidR="005E04C8" w:rsidRDefault="005E04C8" w:rsidP="003E2BA1">
      <w:pPr>
        <w:rPr>
          <w:lang w:val="en-GB"/>
        </w:rPr>
      </w:pPr>
    </w:p>
    <w:p w14:paraId="6B8CEA60" w14:textId="77777777" w:rsidR="00287AA7" w:rsidRDefault="00287AA7" w:rsidP="003E2BA1">
      <w:pPr>
        <w:rPr>
          <w:lang w:val="en-GB"/>
        </w:rPr>
      </w:pPr>
    </w:p>
    <w:p w14:paraId="143D2C0C" w14:textId="77777777" w:rsidR="00287AA7" w:rsidRDefault="00287AA7" w:rsidP="003E2BA1">
      <w:pPr>
        <w:rPr>
          <w:lang w:val="en-GB"/>
        </w:rPr>
      </w:pPr>
    </w:p>
    <w:p w14:paraId="7B638928" w14:textId="77777777" w:rsidR="00287AA7" w:rsidRDefault="00287AA7" w:rsidP="003E2BA1">
      <w:pPr>
        <w:rPr>
          <w:lang w:val="en-GB"/>
        </w:rPr>
      </w:pPr>
    </w:p>
    <w:p w14:paraId="5573C776" w14:textId="77777777" w:rsidR="00287AA7" w:rsidRDefault="00287AA7" w:rsidP="003E2BA1">
      <w:pPr>
        <w:rPr>
          <w:lang w:val="en-GB"/>
        </w:rPr>
      </w:pPr>
    </w:p>
    <w:p w14:paraId="0A442148" w14:textId="77777777" w:rsidR="00287AA7" w:rsidRDefault="00287AA7" w:rsidP="003E2BA1">
      <w:pPr>
        <w:rPr>
          <w:lang w:val="en-GB"/>
        </w:rPr>
      </w:pPr>
    </w:p>
    <w:p w14:paraId="68B4DA6E" w14:textId="77777777" w:rsidR="00287AA7" w:rsidRDefault="00287AA7" w:rsidP="003E2BA1">
      <w:pPr>
        <w:rPr>
          <w:lang w:val="en-GB"/>
        </w:rPr>
      </w:pPr>
    </w:p>
    <w:p w14:paraId="318D87B2" w14:textId="77777777" w:rsidR="00287AA7" w:rsidRDefault="00287AA7" w:rsidP="003E2BA1">
      <w:pPr>
        <w:rPr>
          <w:lang w:val="en-GB"/>
        </w:rPr>
      </w:pPr>
    </w:p>
    <w:p w14:paraId="73215F6E" w14:textId="77777777" w:rsidR="00287AA7" w:rsidRDefault="00287AA7" w:rsidP="003E2BA1">
      <w:pPr>
        <w:rPr>
          <w:lang w:val="en-GB"/>
        </w:rPr>
      </w:pPr>
    </w:p>
    <w:p w14:paraId="3DCA088A" w14:textId="77777777" w:rsidR="00287AA7" w:rsidRDefault="00287AA7" w:rsidP="003E2BA1">
      <w:pPr>
        <w:rPr>
          <w:lang w:val="en-GB"/>
        </w:rPr>
      </w:pPr>
    </w:p>
    <w:p w14:paraId="1570C3EE" w14:textId="77777777" w:rsidR="00287AA7" w:rsidRDefault="00287AA7" w:rsidP="003E2BA1">
      <w:pPr>
        <w:rPr>
          <w:lang w:val="en-GB"/>
        </w:rPr>
      </w:pPr>
    </w:p>
    <w:p w14:paraId="40189E6F" w14:textId="77777777" w:rsidR="00287AA7" w:rsidRDefault="00287AA7" w:rsidP="003E2BA1">
      <w:pPr>
        <w:rPr>
          <w:lang w:val="en-GB"/>
        </w:rPr>
      </w:pPr>
    </w:p>
    <w:p w14:paraId="33DB3D15" w14:textId="77777777" w:rsidR="00287AA7" w:rsidRDefault="00287AA7" w:rsidP="003E2BA1">
      <w:pPr>
        <w:rPr>
          <w:lang w:val="en-GB"/>
        </w:rPr>
      </w:pPr>
    </w:p>
    <w:p w14:paraId="1A0D6241" w14:textId="4D363709" w:rsidR="009B0B06" w:rsidRDefault="005E2BEE" w:rsidP="003E2BA1">
      <w:pPr>
        <w:pStyle w:val="Heading1"/>
        <w:jc w:val="left"/>
      </w:pPr>
      <w:r>
        <w:lastRenderedPageBreak/>
        <w:t>Conclusion</w:t>
      </w:r>
    </w:p>
    <w:p w14:paraId="6DDB1D03" w14:textId="10B71FED" w:rsidR="00562307" w:rsidRPr="00562307" w:rsidRDefault="00562307" w:rsidP="003E2BA1">
      <w:pPr>
        <w:rPr>
          <w:lang w:val="en-GB"/>
        </w:rPr>
      </w:pPr>
      <w:r w:rsidRPr="00562307">
        <w:rPr>
          <w:lang w:val="en-GB"/>
        </w:rPr>
        <w:t xml:space="preserve">This portfolio has shown the link between </w:t>
      </w:r>
      <w:r w:rsidR="00A40C2A">
        <w:rPr>
          <w:lang w:val="en-GB"/>
        </w:rPr>
        <w:t xml:space="preserve">the </w:t>
      </w:r>
      <w:r w:rsidRPr="00562307">
        <w:rPr>
          <w:lang w:val="en-GB"/>
        </w:rPr>
        <w:t xml:space="preserve">four units and personal development and care quality. Brand You demonstrated </w:t>
      </w:r>
      <w:r w:rsidR="00A40C2A">
        <w:rPr>
          <w:lang w:val="en-GB"/>
        </w:rPr>
        <w:t xml:space="preserve">that </w:t>
      </w:r>
      <w:r w:rsidRPr="00562307">
        <w:rPr>
          <w:lang w:val="en-GB"/>
        </w:rPr>
        <w:t>values and behaviour create a professional identity. It's a Small World; it's helping my understanding of interconnected services and communities. The unit also focused on the differences that digital decision-making can have on individuals. Opportunity Knocks let me know how to see needs and look at what improvements might be made. Wellbeing, leadership and safe professional practice were linked by the Pursuit of Happiness. These themes helped build my knowledge of reflective professional learning.</w:t>
      </w:r>
    </w:p>
    <w:p w14:paraId="09F4E837" w14:textId="21292EA7" w:rsidR="00562307" w:rsidRPr="00562307" w:rsidRDefault="00562307" w:rsidP="003E2BA1">
      <w:pPr>
        <w:rPr>
          <w:lang w:val="en-GB"/>
        </w:rPr>
      </w:pPr>
      <w:r w:rsidRPr="00562307">
        <w:rPr>
          <w:lang w:val="en-GB"/>
        </w:rPr>
        <w:t>The first major shift is thinking of professional learning as it is done. I need to take risks, have clear communication</w:t>
      </w:r>
      <w:r w:rsidR="00A40C2A">
        <w:rPr>
          <w:lang w:val="en-GB"/>
        </w:rPr>
        <w:t>,</w:t>
      </w:r>
      <w:r w:rsidRPr="00562307">
        <w:rPr>
          <w:lang w:val="en-GB"/>
        </w:rPr>
        <w:t xml:space="preserve"> and carefully evaluate opportunities. I should also </w:t>
      </w:r>
      <w:proofErr w:type="gramStart"/>
      <w:r w:rsidRPr="00562307">
        <w:rPr>
          <w:lang w:val="en-GB"/>
        </w:rPr>
        <w:t>take action</w:t>
      </w:r>
      <w:proofErr w:type="gramEnd"/>
      <w:r w:rsidRPr="00562307">
        <w:rPr>
          <w:lang w:val="en-GB"/>
        </w:rPr>
        <w:t xml:space="preserve"> early when the job starts to impact my well-being. Inclusion, safety and person-centred outcomes should be considered in future professional decisions. </w:t>
      </w:r>
      <w:r w:rsidR="00BA7E99" w:rsidRPr="00BA7E99">
        <w:rPr>
          <w:color w:val="000000" w:themeColor="text1"/>
        </w:rPr>
        <w:t>These skills can help with teamwork, service continuity and respectful service.</w:t>
      </w:r>
    </w:p>
    <w:p w14:paraId="3C1294EE" w14:textId="76BA8DB4" w:rsidR="009B0B06" w:rsidRDefault="009B0B06" w:rsidP="003E2BA1"/>
    <w:p w14:paraId="2FE85304" w14:textId="77777777" w:rsidR="009B0B06" w:rsidRDefault="005E2BEE" w:rsidP="003E2BA1">
      <w:r>
        <w:br w:type="page"/>
      </w:r>
    </w:p>
    <w:p w14:paraId="7EC59126" w14:textId="77777777" w:rsidR="009B0B06" w:rsidRDefault="005E2BEE" w:rsidP="003E2BA1">
      <w:pPr>
        <w:pStyle w:val="Heading1"/>
        <w:jc w:val="left"/>
      </w:pPr>
      <w:r>
        <w:lastRenderedPageBreak/>
        <w:t>References</w:t>
      </w:r>
    </w:p>
    <w:p w14:paraId="7C5E50B1" w14:textId="77777777" w:rsidR="009B0B06" w:rsidRDefault="005E2BEE" w:rsidP="003E2BA1">
      <w:r>
        <w:t>Amabile, T.M. 2012, Componential theory of creativity, Harvard Business School Working Knowledge. Available at: http://hbswk.hbs.edu/</w:t>
      </w:r>
    </w:p>
    <w:p w14:paraId="494A9A19" w14:textId="77777777" w:rsidR="009B0B06" w:rsidRDefault="005E2BEE" w:rsidP="003E2BA1">
      <w:r>
        <w:t>Adepoju, V.A., Jamil, S., Biswas, M.S. &amp; Chowdhury, A.A. 2024, ‘Wearable technology in the management of chronic diseases: a growing concern’, Chronic Diseases and Translational Medicine, vol. 11, no. 2, pp. 117–121. https://doi.org/10.1002/cdt3.156</w:t>
      </w:r>
    </w:p>
    <w:p w14:paraId="4E069E67" w14:textId="7B49932E" w:rsidR="009B0B06" w:rsidRDefault="005E2BEE" w:rsidP="003E2BA1">
      <w:r>
        <w:t xml:space="preserve">Bass, B.M. &amp; Avolio, B.J. (eds.) 1994, Improving </w:t>
      </w:r>
      <w:proofErr w:type="spellStart"/>
      <w:r w:rsidR="00A40C2A">
        <w:t>organisational</w:t>
      </w:r>
      <w:proofErr w:type="spellEnd"/>
      <w:r>
        <w:t xml:space="preserve"> effectiveness through transformational leadership, Sage Publications, Thousand Oaks, CA.</w:t>
      </w:r>
    </w:p>
    <w:p w14:paraId="6EF7AFC7" w14:textId="6FEA9D57" w:rsidR="009B0B06" w:rsidRDefault="005E2BEE" w:rsidP="003E2BA1">
      <w:r>
        <w:t xml:space="preserve">Burnes, B. 2020, ‘The origins of Lewin’s three-step model of change’, Journal of Applied </w:t>
      </w:r>
      <w:proofErr w:type="spellStart"/>
      <w:r w:rsidR="00A40C2A">
        <w:t>Behavioural</w:t>
      </w:r>
      <w:proofErr w:type="spellEnd"/>
      <w:r>
        <w:t xml:space="preserve"> Science, vol. 56, no. 1, pp. 32–59. Available at: https://www.researchgate.net/publication/338033976_The_Origins_of_Lewin's_Three-Step_Model_of_Change</w:t>
      </w:r>
    </w:p>
    <w:p w14:paraId="2F1F67BF" w14:textId="77777777" w:rsidR="009B0B06" w:rsidRDefault="005E2BEE" w:rsidP="003E2BA1">
      <w:r>
        <w:t>Care Quality Commission (CQC) (2024), Capable, compassionate and inclusive leaders, Guidance for NHS trusts and foundation trusts: assessing the well-led key question, CQC. Available at: https://www.cqc.org.uk/guidance-regulation-nhs-key-question-well-led-leaders</w:t>
      </w:r>
    </w:p>
    <w:p w14:paraId="62DBC700" w14:textId="77777777" w:rsidR="009B0B06" w:rsidRDefault="005E2BEE" w:rsidP="003E2BA1">
      <w:r>
        <w:t>Gibbs, G. 1988, Learning by doing: a guide to teaching and learning methods, Further Education Unit, Oxford Polytechnic, Oxford.</w:t>
      </w:r>
    </w:p>
    <w:p w14:paraId="246E492E" w14:textId="77777777" w:rsidR="009B0B06" w:rsidRDefault="005E2BEE" w:rsidP="003E2BA1">
      <w:r>
        <w:t>Hoghton, M., Harris, S., Oughtibridge, N. &amp; Sharma, V. 2023, ‘Pathways to interoperable electronic patient records in health and social care, Part 2: introduction for commissioners, chief clinical information officers and senior medical and social care leaders involved in health IT commissioning and strategy’, Future Healthcare Journal, vol. 10, no. 3, pp. 238–243. https://doi.org/10.7861/fhj.2023-0072</w:t>
      </w:r>
    </w:p>
    <w:p w14:paraId="35FA3F0E" w14:textId="134C8288" w:rsidR="009B0B06" w:rsidRDefault="005E2BEE" w:rsidP="003E2BA1">
      <w:r>
        <w:t xml:space="preserve">Jalilian, A., Sedda, L., Unsworth, A. &amp; Farrier, M. </w:t>
      </w:r>
      <w:r w:rsidR="00784E5A">
        <w:t xml:space="preserve">2024, </w:t>
      </w:r>
      <w:r>
        <w:t>Length of stay and economic sustainability of virtual ward care in a medium-sized hospital of the UK: a retrospective longitudinal study’, BMJ Open, vol. 14, no. 1, e081378. https://doi.org/10.1136/bmjopen-2023-081378</w:t>
      </w:r>
    </w:p>
    <w:p w14:paraId="5C51D1A7" w14:textId="77777777" w:rsidR="009B0B06" w:rsidRDefault="005E2BEE" w:rsidP="003E2BA1">
      <w:r>
        <w:t>Li, L.Z., Yang, P., Singer, S.J., Pfeffer, J., Mathur, M.B. &amp; Shanafelt, T. 2024, ‘Nurse burnout and patient safety, satisfaction, and quality of care: a systematic review and meta-analysis’, JAMA Network Open, vol. 7, no. 11, e2443059. https://doi.org/10.1001/jamanetworkopen.2024.43059</w:t>
      </w:r>
    </w:p>
    <w:p w14:paraId="49E4DE24" w14:textId="77777777" w:rsidR="009B0B06" w:rsidRDefault="005E2BEE" w:rsidP="003E2BA1">
      <w:r>
        <w:t>Meadows, D.H. 2008, Thinking in systems: a primer, Chelsea Green Publishing, White River Junction, VT.</w:t>
      </w:r>
    </w:p>
    <w:p w14:paraId="6C2AE930" w14:textId="77777777" w:rsidR="009B0B06" w:rsidRDefault="005E2BEE" w:rsidP="003E2BA1">
      <w:r>
        <w:lastRenderedPageBreak/>
        <w:t>NHS England 2025, Purpose of the GP electronic health record, NHS England, London. Available at: https://www.england.nhs.uk/long-read/purpose-of-the-gp-electronic-health-record/</w:t>
      </w:r>
    </w:p>
    <w:p w14:paraId="4540B5AC" w14:textId="77777777" w:rsidR="009B0B06" w:rsidRDefault="005E2BEE" w:rsidP="00930931">
      <w:r>
        <w:t>NHS England 2025, Virtual wards operational framework, NHS England, London. Available at: https://www.england.nhs.uk/long-read/virtual-wards-operational-framework/</w:t>
      </w:r>
    </w:p>
    <w:p w14:paraId="5E865C3A" w14:textId="77777777" w:rsidR="009B0B06" w:rsidRDefault="005E2BEE" w:rsidP="00930931">
      <w:r>
        <w:t>NHS Leadership Academy n.d., Our Leadership Way, NHS Leadership Academy. Available at: https://www.leadershipacademy.nhs.uk/organisational-resources/our-leadership-way/</w:t>
      </w:r>
    </w:p>
    <w:p w14:paraId="638D079E" w14:textId="53318880" w:rsidR="009B0B06" w:rsidRDefault="005E2BEE" w:rsidP="00930931">
      <w:r>
        <w:t xml:space="preserve">Norman, G., Bennett, P. &amp; Vardy, E.R.L.C. </w:t>
      </w:r>
      <w:r w:rsidR="00A40C2A">
        <w:t xml:space="preserve">2023, </w:t>
      </w:r>
      <w:r>
        <w:t xml:space="preserve">Virtual </w:t>
      </w:r>
      <w:proofErr w:type="gramStart"/>
      <w:r>
        <w:t>wards</w:t>
      </w:r>
      <w:proofErr w:type="gramEnd"/>
      <w:r>
        <w:t>: a rapid evidence synthesis and implications for the care of older people’, Age and Ageing, vol. 52, no. 1, afac319. https://doi.org/10.1093/ageing/afac319</w:t>
      </w:r>
    </w:p>
    <w:p w14:paraId="346A1D7A" w14:textId="77777777" w:rsidR="009B0B06" w:rsidRDefault="005E2BEE" w:rsidP="00930931">
      <w:r>
        <w:t>Porter, M.E. 2010, ‘What is value in health care?’, New England Journal of Medicine, vol. 363, no. 26, pp. 2477–2481. https://doi.org/10.1056/NEJMp1011024</w:t>
      </w:r>
    </w:p>
    <w:p w14:paraId="65F9AC6E" w14:textId="77777777" w:rsidR="009B0B06" w:rsidRDefault="005E2BEE" w:rsidP="00930931">
      <w:r>
        <w:t>Rizzo, A., Yıldırım, M., Öztekin, G.G., Carlo, A., Nucera, G., Szarpak, Ł., Zaffina, S. &amp; Chirico, F. 2023, ‘Nurse burnout before and during the COVID-19 pandemic: a systematic comparative review’, Frontiers in Public Health, vol. 11, 1225431. https://doi.org/10.3389/fpubh.2023.1225431</w:t>
      </w:r>
    </w:p>
    <w:p w14:paraId="3658F35E" w14:textId="77777777" w:rsidR="009B0B06" w:rsidRDefault="005E2BEE" w:rsidP="00930931">
      <w:r>
        <w:t>Rogers, E.M. 2003, Diffusion of innovations, 5th edn, Free Press, New York.</w:t>
      </w:r>
    </w:p>
    <w:p w14:paraId="0D7D3D36" w14:textId="77777777" w:rsidR="009B0B06" w:rsidRDefault="005E2BEE" w:rsidP="00930931">
      <w:r>
        <w:t>UK Government (2025)., Patients to receive reminders and test results via the NHS App, GOV.UK, Department of Health and Social Care. Available at: https://www.gov.uk/government/news/patients-to-receive-reminders-and-test-results-via-the-nhs-app</w:t>
      </w:r>
    </w:p>
    <w:p w14:paraId="18A1EEDA" w14:textId="77777777" w:rsidR="009B0B06" w:rsidRDefault="005E2BEE" w:rsidP="00930931">
      <w:r>
        <w:t>Yang, H.J., Lee, J.H. &amp; Lee, W. 2025, ‘Factors influencing health care technology acceptance in older adults based on the Technology Acceptance Model and the Unified Theory of Acceptance and Use of Technology: meta-analysis’, Journal of Medical Internet Research, vol. 27, e65269. https://doi.org/10.2196/65269</w:t>
      </w:r>
    </w:p>
    <w:sectPr w:rsidR="009B0B06" w:rsidSect="00BA4D27">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13368" w14:textId="77777777" w:rsidR="004915E7" w:rsidRDefault="004915E7">
      <w:pPr>
        <w:spacing w:after="0" w:line="240" w:lineRule="auto"/>
      </w:pPr>
      <w:r>
        <w:separator/>
      </w:r>
    </w:p>
  </w:endnote>
  <w:endnote w:type="continuationSeparator" w:id="0">
    <w:p w14:paraId="5D48BAE6" w14:textId="77777777" w:rsidR="004915E7" w:rsidRDefault="00491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A85C4" w14:textId="55FB125E" w:rsidR="009B0B06" w:rsidRDefault="005E2BEE">
    <w:pPr>
      <w:pStyle w:val="Footer"/>
      <w:jc w:val="center"/>
    </w:pPr>
    <w:r>
      <w:fldChar w:fldCharType="begin"/>
    </w:r>
    <w:r>
      <w:instrText xml:space="preserve"> PAGE </w:instrText>
    </w:r>
    <w:r>
      <w:fldChar w:fldCharType="separate"/>
    </w:r>
    <w:r w:rsidR="00BA4D2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32BF2" w14:textId="77777777" w:rsidR="004915E7" w:rsidRDefault="004915E7">
      <w:pPr>
        <w:spacing w:after="0" w:line="240" w:lineRule="auto"/>
      </w:pPr>
      <w:r>
        <w:separator/>
      </w:r>
    </w:p>
  </w:footnote>
  <w:footnote w:type="continuationSeparator" w:id="0">
    <w:p w14:paraId="5761355A" w14:textId="77777777" w:rsidR="004915E7" w:rsidRDefault="004915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3566478">
    <w:abstractNumId w:val="8"/>
  </w:num>
  <w:num w:numId="2" w16cid:durableId="1840733886">
    <w:abstractNumId w:val="6"/>
  </w:num>
  <w:num w:numId="3" w16cid:durableId="124079931">
    <w:abstractNumId w:val="5"/>
  </w:num>
  <w:num w:numId="4" w16cid:durableId="685251993">
    <w:abstractNumId w:val="4"/>
  </w:num>
  <w:num w:numId="5" w16cid:durableId="1997608956">
    <w:abstractNumId w:val="7"/>
  </w:num>
  <w:num w:numId="6" w16cid:durableId="2001425926">
    <w:abstractNumId w:val="3"/>
  </w:num>
  <w:num w:numId="7" w16cid:durableId="768619513">
    <w:abstractNumId w:val="2"/>
  </w:num>
  <w:num w:numId="8" w16cid:durableId="1473982361">
    <w:abstractNumId w:val="1"/>
  </w:num>
  <w:num w:numId="9" w16cid:durableId="1697463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4D3"/>
    <w:rsid w:val="00034616"/>
    <w:rsid w:val="00051D08"/>
    <w:rsid w:val="0006063C"/>
    <w:rsid w:val="000A11BC"/>
    <w:rsid w:val="000E3FC0"/>
    <w:rsid w:val="001134DE"/>
    <w:rsid w:val="0012572F"/>
    <w:rsid w:val="0015074B"/>
    <w:rsid w:val="001628F0"/>
    <w:rsid w:val="001B6AEF"/>
    <w:rsid w:val="001D122E"/>
    <w:rsid w:val="001F12E1"/>
    <w:rsid w:val="00201B8E"/>
    <w:rsid w:val="00206AFE"/>
    <w:rsid w:val="00234957"/>
    <w:rsid w:val="0024618D"/>
    <w:rsid w:val="0025032F"/>
    <w:rsid w:val="00263EE1"/>
    <w:rsid w:val="00287833"/>
    <w:rsid w:val="00287AA7"/>
    <w:rsid w:val="0029639D"/>
    <w:rsid w:val="002C150D"/>
    <w:rsid w:val="00326F90"/>
    <w:rsid w:val="003A6890"/>
    <w:rsid w:val="003D05ED"/>
    <w:rsid w:val="003D21D3"/>
    <w:rsid w:val="003E28D4"/>
    <w:rsid w:val="003E2BA1"/>
    <w:rsid w:val="0045475B"/>
    <w:rsid w:val="00460422"/>
    <w:rsid w:val="0047661F"/>
    <w:rsid w:val="004915E7"/>
    <w:rsid w:val="004B67B1"/>
    <w:rsid w:val="004F52F1"/>
    <w:rsid w:val="00562307"/>
    <w:rsid w:val="00572391"/>
    <w:rsid w:val="005C01DE"/>
    <w:rsid w:val="005D2975"/>
    <w:rsid w:val="005E04C8"/>
    <w:rsid w:val="005E2BEE"/>
    <w:rsid w:val="006066D5"/>
    <w:rsid w:val="00624744"/>
    <w:rsid w:val="00643EBA"/>
    <w:rsid w:val="006B2BBD"/>
    <w:rsid w:val="006D29C6"/>
    <w:rsid w:val="006D2CBA"/>
    <w:rsid w:val="00725D3C"/>
    <w:rsid w:val="00737821"/>
    <w:rsid w:val="00784E5A"/>
    <w:rsid w:val="007B6EF7"/>
    <w:rsid w:val="007D0B96"/>
    <w:rsid w:val="00817BA8"/>
    <w:rsid w:val="008717EA"/>
    <w:rsid w:val="0088289A"/>
    <w:rsid w:val="008C3BFA"/>
    <w:rsid w:val="008C77C1"/>
    <w:rsid w:val="0090196B"/>
    <w:rsid w:val="00930931"/>
    <w:rsid w:val="009933EB"/>
    <w:rsid w:val="009B0B06"/>
    <w:rsid w:val="009B3B4D"/>
    <w:rsid w:val="009C7B39"/>
    <w:rsid w:val="00A40C2A"/>
    <w:rsid w:val="00AA1D8D"/>
    <w:rsid w:val="00AE4018"/>
    <w:rsid w:val="00AE5892"/>
    <w:rsid w:val="00B343B3"/>
    <w:rsid w:val="00B47730"/>
    <w:rsid w:val="00B66066"/>
    <w:rsid w:val="00B71590"/>
    <w:rsid w:val="00B83106"/>
    <w:rsid w:val="00BA4D27"/>
    <w:rsid w:val="00BA7E99"/>
    <w:rsid w:val="00BC19B5"/>
    <w:rsid w:val="00BC27B0"/>
    <w:rsid w:val="00BD7886"/>
    <w:rsid w:val="00C31EB0"/>
    <w:rsid w:val="00C54DAC"/>
    <w:rsid w:val="00CB0664"/>
    <w:rsid w:val="00CB0764"/>
    <w:rsid w:val="00CB2DDA"/>
    <w:rsid w:val="00DA3948"/>
    <w:rsid w:val="00DE6E11"/>
    <w:rsid w:val="00DF58EB"/>
    <w:rsid w:val="00EA444E"/>
    <w:rsid w:val="00F34A6A"/>
    <w:rsid w:val="00F37627"/>
    <w:rsid w:val="00FC693F"/>
    <w:rsid w:val="00FD470F"/>
    <w:rsid w:val="05E53F4A"/>
    <w:rsid w:val="118A0F36"/>
    <w:rsid w:val="120387B9"/>
    <w:rsid w:val="2601DECB"/>
    <w:rsid w:val="2B0F0750"/>
    <w:rsid w:val="482048AE"/>
    <w:rsid w:val="4B560B0B"/>
    <w:rsid w:val="550821B5"/>
    <w:rsid w:val="5C74A720"/>
    <w:rsid w:val="698BD2A6"/>
    <w:rsid w:val="7C0A0842"/>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3C961A1E-7197-4350-A158-3F295ADB8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jc w:val="both"/>
    </w:pPr>
    <w:rPr>
      <w:rFonts w:ascii="Arial" w:eastAsia="Arial" w:hAnsi="Arial"/>
    </w:rPr>
  </w:style>
  <w:style w:type="paragraph" w:styleId="Heading1">
    <w:name w:val="heading 1"/>
    <w:basedOn w:val="Normal"/>
    <w:next w:val="Normal"/>
    <w:link w:val="Heading1Char"/>
    <w:uiPriority w:val="9"/>
    <w:qFormat/>
    <w:rsid w:val="00AE4018"/>
    <w:pPr>
      <w:keepNext/>
      <w:keepLines/>
      <w:spacing w:before="12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12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AE4018"/>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120" w:line="240" w:lineRule="auto"/>
      <w:contextualSpacing/>
    </w:pPr>
    <w:rPr>
      <w:rFonts w:asciiTheme="majorHAnsi" w:eastAsiaTheme="majorEastAsia" w:hAnsiTheme="majorHAnsi" w:cstheme="majorBidi"/>
      <w:b/>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2702</Words>
  <Characters>15404</Characters>
  <Application>Microsoft Office Word</Application>
  <DocSecurity>0</DocSecurity>
  <Lines>128</Lines>
  <Paragraphs>36</Paragraphs>
  <ScaleCrop>false</ScaleCrop>
  <Manager/>
  <Company/>
  <LinksUpToDate>false</LinksUpToDate>
  <CharactersWithSpaces>18070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Patricia Chidimma Anucha (2412552)</dc:creator>
  <cp:keywords/>
  <cp:lastModifiedBy>Patricia Chidimma Anucha (2412552)</cp:lastModifiedBy>
  <cp:revision>4</cp:revision>
  <dcterms:created xsi:type="dcterms:W3CDTF">2026-07-30T10:14:00Z</dcterms:created>
  <dcterms:modified xsi:type="dcterms:W3CDTF">2026-07-30T11:46:00Z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afe353f6-a3a6-467f-9cd3-49dab5553a7a</vt:lpwstr>
  </property>
</Properties>
</file>