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both"/>
        <w:rPr>
          <w:rFonts w:ascii="Arial" w:cs="Arial" w:hAnsi="Arial" w:eastAsia="Arial"/>
          <w:b w:val="1"/>
          <w:bCs w:val="1"/>
          <w:sz w:val="24"/>
          <w:szCs w:val="24"/>
        </w:rPr>
      </w:pPr>
    </w:p>
    <w:p>
      <w:pPr>
        <w:pStyle w:val="Body"/>
        <w:jc w:val="center"/>
        <w:rPr>
          <w:rFonts w:ascii="Arial" w:cs="Arial" w:hAnsi="Arial" w:eastAsia="Arial"/>
          <w:sz w:val="26"/>
          <w:szCs w:val="26"/>
        </w:rPr>
      </w:pPr>
      <w:r>
        <w:rPr>
          <w:rFonts w:ascii="Arial" w:hAnsi="Arial"/>
          <w:sz w:val="26"/>
          <w:szCs w:val="26"/>
          <w:rtl w:val="0"/>
          <w:lang w:val="en-US"/>
        </w:rPr>
        <w:t>A critical analysis of Dwr Cymru Welsh Water</w:t>
      </w:r>
      <w:r>
        <w:rPr>
          <w:rFonts w:ascii="Arial" w:hAnsi="Arial" w:hint="default"/>
          <w:sz w:val="26"/>
          <w:szCs w:val="26"/>
          <w:rtl w:val="0"/>
          <w:lang w:val="en-US"/>
        </w:rPr>
        <w:t>’</w:t>
      </w:r>
      <w:r>
        <w:rPr>
          <w:rFonts w:ascii="Arial" w:hAnsi="Arial"/>
          <w:sz w:val="26"/>
          <w:szCs w:val="26"/>
          <w:rtl w:val="0"/>
          <w:lang w:val="en-US"/>
        </w:rPr>
        <w:t>s (DCWW) wellbeing strategy and existing initiatives to understand their effectiveness in the modern workplace.</w:t>
      </w:r>
    </w:p>
    <w:p>
      <w:pPr>
        <w:pStyle w:val="Body"/>
        <w:jc w:val="both"/>
        <w:rPr>
          <w:rFonts w:ascii="Arial" w:cs="Arial" w:hAnsi="Arial" w:eastAsia="Arial"/>
          <w:sz w:val="24"/>
          <w:szCs w:val="24"/>
        </w:rPr>
      </w:pPr>
    </w:p>
    <w:p>
      <w:pPr>
        <w:pStyle w:val="Body"/>
        <w:jc w:val="both"/>
        <w:rPr>
          <w:rFonts w:ascii="Arial" w:cs="Arial" w:hAnsi="Arial" w:eastAsia="Arial"/>
          <w:b w:val="1"/>
          <w:bCs w:val="1"/>
          <w:sz w:val="24"/>
          <w:szCs w:val="24"/>
        </w:rPr>
      </w:pPr>
      <w:r>
        <w:rPr>
          <w:rFonts w:ascii="Arial" w:hAnsi="Arial"/>
          <w:b w:val="1"/>
          <w:bCs w:val="1"/>
          <w:sz w:val="24"/>
          <w:szCs w:val="24"/>
          <w:rtl w:val="0"/>
          <w:lang w:val="en-US"/>
        </w:rPr>
        <w:t>Background</w:t>
      </w:r>
    </w:p>
    <w:p>
      <w:pPr>
        <w:pStyle w:val="Body"/>
        <w:jc w:val="both"/>
        <w:rPr>
          <w:rFonts w:ascii="Arial" w:cs="Arial" w:hAnsi="Arial" w:eastAsia="Arial"/>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uppressAutoHyphens w:val="1"/>
        <w:spacing w:before="0" w:line="240" w:lineRule="auto"/>
        <w:jc w:val="both"/>
        <w:rPr>
          <w:rFonts w:ascii="Arial" w:cs="Arial" w:hAnsi="Arial" w:eastAsia="Arial"/>
        </w:rPr>
      </w:pPr>
      <w:r>
        <w:rPr>
          <w:rFonts w:ascii="Arial" w:hAnsi="Arial"/>
          <w:rtl w:val="0"/>
          <w:lang w:val="en-US"/>
        </w:rPr>
        <w:t xml:space="preserve">During the covid pandemic, there was a shift in focus for </w:t>
      </w:r>
      <w:r>
        <w:rPr>
          <w:rFonts w:ascii="Arial" w:hAnsi="Arial"/>
          <w:rtl w:val="0"/>
          <w:lang w:val="en-US"/>
        </w:rPr>
        <w:t xml:space="preserve">many </w:t>
      </w:r>
      <w:r>
        <w:rPr>
          <w:rFonts w:ascii="Arial" w:hAnsi="Arial"/>
          <w:rtl w:val="0"/>
          <w:lang w:val="en-US"/>
        </w:rPr>
        <w:t>employers in the field of wellbeing (</w:t>
      </w:r>
      <w:r>
        <w:rPr>
          <w:rFonts w:ascii="Arial" w:hAnsi="Arial"/>
          <w:rtl w:val="0"/>
          <w:lang w:val="en-US"/>
        </w:rPr>
        <w:t>CIPD, 2021</w:t>
      </w:r>
      <w:r>
        <w:rPr>
          <w:rFonts w:ascii="Arial" w:hAnsi="Arial"/>
          <w:rtl w:val="0"/>
          <w:lang w:val="en-US"/>
        </w:rPr>
        <w:t xml:space="preserve">) with </w:t>
      </w:r>
      <w:r>
        <w:rPr>
          <w:rFonts w:ascii="Arial" w:hAnsi="Arial"/>
          <w:rtl w:val="0"/>
          <w:lang w:val="en-US"/>
        </w:rPr>
        <w:t>a larger proportion of</w:t>
      </w:r>
      <w:r>
        <w:rPr>
          <w:rFonts w:ascii="Arial" w:hAnsi="Arial"/>
          <w:rtl w:val="0"/>
          <w:lang w:val="en-US"/>
        </w:rPr>
        <w:t xml:space="preserve"> companies </w:t>
      </w:r>
      <w:r>
        <w:rPr>
          <w:rFonts w:ascii="Arial" w:hAnsi="Arial"/>
          <w:rtl w:val="0"/>
          <w:lang w:val="en-US"/>
        </w:rPr>
        <w:t>having employee wellbeing on their agenda</w:t>
      </w:r>
      <w:r>
        <w:rPr>
          <w:rFonts w:ascii="Arial" w:hAnsi="Arial"/>
          <w:rtl w:val="0"/>
          <w:lang w:val="en-US"/>
        </w:rPr>
        <w:t xml:space="preserve">. Five years on, there have been various publications and articles highlighting a </w:t>
      </w:r>
      <w:r>
        <w:rPr>
          <w:rFonts w:ascii="Arial" w:hAnsi="Arial"/>
          <w:rtl w:val="0"/>
          <w:lang w:val="en-US"/>
        </w:rPr>
        <w:t>regress</w:t>
      </w:r>
      <w:r>
        <w:rPr>
          <w:rFonts w:ascii="Arial" w:hAnsi="Arial"/>
          <w:rtl w:val="0"/>
          <w:lang w:val="en-US"/>
        </w:rPr>
        <w:t xml:space="preserve"> to pre-pandemic levels, with a portion of employers sticking with and, in some cases, continually improving their offering</w:t>
      </w:r>
      <w:r>
        <w:rPr>
          <w:rFonts w:ascii="Arial" w:hAnsi="Arial"/>
          <w:rtl w:val="0"/>
          <w:lang w:val="en-US"/>
        </w:rPr>
        <w:t xml:space="preserve"> (Silvonen and Smith, 2025)</w:t>
      </w:r>
      <w:r>
        <w:rPr>
          <w:rFonts w:ascii="Arial" w:hAnsi="Arial"/>
          <w:rtl w:val="0"/>
          <w:lang w:val="en-US"/>
        </w:rPr>
        <w:t>. There is scarce research available o</w:t>
      </w:r>
      <w:r>
        <w:rPr>
          <w:rFonts w:ascii="Arial" w:hAnsi="Arial"/>
          <w:rtl w:val="0"/>
          <w:lang w:val="en-US"/>
        </w:rPr>
        <w:t>n organisations that cover a large geographic area and what their approach is and if what they provide is suitable for their workforce across the company</w:t>
      </w:r>
      <w:r>
        <w:rPr>
          <w:rFonts w:ascii="Arial" w:hAnsi="Arial" w:hint="default"/>
          <w:rtl w:val="0"/>
          <w:lang w:val="en-US"/>
        </w:rPr>
        <w:t>’</w:t>
      </w:r>
      <w:r>
        <w:rPr>
          <w:rFonts w:ascii="Arial" w:hAnsi="Arial"/>
          <w:rtl w:val="0"/>
          <w:lang w:val="en-US"/>
        </w:rPr>
        <w:t>s portfolio.</w:t>
      </w:r>
    </w:p>
    <w:p>
      <w:pPr>
        <w:pStyle w:val="Body"/>
        <w:jc w:val="both"/>
        <w:rPr>
          <w:rFonts w:ascii="Arial" w:cs="Arial" w:hAnsi="Arial" w:eastAsia="Arial"/>
          <w:sz w:val="24"/>
          <w:szCs w:val="24"/>
          <w:u w:color="000000"/>
        </w:rPr>
      </w:pPr>
    </w:p>
    <w:p>
      <w:pPr>
        <w:pStyle w:val="Body"/>
        <w:jc w:val="both"/>
        <w:rPr>
          <w:rFonts w:ascii="Arial" w:cs="Arial" w:hAnsi="Arial" w:eastAsia="Arial"/>
          <w:sz w:val="24"/>
          <w:szCs w:val="24"/>
          <w:u w:color="000000"/>
        </w:rPr>
      </w:pPr>
      <w:r>
        <w:rPr>
          <w:rFonts w:ascii="Arial" w:hAnsi="Arial"/>
          <w:sz w:val="24"/>
          <w:szCs w:val="24"/>
          <w:u w:color="000000"/>
          <w:rtl w:val="0"/>
          <w:lang w:val="en-US"/>
        </w:rPr>
        <w:t xml:space="preserve">When evaluating the effectiveness of wellbeing initiatives, I want to explore whether the offering from DCWW is adequate and delivers results, or is it a case of </w:t>
      </w:r>
      <w:r>
        <w:rPr>
          <w:rFonts w:ascii="Arial" w:hAnsi="Arial" w:hint="default"/>
          <w:sz w:val="24"/>
          <w:szCs w:val="24"/>
          <w:u w:color="000000"/>
          <w:rtl w:val="0"/>
          <w:lang w:val="en-US"/>
        </w:rPr>
        <w:t>‘</w:t>
      </w:r>
      <w:r>
        <w:rPr>
          <w:rFonts w:ascii="Arial" w:hAnsi="Arial"/>
          <w:sz w:val="24"/>
          <w:szCs w:val="24"/>
          <w:u w:color="000000"/>
          <w:rtl w:val="0"/>
          <w:lang w:val="en-US"/>
        </w:rPr>
        <w:t>wellbeing washing</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where they are more concerned about being seen to care about wellbeing instead of proactively taking care of colleagues (Morel, 2024). </w:t>
      </w:r>
    </w:p>
    <w:p>
      <w:pPr>
        <w:pStyle w:val="Body"/>
        <w:jc w:val="both"/>
        <w:rPr>
          <w:rFonts w:ascii="Arial" w:cs="Arial" w:hAnsi="Arial" w:eastAsia="Arial"/>
          <w:sz w:val="24"/>
          <w:szCs w:val="24"/>
          <w:u w:color="000000"/>
        </w:rPr>
      </w:pPr>
    </w:p>
    <w:p>
      <w:pPr>
        <w:pStyle w:val="Body"/>
        <w:jc w:val="both"/>
        <w:rPr>
          <w:rFonts w:ascii="Arial" w:cs="Arial" w:hAnsi="Arial" w:eastAsia="Arial"/>
          <w:sz w:val="24"/>
          <w:szCs w:val="24"/>
          <w:u w:color="000000"/>
        </w:rPr>
      </w:pPr>
      <w:r>
        <w:rPr>
          <w:rFonts w:ascii="Arial" w:hAnsi="Arial"/>
          <w:sz w:val="24"/>
          <w:szCs w:val="24"/>
          <w:u w:color="000000"/>
          <w:rtl w:val="0"/>
          <w:lang w:val="en-US"/>
        </w:rPr>
        <w:t>An area of debate is the effectiveness of employee assistance programmes (EAPs). Research shows that there is a strong need for EAPs as their services are crucial in promoting positive health and wellbeing, most commonly mental health related. This is especially true given the current challenges in the NHS, which has caused increasing pressure for employers to provide services (Cooper, 2023), which has exasperated since the pandemic. However, some organisations have become too reliant on certain services</w:t>
      </w:r>
      <w:r>
        <w:rPr>
          <w:rFonts w:ascii="Arial" w:hAnsi="Arial" w:hint="default"/>
          <w:sz w:val="24"/>
          <w:szCs w:val="24"/>
          <w:u w:color="000000"/>
          <w:rtl w:val="0"/>
          <w:lang w:val="en-US"/>
        </w:rPr>
        <w:t>’</w:t>
      </w:r>
      <w:r>
        <w:rPr>
          <w:rFonts w:ascii="Arial" w:hAnsi="Arial"/>
          <w:sz w:val="24"/>
          <w:szCs w:val="24"/>
          <w:u w:color="000000"/>
          <w:rtl w:val="0"/>
          <w:lang w:val="en-US"/>
        </w:rPr>
        <w:t>s abilities and reach when supporting the workforce, with little to no review of the benefits once implemented (East Anglia in Business, No Date). For 2024-25, 536 colleagues,  out of a workforce of over 4000, accessed services provided by DCWW</w:t>
      </w:r>
      <w:r>
        <w:rPr>
          <w:rFonts w:ascii="Arial" w:hAnsi="Arial" w:hint="default"/>
          <w:sz w:val="24"/>
          <w:szCs w:val="24"/>
          <w:u w:color="000000"/>
          <w:rtl w:val="0"/>
          <w:lang w:val="en-US"/>
        </w:rPr>
        <w:t>’</w:t>
      </w:r>
      <w:r>
        <w:rPr>
          <w:rFonts w:ascii="Arial" w:hAnsi="Arial"/>
          <w:sz w:val="24"/>
          <w:szCs w:val="24"/>
          <w:u w:color="000000"/>
          <w:rtl w:val="0"/>
          <w:lang w:val="en-US"/>
        </w:rPr>
        <w:t>s employee assistance programme, with mental health support being the most common form of support requested.</w:t>
      </w:r>
    </w:p>
    <w:p>
      <w:pPr>
        <w:pStyle w:val="Body"/>
        <w:jc w:val="both"/>
        <w:rPr>
          <w:rFonts w:ascii="Arial" w:cs="Arial" w:hAnsi="Arial" w:eastAsia="Arial"/>
          <w:sz w:val="24"/>
          <w:szCs w:val="24"/>
          <w:u w:color="000000"/>
        </w:rPr>
      </w:pPr>
    </w:p>
    <w:p>
      <w:pPr>
        <w:pStyle w:val="Body"/>
        <w:jc w:val="both"/>
        <w:rPr>
          <w:rFonts w:ascii="Arial" w:cs="Arial" w:hAnsi="Arial" w:eastAsia="Arial"/>
          <w:sz w:val="24"/>
          <w:szCs w:val="24"/>
          <w:u w:color="000000"/>
        </w:rPr>
      </w:pPr>
      <w:r>
        <w:rPr>
          <w:rFonts w:ascii="Arial" w:hAnsi="Arial"/>
          <w:sz w:val="24"/>
          <w:szCs w:val="24"/>
          <w:u w:color="000000"/>
          <w:rtl w:val="0"/>
          <w:lang w:val="en-US"/>
        </w:rPr>
        <w:t xml:space="preserve">I want to find out if a barrier such as </w:t>
      </w:r>
      <w:r>
        <w:rPr>
          <w:rFonts w:ascii="Arial" w:hAnsi="Arial" w:hint="default"/>
          <w:sz w:val="24"/>
          <w:szCs w:val="24"/>
          <w:u w:color="000000"/>
          <w:rtl w:val="0"/>
          <w:lang w:val="en-US"/>
        </w:rPr>
        <w:t>‘</w:t>
      </w:r>
      <w:r>
        <w:rPr>
          <w:rFonts w:ascii="Arial" w:hAnsi="Arial"/>
          <w:sz w:val="24"/>
          <w:szCs w:val="24"/>
          <w:u w:color="000000"/>
          <w:rtl w:val="0"/>
          <w:lang w:val="en-US"/>
        </w:rPr>
        <w:t>wellbeing washing</w:t>
      </w:r>
      <w:r>
        <w:rPr>
          <w:rFonts w:ascii="Arial" w:hAnsi="Arial" w:hint="default"/>
          <w:sz w:val="24"/>
          <w:szCs w:val="24"/>
          <w:u w:color="000000"/>
          <w:rtl w:val="0"/>
          <w:lang w:val="en-US"/>
        </w:rPr>
        <w:t xml:space="preserve">’ </w:t>
      </w:r>
      <w:r>
        <w:rPr>
          <w:rFonts w:ascii="Arial" w:hAnsi="Arial"/>
          <w:sz w:val="24"/>
          <w:szCs w:val="24"/>
          <w:u w:color="000000"/>
          <w:rtl w:val="0"/>
          <w:lang w:val="en-US"/>
        </w:rPr>
        <w:t>is present within DCWW and what can be changed to better utilise key wellbeing resources. Interacting with colleagues in management and non-management positions and locations across Wales will give me insight into different perspectives and experiences.</w:t>
      </w:r>
    </w:p>
    <w:p>
      <w:pPr>
        <w:pStyle w:val="Body"/>
        <w:jc w:val="both"/>
        <w:rPr>
          <w:rFonts w:ascii="Arial" w:cs="Arial" w:hAnsi="Arial" w:eastAsia="Arial"/>
          <w:sz w:val="24"/>
          <w:szCs w:val="24"/>
        </w:rPr>
      </w:pPr>
    </w:p>
    <w:p>
      <w:pPr>
        <w:pStyle w:val="Body"/>
        <w:jc w:val="both"/>
        <w:rPr>
          <w:rFonts w:ascii="Arial" w:cs="Arial" w:hAnsi="Arial" w:eastAsia="Arial"/>
          <w:b w:val="1"/>
          <w:bCs w:val="1"/>
          <w:sz w:val="24"/>
          <w:szCs w:val="24"/>
        </w:rPr>
      </w:pPr>
      <w:r>
        <w:rPr>
          <w:rFonts w:ascii="Arial" w:hAnsi="Arial"/>
          <w:b w:val="1"/>
          <w:bCs w:val="1"/>
          <w:sz w:val="24"/>
          <w:szCs w:val="24"/>
          <w:rtl w:val="0"/>
          <w:lang w:val="en-US"/>
        </w:rPr>
        <w:t>Aim &amp; O</w:t>
      </w:r>
      <w:r>
        <w:rPr>
          <w:rFonts w:ascii="Arial" w:hAnsi="Arial"/>
          <w:b w:val="1"/>
          <w:bCs w:val="1"/>
          <w:sz w:val="24"/>
          <w:szCs w:val="24"/>
          <w:rtl w:val="0"/>
          <w:lang w:val="fr-FR"/>
        </w:rPr>
        <w:t>bjectives</w:t>
      </w:r>
    </w:p>
    <w:p>
      <w:pPr>
        <w:pStyle w:val="Body"/>
        <w:jc w:val="both"/>
        <w:rPr>
          <w:rFonts w:ascii="Arial" w:cs="Arial" w:hAnsi="Arial" w:eastAsia="Arial"/>
          <w:sz w:val="24"/>
          <w:szCs w:val="24"/>
        </w:rPr>
      </w:pPr>
    </w:p>
    <w:p>
      <w:pPr>
        <w:pStyle w:val="Body"/>
        <w:jc w:val="both"/>
        <w:rPr>
          <w:rFonts w:ascii="Arial" w:cs="Arial" w:hAnsi="Arial" w:eastAsia="Arial"/>
          <w:sz w:val="24"/>
          <w:szCs w:val="24"/>
          <w:lang w:val="en-US"/>
        </w:rPr>
      </w:pPr>
      <w:r>
        <w:rPr>
          <w:rFonts w:ascii="Arial" w:hAnsi="Arial"/>
          <w:sz w:val="24"/>
          <w:szCs w:val="24"/>
          <w:rtl w:val="0"/>
          <w:lang w:val="en-US"/>
        </w:rPr>
        <w:t>The aim of my research is to ascertain whether the wellbeing strategy and initiatives in place at DCWW are fit for purpose in the modern workplace. I will critically analyse the current approach and provide recommendations for improvement that DCWW can consider.</w:t>
      </w:r>
    </w:p>
    <w:p>
      <w:pPr>
        <w:pStyle w:val="Body"/>
        <w:jc w:val="both"/>
        <w:rPr>
          <w:rFonts w:ascii="Arial" w:cs="Arial" w:hAnsi="Arial" w:eastAsia="Arial"/>
          <w:outline w:val="0"/>
          <w:color w:val="f12025"/>
          <w:sz w:val="24"/>
          <w:szCs w:val="24"/>
          <w14:textFill>
            <w14:solidFill>
              <w14:srgbClr w14:val="F22125"/>
            </w14:solidFill>
          </w14:textFill>
        </w:rPr>
      </w:pPr>
    </w:p>
    <w:p>
      <w:pPr>
        <w:pStyle w:val="Body"/>
        <w:numPr>
          <w:ilvl w:val="0"/>
          <w:numId w:val="2"/>
        </w:numPr>
        <w:spacing w:line="288" w:lineRule="auto"/>
        <w:jc w:val="both"/>
        <w:rPr>
          <w:rFonts w:ascii="Arial" w:hAnsi="Arial"/>
          <w:sz w:val="24"/>
          <w:szCs w:val="24"/>
          <w:u w:color="000000"/>
          <w:lang w:val="en-US"/>
        </w:rPr>
      </w:pPr>
      <w:r>
        <w:rPr>
          <w:rFonts w:ascii="Arial" w:hAnsi="Arial"/>
          <w:sz w:val="24"/>
          <w:szCs w:val="24"/>
          <w:u w:color="000000"/>
          <w:rtl w:val="0"/>
          <w:lang w:val="en-US"/>
        </w:rPr>
        <w:t>Identify what wellbeing initiatives DCWW offers its employees and understand how these are selected and implemented across the business.</w:t>
      </w:r>
    </w:p>
    <w:p>
      <w:pPr>
        <w:pStyle w:val="Body"/>
        <w:numPr>
          <w:ilvl w:val="0"/>
          <w:numId w:val="2"/>
        </w:numPr>
        <w:spacing w:line="288" w:lineRule="auto"/>
        <w:jc w:val="both"/>
        <w:rPr>
          <w:rFonts w:ascii="Arial" w:hAnsi="Arial"/>
          <w:sz w:val="24"/>
          <w:szCs w:val="24"/>
          <w:u w:color="000000"/>
          <w:lang w:val="en-US"/>
        </w:rPr>
      </w:pPr>
      <w:r>
        <w:rPr>
          <w:rFonts w:ascii="Arial" w:hAnsi="Arial"/>
          <w:sz w:val="24"/>
          <w:szCs w:val="24"/>
          <w:u w:color="000000"/>
          <w:rtl w:val="0"/>
          <w:lang w:val="en-US"/>
        </w:rPr>
        <w:t>Evaluate the current wellbeing strategy and understand how this has been constructed.</w:t>
      </w:r>
    </w:p>
    <w:p>
      <w:pPr>
        <w:pStyle w:val="Body"/>
        <w:numPr>
          <w:ilvl w:val="0"/>
          <w:numId w:val="2"/>
        </w:numPr>
        <w:spacing w:line="288" w:lineRule="auto"/>
        <w:jc w:val="both"/>
        <w:rPr>
          <w:rFonts w:ascii="Arial" w:hAnsi="Arial"/>
          <w:sz w:val="24"/>
          <w:szCs w:val="24"/>
          <w:u w:color="000000"/>
          <w:lang w:val="en-US"/>
        </w:rPr>
      </w:pPr>
      <w:r>
        <w:rPr>
          <w:rFonts w:ascii="Arial" w:hAnsi="Arial"/>
          <w:sz w:val="24"/>
          <w:szCs w:val="24"/>
          <w:u w:color="000000"/>
          <w:rtl w:val="0"/>
          <w:lang w:val="en-US"/>
        </w:rPr>
        <w:t>Examine whether DCWW monitor the return on investment for their wellbeing strategy and understand if the initiatives on offer meet employee expectations.</w:t>
      </w:r>
    </w:p>
    <w:p>
      <w:pPr>
        <w:pStyle w:val="Body"/>
        <w:numPr>
          <w:ilvl w:val="0"/>
          <w:numId w:val="2"/>
        </w:numPr>
        <w:spacing w:line="288" w:lineRule="auto"/>
        <w:jc w:val="both"/>
        <w:rPr>
          <w:rFonts w:ascii="Arial" w:hAnsi="Arial"/>
          <w:sz w:val="24"/>
          <w:szCs w:val="24"/>
          <w:u w:color="000000"/>
          <w:lang w:val="en-US"/>
        </w:rPr>
      </w:pPr>
      <w:r>
        <w:rPr>
          <w:rFonts w:ascii="Arial" w:hAnsi="Arial"/>
          <w:sz w:val="24"/>
          <w:szCs w:val="24"/>
          <w:u w:color="000000"/>
          <w:rtl w:val="0"/>
          <w:lang w:val="en-US"/>
        </w:rPr>
        <w:t>Produce recommendations on how DCWW can provide an employee wellbeing offering that meets colleague expectations and delivers a positive return on investment for the business.</w:t>
      </w:r>
    </w:p>
    <w:p>
      <w:pPr>
        <w:pStyle w:val="Body"/>
        <w:jc w:val="both"/>
        <w:rPr>
          <w:rFonts w:ascii="Arial" w:cs="Arial" w:hAnsi="Arial" w:eastAsia="Arial"/>
          <w:sz w:val="24"/>
          <w:szCs w:val="24"/>
        </w:rPr>
      </w:pPr>
    </w:p>
    <w:p>
      <w:pPr>
        <w:pStyle w:val="Body"/>
        <w:jc w:val="both"/>
        <w:rPr>
          <w:rFonts w:ascii="Arial" w:cs="Arial" w:hAnsi="Arial" w:eastAsia="Arial"/>
          <w:b w:val="1"/>
          <w:bCs w:val="1"/>
          <w:sz w:val="24"/>
          <w:szCs w:val="24"/>
        </w:rPr>
      </w:pPr>
      <w:r>
        <w:rPr>
          <w:rFonts w:ascii="Arial" w:hAnsi="Arial"/>
          <w:b w:val="1"/>
          <w:bCs w:val="1"/>
          <w:sz w:val="24"/>
          <w:szCs w:val="24"/>
          <w:rtl w:val="0"/>
          <w:lang w:val="en-US"/>
        </w:rPr>
        <w:t xml:space="preserve">Theoretical </w:t>
      </w:r>
      <w:r>
        <w:rPr>
          <w:rFonts w:ascii="Arial" w:hAnsi="Arial"/>
          <w:b w:val="1"/>
          <w:bCs w:val="1"/>
          <w:sz w:val="24"/>
          <w:szCs w:val="24"/>
          <w:rtl w:val="0"/>
          <w:lang w:val="en-US"/>
        </w:rPr>
        <w:t>C</w:t>
      </w:r>
      <w:r>
        <w:rPr>
          <w:rFonts w:ascii="Arial" w:hAnsi="Arial"/>
          <w:b w:val="1"/>
          <w:bCs w:val="1"/>
          <w:sz w:val="24"/>
          <w:szCs w:val="24"/>
          <w:rtl w:val="0"/>
          <w:lang w:val="de-DE"/>
        </w:rPr>
        <w:t>ontext - Literature</w:t>
      </w:r>
      <w:r>
        <w:rPr>
          <w:rFonts w:ascii="Arial" w:hAnsi="Arial"/>
          <w:b w:val="1"/>
          <w:bCs w:val="1"/>
          <w:sz w:val="24"/>
          <w:szCs w:val="24"/>
          <w:rtl w:val="0"/>
          <w:lang w:val="en-US"/>
        </w:rPr>
        <w:t xml:space="preserve"> Review</w:t>
      </w:r>
    </w:p>
    <w:p>
      <w:pPr>
        <w:pStyle w:val="Body"/>
        <w:jc w:val="both"/>
        <w:rPr>
          <w:rFonts w:ascii="Arial" w:cs="Arial" w:hAnsi="Arial" w:eastAsia="Arial"/>
          <w:outline w:val="0"/>
          <w:color w:val="ed220b"/>
          <w:sz w:val="24"/>
          <w:szCs w:val="24"/>
          <w14:textFill>
            <w14:solidFill>
              <w14:srgbClr w14:val="EE220C"/>
            </w14:solidFill>
          </w14:textFill>
        </w:rPr>
      </w:pPr>
    </w:p>
    <w:p>
      <w:pPr>
        <w:pStyle w:val="Body"/>
        <w:jc w:val="both"/>
        <w:rPr>
          <w:rFonts w:ascii="Arial" w:cs="Arial" w:hAnsi="Arial" w:eastAsia="Arial"/>
          <w:sz w:val="24"/>
          <w:szCs w:val="24"/>
        </w:rPr>
      </w:pPr>
      <w:r>
        <w:rPr>
          <w:rFonts w:ascii="Arial" w:hAnsi="Arial"/>
          <w:sz w:val="24"/>
          <w:szCs w:val="24"/>
          <w:rtl w:val="0"/>
          <w:lang w:val="en-US"/>
        </w:rPr>
        <w:t xml:space="preserve">Research and resources available show that the concept of wellbeing became a significant organisational priority during the covid-19 pandemic, with employers focusing on their offering and improving how they can support their employees (Zurich, 2022). However, in the five years since the beginning of the pandemic, many companies have pushed advancements in their wellbeing strategy and offering down the agenda, resulting in a lack of support for colleagues and giving rise to the concept of </w:t>
      </w:r>
      <w:r>
        <w:rPr>
          <w:rFonts w:ascii="Arial" w:hAnsi="Arial" w:hint="default"/>
          <w:sz w:val="24"/>
          <w:szCs w:val="24"/>
          <w:rtl w:val="0"/>
          <w:lang w:val="en-US"/>
        </w:rPr>
        <w:t>‘</w:t>
      </w:r>
      <w:r>
        <w:rPr>
          <w:rFonts w:ascii="Arial" w:hAnsi="Arial"/>
          <w:sz w:val="24"/>
          <w:szCs w:val="24"/>
          <w:rtl w:val="0"/>
          <w:lang w:val="en-US"/>
        </w:rPr>
        <w:t>wellbeing washing</w:t>
      </w:r>
      <w:r>
        <w:rPr>
          <w:rFonts w:ascii="Arial" w:hAnsi="Arial" w:hint="default"/>
          <w:sz w:val="24"/>
          <w:szCs w:val="24"/>
          <w:rtl w:val="0"/>
          <w:lang w:val="en-US"/>
        </w:rPr>
        <w:t xml:space="preserve">’ </w:t>
      </w:r>
      <w:r>
        <w:rPr>
          <w:rFonts w:ascii="Arial" w:hAnsi="Arial"/>
          <w:sz w:val="24"/>
          <w:szCs w:val="24"/>
          <w:rtl w:val="0"/>
          <w:lang w:val="en-US"/>
        </w:rPr>
        <w:t>(CIPD, 2022). The later has gained traction over recent years with employers giving the impression that they are focusing on employee wellbeing and that it is a core part of their business objectives, but in reality the support is actually of little to no use with no real benefits being felt by individuals (</w:t>
      </w:r>
      <w:r>
        <w:rPr>
          <w:rFonts w:ascii="Arial" w:hAnsi="Arial"/>
          <w:sz w:val="24"/>
          <w:szCs w:val="24"/>
          <w:rtl w:val="0"/>
          <w:lang w:val="en-US"/>
        </w:rPr>
        <w:t>Mayne, 2024</w:t>
      </w:r>
      <w:r>
        <w:rPr>
          <w:rFonts w:ascii="Arial" w:hAnsi="Arial"/>
          <w:sz w:val="24"/>
          <w:szCs w:val="24"/>
          <w:rtl w:val="0"/>
          <w:lang w:val="en-US"/>
        </w:rPr>
        <w:t>).</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I have also discovered a lack of data available that shows organisations that are geographically spread to consider this as part of their wellbeing strategy. The challenges of this for some colleagues can impact upon their wellbeing and the support they can access.</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 xml:space="preserve">Based on my findings, I will research the wellbeing approach being taken by DCWW and provide recommendations for improvement. This is to ensure adequate support is being provided for </w:t>
      </w:r>
      <w:r>
        <w:rPr>
          <w:rFonts w:ascii="Arial" w:hAnsi="Arial"/>
          <w:sz w:val="24"/>
          <w:szCs w:val="24"/>
          <w:rtl w:val="0"/>
          <w:lang w:val="en-US"/>
        </w:rPr>
        <w:t>colleagues</w:t>
      </w:r>
      <w:r>
        <w:rPr>
          <w:rFonts w:ascii="Arial" w:hAnsi="Arial"/>
          <w:sz w:val="24"/>
          <w:szCs w:val="24"/>
          <w:rtl w:val="0"/>
          <w:lang w:val="en-US"/>
        </w:rPr>
        <w:t xml:space="preserve"> across the portfolio and that the support initiatives are of true benefit and give a return on investment to the organisation. This can be monitored through improvements in absenteeism, presenteeism and turnover (Choughari, 2024).</w:t>
      </w:r>
    </w:p>
    <w:p>
      <w:pPr>
        <w:pStyle w:val="Body"/>
        <w:jc w:val="both"/>
        <w:rPr>
          <w:rFonts w:ascii="Arial" w:cs="Arial" w:hAnsi="Arial" w:eastAsia="Arial"/>
          <w:sz w:val="24"/>
          <w:szCs w:val="24"/>
        </w:rPr>
      </w:pPr>
    </w:p>
    <w:p>
      <w:pPr>
        <w:pStyle w:val="Body"/>
        <w:jc w:val="both"/>
        <w:rPr>
          <w:rFonts w:ascii="Arial" w:cs="Arial" w:hAnsi="Arial" w:eastAsia="Arial"/>
          <w:b w:val="1"/>
          <w:bCs w:val="1"/>
          <w:sz w:val="24"/>
          <w:szCs w:val="24"/>
        </w:rPr>
      </w:pPr>
      <w:r>
        <w:rPr>
          <w:rFonts w:ascii="Arial" w:hAnsi="Arial"/>
          <w:b w:val="1"/>
          <w:bCs w:val="1"/>
          <w:sz w:val="24"/>
          <w:szCs w:val="24"/>
          <w:rtl w:val="0"/>
          <w:lang w:val="en-US"/>
        </w:rPr>
        <w:t>Methodology</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Using Saunders</w:t>
      </w:r>
      <w:r>
        <w:rPr>
          <w:rFonts w:ascii="Arial" w:hAnsi="Arial" w:hint="default"/>
          <w:sz w:val="24"/>
          <w:szCs w:val="24"/>
          <w:rtl w:val="0"/>
          <w:lang w:val="en-US"/>
        </w:rPr>
        <w:t xml:space="preserve">’ </w:t>
      </w:r>
      <w:r>
        <w:rPr>
          <w:rFonts w:ascii="Arial" w:hAnsi="Arial"/>
          <w:sz w:val="24"/>
          <w:szCs w:val="24"/>
          <w:rtl w:val="0"/>
          <w:lang w:val="en-US"/>
        </w:rPr>
        <w:t>Research Onion (</w:t>
      </w:r>
      <w:r>
        <w:rPr>
          <w:rFonts w:ascii="Arial" w:hAnsi="Arial"/>
          <w:sz w:val="24"/>
          <w:szCs w:val="24"/>
          <w:rtl w:val="0"/>
          <w:lang w:val="en-US"/>
        </w:rPr>
        <w:t>Lewis, Saunders, and Thornhill, 1997</w:t>
      </w:r>
      <w:r>
        <w:rPr>
          <w:rFonts w:ascii="Arial" w:hAnsi="Arial"/>
          <w:sz w:val="24"/>
          <w:szCs w:val="24"/>
          <w:rtl w:val="0"/>
          <w:lang w:val="en-US"/>
        </w:rPr>
        <w:t xml:space="preserve">) as the basis of my research gives me flexibility and choice at each stage of the process, which enables me to explore different avenues </w:t>
      </w:r>
      <w:r>
        <w:rPr>
          <w:rFonts w:ascii="Arial" w:hAnsi="Arial"/>
          <w:sz w:val="24"/>
          <w:szCs w:val="24"/>
          <w:rtl w:val="0"/>
          <w:lang w:val="en-US"/>
        </w:rPr>
        <w:t xml:space="preserve">when conducting my research and ensures I am being as comprehensive and diligent as possible. Alternative models, such </w:t>
      </w:r>
      <w:r>
        <w:rPr>
          <w:rFonts w:ascii="Arial" w:hAnsi="Arial"/>
          <w:sz w:val="24"/>
          <w:szCs w:val="24"/>
          <w:rtl w:val="0"/>
          <w:lang w:val="en-US"/>
        </w:rPr>
        <w:t>as</w:t>
      </w:r>
      <w:r>
        <w:rPr>
          <w:rFonts w:ascii="Arial" w:hAnsi="Arial"/>
          <w:sz w:val="24"/>
          <w:szCs w:val="24"/>
          <w:rtl w:val="0"/>
          <w:lang w:val="de-DE"/>
        </w:rPr>
        <w:t xml:space="preserve"> Creswell</w:t>
      </w:r>
      <w:r>
        <w:rPr>
          <w:rFonts w:ascii="Arial" w:hAnsi="Arial" w:hint="default"/>
          <w:sz w:val="24"/>
          <w:szCs w:val="24"/>
          <w:rtl w:val="1"/>
        </w:rPr>
        <w:t>’</w:t>
      </w:r>
      <w:r>
        <w:rPr>
          <w:rFonts w:ascii="Arial" w:hAnsi="Arial"/>
          <w:sz w:val="24"/>
          <w:szCs w:val="24"/>
          <w:rtl w:val="0"/>
          <w:lang w:val="en-US"/>
        </w:rPr>
        <w:t>s Research Design, personally, felt too restrictive, with only three parts to it, potentially limiting how my research was conducted (</w:t>
      </w:r>
      <w:r>
        <w:rPr>
          <w:rFonts w:ascii="Arial" w:hAnsi="Arial"/>
          <w:sz w:val="24"/>
          <w:szCs w:val="24"/>
          <w:rtl w:val="0"/>
          <w:lang w:val="en-US"/>
        </w:rPr>
        <w:t>Creswell, 2009</w:t>
      </w:r>
      <w:r>
        <w:rPr>
          <w:rFonts w:ascii="Arial" w:hAnsi="Arial"/>
          <w:sz w:val="24"/>
          <w:szCs w:val="24"/>
          <w:rtl w:val="0"/>
        </w:rPr>
        <w:t>).</w:t>
      </w: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cs="Arial" w:hAnsi="Arial" w:eastAsia="Arial"/>
          <w:sz w:val="24"/>
          <w:szCs w:val="24"/>
        </w:rPr>
        <w:drawing xmlns:a="http://schemas.openxmlformats.org/drawingml/2006/main">
          <wp:anchor distT="152400" distB="152400" distL="152400" distR="152400" simplePos="0" relativeHeight="251660288" behindDoc="0" locked="0" layoutInCell="1" allowOverlap="1">
            <wp:simplePos x="0" y="0"/>
            <wp:positionH relativeFrom="margin">
              <wp:posOffset>1419255</wp:posOffset>
            </wp:positionH>
            <wp:positionV relativeFrom="line">
              <wp:posOffset>257189</wp:posOffset>
            </wp:positionV>
            <wp:extent cx="3268846" cy="2525162"/>
            <wp:effectExtent l="0" t="0" r="0" b="0"/>
            <wp:wrapThrough wrapText="bothSides" distL="152400" distR="152400">
              <wp:wrapPolygon edited="1">
                <wp:start x="0" y="0"/>
                <wp:lineTo x="21600" y="0"/>
                <wp:lineTo x="21600" y="21626"/>
                <wp:lineTo x="0" y="21626"/>
                <wp:lineTo x="0" y="0"/>
              </wp:wrapPolygon>
            </wp:wrapThrough>
            <wp:docPr id="1073741825" name="officeArt object" descr="Screenshot 2025-11-17 at 09.28.41.png"/>
            <wp:cNvGraphicFramePr/>
            <a:graphic xmlns:a="http://schemas.openxmlformats.org/drawingml/2006/main">
              <a:graphicData uri="http://schemas.openxmlformats.org/drawingml/2006/picture">
                <pic:pic xmlns:pic="http://schemas.openxmlformats.org/drawingml/2006/picture">
                  <pic:nvPicPr>
                    <pic:cNvPr id="1073741825" name="Screenshot 2025-11-17 at 09.28.41.png" descr="Screenshot 2025-11-17 at 09.28.41.png"/>
                    <pic:cNvPicPr>
                      <a:picLocks noChangeAspect="1"/>
                    </pic:cNvPicPr>
                  </pic:nvPicPr>
                  <pic:blipFill>
                    <a:blip r:embed="rId4">
                      <a:extLst/>
                    </a:blip>
                    <a:stretch>
                      <a:fillRect/>
                    </a:stretch>
                  </pic:blipFill>
                  <pic:spPr>
                    <a:xfrm>
                      <a:off x="0" y="0"/>
                      <a:ext cx="3268846" cy="2525162"/>
                    </a:xfrm>
                    <a:prstGeom prst="rect">
                      <a:avLst/>
                    </a:prstGeom>
                    <a:ln w="12700" cap="flat">
                      <a:noFill/>
                      <a:miter lim="400000"/>
                    </a:ln>
                    <a:effectLst/>
                  </pic:spPr>
                </pic:pic>
              </a:graphicData>
            </a:graphic>
          </wp:anchor>
        </w:drawing>
      </w: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r>
        <w:rPr>
          <w:rFonts w:ascii="Arial" w:hAnsi="Arial"/>
          <w:sz w:val="24"/>
          <w:szCs w:val="24"/>
          <w:rtl w:val="0"/>
          <w:lang w:val="en-US"/>
        </w:rPr>
        <w:t>(</w:t>
      </w:r>
      <w:r>
        <w:rPr>
          <w:rFonts w:ascii="Arial" w:hAnsi="Arial"/>
          <w:sz w:val="24"/>
          <w:szCs w:val="24"/>
          <w:rtl w:val="0"/>
          <w:lang w:val="en-US"/>
        </w:rPr>
        <w:t xml:space="preserve">Lewis, Saunders, </w:t>
      </w:r>
      <w:r>
        <w:rPr>
          <w:rFonts w:ascii="Arial" w:hAnsi="Arial"/>
          <w:sz w:val="24"/>
          <w:szCs w:val="24"/>
          <w:rtl w:val="0"/>
          <w:lang w:val="en-US"/>
        </w:rPr>
        <w:t xml:space="preserve">and </w:t>
      </w:r>
      <w:r>
        <w:rPr>
          <w:rFonts w:ascii="Arial" w:hAnsi="Arial"/>
          <w:sz w:val="24"/>
          <w:szCs w:val="24"/>
          <w:rtl w:val="0"/>
          <w:lang w:val="en-US"/>
        </w:rPr>
        <w:t>Thornhill, 1997</w:t>
      </w:r>
      <w:r>
        <w:rPr>
          <w:rFonts w:ascii="Arial" w:hAnsi="Arial"/>
          <w:sz w:val="24"/>
          <w:szCs w:val="24"/>
          <w:rtl w:val="0"/>
          <w:lang w:val="en-US"/>
        </w:rPr>
        <w:t>, p. 177</w:t>
      </w:r>
      <w:r>
        <w:rPr>
          <w:rFonts w:ascii="Arial" w:hAnsi="Arial"/>
          <w:sz w:val="24"/>
          <w:szCs w:val="24"/>
          <w:rtl w:val="0"/>
        </w:rPr>
        <w:t>)</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 xml:space="preserve">Given the subject area, </w:t>
      </w:r>
      <w:r>
        <w:rPr>
          <w:rFonts w:ascii="Arial" w:hAnsi="Arial"/>
          <w:sz w:val="24"/>
          <w:szCs w:val="24"/>
          <w:rtl w:val="0"/>
          <w:lang w:val="pt-PT"/>
        </w:rPr>
        <w:t>interpretivism</w:t>
      </w:r>
      <w:r>
        <w:rPr>
          <w:rFonts w:ascii="Arial" w:hAnsi="Arial"/>
          <w:sz w:val="24"/>
          <w:szCs w:val="24"/>
          <w:rtl w:val="0"/>
          <w:lang w:val="en-US"/>
        </w:rPr>
        <w:t xml:space="preserve"> is the most appropriate research paradigm given the subjective nature of wellbeing and how individuals can have a different view on what that means due to personal circumstances and mentality (Ryan, 2018). This approach focuses on understanding individual</w:t>
      </w:r>
      <w:r>
        <w:rPr>
          <w:rFonts w:ascii="Arial" w:hAnsi="Arial" w:hint="default"/>
          <w:sz w:val="24"/>
          <w:szCs w:val="24"/>
          <w:rtl w:val="0"/>
          <w:lang w:val="en-US"/>
        </w:rPr>
        <w:t>’</w:t>
      </w:r>
      <w:r>
        <w:rPr>
          <w:rFonts w:ascii="Arial" w:hAnsi="Arial"/>
          <w:sz w:val="24"/>
          <w:szCs w:val="24"/>
          <w:rtl w:val="0"/>
          <w:lang w:val="en-US"/>
        </w:rPr>
        <w:t xml:space="preserve">s personal experiences and views on a deeper level, something other philosophies do not allow, such as positivism which focuses on something being measurable and if it can not be measured then it provides little to no importance (University of Nottingham, No Date). </w:t>
      </w:r>
      <w:r>
        <w:rPr>
          <w:rFonts w:ascii="Arial" w:hAnsi="Arial"/>
          <w:sz w:val="24"/>
          <w:szCs w:val="24"/>
          <w:rtl w:val="0"/>
          <w:lang w:val="en-US"/>
        </w:rPr>
        <w:t xml:space="preserve">Through </w:t>
      </w:r>
      <w:r>
        <w:rPr>
          <w:rFonts w:ascii="Arial" w:hAnsi="Arial"/>
          <w:sz w:val="24"/>
          <w:szCs w:val="24"/>
          <w:rtl w:val="0"/>
          <w:lang w:val="en-US"/>
        </w:rPr>
        <w:t xml:space="preserve">a </w:t>
      </w:r>
      <w:r>
        <w:rPr>
          <w:rFonts w:ascii="Arial" w:hAnsi="Arial"/>
          <w:sz w:val="24"/>
          <w:szCs w:val="24"/>
          <w:rtl w:val="0"/>
          <w:lang w:val="en-US"/>
        </w:rPr>
        <w:t>deducti</w:t>
      </w:r>
      <w:r>
        <w:rPr>
          <w:rFonts w:ascii="Arial" w:hAnsi="Arial"/>
          <w:sz w:val="24"/>
          <w:szCs w:val="24"/>
          <w:rtl w:val="0"/>
          <w:lang w:val="en-US"/>
        </w:rPr>
        <w:t>ve approach</w:t>
      </w:r>
      <w:r>
        <w:rPr>
          <w:rFonts w:ascii="Arial" w:hAnsi="Arial"/>
          <w:sz w:val="24"/>
          <w:szCs w:val="24"/>
          <w:rtl w:val="0"/>
          <w:lang w:val="en-US"/>
        </w:rPr>
        <w:t>, I aim to test my hypothesis that the current DCWW wellbeing strategy was constructed in isolation of the workforce</w:t>
      </w:r>
      <w:r>
        <w:rPr>
          <w:rFonts w:ascii="Arial" w:hAnsi="Arial" w:hint="default"/>
          <w:sz w:val="24"/>
          <w:szCs w:val="24"/>
          <w:rtl w:val="1"/>
        </w:rPr>
        <w:t>’</w:t>
      </w:r>
      <w:r>
        <w:rPr>
          <w:rFonts w:ascii="Arial" w:hAnsi="Arial"/>
          <w:sz w:val="24"/>
          <w:szCs w:val="24"/>
          <w:rtl w:val="0"/>
          <w:lang w:val="en-US"/>
        </w:rPr>
        <w:t>s input and for the benefit and convenience of the team involved and the business overall (Fife and Gossner, 2024).</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I will take a qualitative approach through the form of interviews, with secondary quantitative data used to provide insight into wellbeing at DCWW. I feel this approach is best suited to my research aim due to the adaptability it provides during the process. Using semi-structured interviews allows me to have a main thread of focus for each interview but I can adapt and explore in more detail any areas the interviewee raises, potentially providing me with insight on areas I had not previously considered. Shared emotion and lived experiences can also bring to life a process or interaction. This would not be possible if I chose a quantitative approach as a survey is too rigid and lacks depth (</w:t>
      </w:r>
      <w:r>
        <w:rPr>
          <w:rFonts w:ascii="Arial" w:hAnsi="Arial"/>
          <w:sz w:val="24"/>
          <w:szCs w:val="24"/>
          <w:rtl w:val="0"/>
          <w:lang w:val="da-DK"/>
        </w:rPr>
        <w:t>Anderson,</w:t>
      </w:r>
      <w:r>
        <w:rPr>
          <w:rFonts w:ascii="Arial" w:hAnsi="Arial"/>
          <w:sz w:val="24"/>
          <w:szCs w:val="24"/>
          <w:rtl w:val="0"/>
          <w:lang w:val="en-US"/>
        </w:rPr>
        <w:t xml:space="preserve"> 2013, p. 211-219). Interviews do have l</w:t>
      </w:r>
      <w:r>
        <w:rPr>
          <w:rFonts w:ascii="Arial" w:hAnsi="Arial"/>
          <w:sz w:val="24"/>
          <w:szCs w:val="24"/>
          <w:rtl w:val="0"/>
          <w:lang w:val="fr-FR"/>
        </w:rPr>
        <w:t>imitations</w:t>
      </w:r>
      <w:r>
        <w:rPr>
          <w:rFonts w:ascii="Arial" w:hAnsi="Arial"/>
          <w:sz w:val="24"/>
          <w:szCs w:val="24"/>
          <w:rtl w:val="0"/>
          <w:lang w:val="en-US"/>
        </w:rPr>
        <w:t xml:space="preserve">, such as time and resource constraints mean a </w:t>
      </w:r>
      <w:r>
        <w:rPr>
          <w:rFonts w:ascii="Arial" w:hAnsi="Arial"/>
          <w:sz w:val="24"/>
          <w:szCs w:val="24"/>
          <w:rtl w:val="0"/>
          <w:lang w:val="en-US"/>
        </w:rPr>
        <w:t xml:space="preserve">smaller sample size </w:t>
      </w:r>
      <w:r>
        <w:rPr>
          <w:rFonts w:ascii="Arial" w:hAnsi="Arial"/>
          <w:sz w:val="24"/>
          <w:szCs w:val="24"/>
          <w:rtl w:val="0"/>
          <w:lang w:val="en-US"/>
        </w:rPr>
        <w:t xml:space="preserve">will be used, whereas a survey could be conducted with a much larger audience. However, </w:t>
      </w:r>
      <w:r>
        <w:rPr>
          <w:rFonts w:ascii="Arial" w:hAnsi="Arial"/>
          <w:sz w:val="24"/>
          <w:szCs w:val="24"/>
          <w:rtl w:val="0"/>
          <w:lang w:val="en-US"/>
        </w:rPr>
        <w:t xml:space="preserve">when compared to a survey which can </w:t>
      </w:r>
      <w:r>
        <w:rPr>
          <w:rFonts w:ascii="Arial" w:hAnsi="Arial"/>
          <w:sz w:val="24"/>
          <w:szCs w:val="24"/>
          <w:rtl w:val="0"/>
          <w:lang w:val="en-US"/>
        </w:rPr>
        <w:t>have a larger</w:t>
      </w:r>
      <w:r>
        <w:rPr>
          <w:rFonts w:ascii="Arial" w:hAnsi="Arial"/>
          <w:sz w:val="24"/>
          <w:szCs w:val="24"/>
          <w:rtl w:val="0"/>
          <w:lang w:val="en-US"/>
        </w:rPr>
        <w:t xml:space="preserve"> volume of data</w:t>
      </w:r>
      <w:r>
        <w:rPr>
          <w:rFonts w:ascii="Arial" w:hAnsi="Arial"/>
          <w:sz w:val="24"/>
          <w:szCs w:val="24"/>
          <w:rtl w:val="0"/>
          <w:lang w:val="en-US"/>
        </w:rPr>
        <w:t xml:space="preserve">, </w:t>
      </w:r>
      <w:r>
        <w:rPr>
          <w:rFonts w:ascii="Arial" w:hAnsi="Arial"/>
          <w:sz w:val="24"/>
          <w:szCs w:val="24"/>
          <w:rtl w:val="0"/>
          <w:lang w:val="en-US"/>
        </w:rPr>
        <w:t xml:space="preserve">the quality of the </w:t>
      </w:r>
      <w:r>
        <w:rPr>
          <w:rFonts w:ascii="Arial" w:hAnsi="Arial"/>
          <w:sz w:val="24"/>
          <w:szCs w:val="24"/>
          <w:rtl w:val="0"/>
          <w:lang w:val="en-US"/>
        </w:rPr>
        <w:t>interview data</w:t>
      </w:r>
      <w:r>
        <w:rPr>
          <w:rFonts w:ascii="Arial" w:hAnsi="Arial"/>
          <w:sz w:val="24"/>
          <w:szCs w:val="24"/>
          <w:rtl w:val="0"/>
        </w:rPr>
        <w:t xml:space="preserve"> </w:t>
      </w:r>
      <w:r>
        <w:rPr>
          <w:rFonts w:ascii="Arial" w:hAnsi="Arial"/>
          <w:sz w:val="24"/>
          <w:szCs w:val="24"/>
          <w:rtl w:val="0"/>
          <w:lang w:val="en-US"/>
        </w:rPr>
        <w:t>can</w:t>
      </w:r>
      <w:r>
        <w:rPr>
          <w:rFonts w:ascii="Arial" w:hAnsi="Arial"/>
          <w:sz w:val="24"/>
          <w:szCs w:val="24"/>
          <w:rtl w:val="0"/>
          <w:lang w:val="en-US"/>
        </w:rPr>
        <w:t xml:space="preserve"> be much higher.</w:t>
      </w:r>
      <w:r>
        <w:rPr>
          <w:rFonts w:ascii="Arial" w:hAnsi="Arial"/>
          <w:sz w:val="24"/>
          <w:szCs w:val="24"/>
          <w:rtl w:val="0"/>
          <w:lang w:val="en-US"/>
        </w:rPr>
        <w:t xml:space="preserve"> Bias is also a factor that needs to be considered on both the part of the interviewer and participant (</w:t>
      </w:r>
      <w:r>
        <w:rPr>
          <w:rFonts w:ascii="Arial" w:hAnsi="Arial"/>
          <w:sz w:val="24"/>
          <w:szCs w:val="24"/>
          <w:rtl w:val="0"/>
        </w:rPr>
        <w:t>Lavrakas</w:t>
      </w:r>
      <w:r>
        <w:rPr>
          <w:rFonts w:ascii="Arial" w:hAnsi="Arial"/>
          <w:sz w:val="24"/>
          <w:szCs w:val="24"/>
          <w:rtl w:val="0"/>
          <w:lang w:val="en-US"/>
        </w:rPr>
        <w:t xml:space="preserve"> and</w:t>
      </w:r>
      <w:r>
        <w:rPr>
          <w:rFonts w:ascii="Arial" w:hAnsi="Arial"/>
          <w:sz w:val="24"/>
          <w:szCs w:val="24"/>
          <w:rtl w:val="0"/>
          <w:lang w:val="de-DE"/>
        </w:rPr>
        <w:t xml:space="preserve"> Roller, 2015</w:t>
      </w:r>
      <w:r>
        <w:rPr>
          <w:rFonts w:ascii="Arial" w:hAnsi="Arial"/>
          <w:sz w:val="24"/>
          <w:szCs w:val="24"/>
          <w:rtl w:val="0"/>
          <w:lang w:val="en-US"/>
        </w:rPr>
        <w:t xml:space="preserve">, p. 56-57). With that in mind, I will take a purposive approach in selecting my interviewees to ensure they are individuals who will be able to contribute, both positively and constructively, to my overall aim and objectives. This method can be susceptible to researcher bias, however researcher knowledge of the link between the individuals and the research area can be beneficial to overall aim (Golzar, Noor and Tajik, 2024). </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 xml:space="preserve">Given that I will </w:t>
      </w:r>
      <w:r>
        <w:rPr>
          <w:rFonts w:ascii="Arial" w:hAnsi="Arial"/>
          <w:sz w:val="24"/>
          <w:szCs w:val="24"/>
          <w:rtl w:val="0"/>
          <w:lang w:val="en-US"/>
        </w:rPr>
        <w:t xml:space="preserve">use more than one research methodology, such as </w:t>
      </w:r>
      <w:r>
        <w:rPr>
          <w:rFonts w:ascii="Arial" w:hAnsi="Arial"/>
          <w:sz w:val="24"/>
          <w:szCs w:val="24"/>
          <w:rtl w:val="0"/>
          <w:lang w:val="en-US"/>
        </w:rPr>
        <w:t xml:space="preserve">primary </w:t>
      </w:r>
      <w:r>
        <w:rPr>
          <w:rFonts w:ascii="Arial" w:hAnsi="Arial"/>
          <w:sz w:val="24"/>
          <w:szCs w:val="24"/>
          <w:rtl w:val="0"/>
          <w:lang w:val="en-US"/>
        </w:rPr>
        <w:t xml:space="preserve">qualitative and </w:t>
      </w:r>
      <w:r>
        <w:rPr>
          <w:rFonts w:ascii="Arial" w:hAnsi="Arial"/>
          <w:sz w:val="24"/>
          <w:szCs w:val="24"/>
          <w:rtl w:val="0"/>
          <w:lang w:val="en-US"/>
        </w:rPr>
        <w:t xml:space="preserve">secondary </w:t>
      </w:r>
      <w:r>
        <w:rPr>
          <w:rFonts w:ascii="Arial" w:hAnsi="Arial"/>
          <w:sz w:val="24"/>
          <w:szCs w:val="24"/>
          <w:rtl w:val="0"/>
          <w:lang w:val="it-IT"/>
        </w:rPr>
        <w:t>quantitative</w:t>
      </w:r>
      <w:r>
        <w:rPr>
          <w:rFonts w:ascii="Arial" w:hAnsi="Arial"/>
          <w:sz w:val="24"/>
          <w:szCs w:val="24"/>
          <w:rtl w:val="0"/>
          <w:lang w:val="en-US"/>
        </w:rPr>
        <w:t xml:space="preserve"> data</w:t>
      </w:r>
      <w:r>
        <w:rPr>
          <w:rFonts w:ascii="Arial" w:hAnsi="Arial"/>
          <w:sz w:val="24"/>
          <w:szCs w:val="24"/>
          <w:rtl w:val="0"/>
          <w:lang w:val="fr-FR"/>
        </w:rPr>
        <w:t xml:space="preserve">, triangulation </w:t>
      </w:r>
      <w:r>
        <w:rPr>
          <w:rFonts w:ascii="Arial" w:hAnsi="Arial"/>
          <w:sz w:val="24"/>
          <w:szCs w:val="24"/>
          <w:rtl w:val="0"/>
          <w:lang w:val="en-US"/>
        </w:rPr>
        <w:t xml:space="preserve">will take place and be </w:t>
      </w:r>
      <w:r>
        <w:rPr>
          <w:rFonts w:ascii="Arial" w:hAnsi="Arial"/>
          <w:sz w:val="24"/>
          <w:szCs w:val="24"/>
          <w:rtl w:val="0"/>
          <w:lang w:val="en-US"/>
        </w:rPr>
        <w:t xml:space="preserve">used to strengthen </w:t>
      </w:r>
      <w:r>
        <w:rPr>
          <w:rFonts w:ascii="Arial" w:hAnsi="Arial"/>
          <w:sz w:val="24"/>
          <w:szCs w:val="24"/>
          <w:rtl w:val="0"/>
          <w:lang w:val="en-US"/>
        </w:rPr>
        <w:t>my</w:t>
      </w:r>
      <w:r>
        <w:rPr>
          <w:rFonts w:ascii="Arial" w:hAnsi="Arial"/>
          <w:sz w:val="24"/>
          <w:szCs w:val="24"/>
          <w:rtl w:val="0"/>
          <w:lang w:val="en-US"/>
        </w:rPr>
        <w:t xml:space="preserve"> area of research. </w:t>
      </w:r>
      <w:r>
        <w:rPr>
          <w:rFonts w:ascii="Arial" w:hAnsi="Arial"/>
          <w:sz w:val="24"/>
          <w:szCs w:val="24"/>
          <w:rtl w:val="0"/>
          <w:lang w:val="en-US"/>
        </w:rPr>
        <w:t xml:space="preserve">Both forms of research will be </w:t>
      </w:r>
      <w:r>
        <w:rPr>
          <w:rFonts w:ascii="Arial" w:hAnsi="Arial"/>
          <w:sz w:val="24"/>
          <w:szCs w:val="24"/>
          <w:rtl w:val="0"/>
          <w:lang w:val="en-US"/>
        </w:rPr>
        <w:t>contributing towards the same research aim</w:t>
      </w:r>
      <w:r>
        <w:rPr>
          <w:rFonts w:ascii="Arial" w:hAnsi="Arial"/>
          <w:sz w:val="24"/>
          <w:szCs w:val="24"/>
          <w:rtl w:val="0"/>
          <w:lang w:val="en-US"/>
        </w:rPr>
        <w:t xml:space="preserve"> (Denzin, 2012)</w:t>
      </w:r>
      <w:r>
        <w:rPr>
          <w:rFonts w:ascii="Arial" w:hAnsi="Arial"/>
          <w:sz w:val="24"/>
          <w:szCs w:val="24"/>
          <w:rtl w:val="0"/>
        </w:rPr>
        <w:t>.</w:t>
      </w:r>
    </w:p>
    <w:p>
      <w:pPr>
        <w:pStyle w:val="Body"/>
        <w:jc w:val="both"/>
        <w:rPr>
          <w:rFonts w:ascii="Arial" w:cs="Arial" w:hAnsi="Arial" w:eastAsia="Arial"/>
          <w:sz w:val="24"/>
          <w:szCs w:val="24"/>
        </w:rPr>
      </w:pPr>
    </w:p>
    <w:p>
      <w:pPr>
        <w:pStyle w:val="Body"/>
        <w:jc w:val="both"/>
        <w:rPr>
          <w:rFonts w:ascii="Arial" w:cs="Arial" w:hAnsi="Arial" w:eastAsia="Arial"/>
          <w:b w:val="1"/>
          <w:bCs w:val="1"/>
          <w:sz w:val="24"/>
          <w:szCs w:val="24"/>
        </w:rPr>
      </w:pPr>
      <w:r>
        <w:rPr>
          <w:rFonts w:ascii="Arial" w:hAnsi="Arial"/>
          <w:b w:val="1"/>
          <w:bCs w:val="1"/>
          <w:sz w:val="24"/>
          <w:szCs w:val="24"/>
          <w:rtl w:val="0"/>
          <w:lang w:val="en-US"/>
        </w:rPr>
        <w:t xml:space="preserve">Ethical </w:t>
      </w:r>
      <w:r>
        <w:rPr>
          <w:rFonts w:ascii="Arial" w:hAnsi="Arial"/>
          <w:b w:val="1"/>
          <w:bCs w:val="1"/>
          <w:sz w:val="24"/>
          <w:szCs w:val="24"/>
          <w:rtl w:val="0"/>
          <w:lang w:val="en-US"/>
        </w:rPr>
        <w:t>I</w:t>
      </w:r>
      <w:r>
        <w:rPr>
          <w:rFonts w:ascii="Arial" w:hAnsi="Arial"/>
          <w:b w:val="1"/>
          <w:bCs w:val="1"/>
          <w:sz w:val="24"/>
          <w:szCs w:val="24"/>
          <w:rtl w:val="0"/>
          <w:lang w:val="en-US"/>
        </w:rPr>
        <w:t>ssues</w:t>
      </w:r>
    </w:p>
    <w:p>
      <w:pPr>
        <w:pStyle w:val="Body"/>
        <w:jc w:val="both"/>
        <w:rPr>
          <w:rFonts w:ascii="Arial" w:cs="Arial" w:hAnsi="Arial" w:eastAsia="Arial"/>
          <w:b w:val="1"/>
          <w:bCs w:val="1"/>
          <w:sz w:val="24"/>
          <w:szCs w:val="24"/>
        </w:rPr>
      </w:pPr>
    </w:p>
    <w:p>
      <w:pPr>
        <w:pStyle w:val="Body"/>
        <w:jc w:val="both"/>
        <w:rPr>
          <w:rFonts w:ascii="Arial" w:cs="Arial" w:hAnsi="Arial" w:eastAsia="Arial"/>
          <w:outline w:val="0"/>
          <w:color w:val="62c35d"/>
          <w:sz w:val="24"/>
          <w:szCs w:val="24"/>
          <w14:textFill>
            <w14:solidFill>
              <w14:srgbClr w14:val="63C35D"/>
            </w14:solidFill>
          </w14:textFill>
        </w:rPr>
      </w:pPr>
      <w:r>
        <w:rPr>
          <w:rFonts w:ascii="Arial" w:hAnsi="Arial"/>
          <w:sz w:val="24"/>
          <w:szCs w:val="24"/>
          <w:rtl w:val="0"/>
          <w:lang w:val="en-US"/>
        </w:rPr>
        <w:t>Throughout my research, ethical practice will be adhered to all stages. Based on Seedhouse</w:t>
      </w:r>
      <w:r>
        <w:rPr>
          <w:rFonts w:ascii="Arial" w:hAnsi="Arial" w:hint="default"/>
          <w:sz w:val="24"/>
          <w:szCs w:val="24"/>
          <w:rtl w:val="0"/>
          <w:lang w:val="en-US"/>
        </w:rPr>
        <w:t>’</w:t>
      </w:r>
      <w:r>
        <w:rPr>
          <w:rFonts w:ascii="Arial" w:hAnsi="Arial"/>
          <w:sz w:val="24"/>
          <w:szCs w:val="24"/>
          <w:rtl w:val="0"/>
          <w:lang w:val="en-US"/>
        </w:rPr>
        <w:t>s ethical framework, each decision I take throughout my research will be assessed against each layer. This will ensure consideration for all groups in taken, obligations are considered, I reflect on the beneficial aspects of my work and, most importantly, make sure external considerations are factored into my decision making process (Seedhouse, 1988, p. 203-209).</w:t>
      </w:r>
    </w:p>
    <w:p>
      <w:pPr>
        <w:pStyle w:val="Body"/>
        <w:jc w:val="both"/>
        <w:rPr>
          <w:rFonts w:ascii="Arial" w:cs="Arial" w:hAnsi="Arial" w:eastAsia="Arial"/>
          <w:b w:val="1"/>
          <w:bCs w:val="1"/>
          <w:outline w:val="0"/>
          <w:color w:val="62c35d"/>
          <w:sz w:val="24"/>
          <w:szCs w:val="24"/>
          <w14:textFill>
            <w14:solidFill>
              <w14:srgbClr w14:val="63C35D"/>
            </w14:solidFill>
          </w14:textFill>
        </w:rPr>
      </w:pPr>
    </w:p>
    <w:p>
      <w:pPr>
        <w:pStyle w:val="Body"/>
        <w:jc w:val="both"/>
        <w:rPr>
          <w:rFonts w:ascii="Arial" w:cs="Arial" w:hAnsi="Arial" w:eastAsia="Arial"/>
          <w:b w:val="1"/>
          <w:bCs w:val="1"/>
          <w:outline w:val="0"/>
          <w:color w:val="62c35d"/>
          <w:sz w:val="24"/>
          <w:szCs w:val="24"/>
          <w14:textFill>
            <w14:solidFill>
              <w14:srgbClr w14:val="63C35D"/>
            </w14:solidFill>
          </w14:textFill>
        </w:rPr>
      </w:pPr>
    </w:p>
    <w:p>
      <w:pPr>
        <w:pStyle w:val="Body"/>
        <w:jc w:val="both"/>
        <w:rPr>
          <w:rFonts w:ascii="Arial" w:cs="Arial" w:hAnsi="Arial" w:eastAsia="Arial"/>
          <w:b w:val="1"/>
          <w:bCs w:val="1"/>
          <w:sz w:val="24"/>
          <w:szCs w:val="24"/>
        </w:rPr>
      </w:pPr>
      <w:r>
        <w:rPr>
          <w:rFonts w:ascii="Arial" w:cs="Arial" w:hAnsi="Arial" w:eastAsia="Arial"/>
          <w:b w:val="1"/>
          <w:bCs w:val="1"/>
          <w:outline w:val="0"/>
          <w:color w:val="62c35d"/>
          <w:sz w:val="24"/>
          <w:szCs w:val="24"/>
          <w14:textFill>
            <w14:solidFill>
              <w14:srgbClr w14:val="63C35D"/>
            </w14:solidFill>
          </w14:textFill>
        </w:rPr>
        <w:drawing xmlns:a="http://schemas.openxmlformats.org/drawingml/2006/main">
          <wp:anchor distT="152400" distB="152400" distL="152400" distR="152400" simplePos="0" relativeHeight="251661312" behindDoc="0" locked="0" layoutInCell="1" allowOverlap="1">
            <wp:simplePos x="0" y="0"/>
            <wp:positionH relativeFrom="margin">
              <wp:posOffset>1448731</wp:posOffset>
            </wp:positionH>
            <wp:positionV relativeFrom="line">
              <wp:posOffset>212312</wp:posOffset>
            </wp:positionV>
            <wp:extent cx="3209895" cy="3183071"/>
            <wp:effectExtent l="0" t="0" r="0" b="0"/>
            <wp:wrapThrough wrapText="bothSides" distL="152400" distR="152400">
              <wp:wrapPolygon edited="1">
                <wp:start x="0" y="0"/>
                <wp:lineTo x="21600" y="0"/>
                <wp:lineTo x="21600" y="21612"/>
                <wp:lineTo x="0" y="21612"/>
                <wp:lineTo x="0" y="0"/>
              </wp:wrapPolygon>
            </wp:wrapThrough>
            <wp:docPr id="1073741826" name="officeArt object" descr="Screenshot 2025-11-29 at 10.43.12.png"/>
            <wp:cNvGraphicFramePr/>
            <a:graphic xmlns:a="http://schemas.openxmlformats.org/drawingml/2006/main">
              <a:graphicData uri="http://schemas.openxmlformats.org/drawingml/2006/picture">
                <pic:pic xmlns:pic="http://schemas.openxmlformats.org/drawingml/2006/picture">
                  <pic:nvPicPr>
                    <pic:cNvPr id="1073741826" name="Screenshot 2025-11-29 at 10.43.12.png" descr="Screenshot 2025-11-29 at 10.43.12.png"/>
                    <pic:cNvPicPr>
                      <a:picLocks noChangeAspect="1"/>
                    </pic:cNvPicPr>
                  </pic:nvPicPr>
                  <pic:blipFill>
                    <a:blip r:embed="rId5">
                      <a:extLst/>
                    </a:blip>
                    <a:stretch>
                      <a:fillRect/>
                    </a:stretch>
                  </pic:blipFill>
                  <pic:spPr>
                    <a:xfrm>
                      <a:off x="0" y="0"/>
                      <a:ext cx="3209895" cy="3183071"/>
                    </a:xfrm>
                    <a:prstGeom prst="rect">
                      <a:avLst/>
                    </a:prstGeom>
                    <a:ln w="12700" cap="flat">
                      <a:noFill/>
                      <a:miter lim="400000"/>
                    </a:ln>
                    <a:effectLst/>
                  </pic:spPr>
                </pic:pic>
              </a:graphicData>
            </a:graphic>
          </wp:anchor>
        </w:drawing>
      </w: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center"/>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r>
        <w:rPr>
          <w:rFonts w:ascii="Arial" w:hAnsi="Arial"/>
          <w:sz w:val="24"/>
          <w:szCs w:val="24"/>
          <w:rtl w:val="0"/>
          <w:lang w:val="en-US"/>
        </w:rPr>
        <w:t>(Seedhouse, 1988, p. 209)</w:t>
      </w:r>
    </w:p>
    <w:p>
      <w:pPr>
        <w:pStyle w:val="Body"/>
        <w:jc w:val="center"/>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During my primary research collection phase, I will be conducting a number of interviews with individuals. The content of these sessions could become in-depth and personal, due to the nature of the wellbeing topic. It is important that I make the interviewees feel safe by creating a safe environment to hold the interviews with it being private, confidential and conducive to allowing them to want to discuss their views and opinions. I will also set boundaries with the individuals at the start of the interview so they feel comfortable to stop at any point if they are not happy with continuing (Leung, No Date). My questions will not be directed at the interviewee</w:t>
      </w:r>
      <w:r>
        <w:rPr>
          <w:rFonts w:ascii="Arial" w:hAnsi="Arial" w:hint="default"/>
          <w:sz w:val="24"/>
          <w:szCs w:val="24"/>
          <w:rtl w:val="0"/>
          <w:lang w:val="en-US"/>
        </w:rPr>
        <w:t>’</w:t>
      </w:r>
      <w:r>
        <w:rPr>
          <w:rFonts w:ascii="Arial" w:hAnsi="Arial"/>
          <w:sz w:val="24"/>
          <w:szCs w:val="24"/>
          <w:rtl w:val="0"/>
          <w:lang w:val="en-US"/>
        </w:rPr>
        <w:t>s personal situation but they may feel it beneficial to share any personal experiences with me to bring to life their responses.</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 xml:space="preserve">I also need to be mindful of the impact on me as the interviewer due to the heavy topics being explored. There could potentially be triggers for both sides, which I will also highlight at the beginning to ensure everyone feels psychologically safe (Department for Education, No Date). This is important as an interviewer to consider when exploring a sensitive, emotional and subjective topic, such as wellbeing, as each interview could take a different direction compared to the previous one and one that was not expected. </w:t>
      </w: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b w:val="1"/>
          <w:bCs w:val="1"/>
          <w:sz w:val="24"/>
          <w:szCs w:val="24"/>
        </w:rPr>
      </w:pPr>
      <w:r>
        <w:rPr>
          <w:rFonts w:ascii="Arial" w:hAnsi="Arial"/>
          <w:b w:val="1"/>
          <w:bCs w:val="1"/>
          <w:sz w:val="24"/>
          <w:szCs w:val="24"/>
          <w:rtl w:val="0"/>
          <w:lang w:val="en-US"/>
        </w:rPr>
        <w:t>Access issues</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Due to the geographical spread of the interview participants, each interview will be conducted via MS Teams. This reduces the need for travel, and each session can be recorded, saving both time and money which is crucial with any project that is under a time constraint.</w:t>
      </w: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r>
        <w:rPr>
          <w:rFonts w:ascii="Arial" w:hAnsi="Arial"/>
          <w:b w:val="1"/>
          <w:bCs w:val="1"/>
          <w:sz w:val="24"/>
          <w:szCs w:val="24"/>
          <w:rtl w:val="0"/>
          <w:lang w:val="en-US"/>
        </w:rPr>
        <w:t>Time-scal</w:t>
      </w:r>
      <w:r>
        <w:rPr>
          <w:rFonts w:ascii="Arial" w:hAnsi="Arial"/>
          <w:b w:val="1"/>
          <w:bCs w:val="1"/>
          <w:sz w:val="24"/>
          <w:szCs w:val="24"/>
          <w:rtl w:val="0"/>
          <w:lang w:val="en-US"/>
        </w:rPr>
        <w:t>e</w:t>
      </w: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r>
        <w:rPr>
          <w:rFonts w:ascii="Arial" w:hAnsi="Arial"/>
          <w:b w:val="1"/>
          <w:bCs w:val="1"/>
          <w:sz w:val="24"/>
          <w:szCs w:val="24"/>
          <w:rtl w:val="0"/>
        </w:rPr>
        <w:t>Re</w:t>
      </w:r>
      <w:r>
        <w:rPr>
          <w:rFonts w:ascii="Arial" w:hAnsi="Arial"/>
          <w:b w:val="1"/>
          <w:bCs w:val="1"/>
          <w:sz w:val="24"/>
          <w:szCs w:val="24"/>
          <w:rtl w:val="0"/>
          <w:lang w:val="en-US"/>
        </w:rPr>
        <w:t>ferences</w:t>
      </w:r>
    </w:p>
    <w:p>
      <w:pPr>
        <w:pStyle w:val="Body"/>
        <w:jc w:val="both"/>
        <w:rPr>
          <w:rFonts w:ascii="Arial" w:cs="Arial" w:hAnsi="Arial" w:eastAsia="Arial"/>
          <w:b w:val="1"/>
          <w:bCs w:val="1"/>
          <w:sz w:val="24"/>
          <w:szCs w:val="24"/>
        </w:rPr>
      </w:pPr>
    </w:p>
    <w:p>
      <w:pPr>
        <w:pStyle w:val="Table Style 2"/>
        <w:rPr>
          <w:rFonts w:ascii="Arial" w:cs="Arial" w:hAnsi="Arial" w:eastAsia="Arial"/>
          <w:sz w:val="22"/>
          <w:szCs w:val="22"/>
        </w:rPr>
      </w:pPr>
      <w:r>
        <w:rPr>
          <w:rFonts w:ascii="Arial" w:hAnsi="Arial"/>
          <w:sz w:val="22"/>
          <w:szCs w:val="22"/>
          <w:rtl w:val="0"/>
          <w:lang w:val="en-US"/>
        </w:rPr>
        <w:t xml:space="preserve">Anderson, V. (2013). </w:t>
      </w:r>
      <w:r>
        <w:rPr>
          <w:rFonts w:ascii="Arial" w:hAnsi="Arial"/>
          <w:i w:val="1"/>
          <w:iCs w:val="1"/>
          <w:sz w:val="22"/>
          <w:szCs w:val="22"/>
          <w:rtl w:val="0"/>
          <w:lang w:val="en-US"/>
        </w:rPr>
        <w:t>Research Methods in HR Management</w:t>
      </w:r>
      <w:r>
        <w:rPr>
          <w:rFonts w:ascii="Arial" w:hAnsi="Arial"/>
          <w:i w:val="1"/>
          <w:iCs w:val="1"/>
          <w:sz w:val="22"/>
          <w:szCs w:val="22"/>
          <w:rtl w:val="0"/>
          <w:lang w:val="en-US"/>
        </w:rPr>
        <w:t xml:space="preserve">, </w:t>
      </w:r>
      <w:r>
        <w:rPr>
          <w:rFonts w:ascii="Arial" w:hAnsi="Arial"/>
          <w:i w:val="1"/>
          <w:iCs w:val="1"/>
          <w:sz w:val="22"/>
          <w:szCs w:val="22"/>
          <w:rtl w:val="0"/>
          <w:lang w:val="en-US"/>
        </w:rPr>
        <w:t>Investigating a Business Issue</w:t>
      </w:r>
      <w:r>
        <w:rPr>
          <w:rFonts w:ascii="Arial" w:hAnsi="Arial"/>
          <w:sz w:val="22"/>
          <w:szCs w:val="22"/>
          <w:rtl w:val="0"/>
          <w:lang w:val="en-US"/>
        </w:rPr>
        <w:t xml:space="preserve">. 3rd </w:t>
      </w:r>
      <w:r>
        <mc:AlternateContent>
          <mc:Choice Requires="wpg">
            <w:drawing xmlns:a="http://schemas.openxmlformats.org/drawingml/2006/main">
              <wp:anchor distT="152400" distB="152400" distL="152400" distR="152400" simplePos="0" relativeHeight="251659264" behindDoc="0" locked="0" layoutInCell="1" allowOverlap="1">
                <wp:simplePos x="0" y="0"/>
                <wp:positionH relativeFrom="page">
                  <wp:posOffset>697565</wp:posOffset>
                </wp:positionH>
                <wp:positionV relativeFrom="page">
                  <wp:posOffset>2757311</wp:posOffset>
                </wp:positionV>
                <wp:extent cx="6164926" cy="4115779"/>
                <wp:effectExtent l="0" t="0" r="0" b="0"/>
                <wp:wrapTopAndBottom distT="152400" distB="152400"/>
                <wp:docPr id="1073741829" name="officeArt object" descr="Image Gallery"/>
                <wp:cNvGraphicFramePr/>
                <a:graphic xmlns:a="http://schemas.openxmlformats.org/drawingml/2006/main">
                  <a:graphicData uri="http://schemas.microsoft.com/office/word/2010/wordprocessingGroup">
                    <wpg:wgp>
                      <wpg:cNvGrpSpPr/>
                      <wpg:grpSpPr>
                        <a:xfrm>
                          <a:off x="0" y="0"/>
                          <a:ext cx="6164926" cy="4115779"/>
                          <a:chOff x="0" y="422853"/>
                          <a:chExt cx="6164925" cy="4115778"/>
                        </a:xfrm>
                      </wpg:grpSpPr>
                      <pic:pic xmlns:pic="http://schemas.openxmlformats.org/drawingml/2006/picture">
                        <pic:nvPicPr>
                          <pic:cNvPr id="1073741827" name="Screenshot 2025-11-14 at 10.53.25.png" descr="Screenshot 2025-11-14 at 10.53.25.png"/>
                          <pic:cNvPicPr>
                            <a:picLocks noChangeAspect="1"/>
                          </pic:cNvPicPr>
                        </pic:nvPicPr>
                        <pic:blipFill>
                          <a:blip r:embed="rId6">
                            <a:extLst/>
                          </a:blip>
                          <a:srcRect l="169" t="0" r="169" b="0"/>
                          <a:stretch>
                            <a:fillRect/>
                          </a:stretch>
                        </pic:blipFill>
                        <pic:spPr>
                          <a:xfrm>
                            <a:off x="0" y="422853"/>
                            <a:ext cx="6164926" cy="2061978"/>
                          </a:xfrm>
                          <a:prstGeom prst="rect">
                            <a:avLst/>
                          </a:prstGeom>
                          <a:ln w="12700" cap="flat">
                            <a:noFill/>
                            <a:miter lim="400000"/>
                          </a:ln>
                          <a:effectLst/>
                        </pic:spPr>
                      </pic:pic>
                      <wps:wsp>
                        <wps:cNvPr id="1073741828" name="Rectangle"/>
                        <wps:cNvSpPr/>
                        <wps:spPr>
                          <a:xfrm>
                            <a:off x="0" y="4200152"/>
                            <a:ext cx="6164926" cy="338480"/>
                          </a:xfrm>
                          <a:prstGeom prst="rect">
                            <a:avLst/>
                          </a:prstGeom>
                          <a:noFill/>
                          <a:ln w="12700" cap="flat">
                            <a:noFill/>
                            <a:miter lim="400000"/>
                          </a:ln>
                          <a:effectLst/>
                        </wps:spPr>
                        <wps:bodyPr/>
                      </wps:wsp>
                    </wpg:wgp>
                  </a:graphicData>
                </a:graphic>
              </wp:anchor>
            </w:drawing>
          </mc:Choice>
          <mc:Fallback>
            <w:pict>
              <v:group id="_x0000_s1026" style="visibility:visible;position:absolute;margin-left:54.9pt;margin-top:217.1pt;width:485.4pt;height:324.1pt;z-index:251659264;mso-position-horizontal:absolute;mso-position-horizontal-relative:page;mso-position-vertical:absolute;mso-position-vertical-relative:page;mso-wrap-distance-left:12.0pt;mso-wrap-distance-top:12.0pt;mso-wrap-distance-right:12.0pt;mso-wrap-distance-bottom:12.0pt;" coordorigin="0,422854" coordsize="6164926,4115778">
                <w10:wrap type="topAndBottom" side="bothSides" anchorx="page" anchory="page"/>
                <v:shape id="_x0000_s1027" type="#_x0000_t75" style="position:absolute;left:0;top:422854;width:6164926;height:2061976;">
                  <v:imagedata r:id="rId6" o:title="Screenshot 2025-11-14 at 10.53.25.png" cropleft="0.2%" cropright="0.2%"/>
                </v:shape>
                <v:rect id="_x0000_s1028" style="position:absolute;left:0;top:4200153;width:6164926;height:338479;">
                  <v:fill on="f"/>
                  <v:stroke on="f" weight="1.0pt" dashstyle="solid" endcap="flat" miterlimit="400.0%" joinstyle="miter" linestyle="single" startarrow="none" startarrowwidth="medium" startarrowlength="medium" endarrow="none" endarrowwidth="medium" endarrowlength="medium"/>
                </v:rect>
              </v:group>
            </w:pict>
          </mc:Fallback>
        </mc:AlternateContent>
      </w:r>
      <w:r>
        <w:rPr>
          <w:rFonts w:ascii="Arial" w:hAnsi="Arial"/>
          <w:sz w:val="22"/>
          <w:szCs w:val="22"/>
          <w:rtl w:val="0"/>
          <w:lang w:val="en-US"/>
        </w:rPr>
        <w:t>edn</w:t>
      </w:r>
      <w:r>
        <w:rPr>
          <w:rFonts w:ascii="Arial" w:hAnsi="Arial"/>
          <w:sz w:val="22"/>
          <w:szCs w:val="22"/>
          <w:rtl w:val="0"/>
        </w:rPr>
        <w:t xml:space="preserve">. </w:t>
      </w:r>
      <w:r>
        <w:rPr>
          <w:rFonts w:ascii="Arial" w:hAnsi="Arial"/>
          <w:sz w:val="22"/>
          <w:szCs w:val="22"/>
          <w:rtl w:val="0"/>
          <w:lang w:val="en-US"/>
        </w:rPr>
        <w:t>London: CIPD.</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en-US"/>
        </w:rPr>
        <w:t xml:space="preserve">Choughari, H. (2024). </w:t>
      </w:r>
      <w:r>
        <w:rPr>
          <w:rFonts w:ascii="Arial" w:hAnsi="Arial"/>
          <w:i w:val="1"/>
          <w:iCs w:val="1"/>
          <w:sz w:val="22"/>
          <w:szCs w:val="22"/>
          <w:rtl w:val="0"/>
          <w:lang w:val="en-US"/>
        </w:rPr>
        <w:t xml:space="preserve">Mental Health And Well-Being Remain Business Priorities Post-Covid </w:t>
      </w:r>
      <w:r>
        <w:rPr>
          <w:rFonts w:ascii="Arial" w:hAnsi="Arial"/>
          <w:sz w:val="22"/>
          <w:szCs w:val="22"/>
          <w:rtl w:val="0"/>
          <w:lang w:val="en-US"/>
        </w:rPr>
        <w:t xml:space="preserve">Available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"https://www.forbes.com/councils/forbeshumanresourcescouncil/2024/09/24/mental-health-and-well-being-remain-business-priorities-post-covid/"</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https://www.forbes.com/councils/forbeshumanresourcescouncil/2024/09/24/mental-health-and-well-being-remain-business-priorities-post-covid/</w:t>
      </w:r>
      <w:r>
        <w:rPr>
          <w:rFonts w:ascii="Arial" w:cs="Arial" w:hAnsi="Arial" w:eastAsia="Arial"/>
          <w:sz w:val="22"/>
          <w:szCs w:val="22"/>
        </w:rPr>
        <w:fldChar w:fldCharType="end" w:fldLock="0"/>
      </w:r>
      <w:r>
        <w:rPr>
          <w:rFonts w:ascii="Arial" w:hAnsi="Arial"/>
          <w:sz w:val="22"/>
          <w:szCs w:val="22"/>
          <w:rtl w:val="0"/>
          <w:lang w:val="en-US"/>
        </w:rPr>
        <w:t xml:space="preserve"> (Accessed 10th October 2025).</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en-US"/>
        </w:rPr>
        <w:t xml:space="preserve">CIPD. (2021). </w:t>
      </w:r>
      <w:r>
        <w:rPr>
          <w:rFonts w:ascii="Arial" w:hAnsi="Arial"/>
          <w:i w:val="1"/>
          <w:iCs w:val="1"/>
          <w:sz w:val="22"/>
          <w:szCs w:val="22"/>
          <w:rtl w:val="0"/>
          <w:lang w:val="en-US"/>
        </w:rPr>
        <w:t>Health and Wellbeing at work survey 2021</w:t>
      </w:r>
      <w:r>
        <w:rPr>
          <w:rFonts w:ascii="Arial" w:hAnsi="Arial"/>
          <w:sz w:val="22"/>
          <w:szCs w:val="22"/>
          <w:rtl w:val="0"/>
          <w:lang w:val="en-US"/>
        </w:rPr>
        <w:t>. London: Chartered Institute of Personnel and Development.</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rPr>
        <w:t xml:space="preserve">CIPD. (2022). </w:t>
      </w:r>
      <w:r>
        <w:rPr>
          <w:rFonts w:ascii="Arial" w:hAnsi="Arial"/>
          <w:i w:val="1"/>
          <w:iCs w:val="1"/>
          <w:sz w:val="22"/>
          <w:szCs w:val="22"/>
          <w:rtl w:val="0"/>
          <w:lang w:val="en-US"/>
        </w:rPr>
        <w:t>Ensuring health and wellbeing remains a business imperative post-pandemic</w:t>
      </w:r>
      <w:r>
        <w:rPr>
          <w:rFonts w:ascii="Arial" w:hAnsi="Arial"/>
          <w:i w:val="1"/>
          <w:iCs w:val="1"/>
          <w:sz w:val="22"/>
          <w:szCs w:val="22"/>
          <w:rtl w:val="0"/>
          <w:lang w:val="en-US"/>
        </w:rPr>
        <w:t xml:space="preserve"> </w:t>
      </w:r>
      <w:r>
        <w:rPr>
          <w:rFonts w:ascii="Arial" w:hAnsi="Arial"/>
          <w:sz w:val="22"/>
          <w:szCs w:val="22"/>
          <w:rtl w:val="0"/>
          <w:lang w:val="en-US"/>
        </w:rPr>
        <w:t xml:space="preserve">Available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"https://www.cipd.org/uk/views-and-insights/thought-leadership/cipd-voice/ensuring-health-and-wellbeing-remains-a-business-imperative-post-pandemic/"</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https://www.cipd.org/uk/views-and-insights/thought-leadership/cipd-voice/ensuring-health-and-wellbeing-remains-a-business-imperative-post-pandemic/</w:t>
      </w:r>
      <w:r>
        <w:rPr>
          <w:rFonts w:ascii="Arial" w:cs="Arial" w:hAnsi="Arial" w:eastAsia="Arial"/>
          <w:sz w:val="22"/>
          <w:szCs w:val="22"/>
        </w:rPr>
        <w:fldChar w:fldCharType="end" w:fldLock="0"/>
      </w:r>
      <w:r>
        <w:rPr>
          <w:rFonts w:ascii="Arial" w:hAnsi="Arial"/>
          <w:sz w:val="22"/>
          <w:szCs w:val="22"/>
          <w:rtl w:val="0"/>
          <w:lang w:val="en-US"/>
        </w:rPr>
        <w:t xml:space="preserve"> (Accessed 10th October 2025).</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rPr>
        <w:t>Cooper, C. (2023)</w:t>
      </w:r>
      <w:r>
        <w:rPr>
          <w:rFonts w:ascii="Arial" w:hAnsi="Arial"/>
          <w:sz w:val="22"/>
          <w:szCs w:val="22"/>
          <w:rtl w:val="0"/>
          <w:lang w:val="en-US"/>
        </w:rPr>
        <w:t>.</w:t>
      </w:r>
      <w:r>
        <w:rPr>
          <w:rFonts w:ascii="Arial" w:hAnsi="Arial"/>
          <w:sz w:val="22"/>
          <w:szCs w:val="22"/>
          <w:rtl w:val="0"/>
        </w:rPr>
        <w:t xml:space="preserve"> </w:t>
      </w:r>
      <w:r>
        <w:rPr>
          <w:rFonts w:ascii="Arial" w:hAnsi="Arial"/>
          <w:i w:val="1"/>
          <w:iCs w:val="1"/>
          <w:sz w:val="22"/>
          <w:szCs w:val="22"/>
          <w:rtl w:val="0"/>
          <w:lang w:val="en-US"/>
        </w:rPr>
        <w:t>Can employee assistance programmers survive the burgeoning mental health crisis?</w:t>
      </w:r>
      <w:r>
        <w:rPr>
          <w:rFonts w:ascii="Arial" w:hAnsi="Arial"/>
          <w:sz w:val="22"/>
          <w:szCs w:val="22"/>
          <w:rtl w:val="0"/>
          <w:lang w:val="en-US"/>
        </w:rPr>
        <w:t xml:space="preserve"> Available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"https://www.peoplemanagement.co.uk/article/1822128/employee-assistance-programmes-survive-burgeoning-mental-health-crisis"</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https://www.peoplemanagement.co.uk/article/1822128/employee-assistance-programmes-survive-burgeoning-mental-health-crisis</w:t>
      </w:r>
      <w:r>
        <w:rPr>
          <w:rFonts w:ascii="Arial" w:cs="Arial" w:hAnsi="Arial" w:eastAsia="Arial"/>
          <w:sz w:val="22"/>
          <w:szCs w:val="22"/>
        </w:rPr>
        <w:fldChar w:fldCharType="end" w:fldLock="0"/>
      </w:r>
      <w:r>
        <w:rPr>
          <w:rFonts w:ascii="Arial" w:hAnsi="Arial"/>
          <w:sz w:val="22"/>
          <w:szCs w:val="22"/>
          <w:rtl w:val="0"/>
          <w:lang w:val="en-US"/>
        </w:rPr>
        <w:t xml:space="preserve"> (Accessed 20th October 2025).</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de-DE"/>
        </w:rPr>
        <w:t xml:space="preserve">Creswell, J. </w:t>
      </w:r>
      <w:r>
        <w:rPr>
          <w:rFonts w:ascii="Arial" w:hAnsi="Arial"/>
          <w:sz w:val="22"/>
          <w:szCs w:val="22"/>
          <w:rtl w:val="0"/>
          <w:lang w:val="en-US"/>
        </w:rPr>
        <w:t xml:space="preserve">(2009). </w:t>
      </w:r>
      <w:r>
        <w:rPr>
          <w:rFonts w:ascii="Arial" w:hAnsi="Arial"/>
          <w:i w:val="1"/>
          <w:iCs w:val="1"/>
          <w:sz w:val="22"/>
          <w:szCs w:val="22"/>
          <w:rtl w:val="0"/>
          <w:lang w:val="en-US"/>
        </w:rPr>
        <w:t>Research Design, Qualitative, Quantitative and Mixed Methods Approaches.</w:t>
      </w:r>
      <w:r>
        <w:rPr>
          <w:rFonts w:ascii="Arial" w:hAnsi="Arial"/>
          <w:sz w:val="22"/>
          <w:szCs w:val="22"/>
          <w:rtl w:val="0"/>
          <w:lang w:val="en-US"/>
        </w:rPr>
        <w:t xml:space="preserve"> 3rd edn. Thousand Oaks: Sage.</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it-IT"/>
        </w:rPr>
        <w:t>Denzin, N. K.</w:t>
      </w:r>
      <w:r>
        <w:rPr>
          <w:rFonts w:ascii="Arial" w:hAnsi="Arial"/>
          <w:sz w:val="22"/>
          <w:szCs w:val="22"/>
          <w:rtl w:val="0"/>
          <w:lang w:val="en-US"/>
        </w:rPr>
        <w:t xml:space="preserve"> (2012). </w:t>
      </w:r>
      <w:r>
        <w:rPr>
          <w:rFonts w:ascii="Arial" w:hAnsi="Arial" w:hint="default"/>
          <w:sz w:val="22"/>
          <w:szCs w:val="22"/>
          <w:rtl w:val="0"/>
          <w:lang w:val="en-US"/>
        </w:rPr>
        <w:t>‘</w:t>
      </w:r>
      <w:r>
        <w:rPr>
          <w:rFonts w:ascii="Arial" w:hAnsi="Arial"/>
          <w:sz w:val="22"/>
          <w:szCs w:val="22"/>
          <w:rtl w:val="0"/>
          <w:lang w:val="en-US"/>
        </w:rPr>
        <w:t>Triangulation 2.0</w:t>
      </w:r>
      <w:r>
        <w:rPr>
          <w:rFonts w:ascii="Arial" w:hAnsi="Arial" w:hint="default"/>
          <w:sz w:val="22"/>
          <w:szCs w:val="22"/>
          <w:rtl w:val="0"/>
          <w:lang w:val="en-US"/>
        </w:rPr>
        <w:t>’</w:t>
      </w:r>
      <w:r>
        <w:rPr>
          <w:rFonts w:ascii="Arial" w:hAnsi="Arial"/>
          <w:sz w:val="22"/>
          <w:szCs w:val="22"/>
          <w:rtl w:val="0"/>
          <w:lang w:val="en-US"/>
        </w:rPr>
        <w:t xml:space="preserve">, </w:t>
      </w:r>
      <w:r>
        <w:rPr>
          <w:rFonts w:ascii="Arial" w:hAnsi="Arial"/>
          <w:i w:val="1"/>
          <w:iCs w:val="1"/>
          <w:sz w:val="22"/>
          <w:szCs w:val="22"/>
          <w:rtl w:val="0"/>
          <w:lang w:val="en-US"/>
        </w:rPr>
        <w:t>Journal of Mixed Methods Research</w:t>
      </w:r>
      <w:r>
        <w:rPr>
          <w:rFonts w:ascii="Arial" w:hAnsi="Arial"/>
          <w:sz w:val="22"/>
          <w:szCs w:val="22"/>
          <w:rtl w:val="0"/>
          <w:lang w:val="en-US"/>
        </w:rPr>
        <w:t xml:space="preserve">, 6(2), pp. 80-88. Available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"https://doi-org.ezproxy.uwtsd.ac.uk/10.1177/1558689812437186"</w:instrText>
      </w:r>
      <w:r>
        <w:rPr>
          <w:rStyle w:val="Hyperlink.0"/>
          <w:rFonts w:ascii="Arial" w:cs="Arial" w:hAnsi="Arial" w:eastAsia="Arial"/>
          <w:sz w:val="22"/>
          <w:szCs w:val="22"/>
        </w:rPr>
        <w:fldChar w:fldCharType="separate" w:fldLock="0"/>
      </w:r>
      <w:r>
        <w:rPr>
          <w:rStyle w:val="Hyperlink.0"/>
          <w:rFonts w:ascii="Arial" w:hAnsi="Arial"/>
          <w:sz w:val="22"/>
          <w:szCs w:val="22"/>
          <w:rtl w:val="0"/>
        </w:rPr>
        <w:t>https://doi-org.ezproxy.uwtsd.ac.uk/10.1177/1558689812437186</w:t>
      </w:r>
      <w:r>
        <w:rPr>
          <w:rFonts w:ascii="Arial" w:cs="Arial" w:hAnsi="Arial" w:eastAsia="Arial"/>
          <w:sz w:val="22"/>
          <w:szCs w:val="22"/>
        </w:rPr>
        <w:fldChar w:fldCharType="end" w:fldLock="0"/>
      </w:r>
      <w:r>
        <w:rPr>
          <w:rFonts w:ascii="Arial" w:hAnsi="Arial"/>
          <w:sz w:val="22"/>
          <w:szCs w:val="22"/>
          <w:rtl w:val="0"/>
          <w:lang w:val="en-US"/>
        </w:rPr>
        <w:t xml:space="preserve"> </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en-US"/>
        </w:rPr>
        <w:t xml:space="preserve">Department for Education. (No Date). </w:t>
      </w:r>
      <w:r>
        <w:rPr>
          <w:rFonts w:ascii="Arial" w:hAnsi="Arial"/>
          <w:i w:val="1"/>
          <w:iCs w:val="1"/>
          <w:sz w:val="22"/>
          <w:szCs w:val="22"/>
          <w:rtl w:val="0"/>
          <w:lang w:val="en-US"/>
        </w:rPr>
        <w:t>Psychological safety and researcher self-care</w:t>
      </w:r>
      <w:r>
        <w:rPr>
          <w:rFonts w:ascii="Arial" w:hAnsi="Arial"/>
          <w:sz w:val="22"/>
          <w:szCs w:val="22"/>
          <w:rtl w:val="0"/>
          <w:lang w:val="en-US"/>
        </w:rPr>
        <w:t xml:space="preserve"> Available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"https://user-research.education.gov.uk/guidance/ethics-and-safeguarding/psychological-safety-and-self-care"</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https://user-research.education.gov.uk/guidance/ethics-and-safeguarding/psychological-safety-and-self-care</w:t>
      </w:r>
      <w:r>
        <w:rPr>
          <w:rFonts w:ascii="Arial" w:cs="Arial" w:hAnsi="Arial" w:eastAsia="Arial"/>
          <w:sz w:val="22"/>
          <w:szCs w:val="22"/>
        </w:rPr>
        <w:fldChar w:fldCharType="end" w:fldLock="0"/>
      </w:r>
      <w:r>
        <w:rPr>
          <w:rFonts w:ascii="Arial" w:hAnsi="Arial"/>
          <w:sz w:val="22"/>
          <w:szCs w:val="22"/>
          <w:rtl w:val="0"/>
          <w:lang w:val="en-US"/>
        </w:rPr>
        <w:t xml:space="preserve"> (Accessed 1st November 2025).</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pt-PT"/>
        </w:rPr>
        <w:t>EAPA UK</w:t>
      </w:r>
      <w:r>
        <w:rPr>
          <w:rFonts w:ascii="Arial" w:hAnsi="Arial"/>
          <w:sz w:val="22"/>
          <w:szCs w:val="22"/>
          <w:rtl w:val="0"/>
          <w:lang w:val="en-US"/>
        </w:rPr>
        <w:t>.</w:t>
      </w:r>
      <w:r>
        <w:rPr>
          <w:rFonts w:ascii="Arial" w:hAnsi="Arial"/>
          <w:sz w:val="22"/>
          <w:szCs w:val="22"/>
          <w:rtl w:val="0"/>
        </w:rPr>
        <w:t xml:space="preserve"> (2023)</w:t>
      </w:r>
      <w:r>
        <w:rPr>
          <w:rFonts w:ascii="Arial" w:hAnsi="Arial"/>
          <w:sz w:val="22"/>
          <w:szCs w:val="22"/>
          <w:rtl w:val="0"/>
          <w:lang w:val="en-US"/>
        </w:rPr>
        <w:t xml:space="preserve">. </w:t>
      </w:r>
      <w:r>
        <w:rPr>
          <w:rFonts w:ascii="Arial" w:hAnsi="Arial"/>
          <w:i w:val="1"/>
          <w:iCs w:val="1"/>
          <w:sz w:val="22"/>
          <w:szCs w:val="22"/>
          <w:rtl w:val="0"/>
          <w:lang w:val="en-US"/>
        </w:rPr>
        <w:t xml:space="preserve">Holding It Together </w:t>
      </w:r>
      <w:r>
        <w:rPr>
          <w:rFonts w:ascii="Arial" w:hAnsi="Arial"/>
          <w:sz w:val="22"/>
          <w:szCs w:val="22"/>
          <w:rtl w:val="0"/>
          <w:lang w:val="en-US"/>
        </w:rPr>
        <w:t xml:space="preserve">Available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"https://www.eapa.org.uk/wp-content/uploads/2023/03/EAPA-Holding-It-Together-report-2023.pdf"</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https://www.eapa.org.uk/wp-content/uploads/2023/03/EAPA-Holding-It-Together-report-2023.pdf</w:t>
      </w:r>
      <w:r>
        <w:rPr>
          <w:rFonts w:ascii="Arial" w:cs="Arial" w:hAnsi="Arial" w:eastAsia="Arial"/>
          <w:sz w:val="22"/>
          <w:szCs w:val="22"/>
        </w:rPr>
        <w:fldChar w:fldCharType="end" w:fldLock="0"/>
      </w:r>
      <w:r>
        <w:rPr>
          <w:rFonts w:ascii="Arial" w:hAnsi="Arial"/>
          <w:sz w:val="22"/>
          <w:szCs w:val="22"/>
          <w:rtl w:val="0"/>
          <w:lang w:val="en-US"/>
        </w:rPr>
        <w:t xml:space="preserve"> (Accessed 21st October 2025).</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it-IT"/>
        </w:rPr>
        <w:t>East Anglia in Business. (No Date)</w:t>
      </w:r>
      <w:r>
        <w:rPr>
          <w:rFonts w:ascii="Arial" w:hAnsi="Arial"/>
          <w:sz w:val="22"/>
          <w:szCs w:val="22"/>
          <w:rtl w:val="0"/>
          <w:lang w:val="en-US"/>
        </w:rPr>
        <w:t>.</w:t>
      </w:r>
      <w:r>
        <w:rPr>
          <w:rFonts w:ascii="Arial" w:hAnsi="Arial"/>
          <w:sz w:val="22"/>
          <w:szCs w:val="22"/>
          <w:rtl w:val="0"/>
        </w:rPr>
        <w:t xml:space="preserve"> </w:t>
      </w:r>
      <w:r>
        <w:rPr>
          <w:rFonts w:ascii="Arial" w:hAnsi="Arial"/>
          <w:i w:val="1"/>
          <w:iCs w:val="1"/>
          <w:sz w:val="22"/>
          <w:szCs w:val="22"/>
          <w:rtl w:val="0"/>
          <w:lang w:val="en-US"/>
        </w:rPr>
        <w:t>Employee Assistance Programs: the failed experiment</w:t>
      </w:r>
      <w:r>
        <w:rPr>
          <w:rFonts w:ascii="Arial" w:hAnsi="Arial"/>
          <w:sz w:val="22"/>
          <w:szCs w:val="22"/>
          <w:rtl w:val="0"/>
          <w:lang w:val="en-US"/>
        </w:rPr>
        <w:t xml:space="preserve"> Available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"https://eastangliainbusiness.co.uk/employees-assistance-programs-the-failed-experiment/"</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https://eastangliainbusiness.co.uk/employees-assistance-programs-the-failed-experiment/</w:t>
      </w:r>
      <w:r>
        <w:rPr>
          <w:rFonts w:ascii="Arial" w:cs="Arial" w:hAnsi="Arial" w:eastAsia="Arial"/>
          <w:sz w:val="22"/>
          <w:szCs w:val="22"/>
        </w:rPr>
        <w:fldChar w:fldCharType="end" w:fldLock="0"/>
      </w:r>
      <w:r>
        <w:rPr>
          <w:rFonts w:ascii="Arial" w:hAnsi="Arial"/>
          <w:sz w:val="22"/>
          <w:szCs w:val="22"/>
          <w:rtl w:val="0"/>
          <w:lang w:val="en-US"/>
        </w:rPr>
        <w:t xml:space="preserve"> (Accessed 20th October 2025).</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en-US"/>
        </w:rPr>
        <w:t xml:space="preserve">Fife, S. T., &amp; Gossner, J. D. (2024). Deductive Qualitative Analysis: Evaluating, Expanding, and Refining Theory. International Journal of Qualitative Methods, 23.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"https://doi.org/10.1177/16094069241244856"</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https://doi.org/10.1177/16094069241244856</w:t>
      </w:r>
      <w:r>
        <w:rPr>
          <w:rFonts w:ascii="Arial" w:cs="Arial" w:hAnsi="Arial" w:eastAsia="Arial"/>
          <w:sz w:val="22"/>
          <w:szCs w:val="22"/>
        </w:rPr>
        <w:fldChar w:fldCharType="end" w:fldLock="0"/>
      </w:r>
      <w:r>
        <w:rPr>
          <w:rFonts w:ascii="Arial" w:hAnsi="Arial"/>
          <w:sz w:val="22"/>
          <w:szCs w:val="22"/>
          <w:rtl w:val="0"/>
        </w:rPr>
        <w:t xml:space="preserve"> </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en-US"/>
        </w:rPr>
        <w:t xml:space="preserve">Golzar, J., Noor, S., Tajik, O. (2024). </w:t>
      </w:r>
      <w:r>
        <w:rPr>
          <w:rFonts w:ascii="Arial" w:hAnsi="Arial"/>
          <w:i w:val="1"/>
          <w:iCs w:val="1"/>
          <w:sz w:val="22"/>
          <w:szCs w:val="22"/>
          <w:rtl w:val="0"/>
          <w:lang w:val="en-US"/>
        </w:rPr>
        <w:t>Purposive Sampling</w:t>
      </w:r>
      <w:r>
        <w:rPr>
          <w:rFonts w:ascii="Arial" w:hAnsi="Arial"/>
          <w:sz w:val="22"/>
          <w:szCs w:val="22"/>
          <w:rtl w:val="0"/>
          <w:lang w:val="en-US"/>
        </w:rPr>
        <w:t xml:space="preserve"> Available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"https://www.researchgate.net/publication/391849280_Purposive_Sampling"</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https://www.researchgate.net/publication/391849280_Purposive_Sampling</w:t>
      </w:r>
      <w:r>
        <w:rPr>
          <w:rFonts w:ascii="Arial" w:cs="Arial" w:hAnsi="Arial" w:eastAsia="Arial"/>
          <w:sz w:val="22"/>
          <w:szCs w:val="22"/>
        </w:rPr>
        <w:fldChar w:fldCharType="end" w:fldLock="0"/>
      </w:r>
      <w:r>
        <w:rPr>
          <w:rFonts w:ascii="Arial" w:hAnsi="Arial"/>
          <w:sz w:val="22"/>
          <w:szCs w:val="22"/>
          <w:rtl w:val="0"/>
          <w:lang w:val="en-US"/>
        </w:rPr>
        <w:t xml:space="preserve"> (Accessed 2nd November 2025). </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en-US"/>
        </w:rPr>
        <w:t xml:space="preserve">Lavrakas, P., Roller, M. (2015). </w:t>
      </w:r>
      <w:r>
        <w:rPr>
          <w:rFonts w:ascii="Arial" w:hAnsi="Arial"/>
          <w:i w:val="1"/>
          <w:iCs w:val="1"/>
          <w:sz w:val="22"/>
          <w:szCs w:val="22"/>
          <w:rtl w:val="0"/>
          <w:lang w:val="en-US"/>
        </w:rPr>
        <w:t>Applied Qualitative Research Design A Total Quality Framework Approach</w:t>
      </w:r>
      <w:r>
        <w:rPr>
          <w:rFonts w:ascii="Arial" w:hAnsi="Arial"/>
          <w:sz w:val="22"/>
          <w:szCs w:val="22"/>
          <w:rtl w:val="0"/>
          <w:lang w:val="en-US"/>
        </w:rPr>
        <w:t>. 1st edn. New York: The Guildford Press.</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en-US"/>
        </w:rPr>
        <w:t xml:space="preserve">Leung, S. (No Date). </w:t>
      </w:r>
      <w:r>
        <w:rPr>
          <w:rFonts w:ascii="Arial" w:hAnsi="Arial"/>
          <w:i w:val="1"/>
          <w:iCs w:val="1"/>
          <w:sz w:val="22"/>
          <w:szCs w:val="22"/>
          <w:rtl w:val="0"/>
          <w:lang w:val="en-US"/>
        </w:rPr>
        <w:t>How to ensure safety in sensitive research?</w:t>
      </w:r>
      <w:r>
        <w:rPr>
          <w:rFonts w:ascii="Arial" w:hAnsi="Arial"/>
          <w:sz w:val="22"/>
          <w:szCs w:val="22"/>
          <w:rtl w:val="0"/>
          <w:lang w:val="en-US"/>
        </w:rPr>
        <w:t xml:space="preserve"> Available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"https://researchintegrity.law.hku.hk/safety-in-sensitive-research/"</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https://researchintegrity.law.hku.hk/safety-in-sensitive-research/</w:t>
      </w:r>
      <w:r>
        <w:rPr>
          <w:rFonts w:ascii="Arial" w:cs="Arial" w:hAnsi="Arial" w:eastAsia="Arial"/>
          <w:sz w:val="22"/>
          <w:szCs w:val="22"/>
        </w:rPr>
        <w:fldChar w:fldCharType="end" w:fldLock="0"/>
      </w:r>
      <w:r>
        <w:rPr>
          <w:rFonts w:ascii="Arial" w:hAnsi="Arial"/>
          <w:sz w:val="22"/>
          <w:szCs w:val="22"/>
          <w:rtl w:val="0"/>
          <w:lang w:val="en-US"/>
        </w:rPr>
        <w:t xml:space="preserve"> (Accessed 1st November 2025).</w:t>
      </w:r>
    </w:p>
    <w:p>
      <w:pPr>
        <w:pStyle w:val="Body"/>
        <w:jc w:val="both"/>
        <w:rPr>
          <w:rFonts w:ascii="Arial" w:cs="Arial" w:hAnsi="Arial" w:eastAsia="Arial"/>
          <w:b w:val="1"/>
          <w:bCs w:val="1"/>
          <w:sz w:val="24"/>
          <w:szCs w:val="24"/>
        </w:rPr>
      </w:pPr>
    </w:p>
    <w:p>
      <w:pPr>
        <w:pStyle w:val="Table Style 2"/>
        <w:rPr>
          <w:rFonts w:ascii="Arial" w:cs="Arial" w:hAnsi="Arial" w:eastAsia="Arial"/>
          <w:sz w:val="22"/>
          <w:szCs w:val="22"/>
        </w:rPr>
      </w:pPr>
      <w:r>
        <w:rPr>
          <w:rFonts w:ascii="Arial" w:hAnsi="Arial"/>
          <w:sz w:val="22"/>
          <w:szCs w:val="22"/>
          <w:rtl w:val="0"/>
          <w:lang w:val="en-US"/>
        </w:rPr>
        <w:t>Lewis, P., Saunders, M., Thornhill, A. (1997)</w:t>
      </w:r>
      <w:r>
        <w:rPr>
          <w:rFonts w:ascii="Arial" w:hAnsi="Arial"/>
          <w:sz w:val="22"/>
          <w:szCs w:val="22"/>
          <w:rtl w:val="0"/>
          <w:lang w:val="en-US"/>
        </w:rPr>
        <w:t>.</w:t>
      </w:r>
      <w:r>
        <w:rPr>
          <w:rFonts w:ascii="Arial" w:hAnsi="Arial"/>
          <w:sz w:val="22"/>
          <w:szCs w:val="22"/>
          <w:rtl w:val="0"/>
        </w:rPr>
        <w:t xml:space="preserve"> </w:t>
      </w:r>
      <w:r>
        <w:rPr>
          <w:rFonts w:ascii="Arial" w:hAnsi="Arial"/>
          <w:i w:val="1"/>
          <w:iCs w:val="1"/>
          <w:sz w:val="22"/>
          <w:szCs w:val="22"/>
          <w:rtl w:val="0"/>
          <w:lang w:val="en-US"/>
        </w:rPr>
        <w:t>Research Methods For Business Students.</w:t>
      </w:r>
      <w:r>
        <w:rPr>
          <w:rFonts w:ascii="Arial" w:hAnsi="Arial"/>
          <w:sz w:val="22"/>
          <w:szCs w:val="22"/>
          <w:rtl w:val="0"/>
          <w:lang w:val="en-US"/>
        </w:rPr>
        <w:t xml:space="preserve"> 9th edn. Harlow: Pearson Education Limited.</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en-US"/>
        </w:rPr>
        <w:t xml:space="preserve">Mayne, M. (2024). </w:t>
      </w:r>
      <w:r>
        <w:rPr>
          <w:rFonts w:ascii="Arial" w:hAnsi="Arial"/>
          <w:i w:val="1"/>
          <w:iCs w:val="1"/>
          <w:sz w:val="22"/>
          <w:szCs w:val="22"/>
          <w:rtl w:val="0"/>
          <w:lang w:val="en-US"/>
        </w:rPr>
        <w:t xml:space="preserve">Is your firm guilty of </w:t>
      </w:r>
      <w:r>
        <w:rPr>
          <w:rFonts w:ascii="Arial" w:hAnsi="Arial" w:hint="default"/>
          <w:i w:val="1"/>
          <w:iCs w:val="1"/>
          <w:sz w:val="22"/>
          <w:szCs w:val="22"/>
          <w:rtl w:val="0"/>
          <w:lang w:val="en-US"/>
        </w:rPr>
        <w:t>‘</w:t>
      </w:r>
      <w:r>
        <w:rPr>
          <w:rFonts w:ascii="Arial" w:hAnsi="Arial"/>
          <w:i w:val="1"/>
          <w:iCs w:val="1"/>
          <w:sz w:val="22"/>
          <w:szCs w:val="22"/>
          <w:rtl w:val="0"/>
          <w:lang w:val="en-US"/>
        </w:rPr>
        <w:t>wellbeing washing</w:t>
      </w:r>
      <w:r>
        <w:rPr>
          <w:rFonts w:ascii="Arial" w:hAnsi="Arial" w:hint="default"/>
          <w:i w:val="1"/>
          <w:iCs w:val="1"/>
          <w:sz w:val="22"/>
          <w:szCs w:val="22"/>
          <w:rtl w:val="0"/>
          <w:lang w:val="en-US"/>
        </w:rPr>
        <w:t>’</w:t>
      </w:r>
      <w:r>
        <w:rPr>
          <w:rFonts w:ascii="Arial" w:hAnsi="Arial"/>
          <w:i w:val="1"/>
          <w:iCs w:val="1"/>
          <w:sz w:val="22"/>
          <w:szCs w:val="22"/>
          <w:rtl w:val="0"/>
          <w:lang w:val="en-US"/>
        </w:rPr>
        <w:t>?</w:t>
      </w:r>
      <w:r>
        <w:rPr>
          <w:rFonts w:ascii="Arial" w:hAnsi="Arial"/>
          <w:sz w:val="22"/>
          <w:szCs w:val="22"/>
          <w:rtl w:val="0"/>
          <w:lang w:val="en-US"/>
        </w:rPr>
        <w:t xml:space="preserve"> Available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"https://www.peoplemanagement.co.uk/article/1875808/firm-guilty-wellbeing-washing"</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https://www.peoplemanagement.co.uk/article/1875808/firm-guilty-wellbeing-washing</w:t>
      </w:r>
      <w:r>
        <w:rPr>
          <w:rFonts w:ascii="Arial" w:cs="Arial" w:hAnsi="Arial" w:eastAsia="Arial"/>
          <w:sz w:val="22"/>
          <w:szCs w:val="22"/>
        </w:rPr>
        <w:fldChar w:fldCharType="end" w:fldLock="0"/>
      </w:r>
      <w:r>
        <w:rPr>
          <w:rFonts w:ascii="Arial" w:hAnsi="Arial"/>
          <w:sz w:val="22"/>
          <w:szCs w:val="22"/>
          <w:rtl w:val="0"/>
          <w:lang w:val="en-US"/>
        </w:rPr>
        <w:t xml:space="preserve"> (Accessed 10th November 2025).</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de-DE"/>
        </w:rPr>
        <w:t>Minocha, S. (No Date</w:t>
      </w:r>
      <w:r>
        <w:rPr>
          <w:rFonts w:ascii="Arial" w:hAnsi="Arial"/>
          <w:sz w:val="22"/>
          <w:szCs w:val="22"/>
          <w:rtl w:val="0"/>
          <w:lang w:val="en-US"/>
        </w:rPr>
        <w:t xml:space="preserve">). </w:t>
      </w:r>
      <w:r>
        <w:rPr>
          <w:rFonts w:ascii="Arial" w:hAnsi="Arial"/>
          <w:i w:val="1"/>
          <w:iCs w:val="1"/>
          <w:sz w:val="22"/>
          <w:szCs w:val="22"/>
          <w:rtl w:val="0"/>
          <w:lang w:val="en-US"/>
        </w:rPr>
        <w:t xml:space="preserve">Triangulation Available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"https://www.open.edu/openlearn/mod/oucontent/view.php?id=109325&amp;section=2.2.3"</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https://www.open.edu/openlearn/mod/oucontent/view.php?id=109325&amp;section=2.2.3</w:t>
      </w:r>
      <w:r>
        <w:rPr>
          <w:rFonts w:ascii="Arial" w:cs="Arial" w:hAnsi="Arial" w:eastAsia="Arial"/>
          <w:sz w:val="22"/>
          <w:szCs w:val="22"/>
        </w:rPr>
        <w:fldChar w:fldCharType="end" w:fldLock="0"/>
      </w:r>
      <w:r>
        <w:rPr>
          <w:rFonts w:ascii="Arial" w:hAnsi="Arial"/>
          <w:sz w:val="22"/>
          <w:szCs w:val="22"/>
          <w:rtl w:val="0"/>
          <w:lang w:val="en-US"/>
        </w:rPr>
        <w:t xml:space="preserve"> (Accessed 21st October 2025).</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en-US"/>
        </w:rPr>
        <w:t xml:space="preserve">Morel, D. (2024). </w:t>
      </w:r>
      <w:r>
        <w:rPr>
          <w:rFonts w:ascii="Arial" w:hAnsi="Arial"/>
          <w:i w:val="1"/>
          <w:iCs w:val="1"/>
          <w:sz w:val="22"/>
          <w:szCs w:val="22"/>
          <w:rtl w:val="0"/>
          <w:lang w:val="en-US"/>
        </w:rPr>
        <w:t xml:space="preserve">How To Avoid </w:t>
      </w:r>
      <w:r>
        <w:rPr>
          <w:rFonts w:ascii="Arial" w:hAnsi="Arial" w:hint="default"/>
          <w:i w:val="1"/>
          <w:iCs w:val="1"/>
          <w:sz w:val="22"/>
          <w:szCs w:val="22"/>
          <w:rtl w:val="0"/>
          <w:lang w:val="en-US"/>
        </w:rPr>
        <w:t>‘</w:t>
      </w:r>
      <w:r>
        <w:rPr>
          <w:rFonts w:ascii="Arial" w:hAnsi="Arial"/>
          <w:i w:val="1"/>
          <w:iCs w:val="1"/>
          <w:sz w:val="22"/>
          <w:szCs w:val="22"/>
          <w:rtl w:val="0"/>
          <w:lang w:val="en-US"/>
        </w:rPr>
        <w:t>Wellbeing Washing</w:t>
      </w:r>
      <w:r>
        <w:rPr>
          <w:rFonts w:ascii="Arial" w:hAnsi="Arial" w:hint="default"/>
          <w:i w:val="1"/>
          <w:iCs w:val="1"/>
          <w:sz w:val="22"/>
          <w:szCs w:val="22"/>
          <w:rtl w:val="0"/>
          <w:lang w:val="en-US"/>
        </w:rPr>
        <w:t xml:space="preserve">’ </w:t>
      </w:r>
      <w:r>
        <w:rPr>
          <w:rFonts w:ascii="Arial" w:hAnsi="Arial"/>
          <w:sz w:val="22"/>
          <w:szCs w:val="22"/>
          <w:rtl w:val="0"/>
          <w:lang w:val="en-US"/>
        </w:rPr>
        <w:t xml:space="preserve">Available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"https://www.forbes.com/sites/davidmorel/2024/08/06/how-to-avoid-wellbeing-washing/"</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https://www.forbes.com/sites/davidmorel/2024/08/06/how-to-avoid-wellbeing-washing/</w:t>
      </w:r>
      <w:r>
        <w:rPr>
          <w:rFonts w:ascii="Arial" w:cs="Arial" w:hAnsi="Arial" w:eastAsia="Arial"/>
          <w:sz w:val="22"/>
          <w:szCs w:val="22"/>
        </w:rPr>
        <w:fldChar w:fldCharType="end" w:fldLock="0"/>
      </w:r>
      <w:r>
        <w:rPr>
          <w:rFonts w:ascii="Arial" w:hAnsi="Arial"/>
          <w:sz w:val="22"/>
          <w:szCs w:val="22"/>
          <w:rtl w:val="0"/>
          <w:lang w:val="en-US"/>
        </w:rPr>
        <w:t xml:space="preserve"> (Accessed 10th November 2025).</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en-US"/>
        </w:rPr>
        <w:t>Ryan, G. (2018). Introduction to positivism, interpretivism and critical theory. Nurse Researcher, 25(4), 14</w:t>
      </w:r>
      <w:r>
        <w:rPr>
          <w:rFonts w:ascii="Arial" w:hAnsi="Arial" w:hint="default"/>
          <w:sz w:val="22"/>
          <w:szCs w:val="22"/>
          <w:rtl w:val="0"/>
        </w:rPr>
        <w:t>–</w:t>
      </w:r>
      <w:r>
        <w:rPr>
          <w:rFonts w:ascii="Arial" w:hAnsi="Arial"/>
          <w:sz w:val="22"/>
          <w:szCs w:val="22"/>
          <w:rtl w:val="0"/>
        </w:rPr>
        <w:t xml:space="preserve">20.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"https://doi.org/10.7748/nr.2018.e1466"</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https://doi.org/10.7748/nr.2018.e1466</w:t>
      </w:r>
      <w:r>
        <w:rPr>
          <w:rFonts w:ascii="Arial" w:cs="Arial" w:hAnsi="Arial" w:eastAsia="Arial"/>
          <w:sz w:val="22"/>
          <w:szCs w:val="22"/>
        </w:rPr>
        <w:fldChar w:fldCharType="end" w:fldLock="0"/>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en-US"/>
        </w:rPr>
        <w:t xml:space="preserve">Seedhouse, D. (1988). </w:t>
      </w:r>
      <w:r>
        <w:rPr>
          <w:rFonts w:ascii="Arial" w:hAnsi="Arial"/>
          <w:i w:val="1"/>
          <w:iCs w:val="1"/>
          <w:sz w:val="22"/>
          <w:szCs w:val="22"/>
          <w:rtl w:val="0"/>
          <w:lang w:val="en-US"/>
        </w:rPr>
        <w:t>Ethics: The Heart of Health Care.</w:t>
      </w:r>
      <w:r>
        <w:rPr>
          <w:rFonts w:ascii="Arial" w:hAnsi="Arial"/>
          <w:sz w:val="22"/>
          <w:szCs w:val="22"/>
          <w:rtl w:val="0"/>
          <w:lang w:val="en-US"/>
        </w:rPr>
        <w:t xml:space="preserve"> 2nd Edn. Chichester: </w:t>
      </w:r>
      <w:r>
        <w:rPr>
          <w:rFonts w:ascii="Arial" w:hAnsi="Arial"/>
          <w:sz w:val="22"/>
          <w:szCs w:val="22"/>
          <w:rtl w:val="0"/>
          <w:lang w:val="en-US"/>
        </w:rPr>
        <w:t>John Wiley &amp; Sons</w:t>
      </w:r>
      <w:r>
        <w:rPr>
          <w:rFonts w:ascii="Arial" w:hAnsi="Arial"/>
          <w:sz w:val="22"/>
          <w:szCs w:val="22"/>
          <w:rtl w:val="0"/>
          <w:lang w:val="en-US"/>
        </w:rPr>
        <w:t>.</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en-US"/>
        </w:rPr>
        <w:t>Silvonen, S. and Smith, R. (2025)</w:t>
      </w:r>
      <w:r>
        <w:rPr>
          <w:rFonts w:ascii="Arial" w:hAnsi="Arial"/>
          <w:sz w:val="22"/>
          <w:szCs w:val="22"/>
          <w:rtl w:val="0"/>
          <w:lang w:val="en-US"/>
        </w:rPr>
        <w:t xml:space="preserve">. </w:t>
      </w:r>
      <w:r>
        <w:rPr>
          <w:rFonts w:ascii="Arial" w:hAnsi="Arial"/>
          <w:i w:val="1"/>
          <w:iCs w:val="1"/>
          <w:sz w:val="22"/>
          <w:szCs w:val="22"/>
          <w:rtl w:val="0"/>
          <w:lang w:val="en-US"/>
        </w:rPr>
        <w:t xml:space="preserve">Fostering Wellbeing At Work In The UK A Five-Year Review </w:t>
      </w:r>
      <w:r>
        <w:rPr>
          <w:rFonts w:ascii="Arial" w:hAnsi="Arial"/>
          <w:sz w:val="22"/>
          <w:szCs w:val="22"/>
          <w:rtl w:val="0"/>
          <w:lang w:val="en-US"/>
        </w:rPr>
        <w:t>Available at</w:t>
      </w:r>
      <w:r>
        <w:rPr>
          <w:rFonts w:ascii="Arial" w:hAnsi="Arial"/>
          <w:sz w:val="22"/>
          <w:szCs w:val="22"/>
          <w:rtl w:val="0"/>
          <w:lang w:val="en-US"/>
        </w:rPr>
        <w:t xml:space="preserve">: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"https://hcdlab.carey.jhu.edu/wp-content/uploads/sites/3/2025/07/2025-6-2278-HCD-Lab-Well-Being-Report-UK-V10-Single-Page.pdf"</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https://hcdlab.carey.jhu.edu/wp-content/uploads/sites/3/2025/07/2025-6-2278-HCD-Lab-Well-Being-Report-UK-V10-Single-Page.pdf</w:t>
      </w:r>
      <w:r>
        <w:rPr>
          <w:rFonts w:ascii="Arial" w:cs="Arial" w:hAnsi="Arial" w:eastAsia="Arial"/>
          <w:sz w:val="22"/>
          <w:szCs w:val="22"/>
        </w:rPr>
        <w:fldChar w:fldCharType="end" w:fldLock="0"/>
      </w:r>
      <w:r>
        <w:rPr>
          <w:rFonts w:ascii="Arial" w:hAnsi="Arial"/>
          <w:sz w:val="22"/>
          <w:szCs w:val="22"/>
          <w:rtl w:val="0"/>
          <w:lang w:val="en-US"/>
        </w:rPr>
        <w:t xml:space="preserve"> </w:t>
      </w:r>
      <w:r>
        <w:rPr>
          <w:rFonts w:ascii="Arial" w:hAnsi="Arial"/>
          <w:sz w:val="22"/>
          <w:szCs w:val="22"/>
          <w:rtl w:val="0"/>
          <w:lang w:val="en-US"/>
        </w:rPr>
        <w:t>(Accessed 20th October 2025).</w:t>
      </w:r>
    </w:p>
    <w:p>
      <w:pPr>
        <w:pStyle w:val="Table Style 2"/>
        <w:rPr>
          <w:rFonts w:ascii="Arial" w:cs="Arial" w:hAnsi="Arial" w:eastAsia="Arial"/>
          <w:sz w:val="22"/>
          <w:szCs w:val="22"/>
        </w:rPr>
      </w:pPr>
    </w:p>
    <w:p>
      <w:pPr>
        <w:pStyle w:val="Table Style 2"/>
        <w:rPr>
          <w:rFonts w:ascii="Arial" w:cs="Arial" w:hAnsi="Arial" w:eastAsia="Arial"/>
          <w:sz w:val="22"/>
          <w:szCs w:val="22"/>
        </w:rPr>
      </w:pPr>
      <w:r>
        <w:rPr>
          <w:rFonts w:ascii="Arial" w:hAnsi="Arial"/>
          <w:sz w:val="22"/>
          <w:szCs w:val="22"/>
          <w:rtl w:val="0"/>
          <w:lang w:val="en-US"/>
        </w:rPr>
        <w:t xml:space="preserve">University of Nottingham. (No Date). </w:t>
      </w:r>
      <w:r>
        <w:rPr>
          <w:rFonts w:ascii="Arial" w:hAnsi="Arial"/>
          <w:i w:val="1"/>
          <w:iCs w:val="1"/>
          <w:sz w:val="22"/>
          <w:szCs w:val="22"/>
          <w:rtl w:val="0"/>
          <w:lang w:val="en-US"/>
        </w:rPr>
        <w:t>Understanding Pragmatic Research</w:t>
      </w:r>
      <w:r>
        <w:rPr>
          <w:rFonts w:ascii="Arial" w:hAnsi="Arial"/>
          <w:sz w:val="22"/>
          <w:szCs w:val="22"/>
          <w:rtl w:val="0"/>
          <w:lang w:val="en-US"/>
        </w:rPr>
        <w:t xml:space="preserve"> Available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"https://www.nottingham.ac.uk/helmopen/rlos/research-evidence-based-practice/designing-research/types-of-study/understanding-pragmatic-research/section02.html"</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https://www.nottingham.ac.uk/helmopen/rlos/research-evidence-based-practice/designing-research/types-of-study/understanding-pragmatic-research/section02.html</w:t>
      </w:r>
      <w:r>
        <w:rPr>
          <w:rFonts w:ascii="Arial" w:cs="Arial" w:hAnsi="Arial" w:eastAsia="Arial"/>
          <w:sz w:val="22"/>
          <w:szCs w:val="22"/>
        </w:rPr>
        <w:fldChar w:fldCharType="end" w:fldLock="0"/>
      </w:r>
      <w:r>
        <w:rPr>
          <w:rFonts w:ascii="Arial" w:hAnsi="Arial"/>
          <w:sz w:val="22"/>
          <w:szCs w:val="22"/>
          <w:rtl w:val="0"/>
          <w:lang w:val="en-US"/>
        </w:rPr>
        <w:t xml:space="preserve"> (Accessed 1st November 2025).</w:t>
      </w:r>
      <w:r>
        <w:rPr>
          <w:rFonts w:ascii="Arial" w:hAnsi="Arial"/>
          <w:sz w:val="22"/>
          <w:szCs w:val="22"/>
          <w:rtl w:val="0"/>
          <w:lang w:val="en-US"/>
        </w:rPr>
        <w:t xml:space="preserve"> </w:t>
      </w:r>
    </w:p>
    <w:p>
      <w:pPr>
        <w:pStyle w:val="Table Style 2"/>
        <w:rPr>
          <w:rFonts w:ascii="Arial" w:cs="Arial" w:hAnsi="Arial" w:eastAsia="Arial"/>
          <w:sz w:val="22"/>
          <w:szCs w:val="22"/>
        </w:rPr>
      </w:pPr>
    </w:p>
    <w:p>
      <w:pPr>
        <w:pStyle w:val="Table Style 2"/>
      </w:pPr>
      <w:r>
        <w:rPr>
          <w:rFonts w:ascii="Arial" w:hAnsi="Arial"/>
          <w:sz w:val="22"/>
          <w:szCs w:val="22"/>
          <w:rtl w:val="0"/>
          <w:lang w:val="en-US"/>
        </w:rPr>
        <w:t xml:space="preserve">Zurich. (2022). </w:t>
      </w:r>
      <w:r>
        <w:rPr>
          <w:rFonts w:ascii="Arial" w:hAnsi="Arial"/>
          <w:i w:val="1"/>
          <w:iCs w:val="1"/>
          <w:sz w:val="22"/>
          <w:szCs w:val="22"/>
          <w:rtl w:val="0"/>
          <w:lang w:val="en-US"/>
        </w:rPr>
        <w:t>The pandemic has shown why employers must prioritise health and wellbeing</w:t>
      </w:r>
      <w:r>
        <w:rPr>
          <w:rFonts w:ascii="Arial" w:hAnsi="Arial"/>
          <w:sz w:val="22"/>
          <w:szCs w:val="22"/>
          <w:rtl w:val="0"/>
          <w:lang w:val="en-US"/>
        </w:rPr>
        <w:t xml:space="preserve"> Available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"https://www.zurich.com/knowledge/topics/future-of-work/the-pandemic-has-shown-why-employers-should-prioritize-health-and-wellbeing"</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https://www.zurich.com/knowledge/topics/future-of-work/the-pandemic-has-shown-why-employers-should-prioritize-health-and-wellbeing</w:t>
      </w:r>
      <w:r>
        <w:rPr>
          <w:rFonts w:ascii="Arial" w:cs="Arial" w:hAnsi="Arial" w:eastAsia="Arial"/>
          <w:sz w:val="22"/>
          <w:szCs w:val="22"/>
        </w:rPr>
        <w:fldChar w:fldCharType="end" w:fldLock="0"/>
      </w:r>
      <w:r>
        <w:rPr>
          <w:rFonts w:ascii="Arial" w:hAnsi="Arial"/>
          <w:sz w:val="22"/>
          <w:szCs w:val="22"/>
          <w:rtl w:val="0"/>
          <w:lang w:val="en-US"/>
        </w:rPr>
        <w:t xml:space="preserve"> (Accessed 29th October 2025).</w:t>
      </w:r>
    </w:p>
    <w:sectPr>
      <w:headerReference w:type="default" r:id="rId7"/>
      <w:footerReference w:type="default" r:id="rId8"/>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Arial" w:hAnsi="Arial"/>
        <w:outline w:val="0"/>
        <w:color w:val="5e5e5e"/>
        <w:rtl w:val="0"/>
        <w:lang w:val="en-US"/>
        <w14:textFill>
          <w14:solidFill>
            <w14:srgbClr w14:val="5E5E5E"/>
          </w14:solidFill>
        </w14:textFill>
      </w:rPr>
      <w:t>Callum Griffiths-Barlow</w:t>
    </w:r>
    <w:r>
      <w:rPr>
        <w:rFonts w:ascii="Arial" w:cs="Arial" w:hAnsi="Arial" w:eastAsia="Arial"/>
        <w:outline w:val="0"/>
        <w:color w:val="5e5e5e"/>
        <w14:textFill>
          <w14:solidFill>
            <w14:srgbClr w14:val="5E5E5E"/>
          </w14:solidFill>
        </w14:textFill>
      </w:rPr>
      <w:tab/>
    </w:r>
    <w:r>
      <w:rPr>
        <w:rFonts w:ascii="Arial" w:hAnsi="Arial"/>
        <w:outline w:val="0"/>
        <w:color w:val="5e5e5e"/>
        <w:rtl w:val="0"/>
        <w:lang w:val="en-US"/>
        <w14:textFill>
          <w14:solidFill>
            <w14:srgbClr w14:val="5E5E5E"/>
          </w14:solidFill>
        </w14:textFill>
      </w:rPr>
      <w:t xml:space="preserve">Page </w:t>
    </w:r>
    <w:r>
      <w:rPr>
        <w:rFonts w:ascii="Arial" w:cs="Arial" w:hAnsi="Arial" w:eastAsia="Arial"/>
        <w:outline w:val="0"/>
        <w:color w:val="5e5e5e"/>
        <w14:textFill>
          <w14:solidFill>
            <w14:srgbClr w14:val="5E5E5E"/>
          </w14:solidFill>
        </w14:textFill>
      </w:rPr>
      <w:fldChar w:fldCharType="begin" w:fldLock="0"/>
    </w:r>
    <w:r>
      <w:rPr>
        <w:rFonts w:ascii="Arial" w:cs="Arial" w:hAnsi="Arial" w:eastAsia="Arial"/>
        <w:outline w:val="0"/>
        <w:color w:val="5e5e5e"/>
        <w14:textFill>
          <w14:solidFill>
            <w14:srgbClr w14:val="5E5E5E"/>
          </w14:solidFill>
        </w14:textFill>
      </w:rPr>
      <w:instrText xml:space="preserve"> PAGE </w:instrText>
    </w:r>
    <w:r>
      <w:rPr>
        <w:rFonts w:ascii="Arial" w:cs="Arial" w:hAnsi="Arial" w:eastAsia="Arial"/>
        <w:outline w:val="0"/>
        <w:color w:val="5e5e5e"/>
        <w14:textFill>
          <w14:solidFill>
            <w14:srgbClr w14:val="5E5E5E"/>
          </w14:solidFill>
        </w14:textFill>
      </w:rPr>
      <w:fldChar w:fldCharType="separate" w:fldLock="0"/>
    </w:r>
    <w:r>
      <w:rPr>
        <w:rFonts w:ascii="Arial" w:cs="Arial" w:hAnsi="Arial" w:eastAsia="Arial"/>
        <w:outline w:val="0"/>
        <w:color w:val="5e5e5e"/>
        <w14:textFill>
          <w14:solidFill>
            <w14:srgbClr w14:val="5E5E5E"/>
          </w14:solidFill>
        </w14:textFill>
      </w:rPr>
    </w:r>
    <w:r>
      <w:rPr>
        <w:rFonts w:ascii="Arial" w:cs="Arial" w:hAnsi="Arial" w:eastAsia="Arial"/>
        <w:outline w:val="0"/>
        <w:color w:val="5e5e5e"/>
        <w14:textFill>
          <w14:solidFill>
            <w14:srgbClr w14:val="5E5E5E"/>
          </w14:solidFill>
        </w14:textFill>
      </w:rPr>
      <w:fldChar w:fldCharType="end" w:fldLock="0"/>
    </w:r>
    <w:r>
      <w:rPr>
        <w:rFonts w:ascii="Arial" w:hAnsi="Arial"/>
        <w:outline w:val="0"/>
        <w:color w:val="5e5e5e"/>
        <w:rtl w:val="0"/>
        <w:lang w:val="en-US"/>
        <w14:textFill>
          <w14:solidFill>
            <w14:srgbClr w14:val="5E5E5E"/>
          </w14:solidFill>
        </w14:textFill>
      </w:rPr>
      <w:t xml:space="preserve"> of </w:t>
    </w:r>
    <w:r>
      <w:rPr>
        <w:rFonts w:ascii="Arial" w:cs="Arial" w:hAnsi="Arial" w:eastAsia="Arial"/>
        <w:outline w:val="0"/>
        <w:color w:val="5e5e5e"/>
        <w14:textFill>
          <w14:solidFill>
            <w14:srgbClr w14:val="5E5E5E"/>
          </w14:solidFill>
        </w14:textFill>
      </w:rPr>
      <w:fldChar w:fldCharType="begin" w:fldLock="0"/>
    </w:r>
    <w:r>
      <w:rPr>
        <w:rFonts w:ascii="Arial" w:cs="Arial" w:hAnsi="Arial" w:eastAsia="Arial"/>
        <w:outline w:val="0"/>
        <w:color w:val="5e5e5e"/>
        <w14:textFill>
          <w14:solidFill>
            <w14:srgbClr w14:val="5E5E5E"/>
          </w14:solidFill>
        </w14:textFill>
      </w:rPr>
      <w:instrText xml:space="preserve"> NUMPAGES </w:instrText>
    </w:r>
    <w:r>
      <w:rPr>
        <w:rFonts w:ascii="Arial" w:cs="Arial" w:hAnsi="Arial" w:eastAsia="Arial"/>
        <w:outline w:val="0"/>
        <w:color w:val="5e5e5e"/>
        <w14:textFill>
          <w14:solidFill>
            <w14:srgbClr w14:val="5E5E5E"/>
          </w14:solidFill>
        </w14:textFill>
      </w:rPr>
      <w:fldChar w:fldCharType="separate" w:fldLock="0"/>
    </w:r>
    <w:r>
      <w:rPr>
        <w:rFonts w:ascii="Arial" w:cs="Arial" w:hAnsi="Arial" w:eastAsia="Arial"/>
        <w:outline w:val="0"/>
        <w:color w:val="5e5e5e"/>
        <w14:textFill>
          <w14:solidFill>
            <w14:srgbClr w14:val="5E5E5E"/>
          </w14:solidFill>
        </w14:textFill>
      </w:rPr>
    </w:r>
    <w:r>
      <w:rPr>
        <w:rFonts w:ascii="Arial" w:cs="Arial" w:hAnsi="Arial" w:eastAsia="Arial"/>
        <w:outline w:val="0"/>
        <w:color w:val="5e5e5e"/>
        <w14:textFill>
          <w14:solidFill>
            <w14:srgbClr w14:val="5E5E5E"/>
          </w14:solidFill>
        </w14:textFill>
      </w:rPr>
      <w:fldChar w:fldCharType="end" w:fldLock="0"/>
    </w:r>
    <w:r>
      <w:rPr>
        <w:rFonts w:ascii="Arial" w:cs="Arial" w:hAnsi="Arial" w:eastAsia="Arial"/>
        <w:outline w:val="0"/>
        <w:color w:val="5e5e5e"/>
        <w14:textFill>
          <w14:solidFill>
            <w14:srgbClr w14:val="5E5E5E"/>
          </w14:solidFill>
        </w14:textFill>
      </w:rPr>
      <w:tab/>
    </w:r>
    <w:r>
      <w:rPr>
        <w:rFonts w:ascii="Arial" w:hAnsi="Arial"/>
        <w:outline w:val="0"/>
        <w:color w:val="5e5e5e"/>
        <w:rtl w:val="0"/>
        <w:lang w:val="en-US"/>
        <w14:textFill>
          <w14:solidFill>
            <w14:srgbClr w14:val="5E5E5E"/>
          </w14:solidFill>
        </w14:textFill>
      </w:rPr>
      <w:t>2316490</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rtl w:val="0"/>
        <w:lang w:val="en-US"/>
      </w:rPr>
      <w:t>1580 words</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253" w:hanging="25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53" w:hanging="25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53" w:hanging="25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53" w:hanging="25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53" w:hanging="25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53" w:hanging="25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53" w:hanging="25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53" w:hanging="25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53" w:hanging="25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numbering" w:styleId="Numbered">
    <w:name w:val="Numbered"/>
    <w:pPr>
      <w:numPr>
        <w:numId w:val="1"/>
      </w:numPr>
    </w:p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