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28484" w14:textId="61E05D16" w:rsidR="00694F5D" w:rsidRDefault="00694F5D" w:rsidP="00694F5D">
      <w:pPr>
        <w:pStyle w:val="NormalWeb"/>
        <w:spacing w:before="0" w:beforeAutospacing="0" w:after="0" w:afterAutospacing="0"/>
        <w:ind w:left="-180" w:right="-334"/>
        <w:rPr>
          <w:rFonts w:ascii="Trebuchet MS" w:hAnsi="Trebuchet MS" w:cs="Tahoma"/>
          <w:sz w:val="24"/>
          <w:szCs w:val="24"/>
        </w:rPr>
      </w:pPr>
      <w:bookmarkStart w:id="0" w:name="_Hlk510519032"/>
      <w:r>
        <w:rPr>
          <w:noProof/>
        </w:rPr>
        <w:drawing>
          <wp:inline distT="0" distB="0" distL="0" distR="0" wp14:anchorId="75B70CC9" wp14:editId="7C12374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6527B6A" w14:textId="77777777" w:rsidR="00694F5D" w:rsidRDefault="00694F5D" w:rsidP="00694F5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05558BF2" w14:textId="77777777" w:rsidR="00694F5D" w:rsidRPr="001E50BB" w:rsidRDefault="00694F5D" w:rsidP="00694F5D">
      <w:pPr>
        <w:jc w:val="center"/>
        <w:rPr>
          <w:rFonts w:ascii="Arial" w:hAnsi="Arial" w:cs="Arial"/>
          <w:b/>
          <w:lang w:val="cy-GB"/>
        </w:rPr>
      </w:pPr>
      <w:r w:rsidRPr="001E50BB">
        <w:rPr>
          <w:rFonts w:ascii="Arial" w:hAnsi="Arial" w:cs="Arial"/>
          <w:b/>
          <w:lang w:val="cy-GB"/>
        </w:rPr>
        <w:t>(to be completed by marker)</w:t>
      </w:r>
    </w:p>
    <w:p w14:paraId="3DE66EBF" w14:textId="77777777" w:rsidR="00694F5D" w:rsidRPr="001E50BB" w:rsidRDefault="00694F5D" w:rsidP="00694F5D">
      <w:pPr>
        <w:jc w:val="center"/>
        <w:rPr>
          <w:rFonts w:ascii="Arial" w:hAnsi="Arial" w:cs="Arial"/>
          <w:b/>
          <w:lang w:val="cy-GB"/>
        </w:rPr>
      </w:pPr>
    </w:p>
    <w:p w14:paraId="4C337931" w14:textId="77777777" w:rsidR="00694F5D" w:rsidRDefault="00694F5D" w:rsidP="00694F5D">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94F5D" w:rsidRPr="0065654E" w14:paraId="1D8762DA" w14:textId="77777777" w:rsidTr="002E562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DBD248A" w14:textId="77777777" w:rsidR="00694F5D" w:rsidRDefault="00694F5D" w:rsidP="002E5628">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Annie Thomas</w:t>
            </w:r>
          </w:p>
          <w:p w14:paraId="0C2FB6E0" w14:textId="77777777" w:rsidR="00694F5D" w:rsidRPr="0065654E" w:rsidRDefault="00694F5D" w:rsidP="002E5628">
            <w:pPr>
              <w:pStyle w:val="NormalWeb"/>
              <w:spacing w:before="0" w:beforeAutospacing="0" w:after="0" w:afterAutospacing="0"/>
              <w:ind w:right="34"/>
              <w:rPr>
                <w:rFonts w:ascii="Calibri" w:hAnsi="Calibri" w:cs="Tahoma"/>
                <w:i/>
                <w:sz w:val="24"/>
                <w:szCs w:val="24"/>
              </w:rPr>
            </w:pPr>
          </w:p>
        </w:tc>
      </w:tr>
      <w:tr w:rsidR="00694F5D" w:rsidRPr="0065654E" w14:paraId="133189A2" w14:textId="77777777" w:rsidTr="002E562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6DE816DD" w14:textId="77777777" w:rsidR="00694F5D" w:rsidRDefault="00694F5D" w:rsidP="002E562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CSEN4006</w:t>
            </w:r>
          </w:p>
          <w:p w14:paraId="7BC21C09" w14:textId="77777777" w:rsidR="00694F5D" w:rsidRDefault="00694F5D" w:rsidP="002E5628">
            <w:pPr>
              <w:pStyle w:val="NormalWeb"/>
              <w:spacing w:before="0" w:beforeAutospacing="0" w:after="0" w:afterAutospacing="0"/>
              <w:ind w:right="34"/>
              <w:rPr>
                <w:rFonts w:ascii="Calibri" w:hAnsi="Calibri" w:cs="Tahoma"/>
                <w:i/>
                <w:sz w:val="24"/>
                <w:szCs w:val="24"/>
              </w:rPr>
            </w:pPr>
          </w:p>
          <w:p w14:paraId="60BA79EE" w14:textId="77777777" w:rsidR="00694F5D" w:rsidRDefault="00694F5D" w:rsidP="002E562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Historicising Texts</w:t>
            </w:r>
          </w:p>
          <w:p w14:paraId="6CE4989E" w14:textId="77777777" w:rsidR="00694F5D" w:rsidRPr="0065654E" w:rsidRDefault="00694F5D" w:rsidP="002E5628">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18BFDA97" w14:textId="77777777" w:rsidR="00694F5D" w:rsidRPr="0065654E" w:rsidRDefault="00694F5D" w:rsidP="002E562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694F5D" w:rsidRPr="0065654E" w14:paraId="133A0903" w14:textId="77777777" w:rsidTr="002E562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E79B6DC" w14:textId="77777777" w:rsidR="00694F5D" w:rsidRPr="0065654E" w:rsidRDefault="00694F5D" w:rsidP="002E562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E68F9CD" w14:textId="77777777" w:rsidR="00694F5D" w:rsidRDefault="00694F5D" w:rsidP="002E5628">
            <w:pPr>
              <w:pStyle w:val="NormalWeb"/>
              <w:rPr>
                <w:rFonts w:ascii="Calibri" w:hAnsi="Calibri" w:cs="Tahoma"/>
                <w:i/>
                <w:sz w:val="24"/>
                <w:szCs w:val="24"/>
              </w:rPr>
            </w:pPr>
            <w:r w:rsidRPr="0065654E">
              <w:rPr>
                <w:rFonts w:ascii="Calibri" w:hAnsi="Calibri" w:cs="Tahoma"/>
                <w:i/>
                <w:sz w:val="24"/>
                <w:szCs w:val="24"/>
              </w:rPr>
              <w:t>Comments:</w:t>
            </w:r>
          </w:p>
          <w:p w14:paraId="2C440C42" w14:textId="77777777" w:rsidR="00694F5D" w:rsidRDefault="00694F5D" w:rsidP="002E5628">
            <w:pPr>
              <w:pStyle w:val="NormalWeb"/>
              <w:rPr>
                <w:rFonts w:ascii="Calibri" w:hAnsi="Calibri" w:cs="Tahoma"/>
                <w:i/>
                <w:sz w:val="24"/>
                <w:szCs w:val="24"/>
              </w:rPr>
            </w:pPr>
          </w:p>
          <w:p w14:paraId="49971133" w14:textId="77777777" w:rsidR="00694F5D" w:rsidRDefault="00694F5D" w:rsidP="002E5628">
            <w:pPr>
              <w:pStyle w:val="NormalWeb"/>
              <w:rPr>
                <w:rFonts w:ascii="Calibri" w:hAnsi="Calibri" w:cs="Tahoma"/>
                <w:i/>
                <w:sz w:val="24"/>
                <w:szCs w:val="24"/>
              </w:rPr>
            </w:pPr>
          </w:p>
          <w:p w14:paraId="437BA778" w14:textId="77777777" w:rsidR="00694F5D" w:rsidRDefault="00694F5D" w:rsidP="002E5628">
            <w:pPr>
              <w:pStyle w:val="NormalWeb"/>
              <w:rPr>
                <w:rFonts w:ascii="Calibri" w:hAnsi="Calibri" w:cs="Tahoma"/>
                <w:i/>
                <w:sz w:val="24"/>
                <w:szCs w:val="24"/>
              </w:rPr>
            </w:pPr>
          </w:p>
          <w:p w14:paraId="79D48D8B" w14:textId="77777777" w:rsidR="00694F5D" w:rsidRDefault="00694F5D" w:rsidP="002E5628">
            <w:pPr>
              <w:pStyle w:val="NormalWeb"/>
              <w:rPr>
                <w:rFonts w:ascii="Calibri" w:hAnsi="Calibri" w:cs="Tahoma"/>
                <w:i/>
                <w:sz w:val="24"/>
                <w:szCs w:val="24"/>
              </w:rPr>
            </w:pPr>
          </w:p>
          <w:p w14:paraId="6A46FD5D" w14:textId="77777777" w:rsidR="00694F5D" w:rsidRDefault="00694F5D" w:rsidP="002E5628">
            <w:pPr>
              <w:pStyle w:val="NormalWeb"/>
              <w:rPr>
                <w:rFonts w:ascii="Calibri" w:hAnsi="Calibri" w:cs="Tahoma"/>
                <w:i/>
                <w:sz w:val="24"/>
                <w:szCs w:val="24"/>
              </w:rPr>
            </w:pPr>
          </w:p>
          <w:p w14:paraId="4072B9F8" w14:textId="77777777" w:rsidR="00694F5D" w:rsidRDefault="00694F5D" w:rsidP="002E5628">
            <w:pPr>
              <w:pStyle w:val="NormalWeb"/>
              <w:rPr>
                <w:rFonts w:ascii="Calibri" w:hAnsi="Calibri" w:cs="Tahoma"/>
                <w:i/>
                <w:sz w:val="24"/>
                <w:szCs w:val="24"/>
              </w:rPr>
            </w:pPr>
          </w:p>
          <w:p w14:paraId="0C552920" w14:textId="77777777" w:rsidR="00694F5D" w:rsidRDefault="00694F5D" w:rsidP="002E5628">
            <w:pPr>
              <w:pStyle w:val="NormalWeb"/>
              <w:rPr>
                <w:rFonts w:ascii="Calibri" w:hAnsi="Calibri" w:cs="Tahoma"/>
                <w:i/>
                <w:sz w:val="24"/>
                <w:szCs w:val="24"/>
              </w:rPr>
            </w:pPr>
          </w:p>
          <w:p w14:paraId="3A1775C9" w14:textId="77777777" w:rsidR="00694F5D" w:rsidRDefault="00694F5D" w:rsidP="002E5628">
            <w:pPr>
              <w:pStyle w:val="NormalWeb"/>
              <w:rPr>
                <w:rFonts w:ascii="Calibri" w:hAnsi="Calibri" w:cs="Tahoma"/>
                <w:i/>
                <w:sz w:val="24"/>
                <w:szCs w:val="24"/>
              </w:rPr>
            </w:pPr>
          </w:p>
          <w:p w14:paraId="310E6C99" w14:textId="77777777" w:rsidR="00694F5D" w:rsidRDefault="00694F5D" w:rsidP="002E5628">
            <w:pPr>
              <w:pStyle w:val="NormalWeb"/>
              <w:rPr>
                <w:rFonts w:ascii="Calibri" w:hAnsi="Calibri" w:cs="Tahoma"/>
                <w:i/>
                <w:sz w:val="24"/>
                <w:szCs w:val="24"/>
              </w:rPr>
            </w:pPr>
          </w:p>
          <w:p w14:paraId="1168F57D" w14:textId="77777777" w:rsidR="00694F5D" w:rsidRDefault="00694F5D" w:rsidP="002E5628">
            <w:pPr>
              <w:pStyle w:val="NormalWeb"/>
              <w:rPr>
                <w:rFonts w:ascii="Calibri" w:hAnsi="Calibri" w:cs="Tahoma"/>
                <w:i/>
                <w:sz w:val="24"/>
                <w:szCs w:val="24"/>
              </w:rPr>
            </w:pPr>
          </w:p>
          <w:p w14:paraId="029E6FF7" w14:textId="77777777" w:rsidR="00694F5D" w:rsidRPr="0065654E" w:rsidRDefault="00694F5D" w:rsidP="002E5628">
            <w:pPr>
              <w:pStyle w:val="NormalWeb"/>
              <w:rPr>
                <w:rFonts w:ascii="Calibri" w:hAnsi="Calibri" w:cs="Tahoma"/>
                <w:i/>
                <w:sz w:val="24"/>
                <w:szCs w:val="24"/>
              </w:rPr>
            </w:pPr>
          </w:p>
        </w:tc>
      </w:tr>
      <w:tr w:rsidR="00694F5D" w:rsidRPr="0065654E" w14:paraId="42A54BB0" w14:textId="77777777" w:rsidTr="002E5628">
        <w:trPr>
          <w:trHeight w:val="492"/>
        </w:trPr>
        <w:tc>
          <w:tcPr>
            <w:tcW w:w="6768" w:type="dxa"/>
            <w:gridSpan w:val="2"/>
            <w:tcBorders>
              <w:top w:val="single" w:sz="4" w:space="0" w:color="auto"/>
            </w:tcBorders>
            <w:vAlign w:val="center"/>
          </w:tcPr>
          <w:p w14:paraId="34786700" w14:textId="77777777" w:rsidR="00694F5D" w:rsidRPr="0065654E" w:rsidRDefault="00694F5D" w:rsidP="002E5628">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0A142A3E" w14:textId="77777777" w:rsidR="00694F5D" w:rsidRPr="0065654E" w:rsidRDefault="00694F5D" w:rsidP="002E5628">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94F5D" w:rsidRPr="0065654E" w14:paraId="7FE85B3A" w14:textId="77777777" w:rsidTr="002E5628">
        <w:tc>
          <w:tcPr>
            <w:tcW w:w="8755" w:type="dxa"/>
            <w:gridSpan w:val="3"/>
            <w:vAlign w:val="center"/>
          </w:tcPr>
          <w:p w14:paraId="5A557D7F" w14:textId="77777777" w:rsidR="00694F5D" w:rsidRDefault="00694F5D" w:rsidP="002E5628">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1CBC53D2" w14:textId="77777777" w:rsidR="00694F5D" w:rsidRPr="0065654E" w:rsidRDefault="00694F5D" w:rsidP="002E5628">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120DDC39" w14:textId="77777777" w:rsidR="0084328D" w:rsidRDefault="0084328D" w:rsidP="00C52B2E">
      <w:pPr>
        <w:spacing w:after="100" w:afterAutospacing="1" w:line="480" w:lineRule="auto"/>
        <w:rPr>
          <w:b/>
          <w:sz w:val="24"/>
          <w:szCs w:val="24"/>
        </w:rPr>
      </w:pPr>
      <w:r>
        <w:rPr>
          <w:b/>
          <w:sz w:val="24"/>
          <w:szCs w:val="24"/>
        </w:rPr>
        <w:lastRenderedPageBreak/>
        <w:t xml:space="preserve">Analyse Marie’s use of </w:t>
      </w:r>
      <w:r w:rsidRPr="00484EFB">
        <w:rPr>
          <w:b/>
          <w:i/>
          <w:noProof/>
          <w:sz w:val="24"/>
          <w:szCs w:val="24"/>
        </w:rPr>
        <w:t>descriptio</w:t>
      </w:r>
      <w:r>
        <w:rPr>
          <w:b/>
          <w:i/>
          <w:sz w:val="24"/>
          <w:szCs w:val="24"/>
        </w:rPr>
        <w:t xml:space="preserve"> </w:t>
      </w:r>
      <w:r>
        <w:rPr>
          <w:b/>
          <w:sz w:val="24"/>
          <w:szCs w:val="24"/>
        </w:rPr>
        <w:t>in at least three lais.</w:t>
      </w:r>
    </w:p>
    <w:p w14:paraId="38C6325A" w14:textId="2D1751E9" w:rsidR="0084328D" w:rsidRPr="00436015" w:rsidRDefault="0084328D" w:rsidP="00C52B2E">
      <w:pPr>
        <w:spacing w:after="100" w:afterAutospacing="1" w:line="480" w:lineRule="auto"/>
        <w:rPr>
          <w:color w:val="FF0000"/>
          <w:sz w:val="24"/>
          <w:szCs w:val="24"/>
        </w:rPr>
      </w:pPr>
      <w:bookmarkStart w:id="1" w:name="_Hlk510519148"/>
      <w:bookmarkEnd w:id="0"/>
      <w:r>
        <w:rPr>
          <w:sz w:val="24"/>
          <w:szCs w:val="24"/>
        </w:rPr>
        <w:t>This essay will use three of Marie de France’s l</w:t>
      </w:r>
      <w:r w:rsidRPr="00BF0D14">
        <w:rPr>
          <w:sz w:val="24"/>
          <w:szCs w:val="24"/>
        </w:rPr>
        <w:t>ais</w:t>
      </w:r>
      <w:r>
        <w:rPr>
          <w:sz w:val="24"/>
          <w:szCs w:val="24"/>
        </w:rPr>
        <w:t xml:space="preserve">: </w:t>
      </w:r>
      <w:r>
        <w:rPr>
          <w:i/>
          <w:sz w:val="24"/>
          <w:szCs w:val="24"/>
        </w:rPr>
        <w:t xml:space="preserve">Guigemar, Yonec </w:t>
      </w:r>
      <w:r>
        <w:rPr>
          <w:sz w:val="24"/>
          <w:szCs w:val="24"/>
        </w:rPr>
        <w:t xml:space="preserve">and </w:t>
      </w:r>
      <w:r>
        <w:rPr>
          <w:i/>
          <w:sz w:val="24"/>
          <w:szCs w:val="24"/>
        </w:rPr>
        <w:t xml:space="preserve">Laustic, </w:t>
      </w:r>
      <w:r>
        <w:rPr>
          <w:sz w:val="24"/>
          <w:szCs w:val="24"/>
        </w:rPr>
        <w:t xml:space="preserve">and will concentrate on the animal </w:t>
      </w:r>
      <w:r w:rsidRPr="00484EFB">
        <w:rPr>
          <w:noProof/>
          <w:sz w:val="24"/>
          <w:szCs w:val="24"/>
        </w:rPr>
        <w:t>descriptio</w:t>
      </w:r>
      <w:r>
        <w:rPr>
          <w:sz w:val="24"/>
          <w:szCs w:val="24"/>
        </w:rPr>
        <w:t xml:space="preserve"> in each tale. While doing so, it will also reflect on commonalities of the chosen objects of </w:t>
      </w:r>
      <w:r w:rsidRPr="00484EFB">
        <w:rPr>
          <w:noProof/>
          <w:sz w:val="24"/>
          <w:szCs w:val="24"/>
        </w:rPr>
        <w:t>descriptio</w:t>
      </w:r>
      <w:r>
        <w:rPr>
          <w:sz w:val="24"/>
          <w:szCs w:val="24"/>
        </w:rPr>
        <w:t xml:space="preserve">, other than their shared animal status. All three animals are unwitting victims in tales of mal </w:t>
      </w:r>
      <w:r w:rsidRPr="00484EFB">
        <w:rPr>
          <w:noProof/>
          <w:sz w:val="24"/>
          <w:szCs w:val="24"/>
        </w:rPr>
        <w:t>maree</w:t>
      </w:r>
      <w:r>
        <w:rPr>
          <w:sz w:val="24"/>
          <w:szCs w:val="24"/>
        </w:rPr>
        <w:t xml:space="preserve">, the effect of jealousy is therefore pertinent; androgyny will also be considered, as will the hunt. The animal </w:t>
      </w:r>
      <w:r w:rsidRPr="00484EFB">
        <w:rPr>
          <w:noProof/>
          <w:sz w:val="24"/>
          <w:szCs w:val="24"/>
        </w:rPr>
        <w:t>descriptio</w:t>
      </w:r>
      <w:r>
        <w:rPr>
          <w:sz w:val="24"/>
          <w:szCs w:val="24"/>
        </w:rPr>
        <w:t xml:space="preserve"> have been chosen because this essay is </w:t>
      </w:r>
      <w:r w:rsidRPr="00484EFB">
        <w:rPr>
          <w:noProof/>
          <w:sz w:val="24"/>
          <w:szCs w:val="24"/>
        </w:rPr>
        <w:t>interested</w:t>
      </w:r>
      <w:r>
        <w:rPr>
          <w:noProof/>
          <w:sz w:val="24"/>
          <w:szCs w:val="24"/>
        </w:rPr>
        <w:t xml:space="preserve"> </w:t>
      </w:r>
      <w:r>
        <w:rPr>
          <w:sz w:val="24"/>
          <w:szCs w:val="24"/>
        </w:rPr>
        <w:t xml:space="preserve">not just in the power of </w:t>
      </w:r>
      <w:r w:rsidRPr="00484EFB">
        <w:rPr>
          <w:noProof/>
          <w:sz w:val="24"/>
          <w:szCs w:val="24"/>
        </w:rPr>
        <w:t>descriptio</w:t>
      </w:r>
      <w:r>
        <w:rPr>
          <w:sz w:val="24"/>
          <w:szCs w:val="24"/>
        </w:rPr>
        <w:t xml:space="preserve"> as an instrument for memory of the tale, but also its use as a device that ensures the memory of Marie the author. Th</w:t>
      </w:r>
      <w:r>
        <w:rPr>
          <w:noProof/>
          <w:sz w:val="24"/>
          <w:szCs w:val="24"/>
        </w:rPr>
        <w:t xml:space="preserve">e essay will use these </w:t>
      </w:r>
      <w:r>
        <w:rPr>
          <w:sz w:val="24"/>
          <w:szCs w:val="24"/>
        </w:rPr>
        <w:t xml:space="preserve">animal </w:t>
      </w:r>
      <w:r w:rsidRPr="00484EFB">
        <w:rPr>
          <w:noProof/>
          <w:sz w:val="24"/>
          <w:szCs w:val="24"/>
        </w:rPr>
        <w:t>descriptio</w:t>
      </w:r>
      <w:r>
        <w:rPr>
          <w:noProof/>
          <w:sz w:val="24"/>
          <w:szCs w:val="24"/>
        </w:rPr>
        <w:t>,</w:t>
      </w:r>
      <w:r>
        <w:rPr>
          <w:sz w:val="24"/>
          <w:szCs w:val="24"/>
        </w:rPr>
        <w:t xml:space="preserve"> in conjunction with Marie’s Prologue to </w:t>
      </w:r>
      <w:r w:rsidRPr="00484EFB">
        <w:rPr>
          <w:i/>
          <w:noProof/>
          <w:sz w:val="24"/>
          <w:szCs w:val="24"/>
        </w:rPr>
        <w:t>Guigemar</w:t>
      </w:r>
      <w:r w:rsidRPr="00484EFB">
        <w:rPr>
          <w:noProof/>
          <w:sz w:val="24"/>
          <w:szCs w:val="24"/>
        </w:rPr>
        <w:t>,</w:t>
      </w:r>
      <w:r>
        <w:rPr>
          <w:sz w:val="24"/>
          <w:szCs w:val="24"/>
        </w:rPr>
        <w:t xml:space="preserve"> as a measure of how much, and in what way, Marie wanted to be visible and remembered, and it will consider the extent to which her use of </w:t>
      </w:r>
      <w:r w:rsidRPr="00484EFB">
        <w:rPr>
          <w:noProof/>
          <w:sz w:val="24"/>
          <w:szCs w:val="24"/>
        </w:rPr>
        <w:t>descriptio</w:t>
      </w:r>
      <w:r>
        <w:rPr>
          <w:sz w:val="24"/>
          <w:szCs w:val="24"/>
        </w:rPr>
        <w:t xml:space="preserve"> performed that role</w:t>
      </w:r>
      <w:bookmarkStart w:id="2" w:name="_Hlk510572731"/>
      <w:r>
        <w:rPr>
          <w:color w:val="FF0000"/>
          <w:sz w:val="24"/>
          <w:szCs w:val="24"/>
        </w:rPr>
        <w:t>.</w:t>
      </w:r>
    </w:p>
    <w:p w14:paraId="268670A7" w14:textId="738F61DE" w:rsidR="0084328D" w:rsidRDefault="0084328D" w:rsidP="00C52B2E">
      <w:pPr>
        <w:spacing w:after="100" w:afterAutospacing="1" w:line="480" w:lineRule="auto"/>
        <w:rPr>
          <w:rFonts w:cstheme="minorHAnsi"/>
          <w:sz w:val="24"/>
          <w:szCs w:val="24"/>
          <w:lang w:eastAsia="en-GB"/>
        </w:rPr>
      </w:pPr>
      <w:bookmarkStart w:id="3" w:name="_Hlk510520170"/>
      <w:bookmarkEnd w:id="1"/>
      <w:bookmarkEnd w:id="2"/>
      <w:r>
        <w:rPr>
          <w:rFonts w:cstheme="minorHAnsi"/>
          <w:sz w:val="24"/>
          <w:szCs w:val="24"/>
          <w:lang w:eastAsia="en-GB"/>
        </w:rPr>
        <w:t>D</w:t>
      </w:r>
      <w:r w:rsidRPr="009924E2">
        <w:rPr>
          <w:rFonts w:cstheme="minorHAnsi"/>
          <w:sz w:val="24"/>
          <w:szCs w:val="24"/>
          <w:lang w:eastAsia="en-GB"/>
        </w:rPr>
        <w:t xml:space="preserve">escriptio </w:t>
      </w:r>
      <w:r>
        <w:rPr>
          <w:rFonts w:cstheme="minorHAnsi"/>
          <w:sz w:val="24"/>
          <w:szCs w:val="24"/>
          <w:lang w:eastAsia="en-GB"/>
        </w:rPr>
        <w:t xml:space="preserve">is the creation of vividly described images or objects, designed to achieve several things: Firstly, it </w:t>
      </w:r>
      <w:r w:rsidRPr="009924E2">
        <w:rPr>
          <w:rFonts w:cstheme="minorHAnsi"/>
          <w:sz w:val="24"/>
          <w:szCs w:val="24"/>
          <w:lang w:eastAsia="en-GB"/>
        </w:rPr>
        <w:t>act</w:t>
      </w:r>
      <w:r>
        <w:rPr>
          <w:rFonts w:cstheme="minorHAnsi"/>
          <w:sz w:val="24"/>
          <w:szCs w:val="24"/>
          <w:lang w:eastAsia="en-GB"/>
        </w:rPr>
        <w:t>s</w:t>
      </w:r>
      <w:r w:rsidRPr="009924E2">
        <w:rPr>
          <w:rFonts w:cstheme="minorHAnsi"/>
          <w:sz w:val="24"/>
          <w:szCs w:val="24"/>
          <w:lang w:eastAsia="en-GB"/>
        </w:rPr>
        <w:t xml:space="preserve"> as a vehicle to move the story from one position to the next</w:t>
      </w:r>
      <w:r>
        <w:rPr>
          <w:rFonts w:cstheme="minorHAnsi"/>
          <w:sz w:val="24"/>
          <w:szCs w:val="24"/>
          <w:lang w:eastAsia="en-GB"/>
        </w:rPr>
        <w:t xml:space="preserve">. Secondly, it </w:t>
      </w:r>
      <w:r w:rsidRPr="00484EFB">
        <w:rPr>
          <w:rFonts w:cstheme="minorHAnsi"/>
          <w:noProof/>
          <w:sz w:val="24"/>
          <w:szCs w:val="24"/>
          <w:lang w:eastAsia="en-GB"/>
        </w:rPr>
        <w:t>symbolises</w:t>
      </w:r>
      <w:r w:rsidRPr="009924E2">
        <w:rPr>
          <w:rFonts w:cstheme="minorHAnsi"/>
          <w:sz w:val="24"/>
          <w:szCs w:val="24"/>
          <w:lang w:eastAsia="en-GB"/>
        </w:rPr>
        <w:t xml:space="preserve"> </w:t>
      </w:r>
      <w:bookmarkStart w:id="4" w:name="_GoBack"/>
      <w:bookmarkEnd w:id="4"/>
      <w:r w:rsidRPr="009924E2">
        <w:rPr>
          <w:rFonts w:cstheme="minorHAnsi"/>
          <w:sz w:val="24"/>
          <w:szCs w:val="24"/>
          <w:lang w:eastAsia="en-GB"/>
        </w:rPr>
        <w:t xml:space="preserve">things </w:t>
      </w:r>
      <w:r>
        <w:rPr>
          <w:rFonts w:cstheme="minorHAnsi"/>
          <w:sz w:val="24"/>
          <w:szCs w:val="24"/>
          <w:lang w:eastAsia="en-GB"/>
        </w:rPr>
        <w:t>readily</w:t>
      </w:r>
      <w:r w:rsidRPr="009924E2">
        <w:rPr>
          <w:rFonts w:cstheme="minorHAnsi"/>
          <w:sz w:val="24"/>
          <w:szCs w:val="24"/>
          <w:lang w:eastAsia="en-GB"/>
        </w:rPr>
        <w:t xml:space="preserve"> understood by </w:t>
      </w:r>
      <w:r>
        <w:rPr>
          <w:rFonts w:cstheme="minorHAnsi"/>
          <w:sz w:val="24"/>
          <w:szCs w:val="24"/>
          <w:lang w:eastAsia="en-GB"/>
        </w:rPr>
        <w:t>its contemporary</w:t>
      </w:r>
      <w:r w:rsidRPr="009924E2">
        <w:rPr>
          <w:rFonts w:cstheme="minorHAnsi"/>
          <w:sz w:val="24"/>
          <w:szCs w:val="24"/>
          <w:lang w:eastAsia="en-GB"/>
        </w:rPr>
        <w:t xml:space="preserve"> audience</w:t>
      </w:r>
      <w:r>
        <w:rPr>
          <w:rFonts w:cstheme="minorHAnsi"/>
          <w:sz w:val="24"/>
          <w:szCs w:val="24"/>
          <w:lang w:eastAsia="en-GB"/>
        </w:rPr>
        <w:t xml:space="preserve">, suggesting </w:t>
      </w:r>
      <w:r w:rsidRPr="009924E2">
        <w:rPr>
          <w:rFonts w:cstheme="minorHAnsi"/>
          <w:sz w:val="24"/>
          <w:szCs w:val="24"/>
          <w:lang w:eastAsia="en-GB"/>
        </w:rPr>
        <w:t xml:space="preserve">many things </w:t>
      </w:r>
      <w:r>
        <w:rPr>
          <w:rFonts w:cstheme="minorHAnsi"/>
          <w:sz w:val="24"/>
          <w:szCs w:val="24"/>
          <w:lang w:eastAsia="en-GB"/>
        </w:rPr>
        <w:t>in just one textual image thus conveying a</w:t>
      </w:r>
      <w:r w:rsidRPr="009924E2">
        <w:rPr>
          <w:rFonts w:cstheme="minorHAnsi"/>
          <w:sz w:val="24"/>
          <w:szCs w:val="24"/>
          <w:lang w:eastAsia="en-GB"/>
        </w:rPr>
        <w:t xml:space="preserve"> wealth of information</w:t>
      </w:r>
      <w:r>
        <w:rPr>
          <w:rFonts w:cstheme="minorHAnsi"/>
          <w:sz w:val="24"/>
          <w:szCs w:val="24"/>
          <w:lang w:eastAsia="en-GB"/>
        </w:rPr>
        <w:t xml:space="preserve"> with an economy of words. Thirdly,</w:t>
      </w:r>
      <w:r w:rsidRPr="009924E2">
        <w:rPr>
          <w:rFonts w:cstheme="minorHAnsi"/>
          <w:sz w:val="24"/>
          <w:szCs w:val="24"/>
          <w:lang w:eastAsia="en-GB"/>
        </w:rPr>
        <w:t xml:space="preserve"> </w:t>
      </w:r>
      <w:r>
        <w:rPr>
          <w:rFonts w:cstheme="minorHAnsi"/>
          <w:sz w:val="24"/>
          <w:szCs w:val="24"/>
          <w:lang w:eastAsia="en-GB"/>
        </w:rPr>
        <w:t xml:space="preserve">it serves as </w:t>
      </w:r>
      <w:r w:rsidRPr="009924E2">
        <w:rPr>
          <w:rFonts w:cstheme="minorHAnsi"/>
          <w:sz w:val="24"/>
          <w:szCs w:val="24"/>
          <w:lang w:eastAsia="en-GB"/>
        </w:rPr>
        <w:t>an aide to memory</w:t>
      </w:r>
      <w:r>
        <w:rPr>
          <w:rFonts w:cstheme="minorHAnsi"/>
          <w:sz w:val="24"/>
          <w:szCs w:val="24"/>
          <w:lang w:eastAsia="en-GB"/>
        </w:rPr>
        <w:t xml:space="preserve"> by presenting a startling and vivid visual component that is then imprinted on the mind of the reader. These memorable images allow the reader to more easily recall the whole story</w:t>
      </w:r>
      <w:r w:rsidRPr="009924E2">
        <w:rPr>
          <w:rFonts w:cstheme="minorHAnsi"/>
          <w:sz w:val="24"/>
          <w:szCs w:val="24"/>
          <w:lang w:eastAsia="en-GB"/>
        </w:rPr>
        <w:t>.</w:t>
      </w:r>
      <w:r>
        <w:rPr>
          <w:rStyle w:val="FootnoteReference"/>
          <w:rFonts w:cstheme="minorHAnsi"/>
          <w:sz w:val="24"/>
          <w:szCs w:val="24"/>
          <w:lang w:eastAsia="en-GB"/>
        </w:rPr>
        <w:footnoteReference w:id="1"/>
      </w:r>
    </w:p>
    <w:p w14:paraId="0E9C74DD" w14:textId="09E142A1" w:rsidR="0084328D" w:rsidRDefault="0084328D" w:rsidP="00C52B2E">
      <w:pPr>
        <w:spacing w:after="100" w:afterAutospacing="1" w:line="480" w:lineRule="auto"/>
        <w:rPr>
          <w:sz w:val="24"/>
          <w:szCs w:val="24"/>
        </w:rPr>
      </w:pPr>
      <w:bookmarkStart w:id="5" w:name="_Hlk510520801"/>
      <w:bookmarkEnd w:id="3"/>
      <w:r w:rsidRPr="0066023A">
        <w:rPr>
          <w:sz w:val="24"/>
          <w:szCs w:val="24"/>
        </w:rPr>
        <w:lastRenderedPageBreak/>
        <w:t>Mar</w:t>
      </w:r>
      <w:r>
        <w:rPr>
          <w:sz w:val="24"/>
          <w:szCs w:val="24"/>
        </w:rPr>
        <w:t>ie</w:t>
      </w:r>
      <w:r w:rsidRPr="0066023A">
        <w:rPr>
          <w:sz w:val="24"/>
          <w:szCs w:val="24"/>
        </w:rPr>
        <w:t xml:space="preserve"> </w:t>
      </w:r>
      <w:r>
        <w:rPr>
          <w:sz w:val="24"/>
          <w:szCs w:val="24"/>
        </w:rPr>
        <w:t>was</w:t>
      </w:r>
      <w:r w:rsidRPr="0066023A">
        <w:rPr>
          <w:sz w:val="24"/>
          <w:szCs w:val="24"/>
        </w:rPr>
        <w:t xml:space="preserve"> particularly adept at creating </w:t>
      </w:r>
      <w:r>
        <w:rPr>
          <w:sz w:val="24"/>
          <w:szCs w:val="24"/>
        </w:rPr>
        <w:t xml:space="preserve">highly </w:t>
      </w:r>
      <w:r w:rsidRPr="0066023A">
        <w:rPr>
          <w:sz w:val="24"/>
          <w:szCs w:val="24"/>
        </w:rPr>
        <w:t xml:space="preserve">memorable </w:t>
      </w:r>
      <w:r>
        <w:rPr>
          <w:sz w:val="24"/>
          <w:szCs w:val="24"/>
        </w:rPr>
        <w:t xml:space="preserve">and unique incidents of </w:t>
      </w:r>
      <w:r w:rsidRPr="00484EFB">
        <w:rPr>
          <w:noProof/>
          <w:sz w:val="24"/>
          <w:szCs w:val="24"/>
        </w:rPr>
        <w:t>descriptio</w:t>
      </w:r>
      <w:r>
        <w:rPr>
          <w:sz w:val="24"/>
          <w:szCs w:val="24"/>
        </w:rPr>
        <w:t>.</w:t>
      </w:r>
      <w:r>
        <w:rPr>
          <w:rStyle w:val="FootnoteReference"/>
          <w:sz w:val="24"/>
          <w:szCs w:val="24"/>
        </w:rPr>
        <w:footnoteReference w:id="2"/>
      </w:r>
      <w:r>
        <w:rPr>
          <w:sz w:val="24"/>
          <w:szCs w:val="24"/>
        </w:rPr>
        <w:t xml:space="preserve"> Her skill in employing a relatively high incidence of </w:t>
      </w:r>
      <w:r w:rsidRPr="00484EFB">
        <w:rPr>
          <w:noProof/>
          <w:sz w:val="24"/>
          <w:szCs w:val="24"/>
        </w:rPr>
        <w:t>descriptio</w:t>
      </w:r>
      <w:r>
        <w:rPr>
          <w:sz w:val="24"/>
          <w:szCs w:val="24"/>
        </w:rPr>
        <w:t xml:space="preserve"> without overpowering her short </w:t>
      </w:r>
      <w:r w:rsidRPr="00484EFB">
        <w:rPr>
          <w:noProof/>
          <w:sz w:val="24"/>
          <w:szCs w:val="24"/>
        </w:rPr>
        <w:t>lais</w:t>
      </w:r>
      <w:r>
        <w:rPr>
          <w:sz w:val="24"/>
          <w:szCs w:val="24"/>
        </w:rPr>
        <w:t xml:space="preserve"> </w:t>
      </w:r>
      <w:r w:rsidRPr="0066023A">
        <w:rPr>
          <w:sz w:val="24"/>
          <w:szCs w:val="24"/>
        </w:rPr>
        <w:t>ma</w:t>
      </w:r>
      <w:r>
        <w:rPr>
          <w:sz w:val="24"/>
          <w:szCs w:val="24"/>
        </w:rPr>
        <w:t>de Marie’s stories memorable and distinctively hers.</w:t>
      </w:r>
      <w:r>
        <w:rPr>
          <w:rStyle w:val="FootnoteReference"/>
          <w:sz w:val="24"/>
          <w:szCs w:val="24"/>
        </w:rPr>
        <w:footnoteReference w:id="3"/>
      </w:r>
      <w:r>
        <w:rPr>
          <w:sz w:val="24"/>
          <w:szCs w:val="24"/>
        </w:rPr>
        <w:t xml:space="preserve"> Medieval literature was an act of re-creation, a retelling of existing stories Marie’s use of </w:t>
      </w:r>
      <w:r>
        <w:rPr>
          <w:rFonts w:cstheme="minorHAnsi"/>
          <w:sz w:val="24"/>
          <w:szCs w:val="24"/>
          <w:lang w:eastAsia="en-GB"/>
        </w:rPr>
        <w:t xml:space="preserve">descriptio was an aspect of her retelling that expressed the power of her creativity. As such it can be seen as the aspect of her tales where she was most present. </w:t>
      </w:r>
      <w:r>
        <w:rPr>
          <w:sz w:val="24"/>
          <w:szCs w:val="24"/>
        </w:rPr>
        <w:t>Marie’s concentrated use of descriptio suggests that the remembrance of both the lais and their author was particularly important to her.</w:t>
      </w:r>
    </w:p>
    <w:p w14:paraId="233BEC9F" w14:textId="3F7A61F2" w:rsidR="0084328D" w:rsidRPr="009E108F" w:rsidRDefault="0084328D" w:rsidP="00C52B2E">
      <w:pPr>
        <w:spacing w:after="100" w:afterAutospacing="1" w:line="480" w:lineRule="auto"/>
        <w:rPr>
          <w:rFonts w:ascii="Arial" w:hAnsi="Arial" w:cs="Arial"/>
          <w:sz w:val="24"/>
          <w:szCs w:val="24"/>
          <w:lang w:eastAsia="en-GB"/>
        </w:rPr>
      </w:pPr>
      <w:r>
        <w:rPr>
          <w:sz w:val="24"/>
          <w:szCs w:val="24"/>
        </w:rPr>
        <w:t xml:space="preserve">This thought will be explored further by </w:t>
      </w:r>
      <w:r w:rsidRPr="00484EFB">
        <w:rPr>
          <w:noProof/>
          <w:sz w:val="24"/>
          <w:szCs w:val="24"/>
        </w:rPr>
        <w:t>analysing</w:t>
      </w:r>
      <w:r>
        <w:rPr>
          <w:sz w:val="24"/>
          <w:szCs w:val="24"/>
        </w:rPr>
        <w:t xml:space="preserve"> the androgynous hind from </w:t>
      </w:r>
      <w:r>
        <w:rPr>
          <w:i/>
          <w:sz w:val="24"/>
          <w:szCs w:val="24"/>
        </w:rPr>
        <w:t>Guigemar</w:t>
      </w:r>
      <w:r>
        <w:rPr>
          <w:sz w:val="24"/>
          <w:szCs w:val="24"/>
        </w:rPr>
        <w:t xml:space="preserve">, the hawk-lover from </w:t>
      </w:r>
      <w:r>
        <w:rPr>
          <w:i/>
          <w:sz w:val="24"/>
          <w:szCs w:val="24"/>
        </w:rPr>
        <w:t>Yonec</w:t>
      </w:r>
      <w:r>
        <w:rPr>
          <w:sz w:val="24"/>
          <w:szCs w:val="24"/>
        </w:rPr>
        <w:t xml:space="preserve"> and the nightingale from </w:t>
      </w:r>
      <w:r>
        <w:rPr>
          <w:i/>
          <w:sz w:val="24"/>
          <w:szCs w:val="24"/>
        </w:rPr>
        <w:t>Laustic.</w:t>
      </w:r>
      <w:r>
        <w:rPr>
          <w:sz w:val="24"/>
          <w:szCs w:val="24"/>
        </w:rPr>
        <w:t xml:space="preserve"> All three of these objects of descriptio are animals, but they are chosen for more than their shared animal status; all are affected by the jealousy present in their surrounding lais, all have aspects of androgyny and all are hunters or the hunted. </w:t>
      </w:r>
      <w:bookmarkEnd w:id="5"/>
      <w:r>
        <w:rPr>
          <w:sz w:val="24"/>
          <w:szCs w:val="24"/>
        </w:rPr>
        <w:t xml:space="preserve">As mentioned, all fare badly as the result of the jealousy of mal maree. The hind, in its role of supernatural messenger, dies to give the curse that will cure Guigemar of his inability to love. It does so to send Guigemar to find his true love, a lady trapped by a jealous husband. Therefore, the hind could be said to have died for the lady imprisoned by her mal maree, as much as for Guigemar. The hawk-lover likewise loses his life, as the lover of the lady imprisoned he is murdered by her jealous husband. The </w:t>
      </w:r>
      <w:r w:rsidRPr="00484EFB">
        <w:rPr>
          <w:noProof/>
          <w:sz w:val="24"/>
          <w:szCs w:val="24"/>
        </w:rPr>
        <w:t>nightingale</w:t>
      </w:r>
      <w:r>
        <w:rPr>
          <w:sz w:val="24"/>
          <w:szCs w:val="24"/>
        </w:rPr>
        <w:t>, only summoned into the story by the lady of the mal maree as an excuse for her late</w:t>
      </w:r>
      <w:r w:rsidR="00BD359F">
        <w:rPr>
          <w:sz w:val="24"/>
          <w:szCs w:val="24"/>
        </w:rPr>
        <w:t>-</w:t>
      </w:r>
      <w:r>
        <w:rPr>
          <w:sz w:val="24"/>
          <w:szCs w:val="24"/>
        </w:rPr>
        <w:t>night absences, is murdered by her husband in a fit of jealous spite. In the lais, jealousy</w:t>
      </w:r>
      <w:r w:rsidR="00BD359F">
        <w:rPr>
          <w:sz w:val="24"/>
          <w:szCs w:val="24"/>
        </w:rPr>
        <w:t xml:space="preserve"> </w:t>
      </w:r>
      <w:r>
        <w:rPr>
          <w:sz w:val="24"/>
          <w:szCs w:val="24"/>
        </w:rPr>
        <w:t xml:space="preserve">is unacceptable yet also seems a measure of worth; for example, all three wives trapped in </w:t>
      </w:r>
      <w:r>
        <w:rPr>
          <w:sz w:val="24"/>
          <w:szCs w:val="24"/>
        </w:rPr>
        <w:lastRenderedPageBreak/>
        <w:t xml:space="preserve">the mal maree are jealously guarded because they are beautiful and virtuous, yet it is their beauty and virtue that also deems them worthy of true love. Marie allows her objects of </w:t>
      </w:r>
      <w:r w:rsidR="00C52B2E">
        <w:rPr>
          <w:sz w:val="24"/>
          <w:szCs w:val="24"/>
        </w:rPr>
        <w:t>d</w:t>
      </w:r>
      <w:r>
        <w:rPr>
          <w:sz w:val="24"/>
          <w:szCs w:val="24"/>
        </w:rPr>
        <w:t xml:space="preserve">escriptio to suffer death through the jealousy of mal maree, but also uses them to tell of and instigate the answer to that jealousy. </w:t>
      </w:r>
    </w:p>
    <w:p w14:paraId="4CF15B4A" w14:textId="2962016D" w:rsidR="0084328D" w:rsidRDefault="0084328D" w:rsidP="00C52B2E">
      <w:pPr>
        <w:widowControl w:val="0"/>
        <w:autoSpaceDE w:val="0"/>
        <w:autoSpaceDN w:val="0"/>
        <w:adjustRightInd w:val="0"/>
        <w:spacing w:after="100" w:afterAutospacing="1" w:line="480" w:lineRule="auto"/>
        <w:rPr>
          <w:rFonts w:cstheme="minorHAnsi"/>
          <w:sz w:val="24"/>
          <w:szCs w:val="24"/>
          <w:lang w:eastAsia="en-GB"/>
        </w:rPr>
      </w:pPr>
      <w:r w:rsidRPr="00C3200F">
        <w:rPr>
          <w:rFonts w:cstheme="minorHAnsi"/>
          <w:sz w:val="24"/>
          <w:szCs w:val="24"/>
          <w:lang w:eastAsia="en-GB"/>
        </w:rPr>
        <w:t>Jealousy is also apparent in the prologue to Guigemar</w:t>
      </w:r>
      <w:r>
        <w:rPr>
          <w:rFonts w:cstheme="minorHAnsi"/>
          <w:sz w:val="24"/>
          <w:szCs w:val="24"/>
          <w:lang w:eastAsia="en-GB"/>
        </w:rPr>
        <w:t>,</w:t>
      </w:r>
      <w:r w:rsidRPr="00C3200F">
        <w:rPr>
          <w:rFonts w:cstheme="minorHAnsi"/>
          <w:sz w:val="24"/>
          <w:szCs w:val="24"/>
          <w:lang w:eastAsia="en-GB"/>
        </w:rPr>
        <w:t xml:space="preserve"> as Marie decries 'people who are envious of [her] abilities'</w:t>
      </w:r>
      <w:r>
        <w:rPr>
          <w:rFonts w:cstheme="minorHAnsi"/>
          <w:sz w:val="24"/>
          <w:szCs w:val="24"/>
          <w:lang w:eastAsia="en-GB"/>
        </w:rPr>
        <w:t>.</w:t>
      </w:r>
      <w:r w:rsidRPr="00C3200F">
        <w:rPr>
          <w:rFonts w:cstheme="minorHAnsi"/>
          <w:sz w:val="24"/>
          <w:szCs w:val="24"/>
          <w:lang w:eastAsia="en-GB"/>
        </w:rPr>
        <w:t xml:space="preserve"> </w:t>
      </w:r>
      <w:r w:rsidRPr="00C3200F">
        <w:rPr>
          <w:rStyle w:val="FootnoteReference"/>
          <w:rFonts w:cstheme="minorHAnsi"/>
          <w:sz w:val="24"/>
          <w:szCs w:val="24"/>
          <w:lang w:eastAsia="en-GB"/>
        </w:rPr>
        <w:footnoteReference w:id="4"/>
      </w:r>
      <w:r>
        <w:rPr>
          <w:rFonts w:cstheme="minorHAnsi"/>
          <w:sz w:val="24"/>
          <w:szCs w:val="24"/>
          <w:lang w:eastAsia="en-GB"/>
        </w:rPr>
        <w:t xml:space="preserve"> </w:t>
      </w:r>
      <w:r w:rsidRPr="00C3200F">
        <w:rPr>
          <w:rFonts w:cstheme="minorHAnsi"/>
          <w:sz w:val="24"/>
          <w:szCs w:val="24"/>
          <w:lang w:eastAsia="en-GB"/>
        </w:rPr>
        <w:t xml:space="preserve"> Marie considers ''Those who gain a good reputation should be commended”</w:t>
      </w:r>
      <w:r>
        <w:rPr>
          <w:rFonts w:cstheme="minorHAnsi"/>
          <w:sz w:val="24"/>
          <w:szCs w:val="24"/>
          <w:lang w:eastAsia="en-GB"/>
        </w:rPr>
        <w:t>,</w:t>
      </w:r>
      <w:r w:rsidRPr="00C3200F">
        <w:rPr>
          <w:rFonts w:cstheme="minorHAnsi"/>
          <w:sz w:val="24"/>
          <w:szCs w:val="24"/>
          <w:lang w:eastAsia="en-GB"/>
        </w:rPr>
        <w:t xml:space="preserve"> and so responds to the jealous “spiteful tittle-tattlers” by stating “I do not intend to give up.”</w:t>
      </w:r>
      <w:r w:rsidRPr="00C3200F">
        <w:rPr>
          <w:rStyle w:val="FootnoteReference"/>
          <w:rFonts w:cstheme="minorHAnsi"/>
          <w:sz w:val="24"/>
          <w:szCs w:val="24"/>
          <w:lang w:eastAsia="en-GB"/>
        </w:rPr>
        <w:footnoteReference w:id="5"/>
      </w:r>
      <w:r w:rsidRPr="00C3200F">
        <w:rPr>
          <w:rFonts w:cstheme="minorHAnsi"/>
          <w:sz w:val="24"/>
          <w:szCs w:val="24"/>
          <w:lang w:eastAsia="en-GB"/>
        </w:rPr>
        <w:t xml:space="preserve"> She answers jealousy with the</w:t>
      </w:r>
      <w:r>
        <w:rPr>
          <w:rFonts w:cstheme="minorHAnsi"/>
          <w:sz w:val="24"/>
          <w:szCs w:val="24"/>
          <w:lang w:eastAsia="en-GB"/>
        </w:rPr>
        <w:t xml:space="preserve"> production of her</w:t>
      </w:r>
      <w:r w:rsidRPr="00C3200F">
        <w:rPr>
          <w:rFonts w:cstheme="minorHAnsi"/>
          <w:sz w:val="24"/>
          <w:szCs w:val="24"/>
          <w:lang w:eastAsia="en-GB"/>
        </w:rPr>
        <w:t xml:space="preserve"> lais.</w:t>
      </w:r>
      <w:r>
        <w:rPr>
          <w:rFonts w:cstheme="minorHAnsi"/>
          <w:sz w:val="24"/>
          <w:szCs w:val="24"/>
          <w:lang w:eastAsia="en-GB"/>
        </w:rPr>
        <w:t xml:space="preserve"> </w:t>
      </w:r>
    </w:p>
    <w:p w14:paraId="463F047A" w14:textId="77777777" w:rsidR="00C52B2E" w:rsidRDefault="0084328D" w:rsidP="00C52B2E">
      <w:pPr>
        <w:widowControl w:val="0"/>
        <w:autoSpaceDE w:val="0"/>
        <w:autoSpaceDN w:val="0"/>
        <w:adjustRightInd w:val="0"/>
        <w:spacing w:after="100" w:afterAutospacing="1" w:line="480" w:lineRule="auto"/>
        <w:rPr>
          <w:rFonts w:cstheme="minorHAnsi"/>
          <w:sz w:val="24"/>
          <w:szCs w:val="24"/>
          <w:lang w:eastAsia="en-GB"/>
        </w:rPr>
      </w:pPr>
      <w:r>
        <w:rPr>
          <w:rFonts w:cstheme="minorHAnsi"/>
          <w:sz w:val="24"/>
          <w:szCs w:val="24"/>
          <w:lang w:eastAsia="en-GB"/>
        </w:rPr>
        <w:t xml:space="preserve">Marie’s use of the dead nightingale as the central image </w:t>
      </w:r>
      <w:r w:rsidRPr="00D9378B">
        <w:rPr>
          <w:sz w:val="24"/>
          <w:szCs w:val="24"/>
        </w:rPr>
        <w:t xml:space="preserve">enclosed in </w:t>
      </w:r>
      <w:r w:rsidRPr="00484EFB">
        <w:rPr>
          <w:i/>
          <w:noProof/>
          <w:sz w:val="24"/>
          <w:szCs w:val="24"/>
        </w:rPr>
        <w:t>Laustic</w:t>
      </w:r>
      <w:r>
        <w:rPr>
          <w:i/>
          <w:noProof/>
          <w:sz w:val="24"/>
          <w:szCs w:val="24"/>
        </w:rPr>
        <w:t xml:space="preserve"> </w:t>
      </w:r>
      <w:r>
        <w:rPr>
          <w:noProof/>
          <w:sz w:val="24"/>
          <w:szCs w:val="24"/>
        </w:rPr>
        <w:t>c</w:t>
      </w:r>
      <w:r>
        <w:rPr>
          <w:rFonts w:cstheme="minorHAnsi"/>
          <w:sz w:val="24"/>
          <w:szCs w:val="24"/>
          <w:lang w:eastAsia="en-GB"/>
        </w:rPr>
        <w:t xml:space="preserve">an be read as mirroring this process.  </w:t>
      </w:r>
      <w:r>
        <w:rPr>
          <w:sz w:val="24"/>
          <w:szCs w:val="24"/>
        </w:rPr>
        <w:t>T</w:t>
      </w:r>
      <w:r w:rsidRPr="00D9378B">
        <w:rPr>
          <w:sz w:val="24"/>
          <w:szCs w:val="24"/>
        </w:rPr>
        <w:t>he nightingale</w:t>
      </w:r>
      <w:r>
        <w:rPr>
          <w:sz w:val="24"/>
          <w:szCs w:val="24"/>
        </w:rPr>
        <w:t>,</w:t>
      </w:r>
      <w:r w:rsidRPr="00D9378B">
        <w:rPr>
          <w:sz w:val="24"/>
          <w:szCs w:val="24"/>
        </w:rPr>
        <w:t xml:space="preserve"> classically symbolic of the poet,</w:t>
      </w:r>
      <w:r>
        <w:rPr>
          <w:sz w:val="24"/>
          <w:szCs w:val="24"/>
        </w:rPr>
        <w:t xml:space="preserve"> </w:t>
      </w:r>
      <w:r w:rsidRPr="00D9378B">
        <w:rPr>
          <w:sz w:val="24"/>
          <w:szCs w:val="24"/>
        </w:rPr>
        <w:t xml:space="preserve">is </w:t>
      </w:r>
      <w:r>
        <w:rPr>
          <w:sz w:val="24"/>
          <w:szCs w:val="24"/>
        </w:rPr>
        <w:t xml:space="preserve">here </w:t>
      </w:r>
      <w:r w:rsidRPr="00D9378B">
        <w:rPr>
          <w:sz w:val="24"/>
          <w:szCs w:val="24"/>
        </w:rPr>
        <w:t>both poet and poetry.</w:t>
      </w:r>
      <w:r w:rsidRPr="00D9378B">
        <w:rPr>
          <w:rStyle w:val="FootnoteReference"/>
          <w:sz w:val="24"/>
          <w:szCs w:val="24"/>
        </w:rPr>
        <w:footnoteReference w:id="6"/>
      </w:r>
      <w:r w:rsidRPr="00D9378B">
        <w:rPr>
          <w:sz w:val="24"/>
          <w:szCs w:val="24"/>
        </w:rPr>
        <w:t xml:space="preserve"> </w:t>
      </w:r>
      <w:r>
        <w:rPr>
          <w:sz w:val="24"/>
          <w:szCs w:val="24"/>
        </w:rPr>
        <w:t xml:space="preserve"> It is</w:t>
      </w:r>
      <w:r>
        <w:rPr>
          <w:rFonts w:cstheme="minorHAnsi"/>
          <w:sz w:val="24"/>
          <w:szCs w:val="24"/>
          <w:lang w:eastAsia="en-GB"/>
        </w:rPr>
        <w:t xml:space="preserve"> a voice silenced, </w:t>
      </w:r>
      <w:r w:rsidRPr="00D9378B">
        <w:rPr>
          <w:sz w:val="24"/>
          <w:szCs w:val="24"/>
        </w:rPr>
        <w:t>wrapped in text</w:t>
      </w:r>
      <w:r>
        <w:rPr>
          <w:sz w:val="24"/>
          <w:szCs w:val="24"/>
        </w:rPr>
        <w:t xml:space="preserve"> and </w:t>
      </w:r>
      <w:r w:rsidRPr="00D9378B">
        <w:rPr>
          <w:sz w:val="24"/>
          <w:szCs w:val="24"/>
        </w:rPr>
        <w:t>symbols</w:t>
      </w:r>
      <w:r>
        <w:rPr>
          <w:sz w:val="24"/>
          <w:szCs w:val="24"/>
        </w:rPr>
        <w:t>,</w:t>
      </w:r>
      <w:r w:rsidRPr="00D9378B">
        <w:rPr>
          <w:sz w:val="24"/>
          <w:szCs w:val="24"/>
        </w:rPr>
        <w:t xml:space="preserve"> and encased in a beautifully</w:t>
      </w:r>
      <w:r>
        <w:rPr>
          <w:sz w:val="24"/>
          <w:szCs w:val="24"/>
        </w:rPr>
        <w:t>-</w:t>
      </w:r>
      <w:r w:rsidRPr="00D9378B">
        <w:rPr>
          <w:sz w:val="24"/>
          <w:szCs w:val="24"/>
        </w:rPr>
        <w:t>wrought</w:t>
      </w:r>
      <w:r>
        <w:rPr>
          <w:sz w:val="24"/>
          <w:szCs w:val="24"/>
        </w:rPr>
        <w:t>,</w:t>
      </w:r>
      <w:r w:rsidRPr="00D9378B">
        <w:rPr>
          <w:sz w:val="24"/>
          <w:szCs w:val="24"/>
        </w:rPr>
        <w:t xml:space="preserve"> golden</w:t>
      </w:r>
      <w:r>
        <w:rPr>
          <w:sz w:val="24"/>
          <w:szCs w:val="24"/>
        </w:rPr>
        <w:t>,</w:t>
      </w:r>
      <w:r w:rsidRPr="00D9378B">
        <w:rPr>
          <w:sz w:val="24"/>
          <w:szCs w:val="24"/>
        </w:rPr>
        <w:t xml:space="preserve"> </w:t>
      </w:r>
      <w:r w:rsidRPr="00484EFB">
        <w:rPr>
          <w:noProof/>
          <w:sz w:val="24"/>
          <w:szCs w:val="24"/>
        </w:rPr>
        <w:t>bejewelled</w:t>
      </w:r>
      <w:r w:rsidRPr="00D9378B">
        <w:rPr>
          <w:sz w:val="24"/>
          <w:szCs w:val="24"/>
        </w:rPr>
        <w:t xml:space="preserve"> case</w:t>
      </w:r>
      <w:r>
        <w:rPr>
          <w:sz w:val="24"/>
          <w:szCs w:val="24"/>
        </w:rPr>
        <w:t>. Thus,</w:t>
      </w:r>
      <w:r>
        <w:rPr>
          <w:rFonts w:cstheme="minorHAnsi"/>
          <w:sz w:val="24"/>
          <w:szCs w:val="24"/>
          <w:lang w:eastAsia="en-GB"/>
        </w:rPr>
        <w:t xml:space="preserve"> f</w:t>
      </w:r>
      <w:r>
        <w:rPr>
          <w:sz w:val="24"/>
          <w:szCs w:val="24"/>
        </w:rPr>
        <w:t xml:space="preserve">rom violent jealousy a creation of beauty is born; action has been taken and meaning has been protected. </w:t>
      </w:r>
      <w:r w:rsidRPr="00D9378B">
        <w:rPr>
          <w:sz w:val="24"/>
          <w:szCs w:val="24"/>
        </w:rPr>
        <w:t xml:space="preserve"> </w:t>
      </w:r>
      <w:r>
        <w:rPr>
          <w:sz w:val="24"/>
          <w:szCs w:val="24"/>
        </w:rPr>
        <w:t xml:space="preserve">In response to jealousy, Marie uses the nightingale as an </w:t>
      </w:r>
      <w:r w:rsidRPr="00484EFB">
        <w:rPr>
          <w:noProof/>
          <w:sz w:val="24"/>
          <w:szCs w:val="24"/>
        </w:rPr>
        <w:t>object</w:t>
      </w:r>
      <w:r>
        <w:rPr>
          <w:sz w:val="24"/>
          <w:szCs w:val="24"/>
        </w:rPr>
        <w:t xml:space="preserve"> of descriptio, in a tale that describes the process of it becoming that object of descriptio; once made sacred in its </w:t>
      </w:r>
      <w:r w:rsidRPr="00484EFB">
        <w:rPr>
          <w:noProof/>
          <w:sz w:val="24"/>
          <w:szCs w:val="24"/>
        </w:rPr>
        <w:t>jewelled</w:t>
      </w:r>
      <w:r>
        <w:rPr>
          <w:sz w:val="24"/>
          <w:szCs w:val="24"/>
        </w:rPr>
        <w:t xml:space="preserve"> reliquary it becomes the lai. It could be said to </w:t>
      </w:r>
      <w:r w:rsidRPr="00484EFB">
        <w:rPr>
          <w:noProof/>
          <w:sz w:val="24"/>
          <w:szCs w:val="24"/>
        </w:rPr>
        <w:t>symbolise</w:t>
      </w:r>
      <w:r>
        <w:rPr>
          <w:sz w:val="24"/>
          <w:szCs w:val="24"/>
        </w:rPr>
        <w:t xml:space="preserve"> Marie’s process of creation, undertaken despite her ‘envious’ critics, and in answer to them.</w:t>
      </w:r>
      <w:r>
        <w:rPr>
          <w:rStyle w:val="FootnoteReference"/>
          <w:sz w:val="24"/>
          <w:szCs w:val="24"/>
        </w:rPr>
        <w:footnoteReference w:id="7"/>
      </w:r>
      <w:r>
        <w:rPr>
          <w:sz w:val="24"/>
          <w:szCs w:val="24"/>
        </w:rPr>
        <w:t xml:space="preserve"> </w:t>
      </w:r>
    </w:p>
    <w:p w14:paraId="7FB427AB" w14:textId="3887A12D" w:rsidR="0084328D" w:rsidRPr="00C52B2E" w:rsidRDefault="0084328D" w:rsidP="00C52B2E">
      <w:pPr>
        <w:widowControl w:val="0"/>
        <w:autoSpaceDE w:val="0"/>
        <w:autoSpaceDN w:val="0"/>
        <w:adjustRightInd w:val="0"/>
        <w:spacing w:after="100" w:afterAutospacing="1" w:line="480" w:lineRule="auto"/>
        <w:rPr>
          <w:rFonts w:cstheme="minorHAnsi"/>
          <w:sz w:val="24"/>
          <w:szCs w:val="24"/>
          <w:lang w:eastAsia="en-GB"/>
        </w:rPr>
      </w:pPr>
      <w:r>
        <w:rPr>
          <w:sz w:val="24"/>
          <w:szCs w:val="24"/>
        </w:rPr>
        <w:lastRenderedPageBreak/>
        <w:t>In</w:t>
      </w:r>
      <w:r>
        <w:rPr>
          <w:i/>
          <w:sz w:val="24"/>
          <w:szCs w:val="24"/>
        </w:rPr>
        <w:t xml:space="preserve"> </w:t>
      </w:r>
      <w:r w:rsidRPr="00BB0F5F">
        <w:rPr>
          <w:i/>
          <w:sz w:val="24"/>
          <w:szCs w:val="24"/>
        </w:rPr>
        <w:t>Yonec</w:t>
      </w:r>
      <w:r>
        <w:rPr>
          <w:sz w:val="24"/>
          <w:szCs w:val="24"/>
        </w:rPr>
        <w:t xml:space="preserve"> the theme of jealousy defeated is expressed in Marie’s hawk-lover descriptio, Muldumarec. As he lies dying, he tells how his revenge on the jealous husband, who has caused his death, will be exacted: at the site of Muldumarec’s tomb, Muldumarec’s son will execute the jealous husband. Thus, jealousy will be defeated by what Muldumarec has created. Once again, the object of Marie’s descriptio, Muldumarec, mirrors Marie’s creative response to jealousy expressed in the Prologue to </w:t>
      </w:r>
      <w:r w:rsidRPr="001076F3">
        <w:rPr>
          <w:i/>
          <w:sz w:val="24"/>
          <w:szCs w:val="24"/>
        </w:rPr>
        <w:t>Guigemar</w:t>
      </w:r>
      <w:r>
        <w:rPr>
          <w:sz w:val="24"/>
          <w:szCs w:val="24"/>
        </w:rPr>
        <w:t xml:space="preserve">. </w:t>
      </w:r>
    </w:p>
    <w:p w14:paraId="3D62C4E1" w14:textId="7E467260" w:rsidR="0084328D" w:rsidRPr="00EF7C11" w:rsidRDefault="0084328D" w:rsidP="00C52B2E">
      <w:pPr>
        <w:spacing w:after="100" w:afterAutospacing="1" w:line="480" w:lineRule="auto"/>
        <w:rPr>
          <w:rFonts w:ascii="Arial" w:hAnsi="Arial" w:cs="Arial"/>
          <w:sz w:val="24"/>
          <w:szCs w:val="24"/>
          <w:lang w:eastAsia="en-GB"/>
        </w:rPr>
      </w:pPr>
      <w:r>
        <w:rPr>
          <w:sz w:val="24"/>
          <w:szCs w:val="24"/>
        </w:rPr>
        <w:t xml:space="preserve">In </w:t>
      </w:r>
      <w:r w:rsidRPr="00F4082C">
        <w:rPr>
          <w:i/>
          <w:sz w:val="24"/>
          <w:szCs w:val="24"/>
        </w:rPr>
        <w:t>Guigemar</w:t>
      </w:r>
      <w:r>
        <w:rPr>
          <w:sz w:val="24"/>
          <w:szCs w:val="24"/>
        </w:rPr>
        <w:t xml:space="preserve">, despite being slain by Guigemar himself, the androgynous hind gives the prophecy that causes the end of the mal maree, and so jealousy. This prophecy is, </w:t>
      </w:r>
      <w:r w:rsidRPr="00484EFB">
        <w:rPr>
          <w:noProof/>
          <w:sz w:val="24"/>
          <w:szCs w:val="24"/>
        </w:rPr>
        <w:t>in fact</w:t>
      </w:r>
      <w:r>
        <w:rPr>
          <w:rStyle w:val="CommentReference"/>
        </w:rPr>
        <w:t xml:space="preserve">, </w:t>
      </w:r>
      <w:r>
        <w:rPr>
          <w:sz w:val="24"/>
          <w:szCs w:val="24"/>
        </w:rPr>
        <w:t>miniature version of the whole story; it lays bare Guigemar’s weakness, his inability to feel romantic love. The hind’s speech tells how Guigemar’s wound (received from his arrow rebounding from his fatal strike on the hind) will never heal until cured by a woman with whom he shares love, and that both he and the lady will suffer greatly for that love. It is, in effect, a lai within a lai: the tale of the love and suffering that will go on to defeat jealousy.</w:t>
      </w:r>
      <w:r>
        <w:rPr>
          <w:rStyle w:val="FootnoteReference"/>
          <w:sz w:val="24"/>
          <w:szCs w:val="24"/>
        </w:rPr>
        <w:footnoteReference w:id="8"/>
      </w:r>
      <w:r w:rsidRPr="00A778B0">
        <w:rPr>
          <w:sz w:val="24"/>
          <w:szCs w:val="24"/>
        </w:rPr>
        <w:t xml:space="preserve"> </w:t>
      </w:r>
    </w:p>
    <w:p w14:paraId="1127CC06" w14:textId="50B45C7D" w:rsidR="0084328D" w:rsidRDefault="0084328D" w:rsidP="00C52B2E">
      <w:pPr>
        <w:spacing w:before="240" w:after="100" w:afterAutospacing="1" w:line="480" w:lineRule="auto"/>
        <w:rPr>
          <w:sz w:val="24"/>
          <w:szCs w:val="24"/>
        </w:rPr>
      </w:pPr>
      <w:r>
        <w:rPr>
          <w:sz w:val="24"/>
          <w:szCs w:val="24"/>
        </w:rPr>
        <w:t xml:space="preserve">In fact, each of these of </w:t>
      </w:r>
      <w:r w:rsidRPr="00484EFB">
        <w:rPr>
          <w:noProof/>
          <w:sz w:val="24"/>
          <w:szCs w:val="24"/>
        </w:rPr>
        <w:t>th</w:t>
      </w:r>
      <w:r>
        <w:rPr>
          <w:noProof/>
          <w:sz w:val="24"/>
          <w:szCs w:val="24"/>
        </w:rPr>
        <w:t>ree</w:t>
      </w:r>
      <w:r w:rsidRPr="00484EFB">
        <w:rPr>
          <w:noProof/>
          <w:sz w:val="24"/>
          <w:szCs w:val="24"/>
        </w:rPr>
        <w:t xml:space="preserve"> animal descriptio</w:t>
      </w:r>
      <w:r>
        <w:rPr>
          <w:sz w:val="24"/>
          <w:szCs w:val="24"/>
        </w:rPr>
        <w:t xml:space="preserve"> tell the story of their lai. The androgynous hind, as mentioned, relates the arc of the story in its speech. The hawk tells his love that her beauty will betray them and that this will cause his death; once mortally wounded, he tells his lover she will bear him a son, names him Yonec (which Bloch notes breaks down into ‘</w:t>
      </w:r>
      <w:r>
        <w:rPr>
          <w:i/>
          <w:sz w:val="24"/>
          <w:szCs w:val="24"/>
        </w:rPr>
        <w:t xml:space="preserve">jo </w:t>
      </w:r>
      <w:r>
        <w:rPr>
          <w:sz w:val="24"/>
          <w:szCs w:val="24"/>
        </w:rPr>
        <w:t>and</w:t>
      </w:r>
      <w:r>
        <w:rPr>
          <w:i/>
          <w:sz w:val="24"/>
          <w:szCs w:val="24"/>
        </w:rPr>
        <w:t xml:space="preserve"> </w:t>
      </w:r>
      <w:r w:rsidRPr="00484EFB">
        <w:rPr>
          <w:i/>
          <w:noProof/>
          <w:sz w:val="24"/>
          <w:szCs w:val="24"/>
        </w:rPr>
        <w:t>neco</w:t>
      </w:r>
      <w:r>
        <w:rPr>
          <w:sz w:val="24"/>
          <w:szCs w:val="24"/>
        </w:rPr>
        <w:t xml:space="preserve"> or </w:t>
      </w:r>
      <w:r w:rsidRPr="00484EFB">
        <w:rPr>
          <w:i/>
          <w:noProof/>
          <w:sz w:val="24"/>
          <w:szCs w:val="24"/>
        </w:rPr>
        <w:t>necare</w:t>
      </w:r>
      <w:r>
        <w:rPr>
          <w:sz w:val="24"/>
          <w:szCs w:val="24"/>
        </w:rPr>
        <w:t>’, ‘I kill’</w:t>
      </w:r>
      <w:r w:rsidR="00BD359F">
        <w:rPr>
          <w:sz w:val="24"/>
          <w:szCs w:val="24"/>
        </w:rPr>
        <w:t>), a</w:t>
      </w:r>
      <w:r w:rsidR="00BD359F">
        <w:rPr>
          <w:sz w:val="24"/>
          <w:szCs w:val="24"/>
        </w:rPr>
        <w:t>n</w:t>
      </w:r>
      <w:r>
        <w:rPr>
          <w:sz w:val="24"/>
          <w:szCs w:val="24"/>
        </w:rPr>
        <w:t xml:space="preserve">d predicts their son’s revenge on the lady’s husband for his </w:t>
      </w:r>
      <w:r>
        <w:rPr>
          <w:sz w:val="24"/>
          <w:szCs w:val="24"/>
        </w:rPr>
        <w:lastRenderedPageBreak/>
        <w:t>(Muldumarec’s) murder.</w:t>
      </w:r>
      <w:r w:rsidR="00BD359F">
        <w:rPr>
          <w:rStyle w:val="FootnoteReference"/>
          <w:sz w:val="24"/>
          <w:szCs w:val="24"/>
        </w:rPr>
        <w:footnoteReference w:id="9"/>
      </w:r>
      <w:r>
        <w:rPr>
          <w:sz w:val="24"/>
          <w:szCs w:val="24"/>
        </w:rPr>
        <w:t xml:space="preserve"> Finally, there is the nightingale that moves from its vocal state to mute through its death (the opposite of the mute Philomela who gained her vocal state escaping death, when the gods turned her into a nightingale</w:t>
      </w:r>
      <w:r>
        <w:rPr>
          <w:rStyle w:val="FootnoteReference"/>
          <w:sz w:val="24"/>
          <w:szCs w:val="24"/>
        </w:rPr>
        <w:footnoteReference w:id="10"/>
      </w:r>
      <w:r>
        <w:rPr>
          <w:sz w:val="24"/>
          <w:szCs w:val="24"/>
        </w:rPr>
        <w:t xml:space="preserve">). Once dead, the nightingale is wrapped in a piece of samite embroidered with signs; which tell of the reason for the end of the love between the lady of the mal maree and the </w:t>
      </w:r>
      <w:r w:rsidRPr="00484EFB">
        <w:rPr>
          <w:noProof/>
          <w:sz w:val="24"/>
          <w:szCs w:val="24"/>
        </w:rPr>
        <w:t>neighbouring</w:t>
      </w:r>
      <w:r>
        <w:rPr>
          <w:sz w:val="24"/>
          <w:szCs w:val="24"/>
        </w:rPr>
        <w:t xml:space="preserve"> knight, and so tell the story of the love itself. Whether the signs on the samite are pictorial or textual the lai does not make explicit, but either is reminiscent of a descriptio.  Once the nightingale is made descriptio by the cloth, placing it inside the </w:t>
      </w:r>
      <w:r w:rsidRPr="00484EFB">
        <w:rPr>
          <w:noProof/>
          <w:sz w:val="24"/>
          <w:szCs w:val="24"/>
        </w:rPr>
        <w:t>jewelled</w:t>
      </w:r>
      <w:r>
        <w:rPr>
          <w:sz w:val="24"/>
          <w:szCs w:val="24"/>
        </w:rPr>
        <w:t xml:space="preserve"> box makes it the lai. </w:t>
      </w:r>
    </w:p>
    <w:p w14:paraId="3ECAC551" w14:textId="4C93102D" w:rsidR="0084328D" w:rsidRDefault="0084328D" w:rsidP="00C52B2E">
      <w:pPr>
        <w:spacing w:before="240" w:after="100" w:afterAutospacing="1" w:line="480" w:lineRule="auto"/>
        <w:rPr>
          <w:sz w:val="24"/>
          <w:szCs w:val="24"/>
        </w:rPr>
      </w:pPr>
      <w:r>
        <w:rPr>
          <w:sz w:val="24"/>
          <w:szCs w:val="24"/>
        </w:rPr>
        <w:t xml:space="preserve">All three descriptio appear from outside the world of the lais: the hind and the hawk-knight come from the supernatural world, and the nightingale is summoned into the world of the story by the lady of the tale. All either speak the tale or are the site the tale emanates from. Because each of </w:t>
      </w:r>
      <w:r w:rsidRPr="00484EFB">
        <w:rPr>
          <w:noProof/>
          <w:sz w:val="24"/>
          <w:szCs w:val="24"/>
        </w:rPr>
        <w:t xml:space="preserve">these </w:t>
      </w:r>
      <w:r>
        <w:rPr>
          <w:noProof/>
          <w:sz w:val="24"/>
          <w:szCs w:val="24"/>
        </w:rPr>
        <w:t>creatures</w:t>
      </w:r>
      <w:r>
        <w:rPr>
          <w:sz w:val="24"/>
          <w:szCs w:val="24"/>
        </w:rPr>
        <w:t xml:space="preserve"> come from outside the world of the story, and they tell a miniature version of the whole </w:t>
      </w:r>
      <w:r w:rsidRPr="00484EFB">
        <w:rPr>
          <w:noProof/>
          <w:sz w:val="24"/>
          <w:szCs w:val="24"/>
        </w:rPr>
        <w:t>tale</w:t>
      </w:r>
      <w:r>
        <w:rPr>
          <w:noProof/>
          <w:sz w:val="24"/>
          <w:szCs w:val="24"/>
        </w:rPr>
        <w:t xml:space="preserve"> </w:t>
      </w:r>
      <w:r>
        <w:rPr>
          <w:sz w:val="24"/>
          <w:szCs w:val="24"/>
        </w:rPr>
        <w:t>it is possible to read them the author herself present in the lai. This has been explored by Lee with reference to the androgynous hind, and indeed the androgyny itself seems to be the clue.</w:t>
      </w:r>
      <w:r>
        <w:rPr>
          <w:rStyle w:val="FootnoteReference"/>
          <w:sz w:val="24"/>
          <w:szCs w:val="24"/>
        </w:rPr>
        <w:footnoteReference w:id="11"/>
      </w:r>
      <w:r>
        <w:rPr>
          <w:sz w:val="24"/>
          <w:szCs w:val="24"/>
        </w:rPr>
        <w:t xml:space="preserve"> Therefore androgyny will be the next common strand of these objects of descriptio to be explored.</w:t>
      </w:r>
    </w:p>
    <w:p w14:paraId="040084AE" w14:textId="3189CE0C" w:rsidR="0084328D" w:rsidRDefault="0084328D" w:rsidP="00C52B2E">
      <w:pPr>
        <w:spacing w:after="100" w:afterAutospacing="1" w:line="480" w:lineRule="auto"/>
        <w:rPr>
          <w:rFonts w:cstheme="minorHAnsi"/>
          <w:sz w:val="24"/>
          <w:szCs w:val="24"/>
        </w:rPr>
      </w:pPr>
      <w:r>
        <w:rPr>
          <w:rFonts w:cstheme="minorHAnsi"/>
          <w:sz w:val="24"/>
          <w:szCs w:val="24"/>
          <w:lang w:eastAsia="en-GB"/>
        </w:rPr>
        <w:t xml:space="preserve">The hind of </w:t>
      </w:r>
      <w:r>
        <w:rPr>
          <w:rFonts w:cstheme="minorHAnsi"/>
          <w:i/>
          <w:sz w:val="24"/>
          <w:szCs w:val="24"/>
          <w:lang w:eastAsia="en-GB"/>
        </w:rPr>
        <w:t>Guigemar</w:t>
      </w:r>
      <w:r>
        <w:rPr>
          <w:rFonts w:cstheme="minorHAnsi"/>
          <w:sz w:val="24"/>
          <w:szCs w:val="24"/>
          <w:lang w:eastAsia="en-GB"/>
        </w:rPr>
        <w:t xml:space="preserve"> has been explicitly identified as androgynous by Pickins since 1974,  though it may well have been noted in less explicit terms before that.</w:t>
      </w:r>
      <w:r>
        <w:rPr>
          <w:rStyle w:val="FootnoteReference"/>
          <w:rFonts w:cstheme="minorHAnsi"/>
          <w:sz w:val="24"/>
          <w:szCs w:val="24"/>
          <w:lang w:eastAsia="en-GB"/>
        </w:rPr>
        <w:footnoteReference w:id="12"/>
      </w:r>
      <w:r>
        <w:rPr>
          <w:rFonts w:cstheme="minorHAnsi"/>
          <w:sz w:val="24"/>
          <w:szCs w:val="24"/>
          <w:lang w:eastAsia="en-GB"/>
        </w:rPr>
        <w:t xml:space="preserve"> The androgyny could </w:t>
      </w:r>
      <w:r>
        <w:rPr>
          <w:rFonts w:cstheme="minorHAnsi"/>
          <w:sz w:val="24"/>
          <w:szCs w:val="24"/>
          <w:lang w:eastAsia="en-GB"/>
        </w:rPr>
        <w:lastRenderedPageBreak/>
        <w:t>represent the asexual, self-sufficient state of Guigemar at this stage of the story; its death could represent the death of that state in Guigemar.</w:t>
      </w:r>
      <w:r>
        <w:rPr>
          <w:rStyle w:val="FootnoteReference"/>
          <w:rFonts w:cstheme="minorHAnsi"/>
          <w:sz w:val="24"/>
          <w:szCs w:val="24"/>
          <w:lang w:eastAsia="en-GB"/>
        </w:rPr>
        <w:footnoteReference w:id="13"/>
      </w:r>
      <w:r w:rsidRPr="002C1F4F">
        <w:rPr>
          <w:sz w:val="24"/>
          <w:szCs w:val="24"/>
        </w:rPr>
        <w:t xml:space="preserve"> </w:t>
      </w:r>
      <w:r>
        <w:rPr>
          <w:sz w:val="24"/>
          <w:szCs w:val="24"/>
        </w:rPr>
        <w:t xml:space="preserve">Or it could represent the movement Guigemar needs to make towards the union of male and female in a </w:t>
      </w:r>
      <w:r w:rsidRPr="00484EFB">
        <w:rPr>
          <w:noProof/>
          <w:sz w:val="24"/>
          <w:szCs w:val="24"/>
        </w:rPr>
        <w:t>love</w:t>
      </w:r>
      <w:r>
        <w:rPr>
          <w:sz w:val="24"/>
          <w:szCs w:val="24"/>
        </w:rPr>
        <w:t xml:space="preserve"> partnership. Marie’s use of the hind meets both needs with the same strikingly memorable, visual symbol. Additionally, androgyny in the late twelfth century was applied to saints and Christ; </w:t>
      </w:r>
      <w:r w:rsidRPr="00484EFB">
        <w:rPr>
          <w:noProof/>
          <w:sz w:val="24"/>
          <w:szCs w:val="24"/>
        </w:rPr>
        <w:t>Ceddillo</w:t>
      </w:r>
      <w:r>
        <w:rPr>
          <w:sz w:val="24"/>
          <w:szCs w:val="24"/>
        </w:rPr>
        <w:t xml:space="preserve"> notes </w:t>
      </w:r>
      <w:r w:rsidRPr="0084328D">
        <w:rPr>
          <w:noProof/>
          <w:sz w:val="24"/>
          <w:szCs w:val="24"/>
        </w:rPr>
        <w:t>that</w:t>
      </w:r>
      <w:r>
        <w:rPr>
          <w:sz w:val="24"/>
          <w:szCs w:val="24"/>
        </w:rPr>
        <w:t xml:space="preserve"> ‘</w:t>
      </w:r>
      <w:r w:rsidRPr="0093022B">
        <w:rPr>
          <w:rFonts w:cstheme="minorHAnsi"/>
          <w:sz w:val="24"/>
          <w:szCs w:val="24"/>
          <w:lang w:eastAsia="en-GB"/>
        </w:rPr>
        <w:t>Christian texts advance[d] androgyny as proof of sanctity</w:t>
      </w:r>
      <w:r>
        <w:rPr>
          <w:rFonts w:cstheme="minorHAnsi"/>
          <w:sz w:val="24"/>
          <w:szCs w:val="24"/>
          <w:lang w:eastAsia="en-GB"/>
        </w:rPr>
        <w:t>’.</w:t>
      </w:r>
      <w:r>
        <w:rPr>
          <w:rStyle w:val="FootnoteReference"/>
          <w:rFonts w:cstheme="minorHAnsi"/>
          <w:sz w:val="24"/>
          <w:szCs w:val="24"/>
          <w:lang w:eastAsia="en-GB"/>
        </w:rPr>
        <w:footnoteReference w:id="14"/>
      </w:r>
      <w:r>
        <w:rPr>
          <w:rFonts w:cstheme="minorHAnsi"/>
          <w:sz w:val="24"/>
          <w:szCs w:val="24"/>
          <w:lang w:eastAsia="en-GB"/>
        </w:rPr>
        <w:t xml:space="preserve"> </w:t>
      </w:r>
      <w:r>
        <w:rPr>
          <w:sz w:val="24"/>
          <w:szCs w:val="24"/>
        </w:rPr>
        <w:t>Although Christ as an image of the hunted stag doesn’t develop until later in the Middle Ages, the whiteness and androgyny would have singled out the hind as sacred and pure.</w:t>
      </w:r>
      <w:r>
        <w:rPr>
          <w:rStyle w:val="FootnoteReference"/>
          <w:sz w:val="24"/>
          <w:szCs w:val="24"/>
        </w:rPr>
        <w:footnoteReference w:id="15"/>
      </w:r>
      <w:r>
        <w:rPr>
          <w:sz w:val="24"/>
          <w:szCs w:val="24"/>
        </w:rPr>
        <w:t xml:space="preserve"> But, p</w:t>
      </w:r>
      <w:r>
        <w:rPr>
          <w:rFonts w:cstheme="minorHAnsi"/>
          <w:sz w:val="24"/>
          <w:szCs w:val="24"/>
        </w:rPr>
        <w:t>erhaps the most interesting interpretation of the androgyny of the hind is Lee’s theory that its androgyny (in particular because of the female body with, the antler ‘crown’ of male intellect) means that the hind could represent Marie, ‘a woman author in what was, in the Middle Ages, the masculine realm of literature.’</w:t>
      </w:r>
      <w:r>
        <w:rPr>
          <w:rStyle w:val="FootnoteReference"/>
          <w:rFonts w:cstheme="minorHAnsi"/>
          <w:sz w:val="24"/>
          <w:szCs w:val="24"/>
        </w:rPr>
        <w:footnoteReference w:id="16"/>
      </w:r>
    </w:p>
    <w:p w14:paraId="22EEA8EE" w14:textId="6F9ED0BF" w:rsidR="0084328D" w:rsidRDefault="0084328D" w:rsidP="00C52B2E">
      <w:pPr>
        <w:spacing w:after="100" w:afterAutospacing="1" w:line="480" w:lineRule="auto"/>
        <w:rPr>
          <w:sz w:val="24"/>
          <w:szCs w:val="24"/>
        </w:rPr>
      </w:pPr>
      <w:r>
        <w:rPr>
          <w:rFonts w:cstheme="minorHAnsi"/>
          <w:sz w:val="24"/>
          <w:szCs w:val="24"/>
        </w:rPr>
        <w:t>The hawk-lover is also androgynous: as well as a hawk, he can take on the forms of both a man and a woman. The nightingale is perhaps unintentionally androgynous: its ancient and poetic tradition was of the female (Philomela) singing her lament, yet it is the male nightingale who sings.</w:t>
      </w:r>
      <w:r>
        <w:rPr>
          <w:rStyle w:val="FootnoteReference"/>
          <w:rFonts w:cstheme="minorHAnsi"/>
          <w:sz w:val="24"/>
          <w:szCs w:val="24"/>
        </w:rPr>
        <w:footnoteReference w:id="17"/>
      </w:r>
      <w:r>
        <w:rPr>
          <w:rFonts w:cstheme="minorHAnsi"/>
          <w:sz w:val="24"/>
          <w:szCs w:val="24"/>
        </w:rPr>
        <w:t xml:space="preserve"> However, this was not known in the Middle Ages, so </w:t>
      </w:r>
      <w:r>
        <w:rPr>
          <w:sz w:val="24"/>
          <w:szCs w:val="24"/>
        </w:rPr>
        <w:t xml:space="preserve">Marie would </w:t>
      </w:r>
      <w:r>
        <w:rPr>
          <w:sz w:val="24"/>
          <w:szCs w:val="24"/>
        </w:rPr>
        <w:lastRenderedPageBreak/>
        <w:t>have seen no androgyny of this sort.</w:t>
      </w:r>
      <w:r>
        <w:rPr>
          <w:rStyle w:val="FootnoteReference"/>
          <w:sz w:val="24"/>
          <w:szCs w:val="24"/>
        </w:rPr>
        <w:footnoteReference w:id="18"/>
      </w:r>
      <w:r>
        <w:rPr>
          <w:sz w:val="24"/>
          <w:szCs w:val="24"/>
        </w:rPr>
        <w:t xml:space="preserve"> Still, since the nightingale represents the poet, Lee’s conclusion concerning the androgyny of the stag,</w:t>
      </w:r>
      <w:r w:rsidR="00BD359F">
        <w:rPr>
          <w:sz w:val="24"/>
          <w:szCs w:val="24"/>
        </w:rPr>
        <w:t xml:space="preserve"> </w:t>
      </w:r>
      <w:r>
        <w:rPr>
          <w:sz w:val="24"/>
          <w:szCs w:val="24"/>
        </w:rPr>
        <w:t>that it reflects Marie as a female in the male role of poet, also fits with the androgyny of the female nightingale producing poetry, the preserve of the male.</w:t>
      </w:r>
    </w:p>
    <w:p w14:paraId="38D38243" w14:textId="392D7FB8" w:rsidR="0084328D" w:rsidRPr="00343BDE" w:rsidRDefault="0084328D" w:rsidP="00C52B2E">
      <w:pPr>
        <w:spacing w:after="100" w:afterAutospacing="1" w:line="480" w:lineRule="auto"/>
        <w:rPr>
          <w:sz w:val="24"/>
          <w:szCs w:val="24"/>
        </w:rPr>
      </w:pPr>
      <w:r>
        <w:rPr>
          <w:rFonts w:cstheme="minorHAnsi"/>
          <w:sz w:val="24"/>
          <w:szCs w:val="24"/>
          <w:lang w:eastAsia="en-GB"/>
        </w:rPr>
        <w:t xml:space="preserve">The last characteristic to be explored is the hunt. </w:t>
      </w:r>
      <w:r w:rsidRPr="006A5C7F">
        <w:rPr>
          <w:rFonts w:cstheme="minorHAnsi"/>
          <w:sz w:val="24"/>
          <w:szCs w:val="24"/>
          <w:lang w:eastAsia="en-GB"/>
        </w:rPr>
        <w:t xml:space="preserve">The analogy of </w:t>
      </w:r>
      <w:r>
        <w:rPr>
          <w:rFonts w:cstheme="minorHAnsi"/>
          <w:sz w:val="24"/>
          <w:szCs w:val="24"/>
          <w:lang w:eastAsia="en-GB"/>
        </w:rPr>
        <w:t xml:space="preserve">the </w:t>
      </w:r>
      <w:r w:rsidRPr="006A5C7F">
        <w:rPr>
          <w:rFonts w:cstheme="minorHAnsi"/>
          <w:sz w:val="24"/>
          <w:szCs w:val="24"/>
          <w:lang w:eastAsia="en-GB"/>
        </w:rPr>
        <w:t>hunt to love seems a strange one for Marie whose lais are a meditation on the nature of true, reciprocated and equ</w:t>
      </w:r>
      <w:r>
        <w:rPr>
          <w:rFonts w:cstheme="minorHAnsi"/>
          <w:sz w:val="24"/>
          <w:szCs w:val="24"/>
          <w:lang w:eastAsia="en-GB"/>
        </w:rPr>
        <w:t>itable</w:t>
      </w:r>
      <w:r w:rsidRPr="006A5C7F">
        <w:rPr>
          <w:rFonts w:cstheme="minorHAnsi"/>
          <w:sz w:val="24"/>
          <w:szCs w:val="24"/>
          <w:lang w:eastAsia="en-GB"/>
        </w:rPr>
        <w:t xml:space="preserve"> love. </w:t>
      </w:r>
      <w:r>
        <w:rPr>
          <w:rFonts w:cstheme="minorHAnsi"/>
          <w:sz w:val="24"/>
          <w:szCs w:val="24"/>
          <w:lang w:eastAsia="en-GB"/>
        </w:rPr>
        <w:t>The analogy of the hunt chase ‘that lures a hero to erotic adventure’ was in play in the late twelfth century, but it often culminated in the male overpowering the female; t</w:t>
      </w:r>
      <w:r w:rsidRPr="006A5C7F">
        <w:rPr>
          <w:rFonts w:cstheme="minorHAnsi"/>
          <w:sz w:val="24"/>
          <w:szCs w:val="24"/>
          <w:lang w:eastAsia="en-GB"/>
        </w:rPr>
        <w:t xml:space="preserve">he </w:t>
      </w:r>
      <w:r>
        <w:rPr>
          <w:rFonts w:cstheme="minorHAnsi"/>
          <w:sz w:val="24"/>
          <w:szCs w:val="24"/>
          <w:lang w:eastAsia="en-GB"/>
        </w:rPr>
        <w:t xml:space="preserve">more developed </w:t>
      </w:r>
      <w:r w:rsidRPr="006A5C7F">
        <w:rPr>
          <w:rFonts w:cstheme="minorHAnsi"/>
          <w:sz w:val="24"/>
          <w:szCs w:val="24"/>
          <w:lang w:eastAsia="en-GB"/>
        </w:rPr>
        <w:t xml:space="preserve">themes of an amatory hunt, </w:t>
      </w:r>
      <w:r>
        <w:rPr>
          <w:rFonts w:cstheme="minorHAnsi"/>
          <w:sz w:val="24"/>
          <w:szCs w:val="24"/>
          <w:lang w:eastAsia="en-GB"/>
        </w:rPr>
        <w:t>with</w:t>
      </w:r>
      <w:r w:rsidRPr="006A5C7F">
        <w:rPr>
          <w:rFonts w:cstheme="minorHAnsi"/>
          <w:sz w:val="24"/>
          <w:szCs w:val="24"/>
          <w:lang w:eastAsia="en-GB"/>
        </w:rPr>
        <w:t xml:space="preserve"> its subtleties of restraint and respect, would not develop until later in the </w:t>
      </w:r>
      <w:r>
        <w:rPr>
          <w:rFonts w:cstheme="minorHAnsi"/>
          <w:sz w:val="24"/>
          <w:szCs w:val="24"/>
          <w:lang w:eastAsia="en-GB"/>
        </w:rPr>
        <w:t>M</w:t>
      </w:r>
      <w:r w:rsidRPr="006A5C7F">
        <w:rPr>
          <w:rFonts w:cstheme="minorHAnsi"/>
          <w:sz w:val="24"/>
          <w:szCs w:val="24"/>
          <w:lang w:eastAsia="en-GB"/>
        </w:rPr>
        <w:t xml:space="preserve">iddle </w:t>
      </w:r>
      <w:r>
        <w:rPr>
          <w:rFonts w:cstheme="minorHAnsi"/>
          <w:sz w:val="24"/>
          <w:szCs w:val="24"/>
          <w:lang w:eastAsia="en-GB"/>
        </w:rPr>
        <w:t>A</w:t>
      </w:r>
      <w:r w:rsidRPr="006A5C7F">
        <w:rPr>
          <w:rFonts w:cstheme="minorHAnsi"/>
          <w:sz w:val="24"/>
          <w:szCs w:val="24"/>
          <w:lang w:eastAsia="en-GB"/>
        </w:rPr>
        <w:t>ges.</w:t>
      </w:r>
      <w:r w:rsidRPr="006A5C7F">
        <w:rPr>
          <w:rStyle w:val="FootnoteReference"/>
          <w:rFonts w:cstheme="minorHAnsi"/>
          <w:sz w:val="24"/>
          <w:szCs w:val="24"/>
          <w:lang w:eastAsia="en-GB"/>
        </w:rPr>
        <w:footnoteReference w:id="19"/>
      </w:r>
      <w:r w:rsidRPr="006A5C7F">
        <w:rPr>
          <w:rFonts w:cstheme="minorHAnsi"/>
          <w:sz w:val="24"/>
          <w:szCs w:val="24"/>
          <w:lang w:eastAsia="en-GB"/>
        </w:rPr>
        <w:t xml:space="preserve"> The active and passive role</w:t>
      </w:r>
      <w:r>
        <w:rPr>
          <w:rFonts w:cstheme="minorHAnsi"/>
          <w:sz w:val="24"/>
          <w:szCs w:val="24"/>
          <w:lang w:eastAsia="en-GB"/>
        </w:rPr>
        <w:t xml:space="preserve">s between the sexes </w:t>
      </w:r>
      <w:r w:rsidRPr="006A5C7F">
        <w:rPr>
          <w:rFonts w:cstheme="minorHAnsi"/>
          <w:sz w:val="24"/>
          <w:szCs w:val="24"/>
          <w:lang w:eastAsia="en-GB"/>
        </w:rPr>
        <w:t>is understandable for the age, but hunter and prey as symbols seem a little too close to aggressor and victim for the tone of Marie’s lais. Yet</w:t>
      </w:r>
      <w:r>
        <w:rPr>
          <w:rFonts w:cstheme="minorHAnsi"/>
          <w:sz w:val="24"/>
          <w:szCs w:val="24"/>
          <w:lang w:eastAsia="en-GB"/>
        </w:rPr>
        <w:t xml:space="preserve"> </w:t>
      </w:r>
      <w:r w:rsidRPr="006A5C7F">
        <w:rPr>
          <w:rFonts w:cstheme="minorHAnsi"/>
          <w:sz w:val="24"/>
          <w:szCs w:val="24"/>
          <w:lang w:eastAsia="en-GB"/>
        </w:rPr>
        <w:t>Marie has chosen one noble prey, one noble hunter and one ignobly</w:t>
      </w:r>
      <w:r>
        <w:rPr>
          <w:rFonts w:cstheme="minorHAnsi"/>
          <w:sz w:val="24"/>
          <w:szCs w:val="24"/>
          <w:lang w:eastAsia="en-GB"/>
        </w:rPr>
        <w:t>-</w:t>
      </w:r>
      <w:r w:rsidRPr="006A5C7F">
        <w:rPr>
          <w:rFonts w:cstheme="minorHAnsi"/>
          <w:sz w:val="24"/>
          <w:szCs w:val="24"/>
          <w:lang w:eastAsia="en-GB"/>
        </w:rPr>
        <w:t xml:space="preserve">trapped nightingale </w:t>
      </w:r>
      <w:r>
        <w:rPr>
          <w:rFonts w:cstheme="minorHAnsi"/>
          <w:sz w:val="24"/>
          <w:szCs w:val="24"/>
          <w:lang w:eastAsia="en-GB"/>
        </w:rPr>
        <w:t>that</w:t>
      </w:r>
      <w:r w:rsidRPr="006A5C7F">
        <w:rPr>
          <w:rFonts w:cstheme="minorHAnsi"/>
          <w:sz w:val="24"/>
          <w:szCs w:val="24"/>
          <w:lang w:eastAsia="en-GB"/>
        </w:rPr>
        <w:t xml:space="preserve"> has thus become prey. However, the androgyny of the hunting and hunted descriptio does fit</w:t>
      </w:r>
      <w:r>
        <w:rPr>
          <w:rFonts w:cstheme="minorHAnsi"/>
          <w:sz w:val="24"/>
          <w:szCs w:val="24"/>
          <w:lang w:eastAsia="en-GB"/>
        </w:rPr>
        <w:t>,</w:t>
      </w:r>
      <w:r w:rsidRPr="006A5C7F">
        <w:rPr>
          <w:rFonts w:cstheme="minorHAnsi"/>
          <w:sz w:val="24"/>
          <w:szCs w:val="24"/>
          <w:lang w:eastAsia="en-GB"/>
        </w:rPr>
        <w:t xml:space="preserve"> if </w:t>
      </w:r>
      <w:r>
        <w:rPr>
          <w:rFonts w:cstheme="minorHAnsi"/>
          <w:sz w:val="24"/>
          <w:szCs w:val="24"/>
          <w:lang w:eastAsia="en-GB"/>
        </w:rPr>
        <w:t>they are</w:t>
      </w:r>
      <w:r w:rsidRPr="006A5C7F">
        <w:rPr>
          <w:rFonts w:cstheme="minorHAnsi"/>
          <w:sz w:val="24"/>
          <w:szCs w:val="24"/>
          <w:lang w:eastAsia="en-GB"/>
        </w:rPr>
        <w:t xml:space="preserve"> considered symbolically</w:t>
      </w:r>
      <w:r>
        <w:rPr>
          <w:rFonts w:cstheme="minorHAnsi"/>
          <w:sz w:val="24"/>
          <w:szCs w:val="24"/>
          <w:lang w:eastAsia="en-GB"/>
        </w:rPr>
        <w:t xml:space="preserve">: </w:t>
      </w:r>
      <w:r w:rsidRPr="006A5C7F">
        <w:rPr>
          <w:rFonts w:cstheme="minorHAnsi"/>
          <w:sz w:val="24"/>
          <w:szCs w:val="24"/>
          <w:lang w:eastAsia="en-GB"/>
        </w:rPr>
        <w:t>the hunter pursues</w:t>
      </w:r>
      <w:r>
        <w:rPr>
          <w:rFonts w:cstheme="minorHAnsi"/>
          <w:sz w:val="24"/>
          <w:szCs w:val="24"/>
          <w:lang w:eastAsia="en-GB"/>
        </w:rPr>
        <w:t xml:space="preserve"> and</w:t>
      </w:r>
      <w:r w:rsidRPr="006A5C7F">
        <w:rPr>
          <w:rFonts w:cstheme="minorHAnsi"/>
          <w:sz w:val="24"/>
          <w:szCs w:val="24"/>
          <w:lang w:eastAsia="en-GB"/>
        </w:rPr>
        <w:t xml:space="preserve"> so he must </w:t>
      </w:r>
      <w:r>
        <w:rPr>
          <w:rFonts w:cstheme="minorHAnsi"/>
          <w:sz w:val="24"/>
          <w:szCs w:val="24"/>
          <w:lang w:eastAsia="en-GB"/>
        </w:rPr>
        <w:t xml:space="preserve">also </w:t>
      </w:r>
      <w:r w:rsidRPr="006A5C7F">
        <w:rPr>
          <w:rFonts w:cstheme="minorHAnsi"/>
          <w:sz w:val="24"/>
          <w:szCs w:val="24"/>
          <w:lang w:eastAsia="en-GB"/>
        </w:rPr>
        <w:t xml:space="preserve">follow, and the prey flees and so also leads. Therefore, </w:t>
      </w:r>
      <w:r>
        <w:rPr>
          <w:rFonts w:cstheme="minorHAnsi"/>
          <w:sz w:val="24"/>
          <w:szCs w:val="24"/>
          <w:lang w:eastAsia="en-GB"/>
        </w:rPr>
        <w:t xml:space="preserve">the hunt </w:t>
      </w:r>
      <w:r w:rsidRPr="006A5C7F">
        <w:rPr>
          <w:rFonts w:cstheme="minorHAnsi"/>
          <w:sz w:val="24"/>
          <w:szCs w:val="24"/>
          <w:lang w:eastAsia="en-GB"/>
        </w:rPr>
        <w:t xml:space="preserve">is an androgynous mix of active and passive, which suits a passive hind that injures </w:t>
      </w:r>
      <w:r>
        <w:rPr>
          <w:rFonts w:cstheme="minorHAnsi"/>
          <w:sz w:val="24"/>
          <w:szCs w:val="24"/>
          <w:lang w:eastAsia="en-GB"/>
        </w:rPr>
        <w:t xml:space="preserve">the </w:t>
      </w:r>
      <w:r w:rsidRPr="006A5C7F">
        <w:rPr>
          <w:rFonts w:cstheme="minorHAnsi"/>
          <w:sz w:val="24"/>
          <w:szCs w:val="24"/>
          <w:lang w:eastAsia="en-GB"/>
        </w:rPr>
        <w:t>active party</w:t>
      </w:r>
      <w:r>
        <w:rPr>
          <w:rFonts w:cstheme="minorHAnsi"/>
          <w:sz w:val="24"/>
          <w:szCs w:val="24"/>
          <w:lang w:eastAsia="en-GB"/>
        </w:rPr>
        <w:t>,</w:t>
      </w:r>
      <w:r w:rsidRPr="006A5C7F">
        <w:rPr>
          <w:rFonts w:cstheme="minorHAnsi"/>
          <w:sz w:val="24"/>
          <w:szCs w:val="24"/>
          <w:lang w:eastAsia="en-GB"/>
        </w:rPr>
        <w:t xml:space="preserve"> the hunter, and an active hawk that willingly submits to </w:t>
      </w:r>
      <w:r>
        <w:rPr>
          <w:rFonts w:cstheme="minorHAnsi"/>
          <w:sz w:val="24"/>
          <w:szCs w:val="24"/>
          <w:lang w:eastAsia="en-GB"/>
        </w:rPr>
        <w:t xml:space="preserve">the </w:t>
      </w:r>
      <w:r w:rsidRPr="006A5C7F">
        <w:rPr>
          <w:rFonts w:cstheme="minorHAnsi"/>
          <w:sz w:val="24"/>
          <w:szCs w:val="24"/>
          <w:lang w:eastAsia="en-GB"/>
        </w:rPr>
        <w:t>passive partner</w:t>
      </w:r>
      <w:r>
        <w:rPr>
          <w:rFonts w:cstheme="minorHAnsi"/>
          <w:sz w:val="24"/>
          <w:szCs w:val="24"/>
          <w:lang w:eastAsia="en-GB"/>
        </w:rPr>
        <w:t>,</w:t>
      </w:r>
      <w:r w:rsidRPr="006A5C7F">
        <w:rPr>
          <w:rFonts w:cstheme="minorHAnsi"/>
          <w:sz w:val="24"/>
          <w:szCs w:val="24"/>
          <w:lang w:eastAsia="en-GB"/>
        </w:rPr>
        <w:t xml:space="preserve"> the lady, and the passive nightingale</w:t>
      </w:r>
      <w:r>
        <w:rPr>
          <w:rFonts w:cstheme="minorHAnsi"/>
          <w:sz w:val="24"/>
          <w:szCs w:val="24"/>
          <w:lang w:eastAsia="en-GB"/>
        </w:rPr>
        <w:t xml:space="preserve"> </w:t>
      </w:r>
      <w:r w:rsidRPr="006A5C7F">
        <w:rPr>
          <w:rFonts w:cstheme="minorHAnsi"/>
          <w:sz w:val="24"/>
          <w:szCs w:val="24"/>
          <w:lang w:eastAsia="en-GB"/>
        </w:rPr>
        <w:t xml:space="preserve">that </w:t>
      </w:r>
      <w:r>
        <w:rPr>
          <w:rFonts w:cstheme="minorHAnsi"/>
          <w:sz w:val="24"/>
          <w:szCs w:val="24"/>
          <w:lang w:eastAsia="en-GB"/>
        </w:rPr>
        <w:t xml:space="preserve">once </w:t>
      </w:r>
      <w:r w:rsidRPr="006A5C7F">
        <w:rPr>
          <w:rFonts w:cstheme="minorHAnsi"/>
          <w:sz w:val="24"/>
          <w:szCs w:val="24"/>
          <w:lang w:eastAsia="en-GB"/>
        </w:rPr>
        <w:t>slain</w:t>
      </w:r>
      <w:r w:rsidR="00C52B2E">
        <w:rPr>
          <w:rFonts w:cstheme="minorHAnsi"/>
          <w:sz w:val="24"/>
          <w:szCs w:val="24"/>
          <w:lang w:eastAsia="en-GB"/>
        </w:rPr>
        <w:t xml:space="preserve"> </w:t>
      </w:r>
      <w:r w:rsidRPr="006A5C7F">
        <w:rPr>
          <w:rFonts w:cstheme="minorHAnsi"/>
          <w:sz w:val="24"/>
          <w:szCs w:val="24"/>
          <w:lang w:eastAsia="en-GB"/>
        </w:rPr>
        <w:lastRenderedPageBreak/>
        <w:t>becomes the active story.</w:t>
      </w:r>
      <w:r>
        <w:rPr>
          <w:rStyle w:val="FootnoteReference"/>
          <w:rFonts w:cstheme="minorHAnsi"/>
          <w:sz w:val="24"/>
          <w:szCs w:val="24"/>
          <w:lang w:eastAsia="en-GB"/>
        </w:rPr>
        <w:footnoteReference w:id="20"/>
      </w:r>
      <w:r>
        <w:rPr>
          <w:rFonts w:cstheme="minorHAnsi"/>
          <w:sz w:val="24"/>
          <w:szCs w:val="24"/>
          <w:lang w:eastAsia="en-GB"/>
        </w:rPr>
        <w:t xml:space="preserve"> The hunt then, as another site of androgyny, is a surface that Marie can inhabit, as a female with the active, so-say male, gift of writer.</w:t>
      </w:r>
    </w:p>
    <w:p w14:paraId="0FE7B2EB" w14:textId="3F364585" w:rsidR="00EA192C" w:rsidRDefault="0084328D" w:rsidP="00C52B2E">
      <w:pPr>
        <w:spacing w:after="100" w:afterAutospacing="1" w:line="480" w:lineRule="auto"/>
        <w:rPr>
          <w:rFonts w:cstheme="minorHAnsi"/>
          <w:sz w:val="24"/>
          <w:szCs w:val="24"/>
          <w:lang w:eastAsia="en-GB"/>
        </w:rPr>
      </w:pPr>
      <w:r>
        <w:rPr>
          <w:rFonts w:cstheme="minorHAnsi"/>
          <w:sz w:val="24"/>
          <w:szCs w:val="24"/>
          <w:lang w:eastAsia="en-GB"/>
        </w:rPr>
        <w:t xml:space="preserve">Despite there being no biographical Marie about whom to talk when exploring the work assigned to her, there does seem to be a ‘Marie the author’ who reveals herself in both her Prologue to </w:t>
      </w:r>
      <w:r w:rsidRPr="00947FE1">
        <w:rPr>
          <w:rFonts w:cstheme="minorHAnsi"/>
          <w:i/>
          <w:sz w:val="24"/>
          <w:szCs w:val="24"/>
          <w:lang w:eastAsia="en-GB"/>
        </w:rPr>
        <w:t>Guigemar</w:t>
      </w:r>
      <w:r>
        <w:rPr>
          <w:rFonts w:cstheme="minorHAnsi"/>
          <w:sz w:val="24"/>
          <w:szCs w:val="24"/>
          <w:lang w:eastAsia="en-GB"/>
        </w:rPr>
        <w:t xml:space="preserve"> and her lais. Her use of descriptio make evident the sophistication of her writing, and it is the most distinctive and individualistic aspect of her lais; it is what is most concerned with memory and is not only striking in its quality but also its quantity, suggesting a desire for both the work and the author to be remembered. This is supported in her Prologue by the confidence with which Marie championed both her work and herself against those who, perhaps, frowned upon and envied her. Since it would seem reasonable to say the places in her lais where Marie employs descriptio are, necessarily, the places that are most memorable and where she is most creative, it is also feasible to expect them to be where in the work the poet is most visible. Further, t</w:t>
      </w:r>
      <w:r w:rsidRPr="00947FE1">
        <w:rPr>
          <w:sz w:val="24"/>
          <w:szCs w:val="24"/>
        </w:rPr>
        <w:t xml:space="preserve">he animals in each of the instances of descriptio </w:t>
      </w:r>
      <w:r>
        <w:rPr>
          <w:sz w:val="24"/>
          <w:szCs w:val="24"/>
        </w:rPr>
        <w:t>examined here,</w:t>
      </w:r>
      <w:r w:rsidRPr="00947FE1">
        <w:rPr>
          <w:sz w:val="24"/>
          <w:szCs w:val="24"/>
        </w:rPr>
        <w:t xml:space="preserve"> whose androgyny suited comparison to the female working in the masculine field of poetry, and who ‘told’ a concentrated version of the lai they were in, could be said to embody the author.</w:t>
      </w:r>
      <w:r>
        <w:rPr>
          <w:sz w:val="24"/>
          <w:szCs w:val="24"/>
        </w:rPr>
        <w:t xml:space="preserve"> This is supported by the animal descriptio instigating a creative response to the jealousy in the lais, corresponding to Marie’s response to her envious critics in her </w:t>
      </w:r>
      <w:r w:rsidRPr="00947FE1">
        <w:rPr>
          <w:sz w:val="24"/>
          <w:szCs w:val="24"/>
        </w:rPr>
        <w:t xml:space="preserve">Prologue to </w:t>
      </w:r>
      <w:r w:rsidRPr="0084328D">
        <w:rPr>
          <w:i/>
          <w:sz w:val="24"/>
          <w:szCs w:val="24"/>
        </w:rPr>
        <w:t>Guigemar</w:t>
      </w:r>
      <w:r w:rsidRPr="00947FE1">
        <w:rPr>
          <w:sz w:val="24"/>
          <w:szCs w:val="24"/>
        </w:rPr>
        <w:t xml:space="preserve">. </w:t>
      </w:r>
      <w:r>
        <w:rPr>
          <w:rFonts w:cstheme="minorHAnsi"/>
          <w:sz w:val="24"/>
          <w:szCs w:val="24"/>
          <w:lang w:eastAsia="en-GB"/>
        </w:rPr>
        <w:t>The essay considers, therefore, that the descriptio, as the most distinctive part of her work, is where in the lais Marie can be found.</w:t>
      </w:r>
    </w:p>
    <w:p w14:paraId="2015D111" w14:textId="0002332D" w:rsidR="000C16F0" w:rsidRDefault="000C16F0" w:rsidP="00C52B2E">
      <w:pPr>
        <w:spacing w:after="100" w:afterAutospacing="1" w:line="480" w:lineRule="auto"/>
      </w:pPr>
    </w:p>
    <w:p w14:paraId="40543B84" w14:textId="77777777" w:rsidR="000C16F0" w:rsidRDefault="000C16F0" w:rsidP="000C16F0">
      <w:pPr>
        <w:rPr>
          <w:b/>
          <w:sz w:val="24"/>
          <w:szCs w:val="24"/>
        </w:rPr>
      </w:pPr>
    </w:p>
    <w:p w14:paraId="29EB6F2F" w14:textId="389ED4BD" w:rsidR="000C16F0" w:rsidRDefault="000C16F0" w:rsidP="000C16F0">
      <w:pPr>
        <w:rPr>
          <w:b/>
          <w:sz w:val="24"/>
          <w:szCs w:val="24"/>
        </w:rPr>
      </w:pPr>
      <w:r w:rsidRPr="000D2593">
        <w:rPr>
          <w:b/>
          <w:sz w:val="24"/>
          <w:szCs w:val="24"/>
        </w:rPr>
        <w:t>Bibliography.</w:t>
      </w:r>
    </w:p>
    <w:p w14:paraId="481529FA" w14:textId="77777777" w:rsidR="000C16F0" w:rsidRDefault="000C16F0" w:rsidP="000C16F0">
      <w:pPr>
        <w:rPr>
          <w:b/>
          <w:sz w:val="24"/>
          <w:szCs w:val="24"/>
        </w:rPr>
      </w:pPr>
    </w:p>
    <w:p w14:paraId="6EF835BB" w14:textId="77777777" w:rsidR="000C16F0" w:rsidRPr="000C16F0" w:rsidRDefault="000C16F0" w:rsidP="000C16F0">
      <w:r w:rsidRPr="000C16F0">
        <w:t xml:space="preserve">Burgess, Glynn. S. and Keith Busby, </w:t>
      </w:r>
      <w:r w:rsidRPr="000C16F0">
        <w:rPr>
          <w:i/>
        </w:rPr>
        <w:t>The Lais of Marie de France</w:t>
      </w:r>
      <w:r w:rsidRPr="000C16F0">
        <w:t xml:space="preserve"> (Harmondsworth: Penguin, 1999; </w:t>
      </w:r>
      <w:proofErr w:type="spellStart"/>
      <w:r w:rsidRPr="000C16F0">
        <w:t>repr</w:t>
      </w:r>
      <w:proofErr w:type="spellEnd"/>
      <w:r w:rsidRPr="000C16F0">
        <w:t>. 2003)</w:t>
      </w:r>
    </w:p>
    <w:p w14:paraId="433245F0" w14:textId="77777777" w:rsidR="000C16F0" w:rsidRPr="000C16F0" w:rsidRDefault="000C16F0" w:rsidP="000C16F0"/>
    <w:p w14:paraId="7AB1DD87" w14:textId="77777777" w:rsidR="000C16F0" w:rsidRPr="000C16F0" w:rsidRDefault="000C16F0" w:rsidP="000C16F0">
      <w:r w:rsidRPr="000C16F0">
        <w:t xml:space="preserve">Cargo, Robert. T.  ‘Marie de France’s Le Laustic and Ovid’s Metamorphoses, </w:t>
      </w:r>
      <w:r w:rsidRPr="000C16F0">
        <w:rPr>
          <w:i/>
        </w:rPr>
        <w:t>Comparative Literature</w:t>
      </w:r>
      <w:r w:rsidRPr="000C16F0">
        <w:t>, Vol.18, No. 2, (Spring, 1966), 162-66.</w:t>
      </w:r>
    </w:p>
    <w:p w14:paraId="148C7FFA" w14:textId="77777777" w:rsidR="000C16F0" w:rsidRPr="000C16F0" w:rsidRDefault="000C16F0" w:rsidP="000C16F0"/>
    <w:p w14:paraId="6D165E14" w14:textId="77777777" w:rsidR="000C16F0" w:rsidRPr="000C16F0" w:rsidRDefault="000C16F0" w:rsidP="000C16F0">
      <w:r w:rsidRPr="000C16F0">
        <w:t xml:space="preserve">Cartlidge, Neil. ed., </w:t>
      </w:r>
      <w:r w:rsidRPr="000C16F0">
        <w:rPr>
          <w:i/>
        </w:rPr>
        <w:t>The Owl and the Nightingale</w:t>
      </w:r>
      <w:r w:rsidRPr="000C16F0">
        <w:t>, (University of Exeter Press, Exeter, 2001)</w:t>
      </w:r>
    </w:p>
    <w:p w14:paraId="0E241151" w14:textId="77777777" w:rsidR="000C16F0" w:rsidRPr="000C16F0" w:rsidRDefault="000C16F0" w:rsidP="000C16F0"/>
    <w:p w14:paraId="18B90135" w14:textId="77777777" w:rsidR="000C16F0" w:rsidRPr="000C16F0" w:rsidRDefault="000C16F0" w:rsidP="000C16F0">
      <w:proofErr w:type="spellStart"/>
      <w:r w:rsidRPr="000C16F0">
        <w:t>Cedillo</w:t>
      </w:r>
      <w:proofErr w:type="spellEnd"/>
      <w:r w:rsidRPr="000C16F0">
        <w:t xml:space="preserve">, Christina. ‘Habitual Gender, Rhetorical Androgyny in Franciscan Texts’, </w:t>
      </w:r>
      <w:r w:rsidRPr="000C16F0">
        <w:rPr>
          <w:i/>
        </w:rPr>
        <w:t>JFRS</w:t>
      </w:r>
      <w:r w:rsidRPr="000C16F0">
        <w:t>, 31.1, (2015), 65-81.</w:t>
      </w:r>
    </w:p>
    <w:p w14:paraId="0C700B40" w14:textId="77777777" w:rsidR="000C16F0" w:rsidRPr="000C16F0" w:rsidRDefault="000C16F0" w:rsidP="000C16F0"/>
    <w:p w14:paraId="416C442E" w14:textId="77777777" w:rsidR="000C16F0" w:rsidRPr="000C16F0" w:rsidRDefault="000C16F0" w:rsidP="000C16F0">
      <w:r w:rsidRPr="000C16F0">
        <w:t xml:space="preserve">Freeman, Michelle. A.  ‘Marie de France’s Poetics of Silence: The Implications for a Feminine </w:t>
      </w:r>
      <w:proofErr w:type="spellStart"/>
      <w:r w:rsidRPr="000C16F0">
        <w:t>Translatio</w:t>
      </w:r>
      <w:proofErr w:type="spellEnd"/>
      <w:r w:rsidRPr="000C16F0">
        <w:t xml:space="preserve">’, </w:t>
      </w:r>
      <w:r w:rsidRPr="000C16F0">
        <w:rPr>
          <w:i/>
        </w:rPr>
        <w:t>PMLA</w:t>
      </w:r>
      <w:r w:rsidRPr="000C16F0">
        <w:t>, Vol.99, No.5 (Oct.1984), 860-83.</w:t>
      </w:r>
    </w:p>
    <w:p w14:paraId="71807FCF" w14:textId="77777777" w:rsidR="000C16F0" w:rsidRPr="000C16F0" w:rsidRDefault="000C16F0" w:rsidP="000C16F0"/>
    <w:p w14:paraId="69B42600" w14:textId="77777777" w:rsidR="000C16F0" w:rsidRPr="000C16F0" w:rsidRDefault="000C16F0" w:rsidP="000C16F0">
      <w:r w:rsidRPr="000C16F0">
        <w:t xml:space="preserve">Lee, Ashley ‘The Hind Episode in Marie de France’s </w:t>
      </w:r>
      <w:r w:rsidRPr="000C16F0">
        <w:rPr>
          <w:i/>
        </w:rPr>
        <w:t>Guigemar</w:t>
      </w:r>
      <w:r w:rsidRPr="000C16F0">
        <w:t xml:space="preserve"> and Medieval Vernacular Poetics’, </w:t>
      </w:r>
      <w:proofErr w:type="spellStart"/>
      <w:r w:rsidRPr="000C16F0">
        <w:rPr>
          <w:i/>
        </w:rPr>
        <w:t>Neophilologus</w:t>
      </w:r>
      <w:proofErr w:type="spellEnd"/>
      <w:r w:rsidRPr="000C16F0">
        <w:t>, Springer Science and Business Media, (2009), 191-200.</w:t>
      </w:r>
    </w:p>
    <w:p w14:paraId="3F22CD4E" w14:textId="77777777" w:rsidR="000C16F0" w:rsidRPr="000C16F0" w:rsidRDefault="000C16F0" w:rsidP="000C16F0"/>
    <w:p w14:paraId="352AF41E" w14:textId="77777777" w:rsidR="000C16F0" w:rsidRPr="000C16F0" w:rsidRDefault="000C16F0" w:rsidP="000C16F0">
      <w:proofErr w:type="spellStart"/>
      <w:r w:rsidRPr="000C16F0">
        <w:t>McCash</w:t>
      </w:r>
      <w:proofErr w:type="spellEnd"/>
      <w:r w:rsidRPr="000C16F0">
        <w:t xml:space="preserve">, June. Hall. ‘The Hawk-Lover in Marie de France’s Yonec’, </w:t>
      </w:r>
      <w:r w:rsidRPr="000C16F0">
        <w:rPr>
          <w:i/>
        </w:rPr>
        <w:t>Medieval Perspectives</w:t>
      </w:r>
      <w:r w:rsidRPr="000C16F0">
        <w:t>, Middle Tennessee State University, (no date available), 67-75.</w:t>
      </w:r>
    </w:p>
    <w:p w14:paraId="4BE3E103" w14:textId="77777777" w:rsidR="000C16F0" w:rsidRPr="000C16F0" w:rsidRDefault="000C16F0" w:rsidP="000C16F0"/>
    <w:p w14:paraId="003C2030" w14:textId="77777777" w:rsidR="000C16F0" w:rsidRPr="000C16F0" w:rsidRDefault="000C16F0" w:rsidP="000C16F0">
      <w:r w:rsidRPr="000C16F0">
        <w:t xml:space="preserve">R. Howard Bloch, </w:t>
      </w:r>
      <w:r w:rsidRPr="000C16F0">
        <w:rPr>
          <w:i/>
        </w:rPr>
        <w:t>The Anonymous Marie de France</w:t>
      </w:r>
      <w:r w:rsidRPr="000C16F0">
        <w:t xml:space="preserve"> (The University of Chicago Press, Chicago, 2003)</w:t>
      </w:r>
    </w:p>
    <w:p w14:paraId="1DAB7ABA" w14:textId="77777777" w:rsidR="000C16F0" w:rsidRPr="000C16F0" w:rsidRDefault="000C16F0" w:rsidP="000C16F0">
      <w:pPr>
        <w:rPr>
          <w:rFonts w:cstheme="minorHAnsi"/>
          <w:lang w:eastAsia="en-GB"/>
        </w:rPr>
      </w:pPr>
    </w:p>
    <w:p w14:paraId="568FE845" w14:textId="77777777" w:rsidR="000C16F0" w:rsidRPr="000C16F0" w:rsidRDefault="000C16F0" w:rsidP="000C16F0">
      <w:r w:rsidRPr="000C16F0">
        <w:rPr>
          <w:rFonts w:cstheme="minorHAnsi"/>
          <w:lang w:eastAsia="en-GB"/>
        </w:rPr>
        <w:t xml:space="preserve">Rowland, Beryl. </w:t>
      </w:r>
      <w:r w:rsidRPr="000C16F0">
        <w:rPr>
          <w:rFonts w:eastAsia="Times New Roman" w:cstheme="minorHAnsi"/>
          <w:i/>
          <w:iCs/>
          <w:color w:val="000000"/>
          <w:lang w:eastAsia="en-GB"/>
        </w:rPr>
        <w:t xml:space="preserve">Birds with Human Souls, </w:t>
      </w:r>
      <w:r w:rsidRPr="000C16F0">
        <w:rPr>
          <w:rFonts w:cstheme="minorHAnsi"/>
          <w:lang w:eastAsia="en-GB"/>
        </w:rPr>
        <w:t>(Knoxville, The University of Tennessee Press, 1978)</w:t>
      </w:r>
    </w:p>
    <w:p w14:paraId="69CE77DB" w14:textId="77777777" w:rsidR="000C16F0" w:rsidRPr="000C16F0" w:rsidRDefault="000C16F0" w:rsidP="000C16F0"/>
    <w:p w14:paraId="30D8EFC4" w14:textId="77777777" w:rsidR="000C16F0" w:rsidRPr="000C16F0" w:rsidRDefault="000C16F0" w:rsidP="000C16F0">
      <w:proofErr w:type="spellStart"/>
      <w:r w:rsidRPr="000C16F0">
        <w:t>Thi</w:t>
      </w:r>
      <w:r w:rsidRPr="000C16F0">
        <w:rPr>
          <w:rFonts w:cstheme="minorHAnsi"/>
        </w:rPr>
        <w:t>é</w:t>
      </w:r>
      <w:r w:rsidRPr="000C16F0">
        <w:t>baux</w:t>
      </w:r>
      <w:proofErr w:type="spellEnd"/>
      <w:r w:rsidRPr="000C16F0">
        <w:t>, Marcelle.</w:t>
      </w:r>
      <w:r w:rsidRPr="000C16F0">
        <w:rPr>
          <w:i/>
        </w:rPr>
        <w:t xml:space="preserve"> The Stag of Love, the Chase in Medieval literature</w:t>
      </w:r>
      <w:r w:rsidRPr="000C16F0">
        <w:t xml:space="preserve"> (Cornell University Press, London 1974)</w:t>
      </w:r>
    </w:p>
    <w:p w14:paraId="0D72F890" w14:textId="77777777" w:rsidR="000C16F0" w:rsidRPr="000C16F0" w:rsidRDefault="000C16F0" w:rsidP="000C16F0"/>
    <w:p w14:paraId="0EB6754C" w14:textId="77777777" w:rsidR="000C16F0" w:rsidRPr="000C16F0" w:rsidRDefault="000C16F0" w:rsidP="000C16F0">
      <w:r w:rsidRPr="000C16F0">
        <w:t xml:space="preserve">Whalen, Logan. E. </w:t>
      </w:r>
      <w:r w:rsidRPr="000C16F0">
        <w:rPr>
          <w:i/>
        </w:rPr>
        <w:t xml:space="preserve">Marie de France and the Poetics of </w:t>
      </w:r>
      <w:r w:rsidRPr="000C16F0">
        <w:t>Memory (Washington DC: University Press of America, 2008)</w:t>
      </w:r>
    </w:p>
    <w:p w14:paraId="6F71E916" w14:textId="77777777" w:rsidR="000C16F0" w:rsidRDefault="000C16F0" w:rsidP="00C52B2E">
      <w:pPr>
        <w:spacing w:after="100" w:afterAutospacing="1" w:line="480" w:lineRule="auto"/>
      </w:pPr>
    </w:p>
    <w:sectPr w:rsidR="000C16F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FF93E" w14:textId="77777777" w:rsidR="00DC2F13" w:rsidRDefault="00DC2F13" w:rsidP="0084328D">
      <w:pPr>
        <w:spacing w:after="0" w:line="240" w:lineRule="auto"/>
      </w:pPr>
      <w:r>
        <w:separator/>
      </w:r>
    </w:p>
  </w:endnote>
  <w:endnote w:type="continuationSeparator" w:id="0">
    <w:p w14:paraId="0AD7FE4B" w14:textId="77777777" w:rsidR="00DC2F13" w:rsidRDefault="00DC2F13" w:rsidP="00843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600564"/>
      <w:docPartObj>
        <w:docPartGallery w:val="Page Numbers (Bottom of Page)"/>
        <w:docPartUnique/>
      </w:docPartObj>
    </w:sdtPr>
    <w:sdtEndPr>
      <w:rPr>
        <w:noProof/>
      </w:rPr>
    </w:sdtEndPr>
    <w:sdtContent>
      <w:p w14:paraId="0E21CD82" w14:textId="77777777" w:rsidR="00D11371" w:rsidRDefault="00DC2F13">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41D5AE5F" w14:textId="77777777" w:rsidR="00D11371" w:rsidRDefault="00DC2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0C624" w14:textId="77777777" w:rsidR="00DC2F13" w:rsidRDefault="00DC2F13" w:rsidP="0084328D">
      <w:pPr>
        <w:spacing w:after="0" w:line="240" w:lineRule="auto"/>
      </w:pPr>
      <w:r>
        <w:separator/>
      </w:r>
    </w:p>
  </w:footnote>
  <w:footnote w:type="continuationSeparator" w:id="0">
    <w:p w14:paraId="377954C4" w14:textId="77777777" w:rsidR="00DC2F13" w:rsidRDefault="00DC2F13" w:rsidP="0084328D">
      <w:pPr>
        <w:spacing w:after="0" w:line="240" w:lineRule="auto"/>
      </w:pPr>
      <w:r>
        <w:continuationSeparator/>
      </w:r>
    </w:p>
  </w:footnote>
  <w:footnote w:id="1">
    <w:p w14:paraId="39CFF823" w14:textId="29EA1F4B" w:rsidR="0084328D" w:rsidRDefault="0084328D" w:rsidP="0084328D">
      <w:pPr>
        <w:pStyle w:val="FootnoteText"/>
      </w:pPr>
      <w:r>
        <w:rPr>
          <w:rStyle w:val="FootnoteReference"/>
        </w:rPr>
        <w:footnoteRef/>
      </w:r>
      <w:r>
        <w:t xml:space="preserve"> See Peter Mitchell, handout for lecture four of Historicising Texts, </w:t>
      </w:r>
      <w:r w:rsidR="00CE7268" w:rsidRPr="00CE7268">
        <w:t>06-02-2018</w:t>
      </w:r>
      <w:r w:rsidRPr="00CE7268">
        <w:t>, p.</w:t>
      </w:r>
      <w:r w:rsidR="00CE7268" w:rsidRPr="00CE7268">
        <w:t>1.</w:t>
      </w:r>
    </w:p>
  </w:footnote>
  <w:footnote w:id="2">
    <w:p w14:paraId="7A6F20D1" w14:textId="6B2DDC7D" w:rsidR="0084328D" w:rsidRDefault="0084328D" w:rsidP="0084328D">
      <w:pPr>
        <w:pStyle w:val="FootnoteText"/>
      </w:pPr>
      <w:r>
        <w:rPr>
          <w:rStyle w:val="FootnoteReference"/>
        </w:rPr>
        <w:footnoteRef/>
      </w:r>
      <w:r>
        <w:t xml:space="preserve"> </w:t>
      </w:r>
      <w:r w:rsidR="004E492C">
        <w:t xml:space="preserve">Logan E. Whalen, </w:t>
      </w:r>
      <w:r w:rsidR="004E492C">
        <w:rPr>
          <w:i/>
        </w:rPr>
        <w:t xml:space="preserve">Marie de France and the Poetics of </w:t>
      </w:r>
      <w:r w:rsidR="004E492C" w:rsidRPr="004E492C">
        <w:t>Memory</w:t>
      </w:r>
      <w:r w:rsidR="004E492C">
        <w:t xml:space="preserve"> (Washington DC: University Press of America, 2008), p.7. </w:t>
      </w:r>
      <w:r w:rsidRPr="004E492C">
        <w:t>Whalen</w:t>
      </w:r>
      <w:r>
        <w:t xml:space="preserve"> refers to her as ‘</w:t>
      </w:r>
      <w:r w:rsidRPr="00EC547B">
        <w:rPr>
          <w:rFonts w:cstheme="minorHAnsi"/>
          <w:lang w:eastAsia="en-GB"/>
        </w:rPr>
        <w:t>an accomplished painter of narratives</w:t>
      </w:r>
      <w:r w:rsidRPr="00CE7268">
        <w:rPr>
          <w:rFonts w:cstheme="minorHAnsi"/>
          <w:lang w:eastAsia="en-GB"/>
        </w:rPr>
        <w:t>’.</w:t>
      </w:r>
    </w:p>
  </w:footnote>
  <w:footnote w:id="3">
    <w:p w14:paraId="144AE46B" w14:textId="7CE89FCA" w:rsidR="0084328D" w:rsidRDefault="0084328D" w:rsidP="0084328D">
      <w:pPr>
        <w:pStyle w:val="FootnoteText"/>
      </w:pPr>
      <w:r>
        <w:rPr>
          <w:rStyle w:val="FootnoteReference"/>
        </w:rPr>
        <w:footnoteRef/>
      </w:r>
      <w:r>
        <w:t xml:space="preserve"> </w:t>
      </w:r>
      <w:r w:rsidR="004E492C">
        <w:t>Ibid., pp.</w:t>
      </w:r>
      <w:r>
        <w:t>24-25</w:t>
      </w:r>
      <w:r w:rsidR="004E492C">
        <w:t>.</w:t>
      </w:r>
    </w:p>
  </w:footnote>
  <w:footnote w:id="4">
    <w:p w14:paraId="1829A554" w14:textId="4976575F" w:rsidR="0084328D" w:rsidRPr="00C3200F" w:rsidRDefault="0084328D" w:rsidP="0084328D">
      <w:pPr>
        <w:pStyle w:val="FootnoteText"/>
      </w:pPr>
      <w:r>
        <w:rPr>
          <w:rStyle w:val="FootnoteReference"/>
        </w:rPr>
        <w:footnoteRef/>
      </w:r>
      <w:r>
        <w:t xml:space="preserve"> </w:t>
      </w:r>
      <w:r w:rsidR="00B06AC2">
        <w:t xml:space="preserve">Glynn S Burgess and Keith Busby, </w:t>
      </w:r>
      <w:r>
        <w:rPr>
          <w:i/>
        </w:rPr>
        <w:t>The Lais of Marie de France</w:t>
      </w:r>
      <w:r w:rsidR="00B06AC2">
        <w:t xml:space="preserve"> (Harmondsworth: Penguin, 1999; </w:t>
      </w:r>
      <w:proofErr w:type="spellStart"/>
      <w:r w:rsidR="00B06AC2">
        <w:t>repr</w:t>
      </w:r>
      <w:proofErr w:type="spellEnd"/>
      <w:r w:rsidR="00B06AC2">
        <w:t>. 2003)</w:t>
      </w:r>
      <w:r>
        <w:t xml:space="preserve"> p.43</w:t>
      </w:r>
    </w:p>
  </w:footnote>
  <w:footnote w:id="5">
    <w:p w14:paraId="10B853CC" w14:textId="7E43CBCB" w:rsidR="0084328D" w:rsidRDefault="0084328D" w:rsidP="0084328D">
      <w:pPr>
        <w:pStyle w:val="FootnoteText"/>
      </w:pPr>
      <w:r>
        <w:rPr>
          <w:rStyle w:val="FootnoteReference"/>
        </w:rPr>
        <w:footnoteRef/>
      </w:r>
      <w:r>
        <w:t xml:space="preserve"> </w:t>
      </w:r>
      <w:r w:rsidR="00B06AC2">
        <w:t>I</w:t>
      </w:r>
      <w:r>
        <w:t>bid</w:t>
      </w:r>
      <w:r w:rsidR="00B06AC2">
        <w:t>.,</w:t>
      </w:r>
      <w:r>
        <w:t xml:space="preserve"> p.43</w:t>
      </w:r>
      <w:r w:rsidR="00B06AC2">
        <w:t>.</w:t>
      </w:r>
    </w:p>
  </w:footnote>
  <w:footnote w:id="6">
    <w:p w14:paraId="0A736924" w14:textId="6EE25A03" w:rsidR="0084328D" w:rsidRDefault="0084328D" w:rsidP="0084328D">
      <w:pPr>
        <w:pStyle w:val="FootnoteText"/>
      </w:pPr>
      <w:r>
        <w:rPr>
          <w:rStyle w:val="FootnoteReference"/>
        </w:rPr>
        <w:footnoteRef/>
      </w:r>
      <w:r>
        <w:t xml:space="preserve"> </w:t>
      </w:r>
      <w:r w:rsidRPr="00D9378B">
        <w:rPr>
          <w:rFonts w:cstheme="minorHAnsi"/>
          <w:lang w:eastAsia="en-GB"/>
        </w:rPr>
        <w:t xml:space="preserve">Beryl Rowland, </w:t>
      </w:r>
      <w:r w:rsidRPr="00D9378B">
        <w:rPr>
          <w:rFonts w:eastAsia="Times New Roman" w:cstheme="minorHAnsi"/>
          <w:i/>
          <w:iCs/>
          <w:color w:val="000000"/>
          <w:lang w:eastAsia="en-GB"/>
        </w:rPr>
        <w:t xml:space="preserve">Birds with Human Souls, </w:t>
      </w:r>
      <w:r w:rsidR="00B06AC2">
        <w:rPr>
          <w:rFonts w:cstheme="minorHAnsi"/>
          <w:lang w:eastAsia="en-GB"/>
        </w:rPr>
        <w:t>(</w:t>
      </w:r>
      <w:r w:rsidR="00B06AC2" w:rsidRPr="00D9378B">
        <w:rPr>
          <w:rFonts w:cstheme="minorHAnsi"/>
          <w:lang w:eastAsia="en-GB"/>
        </w:rPr>
        <w:t>Knoxville</w:t>
      </w:r>
      <w:r w:rsidR="00B06AC2">
        <w:rPr>
          <w:rFonts w:cstheme="minorHAnsi"/>
          <w:lang w:eastAsia="en-GB"/>
        </w:rPr>
        <w:t xml:space="preserve">, </w:t>
      </w:r>
      <w:r w:rsidR="00B06AC2" w:rsidRPr="00D9378B">
        <w:rPr>
          <w:rFonts w:cstheme="minorHAnsi"/>
          <w:lang w:eastAsia="en-GB"/>
        </w:rPr>
        <w:t xml:space="preserve">The University of </w:t>
      </w:r>
      <w:r w:rsidRPr="00D9378B">
        <w:rPr>
          <w:rFonts w:cstheme="minorHAnsi"/>
          <w:lang w:eastAsia="en-GB"/>
        </w:rPr>
        <w:t>Tennessee Press, 1978)</w:t>
      </w:r>
      <w:r>
        <w:rPr>
          <w:rFonts w:cstheme="minorHAnsi"/>
          <w:lang w:eastAsia="en-GB"/>
        </w:rPr>
        <w:t xml:space="preserve"> p.109-10</w:t>
      </w:r>
      <w:r w:rsidRPr="00D9378B">
        <w:rPr>
          <w:rFonts w:cstheme="minorHAnsi"/>
          <w:lang w:eastAsia="en-GB"/>
        </w:rPr>
        <w:t xml:space="preserve">. 'To the Greeks, as Garrod pointed out, nightingale and poet had the same name, </w:t>
      </w:r>
      <w:r w:rsidRPr="00D9378B">
        <w:rPr>
          <w:rFonts w:eastAsia="Times New Roman" w:cstheme="minorHAnsi"/>
          <w:i/>
          <w:iCs/>
          <w:color w:val="000000"/>
          <w:lang w:eastAsia="en-GB"/>
        </w:rPr>
        <w:t xml:space="preserve">aedon </w:t>
      </w:r>
      <w:r w:rsidRPr="00D9378B">
        <w:rPr>
          <w:rFonts w:cstheme="minorHAnsi"/>
          <w:lang w:eastAsia="en-GB"/>
        </w:rPr>
        <w:t>or singer, and in the choruses of their tragedies, the nightingale was "the stock symbol for unassuaged grief."'</w:t>
      </w:r>
      <w:r>
        <w:rPr>
          <w:rFonts w:ascii="Arial" w:hAnsi="Arial" w:cs="Arial"/>
          <w:sz w:val="24"/>
          <w:szCs w:val="24"/>
          <w:lang w:eastAsia="en-GB"/>
        </w:rPr>
        <w:t xml:space="preserve"> </w:t>
      </w:r>
      <w:r>
        <w:rPr>
          <w:rFonts w:cstheme="minorHAnsi"/>
          <w:lang w:eastAsia="en-GB"/>
        </w:rPr>
        <w:t xml:space="preserve"> </w:t>
      </w:r>
    </w:p>
  </w:footnote>
  <w:footnote w:id="7">
    <w:p w14:paraId="08954E1E" w14:textId="3943F9B4" w:rsidR="0084328D" w:rsidRPr="00E06FDE" w:rsidRDefault="0084328D" w:rsidP="0084328D">
      <w:pPr>
        <w:pStyle w:val="FootnoteText"/>
      </w:pPr>
      <w:r>
        <w:rPr>
          <w:rStyle w:val="FootnoteReference"/>
        </w:rPr>
        <w:footnoteRef/>
      </w:r>
      <w:r>
        <w:t xml:space="preserve"> See Michelle A. Freeman, ‘Marie de France’s Poetics of Silence: The Implications for a Feminine Translatio’, </w:t>
      </w:r>
      <w:r w:rsidRPr="00432FFF">
        <w:rPr>
          <w:i/>
        </w:rPr>
        <w:t>PMLA</w:t>
      </w:r>
      <w:r>
        <w:t xml:space="preserve">, </w:t>
      </w:r>
      <w:r w:rsidRPr="00432FFF">
        <w:t>Vol</w:t>
      </w:r>
      <w:r>
        <w:t>.99, No.5 (Oct.1984)</w:t>
      </w:r>
      <w:r w:rsidR="00B06AC2">
        <w:t xml:space="preserve"> </w:t>
      </w:r>
      <w:r w:rsidR="00B06AC2">
        <w:t>878.</w:t>
      </w:r>
      <w:r>
        <w:t xml:space="preserve"> Freeman goes on to consider this reading of </w:t>
      </w:r>
      <w:r>
        <w:rPr>
          <w:i/>
        </w:rPr>
        <w:t>Laustic</w:t>
      </w:r>
      <w:r>
        <w:t xml:space="preserve"> in relation </w:t>
      </w:r>
      <w:r w:rsidRPr="00E06FDE">
        <w:t>to the detail in the general prologue of the Lais; she considers what Marie, as author, hoped to achieve in her choice of textualizing the oral.  She notes that Marie articulates this choice as a deliberate one, chosen over merely producing another translation of a classical work. This, Freeman feels, made Marie ‘quite opposed to…the qualities epitomising her contemporaries’</w:t>
      </w:r>
      <w:r w:rsidRPr="0084328D">
        <w:t>;</w:t>
      </w:r>
      <w:r w:rsidRPr="00E06FDE">
        <w:t xml:space="preserve"> the very position that Marie defends herself against from those envious critics in the </w:t>
      </w:r>
      <w:r>
        <w:t>P</w:t>
      </w:r>
      <w:r w:rsidRPr="00E06FDE">
        <w:t xml:space="preserve">rologue to </w:t>
      </w:r>
      <w:r w:rsidRPr="00E06FDE">
        <w:rPr>
          <w:i/>
        </w:rPr>
        <w:t>Guigemar</w:t>
      </w:r>
      <w:r w:rsidRPr="00E06FDE">
        <w:t>.</w:t>
      </w:r>
      <w:r>
        <w:t xml:space="preserve"> </w:t>
      </w:r>
    </w:p>
  </w:footnote>
  <w:footnote w:id="8">
    <w:p w14:paraId="62E285AD" w14:textId="6DD36E2F" w:rsidR="0084328D" w:rsidRPr="00C876AA" w:rsidRDefault="0084328D" w:rsidP="0084328D">
      <w:pPr>
        <w:spacing w:line="240" w:lineRule="auto"/>
        <w:rPr>
          <w:rFonts w:ascii="Arial" w:hAnsi="Arial" w:cs="Arial"/>
          <w:sz w:val="24"/>
          <w:szCs w:val="24"/>
          <w:lang w:eastAsia="en-GB"/>
        </w:rPr>
      </w:pPr>
      <w:r>
        <w:rPr>
          <w:rStyle w:val="FootnoteReference"/>
        </w:rPr>
        <w:footnoteRef/>
      </w:r>
      <w:r w:rsidR="001F70A1">
        <w:rPr>
          <w:sz w:val="20"/>
          <w:szCs w:val="20"/>
        </w:rPr>
        <w:t xml:space="preserve">Ashley Lee, ‘The Hind Episode in Marie de France’s </w:t>
      </w:r>
      <w:r w:rsidR="001F70A1">
        <w:rPr>
          <w:i/>
          <w:sz w:val="20"/>
          <w:szCs w:val="20"/>
        </w:rPr>
        <w:t>Guigemar</w:t>
      </w:r>
      <w:r w:rsidR="001F70A1">
        <w:rPr>
          <w:sz w:val="20"/>
          <w:szCs w:val="20"/>
        </w:rPr>
        <w:t xml:space="preserve"> and Medieval Vernacular Poetics’, </w:t>
      </w:r>
      <w:proofErr w:type="spellStart"/>
      <w:r w:rsidR="001F70A1">
        <w:rPr>
          <w:i/>
          <w:sz w:val="20"/>
          <w:szCs w:val="20"/>
        </w:rPr>
        <w:t>Neophilologus</w:t>
      </w:r>
      <w:proofErr w:type="spellEnd"/>
      <w:r w:rsidR="001F70A1">
        <w:rPr>
          <w:sz w:val="20"/>
          <w:szCs w:val="20"/>
        </w:rPr>
        <w:t>, Springer Science and Business Media, (2009), 195.</w:t>
      </w:r>
      <w:r w:rsidR="001F70A1">
        <w:rPr>
          <w:sz w:val="20"/>
          <w:szCs w:val="20"/>
        </w:rPr>
        <w:t xml:space="preserve">   </w:t>
      </w:r>
      <w:r w:rsidRPr="00A778B0">
        <w:rPr>
          <w:sz w:val="20"/>
          <w:szCs w:val="20"/>
        </w:rPr>
        <w:t>Further to this</w:t>
      </w:r>
      <w:r>
        <w:t xml:space="preserve">, </w:t>
      </w:r>
      <w:r w:rsidRPr="00A778B0">
        <w:rPr>
          <w:sz w:val="20"/>
          <w:szCs w:val="20"/>
        </w:rPr>
        <w:t>Lee sees th</w:t>
      </w:r>
      <w:r>
        <w:rPr>
          <w:sz w:val="20"/>
          <w:szCs w:val="20"/>
        </w:rPr>
        <w:t xml:space="preserve">e </w:t>
      </w:r>
      <w:r w:rsidRPr="00A778B0">
        <w:rPr>
          <w:sz w:val="20"/>
          <w:szCs w:val="20"/>
        </w:rPr>
        <w:t xml:space="preserve">incident with the hind and Guigemar’s hounds as they ‘bark and charge forth’ towards the hind, as akin to </w:t>
      </w:r>
      <w:r>
        <w:rPr>
          <w:sz w:val="20"/>
          <w:szCs w:val="20"/>
        </w:rPr>
        <w:t>what Marie calls her</w:t>
      </w:r>
      <w:r w:rsidRPr="00A778B0">
        <w:rPr>
          <w:sz w:val="20"/>
          <w:szCs w:val="20"/>
        </w:rPr>
        <w:t xml:space="preserve"> </w:t>
      </w:r>
      <w:r>
        <w:rPr>
          <w:sz w:val="20"/>
          <w:szCs w:val="20"/>
        </w:rPr>
        <w:t xml:space="preserve">jealous critics in the prologue to </w:t>
      </w:r>
      <w:r>
        <w:rPr>
          <w:i/>
          <w:sz w:val="20"/>
          <w:szCs w:val="20"/>
        </w:rPr>
        <w:t>Guigemar</w:t>
      </w:r>
      <w:r>
        <w:rPr>
          <w:sz w:val="20"/>
          <w:szCs w:val="20"/>
        </w:rPr>
        <w:t xml:space="preserve">, when the critics behave as a </w:t>
      </w:r>
      <w:proofErr w:type="gramStart"/>
      <w:r w:rsidRPr="00A778B0">
        <w:rPr>
          <w:sz w:val="20"/>
          <w:szCs w:val="20"/>
        </w:rPr>
        <w:t>‘”vicious</w:t>
      </w:r>
      <w:proofErr w:type="gramEnd"/>
      <w:r w:rsidRPr="00A778B0">
        <w:rPr>
          <w:sz w:val="20"/>
          <w:szCs w:val="20"/>
        </w:rPr>
        <w:t>, cowardly, treacherous dog”’.  However, in the translation of the text available for this essay the dogs only bark, it is the hind that ‘darted forth’</w:t>
      </w:r>
      <w:r>
        <w:rPr>
          <w:sz w:val="20"/>
          <w:szCs w:val="20"/>
        </w:rPr>
        <w:t>. W</w:t>
      </w:r>
      <w:r w:rsidRPr="00623360">
        <w:rPr>
          <w:sz w:val="20"/>
          <w:szCs w:val="20"/>
        </w:rPr>
        <w:t>ithout access to Ewert’s edition of the lais</w:t>
      </w:r>
      <w:r>
        <w:rPr>
          <w:sz w:val="20"/>
          <w:szCs w:val="20"/>
        </w:rPr>
        <w:t xml:space="preserve"> used by Lee,</w:t>
      </w:r>
      <w:r w:rsidRPr="00623360">
        <w:rPr>
          <w:sz w:val="20"/>
          <w:szCs w:val="20"/>
        </w:rPr>
        <w:t xml:space="preserve"> a different translation cannot be </w:t>
      </w:r>
      <w:r>
        <w:rPr>
          <w:sz w:val="20"/>
          <w:szCs w:val="20"/>
        </w:rPr>
        <w:t xml:space="preserve">verified, so it can only be </w:t>
      </w:r>
      <w:r w:rsidRPr="00623360">
        <w:rPr>
          <w:sz w:val="20"/>
          <w:szCs w:val="20"/>
        </w:rPr>
        <w:t>considered</w:t>
      </w:r>
      <w:r>
        <w:rPr>
          <w:sz w:val="20"/>
          <w:szCs w:val="20"/>
        </w:rPr>
        <w:t xml:space="preserve"> as interesting possibility</w:t>
      </w:r>
      <w:r w:rsidRPr="00623360">
        <w:rPr>
          <w:sz w:val="20"/>
          <w:szCs w:val="20"/>
        </w:rPr>
        <w:t>.</w:t>
      </w:r>
      <w:r>
        <w:rPr>
          <w:sz w:val="20"/>
          <w:szCs w:val="20"/>
        </w:rPr>
        <w:t xml:space="preserve"> See: </w:t>
      </w:r>
    </w:p>
  </w:footnote>
  <w:footnote w:id="9">
    <w:p w14:paraId="0C75191C" w14:textId="0485FB5E" w:rsidR="00BD359F" w:rsidRPr="00C876AA" w:rsidRDefault="00BD359F" w:rsidP="00BD359F">
      <w:pPr>
        <w:pStyle w:val="FootnoteText"/>
      </w:pPr>
      <w:r>
        <w:rPr>
          <w:rStyle w:val="FootnoteReference"/>
        </w:rPr>
        <w:footnoteRef/>
      </w:r>
      <w:r>
        <w:t xml:space="preserve"> R. Howard Bloch, </w:t>
      </w:r>
      <w:r>
        <w:rPr>
          <w:i/>
        </w:rPr>
        <w:t>The Anonymous Marie de France</w:t>
      </w:r>
      <w:r>
        <w:t xml:space="preserve"> </w:t>
      </w:r>
      <w:r w:rsidR="001F70A1">
        <w:t>(</w:t>
      </w:r>
      <w:r>
        <w:t>The University of Chicago Press, Chicago, 2003) p.109</w:t>
      </w:r>
    </w:p>
  </w:footnote>
  <w:footnote w:id="10">
    <w:p w14:paraId="56199C2F" w14:textId="7EBE3338" w:rsidR="0084328D" w:rsidRDefault="0084328D" w:rsidP="0084328D">
      <w:pPr>
        <w:pStyle w:val="FootnoteText"/>
      </w:pPr>
      <w:r>
        <w:rPr>
          <w:rStyle w:val="FootnoteReference"/>
        </w:rPr>
        <w:footnoteRef/>
      </w:r>
      <w:r>
        <w:t xml:space="preserve"> For versions of the story see: Rowland, p.107. </w:t>
      </w:r>
    </w:p>
    <w:p w14:paraId="2F899E2D" w14:textId="733DF77C" w:rsidR="0084328D" w:rsidRPr="0002280C" w:rsidRDefault="0084328D" w:rsidP="0084328D">
      <w:pPr>
        <w:pStyle w:val="FootnoteText"/>
      </w:pPr>
      <w:r w:rsidRPr="00696DD8">
        <w:t xml:space="preserve">See also, </w:t>
      </w:r>
      <w:r w:rsidR="001F70A1">
        <w:t xml:space="preserve">Robert T. Cargo, ‘Marie de France’s Le Laustic and Ovid’s Metamorphoses, </w:t>
      </w:r>
      <w:r w:rsidR="001F70A1">
        <w:rPr>
          <w:i/>
        </w:rPr>
        <w:t>Comparative Literature</w:t>
      </w:r>
      <w:r w:rsidR="001F70A1">
        <w:t>, Vol.18, No. 2, (Spring</w:t>
      </w:r>
      <w:r w:rsidR="001F70A1">
        <w:t>,</w:t>
      </w:r>
      <w:r w:rsidR="001F70A1">
        <w:t xml:space="preserve"> 1966), 162-66.</w:t>
      </w:r>
      <w:r w:rsidR="001F70A1">
        <w:t xml:space="preserve"> See for</w:t>
      </w:r>
      <w:r>
        <w:t xml:space="preserve"> a working of </w:t>
      </w:r>
      <w:r w:rsidRPr="004973CC">
        <w:rPr>
          <w:i/>
        </w:rPr>
        <w:t>Laustic</w:t>
      </w:r>
      <w:r>
        <w:t xml:space="preserve"> with Ovid’s tale of Philomela, including, like Freeman, the play between Philomela’s story told on a tapestry, and the lady’s/nightingale’s/love’s story on the embroidered samite. Cargo is struck by Marie’s artistry, but diminishes the effect a little by attributing much that is unique in her work to her femininity. </w:t>
      </w:r>
    </w:p>
  </w:footnote>
  <w:footnote w:id="11">
    <w:p w14:paraId="4D85FBCA" w14:textId="5DF0D7AB" w:rsidR="0084328D" w:rsidRDefault="0084328D" w:rsidP="0084328D">
      <w:pPr>
        <w:pStyle w:val="FootnoteText"/>
      </w:pPr>
      <w:r>
        <w:rPr>
          <w:rStyle w:val="FootnoteReference"/>
        </w:rPr>
        <w:footnoteRef/>
      </w:r>
      <w:r>
        <w:t xml:space="preserve"> Lee,</w:t>
      </w:r>
      <w:r w:rsidR="001F70A1">
        <w:t xml:space="preserve"> t</w:t>
      </w:r>
      <w:r>
        <w:t>he entire article is broadly on this topic, but specifically 194-95</w:t>
      </w:r>
      <w:r w:rsidR="001F70A1">
        <w:t>.</w:t>
      </w:r>
    </w:p>
  </w:footnote>
  <w:footnote w:id="12">
    <w:p w14:paraId="28194D40" w14:textId="7925571C" w:rsidR="0084328D" w:rsidRDefault="0084328D" w:rsidP="0084328D">
      <w:pPr>
        <w:pStyle w:val="FootnoteText"/>
      </w:pPr>
      <w:r>
        <w:rPr>
          <w:rStyle w:val="FootnoteReference"/>
        </w:rPr>
        <w:footnoteRef/>
      </w:r>
      <w:r>
        <w:t xml:space="preserve"> Lee, 194.</w:t>
      </w:r>
    </w:p>
  </w:footnote>
  <w:footnote w:id="13">
    <w:p w14:paraId="6DB5540F" w14:textId="4D1F874D" w:rsidR="0084328D" w:rsidRDefault="0084328D" w:rsidP="0084328D">
      <w:pPr>
        <w:pStyle w:val="FootnoteText"/>
      </w:pPr>
      <w:r>
        <w:rPr>
          <w:rStyle w:val="FootnoteReference"/>
        </w:rPr>
        <w:footnoteRef/>
      </w:r>
      <w:r>
        <w:t xml:space="preserve"> What </w:t>
      </w:r>
      <w:r w:rsidR="002F0A9D">
        <w:t>Bloch</w:t>
      </w:r>
      <w:r>
        <w:t xml:space="preserve"> describes as a ‘fantasy of self-</w:t>
      </w:r>
      <w:r w:rsidR="002F0A9D">
        <w:t>sufficiency</w:t>
      </w:r>
      <w:r>
        <w:t>’, p.43.</w:t>
      </w:r>
    </w:p>
  </w:footnote>
  <w:footnote w:id="14">
    <w:p w14:paraId="6066AC0C" w14:textId="2ADB11AD" w:rsidR="0084328D" w:rsidRDefault="0084328D" w:rsidP="0084328D">
      <w:pPr>
        <w:pStyle w:val="FootnoteText"/>
      </w:pPr>
      <w:r>
        <w:rPr>
          <w:rStyle w:val="FootnoteReference"/>
        </w:rPr>
        <w:footnoteRef/>
      </w:r>
      <w:r>
        <w:t xml:space="preserve"> Christina Cedillo, ‘Habitual Gender, Rhetorical Androgyny in Franciscan Texts’, </w:t>
      </w:r>
      <w:r>
        <w:rPr>
          <w:i/>
        </w:rPr>
        <w:t>JFRS</w:t>
      </w:r>
      <w:r>
        <w:t>, 31.1, (2015), 65.</w:t>
      </w:r>
    </w:p>
    <w:p w14:paraId="5DE33813" w14:textId="389E981F" w:rsidR="0084328D" w:rsidRPr="00E24D09" w:rsidRDefault="0084328D" w:rsidP="0084328D">
      <w:pPr>
        <w:pStyle w:val="FootnoteText"/>
        <w:rPr>
          <w:rFonts w:cstheme="minorHAnsi"/>
        </w:rPr>
      </w:pPr>
      <w:r>
        <w:rPr>
          <w:rFonts w:cstheme="minorHAnsi"/>
          <w:lang w:eastAsia="en-GB"/>
        </w:rPr>
        <w:t>Cedillo goes on to say that m</w:t>
      </w:r>
      <w:r w:rsidRPr="00E24D09">
        <w:rPr>
          <w:rFonts w:cstheme="minorHAnsi"/>
          <w:lang w:eastAsia="en-GB"/>
        </w:rPr>
        <w:t xml:space="preserve">ale and female devout were encouraged to engage in 'bodily forms of devotion like </w:t>
      </w:r>
      <w:r w:rsidRPr="00E24D09">
        <w:rPr>
          <w:rFonts w:eastAsia="Times New Roman" w:cstheme="minorHAnsi"/>
          <w:i/>
          <w:iCs/>
          <w:color w:val="000000"/>
          <w:lang w:eastAsia="en-GB"/>
        </w:rPr>
        <w:t>imitatio Christi</w:t>
      </w:r>
      <w:r w:rsidRPr="00E24D09">
        <w:rPr>
          <w:rFonts w:cstheme="minorHAnsi"/>
          <w:lang w:eastAsia="en-GB"/>
        </w:rPr>
        <w:t>...female flesh [was] more sinful than man's but...closer to Christ's for being more humble [and was a site for] "preparation for bodily inscription," or corporeal identification with Christ.'</w:t>
      </w:r>
      <w:r w:rsidR="001F70A1">
        <w:rPr>
          <w:rFonts w:cstheme="minorHAnsi"/>
          <w:lang w:eastAsia="en-GB"/>
        </w:rPr>
        <w:t xml:space="preserve"> </w:t>
      </w:r>
      <w:r w:rsidRPr="00E24D09">
        <w:rPr>
          <w:rFonts w:cstheme="minorHAnsi"/>
          <w:lang w:eastAsia="en-GB"/>
        </w:rPr>
        <w:t>p.68</w:t>
      </w:r>
      <w:r>
        <w:rPr>
          <w:rFonts w:cstheme="minorHAnsi"/>
          <w:lang w:eastAsia="en-GB"/>
        </w:rPr>
        <w:t xml:space="preserve"> </w:t>
      </w:r>
      <w:r w:rsidRPr="00E24D09">
        <w:rPr>
          <w:rFonts w:cstheme="minorHAnsi"/>
          <w:lang w:eastAsia="en-GB"/>
        </w:rPr>
        <w:t xml:space="preserve"> Although the essay relates specifically to Franciscan Orders, just slightly late for Marie, 'literal imitations of Christ were well established' before then. </w:t>
      </w:r>
      <w:hyperlink r:id="rId1" w:anchor="cite_note-Bowden285-4" w:history="1">
        <w:r w:rsidRPr="00325BE1">
          <w:rPr>
            <w:rStyle w:val="Hyperlink"/>
            <w:rFonts w:cstheme="minorHAnsi"/>
            <w:lang w:eastAsia="en-GB"/>
          </w:rPr>
          <w:t>https://en.wikipedia.org/wiki/Imitation_of_Christ#cite_note-Bowden285-4</w:t>
        </w:r>
      </w:hyperlink>
      <w:r w:rsidR="001F70A1">
        <w:rPr>
          <w:rFonts w:cstheme="minorHAnsi"/>
          <w:lang w:eastAsia="en-GB"/>
        </w:rPr>
        <w:t>. Accessed</w:t>
      </w:r>
      <w:r>
        <w:rPr>
          <w:rFonts w:cstheme="minorHAnsi"/>
          <w:lang w:eastAsia="en-GB"/>
        </w:rPr>
        <w:t xml:space="preserve"> 24</w:t>
      </w:r>
      <w:r w:rsidR="009B6222">
        <w:rPr>
          <w:rFonts w:cstheme="minorHAnsi"/>
          <w:lang w:eastAsia="en-GB"/>
        </w:rPr>
        <w:t xml:space="preserve"> March </w:t>
      </w:r>
      <w:r>
        <w:rPr>
          <w:rFonts w:cstheme="minorHAnsi"/>
          <w:lang w:eastAsia="en-GB"/>
        </w:rPr>
        <w:t>2018.</w:t>
      </w:r>
      <w:r w:rsidRPr="00E24D09">
        <w:rPr>
          <w:rFonts w:cstheme="minorHAnsi"/>
          <w:lang w:eastAsia="en-GB"/>
        </w:rPr>
        <w:t xml:space="preserve"> </w:t>
      </w:r>
    </w:p>
  </w:footnote>
  <w:footnote w:id="15">
    <w:p w14:paraId="70EB2A6F" w14:textId="7DE46DB9" w:rsidR="0084328D" w:rsidRPr="0093022B" w:rsidRDefault="0084328D" w:rsidP="0084328D">
      <w:pPr>
        <w:pStyle w:val="FootnoteText"/>
      </w:pPr>
      <w:r>
        <w:rPr>
          <w:rStyle w:val="FootnoteReference"/>
        </w:rPr>
        <w:footnoteRef/>
      </w:r>
      <w:r>
        <w:t xml:space="preserve"> Marcelle </w:t>
      </w:r>
      <w:proofErr w:type="spellStart"/>
      <w:r>
        <w:t>Thi</w:t>
      </w:r>
      <w:r w:rsidR="00CE7268">
        <w:rPr>
          <w:rFonts w:cstheme="minorHAnsi"/>
        </w:rPr>
        <w:t>é</w:t>
      </w:r>
      <w:r>
        <w:t>baux</w:t>
      </w:r>
      <w:proofErr w:type="spellEnd"/>
      <w:r>
        <w:t xml:space="preserve">, </w:t>
      </w:r>
      <w:r>
        <w:rPr>
          <w:i/>
        </w:rPr>
        <w:t>The Stag of Love, the Chase in Medieval literature</w:t>
      </w:r>
      <w:r>
        <w:t xml:space="preserve"> </w:t>
      </w:r>
      <w:r w:rsidR="009B6222">
        <w:t>(</w:t>
      </w:r>
      <w:r>
        <w:t>Cornell University Press, London 1974) p.46.</w:t>
      </w:r>
    </w:p>
  </w:footnote>
  <w:footnote w:id="16">
    <w:p w14:paraId="08C7D5FE" w14:textId="77777777" w:rsidR="0084328D" w:rsidRDefault="0084328D" w:rsidP="0084328D">
      <w:pPr>
        <w:pStyle w:val="FootnoteText"/>
      </w:pPr>
      <w:r>
        <w:rPr>
          <w:rStyle w:val="FootnoteReference"/>
        </w:rPr>
        <w:footnoteRef/>
      </w:r>
      <w:r>
        <w:t xml:space="preserve"> Lee, p.194.</w:t>
      </w:r>
    </w:p>
  </w:footnote>
  <w:footnote w:id="17">
    <w:p w14:paraId="756939E0" w14:textId="52E00719" w:rsidR="0084328D" w:rsidRPr="00551462" w:rsidRDefault="0084328D" w:rsidP="0084328D">
      <w:pPr>
        <w:pStyle w:val="FootnoteText"/>
      </w:pPr>
      <w:r>
        <w:rPr>
          <w:rStyle w:val="FootnoteReference"/>
        </w:rPr>
        <w:footnoteRef/>
      </w:r>
      <w:r>
        <w:t xml:space="preserve"> However, the nightingale, male or female, is in any case associated with lust, in </w:t>
      </w:r>
      <w:r>
        <w:rPr>
          <w:i/>
        </w:rPr>
        <w:t>The Owl and the Nightingale</w:t>
      </w:r>
      <w:r>
        <w:t xml:space="preserve"> the Owl accuses in line 498-99 ‘for your song’s all about lechery’. Neil Cartlidge, ed., </w:t>
      </w:r>
      <w:r>
        <w:rPr>
          <w:i/>
        </w:rPr>
        <w:t>The Owl and the Nightingale</w:t>
      </w:r>
      <w:r>
        <w:t xml:space="preserve">, </w:t>
      </w:r>
      <w:r w:rsidR="009B6222">
        <w:t>(</w:t>
      </w:r>
      <w:r>
        <w:t>University of Exeter Press, Exeter, 2001), p.13.</w:t>
      </w:r>
    </w:p>
  </w:footnote>
  <w:footnote w:id="18">
    <w:p w14:paraId="60DE46F3" w14:textId="04959C38" w:rsidR="0084328D" w:rsidRDefault="0084328D" w:rsidP="0084328D">
      <w:pPr>
        <w:pStyle w:val="FootnoteText"/>
      </w:pPr>
      <w:r>
        <w:rPr>
          <w:rStyle w:val="FootnoteReference"/>
        </w:rPr>
        <w:footnoteRef/>
      </w:r>
      <w:r>
        <w:t xml:space="preserve"> </w:t>
      </w:r>
      <w:hyperlink r:id="rId2" w:history="1">
        <w:r w:rsidRPr="00325BE1">
          <w:rPr>
            <w:rStyle w:val="Hyperlink"/>
          </w:rPr>
          <w:t>https://www.liverpool.ac.uk/literature-and-science/essays/nightingale</w:t>
        </w:r>
      </w:hyperlink>
      <w:r w:rsidR="009B6222">
        <w:t>. A</w:t>
      </w:r>
      <w:r>
        <w:t>ccessed 24</w:t>
      </w:r>
      <w:r w:rsidR="009B6222">
        <w:t xml:space="preserve"> March </w:t>
      </w:r>
      <w:r>
        <w:t>2018.</w:t>
      </w:r>
    </w:p>
  </w:footnote>
  <w:footnote w:id="19">
    <w:p w14:paraId="4A54CCCA" w14:textId="7D31E3B3" w:rsidR="0084328D" w:rsidRPr="00EC0755" w:rsidRDefault="0084328D" w:rsidP="0084328D">
      <w:pPr>
        <w:pStyle w:val="FootnoteText"/>
      </w:pPr>
      <w:r>
        <w:rPr>
          <w:rStyle w:val="FootnoteReference"/>
        </w:rPr>
        <w:footnoteRef/>
      </w:r>
      <w:r>
        <w:t xml:space="preserve"> Thi</w:t>
      </w:r>
      <w:r w:rsidR="00B95BFD">
        <w:rPr>
          <w:rFonts w:cstheme="minorHAnsi"/>
        </w:rPr>
        <w:t>é</w:t>
      </w:r>
      <w:r>
        <w:t xml:space="preserve">baux, quote p.109. The amatory hunt is epitomised in the 1300’s by Hadamars von Labour, </w:t>
      </w:r>
      <w:r>
        <w:rPr>
          <w:i/>
        </w:rPr>
        <w:t>Jagd</w:t>
      </w:r>
      <w:r>
        <w:t>, which, interestingly, also contains a hind with antlers. Thi</w:t>
      </w:r>
      <w:r w:rsidR="00B95BFD">
        <w:rPr>
          <w:rFonts w:cstheme="minorHAnsi"/>
        </w:rPr>
        <w:t>é</w:t>
      </w:r>
      <w:r>
        <w:t>baux, p.195.</w:t>
      </w:r>
    </w:p>
  </w:footnote>
  <w:footnote w:id="20">
    <w:p w14:paraId="32414C88" w14:textId="54F52E3F" w:rsidR="0084328D" w:rsidRDefault="0084328D" w:rsidP="0084328D">
      <w:pPr>
        <w:pStyle w:val="FootnoteText"/>
      </w:pPr>
      <w:r>
        <w:rPr>
          <w:rStyle w:val="FootnoteReference"/>
        </w:rPr>
        <w:footnoteRef/>
      </w:r>
      <w:r>
        <w:t xml:space="preserve"> For an example of Muldumarec ‘as the ravisher tamed…that has subjugated its own will’ see June Hall McCash, ‘The Hawk-Lover in Marie de France’s Yonec’, </w:t>
      </w:r>
      <w:r>
        <w:rPr>
          <w:i/>
        </w:rPr>
        <w:t>Medieval Perspectives</w:t>
      </w:r>
      <w:r>
        <w:t xml:space="preserve">, Middle Tennessee State University, </w:t>
      </w:r>
      <w:r w:rsidR="009B6222">
        <w:t xml:space="preserve">(no date available), </w:t>
      </w:r>
      <w:r>
        <w:t>74.</w:t>
      </w:r>
    </w:p>
    <w:p w14:paraId="6B874385" w14:textId="77777777" w:rsidR="000C16F0" w:rsidRDefault="000C16F0" w:rsidP="0084328D">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28D"/>
    <w:rsid w:val="000C16F0"/>
    <w:rsid w:val="001412C5"/>
    <w:rsid w:val="00175366"/>
    <w:rsid w:val="001C0465"/>
    <w:rsid w:val="001F70A1"/>
    <w:rsid w:val="002F0A9D"/>
    <w:rsid w:val="003A6BA5"/>
    <w:rsid w:val="004E492C"/>
    <w:rsid w:val="005F181B"/>
    <w:rsid w:val="00694F5D"/>
    <w:rsid w:val="0084328D"/>
    <w:rsid w:val="009B6222"/>
    <w:rsid w:val="00B06AC2"/>
    <w:rsid w:val="00B95BFD"/>
    <w:rsid w:val="00BD359F"/>
    <w:rsid w:val="00C52B2E"/>
    <w:rsid w:val="00CE7268"/>
    <w:rsid w:val="00DC2F13"/>
    <w:rsid w:val="00E444E4"/>
    <w:rsid w:val="00EA192C"/>
    <w:rsid w:val="00EC3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8527C"/>
  <w15:chartTrackingRefBased/>
  <w15:docId w15:val="{66BDAEFF-313F-49BF-9E47-53CE882AD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28D"/>
  </w:style>
  <w:style w:type="paragraph" w:styleId="Heading1">
    <w:name w:val="heading 1"/>
    <w:basedOn w:val="Normal"/>
    <w:next w:val="Normal"/>
    <w:link w:val="Heading1Char"/>
    <w:qFormat/>
    <w:rsid w:val="00694F5D"/>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94F5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32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28D"/>
  </w:style>
  <w:style w:type="paragraph" w:styleId="FootnoteText">
    <w:name w:val="footnote text"/>
    <w:basedOn w:val="Normal"/>
    <w:link w:val="FootnoteTextChar"/>
    <w:uiPriority w:val="99"/>
    <w:semiHidden/>
    <w:unhideWhenUsed/>
    <w:rsid w:val="008432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28D"/>
    <w:rPr>
      <w:sz w:val="20"/>
      <w:szCs w:val="20"/>
    </w:rPr>
  </w:style>
  <w:style w:type="character" w:styleId="FootnoteReference">
    <w:name w:val="footnote reference"/>
    <w:basedOn w:val="DefaultParagraphFont"/>
    <w:uiPriority w:val="99"/>
    <w:semiHidden/>
    <w:unhideWhenUsed/>
    <w:rsid w:val="0084328D"/>
    <w:rPr>
      <w:vertAlign w:val="superscript"/>
    </w:rPr>
  </w:style>
  <w:style w:type="character" w:styleId="Hyperlink">
    <w:name w:val="Hyperlink"/>
    <w:basedOn w:val="DefaultParagraphFont"/>
    <w:uiPriority w:val="99"/>
    <w:unhideWhenUsed/>
    <w:rsid w:val="0084328D"/>
    <w:rPr>
      <w:color w:val="0563C1" w:themeColor="hyperlink"/>
      <w:u w:val="single"/>
    </w:rPr>
  </w:style>
  <w:style w:type="character" w:styleId="CommentReference">
    <w:name w:val="annotation reference"/>
    <w:basedOn w:val="DefaultParagraphFont"/>
    <w:uiPriority w:val="99"/>
    <w:semiHidden/>
    <w:unhideWhenUsed/>
    <w:rsid w:val="0084328D"/>
    <w:rPr>
      <w:sz w:val="16"/>
      <w:szCs w:val="16"/>
    </w:rPr>
  </w:style>
  <w:style w:type="paragraph" w:styleId="BalloonText">
    <w:name w:val="Balloon Text"/>
    <w:basedOn w:val="Normal"/>
    <w:link w:val="BalloonTextChar"/>
    <w:uiPriority w:val="99"/>
    <w:semiHidden/>
    <w:unhideWhenUsed/>
    <w:rsid w:val="00843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28D"/>
    <w:rPr>
      <w:rFonts w:ascii="Segoe UI" w:hAnsi="Segoe UI" w:cs="Segoe UI"/>
      <w:sz w:val="18"/>
      <w:szCs w:val="18"/>
    </w:rPr>
  </w:style>
  <w:style w:type="character" w:customStyle="1" w:styleId="Heading1Char">
    <w:name w:val="Heading 1 Char"/>
    <w:basedOn w:val="DefaultParagraphFont"/>
    <w:link w:val="Heading1"/>
    <w:rsid w:val="00694F5D"/>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94F5D"/>
    <w:rPr>
      <w:rFonts w:ascii="Tahoma" w:eastAsia="SimSun" w:hAnsi="Tahoma" w:cs="Tahoma"/>
      <w:b/>
      <w:bCs/>
      <w:sz w:val="20"/>
      <w:szCs w:val="20"/>
      <w:lang w:eastAsia="zh-CN"/>
    </w:rPr>
  </w:style>
  <w:style w:type="paragraph" w:styleId="NormalWeb">
    <w:name w:val="Normal (Web)"/>
    <w:basedOn w:val="Normal"/>
    <w:rsid w:val="00694F5D"/>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liverpool.ac.uk/literature-and-science/essays/nightingale" TargetMode="External"/><Relationship Id="rId1" Type="http://schemas.openxmlformats.org/officeDocument/2006/relationships/hyperlink" Target="https://en.wikipedia.org/wiki/Imitation_of_Chr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2480</Words>
  <Characters>11955</Characters>
  <Application>Microsoft Office Word</Application>
  <DocSecurity>0</DocSecurity>
  <Lines>166</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 (2301021)</dc:creator>
  <cp:keywords/>
  <dc:description/>
  <cp:lastModifiedBy>Annie Thomas (2301021)</cp:lastModifiedBy>
  <cp:revision>2</cp:revision>
  <dcterms:created xsi:type="dcterms:W3CDTF">2018-04-04T14:27:00Z</dcterms:created>
  <dcterms:modified xsi:type="dcterms:W3CDTF">2018-04-04T14:27:00Z</dcterms:modified>
</cp:coreProperties>
</file>