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B93A6" w14:textId="77777777" w:rsidR="00246EA9" w:rsidRPr="00837AE1" w:rsidRDefault="00246EA9" w:rsidP="00E5143A">
      <w:pPr>
        <w:spacing w:line="360" w:lineRule="auto"/>
        <w:rPr>
          <w:rFonts w:ascii="Arial" w:hAnsi="Arial" w:cs="Arial"/>
          <w:b/>
          <w:bCs/>
          <w:sz w:val="22"/>
          <w:szCs w:val="22"/>
        </w:rPr>
      </w:pPr>
    </w:p>
    <w:p w14:paraId="2630DAD2" w14:textId="77777777" w:rsidR="00246EA9" w:rsidRPr="00837AE1" w:rsidRDefault="00246EA9" w:rsidP="00E5143A">
      <w:pPr>
        <w:spacing w:line="360" w:lineRule="auto"/>
        <w:rPr>
          <w:rFonts w:ascii="Arial" w:hAnsi="Arial" w:cs="Arial"/>
          <w:b/>
          <w:bCs/>
          <w:sz w:val="22"/>
          <w:szCs w:val="22"/>
        </w:rPr>
      </w:pPr>
    </w:p>
    <w:p w14:paraId="3EF5B692" w14:textId="77777777" w:rsidR="00246EA9" w:rsidRPr="00837AE1" w:rsidRDefault="00246EA9" w:rsidP="00E5143A">
      <w:pPr>
        <w:spacing w:line="360" w:lineRule="auto"/>
        <w:rPr>
          <w:rFonts w:ascii="Arial" w:hAnsi="Arial" w:cs="Arial"/>
          <w:b/>
          <w:bCs/>
          <w:sz w:val="22"/>
          <w:szCs w:val="22"/>
        </w:rPr>
      </w:pPr>
    </w:p>
    <w:p w14:paraId="3CC0B7C9" w14:textId="77777777" w:rsidR="00246EA9" w:rsidRPr="00837AE1" w:rsidRDefault="00246EA9" w:rsidP="00E5143A">
      <w:pPr>
        <w:spacing w:line="360" w:lineRule="auto"/>
        <w:rPr>
          <w:rFonts w:ascii="Arial" w:hAnsi="Arial" w:cs="Arial"/>
          <w:b/>
          <w:bCs/>
          <w:sz w:val="22"/>
          <w:szCs w:val="22"/>
        </w:rPr>
      </w:pPr>
    </w:p>
    <w:p w14:paraId="5B91ECC9" w14:textId="77777777" w:rsidR="00246EA9" w:rsidRPr="00837AE1" w:rsidRDefault="00246EA9" w:rsidP="00E5143A">
      <w:pPr>
        <w:spacing w:line="360" w:lineRule="auto"/>
        <w:rPr>
          <w:rFonts w:ascii="Arial" w:hAnsi="Arial" w:cs="Arial"/>
          <w:b/>
          <w:bCs/>
          <w:sz w:val="22"/>
          <w:szCs w:val="22"/>
        </w:rPr>
      </w:pPr>
    </w:p>
    <w:p w14:paraId="11BE12B2" w14:textId="77777777" w:rsidR="00246EA9" w:rsidRPr="00837AE1" w:rsidRDefault="00246EA9" w:rsidP="00E5143A">
      <w:pPr>
        <w:spacing w:line="360" w:lineRule="auto"/>
        <w:rPr>
          <w:rFonts w:ascii="Arial" w:hAnsi="Arial" w:cs="Arial"/>
          <w:b/>
          <w:bCs/>
          <w:sz w:val="22"/>
          <w:szCs w:val="22"/>
        </w:rPr>
      </w:pPr>
    </w:p>
    <w:p w14:paraId="5CBDA462" w14:textId="77777777" w:rsidR="00246EA9" w:rsidRPr="00837AE1" w:rsidRDefault="00246EA9" w:rsidP="00E5143A">
      <w:pPr>
        <w:spacing w:line="360" w:lineRule="auto"/>
        <w:rPr>
          <w:rFonts w:ascii="Arial" w:hAnsi="Arial" w:cs="Arial"/>
          <w:b/>
          <w:bCs/>
          <w:sz w:val="22"/>
          <w:szCs w:val="22"/>
        </w:rPr>
      </w:pPr>
    </w:p>
    <w:p w14:paraId="3D5C5C76" w14:textId="77777777" w:rsidR="00246EA9" w:rsidRPr="00837AE1" w:rsidRDefault="00246EA9" w:rsidP="00E5143A">
      <w:pPr>
        <w:spacing w:line="360" w:lineRule="auto"/>
        <w:rPr>
          <w:rFonts w:ascii="Arial" w:hAnsi="Arial" w:cs="Arial"/>
          <w:b/>
          <w:bCs/>
          <w:sz w:val="22"/>
          <w:szCs w:val="22"/>
        </w:rPr>
      </w:pPr>
    </w:p>
    <w:p w14:paraId="7B5EBDC6" w14:textId="77777777" w:rsidR="00246EA9" w:rsidRPr="00837AE1" w:rsidRDefault="00246EA9" w:rsidP="00E5143A">
      <w:pPr>
        <w:spacing w:line="360" w:lineRule="auto"/>
        <w:rPr>
          <w:rFonts w:ascii="Arial" w:hAnsi="Arial" w:cs="Arial"/>
          <w:b/>
          <w:bCs/>
          <w:sz w:val="22"/>
          <w:szCs w:val="22"/>
        </w:rPr>
      </w:pPr>
    </w:p>
    <w:p w14:paraId="5AF07B43" w14:textId="7CA34219" w:rsidR="00246EA9" w:rsidRPr="00837AE1" w:rsidRDefault="00246EA9" w:rsidP="00E5143A">
      <w:pPr>
        <w:spacing w:line="360" w:lineRule="auto"/>
        <w:rPr>
          <w:rFonts w:ascii="Arial" w:hAnsi="Arial" w:cs="Arial"/>
          <w:b/>
          <w:bCs/>
          <w:sz w:val="28"/>
          <w:szCs w:val="28"/>
        </w:rPr>
      </w:pPr>
      <w:r w:rsidRPr="00837AE1">
        <w:rPr>
          <w:rFonts w:ascii="Arial" w:hAnsi="Arial" w:cs="Arial"/>
          <w:b/>
          <w:bCs/>
          <w:sz w:val="28"/>
          <w:szCs w:val="28"/>
        </w:rPr>
        <w:t>Zahra Begum – 2324332 </w:t>
      </w:r>
    </w:p>
    <w:p w14:paraId="56B593C7" w14:textId="390F6441" w:rsidR="00246EA9" w:rsidRPr="00837AE1" w:rsidRDefault="00246EA9" w:rsidP="00E5143A">
      <w:pPr>
        <w:spacing w:line="360" w:lineRule="auto"/>
        <w:rPr>
          <w:rFonts w:ascii="Arial" w:hAnsi="Arial" w:cs="Arial"/>
          <w:b/>
          <w:bCs/>
          <w:sz w:val="28"/>
          <w:szCs w:val="28"/>
        </w:rPr>
      </w:pPr>
      <w:r w:rsidRPr="00837AE1">
        <w:rPr>
          <w:rFonts w:ascii="Arial" w:hAnsi="Arial" w:cs="Arial"/>
          <w:b/>
          <w:bCs/>
          <w:sz w:val="28"/>
          <w:szCs w:val="28"/>
        </w:rPr>
        <w:t>BMHP50</w:t>
      </w:r>
      <w:r w:rsidR="00837AE1">
        <w:rPr>
          <w:rFonts w:ascii="Arial" w:hAnsi="Arial" w:cs="Arial"/>
          <w:b/>
          <w:bCs/>
          <w:sz w:val="28"/>
          <w:szCs w:val="28"/>
        </w:rPr>
        <w:t xml:space="preserve">23 </w:t>
      </w:r>
      <w:r w:rsidRPr="00837AE1">
        <w:rPr>
          <w:rFonts w:ascii="Arial" w:hAnsi="Arial" w:cs="Arial"/>
          <w:b/>
          <w:bCs/>
          <w:sz w:val="28"/>
          <w:szCs w:val="28"/>
        </w:rPr>
        <w:t xml:space="preserve">– </w:t>
      </w:r>
      <w:r w:rsidR="00837AE1">
        <w:rPr>
          <w:rFonts w:ascii="Arial" w:hAnsi="Arial" w:cs="Arial"/>
          <w:b/>
          <w:bCs/>
          <w:sz w:val="28"/>
          <w:szCs w:val="28"/>
        </w:rPr>
        <w:t>Introduction to Physiology</w:t>
      </w:r>
      <w:r w:rsidRPr="00837AE1">
        <w:rPr>
          <w:rFonts w:ascii="Arial" w:hAnsi="Arial" w:cs="Arial"/>
          <w:b/>
          <w:bCs/>
          <w:sz w:val="28"/>
          <w:szCs w:val="28"/>
        </w:rPr>
        <w:t> </w:t>
      </w:r>
    </w:p>
    <w:p w14:paraId="0EF31C5A" w14:textId="375C085E" w:rsidR="00246EA9" w:rsidRPr="00837AE1" w:rsidRDefault="00246EA9" w:rsidP="00E5143A">
      <w:pPr>
        <w:spacing w:line="360" w:lineRule="auto"/>
        <w:rPr>
          <w:rFonts w:ascii="Arial" w:hAnsi="Arial" w:cs="Arial"/>
          <w:b/>
          <w:bCs/>
          <w:sz w:val="28"/>
          <w:szCs w:val="28"/>
        </w:rPr>
      </w:pPr>
      <w:r w:rsidRPr="00837AE1">
        <w:rPr>
          <w:rFonts w:ascii="Arial" w:hAnsi="Arial" w:cs="Arial"/>
          <w:b/>
          <w:bCs/>
          <w:sz w:val="28"/>
          <w:szCs w:val="28"/>
        </w:rPr>
        <w:t>Component 1 – Written Assignment </w:t>
      </w:r>
    </w:p>
    <w:p w14:paraId="2FE1872D" w14:textId="1F93611E" w:rsidR="00246EA9" w:rsidRPr="00837AE1" w:rsidRDefault="00246EA9" w:rsidP="00E5143A">
      <w:pPr>
        <w:spacing w:line="360" w:lineRule="auto"/>
        <w:rPr>
          <w:rFonts w:ascii="Arial" w:hAnsi="Arial" w:cs="Arial"/>
          <w:b/>
          <w:bCs/>
          <w:sz w:val="22"/>
          <w:szCs w:val="22"/>
        </w:rPr>
      </w:pPr>
    </w:p>
    <w:p w14:paraId="62199D80" w14:textId="77777777" w:rsidR="00246EA9" w:rsidRPr="00837AE1" w:rsidRDefault="00246EA9" w:rsidP="00E5143A">
      <w:pPr>
        <w:spacing w:line="360" w:lineRule="auto"/>
        <w:rPr>
          <w:rFonts w:ascii="Arial" w:hAnsi="Arial" w:cs="Arial"/>
          <w:b/>
          <w:bCs/>
          <w:sz w:val="22"/>
          <w:szCs w:val="22"/>
        </w:rPr>
      </w:pPr>
    </w:p>
    <w:p w14:paraId="4C28234A" w14:textId="77777777" w:rsidR="00246EA9" w:rsidRPr="00837AE1" w:rsidRDefault="00246EA9" w:rsidP="00E5143A">
      <w:pPr>
        <w:spacing w:line="360" w:lineRule="auto"/>
        <w:rPr>
          <w:rFonts w:ascii="Arial" w:hAnsi="Arial" w:cs="Arial"/>
          <w:b/>
          <w:bCs/>
          <w:sz w:val="22"/>
          <w:szCs w:val="22"/>
        </w:rPr>
      </w:pPr>
    </w:p>
    <w:p w14:paraId="0C5C244B" w14:textId="77777777" w:rsidR="00246EA9" w:rsidRPr="00837AE1" w:rsidRDefault="00246EA9" w:rsidP="00E5143A">
      <w:pPr>
        <w:spacing w:line="360" w:lineRule="auto"/>
        <w:rPr>
          <w:rFonts w:ascii="Arial" w:hAnsi="Arial" w:cs="Arial"/>
          <w:b/>
          <w:bCs/>
          <w:sz w:val="22"/>
          <w:szCs w:val="22"/>
        </w:rPr>
      </w:pPr>
    </w:p>
    <w:p w14:paraId="1994A5CB" w14:textId="77777777" w:rsidR="00246EA9" w:rsidRPr="00837AE1" w:rsidRDefault="00246EA9" w:rsidP="00E5143A">
      <w:pPr>
        <w:spacing w:line="360" w:lineRule="auto"/>
        <w:rPr>
          <w:rFonts w:ascii="Arial" w:hAnsi="Arial" w:cs="Arial"/>
          <w:b/>
          <w:bCs/>
          <w:sz w:val="22"/>
          <w:szCs w:val="22"/>
        </w:rPr>
      </w:pPr>
    </w:p>
    <w:p w14:paraId="4FBAA28D" w14:textId="77777777" w:rsidR="00246EA9" w:rsidRPr="00837AE1" w:rsidRDefault="00246EA9" w:rsidP="00E5143A">
      <w:pPr>
        <w:spacing w:line="360" w:lineRule="auto"/>
        <w:rPr>
          <w:rFonts w:ascii="Arial" w:hAnsi="Arial" w:cs="Arial"/>
          <w:b/>
          <w:bCs/>
          <w:sz w:val="22"/>
          <w:szCs w:val="22"/>
        </w:rPr>
      </w:pPr>
    </w:p>
    <w:p w14:paraId="41CFA3DD" w14:textId="77777777" w:rsidR="00246EA9" w:rsidRPr="00837AE1" w:rsidRDefault="00246EA9" w:rsidP="00E5143A">
      <w:pPr>
        <w:spacing w:line="360" w:lineRule="auto"/>
        <w:rPr>
          <w:rFonts w:ascii="Arial" w:hAnsi="Arial" w:cs="Arial"/>
          <w:b/>
          <w:bCs/>
          <w:sz w:val="22"/>
          <w:szCs w:val="22"/>
        </w:rPr>
      </w:pPr>
    </w:p>
    <w:p w14:paraId="647C5311" w14:textId="77777777" w:rsidR="00246EA9" w:rsidRPr="00837AE1" w:rsidRDefault="00246EA9" w:rsidP="00E5143A">
      <w:pPr>
        <w:spacing w:line="360" w:lineRule="auto"/>
        <w:rPr>
          <w:rFonts w:ascii="Arial" w:hAnsi="Arial" w:cs="Arial"/>
          <w:b/>
          <w:bCs/>
          <w:sz w:val="22"/>
          <w:szCs w:val="22"/>
        </w:rPr>
      </w:pPr>
    </w:p>
    <w:p w14:paraId="58C3F50D" w14:textId="77777777" w:rsidR="00246EA9" w:rsidRPr="00837AE1" w:rsidRDefault="00246EA9" w:rsidP="00E5143A">
      <w:pPr>
        <w:spacing w:line="360" w:lineRule="auto"/>
        <w:rPr>
          <w:rFonts w:ascii="Arial" w:hAnsi="Arial" w:cs="Arial"/>
          <w:b/>
          <w:bCs/>
          <w:sz w:val="22"/>
          <w:szCs w:val="22"/>
        </w:rPr>
      </w:pPr>
    </w:p>
    <w:p w14:paraId="49E0267C" w14:textId="77777777" w:rsidR="00246EA9" w:rsidRPr="00837AE1" w:rsidRDefault="00246EA9" w:rsidP="00E5143A">
      <w:pPr>
        <w:spacing w:line="360" w:lineRule="auto"/>
        <w:rPr>
          <w:rFonts w:ascii="Arial" w:hAnsi="Arial" w:cs="Arial"/>
          <w:b/>
          <w:bCs/>
          <w:sz w:val="22"/>
          <w:szCs w:val="22"/>
        </w:rPr>
      </w:pPr>
    </w:p>
    <w:p w14:paraId="03DACE14" w14:textId="77777777" w:rsidR="00246EA9" w:rsidRPr="00837AE1" w:rsidRDefault="00246EA9" w:rsidP="00E5143A">
      <w:pPr>
        <w:spacing w:line="360" w:lineRule="auto"/>
        <w:rPr>
          <w:rFonts w:ascii="Arial" w:hAnsi="Arial" w:cs="Arial"/>
          <w:b/>
          <w:bCs/>
          <w:sz w:val="22"/>
          <w:szCs w:val="22"/>
        </w:rPr>
      </w:pPr>
    </w:p>
    <w:p w14:paraId="3E2722F4" w14:textId="77777777" w:rsidR="00246EA9" w:rsidRPr="00837AE1" w:rsidRDefault="00246EA9" w:rsidP="00E5143A">
      <w:pPr>
        <w:spacing w:line="360" w:lineRule="auto"/>
        <w:rPr>
          <w:rFonts w:ascii="Arial" w:hAnsi="Arial" w:cs="Arial"/>
          <w:b/>
          <w:bCs/>
          <w:sz w:val="22"/>
          <w:szCs w:val="22"/>
        </w:rPr>
      </w:pPr>
    </w:p>
    <w:p w14:paraId="4D13F548" w14:textId="77777777" w:rsidR="00246EA9" w:rsidRPr="00837AE1" w:rsidRDefault="00246EA9" w:rsidP="00E5143A">
      <w:pPr>
        <w:spacing w:line="360" w:lineRule="auto"/>
        <w:rPr>
          <w:rFonts w:ascii="Arial" w:hAnsi="Arial" w:cs="Arial"/>
          <w:b/>
          <w:bCs/>
          <w:sz w:val="22"/>
          <w:szCs w:val="22"/>
        </w:rPr>
      </w:pPr>
    </w:p>
    <w:p w14:paraId="74864092" w14:textId="2472397B" w:rsidR="00EA58AD" w:rsidRPr="00837AE1" w:rsidRDefault="00D42A90" w:rsidP="00E5143A">
      <w:pPr>
        <w:spacing w:line="360" w:lineRule="auto"/>
        <w:rPr>
          <w:rFonts w:ascii="Arial" w:hAnsi="Arial" w:cs="Arial"/>
          <w:b/>
          <w:bCs/>
          <w:sz w:val="22"/>
          <w:szCs w:val="22"/>
        </w:rPr>
      </w:pPr>
      <w:r w:rsidRPr="00837AE1">
        <w:rPr>
          <w:rFonts w:ascii="Arial" w:hAnsi="Arial" w:cs="Arial"/>
          <w:b/>
          <w:bCs/>
          <w:sz w:val="22"/>
          <w:szCs w:val="22"/>
        </w:rPr>
        <w:lastRenderedPageBreak/>
        <w:t>Introduction</w:t>
      </w:r>
    </w:p>
    <w:p w14:paraId="4AB69E9E" w14:textId="77777777" w:rsidR="009E3AC3" w:rsidRPr="001655B8" w:rsidRDefault="009E3AC3" w:rsidP="00E5143A">
      <w:pPr>
        <w:spacing w:line="360" w:lineRule="auto"/>
        <w:rPr>
          <w:rFonts w:ascii="Arial" w:hAnsi="Arial" w:cs="Arial"/>
          <w:sz w:val="22"/>
          <w:szCs w:val="22"/>
        </w:rPr>
      </w:pPr>
      <w:r w:rsidRPr="001655B8">
        <w:rPr>
          <w:rFonts w:ascii="Arial" w:hAnsi="Arial" w:cs="Arial"/>
          <w:sz w:val="22"/>
          <w:szCs w:val="22"/>
        </w:rPr>
        <w:t>Type 2 diabetes is a chronic metabolic disorder characterised by elevated blood glucose levels resulting from insulin resistance and insufficient insulin production (World Health Organization, 2023). It is one of the most common long-term health conditions worldwide and remains a significant public health concern (International Diabetes Federation, 2024). Unlike Type 1 diabetes, which is an autoimmune condition resulting from the destruction of insulin-producing beta cells, Type 2 diabetes develops gradually and is strongly associated with lifestyle and environmental factors (Diabetes UK, 2024).</w:t>
      </w:r>
    </w:p>
    <w:p w14:paraId="67FC3C13" w14:textId="55159041" w:rsidR="001655B8" w:rsidRPr="001655B8" w:rsidRDefault="009E3AC3" w:rsidP="00E5143A">
      <w:pPr>
        <w:spacing w:line="360" w:lineRule="auto"/>
        <w:rPr>
          <w:rFonts w:ascii="Arial" w:hAnsi="Arial" w:cs="Arial"/>
          <w:sz w:val="22"/>
          <w:szCs w:val="22"/>
        </w:rPr>
      </w:pPr>
      <w:r>
        <w:rPr>
          <w:rFonts w:ascii="Arial" w:hAnsi="Arial" w:cs="Arial"/>
          <w:sz w:val="22"/>
          <w:szCs w:val="22"/>
        </w:rPr>
        <w:t>S</w:t>
      </w:r>
      <w:r w:rsidR="001655B8" w:rsidRPr="001655B8">
        <w:rPr>
          <w:rFonts w:ascii="Arial" w:hAnsi="Arial" w:cs="Arial"/>
          <w:sz w:val="22"/>
          <w:szCs w:val="22"/>
        </w:rPr>
        <w:t>everal factors increase the risk of developing Type 2 diabetes. These include obesity, physical inactivity, unhealthy dietary habits, smoking, increasing age, family history and certain ethnic backgrounds (NHS, 2024). Excess body fat, particularly around the abdomen, increases insulin resistance, reducing the body's response to insulin (Taylor et al., 2021). Smoking has also been linked to an increased risk of diabetes and cardiovascular disease (Willi et al., 2007).</w:t>
      </w:r>
    </w:p>
    <w:p w14:paraId="529980C3" w14:textId="77777777" w:rsidR="001655B8" w:rsidRPr="001655B8" w:rsidRDefault="001655B8" w:rsidP="00E5143A">
      <w:pPr>
        <w:spacing w:line="360" w:lineRule="auto"/>
        <w:rPr>
          <w:rFonts w:ascii="Arial" w:hAnsi="Arial" w:cs="Arial"/>
          <w:sz w:val="22"/>
          <w:szCs w:val="22"/>
        </w:rPr>
      </w:pPr>
      <w:r w:rsidRPr="001655B8">
        <w:rPr>
          <w:rFonts w:ascii="Arial" w:hAnsi="Arial" w:cs="Arial"/>
          <w:sz w:val="22"/>
          <w:szCs w:val="22"/>
        </w:rPr>
        <w:t>This report explains the anatomy and physiology of blood glucose regulation, examines how Type 2 diabetes disrupts normal physiological processes, discusses the importance of monitoring blood glucose levels, and outlines evidence-based lifestyle recommendations to support effective diabetes management.</w:t>
      </w:r>
    </w:p>
    <w:p w14:paraId="02935071" w14:textId="5644E07E" w:rsidR="00040183" w:rsidRPr="00837AE1" w:rsidRDefault="00837AE1" w:rsidP="00E5143A">
      <w:pPr>
        <w:spacing w:line="360" w:lineRule="auto"/>
        <w:rPr>
          <w:rFonts w:ascii="Arial" w:hAnsi="Arial" w:cs="Arial"/>
          <w:b/>
          <w:bCs/>
          <w:sz w:val="22"/>
          <w:szCs w:val="22"/>
        </w:rPr>
      </w:pPr>
      <w:r>
        <w:rPr>
          <w:rFonts w:ascii="Arial" w:hAnsi="Arial" w:cs="Arial"/>
          <w:b/>
          <w:bCs/>
          <w:sz w:val="22"/>
          <w:szCs w:val="22"/>
        </w:rPr>
        <w:t xml:space="preserve">2. </w:t>
      </w:r>
      <w:r w:rsidR="00040183" w:rsidRPr="00837AE1">
        <w:rPr>
          <w:rFonts w:ascii="Arial" w:hAnsi="Arial" w:cs="Arial"/>
          <w:b/>
          <w:bCs/>
          <w:sz w:val="22"/>
          <w:szCs w:val="22"/>
        </w:rPr>
        <w:t>Anatomy and Physiology</w:t>
      </w:r>
    </w:p>
    <w:p w14:paraId="396DBEE8" w14:textId="77777777" w:rsidR="00040183" w:rsidRPr="00837AE1" w:rsidRDefault="00040183" w:rsidP="00E5143A">
      <w:pPr>
        <w:spacing w:line="360" w:lineRule="auto"/>
        <w:rPr>
          <w:rFonts w:ascii="Arial" w:hAnsi="Arial" w:cs="Arial"/>
          <w:b/>
          <w:bCs/>
          <w:sz w:val="22"/>
          <w:szCs w:val="22"/>
        </w:rPr>
      </w:pPr>
      <w:r w:rsidRPr="00837AE1">
        <w:rPr>
          <w:rFonts w:ascii="Arial" w:hAnsi="Arial" w:cs="Arial"/>
          <w:b/>
          <w:bCs/>
          <w:sz w:val="22"/>
          <w:szCs w:val="22"/>
        </w:rPr>
        <w:t>2.1 Blood Glucose Homeostasis</w:t>
      </w:r>
    </w:p>
    <w:p w14:paraId="48CF5688" w14:textId="14048391" w:rsidR="00D15D73" w:rsidRDefault="002017AB" w:rsidP="00E5143A">
      <w:pPr>
        <w:spacing w:line="360" w:lineRule="auto"/>
        <w:rPr>
          <w:rFonts w:ascii="Arial" w:hAnsi="Arial" w:cs="Arial"/>
          <w:sz w:val="22"/>
          <w:szCs w:val="22"/>
        </w:rPr>
      </w:pPr>
      <w:r w:rsidRPr="00837AE1">
        <w:rPr>
          <w:rFonts w:ascii="Arial" w:hAnsi="Arial" w:cs="Arial"/>
          <w:sz w:val="22"/>
          <w:szCs w:val="22"/>
        </w:rPr>
        <w:t xml:space="preserve">Homeostasis is the body's ability to maintain a stable internal environment, even when changes occur inside or outside the body. </w:t>
      </w:r>
      <w:r w:rsidR="008E79BA" w:rsidRPr="008E79BA">
        <w:rPr>
          <w:rFonts w:ascii="Arial" w:hAnsi="Arial" w:cs="Arial"/>
          <w:sz w:val="22"/>
          <w:szCs w:val="22"/>
        </w:rPr>
        <w:t>An important example of homeostasis is blood glucose regulation, which keeps glucose levels within a healthy range to support normal body function</w:t>
      </w:r>
      <w:r w:rsidR="008E79BA" w:rsidRPr="008E79BA">
        <w:rPr>
          <w:rFonts w:ascii="Arial" w:hAnsi="Arial" w:cs="Arial"/>
          <w:sz w:val="22"/>
          <w:szCs w:val="22"/>
        </w:rPr>
        <w:t xml:space="preserve"> </w:t>
      </w:r>
      <w:r w:rsidRPr="008E79BA">
        <w:rPr>
          <w:rFonts w:ascii="Arial" w:hAnsi="Arial" w:cs="Arial"/>
          <w:sz w:val="22"/>
          <w:szCs w:val="22"/>
        </w:rPr>
        <w:t xml:space="preserve">(Röder et al., 2016). </w:t>
      </w:r>
      <w:r w:rsidR="008E79BA" w:rsidRPr="008E79BA">
        <w:rPr>
          <w:rFonts w:ascii="Arial" w:hAnsi="Arial" w:cs="Arial"/>
          <w:sz w:val="22"/>
          <w:szCs w:val="22"/>
        </w:rPr>
        <w:t>Glucose is the body's main source of energy, and maintaining normal blood glucose levels ensures cells receive a continuous supply of fuel for growth, repair and movement</w:t>
      </w:r>
      <w:r w:rsidR="008E79BA">
        <w:rPr>
          <w:rFonts w:ascii="Arial" w:hAnsi="Arial" w:cs="Arial"/>
          <w:sz w:val="22"/>
          <w:szCs w:val="22"/>
        </w:rPr>
        <w:t xml:space="preserve"> </w:t>
      </w:r>
      <w:r w:rsidR="00D15D73" w:rsidRPr="00837AE1">
        <w:rPr>
          <w:rFonts w:ascii="Arial" w:hAnsi="Arial" w:cs="Arial"/>
          <w:sz w:val="22"/>
          <w:szCs w:val="22"/>
        </w:rPr>
        <w:t>(</w:t>
      </w:r>
      <w:proofErr w:type="spellStart"/>
      <w:r w:rsidR="00D15D73" w:rsidRPr="00837AE1">
        <w:rPr>
          <w:rFonts w:ascii="Arial" w:hAnsi="Arial" w:cs="Arial"/>
          <w:sz w:val="22"/>
          <w:szCs w:val="22"/>
        </w:rPr>
        <w:t>Nakrani</w:t>
      </w:r>
      <w:proofErr w:type="spellEnd"/>
      <w:r w:rsidR="00D15D73" w:rsidRPr="00837AE1">
        <w:rPr>
          <w:rFonts w:ascii="Arial" w:hAnsi="Arial" w:cs="Arial"/>
          <w:sz w:val="22"/>
          <w:szCs w:val="22"/>
        </w:rPr>
        <w:t xml:space="preserve"> et al., 2023). </w:t>
      </w:r>
      <w:r w:rsidRPr="00837AE1">
        <w:rPr>
          <w:rFonts w:ascii="Arial" w:hAnsi="Arial" w:cs="Arial"/>
          <w:sz w:val="22"/>
          <w:szCs w:val="22"/>
        </w:rPr>
        <w:t>If blood glucose concentrations become too high (hyperglycaemia) or too low (hypoglycaemia), normal body functions can be disrupted and, over time, serious health complications may develop. The endocrine system regulates blood glucose through the coordinated actions of the pancreas, liver and the hormones insulin and glucagon</w:t>
      </w:r>
      <w:r w:rsidR="00D15D73" w:rsidRPr="00837AE1">
        <w:rPr>
          <w:rFonts w:ascii="Arial" w:hAnsi="Arial" w:cs="Arial"/>
          <w:sz w:val="22"/>
          <w:szCs w:val="22"/>
        </w:rPr>
        <w:t xml:space="preserve"> </w:t>
      </w:r>
      <w:r w:rsidR="00D15D73" w:rsidRPr="00837AE1">
        <w:rPr>
          <w:rFonts w:ascii="Arial" w:hAnsi="Arial" w:cs="Arial"/>
          <w:sz w:val="22"/>
          <w:szCs w:val="22"/>
        </w:rPr>
        <w:t>(Röder et al., 2016).</w:t>
      </w:r>
    </w:p>
    <w:p w14:paraId="1232B868" w14:textId="73A4244C" w:rsidR="00040183" w:rsidRPr="00837AE1" w:rsidRDefault="00040183" w:rsidP="00E5143A">
      <w:pPr>
        <w:spacing w:line="360" w:lineRule="auto"/>
        <w:rPr>
          <w:rFonts w:ascii="Arial" w:hAnsi="Arial" w:cs="Arial"/>
          <w:b/>
          <w:bCs/>
          <w:sz w:val="22"/>
          <w:szCs w:val="22"/>
        </w:rPr>
      </w:pPr>
      <w:r w:rsidRPr="00837AE1">
        <w:rPr>
          <w:rFonts w:ascii="Arial" w:hAnsi="Arial" w:cs="Arial"/>
          <w:b/>
          <w:bCs/>
          <w:sz w:val="22"/>
          <w:szCs w:val="22"/>
        </w:rPr>
        <w:t>2.2 The Role of the Pancreas</w:t>
      </w:r>
    </w:p>
    <w:p w14:paraId="02DAF1EC" w14:textId="1D9F6463" w:rsidR="00B24544" w:rsidRPr="00837AE1" w:rsidRDefault="00E54615" w:rsidP="00E5143A">
      <w:pPr>
        <w:spacing w:line="360" w:lineRule="auto"/>
        <w:rPr>
          <w:rFonts w:ascii="Arial" w:hAnsi="Arial" w:cs="Arial"/>
          <w:sz w:val="22"/>
          <w:szCs w:val="22"/>
        </w:rPr>
      </w:pPr>
      <w:r w:rsidRPr="00837AE1">
        <w:rPr>
          <w:rFonts w:ascii="Arial" w:hAnsi="Arial" w:cs="Arial"/>
          <w:sz w:val="22"/>
          <w:szCs w:val="22"/>
        </w:rPr>
        <w:t xml:space="preserve">The pancreas is an elongated gland located behind the stomach and has both endocrine and exocrine functions. Its endocrine function is responsible for regulating blood glucose </w:t>
      </w:r>
      <w:r w:rsidRPr="00837AE1">
        <w:rPr>
          <w:rFonts w:ascii="Arial" w:hAnsi="Arial" w:cs="Arial"/>
          <w:sz w:val="22"/>
          <w:szCs w:val="22"/>
        </w:rPr>
        <w:lastRenderedPageBreak/>
        <w:t>levels</w:t>
      </w:r>
      <w:r w:rsidR="00040183" w:rsidRPr="00837AE1">
        <w:rPr>
          <w:rFonts w:ascii="Arial" w:hAnsi="Arial" w:cs="Arial"/>
          <w:sz w:val="22"/>
          <w:szCs w:val="22"/>
        </w:rPr>
        <w:t xml:space="preserve">. </w:t>
      </w:r>
      <w:r w:rsidR="00B24544" w:rsidRPr="00837AE1">
        <w:rPr>
          <w:rFonts w:ascii="Arial" w:hAnsi="Arial" w:cs="Arial"/>
          <w:sz w:val="22"/>
          <w:szCs w:val="22"/>
        </w:rPr>
        <w:t>The endocrine part of the pancreas contains clusters of specialised cells called the Islets of Langerhans (</w:t>
      </w:r>
      <w:r w:rsidR="00B24544" w:rsidRPr="008E79BA">
        <w:rPr>
          <w:rFonts w:ascii="Arial" w:hAnsi="Arial" w:cs="Arial"/>
          <w:sz w:val="22"/>
          <w:szCs w:val="22"/>
        </w:rPr>
        <w:t xml:space="preserve">Walker et al., 2021). These cell clusters contain beta cells, which produce insulin, and alpha cells, which produce glucagon. </w:t>
      </w:r>
      <w:r w:rsidR="008E79BA" w:rsidRPr="008E79BA">
        <w:rPr>
          <w:rFonts w:ascii="Arial" w:hAnsi="Arial" w:cs="Arial"/>
          <w:sz w:val="22"/>
          <w:szCs w:val="22"/>
        </w:rPr>
        <w:t>Together, these hormones maintain healthy blood glucose levels and support homeostasis</w:t>
      </w:r>
      <w:r w:rsidR="008E79BA">
        <w:rPr>
          <w:rFonts w:ascii="Arial" w:hAnsi="Arial" w:cs="Arial"/>
          <w:sz w:val="22"/>
          <w:szCs w:val="22"/>
        </w:rPr>
        <w:t xml:space="preserve"> </w:t>
      </w:r>
      <w:r w:rsidR="00B24544" w:rsidRPr="008E79BA">
        <w:rPr>
          <w:rFonts w:ascii="Arial" w:hAnsi="Arial" w:cs="Arial"/>
          <w:sz w:val="22"/>
          <w:szCs w:val="22"/>
        </w:rPr>
        <w:t>(Röder et al., 2016</w:t>
      </w:r>
      <w:r w:rsidR="008E79BA">
        <w:rPr>
          <w:rFonts w:ascii="Arial" w:hAnsi="Arial" w:cs="Arial"/>
          <w:sz w:val="22"/>
          <w:szCs w:val="22"/>
        </w:rPr>
        <w:t xml:space="preserve">). </w:t>
      </w:r>
      <w:r w:rsidR="008E79BA" w:rsidRPr="008E79BA">
        <w:rPr>
          <w:rFonts w:ascii="Arial" w:hAnsi="Arial" w:cs="Arial"/>
          <w:sz w:val="22"/>
          <w:szCs w:val="22"/>
        </w:rPr>
        <w:t>The Islets of Langerhans detect changes in blood glucose levels and release the appropriate hormone to restore homeostasis.</w:t>
      </w:r>
    </w:p>
    <w:p w14:paraId="24EF3A07" w14:textId="77777777" w:rsidR="00040183" w:rsidRPr="00837AE1" w:rsidRDefault="00040183" w:rsidP="00E5143A">
      <w:pPr>
        <w:spacing w:line="360" w:lineRule="auto"/>
        <w:rPr>
          <w:rFonts w:ascii="Arial" w:hAnsi="Arial" w:cs="Arial"/>
          <w:b/>
          <w:bCs/>
          <w:sz w:val="22"/>
          <w:szCs w:val="22"/>
        </w:rPr>
      </w:pPr>
      <w:r w:rsidRPr="00837AE1">
        <w:rPr>
          <w:rFonts w:ascii="Arial" w:hAnsi="Arial" w:cs="Arial"/>
          <w:b/>
          <w:bCs/>
          <w:sz w:val="22"/>
          <w:szCs w:val="22"/>
        </w:rPr>
        <w:t>2.3 The Role of Insulin and Glucagon</w:t>
      </w:r>
    </w:p>
    <w:p w14:paraId="32AC73CE" w14:textId="396DCAF1" w:rsidR="0094590A" w:rsidRPr="00837AE1" w:rsidRDefault="0094590A" w:rsidP="00E5143A">
      <w:pPr>
        <w:spacing w:line="360" w:lineRule="auto"/>
        <w:rPr>
          <w:rFonts w:ascii="Arial" w:hAnsi="Arial" w:cs="Arial"/>
          <w:sz w:val="22"/>
          <w:szCs w:val="22"/>
        </w:rPr>
      </w:pPr>
      <w:r w:rsidRPr="00837AE1">
        <w:rPr>
          <w:rFonts w:ascii="Arial" w:hAnsi="Arial" w:cs="Arial"/>
          <w:sz w:val="22"/>
          <w:szCs w:val="22"/>
        </w:rPr>
        <w:t xml:space="preserve">After eating a meal, carbohydrates are broken down into glucose during digestion, causing blood glucose levels to rise. The rise in blood glucose is detected by the beta cells in the pancreas, which respond by releasing insulin into the bloodstream (Röder et al., 2016). Insulin acts like a key, helping glucose move from the bloodstream into body cells, particularly those in the muscles, liver and adipose (fat) tissue, where it is used to produce energy (Ojha et al., 2019). </w:t>
      </w:r>
      <w:r w:rsidR="008E79BA" w:rsidRPr="008E79BA">
        <w:rPr>
          <w:rFonts w:ascii="Arial" w:hAnsi="Arial" w:cs="Arial"/>
          <w:sz w:val="22"/>
          <w:szCs w:val="22"/>
        </w:rPr>
        <w:t>Excess glucose is converted to glycogen and stored mainly in the liver and skeletal muscles through glycogenesis</w:t>
      </w:r>
      <w:r w:rsidR="008E79BA">
        <w:rPr>
          <w:rFonts w:ascii="Arial" w:hAnsi="Arial" w:cs="Arial"/>
          <w:sz w:val="22"/>
          <w:szCs w:val="22"/>
        </w:rPr>
        <w:t xml:space="preserve"> </w:t>
      </w:r>
      <w:r w:rsidRPr="00837AE1">
        <w:rPr>
          <w:rFonts w:ascii="Arial" w:hAnsi="Arial" w:cs="Arial"/>
          <w:sz w:val="22"/>
          <w:szCs w:val="22"/>
        </w:rPr>
        <w:t>(</w:t>
      </w:r>
      <w:proofErr w:type="spellStart"/>
      <w:r w:rsidRPr="00837AE1">
        <w:rPr>
          <w:rFonts w:ascii="Arial" w:hAnsi="Arial" w:cs="Arial"/>
          <w:sz w:val="22"/>
          <w:szCs w:val="22"/>
        </w:rPr>
        <w:t>Daghlas</w:t>
      </w:r>
      <w:proofErr w:type="spellEnd"/>
      <w:r w:rsidRPr="00837AE1">
        <w:rPr>
          <w:rFonts w:ascii="Arial" w:hAnsi="Arial" w:cs="Arial"/>
          <w:sz w:val="22"/>
          <w:szCs w:val="22"/>
        </w:rPr>
        <w:t xml:space="preserve"> et al., 202</w:t>
      </w:r>
      <w:r w:rsidR="009C27DF" w:rsidRPr="00837AE1">
        <w:rPr>
          <w:rFonts w:ascii="Arial" w:hAnsi="Arial" w:cs="Arial"/>
          <w:sz w:val="22"/>
          <w:szCs w:val="22"/>
        </w:rPr>
        <w:t>6</w:t>
      </w:r>
      <w:r w:rsidRPr="00837AE1">
        <w:rPr>
          <w:rFonts w:ascii="Arial" w:hAnsi="Arial" w:cs="Arial"/>
          <w:sz w:val="22"/>
          <w:szCs w:val="22"/>
        </w:rPr>
        <w:t>).</w:t>
      </w:r>
    </w:p>
    <w:p w14:paraId="62080C1C" w14:textId="3D3A1B1C" w:rsidR="009C27DF" w:rsidRPr="00837AE1" w:rsidRDefault="0094590A" w:rsidP="00E5143A">
      <w:pPr>
        <w:spacing w:line="360" w:lineRule="auto"/>
        <w:rPr>
          <w:rFonts w:ascii="Arial" w:hAnsi="Arial" w:cs="Arial"/>
          <w:sz w:val="22"/>
          <w:szCs w:val="22"/>
        </w:rPr>
      </w:pPr>
      <w:r w:rsidRPr="00837AE1">
        <w:rPr>
          <w:rFonts w:ascii="Arial" w:hAnsi="Arial" w:cs="Arial"/>
          <w:sz w:val="22"/>
          <w:szCs w:val="22"/>
        </w:rPr>
        <w:t xml:space="preserve">When blood glucose levels become too low, for example between meals or during exercise, the alpha cells in the pancreas release glucagon. Glucagon signals the liver to break down stored glycogen into glucose through a process called glycogenolysis. The glucose is then released into </w:t>
      </w:r>
      <w:r w:rsidRPr="008E79BA">
        <w:rPr>
          <w:rFonts w:ascii="Arial" w:hAnsi="Arial" w:cs="Arial"/>
          <w:sz w:val="22"/>
          <w:szCs w:val="22"/>
        </w:rPr>
        <w:t>the bloodstream, helping blood glucose levels return to normal (</w:t>
      </w:r>
      <w:proofErr w:type="spellStart"/>
      <w:r w:rsidRPr="008E79BA">
        <w:rPr>
          <w:rFonts w:ascii="Arial" w:hAnsi="Arial" w:cs="Arial"/>
          <w:sz w:val="22"/>
          <w:szCs w:val="22"/>
        </w:rPr>
        <w:t>Daghlas</w:t>
      </w:r>
      <w:proofErr w:type="spellEnd"/>
      <w:r w:rsidRPr="008E79BA">
        <w:rPr>
          <w:rFonts w:ascii="Arial" w:hAnsi="Arial" w:cs="Arial"/>
          <w:sz w:val="22"/>
          <w:szCs w:val="22"/>
        </w:rPr>
        <w:t xml:space="preserve"> et al., 202</w:t>
      </w:r>
      <w:r w:rsidR="009C27DF" w:rsidRPr="008E79BA">
        <w:rPr>
          <w:rFonts w:ascii="Arial" w:hAnsi="Arial" w:cs="Arial"/>
          <w:sz w:val="22"/>
          <w:szCs w:val="22"/>
        </w:rPr>
        <w:t>6</w:t>
      </w:r>
      <w:r w:rsidRPr="008E79BA">
        <w:rPr>
          <w:rFonts w:ascii="Arial" w:hAnsi="Arial" w:cs="Arial"/>
          <w:sz w:val="22"/>
          <w:szCs w:val="22"/>
        </w:rPr>
        <w:t xml:space="preserve">). </w:t>
      </w:r>
      <w:r w:rsidR="008E79BA" w:rsidRPr="008E79BA">
        <w:rPr>
          <w:rFonts w:ascii="Arial" w:hAnsi="Arial" w:cs="Arial"/>
          <w:sz w:val="22"/>
          <w:szCs w:val="22"/>
        </w:rPr>
        <w:t>Together, insulin and glucagon regulate blood glucose through a negative feedback system, maintaining homeostasis</w:t>
      </w:r>
      <w:r w:rsidRPr="00837AE1">
        <w:rPr>
          <w:rFonts w:ascii="Arial" w:hAnsi="Arial" w:cs="Arial"/>
          <w:sz w:val="22"/>
          <w:szCs w:val="22"/>
        </w:rPr>
        <w:t xml:space="preserve"> (Röder et al., 2016).</w:t>
      </w:r>
    </w:p>
    <w:p w14:paraId="119B7CFB" w14:textId="083683DE" w:rsidR="00326375" w:rsidRPr="00837AE1" w:rsidRDefault="00326375" w:rsidP="00E5143A">
      <w:pPr>
        <w:spacing w:line="360" w:lineRule="auto"/>
        <w:rPr>
          <w:rFonts w:ascii="Arial" w:hAnsi="Arial" w:cs="Arial"/>
          <w:sz w:val="22"/>
          <w:szCs w:val="22"/>
        </w:rPr>
      </w:pPr>
      <w:r w:rsidRPr="00837AE1">
        <w:rPr>
          <w:rFonts w:ascii="Arial" w:hAnsi="Arial" w:cs="Arial"/>
          <w:sz w:val="22"/>
          <w:szCs w:val="22"/>
        </w:rPr>
        <w:drawing>
          <wp:anchor distT="0" distB="0" distL="114300" distR="114300" simplePos="0" relativeHeight="251658240" behindDoc="0" locked="0" layoutInCell="1" allowOverlap="1" wp14:anchorId="080BA97A" wp14:editId="0167EF06">
            <wp:simplePos x="0" y="0"/>
            <wp:positionH relativeFrom="column">
              <wp:posOffset>91017</wp:posOffset>
            </wp:positionH>
            <wp:positionV relativeFrom="paragraph">
              <wp:posOffset>447040</wp:posOffset>
            </wp:positionV>
            <wp:extent cx="5189220" cy="2395855"/>
            <wp:effectExtent l="0" t="0" r="0" b="4445"/>
            <wp:wrapThrough wrapText="bothSides">
              <wp:wrapPolygon edited="0">
                <wp:start x="0" y="0"/>
                <wp:lineTo x="0" y="21468"/>
                <wp:lineTo x="21489" y="21468"/>
                <wp:lineTo x="21489" y="0"/>
                <wp:lineTo x="0" y="0"/>
              </wp:wrapPolygon>
            </wp:wrapThrough>
            <wp:docPr id="1583043910" name="Picture 2" descr="blood glucose regulation diagram-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jE3OjY1Mg==-1" descr="blood glucose regulation diagram-min"/>
                    <pic:cNvPicPr>
                      <a:picLocks noChangeAspect="1" noChangeArrowheads="1"/>
                    </pic:cNvPicPr>
                  </pic:nvPicPr>
                  <pic:blipFill rotWithShape="1">
                    <a:blip r:embed="rId10">
                      <a:extLst>
                        <a:ext uri="{28A0092B-C50C-407E-A947-70E740481C1C}">
                          <a14:useLocalDpi xmlns:a14="http://schemas.microsoft.com/office/drawing/2010/main" val="0"/>
                        </a:ext>
                      </a:extLst>
                    </a:blip>
                    <a:srcRect b="6969"/>
                    <a:stretch>
                      <a:fillRect/>
                    </a:stretch>
                  </pic:blipFill>
                  <pic:spPr bwMode="auto">
                    <a:xfrm>
                      <a:off x="0" y="0"/>
                      <a:ext cx="5189220" cy="2395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37AE1">
        <w:rPr>
          <w:rFonts w:ascii="Arial" w:hAnsi="Arial" w:cs="Arial"/>
          <w:sz w:val="22"/>
          <w:szCs w:val="22"/>
        </w:rPr>
        <w:t>The process of blood glucose regulation through the actions of insulin and glucagon is summarised in Figure 1.</w:t>
      </w:r>
    </w:p>
    <w:p w14:paraId="099C09FA" w14:textId="609D297D" w:rsidR="00326375" w:rsidRPr="00837AE1" w:rsidRDefault="00326375" w:rsidP="00E5143A">
      <w:pPr>
        <w:spacing w:line="360" w:lineRule="auto"/>
        <w:rPr>
          <w:rFonts w:ascii="Arial" w:hAnsi="Arial" w:cs="Arial"/>
          <w:b/>
          <w:bCs/>
          <w:sz w:val="22"/>
          <w:szCs w:val="22"/>
        </w:rPr>
      </w:pPr>
    </w:p>
    <w:p w14:paraId="620C1B6B" w14:textId="326A2779" w:rsidR="00326375" w:rsidRPr="00837AE1" w:rsidRDefault="00326375" w:rsidP="00E5143A">
      <w:pPr>
        <w:spacing w:line="360" w:lineRule="auto"/>
        <w:rPr>
          <w:rFonts w:ascii="Arial" w:hAnsi="Arial" w:cs="Arial"/>
          <w:b/>
          <w:bCs/>
          <w:sz w:val="22"/>
          <w:szCs w:val="22"/>
        </w:rPr>
      </w:pPr>
    </w:p>
    <w:p w14:paraId="626EA861" w14:textId="77777777" w:rsidR="00326375" w:rsidRPr="00837AE1" w:rsidRDefault="00326375" w:rsidP="00E5143A">
      <w:pPr>
        <w:spacing w:line="360" w:lineRule="auto"/>
        <w:rPr>
          <w:rFonts w:ascii="Arial" w:hAnsi="Arial" w:cs="Arial"/>
          <w:sz w:val="22"/>
          <w:szCs w:val="22"/>
        </w:rPr>
      </w:pPr>
      <w:r w:rsidRPr="00837AE1">
        <w:rPr>
          <w:rFonts w:ascii="Arial" w:hAnsi="Arial" w:cs="Arial"/>
          <w:b/>
          <w:bCs/>
          <w:sz w:val="22"/>
          <w:szCs w:val="22"/>
        </w:rPr>
        <w:br/>
      </w:r>
    </w:p>
    <w:p w14:paraId="664A1AA1" w14:textId="3A7D412C" w:rsidR="00326375" w:rsidRPr="00837AE1" w:rsidRDefault="00326375" w:rsidP="00E5143A">
      <w:pPr>
        <w:spacing w:line="360" w:lineRule="auto"/>
        <w:rPr>
          <w:rFonts w:ascii="Arial" w:hAnsi="Arial" w:cs="Arial"/>
          <w:sz w:val="22"/>
          <w:szCs w:val="22"/>
        </w:rPr>
      </w:pPr>
      <w:r w:rsidRPr="00837AE1">
        <w:rPr>
          <w:rFonts w:ascii="Arial" w:hAnsi="Arial" w:cs="Arial"/>
          <w:sz w:val="22"/>
          <w:szCs w:val="22"/>
        </w:rPr>
        <w:t>Figure 1. Regulation of blood glucose homeostasis through the actions of insulin and glucagon (Source: Biology Online, n.d.).</w:t>
      </w:r>
    </w:p>
    <w:p w14:paraId="494BB238" w14:textId="20ED14AC" w:rsidR="00040183" w:rsidRPr="00837AE1" w:rsidRDefault="00040183" w:rsidP="00E5143A">
      <w:pPr>
        <w:spacing w:line="360" w:lineRule="auto"/>
        <w:rPr>
          <w:rFonts w:ascii="Arial" w:hAnsi="Arial" w:cs="Arial"/>
          <w:b/>
          <w:bCs/>
          <w:sz w:val="22"/>
          <w:szCs w:val="22"/>
        </w:rPr>
      </w:pPr>
      <w:r w:rsidRPr="00837AE1">
        <w:rPr>
          <w:rFonts w:ascii="Arial" w:hAnsi="Arial" w:cs="Arial"/>
          <w:b/>
          <w:bCs/>
          <w:sz w:val="22"/>
          <w:szCs w:val="22"/>
        </w:rPr>
        <w:lastRenderedPageBreak/>
        <w:t>2.4 Cellular Metabolism</w:t>
      </w:r>
    </w:p>
    <w:p w14:paraId="7800F42B" w14:textId="0AE84354" w:rsidR="00040183" w:rsidRPr="00837AE1" w:rsidRDefault="008E79BA" w:rsidP="00E5143A">
      <w:pPr>
        <w:spacing w:line="360" w:lineRule="auto"/>
        <w:rPr>
          <w:rFonts w:ascii="Arial" w:hAnsi="Arial" w:cs="Arial"/>
          <w:sz w:val="22"/>
          <w:szCs w:val="22"/>
        </w:rPr>
      </w:pPr>
      <w:r w:rsidRPr="008E79BA">
        <w:rPr>
          <w:rFonts w:ascii="Arial" w:hAnsi="Arial" w:cs="Arial"/>
          <w:sz w:val="22"/>
          <w:szCs w:val="22"/>
        </w:rPr>
        <w:t>Cells require a constant supply of glucose and oxygen to produce energy through aerobic respiration.</w:t>
      </w:r>
      <w:r>
        <w:rPr>
          <w:rFonts w:ascii="Arial" w:hAnsi="Arial" w:cs="Arial"/>
          <w:sz w:val="22"/>
          <w:szCs w:val="22"/>
        </w:rPr>
        <w:t xml:space="preserve"> </w:t>
      </w:r>
      <w:r w:rsidR="00040183" w:rsidRPr="00837AE1">
        <w:rPr>
          <w:rFonts w:ascii="Arial" w:hAnsi="Arial" w:cs="Arial"/>
          <w:sz w:val="22"/>
          <w:szCs w:val="22"/>
        </w:rPr>
        <w:t xml:space="preserve">Glucose is obtained from carbohydrates during digestion and absorbed into the bloodstream </w:t>
      </w:r>
      <w:r w:rsidR="00040183" w:rsidRPr="008E79BA">
        <w:rPr>
          <w:rFonts w:ascii="Arial" w:hAnsi="Arial" w:cs="Arial"/>
          <w:sz w:val="22"/>
          <w:szCs w:val="22"/>
        </w:rPr>
        <w:t xml:space="preserve">by the digestive system, while oxygen enters the body through the respiratory system during breathing. </w:t>
      </w:r>
      <w:r w:rsidRPr="008E79BA">
        <w:rPr>
          <w:rFonts w:ascii="Arial" w:hAnsi="Arial" w:cs="Arial"/>
          <w:sz w:val="22"/>
          <w:szCs w:val="22"/>
        </w:rPr>
        <w:t>The circulatory system transports glucose and oxygen to body cells.</w:t>
      </w:r>
      <w:r>
        <w:rPr>
          <w:rFonts w:ascii="Arial" w:hAnsi="Arial" w:cs="Arial"/>
          <w:sz w:val="22"/>
          <w:szCs w:val="22"/>
        </w:rPr>
        <w:t xml:space="preserve"> </w:t>
      </w:r>
      <w:r w:rsidR="00487CCB" w:rsidRPr="008E79BA">
        <w:rPr>
          <w:rFonts w:ascii="Arial" w:hAnsi="Arial" w:cs="Arial"/>
          <w:sz w:val="22"/>
          <w:szCs w:val="22"/>
        </w:rPr>
        <w:t>Inside the mitochondria, glucose is broken down in the presence of oxygen during aerobic respiration to produce adenosine triphosphate (ATP), carbon dioxide and water.</w:t>
      </w:r>
      <w:r w:rsidR="00487CCB" w:rsidRPr="008E79BA">
        <w:rPr>
          <w:rFonts w:ascii="Arial" w:hAnsi="Arial" w:cs="Arial"/>
          <w:sz w:val="22"/>
          <w:szCs w:val="22"/>
        </w:rPr>
        <w:t xml:space="preserve"> </w:t>
      </w:r>
      <w:r w:rsidRPr="008E79BA">
        <w:rPr>
          <w:rFonts w:ascii="Arial" w:hAnsi="Arial" w:cs="Arial"/>
          <w:sz w:val="22"/>
          <w:szCs w:val="22"/>
        </w:rPr>
        <w:t>ATP is the body's main energy source and is required for muscle contraction, active transport, cell growth and tissue repair</w:t>
      </w:r>
      <w:r w:rsidR="00487CCB" w:rsidRPr="00837AE1">
        <w:rPr>
          <w:rFonts w:ascii="Arial" w:hAnsi="Arial" w:cs="Arial"/>
          <w:sz w:val="22"/>
          <w:szCs w:val="22"/>
        </w:rPr>
        <w:t xml:space="preserve"> (</w:t>
      </w:r>
      <w:proofErr w:type="spellStart"/>
      <w:r w:rsidR="00487CCB" w:rsidRPr="00837AE1">
        <w:rPr>
          <w:rFonts w:ascii="Arial" w:hAnsi="Arial" w:cs="Arial"/>
          <w:sz w:val="22"/>
          <w:szCs w:val="22"/>
        </w:rPr>
        <w:t>Nakrani</w:t>
      </w:r>
      <w:proofErr w:type="spellEnd"/>
      <w:r w:rsidR="00487CCB" w:rsidRPr="00837AE1">
        <w:rPr>
          <w:rFonts w:ascii="Arial" w:hAnsi="Arial" w:cs="Arial"/>
          <w:sz w:val="22"/>
          <w:szCs w:val="22"/>
        </w:rPr>
        <w:t xml:space="preserve"> et al., 2023).</w:t>
      </w:r>
    </w:p>
    <w:p w14:paraId="04A52461" w14:textId="1C48D541" w:rsidR="00E00E93" w:rsidRPr="00837AE1" w:rsidRDefault="002355CC" w:rsidP="00E5143A">
      <w:pPr>
        <w:spacing w:line="360" w:lineRule="auto"/>
        <w:rPr>
          <w:rFonts w:ascii="Arial" w:hAnsi="Arial" w:cs="Arial"/>
          <w:sz w:val="22"/>
          <w:szCs w:val="22"/>
        </w:rPr>
      </w:pPr>
      <w:r w:rsidRPr="00837AE1">
        <w:rPr>
          <w:rFonts w:ascii="Arial" w:hAnsi="Arial" w:cs="Arial"/>
          <w:sz w:val="22"/>
          <w:szCs w:val="22"/>
        </w:rPr>
        <w:t xml:space="preserve">In people with Type 2 diabetes, insulin resistance makes it more difficult for glucose to enter body cells efficiently. As a result, although blood glucose levels remain high, cells cannot use glucose effectively to produce ATP. </w:t>
      </w:r>
      <w:r w:rsidR="008E79BA" w:rsidRPr="008E79BA">
        <w:rPr>
          <w:rFonts w:ascii="Arial" w:hAnsi="Arial" w:cs="Arial"/>
          <w:sz w:val="22"/>
          <w:szCs w:val="22"/>
        </w:rPr>
        <w:t>This reduces energy available to body cells and can contribute to tiredness and fatigue</w:t>
      </w:r>
      <w:r w:rsidR="008E79BA">
        <w:rPr>
          <w:rFonts w:ascii="Arial" w:hAnsi="Arial" w:cs="Arial"/>
          <w:sz w:val="22"/>
          <w:szCs w:val="22"/>
        </w:rPr>
        <w:t xml:space="preserve"> </w:t>
      </w:r>
      <w:r w:rsidR="00E00E93" w:rsidRPr="00837AE1">
        <w:rPr>
          <w:rFonts w:ascii="Arial" w:hAnsi="Arial" w:cs="Arial"/>
          <w:sz w:val="22"/>
          <w:szCs w:val="22"/>
        </w:rPr>
        <w:t>(Liang, 2024)</w:t>
      </w:r>
      <w:r w:rsidR="00E00E93" w:rsidRPr="00837AE1">
        <w:rPr>
          <w:rFonts w:ascii="Arial" w:hAnsi="Arial" w:cs="Arial"/>
          <w:sz w:val="22"/>
          <w:szCs w:val="22"/>
        </w:rPr>
        <w:t xml:space="preserve">. </w:t>
      </w:r>
    </w:p>
    <w:p w14:paraId="797D4A82" w14:textId="77777777" w:rsidR="00643E21" w:rsidRPr="00837AE1" w:rsidRDefault="00643E21" w:rsidP="00E5143A">
      <w:pPr>
        <w:spacing w:line="360" w:lineRule="auto"/>
        <w:rPr>
          <w:rFonts w:ascii="Arial" w:hAnsi="Arial" w:cs="Arial"/>
          <w:b/>
          <w:bCs/>
          <w:sz w:val="22"/>
          <w:szCs w:val="22"/>
        </w:rPr>
      </w:pPr>
      <w:r w:rsidRPr="00837AE1">
        <w:rPr>
          <w:rFonts w:ascii="Arial" w:hAnsi="Arial" w:cs="Arial"/>
          <w:b/>
          <w:bCs/>
          <w:sz w:val="22"/>
          <w:szCs w:val="22"/>
        </w:rPr>
        <w:t>3. Pathophysiology of Type 2 Diabetes</w:t>
      </w:r>
    </w:p>
    <w:p w14:paraId="56A05530" w14:textId="77777777" w:rsidR="00643E21" w:rsidRPr="00837AE1" w:rsidRDefault="00643E21" w:rsidP="00E5143A">
      <w:pPr>
        <w:spacing w:line="360" w:lineRule="auto"/>
        <w:rPr>
          <w:rFonts w:ascii="Arial" w:hAnsi="Arial" w:cs="Arial"/>
          <w:b/>
          <w:bCs/>
          <w:sz w:val="22"/>
          <w:szCs w:val="22"/>
        </w:rPr>
      </w:pPr>
      <w:r w:rsidRPr="00837AE1">
        <w:rPr>
          <w:rFonts w:ascii="Arial" w:hAnsi="Arial" w:cs="Arial"/>
          <w:b/>
          <w:bCs/>
          <w:sz w:val="22"/>
          <w:szCs w:val="22"/>
        </w:rPr>
        <w:t>3.1 Failure of Blood Glucose Regulation</w:t>
      </w:r>
    </w:p>
    <w:p w14:paraId="794EE56C" w14:textId="2ECB5FCA" w:rsidR="005801F2" w:rsidRPr="00837AE1" w:rsidRDefault="00643E21" w:rsidP="00E5143A">
      <w:pPr>
        <w:spacing w:line="360" w:lineRule="auto"/>
        <w:rPr>
          <w:rFonts w:ascii="Arial" w:hAnsi="Arial" w:cs="Arial"/>
          <w:sz w:val="22"/>
          <w:szCs w:val="22"/>
        </w:rPr>
      </w:pPr>
      <w:r w:rsidRPr="00837AE1">
        <w:rPr>
          <w:rFonts w:ascii="Arial" w:hAnsi="Arial" w:cs="Arial"/>
          <w:sz w:val="22"/>
          <w:szCs w:val="22"/>
        </w:rPr>
        <w:t xml:space="preserve">Pathophysiology refers to the changes in normal body function that occur as a result of disease. In Type 2 diabetes, blood glucose regulation becomes impaired because body cells gradually become resistant to the effects of insulin. </w:t>
      </w:r>
      <w:r w:rsidR="00C33603" w:rsidRPr="00C33603">
        <w:rPr>
          <w:rFonts w:ascii="Arial" w:hAnsi="Arial" w:cs="Arial"/>
          <w:sz w:val="22"/>
          <w:szCs w:val="22"/>
        </w:rPr>
        <w:t>Insulin resistance means muscle, liver and adipose (fat) cells no longer respond effectively to insulin, reducing glucose uptake for energy production</w:t>
      </w:r>
      <w:r w:rsidR="00C33603" w:rsidRPr="00C33603">
        <w:rPr>
          <w:rFonts w:ascii="Arial" w:hAnsi="Arial" w:cs="Arial"/>
          <w:sz w:val="22"/>
          <w:szCs w:val="22"/>
        </w:rPr>
        <w:t xml:space="preserve"> </w:t>
      </w:r>
      <w:r w:rsidRPr="00837AE1">
        <w:rPr>
          <w:rFonts w:ascii="Arial" w:hAnsi="Arial" w:cs="Arial"/>
          <w:sz w:val="22"/>
          <w:szCs w:val="22"/>
        </w:rPr>
        <w:t>(Ojha et al., 2019).</w:t>
      </w:r>
    </w:p>
    <w:p w14:paraId="1352DD3D" w14:textId="19587C82" w:rsidR="00C33603" w:rsidRPr="00C33603" w:rsidRDefault="00643E21" w:rsidP="00E5143A">
      <w:pPr>
        <w:spacing w:line="360" w:lineRule="auto"/>
        <w:rPr>
          <w:rFonts w:ascii="Arial" w:hAnsi="Arial" w:cs="Arial"/>
          <w:sz w:val="22"/>
          <w:szCs w:val="22"/>
        </w:rPr>
      </w:pPr>
      <w:r w:rsidRPr="00837AE1">
        <w:rPr>
          <w:rFonts w:ascii="Arial" w:hAnsi="Arial" w:cs="Arial"/>
          <w:sz w:val="22"/>
          <w:szCs w:val="22"/>
        </w:rPr>
        <w:t xml:space="preserve">To compensate for this reduced response, the beta (β) cells of the pancreas initially produce and release larger amounts of insulin. However, over time these cells become unable to meet the body's increased demand, resulting in a relative lack of insulin and persistently raised blood glucose levels, known as hyperglycaemia (Röder et al., 2016). </w:t>
      </w:r>
      <w:r w:rsidR="00E5143A" w:rsidRPr="00E5143A">
        <w:rPr>
          <w:rFonts w:ascii="Arial" w:hAnsi="Arial" w:cs="Arial"/>
          <w:sz w:val="22"/>
          <w:szCs w:val="22"/>
        </w:rPr>
        <w:t>As glucose remains in the bloodstream, it cannot be used efficiently during aerobic respiration.</w:t>
      </w:r>
      <w:r w:rsidR="00E5143A">
        <w:rPr>
          <w:rFonts w:ascii="Arial" w:hAnsi="Arial" w:cs="Arial"/>
          <w:sz w:val="22"/>
          <w:szCs w:val="22"/>
        </w:rPr>
        <w:t xml:space="preserve"> </w:t>
      </w:r>
      <w:r w:rsidR="00C33603" w:rsidRPr="00C33603">
        <w:rPr>
          <w:rFonts w:ascii="Arial" w:hAnsi="Arial" w:cs="Arial"/>
          <w:sz w:val="22"/>
          <w:szCs w:val="22"/>
        </w:rPr>
        <w:t>This reduces ATP production, contributing to tiredness and fatigue (Liang, 2024).</w:t>
      </w:r>
    </w:p>
    <w:p w14:paraId="7D72F255" w14:textId="7997E96C" w:rsidR="00643E21" w:rsidRDefault="00643E21" w:rsidP="00E5143A">
      <w:pPr>
        <w:spacing w:line="360" w:lineRule="auto"/>
        <w:rPr>
          <w:rFonts w:ascii="Arial" w:hAnsi="Arial" w:cs="Arial"/>
          <w:sz w:val="22"/>
          <w:szCs w:val="22"/>
        </w:rPr>
      </w:pPr>
      <w:r w:rsidRPr="00837AE1">
        <w:rPr>
          <w:rFonts w:ascii="Arial" w:hAnsi="Arial" w:cs="Arial"/>
          <w:sz w:val="22"/>
          <w:szCs w:val="22"/>
        </w:rPr>
        <w:t xml:space="preserve">If blood glucose levels remain uncontrolled over a prolonged period, damage can occur to blood vessels and nerves throughout the body. This increases the risk of long-term complications including cardiovascular disease, diabetic retinopathy, diabetic nephropathy and diabetic neuropathy. </w:t>
      </w:r>
      <w:r w:rsidR="00C33603" w:rsidRPr="00C33603">
        <w:rPr>
          <w:rFonts w:ascii="Arial" w:hAnsi="Arial" w:cs="Arial"/>
          <w:sz w:val="22"/>
          <w:szCs w:val="22"/>
        </w:rPr>
        <w:t>These complications can reduce quality of life and lead to serious health problems if diabetes is not managed effectively</w:t>
      </w:r>
      <w:r w:rsidR="00C33603">
        <w:rPr>
          <w:rFonts w:ascii="Arial" w:hAnsi="Arial" w:cs="Arial"/>
          <w:sz w:val="22"/>
          <w:szCs w:val="22"/>
        </w:rPr>
        <w:t xml:space="preserve"> </w:t>
      </w:r>
      <w:r w:rsidRPr="00837AE1">
        <w:rPr>
          <w:rFonts w:ascii="Arial" w:hAnsi="Arial" w:cs="Arial"/>
          <w:sz w:val="22"/>
          <w:szCs w:val="22"/>
        </w:rPr>
        <w:t>(National Institute for Health and Care Excellence, 2022).</w:t>
      </w:r>
    </w:p>
    <w:p w14:paraId="09DE87B7" w14:textId="77777777" w:rsidR="00E5143A" w:rsidRPr="00837AE1" w:rsidRDefault="00E5143A" w:rsidP="00E5143A">
      <w:pPr>
        <w:spacing w:line="360" w:lineRule="auto"/>
        <w:rPr>
          <w:rFonts w:ascii="Arial" w:hAnsi="Arial" w:cs="Arial"/>
          <w:sz w:val="22"/>
          <w:szCs w:val="22"/>
        </w:rPr>
      </w:pPr>
    </w:p>
    <w:p w14:paraId="3DC79D1E" w14:textId="77777777" w:rsidR="00643E21" w:rsidRPr="00837AE1" w:rsidRDefault="00643E21" w:rsidP="00E5143A">
      <w:pPr>
        <w:spacing w:line="360" w:lineRule="auto"/>
        <w:rPr>
          <w:rFonts w:ascii="Arial" w:hAnsi="Arial" w:cs="Arial"/>
          <w:b/>
          <w:bCs/>
          <w:sz w:val="22"/>
          <w:szCs w:val="22"/>
        </w:rPr>
      </w:pPr>
      <w:r w:rsidRPr="00837AE1">
        <w:rPr>
          <w:rFonts w:ascii="Arial" w:hAnsi="Arial" w:cs="Arial"/>
          <w:b/>
          <w:bCs/>
          <w:sz w:val="22"/>
          <w:szCs w:val="22"/>
        </w:rPr>
        <w:lastRenderedPageBreak/>
        <w:t>3.2 Impact of Lifestyle Factors on Glucose Control</w:t>
      </w:r>
    </w:p>
    <w:p w14:paraId="2DE353A7" w14:textId="77777777" w:rsidR="00643E21" w:rsidRPr="00837AE1" w:rsidRDefault="00643E21" w:rsidP="00E5143A">
      <w:pPr>
        <w:spacing w:line="360" w:lineRule="auto"/>
        <w:rPr>
          <w:rFonts w:ascii="Arial" w:hAnsi="Arial" w:cs="Arial"/>
          <w:sz w:val="22"/>
          <w:szCs w:val="22"/>
        </w:rPr>
      </w:pPr>
      <w:r w:rsidRPr="00837AE1">
        <w:rPr>
          <w:rFonts w:ascii="Arial" w:hAnsi="Arial" w:cs="Arial"/>
          <w:sz w:val="22"/>
          <w:szCs w:val="22"/>
        </w:rPr>
        <w:t>Lifestyle factors play a significant role in the development and progression of Type 2 diabetes. A diet high in refined carbohydrates, sugary foods and saturated fats can contribute to weight gain and obesity, increasing insulin resistance and making it more difficult for the body to regulate blood glucose levels (Taylor et al., 2021). In contrast, maintaining a healthy diet can improve insulin sensitivity and support better glycaemic control.</w:t>
      </w:r>
    </w:p>
    <w:p w14:paraId="050CF9A6" w14:textId="77777777" w:rsidR="00643E21" w:rsidRPr="00837AE1" w:rsidRDefault="00643E21" w:rsidP="00E5143A">
      <w:pPr>
        <w:spacing w:line="360" w:lineRule="auto"/>
        <w:rPr>
          <w:rFonts w:ascii="Arial" w:hAnsi="Arial" w:cs="Arial"/>
          <w:sz w:val="22"/>
          <w:szCs w:val="22"/>
        </w:rPr>
      </w:pPr>
      <w:r w:rsidRPr="00837AE1">
        <w:rPr>
          <w:rFonts w:ascii="Arial" w:hAnsi="Arial" w:cs="Arial"/>
          <w:sz w:val="22"/>
          <w:szCs w:val="22"/>
        </w:rPr>
        <w:t>Regular physical activity also has an important role in managing Type 2 diabetes. Exercise increases the uptake of glucose by skeletal muscle cells, allowing glucose to be used for energy and reducing blood glucose concentrations. Over time, regular physical activity improves insulin sensitivity, helping the body use insulin more effectively (Colberg et al., 2016).</w:t>
      </w:r>
    </w:p>
    <w:p w14:paraId="5DD20FD2" w14:textId="77777777" w:rsidR="00643E21" w:rsidRDefault="00643E21" w:rsidP="00E5143A">
      <w:pPr>
        <w:spacing w:line="360" w:lineRule="auto"/>
        <w:rPr>
          <w:rFonts w:ascii="Arial" w:hAnsi="Arial" w:cs="Arial"/>
          <w:sz w:val="22"/>
          <w:szCs w:val="22"/>
        </w:rPr>
      </w:pPr>
      <w:r w:rsidRPr="00837AE1">
        <w:rPr>
          <w:rFonts w:ascii="Arial" w:hAnsi="Arial" w:cs="Arial"/>
          <w:sz w:val="22"/>
          <w:szCs w:val="22"/>
        </w:rPr>
        <w:t>Smoking is another important lifestyle factor that negatively affects glucose control. Chemicals in tobacco smoke damage blood vessels and increase inflammation, which can worsen insulin resistance and increase the risk of cardiovascular disease and other diabetes-related complications (Willi et al., 2007). For this reason, adopting a healthy diet, exercising regularly and stopping smoking are essential components of effective Type 2 diabetes management.</w:t>
      </w:r>
    </w:p>
    <w:p w14:paraId="2C8BDC7F" w14:textId="77777777" w:rsidR="00D043E3" w:rsidRPr="00837AE1" w:rsidRDefault="00D043E3" w:rsidP="00E5143A">
      <w:pPr>
        <w:spacing w:line="360" w:lineRule="auto"/>
        <w:rPr>
          <w:rFonts w:ascii="Arial" w:hAnsi="Arial" w:cs="Arial"/>
          <w:b/>
          <w:bCs/>
          <w:sz w:val="22"/>
          <w:szCs w:val="22"/>
        </w:rPr>
      </w:pPr>
      <w:r w:rsidRPr="00837AE1">
        <w:rPr>
          <w:rFonts w:ascii="Arial" w:hAnsi="Arial" w:cs="Arial"/>
          <w:b/>
          <w:bCs/>
          <w:sz w:val="22"/>
          <w:szCs w:val="22"/>
        </w:rPr>
        <w:t>4. Monitoring and Tracking Blood Glucose Levels</w:t>
      </w:r>
    </w:p>
    <w:p w14:paraId="06D6075D" w14:textId="55F348A6" w:rsidR="00D34413" w:rsidRPr="00837AE1" w:rsidRDefault="00D043E3" w:rsidP="00E5143A">
      <w:pPr>
        <w:spacing w:line="360" w:lineRule="auto"/>
        <w:rPr>
          <w:rFonts w:ascii="Arial" w:hAnsi="Arial" w:cs="Arial"/>
          <w:sz w:val="22"/>
          <w:szCs w:val="22"/>
        </w:rPr>
      </w:pPr>
      <w:r w:rsidRPr="00837AE1">
        <w:rPr>
          <w:rFonts w:ascii="Arial" w:hAnsi="Arial" w:cs="Arial"/>
          <w:sz w:val="22"/>
          <w:szCs w:val="22"/>
        </w:rPr>
        <w:t xml:space="preserve">Regular monitoring of blood glucose levels is an essential part of managing Type 2 diabetes. Recording blood glucose readings allows both individuals and healthcare professionals to assess how effectively the condition is being controlled and whether treatment plans are working as intended (National Institute for Health and Care Excellence, 2022). </w:t>
      </w:r>
      <w:r w:rsidR="00851592" w:rsidRPr="00837AE1">
        <w:rPr>
          <w:rFonts w:ascii="Arial" w:hAnsi="Arial" w:cs="Arial"/>
          <w:sz w:val="22"/>
          <w:szCs w:val="22"/>
        </w:rPr>
        <w:t>Regular monitoring also helps individuals understand how factors such as diet, physical activity, medication, illness and stress affect their blood glucose levels, enabling them to make informed decisions about managing their condition (Diabetes UK, 2024).</w:t>
      </w:r>
    </w:p>
    <w:p w14:paraId="4D2CD131" w14:textId="2E582AFC" w:rsidR="00D043E3" w:rsidRPr="00837AE1" w:rsidRDefault="008E79BA" w:rsidP="00E5143A">
      <w:pPr>
        <w:spacing w:line="360" w:lineRule="auto"/>
        <w:rPr>
          <w:rFonts w:ascii="Arial" w:hAnsi="Arial" w:cs="Arial"/>
          <w:sz w:val="22"/>
          <w:szCs w:val="22"/>
        </w:rPr>
      </w:pPr>
      <w:r w:rsidRPr="008E79BA">
        <w:rPr>
          <w:rFonts w:ascii="Arial" w:hAnsi="Arial" w:cs="Arial"/>
          <w:sz w:val="22"/>
          <w:szCs w:val="22"/>
        </w:rPr>
        <w:t>Blood glucose can be monitored using finger-prick testing or continuous glucose monitoring (CGM) systems.</w:t>
      </w:r>
      <w:r>
        <w:rPr>
          <w:rFonts w:ascii="Arial" w:hAnsi="Arial" w:cs="Arial"/>
          <w:sz w:val="22"/>
          <w:szCs w:val="22"/>
        </w:rPr>
        <w:t xml:space="preserve"> </w:t>
      </w:r>
      <w:r w:rsidRPr="008E79BA">
        <w:rPr>
          <w:rFonts w:ascii="Arial" w:hAnsi="Arial" w:cs="Arial"/>
          <w:sz w:val="22"/>
          <w:szCs w:val="22"/>
        </w:rPr>
        <w:t>The HbA1c blood test measures average blood glucose levels over the previous two to three months, providing an indication of long-term glycaemic control</w:t>
      </w:r>
      <w:r>
        <w:rPr>
          <w:rFonts w:ascii="Arial" w:hAnsi="Arial" w:cs="Arial"/>
          <w:sz w:val="22"/>
          <w:szCs w:val="22"/>
        </w:rPr>
        <w:t xml:space="preserve"> </w:t>
      </w:r>
      <w:r w:rsidR="00FE17B5" w:rsidRPr="00837AE1">
        <w:rPr>
          <w:rFonts w:ascii="Arial" w:hAnsi="Arial" w:cs="Arial"/>
          <w:sz w:val="22"/>
          <w:szCs w:val="22"/>
        </w:rPr>
        <w:t xml:space="preserve">(National Institute for Health and Care Excellence, 2022). </w:t>
      </w:r>
      <w:r w:rsidR="00DC72C5" w:rsidRPr="00837AE1">
        <w:rPr>
          <w:rFonts w:ascii="Arial" w:hAnsi="Arial" w:cs="Arial"/>
          <w:sz w:val="22"/>
          <w:szCs w:val="22"/>
        </w:rPr>
        <w:t xml:space="preserve">Evidence suggests </w:t>
      </w:r>
      <w:r w:rsidR="00FE17B5" w:rsidRPr="00837AE1">
        <w:rPr>
          <w:rFonts w:ascii="Arial" w:hAnsi="Arial" w:cs="Arial"/>
          <w:sz w:val="22"/>
          <w:szCs w:val="22"/>
        </w:rPr>
        <w:t>that continuous glucose monitoring can improve glycaemic control by helping individuals identify fluctuations in blood glucose levels more accurately than occasional finger-prick testing, allowing earlier intervention when readings fall outside the target range (</w:t>
      </w:r>
      <w:proofErr w:type="spellStart"/>
      <w:r w:rsidR="00FE17B5" w:rsidRPr="00837AE1">
        <w:rPr>
          <w:rFonts w:ascii="Arial" w:hAnsi="Arial" w:cs="Arial"/>
          <w:sz w:val="22"/>
          <w:szCs w:val="22"/>
        </w:rPr>
        <w:t>Jancev</w:t>
      </w:r>
      <w:proofErr w:type="spellEnd"/>
      <w:r w:rsidR="00FE17B5" w:rsidRPr="00837AE1">
        <w:rPr>
          <w:rFonts w:ascii="Arial" w:hAnsi="Arial" w:cs="Arial"/>
          <w:sz w:val="22"/>
          <w:szCs w:val="22"/>
        </w:rPr>
        <w:t xml:space="preserve"> et al., 2024).</w:t>
      </w:r>
    </w:p>
    <w:p w14:paraId="7EC8C0C1" w14:textId="77777777" w:rsidR="008E79BA" w:rsidRPr="008E79BA" w:rsidRDefault="008E79BA" w:rsidP="00E5143A">
      <w:pPr>
        <w:spacing w:line="360" w:lineRule="auto"/>
        <w:rPr>
          <w:rFonts w:ascii="Arial" w:hAnsi="Arial" w:cs="Arial"/>
          <w:sz w:val="22"/>
          <w:szCs w:val="22"/>
        </w:rPr>
      </w:pPr>
      <w:r w:rsidRPr="008E79BA">
        <w:rPr>
          <w:rFonts w:ascii="Arial" w:hAnsi="Arial" w:cs="Arial"/>
          <w:sz w:val="22"/>
          <w:szCs w:val="22"/>
        </w:rPr>
        <w:lastRenderedPageBreak/>
        <w:t>Keeping a record of blood glucose readings helps identify patterns and trends over time.</w:t>
      </w:r>
      <w:r w:rsidRPr="008E79BA">
        <w:rPr>
          <w:rFonts w:ascii="Arial" w:hAnsi="Arial" w:cs="Arial"/>
          <w:sz w:val="22"/>
          <w:szCs w:val="22"/>
        </w:rPr>
        <w:t xml:space="preserve"> </w:t>
      </w:r>
      <w:r w:rsidR="00125A97" w:rsidRPr="008E79BA">
        <w:rPr>
          <w:rFonts w:ascii="Arial" w:hAnsi="Arial" w:cs="Arial"/>
          <w:sz w:val="22"/>
          <w:szCs w:val="22"/>
        </w:rPr>
        <w:t>For examp</w:t>
      </w:r>
      <w:r w:rsidR="00125A97" w:rsidRPr="00837AE1">
        <w:rPr>
          <w:rFonts w:ascii="Arial" w:hAnsi="Arial" w:cs="Arial"/>
          <w:sz w:val="22"/>
          <w:szCs w:val="22"/>
        </w:rPr>
        <w:t xml:space="preserve">le, individuals may recognise that </w:t>
      </w:r>
      <w:r w:rsidR="00125A97" w:rsidRPr="008E79BA">
        <w:rPr>
          <w:rFonts w:ascii="Arial" w:hAnsi="Arial" w:cs="Arial"/>
          <w:sz w:val="22"/>
          <w:szCs w:val="22"/>
        </w:rPr>
        <w:t xml:space="preserve">certain foods, reduced physical activity, stress or missed medication doses lead to increased blood glucose levels. </w:t>
      </w:r>
      <w:r w:rsidRPr="008E79BA">
        <w:rPr>
          <w:rFonts w:ascii="Arial" w:hAnsi="Arial" w:cs="Arial"/>
          <w:sz w:val="22"/>
          <w:szCs w:val="22"/>
        </w:rPr>
        <w:t>Identifying these patterns enables patients to make lifestyle adjustments while helping healthcare professionals review treatment effectiveness and adjust care plans where necessary (Uhl et al., 2024).</w:t>
      </w:r>
    </w:p>
    <w:p w14:paraId="21073493" w14:textId="79FFDE36" w:rsidR="00D043E3" w:rsidRPr="008E79BA" w:rsidRDefault="008E79BA" w:rsidP="00E5143A">
      <w:pPr>
        <w:spacing w:line="360" w:lineRule="auto"/>
        <w:rPr>
          <w:rFonts w:ascii="Arial" w:hAnsi="Arial" w:cs="Arial"/>
          <w:sz w:val="22"/>
          <w:szCs w:val="22"/>
        </w:rPr>
      </w:pPr>
      <w:r w:rsidRPr="008E79BA">
        <w:rPr>
          <w:rFonts w:ascii="Arial" w:hAnsi="Arial" w:cs="Arial"/>
          <w:sz w:val="22"/>
          <w:szCs w:val="22"/>
        </w:rPr>
        <w:t>Reviewing blood glucose records enables healthcare professionals to provide personalised advice and education tailored to individual needs.</w:t>
      </w:r>
      <w:r w:rsidRPr="008E79BA">
        <w:rPr>
          <w:rFonts w:ascii="Arial" w:hAnsi="Arial" w:cs="Arial"/>
          <w:sz w:val="22"/>
          <w:szCs w:val="22"/>
        </w:rPr>
        <w:t xml:space="preserve"> </w:t>
      </w:r>
      <w:r w:rsidR="00D449CA" w:rsidRPr="008E79BA">
        <w:rPr>
          <w:rFonts w:ascii="Arial" w:hAnsi="Arial" w:cs="Arial"/>
          <w:sz w:val="22"/>
          <w:szCs w:val="22"/>
        </w:rPr>
        <w:t xml:space="preserve">Monitoring also helps identify episodes of hyperglycaemia and hypoglycaemia at an early stage, reducing the risk of complications. </w:t>
      </w:r>
      <w:r w:rsidRPr="008E79BA">
        <w:rPr>
          <w:rFonts w:ascii="Arial" w:hAnsi="Arial" w:cs="Arial"/>
          <w:sz w:val="22"/>
          <w:szCs w:val="22"/>
        </w:rPr>
        <w:t>Encouraging patients to regularly monitor and record their blood glucose levels promotes active self-management, improves understanding of diabetes and supports long-term glycaemic control (Diabetes UK, 2024).</w:t>
      </w:r>
    </w:p>
    <w:p w14:paraId="560035C5" w14:textId="77777777" w:rsidR="00725C42" w:rsidRPr="00837AE1" w:rsidRDefault="00725C42" w:rsidP="00E5143A">
      <w:pPr>
        <w:spacing w:line="360" w:lineRule="auto"/>
        <w:rPr>
          <w:rFonts w:ascii="Arial" w:hAnsi="Arial" w:cs="Arial"/>
          <w:b/>
          <w:bCs/>
          <w:sz w:val="22"/>
          <w:szCs w:val="22"/>
        </w:rPr>
      </w:pPr>
      <w:r w:rsidRPr="00837AE1">
        <w:rPr>
          <w:rFonts w:ascii="Arial" w:hAnsi="Arial" w:cs="Arial"/>
          <w:b/>
          <w:bCs/>
          <w:sz w:val="22"/>
          <w:szCs w:val="22"/>
        </w:rPr>
        <w:t>5. Evidence-Based Lifestyle Recommendations</w:t>
      </w:r>
    </w:p>
    <w:p w14:paraId="611BBD7A" w14:textId="77777777" w:rsidR="00725C42" w:rsidRPr="00837AE1" w:rsidRDefault="00725C42" w:rsidP="00E5143A">
      <w:pPr>
        <w:spacing w:line="360" w:lineRule="auto"/>
        <w:rPr>
          <w:rFonts w:ascii="Arial" w:hAnsi="Arial" w:cs="Arial"/>
          <w:b/>
          <w:bCs/>
          <w:sz w:val="22"/>
          <w:szCs w:val="22"/>
        </w:rPr>
      </w:pPr>
      <w:r w:rsidRPr="00837AE1">
        <w:rPr>
          <w:rFonts w:ascii="Arial" w:hAnsi="Arial" w:cs="Arial"/>
          <w:b/>
          <w:bCs/>
          <w:sz w:val="22"/>
          <w:szCs w:val="22"/>
        </w:rPr>
        <w:t>5.1 Healthy Diet and Weight Management</w:t>
      </w:r>
    </w:p>
    <w:p w14:paraId="0040D547" w14:textId="22F089ED" w:rsidR="00725C42" w:rsidRPr="00837AE1" w:rsidRDefault="00725C42" w:rsidP="00E5143A">
      <w:pPr>
        <w:spacing w:line="360" w:lineRule="auto"/>
        <w:rPr>
          <w:rFonts w:ascii="Arial" w:hAnsi="Arial" w:cs="Arial"/>
          <w:sz w:val="22"/>
          <w:szCs w:val="22"/>
        </w:rPr>
      </w:pPr>
      <w:r w:rsidRPr="00837AE1">
        <w:rPr>
          <w:rFonts w:ascii="Arial" w:hAnsi="Arial" w:cs="Arial"/>
          <w:sz w:val="22"/>
          <w:szCs w:val="22"/>
        </w:rPr>
        <w:t xml:space="preserve">Lifestyle modification is one of the most effective approaches to managing Type 2 diabetes. </w:t>
      </w:r>
      <w:r w:rsidR="00C33603" w:rsidRPr="00C33603">
        <w:rPr>
          <w:rFonts w:ascii="Arial" w:hAnsi="Arial" w:cs="Arial"/>
          <w:sz w:val="22"/>
          <w:szCs w:val="22"/>
        </w:rPr>
        <w:t>Healthy lifestyle changes can improve insulin sensitivity, lower blood glucose levels and reduce the risk of long-term complications (National Institute for Health and Care Excellence, 2022).</w:t>
      </w:r>
      <w:r w:rsidR="00C33603">
        <w:rPr>
          <w:rFonts w:ascii="Arial" w:hAnsi="Arial" w:cs="Arial"/>
          <w:sz w:val="22"/>
          <w:szCs w:val="22"/>
        </w:rPr>
        <w:t xml:space="preserve"> </w:t>
      </w:r>
      <w:r w:rsidRPr="00837AE1">
        <w:rPr>
          <w:rFonts w:ascii="Arial" w:hAnsi="Arial" w:cs="Arial"/>
          <w:sz w:val="22"/>
          <w:szCs w:val="22"/>
        </w:rPr>
        <w:t>A balanced diet that includes whole grains, vegetables, fruit, lean protein and healthy fats is recommended, while foods high in sugar, saturated fat and refined carbohydrates should be limited. Foods rich in fibre are digested more slowly, helping glucose enter the bloodstream gradually and reducing sudden increases in blood glucose levels (Taylor et al., 2021).</w:t>
      </w:r>
    </w:p>
    <w:p w14:paraId="5242C41B" w14:textId="5D39B138" w:rsidR="00725C42" w:rsidRPr="00837AE1" w:rsidRDefault="00725C42" w:rsidP="00E5143A">
      <w:pPr>
        <w:spacing w:line="360" w:lineRule="auto"/>
        <w:rPr>
          <w:rFonts w:ascii="Arial" w:hAnsi="Arial" w:cs="Arial"/>
          <w:sz w:val="22"/>
          <w:szCs w:val="22"/>
        </w:rPr>
      </w:pPr>
      <w:r w:rsidRPr="00837AE1">
        <w:rPr>
          <w:rFonts w:ascii="Arial" w:hAnsi="Arial" w:cs="Arial"/>
          <w:sz w:val="22"/>
          <w:szCs w:val="22"/>
        </w:rPr>
        <w:t>Achieving and maintaining a healthy body weight is a</w:t>
      </w:r>
      <w:r w:rsidRPr="00C33603">
        <w:rPr>
          <w:rFonts w:ascii="Arial" w:hAnsi="Arial" w:cs="Arial"/>
          <w:sz w:val="22"/>
          <w:szCs w:val="22"/>
        </w:rPr>
        <w:t xml:space="preserve">lso important. </w:t>
      </w:r>
      <w:r w:rsidR="00C33603" w:rsidRPr="00C33603">
        <w:rPr>
          <w:rFonts w:ascii="Arial" w:hAnsi="Arial" w:cs="Arial"/>
          <w:sz w:val="22"/>
          <w:szCs w:val="22"/>
        </w:rPr>
        <w:t>Even modest weight loss can improve insulin sensitivity, allowing glucose to enter body cells more effectively and lowering blood glucose levels.</w:t>
      </w:r>
      <w:r w:rsidRPr="00837AE1">
        <w:rPr>
          <w:rFonts w:ascii="Arial" w:hAnsi="Arial" w:cs="Arial"/>
          <w:sz w:val="22"/>
          <w:szCs w:val="22"/>
        </w:rPr>
        <w:t xml:space="preserve"> </w:t>
      </w:r>
      <w:r w:rsidR="00C33603" w:rsidRPr="00C33603">
        <w:rPr>
          <w:rFonts w:ascii="Arial" w:hAnsi="Arial" w:cs="Arial"/>
          <w:sz w:val="22"/>
          <w:szCs w:val="22"/>
        </w:rPr>
        <w:t xml:space="preserve">The </w:t>
      </w:r>
      <w:proofErr w:type="spellStart"/>
      <w:r w:rsidR="00C33603" w:rsidRPr="00C33603">
        <w:rPr>
          <w:rFonts w:ascii="Arial" w:hAnsi="Arial" w:cs="Arial"/>
          <w:sz w:val="22"/>
          <w:szCs w:val="22"/>
        </w:rPr>
        <w:t>DiRECT</w:t>
      </w:r>
      <w:proofErr w:type="spellEnd"/>
      <w:r w:rsidR="00C33603" w:rsidRPr="00C33603">
        <w:rPr>
          <w:rFonts w:ascii="Arial" w:hAnsi="Arial" w:cs="Arial"/>
          <w:sz w:val="22"/>
          <w:szCs w:val="22"/>
        </w:rPr>
        <w:t xml:space="preserve"> trial demonstrated that structured weight management programmes can lead to remission of Type 2 diabetes in some individuals, highlighting the importance of early lifestyle intervention (Lean et al., 2018).</w:t>
      </w:r>
    </w:p>
    <w:p w14:paraId="666A2C4E" w14:textId="77777777" w:rsidR="00725C42" w:rsidRPr="00837AE1" w:rsidRDefault="00725C42" w:rsidP="00E5143A">
      <w:pPr>
        <w:spacing w:line="360" w:lineRule="auto"/>
        <w:rPr>
          <w:rFonts w:ascii="Arial" w:hAnsi="Arial" w:cs="Arial"/>
          <w:b/>
          <w:bCs/>
          <w:sz w:val="22"/>
          <w:szCs w:val="22"/>
        </w:rPr>
      </w:pPr>
      <w:r w:rsidRPr="00837AE1">
        <w:rPr>
          <w:rFonts w:ascii="Arial" w:hAnsi="Arial" w:cs="Arial"/>
          <w:b/>
          <w:bCs/>
          <w:sz w:val="22"/>
          <w:szCs w:val="22"/>
        </w:rPr>
        <w:t>5.2 Physical Activity</w:t>
      </w:r>
    </w:p>
    <w:p w14:paraId="1232952A" w14:textId="0283D017" w:rsidR="00725C42" w:rsidRPr="00837AE1" w:rsidRDefault="00725C42" w:rsidP="00E5143A">
      <w:pPr>
        <w:spacing w:line="360" w:lineRule="auto"/>
        <w:rPr>
          <w:rFonts w:ascii="Arial" w:hAnsi="Arial" w:cs="Arial"/>
          <w:sz w:val="22"/>
          <w:szCs w:val="22"/>
        </w:rPr>
      </w:pPr>
      <w:r w:rsidRPr="00837AE1">
        <w:rPr>
          <w:rFonts w:ascii="Arial" w:hAnsi="Arial" w:cs="Arial"/>
          <w:sz w:val="22"/>
          <w:szCs w:val="22"/>
        </w:rPr>
        <w:t>Regular physical activity is another key recommendation for people living with Type 2 diabetes. The National Institute for Health and Care Excellence (2022) recommends regular moderate-intensity exe</w:t>
      </w:r>
      <w:r w:rsidRPr="00C33603">
        <w:rPr>
          <w:rFonts w:ascii="Arial" w:hAnsi="Arial" w:cs="Arial"/>
          <w:sz w:val="22"/>
          <w:szCs w:val="22"/>
        </w:rPr>
        <w:t xml:space="preserve">rcise as part of diabetes management. </w:t>
      </w:r>
      <w:r w:rsidR="00C33603" w:rsidRPr="00C33603">
        <w:rPr>
          <w:rFonts w:ascii="Arial" w:hAnsi="Arial" w:cs="Arial"/>
          <w:sz w:val="22"/>
          <w:szCs w:val="22"/>
        </w:rPr>
        <w:t>Activities such as walking, swimming and cycling increase glucose uptake by skeletal muscle cells, reducing blood glucose concentrations.</w:t>
      </w:r>
      <w:r w:rsidR="00C33603" w:rsidRPr="00C33603">
        <w:rPr>
          <w:rFonts w:ascii="Arial" w:hAnsi="Arial" w:cs="Arial"/>
          <w:sz w:val="22"/>
          <w:szCs w:val="22"/>
        </w:rPr>
        <w:t xml:space="preserve"> </w:t>
      </w:r>
      <w:r w:rsidRPr="00C33603">
        <w:rPr>
          <w:rFonts w:ascii="Arial" w:hAnsi="Arial" w:cs="Arial"/>
          <w:sz w:val="22"/>
          <w:szCs w:val="22"/>
        </w:rPr>
        <w:t xml:space="preserve">Regular </w:t>
      </w:r>
      <w:r w:rsidRPr="00837AE1">
        <w:rPr>
          <w:rFonts w:ascii="Arial" w:hAnsi="Arial" w:cs="Arial"/>
          <w:sz w:val="22"/>
          <w:szCs w:val="22"/>
        </w:rPr>
        <w:t>exercise also improves insulin sensitivity, supports weight management and reduces the risk of cardiovascular disease (Colberg et al., 2016).</w:t>
      </w:r>
    </w:p>
    <w:p w14:paraId="39912428" w14:textId="77777777" w:rsidR="00725C42" w:rsidRPr="00837AE1" w:rsidRDefault="00725C42" w:rsidP="00E5143A">
      <w:pPr>
        <w:spacing w:line="360" w:lineRule="auto"/>
        <w:rPr>
          <w:rFonts w:ascii="Arial" w:hAnsi="Arial" w:cs="Arial"/>
          <w:b/>
          <w:bCs/>
          <w:sz w:val="22"/>
          <w:szCs w:val="22"/>
        </w:rPr>
      </w:pPr>
      <w:r w:rsidRPr="00837AE1">
        <w:rPr>
          <w:rFonts w:ascii="Arial" w:hAnsi="Arial" w:cs="Arial"/>
          <w:b/>
          <w:bCs/>
          <w:sz w:val="22"/>
          <w:szCs w:val="22"/>
        </w:rPr>
        <w:lastRenderedPageBreak/>
        <w:t>5.3 Smoking Cessation</w:t>
      </w:r>
    </w:p>
    <w:p w14:paraId="1024D957" w14:textId="364BEAC4" w:rsidR="00725C42" w:rsidRPr="00837AE1" w:rsidRDefault="00725C42" w:rsidP="00E5143A">
      <w:pPr>
        <w:spacing w:line="360" w:lineRule="auto"/>
        <w:rPr>
          <w:rFonts w:ascii="Arial" w:hAnsi="Arial" w:cs="Arial"/>
          <w:sz w:val="22"/>
          <w:szCs w:val="22"/>
        </w:rPr>
      </w:pPr>
      <w:r w:rsidRPr="00837AE1">
        <w:rPr>
          <w:rFonts w:ascii="Arial" w:hAnsi="Arial" w:cs="Arial"/>
          <w:sz w:val="22"/>
          <w:szCs w:val="22"/>
        </w:rPr>
        <w:t>Smoking cessation should be strongly encouraged as part of diabetes management. Smoking damages blood vessels, increases inflammation and worsens insulin resistance, increasing the risk of cardiovascular disease and other diabetes-related complications (Willi et al., 2007). Stopping smoking improves circulation and supports overall health. Healthcare professionals can support patients by providing smoking cessation advice, behavioural support and referral to specialist stop-smoking services</w:t>
      </w:r>
      <w:r w:rsidR="00593C1A" w:rsidRPr="00837AE1">
        <w:rPr>
          <w:rFonts w:ascii="Arial" w:hAnsi="Arial" w:cs="Arial"/>
          <w:sz w:val="22"/>
          <w:szCs w:val="22"/>
        </w:rPr>
        <w:t xml:space="preserve"> </w:t>
      </w:r>
      <w:r w:rsidRPr="00837AE1">
        <w:rPr>
          <w:rFonts w:ascii="Arial" w:hAnsi="Arial" w:cs="Arial"/>
          <w:sz w:val="22"/>
          <w:szCs w:val="22"/>
        </w:rPr>
        <w:t>where appropriate.</w:t>
      </w:r>
    </w:p>
    <w:p w14:paraId="70B2AB08" w14:textId="77777777" w:rsidR="00725C42" w:rsidRPr="00837AE1" w:rsidRDefault="00725C42" w:rsidP="00E5143A">
      <w:pPr>
        <w:spacing w:line="360" w:lineRule="auto"/>
        <w:rPr>
          <w:rFonts w:ascii="Arial" w:hAnsi="Arial" w:cs="Arial"/>
          <w:b/>
          <w:bCs/>
          <w:sz w:val="22"/>
          <w:szCs w:val="22"/>
        </w:rPr>
      </w:pPr>
      <w:r w:rsidRPr="00837AE1">
        <w:rPr>
          <w:rFonts w:ascii="Arial" w:hAnsi="Arial" w:cs="Arial"/>
          <w:b/>
          <w:bCs/>
          <w:sz w:val="22"/>
          <w:szCs w:val="22"/>
        </w:rPr>
        <w:t>5.4 Patient Education and Self-Management</w:t>
      </w:r>
    </w:p>
    <w:p w14:paraId="1158363D" w14:textId="495513C3" w:rsidR="00725C42" w:rsidRPr="00837AE1" w:rsidRDefault="00725C42" w:rsidP="00E5143A">
      <w:pPr>
        <w:spacing w:line="360" w:lineRule="auto"/>
        <w:rPr>
          <w:rFonts w:ascii="Arial" w:hAnsi="Arial" w:cs="Arial"/>
          <w:sz w:val="22"/>
          <w:szCs w:val="22"/>
        </w:rPr>
      </w:pPr>
      <w:r w:rsidRPr="00837AE1">
        <w:rPr>
          <w:rFonts w:ascii="Arial" w:hAnsi="Arial" w:cs="Arial"/>
          <w:sz w:val="22"/>
          <w:szCs w:val="22"/>
        </w:rPr>
        <w:t xml:space="preserve">Patient education is an essential part of effective diabetes management. </w:t>
      </w:r>
      <w:r w:rsidR="00C33603" w:rsidRPr="00C33603">
        <w:rPr>
          <w:rFonts w:ascii="Arial" w:hAnsi="Arial" w:cs="Arial"/>
          <w:sz w:val="22"/>
          <w:szCs w:val="22"/>
        </w:rPr>
        <w:t>Providing information about healthy eating, physical activity, medication adherence and blood glucose monitoring enables informed self-management.</w:t>
      </w:r>
      <w:r w:rsidR="00C33603">
        <w:rPr>
          <w:rFonts w:ascii="Arial" w:hAnsi="Arial" w:cs="Arial"/>
          <w:sz w:val="22"/>
          <w:szCs w:val="22"/>
        </w:rPr>
        <w:t xml:space="preserve"> </w:t>
      </w:r>
      <w:r w:rsidR="00C33603" w:rsidRPr="00C33603">
        <w:rPr>
          <w:rFonts w:ascii="Arial" w:hAnsi="Arial" w:cs="Arial"/>
          <w:sz w:val="22"/>
          <w:szCs w:val="22"/>
        </w:rPr>
        <w:t>Structured diabetes education helps individuals develop the knowledge and skills needed to manage their condition effectively.</w:t>
      </w:r>
      <w:r w:rsidR="00593C1A" w:rsidRPr="00837AE1">
        <w:rPr>
          <w:rFonts w:ascii="Arial" w:hAnsi="Arial" w:cs="Arial"/>
          <w:sz w:val="22"/>
          <w:szCs w:val="22"/>
        </w:rPr>
        <w:t xml:space="preserve"> By improving patients' understanding of how lifestyle choices influence blood glucose levels, education encourages them to engage more effectively with their care plans and supports long-term self-management. This can improve glycaemic control, reduce the risk of complications and promote better long-term health outcomes (Diabetes UK, 2024).</w:t>
      </w:r>
      <w:r w:rsidR="00593C1A" w:rsidRPr="00837AE1">
        <w:rPr>
          <w:rFonts w:ascii="Arial" w:hAnsi="Arial" w:cs="Arial"/>
          <w:sz w:val="22"/>
          <w:szCs w:val="22"/>
        </w:rPr>
        <w:t xml:space="preserve"> </w:t>
      </w:r>
    </w:p>
    <w:p w14:paraId="2E19EC1D" w14:textId="1881B65E" w:rsidR="00D42A90" w:rsidRPr="00837AE1" w:rsidRDefault="00D42A90" w:rsidP="00E5143A">
      <w:pPr>
        <w:spacing w:line="360" w:lineRule="auto"/>
        <w:rPr>
          <w:rFonts w:ascii="Arial" w:hAnsi="Arial" w:cs="Arial"/>
          <w:sz w:val="22"/>
          <w:szCs w:val="22"/>
        </w:rPr>
      </w:pPr>
      <w:r w:rsidRPr="00837AE1">
        <w:rPr>
          <w:rFonts w:ascii="Arial" w:hAnsi="Arial" w:cs="Arial"/>
          <w:b/>
          <w:bCs/>
          <w:sz w:val="22"/>
          <w:szCs w:val="22"/>
        </w:rPr>
        <w:t>Conclusion</w:t>
      </w:r>
    </w:p>
    <w:p w14:paraId="20860DF4" w14:textId="77777777" w:rsidR="00CA2B7B" w:rsidRPr="00837AE1" w:rsidRDefault="00CA2B7B" w:rsidP="00E5143A">
      <w:pPr>
        <w:spacing w:line="360" w:lineRule="auto"/>
        <w:rPr>
          <w:rFonts w:ascii="Arial" w:hAnsi="Arial" w:cs="Arial"/>
          <w:sz w:val="22"/>
          <w:szCs w:val="22"/>
        </w:rPr>
      </w:pPr>
      <w:r w:rsidRPr="00837AE1">
        <w:rPr>
          <w:rFonts w:ascii="Arial" w:hAnsi="Arial" w:cs="Arial"/>
          <w:sz w:val="22"/>
          <w:szCs w:val="22"/>
        </w:rPr>
        <w:t>Type 2 diabetes is a progressive metabolic disorder that develops when the body is unable to regulate blood glucose levels effectively due to insulin resistance and a gradual decline in insulin production. As discussed throughout this report, maintaining blood glucose homeostasis relies on the coordinated actions of the pancreas, insulin, glucagon and the liver. When this process is disrupted, persistently elevated blood glucose levels can lead to serious long-term complications that affect multiple body systems and reduce an individual's quality of life.</w:t>
      </w:r>
    </w:p>
    <w:p w14:paraId="51D21BD6" w14:textId="77777777" w:rsidR="00CA2B7B" w:rsidRPr="00837AE1" w:rsidRDefault="00CA2B7B" w:rsidP="00E5143A">
      <w:pPr>
        <w:spacing w:line="360" w:lineRule="auto"/>
        <w:rPr>
          <w:rFonts w:ascii="Arial" w:hAnsi="Arial" w:cs="Arial"/>
          <w:sz w:val="22"/>
          <w:szCs w:val="22"/>
        </w:rPr>
      </w:pPr>
      <w:r w:rsidRPr="00837AE1">
        <w:rPr>
          <w:rFonts w:ascii="Arial" w:hAnsi="Arial" w:cs="Arial"/>
          <w:sz w:val="22"/>
          <w:szCs w:val="22"/>
        </w:rPr>
        <w:t>This report has demonstrated the close relationship between anatomy, physiology and the pathophysiology of Type 2 diabetes. Understanding how blood glucose is normally regulated, how glucose is converted into energy through cellular metabolism and how these processes become impaired provides a strong foundation for understanding the condition and its management. Regular monitoring of blood glucose levels, including HbA1c testing and self-monitoring techniques, enables individuals and healthcare professionals to assess treatment effectiveness, identify patterns and make informed decisions that support improved glycaemic control.</w:t>
      </w:r>
    </w:p>
    <w:p w14:paraId="5AEB1607" w14:textId="476DBCA1" w:rsidR="00DC72C5" w:rsidRPr="00837AE1" w:rsidRDefault="00CA2B7B" w:rsidP="00E5143A">
      <w:pPr>
        <w:spacing w:line="360" w:lineRule="auto"/>
        <w:rPr>
          <w:rFonts w:ascii="Arial" w:hAnsi="Arial" w:cs="Arial"/>
          <w:b/>
          <w:bCs/>
          <w:sz w:val="22"/>
          <w:szCs w:val="22"/>
        </w:rPr>
      </w:pPr>
      <w:r w:rsidRPr="00837AE1">
        <w:rPr>
          <w:rFonts w:ascii="Arial" w:hAnsi="Arial" w:cs="Arial"/>
          <w:sz w:val="22"/>
          <w:szCs w:val="22"/>
        </w:rPr>
        <w:t xml:space="preserve">Evidence also shows that lifestyle interventions, including maintaining a healthy weight, following a balanced diet, engaging in regular physical activity and stopping smoking, </w:t>
      </w:r>
      <w:r w:rsidR="00DC72C5" w:rsidRPr="00837AE1">
        <w:rPr>
          <w:rFonts w:ascii="Arial" w:hAnsi="Arial" w:cs="Arial"/>
          <w:sz w:val="22"/>
          <w:szCs w:val="22"/>
        </w:rPr>
        <w:t xml:space="preserve">can </w:t>
      </w:r>
      <w:r w:rsidR="00DC72C5" w:rsidRPr="00837AE1">
        <w:rPr>
          <w:rFonts w:ascii="Arial" w:hAnsi="Arial" w:cs="Arial"/>
          <w:sz w:val="22"/>
          <w:szCs w:val="22"/>
        </w:rPr>
        <w:lastRenderedPageBreak/>
        <w:t>improve insulin sensitivity, help maintain blood glucose regulation and reduce the risk of diabetes-related complication</w:t>
      </w:r>
      <w:r w:rsidR="00DC72C5" w:rsidRPr="00837AE1">
        <w:rPr>
          <w:rFonts w:ascii="Arial" w:hAnsi="Arial" w:cs="Arial"/>
          <w:sz w:val="22"/>
          <w:szCs w:val="22"/>
        </w:rPr>
        <w:t xml:space="preserve">s. </w:t>
      </w:r>
      <w:r w:rsidRPr="00837AE1">
        <w:rPr>
          <w:rFonts w:ascii="Arial" w:hAnsi="Arial" w:cs="Arial"/>
          <w:sz w:val="22"/>
          <w:szCs w:val="22"/>
        </w:rPr>
        <w:t>Furthermore, patient education is fundamental to successful diabetes management, as individuals who understand their condition are more likely to engage with their care plans and make informed lifestyle choices</w:t>
      </w:r>
      <w:r w:rsidR="00DC72C5" w:rsidRPr="00837AE1">
        <w:rPr>
          <w:rFonts w:ascii="Arial" w:hAnsi="Arial" w:cs="Arial"/>
          <w:sz w:val="22"/>
          <w:szCs w:val="22"/>
        </w:rPr>
        <w:t>.</w:t>
      </w:r>
      <w:r w:rsidR="00DC72C5" w:rsidRPr="00837AE1">
        <w:rPr>
          <w:rFonts w:ascii="Arial" w:hAnsi="Arial" w:cs="Arial"/>
          <w:sz w:val="22"/>
          <w:szCs w:val="22"/>
        </w:rPr>
        <w:t xml:space="preserve"> By providing ongoing education, personalised support and evidence-based guidance, healthcare professionals can empower individuals to develop the knowledge, confidence and skills needed to successfully self-manage their condition. Ultimately, this collaborative approach promotes improved glycaemic control, reduces the risk of long-term complications and enhances both health outcomes and overall quality of life.</w:t>
      </w:r>
    </w:p>
    <w:p w14:paraId="5ED5CA77" w14:textId="77777777" w:rsidR="00DC72C5" w:rsidRPr="00837AE1" w:rsidRDefault="00DC72C5" w:rsidP="00E5143A">
      <w:pPr>
        <w:spacing w:line="360" w:lineRule="auto"/>
        <w:rPr>
          <w:rFonts w:ascii="Arial" w:hAnsi="Arial" w:cs="Arial"/>
          <w:b/>
          <w:bCs/>
          <w:sz w:val="22"/>
          <w:szCs w:val="22"/>
        </w:rPr>
      </w:pPr>
    </w:p>
    <w:p w14:paraId="1B6AF04D" w14:textId="77777777" w:rsidR="00326375" w:rsidRDefault="00326375" w:rsidP="00E5143A">
      <w:pPr>
        <w:spacing w:line="360" w:lineRule="auto"/>
        <w:rPr>
          <w:rFonts w:ascii="Arial" w:hAnsi="Arial" w:cs="Arial"/>
          <w:b/>
          <w:bCs/>
          <w:sz w:val="22"/>
          <w:szCs w:val="22"/>
        </w:rPr>
      </w:pPr>
    </w:p>
    <w:p w14:paraId="2D2585C0" w14:textId="77777777" w:rsidR="008E79BA" w:rsidRDefault="008E79BA" w:rsidP="00E5143A">
      <w:pPr>
        <w:spacing w:line="360" w:lineRule="auto"/>
        <w:rPr>
          <w:rFonts w:ascii="Arial" w:hAnsi="Arial" w:cs="Arial"/>
          <w:b/>
          <w:bCs/>
          <w:sz w:val="22"/>
          <w:szCs w:val="22"/>
        </w:rPr>
      </w:pPr>
    </w:p>
    <w:p w14:paraId="08295B08" w14:textId="77777777" w:rsidR="008E79BA" w:rsidRDefault="008E79BA" w:rsidP="00E5143A">
      <w:pPr>
        <w:spacing w:line="360" w:lineRule="auto"/>
        <w:rPr>
          <w:rFonts w:ascii="Arial" w:hAnsi="Arial" w:cs="Arial"/>
          <w:b/>
          <w:bCs/>
          <w:sz w:val="22"/>
          <w:szCs w:val="22"/>
        </w:rPr>
      </w:pPr>
    </w:p>
    <w:p w14:paraId="538F124F" w14:textId="77777777" w:rsidR="008E79BA" w:rsidRDefault="008E79BA" w:rsidP="00E5143A">
      <w:pPr>
        <w:spacing w:line="360" w:lineRule="auto"/>
        <w:rPr>
          <w:rFonts w:ascii="Arial" w:hAnsi="Arial" w:cs="Arial"/>
          <w:b/>
          <w:bCs/>
          <w:sz w:val="22"/>
          <w:szCs w:val="22"/>
        </w:rPr>
      </w:pPr>
    </w:p>
    <w:p w14:paraId="489EBD5F" w14:textId="77777777" w:rsidR="008E79BA" w:rsidRDefault="008E79BA" w:rsidP="00E5143A">
      <w:pPr>
        <w:spacing w:line="360" w:lineRule="auto"/>
        <w:rPr>
          <w:rFonts w:ascii="Arial" w:hAnsi="Arial" w:cs="Arial"/>
          <w:b/>
          <w:bCs/>
          <w:sz w:val="22"/>
          <w:szCs w:val="22"/>
        </w:rPr>
      </w:pPr>
    </w:p>
    <w:p w14:paraId="3277B055" w14:textId="77777777" w:rsidR="008E79BA" w:rsidRDefault="008E79BA" w:rsidP="00E5143A">
      <w:pPr>
        <w:spacing w:line="360" w:lineRule="auto"/>
        <w:rPr>
          <w:rFonts w:ascii="Arial" w:hAnsi="Arial" w:cs="Arial"/>
          <w:b/>
          <w:bCs/>
          <w:sz w:val="22"/>
          <w:szCs w:val="22"/>
        </w:rPr>
      </w:pPr>
    </w:p>
    <w:p w14:paraId="0D5EC9FC" w14:textId="77777777" w:rsidR="008E79BA" w:rsidRDefault="008E79BA" w:rsidP="00E5143A">
      <w:pPr>
        <w:spacing w:line="360" w:lineRule="auto"/>
        <w:rPr>
          <w:rFonts w:ascii="Arial" w:hAnsi="Arial" w:cs="Arial"/>
          <w:b/>
          <w:bCs/>
          <w:sz w:val="22"/>
          <w:szCs w:val="22"/>
        </w:rPr>
      </w:pPr>
    </w:p>
    <w:p w14:paraId="6A484A93" w14:textId="77777777" w:rsidR="008E79BA" w:rsidRDefault="008E79BA" w:rsidP="00E5143A">
      <w:pPr>
        <w:spacing w:line="360" w:lineRule="auto"/>
        <w:rPr>
          <w:rFonts w:ascii="Arial" w:hAnsi="Arial" w:cs="Arial"/>
          <w:b/>
          <w:bCs/>
          <w:sz w:val="22"/>
          <w:szCs w:val="22"/>
        </w:rPr>
      </w:pPr>
    </w:p>
    <w:p w14:paraId="2ED90D2D" w14:textId="77777777" w:rsidR="008E79BA" w:rsidRDefault="008E79BA" w:rsidP="00E5143A">
      <w:pPr>
        <w:spacing w:line="360" w:lineRule="auto"/>
        <w:rPr>
          <w:rFonts w:ascii="Arial" w:hAnsi="Arial" w:cs="Arial"/>
          <w:b/>
          <w:bCs/>
          <w:sz w:val="22"/>
          <w:szCs w:val="22"/>
        </w:rPr>
      </w:pPr>
    </w:p>
    <w:p w14:paraId="105C976D" w14:textId="77777777" w:rsidR="008E79BA" w:rsidRDefault="008E79BA" w:rsidP="00E5143A">
      <w:pPr>
        <w:spacing w:line="360" w:lineRule="auto"/>
        <w:rPr>
          <w:rFonts w:ascii="Arial" w:hAnsi="Arial" w:cs="Arial"/>
          <w:b/>
          <w:bCs/>
          <w:sz w:val="22"/>
          <w:szCs w:val="22"/>
        </w:rPr>
      </w:pPr>
    </w:p>
    <w:p w14:paraId="24D413E6" w14:textId="77777777" w:rsidR="008E79BA" w:rsidRDefault="008E79BA" w:rsidP="00E5143A">
      <w:pPr>
        <w:spacing w:line="360" w:lineRule="auto"/>
        <w:rPr>
          <w:rFonts w:ascii="Arial" w:hAnsi="Arial" w:cs="Arial"/>
          <w:b/>
          <w:bCs/>
          <w:sz w:val="22"/>
          <w:szCs w:val="22"/>
        </w:rPr>
      </w:pPr>
    </w:p>
    <w:p w14:paraId="2835EAE3" w14:textId="77777777" w:rsidR="008E79BA" w:rsidRDefault="008E79BA" w:rsidP="00E5143A">
      <w:pPr>
        <w:spacing w:line="360" w:lineRule="auto"/>
        <w:rPr>
          <w:rFonts w:ascii="Arial" w:hAnsi="Arial" w:cs="Arial"/>
          <w:b/>
          <w:bCs/>
          <w:sz w:val="22"/>
          <w:szCs w:val="22"/>
        </w:rPr>
      </w:pPr>
    </w:p>
    <w:p w14:paraId="43FFE8E7" w14:textId="77777777" w:rsidR="00E5143A" w:rsidRDefault="00E5143A" w:rsidP="00E5143A">
      <w:pPr>
        <w:spacing w:line="360" w:lineRule="auto"/>
        <w:rPr>
          <w:rFonts w:ascii="Arial" w:hAnsi="Arial" w:cs="Arial"/>
          <w:b/>
          <w:bCs/>
          <w:sz w:val="22"/>
          <w:szCs w:val="22"/>
        </w:rPr>
      </w:pPr>
    </w:p>
    <w:p w14:paraId="720ABE5A" w14:textId="77777777" w:rsidR="00E5143A" w:rsidRDefault="00E5143A" w:rsidP="00E5143A">
      <w:pPr>
        <w:spacing w:line="360" w:lineRule="auto"/>
        <w:rPr>
          <w:rFonts w:ascii="Arial" w:hAnsi="Arial" w:cs="Arial"/>
          <w:b/>
          <w:bCs/>
          <w:sz w:val="22"/>
          <w:szCs w:val="22"/>
        </w:rPr>
      </w:pPr>
    </w:p>
    <w:p w14:paraId="1B19D841" w14:textId="77777777" w:rsidR="00E5143A" w:rsidRDefault="00E5143A" w:rsidP="00E5143A">
      <w:pPr>
        <w:spacing w:line="360" w:lineRule="auto"/>
        <w:rPr>
          <w:rFonts w:ascii="Arial" w:hAnsi="Arial" w:cs="Arial"/>
          <w:b/>
          <w:bCs/>
          <w:sz w:val="22"/>
          <w:szCs w:val="22"/>
        </w:rPr>
      </w:pPr>
    </w:p>
    <w:p w14:paraId="4E0A2322" w14:textId="77777777" w:rsidR="00E5143A" w:rsidRDefault="00E5143A" w:rsidP="00E5143A">
      <w:pPr>
        <w:spacing w:line="360" w:lineRule="auto"/>
        <w:rPr>
          <w:rFonts w:ascii="Arial" w:hAnsi="Arial" w:cs="Arial"/>
          <w:b/>
          <w:bCs/>
          <w:sz w:val="22"/>
          <w:szCs w:val="22"/>
        </w:rPr>
      </w:pPr>
    </w:p>
    <w:p w14:paraId="173A59C7" w14:textId="77777777" w:rsidR="00326375" w:rsidRDefault="00326375" w:rsidP="00E5143A">
      <w:pPr>
        <w:spacing w:line="360" w:lineRule="auto"/>
        <w:rPr>
          <w:rFonts w:ascii="Arial" w:hAnsi="Arial" w:cs="Arial"/>
          <w:b/>
          <w:bCs/>
          <w:sz w:val="22"/>
          <w:szCs w:val="22"/>
        </w:rPr>
      </w:pPr>
    </w:p>
    <w:p w14:paraId="023C1CD9" w14:textId="77777777" w:rsidR="00E5143A" w:rsidRPr="00837AE1" w:rsidRDefault="00E5143A" w:rsidP="00E5143A">
      <w:pPr>
        <w:spacing w:line="360" w:lineRule="auto"/>
        <w:rPr>
          <w:rFonts w:ascii="Arial" w:hAnsi="Arial" w:cs="Arial"/>
          <w:b/>
          <w:bCs/>
          <w:sz w:val="22"/>
          <w:szCs w:val="22"/>
        </w:rPr>
      </w:pPr>
    </w:p>
    <w:p w14:paraId="55B888E1" w14:textId="38BBC46F" w:rsidR="00A24F1E" w:rsidRPr="00837AE1" w:rsidRDefault="00CA2B7B" w:rsidP="00E5143A">
      <w:pPr>
        <w:spacing w:line="360" w:lineRule="auto"/>
        <w:rPr>
          <w:rFonts w:ascii="Arial" w:hAnsi="Arial" w:cs="Arial"/>
          <w:b/>
          <w:bCs/>
          <w:sz w:val="22"/>
          <w:szCs w:val="22"/>
        </w:rPr>
      </w:pPr>
      <w:r w:rsidRPr="00837AE1">
        <w:rPr>
          <w:rFonts w:ascii="Arial" w:hAnsi="Arial" w:cs="Arial"/>
          <w:b/>
          <w:bCs/>
          <w:sz w:val="22"/>
          <w:szCs w:val="22"/>
        </w:rPr>
        <w:lastRenderedPageBreak/>
        <w:t>Reference</w:t>
      </w:r>
      <w:r w:rsidR="00DC72C5" w:rsidRPr="00837AE1">
        <w:rPr>
          <w:rFonts w:ascii="Arial" w:hAnsi="Arial" w:cs="Arial"/>
          <w:b/>
          <w:bCs/>
          <w:sz w:val="22"/>
          <w:szCs w:val="22"/>
        </w:rPr>
        <w:t>s</w:t>
      </w:r>
    </w:p>
    <w:p w14:paraId="56619B21" w14:textId="46AFEE7A" w:rsidR="00326375" w:rsidRPr="00837AE1" w:rsidRDefault="00326375" w:rsidP="00E5143A">
      <w:pPr>
        <w:spacing w:line="360" w:lineRule="auto"/>
        <w:rPr>
          <w:rFonts w:ascii="Arial" w:hAnsi="Arial" w:cs="Arial"/>
          <w:sz w:val="22"/>
          <w:szCs w:val="22"/>
        </w:rPr>
      </w:pPr>
      <w:r w:rsidRPr="00837AE1">
        <w:rPr>
          <w:rFonts w:ascii="Arial" w:hAnsi="Arial" w:cs="Arial"/>
          <w:sz w:val="22"/>
          <w:szCs w:val="22"/>
        </w:rPr>
        <w:t xml:space="preserve">Biology Online (n.d.) </w:t>
      </w:r>
      <w:r w:rsidR="00E5143A">
        <w:rPr>
          <w:rFonts w:ascii="Arial" w:hAnsi="Arial" w:cs="Arial"/>
          <w:sz w:val="22"/>
          <w:szCs w:val="22"/>
        </w:rPr>
        <w:t>‘</w:t>
      </w:r>
      <w:r w:rsidRPr="00837AE1">
        <w:rPr>
          <w:rFonts w:ascii="Arial" w:hAnsi="Arial" w:cs="Arial"/>
          <w:i/>
          <w:iCs/>
          <w:sz w:val="22"/>
          <w:szCs w:val="22"/>
        </w:rPr>
        <w:t>Sugar homeostasis</w:t>
      </w:r>
      <w:r w:rsidR="00E5143A">
        <w:rPr>
          <w:rFonts w:ascii="Arial" w:hAnsi="Arial" w:cs="Arial"/>
          <w:i/>
          <w:iCs/>
          <w:sz w:val="22"/>
          <w:szCs w:val="22"/>
        </w:rPr>
        <w:t>’</w:t>
      </w:r>
      <w:r w:rsidRPr="00837AE1">
        <w:rPr>
          <w:rFonts w:ascii="Arial" w:hAnsi="Arial" w:cs="Arial"/>
          <w:sz w:val="22"/>
          <w:szCs w:val="22"/>
        </w:rPr>
        <w:t xml:space="preserve">. Available at: </w:t>
      </w:r>
      <w:hyperlink r:id="rId11" w:history="1">
        <w:r w:rsidRPr="00837AE1">
          <w:rPr>
            <w:rStyle w:val="Hyperlink"/>
            <w:rFonts w:ascii="Arial" w:hAnsi="Arial" w:cs="Arial"/>
            <w:sz w:val="22"/>
            <w:szCs w:val="22"/>
          </w:rPr>
          <w:t>https://www.biologyonline.com/tutorials/sugar-homeostasis</w:t>
        </w:r>
      </w:hyperlink>
      <w:r w:rsidRPr="00837AE1">
        <w:rPr>
          <w:rFonts w:ascii="Arial" w:hAnsi="Arial" w:cs="Arial"/>
          <w:sz w:val="22"/>
          <w:szCs w:val="22"/>
        </w:rPr>
        <w:t xml:space="preserve"> </w:t>
      </w:r>
      <w:r w:rsidRPr="00837AE1">
        <w:rPr>
          <w:rFonts w:ascii="Arial" w:hAnsi="Arial" w:cs="Arial"/>
          <w:sz w:val="22"/>
          <w:szCs w:val="22"/>
        </w:rPr>
        <w:t>(Accessed: 04 July 2026).</w:t>
      </w:r>
    </w:p>
    <w:p w14:paraId="3F0B1E19" w14:textId="77777777" w:rsidR="003245FC" w:rsidRPr="00837AE1" w:rsidRDefault="003245FC" w:rsidP="00E5143A">
      <w:pPr>
        <w:spacing w:line="360" w:lineRule="auto"/>
        <w:rPr>
          <w:rFonts w:ascii="Arial" w:hAnsi="Arial" w:cs="Arial"/>
          <w:sz w:val="22"/>
          <w:szCs w:val="22"/>
        </w:rPr>
      </w:pPr>
      <w:r w:rsidRPr="00837AE1">
        <w:rPr>
          <w:rFonts w:ascii="Arial" w:hAnsi="Arial" w:cs="Arial"/>
          <w:sz w:val="22"/>
          <w:szCs w:val="22"/>
        </w:rPr>
        <w:t xml:space="preserve">Colberg, S.R., Sigal, R.J., Yardley, J.E., Riddell, M.C., Dunstan, D.W., Dempsey, P.C., Horton, E.S., Castorino, K. and Tate, D.F. (2016) 'Physical activity/exercise and diabetes: A position statement of the American Diabetes Association', </w:t>
      </w:r>
      <w:r w:rsidRPr="00837AE1">
        <w:rPr>
          <w:rFonts w:ascii="Arial" w:hAnsi="Arial" w:cs="Arial"/>
          <w:i/>
          <w:iCs/>
          <w:sz w:val="22"/>
          <w:szCs w:val="22"/>
        </w:rPr>
        <w:t>Diabetes Care</w:t>
      </w:r>
      <w:r w:rsidRPr="00837AE1">
        <w:rPr>
          <w:rFonts w:ascii="Arial" w:hAnsi="Arial" w:cs="Arial"/>
          <w:sz w:val="22"/>
          <w:szCs w:val="22"/>
        </w:rPr>
        <w:t xml:space="preserve">, 39(11), pp. 2065–2079. Available at: </w:t>
      </w:r>
      <w:hyperlink r:id="rId12" w:history="1">
        <w:r w:rsidRPr="00837AE1">
          <w:rPr>
            <w:rStyle w:val="Hyperlink"/>
            <w:rFonts w:ascii="Arial" w:hAnsi="Arial" w:cs="Arial"/>
            <w:sz w:val="22"/>
            <w:szCs w:val="22"/>
          </w:rPr>
          <w:t>https://pmc.ncbi.nlm.nih.gov/articles/PMC6908414/</w:t>
        </w:r>
      </w:hyperlink>
      <w:r w:rsidRPr="00837AE1">
        <w:rPr>
          <w:rFonts w:ascii="Arial" w:hAnsi="Arial" w:cs="Arial"/>
          <w:sz w:val="22"/>
          <w:szCs w:val="22"/>
        </w:rPr>
        <w:t xml:space="preserve"> (Accessed: 04 July 2026). </w:t>
      </w:r>
    </w:p>
    <w:p w14:paraId="0046F933" w14:textId="77777777" w:rsidR="003245FC" w:rsidRPr="00837AE1" w:rsidRDefault="003245FC" w:rsidP="00E5143A">
      <w:pPr>
        <w:spacing w:line="360" w:lineRule="auto"/>
        <w:rPr>
          <w:rFonts w:ascii="Arial" w:hAnsi="Arial" w:cs="Arial"/>
          <w:sz w:val="22"/>
          <w:szCs w:val="22"/>
        </w:rPr>
      </w:pPr>
      <w:proofErr w:type="spellStart"/>
      <w:r w:rsidRPr="00837AE1">
        <w:rPr>
          <w:rFonts w:ascii="Arial" w:hAnsi="Arial" w:cs="Arial"/>
          <w:sz w:val="22"/>
          <w:szCs w:val="22"/>
        </w:rPr>
        <w:t>Daghlas</w:t>
      </w:r>
      <w:proofErr w:type="spellEnd"/>
      <w:r w:rsidRPr="00837AE1">
        <w:rPr>
          <w:rFonts w:ascii="Arial" w:hAnsi="Arial" w:cs="Arial"/>
          <w:sz w:val="22"/>
          <w:szCs w:val="22"/>
        </w:rPr>
        <w:t xml:space="preserve">, S.A. and Rahimi, N. (2026) 'Biochemistry, Glycogen', </w:t>
      </w:r>
      <w:proofErr w:type="spellStart"/>
      <w:r w:rsidRPr="00837AE1">
        <w:rPr>
          <w:rFonts w:ascii="Arial" w:hAnsi="Arial" w:cs="Arial"/>
          <w:i/>
          <w:iCs/>
          <w:sz w:val="22"/>
          <w:szCs w:val="22"/>
        </w:rPr>
        <w:t>StatPearls</w:t>
      </w:r>
      <w:proofErr w:type="spellEnd"/>
      <w:r w:rsidRPr="00837AE1">
        <w:rPr>
          <w:rFonts w:ascii="Arial" w:hAnsi="Arial" w:cs="Arial"/>
          <w:sz w:val="22"/>
          <w:szCs w:val="22"/>
        </w:rPr>
        <w:t xml:space="preserve">. Available at: </w:t>
      </w:r>
      <w:hyperlink r:id="rId13" w:history="1">
        <w:r w:rsidRPr="00837AE1">
          <w:rPr>
            <w:rStyle w:val="Hyperlink"/>
            <w:rFonts w:ascii="Arial" w:hAnsi="Arial" w:cs="Arial"/>
            <w:sz w:val="22"/>
            <w:szCs w:val="22"/>
          </w:rPr>
          <w:t>https://www.ncbi.nlm.nih.gov/sites/books/NBK539802/?report=classic</w:t>
        </w:r>
      </w:hyperlink>
      <w:r w:rsidRPr="00837AE1">
        <w:rPr>
          <w:rFonts w:ascii="Arial" w:hAnsi="Arial" w:cs="Arial"/>
          <w:sz w:val="22"/>
          <w:szCs w:val="22"/>
        </w:rPr>
        <w:t xml:space="preserve"> (Accessed: 04 July 2026). </w:t>
      </w:r>
    </w:p>
    <w:p w14:paraId="7733A57E" w14:textId="77777777" w:rsidR="003245FC" w:rsidRPr="00837AE1" w:rsidRDefault="003245FC" w:rsidP="00E5143A">
      <w:pPr>
        <w:spacing w:line="360" w:lineRule="auto"/>
        <w:rPr>
          <w:rFonts w:ascii="Arial" w:hAnsi="Arial" w:cs="Arial"/>
          <w:sz w:val="22"/>
          <w:szCs w:val="22"/>
        </w:rPr>
      </w:pPr>
      <w:r w:rsidRPr="00837AE1">
        <w:rPr>
          <w:rFonts w:ascii="Arial" w:hAnsi="Arial" w:cs="Arial"/>
          <w:sz w:val="22"/>
          <w:szCs w:val="22"/>
        </w:rPr>
        <w:t xml:space="preserve">Diabetes UK (2024) </w:t>
      </w:r>
      <w:r w:rsidRPr="00837AE1">
        <w:rPr>
          <w:rFonts w:ascii="Arial" w:hAnsi="Arial" w:cs="Arial"/>
          <w:i/>
          <w:iCs/>
          <w:sz w:val="22"/>
          <w:szCs w:val="22"/>
        </w:rPr>
        <w:t>Type 2 diabetes</w:t>
      </w:r>
      <w:r w:rsidRPr="00837AE1">
        <w:rPr>
          <w:rFonts w:ascii="Arial" w:hAnsi="Arial" w:cs="Arial"/>
          <w:sz w:val="22"/>
          <w:szCs w:val="22"/>
        </w:rPr>
        <w:t xml:space="preserve">. Available at: </w:t>
      </w:r>
      <w:hyperlink r:id="rId14" w:history="1">
        <w:r w:rsidRPr="00837AE1">
          <w:rPr>
            <w:rStyle w:val="Hyperlink"/>
            <w:rFonts w:ascii="Arial" w:hAnsi="Arial" w:cs="Arial"/>
            <w:sz w:val="22"/>
            <w:szCs w:val="22"/>
          </w:rPr>
          <w:t>https://www.diabetes.org.uk/about-diabetes/type-2-diabetes</w:t>
        </w:r>
      </w:hyperlink>
      <w:r w:rsidRPr="00837AE1">
        <w:rPr>
          <w:rFonts w:ascii="Arial" w:hAnsi="Arial" w:cs="Arial"/>
          <w:sz w:val="22"/>
          <w:szCs w:val="22"/>
        </w:rPr>
        <w:t xml:space="preserve"> (Accessed: 04 July 2026). </w:t>
      </w:r>
    </w:p>
    <w:p w14:paraId="3B87D52C" w14:textId="77777777" w:rsidR="003245FC" w:rsidRPr="00837AE1" w:rsidRDefault="003245FC" w:rsidP="00E5143A">
      <w:pPr>
        <w:spacing w:line="360" w:lineRule="auto"/>
        <w:rPr>
          <w:rFonts w:ascii="Arial" w:hAnsi="Arial" w:cs="Arial"/>
          <w:sz w:val="22"/>
          <w:szCs w:val="22"/>
        </w:rPr>
      </w:pPr>
      <w:r w:rsidRPr="00837AE1">
        <w:rPr>
          <w:rFonts w:ascii="Arial" w:hAnsi="Arial" w:cs="Arial"/>
          <w:sz w:val="22"/>
          <w:szCs w:val="22"/>
        </w:rPr>
        <w:t xml:space="preserve">Jancev, M., Vissers, T.A., </w:t>
      </w:r>
      <w:proofErr w:type="spellStart"/>
      <w:r w:rsidRPr="00837AE1">
        <w:rPr>
          <w:rFonts w:ascii="Arial" w:hAnsi="Arial" w:cs="Arial"/>
          <w:sz w:val="22"/>
          <w:szCs w:val="22"/>
        </w:rPr>
        <w:t>Visseren</w:t>
      </w:r>
      <w:proofErr w:type="spellEnd"/>
      <w:r w:rsidRPr="00837AE1">
        <w:rPr>
          <w:rFonts w:ascii="Arial" w:hAnsi="Arial" w:cs="Arial"/>
          <w:sz w:val="22"/>
          <w:szCs w:val="22"/>
        </w:rPr>
        <w:t xml:space="preserve">, F.L., van Bon, A.C., </w:t>
      </w:r>
      <w:proofErr w:type="spellStart"/>
      <w:r w:rsidRPr="00837AE1">
        <w:rPr>
          <w:rFonts w:ascii="Arial" w:hAnsi="Arial" w:cs="Arial"/>
          <w:sz w:val="22"/>
          <w:szCs w:val="22"/>
        </w:rPr>
        <w:t>Serné</w:t>
      </w:r>
      <w:proofErr w:type="spellEnd"/>
      <w:r w:rsidRPr="00837AE1">
        <w:rPr>
          <w:rFonts w:ascii="Arial" w:hAnsi="Arial" w:cs="Arial"/>
          <w:sz w:val="22"/>
          <w:szCs w:val="22"/>
        </w:rPr>
        <w:t xml:space="preserve">, E.H., DeVries, J.H., de Valk, H.W. and van </w:t>
      </w:r>
      <w:proofErr w:type="spellStart"/>
      <w:r w:rsidRPr="00837AE1">
        <w:rPr>
          <w:rFonts w:ascii="Arial" w:hAnsi="Arial" w:cs="Arial"/>
          <w:sz w:val="22"/>
          <w:szCs w:val="22"/>
        </w:rPr>
        <w:t>Sloten</w:t>
      </w:r>
      <w:proofErr w:type="spellEnd"/>
      <w:r w:rsidRPr="00837AE1">
        <w:rPr>
          <w:rFonts w:ascii="Arial" w:hAnsi="Arial" w:cs="Arial"/>
          <w:sz w:val="22"/>
          <w:szCs w:val="22"/>
        </w:rPr>
        <w:t xml:space="preserve">, T.T. (2024) 'Continuous glucose monitoring in adults with type 2 diabetes: a systematic review and meta-analysis', </w:t>
      </w:r>
      <w:proofErr w:type="spellStart"/>
      <w:r w:rsidRPr="00837AE1">
        <w:rPr>
          <w:rFonts w:ascii="Arial" w:hAnsi="Arial" w:cs="Arial"/>
          <w:i/>
          <w:iCs/>
          <w:sz w:val="22"/>
          <w:szCs w:val="22"/>
        </w:rPr>
        <w:t>Diabetologia</w:t>
      </w:r>
      <w:proofErr w:type="spellEnd"/>
      <w:r w:rsidRPr="00837AE1">
        <w:rPr>
          <w:rFonts w:ascii="Arial" w:hAnsi="Arial" w:cs="Arial"/>
          <w:sz w:val="22"/>
          <w:szCs w:val="22"/>
        </w:rPr>
        <w:t xml:space="preserve">, 67(5), pp. 798–810. Available at: </w:t>
      </w:r>
      <w:hyperlink r:id="rId15" w:history="1">
        <w:r w:rsidRPr="00837AE1">
          <w:rPr>
            <w:rStyle w:val="Hyperlink"/>
            <w:rFonts w:ascii="Arial" w:hAnsi="Arial" w:cs="Arial"/>
            <w:sz w:val="22"/>
            <w:szCs w:val="22"/>
          </w:rPr>
          <w:t>https://link.springer.com/article/10.1007/s00125-024-06107-6</w:t>
        </w:r>
      </w:hyperlink>
      <w:r w:rsidRPr="00837AE1">
        <w:rPr>
          <w:rFonts w:ascii="Arial" w:hAnsi="Arial" w:cs="Arial"/>
          <w:sz w:val="22"/>
          <w:szCs w:val="22"/>
        </w:rPr>
        <w:t xml:space="preserve"> (Accessed: 04 July 2026). </w:t>
      </w:r>
    </w:p>
    <w:p w14:paraId="390ADED5" w14:textId="77777777" w:rsidR="003245FC" w:rsidRPr="00837AE1" w:rsidRDefault="003245FC" w:rsidP="00E5143A">
      <w:pPr>
        <w:spacing w:line="360" w:lineRule="auto"/>
        <w:rPr>
          <w:rFonts w:ascii="Arial" w:hAnsi="Arial" w:cs="Arial"/>
          <w:sz w:val="22"/>
          <w:szCs w:val="22"/>
        </w:rPr>
      </w:pPr>
      <w:r w:rsidRPr="00837AE1">
        <w:rPr>
          <w:rFonts w:ascii="Arial" w:hAnsi="Arial" w:cs="Arial"/>
          <w:sz w:val="22"/>
          <w:szCs w:val="22"/>
        </w:rPr>
        <w:t xml:space="preserve">Lean, M.E.J., Leslie, W.S., Barnes, A.C., Brosnahan, N., Thom, G., McCombie, L., Peters, C., </w:t>
      </w:r>
      <w:proofErr w:type="spellStart"/>
      <w:r w:rsidRPr="00837AE1">
        <w:rPr>
          <w:rFonts w:ascii="Arial" w:hAnsi="Arial" w:cs="Arial"/>
          <w:sz w:val="22"/>
          <w:szCs w:val="22"/>
        </w:rPr>
        <w:t>Zhyzhneuskaya</w:t>
      </w:r>
      <w:proofErr w:type="spellEnd"/>
      <w:r w:rsidRPr="00837AE1">
        <w:rPr>
          <w:rFonts w:ascii="Arial" w:hAnsi="Arial" w:cs="Arial"/>
          <w:sz w:val="22"/>
          <w:szCs w:val="22"/>
        </w:rPr>
        <w:t>, S., Al-</w:t>
      </w:r>
      <w:proofErr w:type="spellStart"/>
      <w:r w:rsidRPr="00837AE1">
        <w:rPr>
          <w:rFonts w:ascii="Arial" w:hAnsi="Arial" w:cs="Arial"/>
          <w:sz w:val="22"/>
          <w:szCs w:val="22"/>
        </w:rPr>
        <w:t>Mrabeh</w:t>
      </w:r>
      <w:proofErr w:type="spellEnd"/>
      <w:r w:rsidRPr="00837AE1">
        <w:rPr>
          <w:rFonts w:ascii="Arial" w:hAnsi="Arial" w:cs="Arial"/>
          <w:sz w:val="22"/>
          <w:szCs w:val="22"/>
        </w:rPr>
        <w:t>, A., Hollingsworth, K.G., Rodrigues, A.M., Rehackova, L., Adamson, A.J., Sniehotta, F.F., Mathers, J.C., Ross, H.M., McIlvenna, Y., Stefanetti, R., Trenell, M., Welsh, P., Kean, S., Ford, I., McConnachie, A., Sattar, N. and Taylor, R. (2018) 'Primary care-led weight management for remission of type 2 diabetes (</w:t>
      </w:r>
      <w:proofErr w:type="spellStart"/>
      <w:r w:rsidRPr="00837AE1">
        <w:rPr>
          <w:rFonts w:ascii="Arial" w:hAnsi="Arial" w:cs="Arial"/>
          <w:sz w:val="22"/>
          <w:szCs w:val="22"/>
        </w:rPr>
        <w:t>DiRECT</w:t>
      </w:r>
      <w:proofErr w:type="spellEnd"/>
      <w:r w:rsidRPr="00837AE1">
        <w:rPr>
          <w:rFonts w:ascii="Arial" w:hAnsi="Arial" w:cs="Arial"/>
          <w:sz w:val="22"/>
          <w:szCs w:val="22"/>
        </w:rPr>
        <w:t xml:space="preserve">): an open-label, cluster-randomised trial', </w:t>
      </w:r>
      <w:r w:rsidRPr="00837AE1">
        <w:rPr>
          <w:rFonts w:ascii="Arial" w:hAnsi="Arial" w:cs="Arial"/>
          <w:i/>
          <w:iCs/>
          <w:sz w:val="22"/>
          <w:szCs w:val="22"/>
        </w:rPr>
        <w:t>The Lancet</w:t>
      </w:r>
      <w:r w:rsidRPr="00837AE1">
        <w:rPr>
          <w:rFonts w:ascii="Arial" w:hAnsi="Arial" w:cs="Arial"/>
          <w:sz w:val="22"/>
          <w:szCs w:val="22"/>
        </w:rPr>
        <w:t xml:space="preserve">, 391(10120), pp. 541–551. Available at: </w:t>
      </w:r>
      <w:hyperlink r:id="rId16" w:history="1">
        <w:r w:rsidRPr="00837AE1">
          <w:rPr>
            <w:rStyle w:val="Hyperlink"/>
            <w:rFonts w:ascii="Arial" w:hAnsi="Arial" w:cs="Arial"/>
            <w:sz w:val="22"/>
            <w:szCs w:val="22"/>
          </w:rPr>
          <w:t>https://www.thelancet.com/journals/lancet/article</w:t>
        </w:r>
        <w:r w:rsidRPr="00837AE1">
          <w:rPr>
            <w:rStyle w:val="Hyperlink"/>
            <w:rFonts w:ascii="Arial" w:hAnsi="Arial" w:cs="Arial"/>
            <w:sz w:val="22"/>
            <w:szCs w:val="22"/>
          </w:rPr>
          <w:t>/</w:t>
        </w:r>
        <w:r w:rsidRPr="00837AE1">
          <w:rPr>
            <w:rStyle w:val="Hyperlink"/>
            <w:rFonts w:ascii="Arial" w:hAnsi="Arial" w:cs="Arial"/>
            <w:sz w:val="22"/>
            <w:szCs w:val="22"/>
          </w:rPr>
          <w:t>PIIS0140-6736(17)33102-1/abstract?cc=y</w:t>
        </w:r>
      </w:hyperlink>
      <w:r w:rsidRPr="00837AE1">
        <w:rPr>
          <w:rFonts w:ascii="Arial" w:hAnsi="Arial" w:cs="Arial"/>
          <w:sz w:val="22"/>
          <w:szCs w:val="22"/>
        </w:rPr>
        <w:t xml:space="preserve"> (Accessed: 04 July 2026). </w:t>
      </w:r>
    </w:p>
    <w:p w14:paraId="25063720" w14:textId="77777777" w:rsidR="00021FF5" w:rsidRPr="00837AE1" w:rsidRDefault="00021FF5" w:rsidP="00E5143A">
      <w:pPr>
        <w:spacing w:line="360" w:lineRule="auto"/>
        <w:rPr>
          <w:rFonts w:ascii="Arial" w:hAnsi="Arial" w:cs="Arial"/>
          <w:sz w:val="22"/>
          <w:szCs w:val="22"/>
        </w:rPr>
      </w:pPr>
      <w:r w:rsidRPr="00837AE1">
        <w:rPr>
          <w:rFonts w:ascii="Arial" w:hAnsi="Arial" w:cs="Arial"/>
          <w:sz w:val="22"/>
          <w:szCs w:val="22"/>
        </w:rPr>
        <w:t xml:space="preserve">Liang, K.X. (2024) 'Interplay of mitochondria and diabetes: Unveiling novel therapeutic strategies', </w:t>
      </w:r>
      <w:r w:rsidRPr="00837AE1">
        <w:rPr>
          <w:rFonts w:ascii="Arial" w:hAnsi="Arial" w:cs="Arial"/>
          <w:i/>
          <w:iCs/>
          <w:sz w:val="22"/>
          <w:szCs w:val="22"/>
        </w:rPr>
        <w:t>Mitochondrion</w:t>
      </w:r>
      <w:r w:rsidRPr="00837AE1">
        <w:rPr>
          <w:rFonts w:ascii="Arial" w:hAnsi="Arial" w:cs="Arial"/>
          <w:sz w:val="22"/>
          <w:szCs w:val="22"/>
        </w:rPr>
        <w:t xml:space="preserve">, 75, 101850. Available at: </w:t>
      </w:r>
      <w:hyperlink r:id="rId17" w:history="1">
        <w:r w:rsidRPr="00837AE1">
          <w:rPr>
            <w:rStyle w:val="Hyperlink"/>
            <w:rFonts w:ascii="Arial" w:hAnsi="Arial" w:cs="Arial"/>
            <w:sz w:val="22"/>
            <w:szCs w:val="22"/>
          </w:rPr>
          <w:t>https://www.sciencedirect.com/science/article/pii/S1567724924000084</w:t>
        </w:r>
      </w:hyperlink>
      <w:r w:rsidRPr="00837AE1">
        <w:rPr>
          <w:rFonts w:ascii="Arial" w:hAnsi="Arial" w:cs="Arial"/>
          <w:sz w:val="22"/>
          <w:szCs w:val="22"/>
        </w:rPr>
        <w:t xml:space="preserve"> (Accessed: 04 July 2026). </w:t>
      </w:r>
    </w:p>
    <w:p w14:paraId="4C8EEC82" w14:textId="77777777" w:rsidR="003245FC" w:rsidRPr="00837AE1" w:rsidRDefault="003245FC" w:rsidP="00E5143A">
      <w:pPr>
        <w:spacing w:line="360" w:lineRule="auto"/>
        <w:rPr>
          <w:rFonts w:ascii="Arial" w:hAnsi="Arial" w:cs="Arial"/>
          <w:sz w:val="22"/>
          <w:szCs w:val="22"/>
        </w:rPr>
      </w:pPr>
      <w:proofErr w:type="spellStart"/>
      <w:r w:rsidRPr="00837AE1">
        <w:rPr>
          <w:rFonts w:ascii="Arial" w:hAnsi="Arial" w:cs="Arial"/>
          <w:sz w:val="22"/>
          <w:szCs w:val="22"/>
        </w:rPr>
        <w:t>Nakrani</w:t>
      </w:r>
      <w:proofErr w:type="spellEnd"/>
      <w:r w:rsidRPr="00837AE1">
        <w:rPr>
          <w:rFonts w:ascii="Arial" w:hAnsi="Arial" w:cs="Arial"/>
          <w:sz w:val="22"/>
          <w:szCs w:val="22"/>
        </w:rPr>
        <w:t xml:space="preserve">, M.N., Wineland, R.H., Anjum, F. and </w:t>
      </w:r>
      <w:proofErr w:type="spellStart"/>
      <w:r w:rsidRPr="00837AE1">
        <w:rPr>
          <w:rFonts w:ascii="Arial" w:hAnsi="Arial" w:cs="Arial"/>
          <w:sz w:val="22"/>
          <w:szCs w:val="22"/>
        </w:rPr>
        <w:t>Aeddula</w:t>
      </w:r>
      <w:proofErr w:type="spellEnd"/>
      <w:r w:rsidRPr="00837AE1">
        <w:rPr>
          <w:rFonts w:ascii="Arial" w:hAnsi="Arial" w:cs="Arial"/>
          <w:sz w:val="22"/>
          <w:szCs w:val="22"/>
        </w:rPr>
        <w:t xml:space="preserve">, N.R. (2023) 'Physiology, glucose metabolism', </w:t>
      </w:r>
      <w:proofErr w:type="spellStart"/>
      <w:r w:rsidRPr="00837AE1">
        <w:rPr>
          <w:rFonts w:ascii="Arial" w:hAnsi="Arial" w:cs="Arial"/>
          <w:i/>
          <w:iCs/>
          <w:sz w:val="22"/>
          <w:szCs w:val="22"/>
        </w:rPr>
        <w:t>StatPearls</w:t>
      </w:r>
      <w:proofErr w:type="spellEnd"/>
      <w:r w:rsidRPr="00837AE1">
        <w:rPr>
          <w:rFonts w:ascii="Arial" w:hAnsi="Arial" w:cs="Arial"/>
          <w:sz w:val="22"/>
          <w:szCs w:val="22"/>
        </w:rPr>
        <w:t xml:space="preserve">. Available at: </w:t>
      </w:r>
      <w:hyperlink r:id="rId18" w:history="1">
        <w:r w:rsidRPr="00837AE1">
          <w:rPr>
            <w:rStyle w:val="Hyperlink"/>
            <w:rFonts w:ascii="Arial" w:hAnsi="Arial" w:cs="Arial"/>
            <w:sz w:val="22"/>
            <w:szCs w:val="22"/>
          </w:rPr>
          <w:t>https://europepmc.org/article/NBK/nbk560599</w:t>
        </w:r>
      </w:hyperlink>
      <w:r w:rsidRPr="00837AE1">
        <w:rPr>
          <w:rFonts w:ascii="Arial" w:hAnsi="Arial" w:cs="Arial"/>
          <w:sz w:val="22"/>
          <w:szCs w:val="22"/>
        </w:rPr>
        <w:t xml:space="preserve"> (Accessed: 04 July 2026). </w:t>
      </w:r>
    </w:p>
    <w:p w14:paraId="1A79014F" w14:textId="716E9B12" w:rsidR="00021FF5" w:rsidRPr="00837AE1" w:rsidRDefault="00021FF5" w:rsidP="00E5143A">
      <w:pPr>
        <w:spacing w:line="360" w:lineRule="auto"/>
        <w:rPr>
          <w:rFonts w:ascii="Arial" w:hAnsi="Arial" w:cs="Arial"/>
          <w:sz w:val="22"/>
          <w:szCs w:val="22"/>
        </w:rPr>
      </w:pPr>
      <w:r w:rsidRPr="00837AE1">
        <w:rPr>
          <w:rFonts w:ascii="Arial" w:hAnsi="Arial" w:cs="Arial"/>
          <w:sz w:val="22"/>
          <w:szCs w:val="22"/>
        </w:rPr>
        <w:lastRenderedPageBreak/>
        <w:t xml:space="preserve">National Institute for Health and Care Excellence (2022) </w:t>
      </w:r>
      <w:r w:rsidRPr="00837AE1">
        <w:rPr>
          <w:rFonts w:ascii="Arial" w:hAnsi="Arial" w:cs="Arial"/>
          <w:i/>
          <w:iCs/>
          <w:sz w:val="22"/>
          <w:szCs w:val="22"/>
        </w:rPr>
        <w:t>Type 2 diabetes in adults: management (NG28).</w:t>
      </w:r>
      <w:r w:rsidRPr="00837AE1">
        <w:rPr>
          <w:rFonts w:ascii="Arial" w:hAnsi="Arial" w:cs="Arial"/>
          <w:sz w:val="22"/>
          <w:szCs w:val="22"/>
        </w:rPr>
        <w:t xml:space="preserve"> Available at: </w:t>
      </w:r>
      <w:hyperlink r:id="rId19" w:history="1">
        <w:r w:rsidRPr="00837AE1">
          <w:rPr>
            <w:rStyle w:val="Hyperlink"/>
            <w:rFonts w:ascii="Arial" w:hAnsi="Arial" w:cs="Arial"/>
            <w:sz w:val="22"/>
            <w:szCs w:val="22"/>
          </w:rPr>
          <w:t>https://www.nice.org.uk/guidance/ng28</w:t>
        </w:r>
      </w:hyperlink>
      <w:r w:rsidRPr="00837AE1">
        <w:rPr>
          <w:rFonts w:ascii="Arial" w:hAnsi="Arial" w:cs="Arial"/>
          <w:sz w:val="22"/>
          <w:szCs w:val="22"/>
        </w:rPr>
        <w:t xml:space="preserve"> (Accessed: 04 July 2026). </w:t>
      </w:r>
    </w:p>
    <w:p w14:paraId="6CD1C26A" w14:textId="1BA150A4" w:rsidR="003245FC" w:rsidRPr="00837AE1" w:rsidRDefault="003245FC" w:rsidP="00E5143A">
      <w:pPr>
        <w:spacing w:line="360" w:lineRule="auto"/>
        <w:rPr>
          <w:rFonts w:ascii="Arial" w:hAnsi="Arial" w:cs="Arial"/>
          <w:sz w:val="22"/>
          <w:szCs w:val="22"/>
        </w:rPr>
      </w:pPr>
      <w:r w:rsidRPr="00837AE1">
        <w:rPr>
          <w:rFonts w:ascii="Arial" w:hAnsi="Arial" w:cs="Arial"/>
          <w:sz w:val="22"/>
          <w:szCs w:val="22"/>
        </w:rPr>
        <w:t xml:space="preserve">NHS (2024) </w:t>
      </w:r>
      <w:r w:rsidRPr="00837AE1">
        <w:rPr>
          <w:rFonts w:ascii="Arial" w:hAnsi="Arial" w:cs="Arial"/>
          <w:i/>
          <w:iCs/>
          <w:sz w:val="22"/>
          <w:szCs w:val="22"/>
        </w:rPr>
        <w:t>Type 2 diabetes</w:t>
      </w:r>
      <w:r w:rsidRPr="00837AE1">
        <w:rPr>
          <w:rFonts w:ascii="Arial" w:hAnsi="Arial" w:cs="Arial"/>
          <w:sz w:val="22"/>
          <w:szCs w:val="22"/>
        </w:rPr>
        <w:t xml:space="preserve">. Available at: </w:t>
      </w:r>
      <w:hyperlink r:id="rId20" w:history="1">
        <w:r w:rsidRPr="00837AE1">
          <w:rPr>
            <w:rStyle w:val="Hyperlink"/>
            <w:rFonts w:ascii="Arial" w:hAnsi="Arial" w:cs="Arial"/>
            <w:sz w:val="22"/>
            <w:szCs w:val="22"/>
          </w:rPr>
          <w:t>https://www.nhs.uk/conditions/type-2-diabetes/</w:t>
        </w:r>
      </w:hyperlink>
      <w:r w:rsidRPr="00837AE1">
        <w:rPr>
          <w:rFonts w:ascii="Arial" w:hAnsi="Arial" w:cs="Arial"/>
          <w:sz w:val="22"/>
          <w:szCs w:val="22"/>
        </w:rPr>
        <w:t xml:space="preserve"> (Accessed: 04 July 2026). </w:t>
      </w:r>
    </w:p>
    <w:p w14:paraId="0C34E94E" w14:textId="77777777" w:rsidR="003245FC" w:rsidRPr="00837AE1" w:rsidRDefault="003245FC" w:rsidP="00E5143A">
      <w:pPr>
        <w:spacing w:line="360" w:lineRule="auto"/>
        <w:rPr>
          <w:rFonts w:ascii="Arial" w:hAnsi="Arial" w:cs="Arial"/>
          <w:sz w:val="22"/>
          <w:szCs w:val="22"/>
        </w:rPr>
      </w:pPr>
      <w:r w:rsidRPr="00837AE1">
        <w:rPr>
          <w:rFonts w:ascii="Arial" w:hAnsi="Arial" w:cs="Arial"/>
          <w:sz w:val="22"/>
          <w:szCs w:val="22"/>
        </w:rPr>
        <w:t xml:space="preserve">Ojha, A., Ojha, U., Mohammed, R., Chandrashekar, A. and Ojha, H. (2019) 'Current perspective on the role of insulin and glucagon in the pathogenesis and treatment of type 2 diabetes mellitus', </w:t>
      </w:r>
      <w:r w:rsidRPr="00837AE1">
        <w:rPr>
          <w:rFonts w:ascii="Arial" w:hAnsi="Arial" w:cs="Arial"/>
          <w:i/>
          <w:iCs/>
          <w:sz w:val="22"/>
          <w:szCs w:val="22"/>
        </w:rPr>
        <w:t>Clinical Pharmacology: Advances and Applications</w:t>
      </w:r>
      <w:r w:rsidRPr="00837AE1">
        <w:rPr>
          <w:rFonts w:ascii="Arial" w:hAnsi="Arial" w:cs="Arial"/>
          <w:sz w:val="22"/>
          <w:szCs w:val="22"/>
        </w:rPr>
        <w:t xml:space="preserve">, 11, pp. 57–65. Available at: </w:t>
      </w:r>
      <w:hyperlink r:id="rId21" w:history="1">
        <w:r w:rsidRPr="00837AE1">
          <w:rPr>
            <w:rStyle w:val="Hyperlink"/>
            <w:rFonts w:ascii="Arial" w:hAnsi="Arial" w:cs="Arial"/>
            <w:sz w:val="22"/>
            <w:szCs w:val="22"/>
          </w:rPr>
          <w:t>https://www.tandfonli</w:t>
        </w:r>
        <w:r w:rsidRPr="00837AE1">
          <w:rPr>
            <w:rStyle w:val="Hyperlink"/>
            <w:rFonts w:ascii="Arial" w:hAnsi="Arial" w:cs="Arial"/>
            <w:sz w:val="22"/>
            <w:szCs w:val="22"/>
          </w:rPr>
          <w:t>n</w:t>
        </w:r>
        <w:r w:rsidRPr="00837AE1">
          <w:rPr>
            <w:rStyle w:val="Hyperlink"/>
            <w:rFonts w:ascii="Arial" w:hAnsi="Arial" w:cs="Arial"/>
            <w:sz w:val="22"/>
            <w:szCs w:val="22"/>
          </w:rPr>
          <w:t>e.com/doi/full/10.2147/CPAA.S202614</w:t>
        </w:r>
      </w:hyperlink>
      <w:r w:rsidRPr="00837AE1">
        <w:rPr>
          <w:rFonts w:ascii="Arial" w:hAnsi="Arial" w:cs="Arial"/>
          <w:sz w:val="22"/>
          <w:szCs w:val="22"/>
        </w:rPr>
        <w:t xml:space="preserve"> (Accessed: 04 July 2026). </w:t>
      </w:r>
    </w:p>
    <w:p w14:paraId="6A390676" w14:textId="77777777" w:rsidR="003245FC" w:rsidRPr="00837AE1" w:rsidRDefault="003245FC" w:rsidP="00E5143A">
      <w:pPr>
        <w:spacing w:line="360" w:lineRule="auto"/>
        <w:rPr>
          <w:rFonts w:ascii="Arial" w:hAnsi="Arial" w:cs="Arial"/>
          <w:sz w:val="22"/>
          <w:szCs w:val="22"/>
        </w:rPr>
      </w:pPr>
      <w:r w:rsidRPr="00837AE1">
        <w:rPr>
          <w:rFonts w:ascii="Arial" w:hAnsi="Arial" w:cs="Arial"/>
          <w:sz w:val="22"/>
          <w:szCs w:val="22"/>
        </w:rPr>
        <w:t xml:space="preserve">Röder, P.V., Wu, B., Liu, Y. and Han, W. (2016) 'Pancreatic regulation of glucose homeostasis', </w:t>
      </w:r>
      <w:r w:rsidRPr="00837AE1">
        <w:rPr>
          <w:rFonts w:ascii="Arial" w:hAnsi="Arial" w:cs="Arial"/>
          <w:i/>
          <w:iCs/>
          <w:sz w:val="22"/>
          <w:szCs w:val="22"/>
        </w:rPr>
        <w:t>Experimental &amp; Molecular Medicine</w:t>
      </w:r>
      <w:r w:rsidRPr="00837AE1">
        <w:rPr>
          <w:rFonts w:ascii="Arial" w:hAnsi="Arial" w:cs="Arial"/>
          <w:sz w:val="22"/>
          <w:szCs w:val="22"/>
        </w:rPr>
        <w:t xml:space="preserve">, 48(3), e219. Available at: </w:t>
      </w:r>
      <w:hyperlink r:id="rId22" w:history="1">
        <w:r w:rsidRPr="00837AE1">
          <w:rPr>
            <w:rStyle w:val="Hyperlink"/>
            <w:rFonts w:ascii="Arial" w:hAnsi="Arial" w:cs="Arial"/>
            <w:sz w:val="22"/>
            <w:szCs w:val="22"/>
          </w:rPr>
          <w:t>https://www.nature</w:t>
        </w:r>
        <w:r w:rsidRPr="00837AE1">
          <w:rPr>
            <w:rStyle w:val="Hyperlink"/>
            <w:rFonts w:ascii="Arial" w:hAnsi="Arial" w:cs="Arial"/>
            <w:sz w:val="22"/>
            <w:szCs w:val="22"/>
          </w:rPr>
          <w:t>.</w:t>
        </w:r>
        <w:r w:rsidRPr="00837AE1">
          <w:rPr>
            <w:rStyle w:val="Hyperlink"/>
            <w:rFonts w:ascii="Arial" w:hAnsi="Arial" w:cs="Arial"/>
            <w:sz w:val="22"/>
            <w:szCs w:val="22"/>
          </w:rPr>
          <w:t>com/articles/emm20166</w:t>
        </w:r>
      </w:hyperlink>
      <w:r w:rsidRPr="00837AE1">
        <w:rPr>
          <w:rFonts w:ascii="Arial" w:hAnsi="Arial" w:cs="Arial"/>
          <w:sz w:val="22"/>
          <w:szCs w:val="22"/>
        </w:rPr>
        <w:t xml:space="preserve"> (Accessed: 04 July 2026). </w:t>
      </w:r>
    </w:p>
    <w:p w14:paraId="66ED56F6" w14:textId="77777777" w:rsidR="00021FF5" w:rsidRPr="00837AE1" w:rsidRDefault="00021FF5" w:rsidP="00E5143A">
      <w:pPr>
        <w:spacing w:line="360" w:lineRule="auto"/>
        <w:rPr>
          <w:rFonts w:ascii="Arial" w:hAnsi="Arial" w:cs="Arial"/>
          <w:sz w:val="22"/>
          <w:szCs w:val="22"/>
        </w:rPr>
      </w:pPr>
      <w:r w:rsidRPr="00837AE1">
        <w:rPr>
          <w:rFonts w:ascii="Arial" w:hAnsi="Arial" w:cs="Arial"/>
          <w:sz w:val="22"/>
          <w:szCs w:val="22"/>
        </w:rPr>
        <w:t xml:space="preserve">Taylor, R., Ramachandran, A., Yancy, W.S. and </w:t>
      </w:r>
      <w:proofErr w:type="spellStart"/>
      <w:r w:rsidRPr="00837AE1">
        <w:rPr>
          <w:rFonts w:ascii="Arial" w:hAnsi="Arial" w:cs="Arial"/>
          <w:sz w:val="22"/>
          <w:szCs w:val="22"/>
        </w:rPr>
        <w:t>Forouhi</w:t>
      </w:r>
      <w:proofErr w:type="spellEnd"/>
      <w:r w:rsidRPr="00837AE1">
        <w:rPr>
          <w:rFonts w:ascii="Arial" w:hAnsi="Arial" w:cs="Arial"/>
          <w:sz w:val="22"/>
          <w:szCs w:val="22"/>
        </w:rPr>
        <w:t xml:space="preserve">, N.G. (2021) 'Nutritional basis of type 2 diabetes remission', </w:t>
      </w:r>
      <w:r w:rsidRPr="00837AE1">
        <w:rPr>
          <w:rFonts w:ascii="Arial" w:hAnsi="Arial" w:cs="Arial"/>
          <w:i/>
          <w:iCs/>
          <w:sz w:val="22"/>
          <w:szCs w:val="22"/>
        </w:rPr>
        <w:t>BMJ</w:t>
      </w:r>
      <w:r w:rsidRPr="00837AE1">
        <w:rPr>
          <w:rFonts w:ascii="Arial" w:hAnsi="Arial" w:cs="Arial"/>
          <w:sz w:val="22"/>
          <w:szCs w:val="22"/>
        </w:rPr>
        <w:t xml:space="preserve">, 374, n1449. Available at: </w:t>
      </w:r>
      <w:hyperlink r:id="rId23" w:history="1">
        <w:r w:rsidRPr="00837AE1">
          <w:rPr>
            <w:rStyle w:val="Hyperlink"/>
            <w:rFonts w:ascii="Arial" w:hAnsi="Arial" w:cs="Arial"/>
            <w:sz w:val="22"/>
            <w:szCs w:val="22"/>
          </w:rPr>
          <w:t>https://www.bmj.com/content/374/bmj.n1449</w:t>
        </w:r>
      </w:hyperlink>
      <w:r w:rsidRPr="00837AE1">
        <w:rPr>
          <w:rFonts w:ascii="Arial" w:hAnsi="Arial" w:cs="Arial"/>
          <w:sz w:val="22"/>
          <w:szCs w:val="22"/>
        </w:rPr>
        <w:t xml:space="preserve"> (Accessed: 04 July 2026). </w:t>
      </w:r>
    </w:p>
    <w:p w14:paraId="747C1CAD" w14:textId="77777777" w:rsidR="00021FF5" w:rsidRPr="00837AE1" w:rsidRDefault="00021FF5" w:rsidP="00E5143A">
      <w:pPr>
        <w:spacing w:line="360" w:lineRule="auto"/>
        <w:rPr>
          <w:rFonts w:ascii="Arial" w:hAnsi="Arial" w:cs="Arial"/>
          <w:sz w:val="22"/>
          <w:szCs w:val="22"/>
        </w:rPr>
      </w:pPr>
      <w:r w:rsidRPr="00837AE1">
        <w:rPr>
          <w:rFonts w:ascii="Arial" w:hAnsi="Arial" w:cs="Arial"/>
          <w:sz w:val="22"/>
          <w:szCs w:val="22"/>
        </w:rPr>
        <w:t xml:space="preserve">Uhl, S., </w:t>
      </w:r>
      <w:proofErr w:type="spellStart"/>
      <w:r w:rsidRPr="00837AE1">
        <w:rPr>
          <w:rFonts w:ascii="Arial" w:hAnsi="Arial" w:cs="Arial"/>
          <w:sz w:val="22"/>
          <w:szCs w:val="22"/>
        </w:rPr>
        <w:t>Choure</w:t>
      </w:r>
      <w:proofErr w:type="spellEnd"/>
      <w:r w:rsidRPr="00837AE1">
        <w:rPr>
          <w:rFonts w:ascii="Arial" w:hAnsi="Arial" w:cs="Arial"/>
          <w:sz w:val="22"/>
          <w:szCs w:val="22"/>
        </w:rPr>
        <w:t xml:space="preserve">, A., Rouse, B., </w:t>
      </w:r>
      <w:proofErr w:type="spellStart"/>
      <w:r w:rsidRPr="00837AE1">
        <w:rPr>
          <w:rFonts w:ascii="Arial" w:hAnsi="Arial" w:cs="Arial"/>
          <w:sz w:val="22"/>
          <w:szCs w:val="22"/>
        </w:rPr>
        <w:t>Loblack</w:t>
      </w:r>
      <w:proofErr w:type="spellEnd"/>
      <w:r w:rsidRPr="00837AE1">
        <w:rPr>
          <w:rFonts w:ascii="Arial" w:hAnsi="Arial" w:cs="Arial"/>
          <w:sz w:val="22"/>
          <w:szCs w:val="22"/>
        </w:rPr>
        <w:t xml:space="preserve">, A. and Reaven, P. (2024) 'Effectiveness of continuous glucose monitoring on metrics of </w:t>
      </w:r>
      <w:proofErr w:type="spellStart"/>
      <w:r w:rsidRPr="00837AE1">
        <w:rPr>
          <w:rFonts w:ascii="Arial" w:hAnsi="Arial" w:cs="Arial"/>
          <w:sz w:val="22"/>
          <w:szCs w:val="22"/>
        </w:rPr>
        <w:t>glycemic</w:t>
      </w:r>
      <w:proofErr w:type="spellEnd"/>
      <w:r w:rsidRPr="00837AE1">
        <w:rPr>
          <w:rFonts w:ascii="Arial" w:hAnsi="Arial" w:cs="Arial"/>
          <w:sz w:val="22"/>
          <w:szCs w:val="22"/>
        </w:rPr>
        <w:t xml:space="preserve"> control in type 2 diabetes mellitus: a systematic review and meta-analysis of randomized controlled trials', </w:t>
      </w:r>
      <w:r w:rsidRPr="00837AE1">
        <w:rPr>
          <w:rFonts w:ascii="Arial" w:hAnsi="Arial" w:cs="Arial"/>
          <w:i/>
          <w:iCs/>
          <w:sz w:val="22"/>
          <w:szCs w:val="22"/>
        </w:rPr>
        <w:t>The Journal of Clinical Endocrinology &amp; Metabolism</w:t>
      </w:r>
      <w:r w:rsidRPr="00837AE1">
        <w:rPr>
          <w:rFonts w:ascii="Arial" w:hAnsi="Arial" w:cs="Arial"/>
          <w:sz w:val="22"/>
          <w:szCs w:val="22"/>
        </w:rPr>
        <w:t xml:space="preserve">, 109(4), pp. 1119–1131. Available at: </w:t>
      </w:r>
      <w:hyperlink r:id="rId24" w:history="1">
        <w:r w:rsidRPr="00837AE1">
          <w:rPr>
            <w:rStyle w:val="Hyperlink"/>
            <w:rFonts w:ascii="Arial" w:hAnsi="Arial" w:cs="Arial"/>
            <w:sz w:val="22"/>
            <w:szCs w:val="22"/>
          </w:rPr>
          <w:t>https://academic.oup.com/jcem/article/109/4/1119/7438972?login=false</w:t>
        </w:r>
      </w:hyperlink>
      <w:r w:rsidRPr="00837AE1">
        <w:rPr>
          <w:rFonts w:ascii="Arial" w:hAnsi="Arial" w:cs="Arial"/>
          <w:sz w:val="22"/>
          <w:szCs w:val="22"/>
        </w:rPr>
        <w:t xml:space="preserve"> (Accessed: 04 July 2026). </w:t>
      </w:r>
    </w:p>
    <w:p w14:paraId="5A5BC5CE" w14:textId="77777777" w:rsidR="00021FF5" w:rsidRPr="00837AE1" w:rsidRDefault="00021FF5" w:rsidP="00E5143A">
      <w:pPr>
        <w:spacing w:line="360" w:lineRule="auto"/>
        <w:rPr>
          <w:rFonts w:ascii="Arial" w:hAnsi="Arial" w:cs="Arial"/>
          <w:sz w:val="22"/>
          <w:szCs w:val="22"/>
        </w:rPr>
      </w:pPr>
      <w:r w:rsidRPr="00837AE1">
        <w:rPr>
          <w:rFonts w:ascii="Arial" w:hAnsi="Arial" w:cs="Arial"/>
          <w:sz w:val="22"/>
          <w:szCs w:val="22"/>
        </w:rPr>
        <w:t xml:space="preserve">Walker, J.T., Saunders, D.C. and </w:t>
      </w:r>
      <w:proofErr w:type="spellStart"/>
      <w:r w:rsidRPr="00837AE1">
        <w:rPr>
          <w:rFonts w:ascii="Arial" w:hAnsi="Arial" w:cs="Arial"/>
          <w:sz w:val="22"/>
          <w:szCs w:val="22"/>
        </w:rPr>
        <w:t>Brissova</w:t>
      </w:r>
      <w:proofErr w:type="spellEnd"/>
      <w:r w:rsidRPr="00837AE1">
        <w:rPr>
          <w:rFonts w:ascii="Arial" w:hAnsi="Arial" w:cs="Arial"/>
          <w:sz w:val="22"/>
          <w:szCs w:val="22"/>
        </w:rPr>
        <w:t xml:space="preserve">, M. (2021) 'The human islet: mini-organ with mega-impact', </w:t>
      </w:r>
      <w:r w:rsidRPr="00837AE1">
        <w:rPr>
          <w:rFonts w:ascii="Arial" w:hAnsi="Arial" w:cs="Arial"/>
          <w:i/>
          <w:iCs/>
          <w:sz w:val="22"/>
          <w:szCs w:val="22"/>
        </w:rPr>
        <w:t>Endocrine Reviews</w:t>
      </w:r>
      <w:r w:rsidRPr="00837AE1">
        <w:rPr>
          <w:rFonts w:ascii="Arial" w:hAnsi="Arial" w:cs="Arial"/>
          <w:sz w:val="22"/>
          <w:szCs w:val="22"/>
        </w:rPr>
        <w:t xml:space="preserve">, 42(5), pp. 605–657. Available at: </w:t>
      </w:r>
      <w:hyperlink r:id="rId25" w:history="1">
        <w:r w:rsidRPr="00837AE1">
          <w:rPr>
            <w:rStyle w:val="Hyperlink"/>
            <w:rFonts w:ascii="Arial" w:hAnsi="Arial" w:cs="Arial"/>
            <w:sz w:val="22"/>
            <w:szCs w:val="22"/>
          </w:rPr>
          <w:t>https://academic.oup.com/edrv/article/42/5/605/6223906?login=false</w:t>
        </w:r>
      </w:hyperlink>
      <w:r w:rsidRPr="00837AE1">
        <w:rPr>
          <w:rFonts w:ascii="Arial" w:hAnsi="Arial" w:cs="Arial"/>
          <w:sz w:val="22"/>
          <w:szCs w:val="22"/>
        </w:rPr>
        <w:t xml:space="preserve"> (Accessed: 04 July 2026). </w:t>
      </w:r>
    </w:p>
    <w:p w14:paraId="32B954C6" w14:textId="77777777" w:rsidR="00021FF5" w:rsidRPr="00837AE1" w:rsidRDefault="00021FF5" w:rsidP="00E5143A">
      <w:pPr>
        <w:spacing w:line="360" w:lineRule="auto"/>
        <w:rPr>
          <w:rFonts w:ascii="Arial" w:hAnsi="Arial" w:cs="Arial"/>
          <w:sz w:val="22"/>
          <w:szCs w:val="22"/>
        </w:rPr>
      </w:pPr>
      <w:r w:rsidRPr="00837AE1">
        <w:rPr>
          <w:rFonts w:ascii="Arial" w:hAnsi="Arial" w:cs="Arial"/>
          <w:sz w:val="22"/>
          <w:szCs w:val="22"/>
        </w:rPr>
        <w:t xml:space="preserve">Willi, C., Bodenmann, P., Ghali, W.A., Faris, P.D. and </w:t>
      </w:r>
      <w:proofErr w:type="spellStart"/>
      <w:r w:rsidRPr="00837AE1">
        <w:rPr>
          <w:rFonts w:ascii="Arial" w:hAnsi="Arial" w:cs="Arial"/>
          <w:sz w:val="22"/>
          <w:szCs w:val="22"/>
        </w:rPr>
        <w:t>Cornuz</w:t>
      </w:r>
      <w:proofErr w:type="spellEnd"/>
      <w:r w:rsidRPr="00837AE1">
        <w:rPr>
          <w:rFonts w:ascii="Arial" w:hAnsi="Arial" w:cs="Arial"/>
          <w:sz w:val="22"/>
          <w:szCs w:val="22"/>
        </w:rPr>
        <w:t xml:space="preserve">, J. (2007) 'Active smoking and the risk of type 2 diabetes: a systematic review and meta-analysis', </w:t>
      </w:r>
      <w:r w:rsidRPr="00837AE1">
        <w:rPr>
          <w:rFonts w:ascii="Arial" w:hAnsi="Arial" w:cs="Arial"/>
          <w:i/>
          <w:iCs/>
          <w:sz w:val="22"/>
          <w:szCs w:val="22"/>
        </w:rPr>
        <w:t>Journal of the American Medical Association</w:t>
      </w:r>
      <w:r w:rsidRPr="00837AE1">
        <w:rPr>
          <w:rFonts w:ascii="Arial" w:hAnsi="Arial" w:cs="Arial"/>
          <w:sz w:val="22"/>
          <w:szCs w:val="22"/>
        </w:rPr>
        <w:t xml:space="preserve">, 298(22), pp. 2654–2664. Available at: </w:t>
      </w:r>
      <w:hyperlink r:id="rId26" w:history="1">
        <w:r w:rsidRPr="00837AE1">
          <w:rPr>
            <w:rStyle w:val="Hyperlink"/>
            <w:rFonts w:ascii="Arial" w:hAnsi="Arial" w:cs="Arial"/>
            <w:sz w:val="22"/>
            <w:szCs w:val="22"/>
          </w:rPr>
          <w:t>https://jamanetwork.com/journals/jama/article-abstract/209729</w:t>
        </w:r>
      </w:hyperlink>
      <w:r w:rsidRPr="00837AE1">
        <w:rPr>
          <w:rFonts w:ascii="Arial" w:hAnsi="Arial" w:cs="Arial"/>
          <w:sz w:val="22"/>
          <w:szCs w:val="22"/>
        </w:rPr>
        <w:t xml:space="preserve"> (Accessed: 04 July 2026). </w:t>
      </w:r>
    </w:p>
    <w:p w14:paraId="17D9AFF1" w14:textId="6C909E71" w:rsidR="00326375" w:rsidRPr="00837AE1" w:rsidRDefault="00990321" w:rsidP="00E5143A">
      <w:pPr>
        <w:spacing w:line="360" w:lineRule="auto"/>
        <w:rPr>
          <w:rFonts w:ascii="Arial" w:hAnsi="Arial" w:cs="Arial"/>
          <w:sz w:val="22"/>
          <w:szCs w:val="22"/>
        </w:rPr>
      </w:pPr>
      <w:r w:rsidRPr="00837AE1">
        <w:rPr>
          <w:rFonts w:ascii="Arial" w:hAnsi="Arial" w:cs="Arial"/>
          <w:sz w:val="22"/>
          <w:szCs w:val="22"/>
        </w:rPr>
        <w:t>World Health Organi</w:t>
      </w:r>
      <w:r w:rsidR="003245FC" w:rsidRPr="00837AE1">
        <w:rPr>
          <w:rFonts w:ascii="Arial" w:hAnsi="Arial" w:cs="Arial"/>
          <w:sz w:val="22"/>
          <w:szCs w:val="22"/>
        </w:rPr>
        <w:t>z</w:t>
      </w:r>
      <w:r w:rsidRPr="00837AE1">
        <w:rPr>
          <w:rFonts w:ascii="Arial" w:hAnsi="Arial" w:cs="Arial"/>
          <w:sz w:val="22"/>
          <w:szCs w:val="22"/>
        </w:rPr>
        <w:t xml:space="preserve">ation (2023) </w:t>
      </w:r>
      <w:r w:rsidRPr="00837AE1">
        <w:rPr>
          <w:rFonts w:ascii="Arial" w:hAnsi="Arial" w:cs="Arial"/>
          <w:i/>
          <w:iCs/>
          <w:sz w:val="22"/>
          <w:szCs w:val="22"/>
        </w:rPr>
        <w:t>Diabetes</w:t>
      </w:r>
      <w:r w:rsidRPr="00837AE1">
        <w:rPr>
          <w:rFonts w:ascii="Arial" w:hAnsi="Arial" w:cs="Arial"/>
          <w:sz w:val="22"/>
          <w:szCs w:val="22"/>
        </w:rPr>
        <w:t xml:space="preserve">. Available at: </w:t>
      </w:r>
      <w:hyperlink r:id="rId27" w:history="1">
        <w:r w:rsidRPr="00837AE1">
          <w:rPr>
            <w:rStyle w:val="Hyperlink"/>
            <w:rFonts w:ascii="Arial" w:hAnsi="Arial" w:cs="Arial"/>
            <w:sz w:val="22"/>
            <w:szCs w:val="22"/>
          </w:rPr>
          <w:t>https://www.who.int/news-room/fact-sheets/detail/diabetes</w:t>
        </w:r>
      </w:hyperlink>
      <w:r w:rsidRPr="00837AE1">
        <w:rPr>
          <w:rFonts w:ascii="Arial" w:hAnsi="Arial" w:cs="Arial"/>
          <w:sz w:val="22"/>
          <w:szCs w:val="22"/>
        </w:rPr>
        <w:t xml:space="preserve"> </w:t>
      </w:r>
      <w:r w:rsidR="003245FC" w:rsidRPr="00837AE1">
        <w:rPr>
          <w:rFonts w:ascii="Arial" w:hAnsi="Arial" w:cs="Arial"/>
          <w:sz w:val="22"/>
          <w:szCs w:val="22"/>
        </w:rPr>
        <w:t xml:space="preserve">(Accessed: 04 July 2026). </w:t>
      </w:r>
    </w:p>
    <w:p w14:paraId="14BF0326" w14:textId="7904C7D1" w:rsidR="00D42A90" w:rsidRPr="00837AE1" w:rsidRDefault="00D42A90" w:rsidP="00E5143A">
      <w:pPr>
        <w:spacing w:line="360" w:lineRule="auto"/>
        <w:rPr>
          <w:rFonts w:ascii="Arial" w:hAnsi="Arial" w:cs="Arial"/>
          <w:sz w:val="22"/>
          <w:szCs w:val="22"/>
        </w:rPr>
      </w:pPr>
    </w:p>
    <w:sectPr w:rsidR="00D42A90" w:rsidRPr="00837AE1">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561E4" w14:textId="77777777" w:rsidR="00E6467D" w:rsidRDefault="00E6467D" w:rsidP="00246EA9">
      <w:pPr>
        <w:spacing w:after="0" w:line="240" w:lineRule="auto"/>
      </w:pPr>
      <w:r>
        <w:separator/>
      </w:r>
    </w:p>
  </w:endnote>
  <w:endnote w:type="continuationSeparator" w:id="0">
    <w:p w14:paraId="2B034F0E" w14:textId="77777777" w:rsidR="00E6467D" w:rsidRDefault="00E6467D" w:rsidP="00246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0700287"/>
      <w:docPartObj>
        <w:docPartGallery w:val="Page Numbers (Bottom of Page)"/>
        <w:docPartUnique/>
      </w:docPartObj>
    </w:sdtPr>
    <w:sdtContent>
      <w:p w14:paraId="13C92E62" w14:textId="23E61EBF" w:rsidR="00246EA9" w:rsidRDefault="00246EA9">
        <w:pPr>
          <w:pStyle w:val="Footer"/>
          <w:jc w:val="center"/>
        </w:pPr>
        <w:r>
          <w:fldChar w:fldCharType="begin"/>
        </w:r>
        <w:r>
          <w:instrText>PAGE   \* MERGEFORMAT</w:instrText>
        </w:r>
        <w:r>
          <w:fldChar w:fldCharType="separate"/>
        </w:r>
        <w:r>
          <w:t>2</w:t>
        </w:r>
        <w:r>
          <w:fldChar w:fldCharType="end"/>
        </w:r>
      </w:p>
    </w:sdtContent>
  </w:sdt>
  <w:p w14:paraId="3FA8D883" w14:textId="77777777" w:rsidR="00246EA9" w:rsidRDefault="00246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B7C75" w14:textId="77777777" w:rsidR="00E6467D" w:rsidRDefault="00E6467D" w:rsidP="00246EA9">
      <w:pPr>
        <w:spacing w:after="0" w:line="240" w:lineRule="auto"/>
      </w:pPr>
      <w:r>
        <w:separator/>
      </w:r>
    </w:p>
  </w:footnote>
  <w:footnote w:type="continuationSeparator" w:id="0">
    <w:p w14:paraId="176FFBF8" w14:textId="77777777" w:rsidR="00E6467D" w:rsidRDefault="00E6467D" w:rsidP="00246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6A4A60"/>
    <w:multiLevelType w:val="hybridMultilevel"/>
    <w:tmpl w:val="580C584A"/>
    <w:lvl w:ilvl="0" w:tplc="5726C1EE">
      <w:start w:val="4"/>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354453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A90"/>
    <w:rsid w:val="00021FF5"/>
    <w:rsid w:val="00040183"/>
    <w:rsid w:val="000A044F"/>
    <w:rsid w:val="00105589"/>
    <w:rsid w:val="00125A97"/>
    <w:rsid w:val="0016262B"/>
    <w:rsid w:val="001655B8"/>
    <w:rsid w:val="002017AB"/>
    <w:rsid w:val="0022067A"/>
    <w:rsid w:val="002355CC"/>
    <w:rsid w:val="00246EA9"/>
    <w:rsid w:val="002643CE"/>
    <w:rsid w:val="003245FC"/>
    <w:rsid w:val="00326375"/>
    <w:rsid w:val="00450B28"/>
    <w:rsid w:val="00487CCB"/>
    <w:rsid w:val="004D6EE4"/>
    <w:rsid w:val="005801F2"/>
    <w:rsid w:val="00593C1A"/>
    <w:rsid w:val="0064368F"/>
    <w:rsid w:val="00643E21"/>
    <w:rsid w:val="0068197A"/>
    <w:rsid w:val="00691902"/>
    <w:rsid w:val="00692B96"/>
    <w:rsid w:val="00725C42"/>
    <w:rsid w:val="0075785F"/>
    <w:rsid w:val="007F3351"/>
    <w:rsid w:val="00837AE1"/>
    <w:rsid w:val="00851592"/>
    <w:rsid w:val="008E79BA"/>
    <w:rsid w:val="0094590A"/>
    <w:rsid w:val="00990321"/>
    <w:rsid w:val="009C27DF"/>
    <w:rsid w:val="009E3AC3"/>
    <w:rsid w:val="009F5B77"/>
    <w:rsid w:val="00A03964"/>
    <w:rsid w:val="00A24F1E"/>
    <w:rsid w:val="00A40FD2"/>
    <w:rsid w:val="00A503D9"/>
    <w:rsid w:val="00AE082A"/>
    <w:rsid w:val="00B04CF8"/>
    <w:rsid w:val="00B24544"/>
    <w:rsid w:val="00B31DFB"/>
    <w:rsid w:val="00B608BC"/>
    <w:rsid w:val="00BB17ED"/>
    <w:rsid w:val="00BC58B7"/>
    <w:rsid w:val="00C11BA5"/>
    <w:rsid w:val="00C33603"/>
    <w:rsid w:val="00C912C6"/>
    <w:rsid w:val="00CA2B7B"/>
    <w:rsid w:val="00CD2281"/>
    <w:rsid w:val="00D043E3"/>
    <w:rsid w:val="00D15D73"/>
    <w:rsid w:val="00D34413"/>
    <w:rsid w:val="00D42A90"/>
    <w:rsid w:val="00D42C2A"/>
    <w:rsid w:val="00D449CA"/>
    <w:rsid w:val="00D9096D"/>
    <w:rsid w:val="00DC72C5"/>
    <w:rsid w:val="00E00E93"/>
    <w:rsid w:val="00E25B1A"/>
    <w:rsid w:val="00E5143A"/>
    <w:rsid w:val="00E54615"/>
    <w:rsid w:val="00E6467D"/>
    <w:rsid w:val="00E778D5"/>
    <w:rsid w:val="00EA58AD"/>
    <w:rsid w:val="00EA7FF0"/>
    <w:rsid w:val="00F6771A"/>
    <w:rsid w:val="00F72FD9"/>
    <w:rsid w:val="00FB3523"/>
    <w:rsid w:val="00FD330E"/>
    <w:rsid w:val="00FE1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4FFE9"/>
  <w15:chartTrackingRefBased/>
  <w15:docId w15:val="{CB3C2BC0-0622-44BD-8F2E-42AB68A14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A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2A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A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A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A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A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A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A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A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A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2A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2A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2A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2A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2A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2A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2A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2A90"/>
    <w:rPr>
      <w:rFonts w:eastAsiaTheme="majorEastAsia" w:cstheme="majorBidi"/>
      <w:color w:val="272727" w:themeColor="text1" w:themeTint="D8"/>
    </w:rPr>
  </w:style>
  <w:style w:type="paragraph" w:styleId="Title">
    <w:name w:val="Title"/>
    <w:basedOn w:val="Normal"/>
    <w:next w:val="Normal"/>
    <w:link w:val="TitleChar"/>
    <w:uiPriority w:val="10"/>
    <w:qFormat/>
    <w:rsid w:val="00D42A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A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A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2A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A90"/>
    <w:pPr>
      <w:spacing w:before="160"/>
      <w:jc w:val="center"/>
    </w:pPr>
    <w:rPr>
      <w:i/>
      <w:iCs/>
      <w:color w:val="404040" w:themeColor="text1" w:themeTint="BF"/>
    </w:rPr>
  </w:style>
  <w:style w:type="character" w:customStyle="1" w:styleId="QuoteChar">
    <w:name w:val="Quote Char"/>
    <w:basedOn w:val="DefaultParagraphFont"/>
    <w:link w:val="Quote"/>
    <w:uiPriority w:val="29"/>
    <w:rsid w:val="00D42A90"/>
    <w:rPr>
      <w:i/>
      <w:iCs/>
      <w:color w:val="404040" w:themeColor="text1" w:themeTint="BF"/>
    </w:rPr>
  </w:style>
  <w:style w:type="paragraph" w:styleId="ListParagraph">
    <w:name w:val="List Paragraph"/>
    <w:basedOn w:val="Normal"/>
    <w:uiPriority w:val="34"/>
    <w:qFormat/>
    <w:rsid w:val="00D42A90"/>
    <w:pPr>
      <w:ind w:left="720"/>
      <w:contextualSpacing/>
    </w:pPr>
  </w:style>
  <w:style w:type="character" w:styleId="IntenseEmphasis">
    <w:name w:val="Intense Emphasis"/>
    <w:basedOn w:val="DefaultParagraphFont"/>
    <w:uiPriority w:val="21"/>
    <w:qFormat/>
    <w:rsid w:val="00D42A90"/>
    <w:rPr>
      <w:i/>
      <w:iCs/>
      <w:color w:val="0F4761" w:themeColor="accent1" w:themeShade="BF"/>
    </w:rPr>
  </w:style>
  <w:style w:type="paragraph" w:styleId="IntenseQuote">
    <w:name w:val="Intense Quote"/>
    <w:basedOn w:val="Normal"/>
    <w:next w:val="Normal"/>
    <w:link w:val="IntenseQuoteChar"/>
    <w:uiPriority w:val="30"/>
    <w:qFormat/>
    <w:rsid w:val="00D42A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2A90"/>
    <w:rPr>
      <w:i/>
      <w:iCs/>
      <w:color w:val="0F4761" w:themeColor="accent1" w:themeShade="BF"/>
    </w:rPr>
  </w:style>
  <w:style w:type="character" w:styleId="IntenseReference">
    <w:name w:val="Intense Reference"/>
    <w:basedOn w:val="DefaultParagraphFont"/>
    <w:uiPriority w:val="32"/>
    <w:qFormat/>
    <w:rsid w:val="00D42A90"/>
    <w:rPr>
      <w:b/>
      <w:bCs/>
      <w:smallCaps/>
      <w:color w:val="0F4761" w:themeColor="accent1" w:themeShade="BF"/>
      <w:spacing w:val="5"/>
    </w:rPr>
  </w:style>
  <w:style w:type="character" w:styleId="Hyperlink">
    <w:name w:val="Hyperlink"/>
    <w:basedOn w:val="DefaultParagraphFont"/>
    <w:uiPriority w:val="99"/>
    <w:unhideWhenUsed/>
    <w:rsid w:val="00E25B1A"/>
    <w:rPr>
      <w:color w:val="467886" w:themeColor="hyperlink"/>
      <w:u w:val="single"/>
    </w:rPr>
  </w:style>
  <w:style w:type="character" w:styleId="UnresolvedMention">
    <w:name w:val="Unresolved Mention"/>
    <w:basedOn w:val="DefaultParagraphFont"/>
    <w:uiPriority w:val="99"/>
    <w:semiHidden/>
    <w:unhideWhenUsed/>
    <w:rsid w:val="00E25B1A"/>
    <w:rPr>
      <w:color w:val="605E5C"/>
      <w:shd w:val="clear" w:color="auto" w:fill="E1DFDD"/>
    </w:rPr>
  </w:style>
  <w:style w:type="character" w:styleId="FollowedHyperlink">
    <w:name w:val="FollowedHyperlink"/>
    <w:basedOn w:val="DefaultParagraphFont"/>
    <w:uiPriority w:val="99"/>
    <w:semiHidden/>
    <w:unhideWhenUsed/>
    <w:rsid w:val="005801F2"/>
    <w:rPr>
      <w:color w:val="96607D" w:themeColor="followedHyperlink"/>
      <w:u w:val="single"/>
    </w:rPr>
  </w:style>
  <w:style w:type="paragraph" w:styleId="Header">
    <w:name w:val="header"/>
    <w:basedOn w:val="Normal"/>
    <w:link w:val="HeaderChar"/>
    <w:uiPriority w:val="99"/>
    <w:unhideWhenUsed/>
    <w:rsid w:val="00246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EA9"/>
  </w:style>
  <w:style w:type="paragraph" w:styleId="Footer">
    <w:name w:val="footer"/>
    <w:basedOn w:val="Normal"/>
    <w:link w:val="FooterChar"/>
    <w:uiPriority w:val="99"/>
    <w:unhideWhenUsed/>
    <w:rsid w:val="00246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EA9"/>
  </w:style>
  <w:style w:type="paragraph" w:styleId="NormalWeb">
    <w:name w:val="Normal (Web)"/>
    <w:basedOn w:val="Normal"/>
    <w:uiPriority w:val="99"/>
    <w:semiHidden/>
    <w:unhideWhenUsed/>
    <w:rsid w:val="008E79B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cbi.nlm.nih.gov/sites/books/NBK539802/?report=classic" TargetMode="External"/><Relationship Id="rId18" Type="http://schemas.openxmlformats.org/officeDocument/2006/relationships/hyperlink" Target="https://europepmc.org/article/NBK/nbk560599" TargetMode="External"/><Relationship Id="rId26" Type="http://schemas.openxmlformats.org/officeDocument/2006/relationships/hyperlink" Target="https://jamanetwork.com/journals/jama/article-abstract/209729" TargetMode="External"/><Relationship Id="rId3" Type="http://schemas.openxmlformats.org/officeDocument/2006/relationships/customXml" Target="../customXml/item3.xml"/><Relationship Id="rId21" Type="http://schemas.openxmlformats.org/officeDocument/2006/relationships/hyperlink" Target="https://www.tandfonline.com/doi/full/10.2147/CPAA.S202614" TargetMode="External"/><Relationship Id="rId7" Type="http://schemas.openxmlformats.org/officeDocument/2006/relationships/webSettings" Target="webSettings.xml"/><Relationship Id="rId12" Type="http://schemas.openxmlformats.org/officeDocument/2006/relationships/hyperlink" Target="https://pmc.ncbi.nlm.nih.gov/articles/PMC6908414/" TargetMode="External"/><Relationship Id="rId17" Type="http://schemas.openxmlformats.org/officeDocument/2006/relationships/hyperlink" Target="https://www.sciencedirect.com/science/article/pii/S1567724924000084" TargetMode="External"/><Relationship Id="rId25" Type="http://schemas.openxmlformats.org/officeDocument/2006/relationships/hyperlink" Target="https://academic.oup.com/edrv/article/42/5/605/6223906?login=false" TargetMode="External"/><Relationship Id="rId2" Type="http://schemas.openxmlformats.org/officeDocument/2006/relationships/customXml" Target="../customXml/item2.xml"/><Relationship Id="rId16" Type="http://schemas.openxmlformats.org/officeDocument/2006/relationships/hyperlink" Target="https://www.thelancet.com/journals/lancet/article/PIIS0140-6736(17)33102-1/abstract?cc=y" TargetMode="External"/><Relationship Id="rId20" Type="http://schemas.openxmlformats.org/officeDocument/2006/relationships/hyperlink" Target="https://www.nhs.uk/conditions/type-2-diabet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ologyonline.com/tutorials/sugar-homeostasis" TargetMode="External"/><Relationship Id="rId24" Type="http://schemas.openxmlformats.org/officeDocument/2006/relationships/hyperlink" Target="https://academic.oup.com/jcem/article/109/4/1119/7438972?login=false" TargetMode="External"/><Relationship Id="rId5" Type="http://schemas.openxmlformats.org/officeDocument/2006/relationships/styles" Target="styles.xml"/><Relationship Id="rId15" Type="http://schemas.openxmlformats.org/officeDocument/2006/relationships/hyperlink" Target="https://link.springer.com/article/10.1007/s00125-024-06107-6" TargetMode="External"/><Relationship Id="rId23" Type="http://schemas.openxmlformats.org/officeDocument/2006/relationships/hyperlink" Target="https://www.bmj.com/content/374/bmj.n1449" TargetMode="External"/><Relationship Id="rId28"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www.nice.org.uk/guidance/ng2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iabetes.org.uk/about-diabetes/type-2-diabetes" TargetMode="External"/><Relationship Id="rId22" Type="http://schemas.openxmlformats.org/officeDocument/2006/relationships/hyperlink" Target="https://www.nature.com/articles/emm20166" TargetMode="External"/><Relationship Id="rId27" Type="http://schemas.openxmlformats.org/officeDocument/2006/relationships/hyperlink" Target="https://www.who.int/news-room/fact-sheets/detail/diabet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7e9e118eeaf04928721cec1081a920">
  <xsd:schema xmlns:xsd="http://www.w3.org/2001/XMLSchema" xmlns:xs="http://www.w3.org/2001/XMLSchema" xmlns:p="http://schemas.microsoft.com/office/2006/metadata/properties" xmlns:ns3="f799553d-1ac0-48da-9ae3-fe400ced9c3b" targetNamespace="http://schemas.microsoft.com/office/2006/metadata/properties" ma:root="true" ma:fieldsID="071625de2653eb221214aa7831b21ea4"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8E1C1D35-C917-4F72-B23A-E692CEEBB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995AEF-278A-4167-9457-D8C9BEAE07B8}">
  <ds:schemaRefs>
    <ds:schemaRef ds:uri="http://schemas.microsoft.com/sharepoint/v3/contenttype/forms"/>
  </ds:schemaRefs>
</ds:datastoreItem>
</file>

<file path=customXml/itemProps3.xml><?xml version="1.0" encoding="utf-8"?>
<ds:datastoreItem xmlns:ds="http://schemas.openxmlformats.org/officeDocument/2006/customXml" ds:itemID="{C7A461FF-4118-46DA-B97F-47779CB3FF77}">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3199</Words>
  <Characters>18240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Begum (2324332)</dc:creator>
  <cp:keywords/>
  <dc:description/>
  <cp:lastModifiedBy>Zahra Begum (2324332)</cp:lastModifiedBy>
  <cp:revision>30</cp:revision>
  <dcterms:created xsi:type="dcterms:W3CDTF">2026-06-24T15:58:00Z</dcterms:created>
  <dcterms:modified xsi:type="dcterms:W3CDTF">2026-07-04T23:39:00Z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