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1E013" w14:textId="77777777"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Storytelling plays an important role in early years education, providing opportunities to support children's communication, language development and early literacy skills. Through storytelling, children can develop their listening skills, explore new vocabulary and share their thoughts and ideas. Storytelling can be delivered through different approaches, including traditional books and digital resources, both offering different opportunities to support children's learning.</w:t>
      </w:r>
    </w:p>
    <w:p w14:paraId="4C2DEEA0" w14:textId="77777777"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This analysis reflects on two storytelling activities: the traditional reading of Room on the Broom and the digital presentation of The Gruffalo using an iPad. It focuses on three key storytelling skills: voice modulation and expression, questioning and anticipation, and facial expressions, gestures and non-verbal communication. Theoretical perspectives from Bruner (1983), Vygotsky (1978) and Bandura (1977), alongside relevant research, will be used to evaluate the activities, identify strengths and limitations, and consider improvements for future practice.</w:t>
      </w:r>
    </w:p>
    <w:p w14:paraId="19285308" w14:textId="3DFE57F6"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The first skill identified is voice modulation and expression. During the traditional storytelling of Room on the Broom, the storyteller used changes in tone, pitch and volume to represent different characters and events. This was particularly noticeable when portraying the dragon, where the storyteller increased the volume and used growling to create suspense. The digital storytelling activity also involved different character voices, showing how both approaches could provide expressive listening experiences.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Expressive narration can support children's developing oracy skills, particularly listening and understanding emotions through language. For example, the dragon's louder voice communicated the character's threatening nature, potentially helping children understand its role within the story. Mira and Schwanenflugel (2013) found that expressive reading could support aspects of young children's listening comprehension. However, improvements were not demonstrated across every measure, suggesting that expressive narration does not automatically improve children's understanding.</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Bruner (1983) emphasised the importance of adult-child interaction in language development through his Language Acquisition Support System. This can be linked to expressive storytelling, where adults model different ways of communicating meaning through spoken language. However, Bruner's theory also highlights the</w:t>
      </w:r>
      <w:r>
        <w:rPr>
          <w:rFonts w:ascii="Arial" w:eastAsia="Times New Roman" w:hAnsi="Arial" w:cs="Arial"/>
          <w:color w:val="000000"/>
          <w:kern w:val="0"/>
          <w:lang w:eastAsia="en-GB"/>
          <w14:ligatures w14:val="none"/>
        </w:rPr>
        <w:t xml:space="preserve"> </w:t>
      </w:r>
      <w:r w:rsidRPr="00ED5A3F">
        <w:rPr>
          <w:rFonts w:ascii="Arial" w:eastAsia="Times New Roman" w:hAnsi="Arial" w:cs="Arial"/>
          <w:color w:val="000000"/>
          <w:kern w:val="0"/>
          <w:lang w:eastAsia="en-GB"/>
          <w14:ligatures w14:val="none"/>
        </w:rPr>
        <w:lastRenderedPageBreak/>
        <w:t>importance of interaction, suggesting that expressive voices alone may not be enough without opportunities for children to respond.</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Similarly, Isbell et al. (2004) identified benefits of storytelling and story reading for children's oral language and comprehension. However, their research did not specifically examine voice modulation or digital storytelling, meaning it cannot determine which approach is more effective.</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Both activities demonstrated vocal expression, although there were differences in how the stories were presented. Traditional storytelling allowed the storyteller to control the pace while using the physical book to support expression. During the digital activity, the storyteller controlled the narration and paused the animation to introduce questions. Woodland background music was also used to reflect the setting of The Gruffalo. Although the music helped create an atmosphere, it was important to consider whether it could distract from the storyteller's voice, particularly for children who find it difficult to process spoken language.</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Reflecting on the traditional activity, using different character voices was a strength, particularly during the dragon's appearance. The changes in pitch and volume helped communicate the character's emotions and made the storytelling more expressive. However, the louder voice may have been overwhelming for children with sensory sensitivities. In future practice, the storyteller could build suspense by gradually changing the tone and volume rather than relying on shouting. Children with language delays may also benefit from slower narration, repetition and visual prompts. Although Bruner (1983) highlights the importance of supportive adult interaction, the absence of children during the recording meant that the storyteller could not adapt the narration in response to individual needs. This shows that expressive storytelling should be balanced with opportunities for children to participate.</w:t>
      </w:r>
    </w:p>
    <w:p w14:paraId="3B062AC1" w14:textId="77777777"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The second skill demonstrated is questioning and anticipation. These techniques can support children's communication, thinking and understanding of stories. During Room on the Broom, the storyteller used the phrase, "I wonder what's going to happen next", to create anticipation and encourage predictions. Similarly, during The Gruffalo, the storyteller paused the animated book on the iPad to ask questions, providing planned opportunities for children to think about events and share their ideas.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lastRenderedPageBreak/>
        <w:t>Questioning can support oracy by encouraging children to develop vocabulary, express ideas and demonstrate their understanding. Whitehurst et al. (1988) investigated interactive picture-book reading and identified improvements in children's expressive language through adult questioning and responsive interaction. However, the research focused on structured interactive reading rather than individual questions, suggesting that the quality of interaction is more important than simply asking questions.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Vygotsky's (1978) sociocultural theory highlights the importance of social interaction in children's learning. His Zone of Proximal Development suggests that children can develop understanding through guidance that builds on what they already know. This links to the planned questioning during The Gruffalo, as pausing the animation could provide opportunities to support children's understanding. However, because no children were present, it was not possible to assess their existing knowledge or adapt the level of support needed. Therefore, although the activity demonstrated an intention to encourage thinking, it could not show whether effective scaffolding had taken place.</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Mol et al. (2008) examined dialogic reading through a meta-analysis and identified potential benefits for children's language development. However, effectiveness varied, highlighting the importance of children's developmental needs and the quality of adult interaction. This supports Vygotsky's emphasis on social interaction while showing that questioning alone does not guarantee improved language outcomes.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 xml:space="preserve">Both storytelling approaches provided opportunities for questioning, although the methods differed. During traditional storytelling, questions could be introduced naturally while turning the pages. In comparison, the digital storyteller deliberately paused the animation and controlled the iPad to direct attention towards the illustrations. </w:t>
      </w:r>
      <w:proofErr w:type="spellStart"/>
      <w:r w:rsidRPr="00ED5A3F">
        <w:rPr>
          <w:rFonts w:ascii="Arial" w:eastAsia="Times New Roman" w:hAnsi="Arial" w:cs="Arial"/>
          <w:color w:val="000000"/>
          <w:kern w:val="0"/>
          <w:lang w:eastAsia="en-GB"/>
          <w14:ligatures w14:val="none"/>
        </w:rPr>
        <w:t>Kucirkova</w:t>
      </w:r>
      <w:proofErr w:type="spellEnd"/>
      <w:r w:rsidRPr="00ED5A3F">
        <w:rPr>
          <w:rFonts w:ascii="Arial" w:eastAsia="Times New Roman" w:hAnsi="Arial" w:cs="Arial"/>
          <w:color w:val="000000"/>
          <w:kern w:val="0"/>
          <w:lang w:eastAsia="en-GB"/>
          <w14:ligatures w14:val="none"/>
        </w:rPr>
        <w:t xml:space="preserve"> (2019) highlights the importance of children's experiences and interactions when using digital books, suggesting that adult involvement can influence their educational value. However, the digital activity remained adult-led, meaning children were not given opportunities to control the story or explore the technology themselves.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Frequent questioning may also interrupt the flow of a story and affect children's enjoyment. Children with language delays or Additional Learning Needs may require additional processing time or support to understand questions. Providing visual choices, simplifying language and allowing longer pauses could encourage</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lastRenderedPageBreak/>
        <w:t>participation. However, these approaches should be adapted to individual children rather than assuming everyone needs the same support.</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Both activities also offered opportunities to support early literacy. Predicting events could help children understand story structure, while discussing characters could encourage vocabulary development. Traditional books also provide opportunities to introduce print awareness through illustrations, page turning and recognising that written words carry meaning. However, these benefits depend on how the storyteller uses the book and encourages participation.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Reflecting on the questioning techniques, the use of anticipation during Room on the Broom and planned pauses during The Gruffalo were strengths. However, planning questions is different from responding to children's individual needs. If a child was unable to answer, the storyteller would need to adapt the question, offer further prompts or allow additional thinking time. This links to Vygotsky's (1978) theory, as the amount of support should reflect children's existing understanding. In future practice, the storyteller could focus on observing children's verbal and non-verbal responses and adapting questions to encourage meaningful participation.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Overall, questioning and anticipation can support children's oracy, comprehension and prediction skills. However, their effectiveness depends on responsive interaction rather than whether storytelling is presented traditionally or digitally.</w:t>
      </w:r>
    </w:p>
    <w:p w14:paraId="76A30793" w14:textId="1FA7FC04"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The third skill demonstrated is facial expressions, gestures and non-verbal communication. These techniques can support children's attention, emotional understanding and comprehension. During Room on the Broom, the storyteller dressed as a witch and used facial expressions and gestures to communicate different emotions. The book was also held towards the audience so the illustrations could be viewed. In comparison, The Gruffalo was presented using an animated book on an iPad, with low-level lighting and woodland background music to create an atmosphere linked to the story.</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Non-verbal communication can support children's developing oracy skills by helping them connect spoken language with visual information. Goldin-Meadow (2009) suggests that gestures can contribute to learning by providing additional information alongside speech. However, this research examines gestures across different learning situations rather than specifically during storytelling, meaning the findings should be applied with some caution.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lastRenderedPageBreak/>
        <w:t>Bandura's (1977) social learning theory suggests that children can learn through observing and imitating others. During traditional storytelling, children may observe the storyteller's facial expressions and gestures and later use similar communication during imaginative play. However, Bandura also recognised that observational learning depends on attention, retention and motivation. Therefore, expressive storytelling does not automatically mean that children will copy or learn these behaviours.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The witch costume provided an imaginative element that may have encouraged interest in the traditional activity. In comparison, the digital activity used subdued lighting and woodland music to create an atmosphere linked to the forest setting of The Gruffalo. These features could support children's imagination and interest in the story. Although the environment was designed to be engaging, it may not have suited every child's needs. For example, background music could be distracting for children with sensory sensitivities or those who find it difficult to concentrate on spoken language.</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 xml:space="preserve">Introducing props, including puppets, story sacks or sequencing cards, could further support both activities by providing visual representations of characters and events. These could be particularly helpful for children with language delays or </w:t>
      </w:r>
      <w:r>
        <w:rPr>
          <w:rFonts w:ascii="Arial" w:eastAsia="Times New Roman" w:hAnsi="Arial" w:cs="Arial"/>
          <w:color w:val="000000"/>
          <w:kern w:val="0"/>
          <w:lang w:eastAsia="en-GB"/>
          <w14:ligatures w14:val="none"/>
        </w:rPr>
        <w:t>Additional Learning Needs.</w:t>
      </w:r>
      <w:r w:rsidRPr="00ED5A3F">
        <w:rPr>
          <w:rFonts w:ascii="Arial" w:eastAsia="Times New Roman" w:hAnsi="Arial" w:cs="Arial"/>
          <w:color w:val="000000"/>
          <w:kern w:val="0"/>
          <w:lang w:eastAsia="en-GB"/>
          <w14:ligatures w14:val="none"/>
        </w:rPr>
        <w:t xml:space="preserve"> However, using too many props could distract children or become overwhelming, highlighting the importance of choosing resources carefully.</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Bus, Takacs and Kegel (2015) suggest that electronic storybooks can support emergent literacy when multimedia features complement the story. Similarly, Takacs, Swart and Bus (2015) identified benefits associated with multimedia storybooks but highlighted that distracting features may interfere with comprehension.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Although the animation could support children's understanding, the small iPad screen may make it difficult for children to see the illustrations, particularly in larger groups. In comparison, traditional books can provide opportunities for children to physically handle the book, turn pages and explore illustrations at their own pace. Although both recorded activities were adult-led, the traditional book could offer more opportunities for hands-on exploration in future practice. The digital activity provided animation and sound but fewer opportunities for children to experience the physical features of a book. This demonstrates that both approaches have strengths and limitations rather than one being more effective in every situation.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 xml:space="preserve">The digital activity also provided opportunities to introduce early digital literacy skills </w:t>
      </w:r>
      <w:r w:rsidRPr="00ED5A3F">
        <w:rPr>
          <w:rFonts w:ascii="Arial" w:eastAsia="Times New Roman" w:hAnsi="Arial" w:cs="Arial"/>
          <w:color w:val="000000"/>
          <w:kern w:val="0"/>
          <w:lang w:eastAsia="en-GB"/>
          <w14:ligatures w14:val="none"/>
        </w:rPr>
        <w:lastRenderedPageBreak/>
        <w:t>by demonstrating how stories can be accessed through technology. However, there is a difference between watching digital content and actively developing digital literacy. During The Gruffalo, the storyteller controlled the iPad, meaning children would not have had opportunities to practise navigating the device. Using an iPad alone does not necessarily mean children are developing digital literacy skills. In future practice, supervised opportunities for children to select stories, use simple controls and discuss digital images could encourage more active participation while still receiving adult support.</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Reflecting on non-verbal communication, the witch costume, facial expressions and gestures were strengths of the traditional activity. During both recordings, the storyteller looked towards the audience at different points rather than concentrating only on the book or iPad. However, balancing eye contact with reading and showing the illustrations could be challenging. The small iPad screen and reduced lighting may also have limited accessibility for some children. Future practice could focus on improving the positioning of the book or screen, adjusting the background music when necessary and introducing suitable props to support children's understanding and participation.</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Overall, facial expressions, gestures and visual resources can contribute to storytelling experiences, although their effectiveness depends on children's individual needs, accessibility and responsive adult interaction.</w:t>
      </w:r>
    </w:p>
    <w:p w14:paraId="67668DF5" w14:textId="77777777" w:rsidR="00C50913" w:rsidRPr="00ED5A3F" w:rsidRDefault="00C50913" w:rsidP="00C50913">
      <w:pPr>
        <w:spacing w:before="100" w:beforeAutospacing="1" w:after="100" w:afterAutospacing="1" w:line="360" w:lineRule="auto"/>
        <w:rPr>
          <w:rFonts w:ascii="Arial" w:eastAsia="Times New Roman" w:hAnsi="Arial" w:cs="Arial"/>
          <w:color w:val="000000"/>
          <w:kern w:val="0"/>
          <w:lang w:eastAsia="en-GB"/>
          <w14:ligatures w14:val="none"/>
        </w:rPr>
      </w:pPr>
      <w:r w:rsidRPr="00ED5A3F">
        <w:rPr>
          <w:rFonts w:ascii="Arial" w:eastAsia="Times New Roman" w:hAnsi="Arial" w:cs="Arial"/>
          <w:color w:val="000000"/>
          <w:kern w:val="0"/>
          <w:lang w:eastAsia="en-GB"/>
          <w14:ligatures w14:val="none"/>
        </w:rPr>
        <w:t>In conclusion, the storytelling activities demonstrated how voice modulation, questioning and non-verbal communication could support children's language development and early literacy. Reflecting on both approaches highlighted strengths in expressive narration, creating anticipation and using visual resources. However, the analysis also identified limitations, particularly the absence of opportunities to respond to children's individual communication needs during the recordings.</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t>Although both traditional and digital storytelling offered potential learning opportunities, their effectiveness depended on more than the format used. The digital activity demonstrated an alternative way for children to access stories, but further participation would be needed to develop practical digital literacy skills. Similarly, adapting questions, allowing additional processing time and introducing suitable props could improve accessibility for children with language delays or A</w:t>
      </w:r>
      <w:r>
        <w:rPr>
          <w:rFonts w:ascii="Arial" w:eastAsia="Times New Roman" w:hAnsi="Arial" w:cs="Arial"/>
          <w:color w:val="000000"/>
          <w:kern w:val="0"/>
          <w:lang w:eastAsia="en-GB"/>
          <w14:ligatures w14:val="none"/>
        </w:rPr>
        <w:t>dditional Learning Needs</w:t>
      </w:r>
      <w:r w:rsidRPr="00ED5A3F">
        <w:rPr>
          <w:rFonts w:ascii="Arial" w:eastAsia="Times New Roman" w:hAnsi="Arial" w:cs="Arial"/>
          <w:color w:val="000000"/>
          <w:kern w:val="0"/>
          <w:lang w:eastAsia="en-GB"/>
          <w14:ligatures w14:val="none"/>
        </w:rPr>
        <w:t>.</w:t>
      </w:r>
      <w:r>
        <w:rPr>
          <w:rFonts w:ascii="Arial" w:eastAsia="Times New Roman" w:hAnsi="Arial" w:cs="Arial"/>
          <w:color w:val="000000"/>
          <w:kern w:val="0"/>
          <w:lang w:eastAsia="en-GB"/>
          <w14:ligatures w14:val="none"/>
        </w:rPr>
        <w:br/>
      </w:r>
      <w:r w:rsidRPr="00ED5A3F">
        <w:rPr>
          <w:rFonts w:ascii="Arial" w:eastAsia="Times New Roman" w:hAnsi="Arial" w:cs="Arial"/>
          <w:color w:val="000000"/>
          <w:kern w:val="0"/>
          <w:lang w:eastAsia="en-GB"/>
          <w14:ligatures w14:val="none"/>
        </w:rPr>
        <w:lastRenderedPageBreak/>
        <w:t>Overall, reflecting on both activities highlighted the importance of adapting storytelling techniques to meet children's individual needs. While expressive voices, questioning and gestures were identified as strengths, improvements could be made to eye contact, resource positioning and the use of sensory elements such as background music. Future practice should focus on developing these skills to create storytelling experiences that are inclusive, engaging and supportive of children's learning.</w:t>
      </w:r>
    </w:p>
    <w:p w14:paraId="51FD1D82" w14:textId="77777777" w:rsidR="00671559" w:rsidRDefault="00671559" w:rsidP="00C50913">
      <w:pPr>
        <w:spacing w:line="360" w:lineRule="auto"/>
        <w:rPr>
          <w:rFonts w:ascii="Arial" w:hAnsi="Arial" w:cs="Arial"/>
        </w:rPr>
      </w:pPr>
    </w:p>
    <w:p w14:paraId="26E3DD92" w14:textId="77777777" w:rsidR="00671559" w:rsidRDefault="00671559" w:rsidP="00C50913">
      <w:pPr>
        <w:spacing w:line="360" w:lineRule="auto"/>
        <w:rPr>
          <w:rFonts w:ascii="Arial" w:hAnsi="Arial" w:cs="Arial"/>
        </w:rPr>
      </w:pPr>
    </w:p>
    <w:p w14:paraId="3FD395F4" w14:textId="77777777" w:rsidR="00671559" w:rsidRDefault="00671559" w:rsidP="00C50913">
      <w:pPr>
        <w:spacing w:line="360" w:lineRule="auto"/>
        <w:rPr>
          <w:rFonts w:ascii="Arial" w:hAnsi="Arial" w:cs="Arial"/>
        </w:rPr>
      </w:pPr>
    </w:p>
    <w:p w14:paraId="4BD6630D" w14:textId="77777777" w:rsidR="00671559" w:rsidRDefault="00671559" w:rsidP="00C50913">
      <w:pPr>
        <w:spacing w:line="360" w:lineRule="auto"/>
        <w:rPr>
          <w:rFonts w:ascii="Arial" w:hAnsi="Arial" w:cs="Arial"/>
        </w:rPr>
      </w:pPr>
    </w:p>
    <w:p w14:paraId="4F1E950A" w14:textId="77777777" w:rsidR="00671559" w:rsidRDefault="00671559" w:rsidP="00C50913">
      <w:pPr>
        <w:spacing w:line="360" w:lineRule="auto"/>
        <w:rPr>
          <w:rFonts w:ascii="Arial" w:hAnsi="Arial" w:cs="Arial"/>
        </w:rPr>
      </w:pPr>
    </w:p>
    <w:p w14:paraId="6E6147B2" w14:textId="77777777" w:rsidR="00671559" w:rsidRDefault="00671559" w:rsidP="00C50913">
      <w:pPr>
        <w:spacing w:line="360" w:lineRule="auto"/>
        <w:rPr>
          <w:rFonts w:ascii="Arial" w:hAnsi="Arial" w:cs="Arial"/>
        </w:rPr>
      </w:pPr>
    </w:p>
    <w:p w14:paraId="4F3C24CB" w14:textId="77777777" w:rsidR="00671559" w:rsidRDefault="00671559" w:rsidP="00C50913">
      <w:pPr>
        <w:spacing w:line="360" w:lineRule="auto"/>
        <w:rPr>
          <w:rFonts w:ascii="Arial" w:hAnsi="Arial" w:cs="Arial"/>
        </w:rPr>
      </w:pPr>
    </w:p>
    <w:p w14:paraId="60866E69" w14:textId="77777777" w:rsidR="00671559" w:rsidRDefault="00671559" w:rsidP="00C50913">
      <w:pPr>
        <w:spacing w:line="360" w:lineRule="auto"/>
        <w:rPr>
          <w:rFonts w:ascii="Arial" w:hAnsi="Arial" w:cs="Arial"/>
        </w:rPr>
      </w:pPr>
    </w:p>
    <w:p w14:paraId="4FD398EE" w14:textId="77777777" w:rsidR="00671559" w:rsidRDefault="00671559" w:rsidP="00C50913">
      <w:pPr>
        <w:spacing w:line="360" w:lineRule="auto"/>
        <w:rPr>
          <w:rFonts w:ascii="Arial" w:hAnsi="Arial" w:cs="Arial"/>
        </w:rPr>
      </w:pPr>
    </w:p>
    <w:p w14:paraId="7D84F24D" w14:textId="77777777" w:rsidR="00671559" w:rsidRDefault="00671559" w:rsidP="00C50913">
      <w:pPr>
        <w:spacing w:line="360" w:lineRule="auto"/>
        <w:rPr>
          <w:rFonts w:ascii="Arial" w:hAnsi="Arial" w:cs="Arial"/>
        </w:rPr>
      </w:pPr>
    </w:p>
    <w:p w14:paraId="5B09C28F" w14:textId="77777777" w:rsidR="00671559" w:rsidRDefault="00671559" w:rsidP="00C50913">
      <w:pPr>
        <w:spacing w:line="360" w:lineRule="auto"/>
        <w:rPr>
          <w:rFonts w:ascii="Arial" w:hAnsi="Arial" w:cs="Arial"/>
        </w:rPr>
      </w:pPr>
    </w:p>
    <w:p w14:paraId="7CDAD3B8" w14:textId="77777777" w:rsidR="00671559" w:rsidRDefault="00671559" w:rsidP="00C50913">
      <w:pPr>
        <w:spacing w:line="360" w:lineRule="auto"/>
        <w:rPr>
          <w:rFonts w:ascii="Arial" w:hAnsi="Arial" w:cs="Arial"/>
        </w:rPr>
      </w:pPr>
    </w:p>
    <w:p w14:paraId="01F82751" w14:textId="77777777" w:rsidR="00671559" w:rsidRDefault="00671559" w:rsidP="00C50913">
      <w:pPr>
        <w:spacing w:line="360" w:lineRule="auto"/>
        <w:rPr>
          <w:rFonts w:ascii="Arial" w:hAnsi="Arial" w:cs="Arial"/>
        </w:rPr>
      </w:pPr>
    </w:p>
    <w:p w14:paraId="7BD75562" w14:textId="77777777" w:rsidR="00671559" w:rsidRDefault="00671559" w:rsidP="00C50913">
      <w:pPr>
        <w:spacing w:line="360" w:lineRule="auto"/>
        <w:rPr>
          <w:rFonts w:ascii="Arial" w:hAnsi="Arial" w:cs="Arial"/>
        </w:rPr>
      </w:pPr>
    </w:p>
    <w:p w14:paraId="3068E79F" w14:textId="77777777" w:rsidR="00671559" w:rsidRDefault="00671559" w:rsidP="00C50913">
      <w:pPr>
        <w:spacing w:line="360" w:lineRule="auto"/>
        <w:rPr>
          <w:rFonts w:ascii="Arial" w:hAnsi="Arial" w:cs="Arial"/>
        </w:rPr>
      </w:pPr>
    </w:p>
    <w:p w14:paraId="365E354A" w14:textId="77777777" w:rsidR="00671559" w:rsidRDefault="00671559" w:rsidP="00C50913">
      <w:pPr>
        <w:spacing w:line="360" w:lineRule="auto"/>
        <w:rPr>
          <w:rFonts w:ascii="Arial" w:hAnsi="Arial" w:cs="Arial"/>
        </w:rPr>
      </w:pPr>
    </w:p>
    <w:p w14:paraId="5DC11A7F" w14:textId="77777777" w:rsidR="00C50913" w:rsidRDefault="00C50913" w:rsidP="00C50913">
      <w:pPr>
        <w:spacing w:line="360" w:lineRule="auto"/>
        <w:rPr>
          <w:rFonts w:ascii="Arial" w:hAnsi="Arial" w:cs="Arial"/>
        </w:rPr>
      </w:pPr>
    </w:p>
    <w:p w14:paraId="44278D8D" w14:textId="77777777" w:rsidR="00C50913" w:rsidRDefault="00C50913" w:rsidP="00C50913">
      <w:pPr>
        <w:spacing w:line="360" w:lineRule="auto"/>
        <w:rPr>
          <w:rFonts w:ascii="Arial" w:hAnsi="Arial" w:cs="Arial"/>
        </w:rPr>
      </w:pPr>
    </w:p>
    <w:p w14:paraId="6CFAE286" w14:textId="77777777" w:rsidR="00C50913" w:rsidRDefault="00C50913" w:rsidP="00C50913">
      <w:pPr>
        <w:spacing w:line="360" w:lineRule="auto"/>
        <w:rPr>
          <w:rFonts w:ascii="Arial" w:hAnsi="Arial" w:cs="Arial"/>
        </w:rPr>
      </w:pPr>
    </w:p>
    <w:p w14:paraId="56819E0D" w14:textId="77777777" w:rsidR="00C50913" w:rsidRPr="00C50913" w:rsidRDefault="00C50913" w:rsidP="00C50913">
      <w:pPr>
        <w:spacing w:line="360" w:lineRule="auto"/>
        <w:rPr>
          <w:rFonts w:ascii="Arial" w:hAnsi="Arial" w:cs="Arial"/>
          <w:u w:val="single"/>
        </w:rPr>
      </w:pPr>
      <w:r w:rsidRPr="00C50913">
        <w:rPr>
          <w:rFonts w:ascii="Arial" w:hAnsi="Arial" w:cs="Arial"/>
          <w:u w:val="single"/>
        </w:rPr>
        <w:lastRenderedPageBreak/>
        <w:t>Reference List</w:t>
      </w:r>
    </w:p>
    <w:p w14:paraId="459938A1" w14:textId="77777777" w:rsidR="00C50913" w:rsidRPr="00C50913" w:rsidRDefault="00C50913" w:rsidP="00C50913">
      <w:pPr>
        <w:spacing w:line="360" w:lineRule="auto"/>
        <w:rPr>
          <w:rFonts w:ascii="Arial" w:hAnsi="Arial" w:cs="Arial"/>
        </w:rPr>
      </w:pPr>
      <w:r w:rsidRPr="00C50913">
        <w:rPr>
          <w:rFonts w:ascii="Arial" w:hAnsi="Arial" w:cs="Arial"/>
        </w:rPr>
        <w:t>Bandura, A. (1977) </w:t>
      </w:r>
      <w:r w:rsidRPr="00C50913">
        <w:rPr>
          <w:rFonts w:ascii="Arial" w:hAnsi="Arial" w:cs="Arial"/>
          <w:i/>
          <w:iCs/>
        </w:rPr>
        <w:t>Social learning theory</w:t>
      </w:r>
      <w:r w:rsidRPr="00C50913">
        <w:rPr>
          <w:rFonts w:ascii="Arial" w:hAnsi="Arial" w:cs="Arial"/>
        </w:rPr>
        <w:t>. Englewood Cliffs, NJ: Prentice-Hall.</w:t>
      </w:r>
    </w:p>
    <w:p w14:paraId="221E6583" w14:textId="77777777" w:rsidR="00C50913" w:rsidRPr="00C50913" w:rsidRDefault="00C50913" w:rsidP="00C50913">
      <w:pPr>
        <w:spacing w:line="360" w:lineRule="auto"/>
        <w:rPr>
          <w:rFonts w:ascii="Arial" w:hAnsi="Arial" w:cs="Arial"/>
        </w:rPr>
      </w:pPr>
      <w:r w:rsidRPr="00C50913">
        <w:rPr>
          <w:rFonts w:ascii="Arial" w:hAnsi="Arial" w:cs="Arial"/>
        </w:rPr>
        <w:t>Bruner, J.S. (1983) </w:t>
      </w:r>
      <w:r w:rsidRPr="00C50913">
        <w:rPr>
          <w:rFonts w:ascii="Arial" w:hAnsi="Arial" w:cs="Arial"/>
          <w:i/>
          <w:iCs/>
        </w:rPr>
        <w:t>Child's talk: Learning to use language</w:t>
      </w:r>
      <w:r w:rsidRPr="00C50913">
        <w:rPr>
          <w:rFonts w:ascii="Arial" w:hAnsi="Arial" w:cs="Arial"/>
        </w:rPr>
        <w:t>. New York: W.W. Norton.</w:t>
      </w:r>
    </w:p>
    <w:p w14:paraId="03291116" w14:textId="77777777" w:rsidR="00C50913" w:rsidRPr="00C50913" w:rsidRDefault="00C50913" w:rsidP="00C50913">
      <w:pPr>
        <w:spacing w:line="360" w:lineRule="auto"/>
        <w:rPr>
          <w:rFonts w:ascii="Arial" w:hAnsi="Arial" w:cs="Arial"/>
        </w:rPr>
      </w:pPr>
      <w:r w:rsidRPr="00C50913">
        <w:rPr>
          <w:rFonts w:ascii="Arial" w:hAnsi="Arial" w:cs="Arial"/>
        </w:rPr>
        <w:t>Bus, A.G., Takacs, Z.K. and Kegel, C.A.T. (2015) 'Affordances and limitations of electronic storybooks for young children's emergent literacy', </w:t>
      </w:r>
      <w:r w:rsidRPr="00C50913">
        <w:rPr>
          <w:rFonts w:ascii="Arial" w:hAnsi="Arial" w:cs="Arial"/>
          <w:i/>
          <w:iCs/>
        </w:rPr>
        <w:t>Developmental Review</w:t>
      </w:r>
      <w:r w:rsidRPr="00C50913">
        <w:rPr>
          <w:rFonts w:ascii="Arial" w:hAnsi="Arial" w:cs="Arial"/>
        </w:rPr>
        <w:t>, 35, pp. 79–97. Available at: </w:t>
      </w:r>
      <w:hyperlink r:id="rId6" w:history="1">
        <w:r w:rsidRPr="00C50913">
          <w:rPr>
            <w:rStyle w:val="Hyperlink"/>
            <w:rFonts w:ascii="Arial" w:hAnsi="Arial" w:cs="Arial"/>
          </w:rPr>
          <w:t>https://doi.org/10.1016/j.dr.2014.12.004</w:t>
        </w:r>
      </w:hyperlink>
    </w:p>
    <w:p w14:paraId="598118D6" w14:textId="77777777" w:rsidR="00C50913" w:rsidRPr="00C50913" w:rsidRDefault="00C50913" w:rsidP="00C50913">
      <w:pPr>
        <w:spacing w:line="360" w:lineRule="auto"/>
        <w:rPr>
          <w:rFonts w:ascii="Arial" w:hAnsi="Arial" w:cs="Arial"/>
        </w:rPr>
      </w:pPr>
      <w:r w:rsidRPr="00C50913">
        <w:rPr>
          <w:rFonts w:ascii="Arial" w:hAnsi="Arial" w:cs="Arial"/>
        </w:rPr>
        <w:t>Donaldson, J. (1999) </w:t>
      </w:r>
      <w:r w:rsidRPr="00C50913">
        <w:rPr>
          <w:rFonts w:ascii="Arial" w:hAnsi="Arial" w:cs="Arial"/>
          <w:i/>
          <w:iCs/>
        </w:rPr>
        <w:t>The Gruffalo</w:t>
      </w:r>
      <w:r w:rsidRPr="00C50913">
        <w:rPr>
          <w:rFonts w:ascii="Arial" w:hAnsi="Arial" w:cs="Arial"/>
        </w:rPr>
        <w:t xml:space="preserve">. Illustrated by A. Scheffler. [Online flipbook]. Available at: </w:t>
      </w:r>
      <w:hyperlink r:id="rId7" w:history="1">
        <w:r w:rsidRPr="00C50913">
          <w:rPr>
            <w:rStyle w:val="Hyperlink"/>
            <w:rFonts w:ascii="Arial" w:hAnsi="Arial" w:cs="Arial"/>
          </w:rPr>
          <w:t>https://online.flipbuilder.com/rslc/tadp/</w:t>
        </w:r>
      </w:hyperlink>
      <w:r w:rsidRPr="00C50913">
        <w:rPr>
          <w:rFonts w:ascii="Arial" w:hAnsi="Arial" w:cs="Arial"/>
        </w:rPr>
        <w:t xml:space="preserve"> (Accessed: 23/10/2026).</w:t>
      </w:r>
    </w:p>
    <w:p w14:paraId="48A2AB27" w14:textId="77777777" w:rsidR="00C50913" w:rsidRPr="00C50913" w:rsidRDefault="00C50913" w:rsidP="00C50913">
      <w:pPr>
        <w:spacing w:line="360" w:lineRule="auto"/>
        <w:rPr>
          <w:rFonts w:ascii="Arial" w:hAnsi="Arial" w:cs="Arial"/>
        </w:rPr>
      </w:pPr>
      <w:r w:rsidRPr="00C50913">
        <w:rPr>
          <w:rFonts w:ascii="Arial" w:hAnsi="Arial" w:cs="Arial"/>
        </w:rPr>
        <w:t>Donaldson, J. (2001) </w:t>
      </w:r>
      <w:r w:rsidRPr="00C50913">
        <w:rPr>
          <w:rFonts w:ascii="Arial" w:hAnsi="Arial" w:cs="Arial"/>
          <w:i/>
          <w:iCs/>
        </w:rPr>
        <w:t>Room on the Broom</w:t>
      </w:r>
      <w:r w:rsidRPr="00C50913">
        <w:rPr>
          <w:rFonts w:ascii="Arial" w:hAnsi="Arial" w:cs="Arial"/>
        </w:rPr>
        <w:t>. Illustrated by A. Scheffler. London: Macmillan Children's Books.</w:t>
      </w:r>
    </w:p>
    <w:p w14:paraId="238CC6BE" w14:textId="77777777" w:rsidR="00C50913" w:rsidRPr="00C50913" w:rsidRDefault="00C50913" w:rsidP="00C50913">
      <w:pPr>
        <w:spacing w:line="360" w:lineRule="auto"/>
        <w:rPr>
          <w:rFonts w:ascii="Arial" w:hAnsi="Arial" w:cs="Arial"/>
        </w:rPr>
      </w:pPr>
      <w:r w:rsidRPr="00C50913">
        <w:rPr>
          <w:rFonts w:ascii="Arial" w:hAnsi="Arial" w:cs="Arial"/>
        </w:rPr>
        <w:t>Goldin-Meadow, S. (2009) 'How gesture promotes learning throughout childhood', </w:t>
      </w:r>
      <w:r w:rsidRPr="00C50913">
        <w:rPr>
          <w:rFonts w:ascii="Arial" w:hAnsi="Arial" w:cs="Arial"/>
          <w:i/>
          <w:iCs/>
        </w:rPr>
        <w:t>Child Development Perspectives</w:t>
      </w:r>
      <w:r w:rsidRPr="00C50913">
        <w:rPr>
          <w:rFonts w:ascii="Arial" w:hAnsi="Arial" w:cs="Arial"/>
        </w:rPr>
        <w:t>, 3(2), pp. 106–111. Available at: </w:t>
      </w:r>
      <w:hyperlink r:id="rId8" w:history="1">
        <w:r w:rsidRPr="00C50913">
          <w:rPr>
            <w:rStyle w:val="Hyperlink"/>
            <w:rFonts w:ascii="Arial" w:hAnsi="Arial" w:cs="Arial"/>
          </w:rPr>
          <w:t>https://doi.org/10.1111/j.1750-8606.2009.00088.x</w:t>
        </w:r>
      </w:hyperlink>
    </w:p>
    <w:p w14:paraId="6AB13D1D" w14:textId="77777777" w:rsidR="00C50913" w:rsidRPr="00C50913" w:rsidRDefault="00C50913" w:rsidP="00C50913">
      <w:pPr>
        <w:spacing w:line="360" w:lineRule="auto"/>
        <w:rPr>
          <w:rFonts w:ascii="Arial" w:hAnsi="Arial" w:cs="Arial"/>
        </w:rPr>
      </w:pPr>
      <w:r w:rsidRPr="00C50913">
        <w:rPr>
          <w:rFonts w:ascii="Arial" w:hAnsi="Arial" w:cs="Arial"/>
        </w:rPr>
        <w:t>Isbell, R., Sobol, J., Lindauer, L. and Lowrance, A. (2004) 'The effects of storytelling and story reading on the oral language complexity and story comprehension of young children', </w:t>
      </w:r>
      <w:r w:rsidRPr="00C50913">
        <w:rPr>
          <w:rFonts w:ascii="Arial" w:hAnsi="Arial" w:cs="Arial"/>
          <w:i/>
          <w:iCs/>
        </w:rPr>
        <w:t>Early Childhood Education Journal</w:t>
      </w:r>
      <w:r w:rsidRPr="00C50913">
        <w:rPr>
          <w:rFonts w:ascii="Arial" w:hAnsi="Arial" w:cs="Arial"/>
        </w:rPr>
        <w:t>, 32(3), pp. 157–163. Available at: </w:t>
      </w:r>
      <w:hyperlink r:id="rId9" w:history="1">
        <w:r w:rsidRPr="00C50913">
          <w:rPr>
            <w:rStyle w:val="Hyperlink"/>
            <w:rFonts w:ascii="Arial" w:hAnsi="Arial" w:cs="Arial"/>
          </w:rPr>
          <w:t>https://doi.org/10.1023/B:ECEJ.0000048967.94189.a3</w:t>
        </w:r>
      </w:hyperlink>
    </w:p>
    <w:p w14:paraId="2C82766D" w14:textId="77777777" w:rsidR="00C50913" w:rsidRPr="00C50913" w:rsidRDefault="00C50913" w:rsidP="00C50913">
      <w:pPr>
        <w:spacing w:line="360" w:lineRule="auto"/>
        <w:rPr>
          <w:rFonts w:ascii="Arial" w:hAnsi="Arial" w:cs="Arial"/>
        </w:rPr>
      </w:pPr>
      <w:r w:rsidRPr="00C50913">
        <w:rPr>
          <w:rFonts w:ascii="Arial" w:hAnsi="Arial" w:cs="Arial"/>
        </w:rPr>
        <w:t>Kucirkova, N. (2019) 'Children's reading with digital books: Past moving quickly to the future', </w:t>
      </w:r>
      <w:r w:rsidRPr="00C50913">
        <w:rPr>
          <w:rFonts w:ascii="Arial" w:hAnsi="Arial" w:cs="Arial"/>
          <w:i/>
          <w:iCs/>
        </w:rPr>
        <w:t>Child Development Perspectives</w:t>
      </w:r>
      <w:r w:rsidRPr="00C50913">
        <w:rPr>
          <w:rFonts w:ascii="Arial" w:hAnsi="Arial" w:cs="Arial"/>
        </w:rPr>
        <w:t>, 13(4), pp. 208–214. Available at: </w:t>
      </w:r>
      <w:hyperlink r:id="rId10" w:history="1">
        <w:r w:rsidRPr="00C50913">
          <w:rPr>
            <w:rStyle w:val="Hyperlink"/>
            <w:rFonts w:ascii="Arial" w:hAnsi="Arial" w:cs="Arial"/>
          </w:rPr>
          <w:t>https://doi.org/10.1111/cdep.12339</w:t>
        </w:r>
      </w:hyperlink>
    </w:p>
    <w:p w14:paraId="2405F4DD" w14:textId="77777777" w:rsidR="00C50913" w:rsidRPr="00C50913" w:rsidRDefault="00C50913" w:rsidP="00C50913">
      <w:pPr>
        <w:spacing w:line="360" w:lineRule="auto"/>
        <w:rPr>
          <w:rFonts w:ascii="Arial" w:hAnsi="Arial" w:cs="Arial"/>
        </w:rPr>
      </w:pPr>
      <w:r w:rsidRPr="00C50913">
        <w:rPr>
          <w:rFonts w:ascii="Arial" w:hAnsi="Arial" w:cs="Arial"/>
        </w:rPr>
        <w:t>Mira, W.A. and Schwanenflugel, P.J. (2013) 'The impact of reading expressiveness on the listening comprehension of storybooks by prekindergarten children', </w:t>
      </w:r>
      <w:r w:rsidRPr="00C50913">
        <w:rPr>
          <w:rFonts w:ascii="Arial" w:hAnsi="Arial" w:cs="Arial"/>
          <w:i/>
          <w:iCs/>
        </w:rPr>
        <w:t>Language, Speech, and Hearing Services in Schools</w:t>
      </w:r>
      <w:r w:rsidRPr="00C50913">
        <w:rPr>
          <w:rFonts w:ascii="Arial" w:hAnsi="Arial" w:cs="Arial"/>
        </w:rPr>
        <w:t>, 44(2), pp. 183–194. Available at: </w:t>
      </w:r>
      <w:hyperlink r:id="rId11" w:history="1">
        <w:r w:rsidRPr="00C50913">
          <w:rPr>
            <w:rStyle w:val="Hyperlink"/>
            <w:rFonts w:ascii="Arial" w:hAnsi="Arial" w:cs="Arial"/>
          </w:rPr>
          <w:t>https://doi.org/10.1044/0161-1461(2012/11-0073)</w:t>
        </w:r>
      </w:hyperlink>
    </w:p>
    <w:p w14:paraId="138F7DC8" w14:textId="77777777" w:rsidR="00C50913" w:rsidRPr="00C50913" w:rsidRDefault="00C50913" w:rsidP="00C50913">
      <w:pPr>
        <w:spacing w:line="360" w:lineRule="auto"/>
        <w:rPr>
          <w:rFonts w:ascii="Arial" w:hAnsi="Arial" w:cs="Arial"/>
        </w:rPr>
      </w:pPr>
      <w:r w:rsidRPr="00C50913">
        <w:rPr>
          <w:rFonts w:ascii="Arial" w:hAnsi="Arial" w:cs="Arial"/>
        </w:rPr>
        <w:t>Mol, S.E., Bus, A.G., de Jong, M.T. and Smeets, D.J.H. (2008) 'Added value of dialogic parent–child book readings: A meta-analysis', </w:t>
      </w:r>
      <w:r w:rsidRPr="00C50913">
        <w:rPr>
          <w:rFonts w:ascii="Arial" w:hAnsi="Arial" w:cs="Arial"/>
          <w:i/>
          <w:iCs/>
        </w:rPr>
        <w:t>Early Education and Development</w:t>
      </w:r>
      <w:r w:rsidRPr="00C50913">
        <w:rPr>
          <w:rFonts w:ascii="Arial" w:hAnsi="Arial" w:cs="Arial"/>
        </w:rPr>
        <w:t>, 19(1), pp. 7–26. Available at: </w:t>
      </w:r>
      <w:hyperlink r:id="rId12" w:history="1">
        <w:r w:rsidRPr="00C50913">
          <w:rPr>
            <w:rStyle w:val="Hyperlink"/>
            <w:rFonts w:ascii="Arial" w:hAnsi="Arial" w:cs="Arial"/>
          </w:rPr>
          <w:t>https://doi.org/10.1080/10409280701838603</w:t>
        </w:r>
      </w:hyperlink>
    </w:p>
    <w:p w14:paraId="02D91DAE" w14:textId="77777777" w:rsidR="00C50913" w:rsidRPr="00C50913" w:rsidRDefault="00C50913" w:rsidP="00C50913">
      <w:pPr>
        <w:spacing w:line="360" w:lineRule="auto"/>
        <w:rPr>
          <w:rFonts w:ascii="Arial" w:hAnsi="Arial" w:cs="Arial"/>
        </w:rPr>
      </w:pPr>
      <w:r w:rsidRPr="00C50913">
        <w:rPr>
          <w:rFonts w:ascii="Arial" w:hAnsi="Arial" w:cs="Arial"/>
        </w:rPr>
        <w:lastRenderedPageBreak/>
        <w:t>Takacs, Z.K., Swart, E.K. and Bus, A.G. (2015) 'Benefits and pitfalls of multimedia and interactive features in technology-enhanced storybooks: A meta-analysis', </w:t>
      </w:r>
      <w:r w:rsidRPr="00C50913">
        <w:rPr>
          <w:rFonts w:ascii="Arial" w:hAnsi="Arial" w:cs="Arial"/>
          <w:i/>
          <w:iCs/>
        </w:rPr>
        <w:t>Review of Educational Research</w:t>
      </w:r>
      <w:r w:rsidRPr="00C50913">
        <w:rPr>
          <w:rFonts w:ascii="Arial" w:hAnsi="Arial" w:cs="Arial"/>
        </w:rPr>
        <w:t>, 85(4), pp. 698–739. Available at: </w:t>
      </w:r>
      <w:hyperlink r:id="rId13" w:history="1">
        <w:r w:rsidRPr="00C50913">
          <w:rPr>
            <w:rStyle w:val="Hyperlink"/>
            <w:rFonts w:ascii="Arial" w:hAnsi="Arial" w:cs="Arial"/>
          </w:rPr>
          <w:t>https://doi.org/10.3102/0034654314566989</w:t>
        </w:r>
      </w:hyperlink>
    </w:p>
    <w:p w14:paraId="5E543C47" w14:textId="77777777" w:rsidR="00C50913" w:rsidRPr="00C50913" w:rsidRDefault="00C50913" w:rsidP="00C50913">
      <w:pPr>
        <w:spacing w:line="360" w:lineRule="auto"/>
        <w:rPr>
          <w:rFonts w:ascii="Arial" w:hAnsi="Arial" w:cs="Arial"/>
        </w:rPr>
      </w:pPr>
      <w:r w:rsidRPr="00C50913">
        <w:rPr>
          <w:rFonts w:ascii="Arial" w:hAnsi="Arial" w:cs="Arial"/>
        </w:rPr>
        <w:t>Vygotsky, L.S. (1978) </w:t>
      </w:r>
      <w:r w:rsidRPr="00C50913">
        <w:rPr>
          <w:rFonts w:ascii="Arial" w:hAnsi="Arial" w:cs="Arial"/>
          <w:i/>
          <w:iCs/>
        </w:rPr>
        <w:t>Mind in society: The development of higher psychological processes</w:t>
      </w:r>
      <w:r w:rsidRPr="00C50913">
        <w:rPr>
          <w:rFonts w:ascii="Arial" w:hAnsi="Arial" w:cs="Arial"/>
        </w:rPr>
        <w:t>. Cambridge, MA: Harvard University Press.</w:t>
      </w:r>
    </w:p>
    <w:p w14:paraId="42B9370C" w14:textId="21178DCF" w:rsidR="00C50913" w:rsidRPr="00671559" w:rsidRDefault="00C50913" w:rsidP="00C50913">
      <w:pPr>
        <w:spacing w:line="360" w:lineRule="auto"/>
        <w:rPr>
          <w:rFonts w:ascii="Arial" w:hAnsi="Arial" w:cs="Arial"/>
        </w:rPr>
      </w:pPr>
      <w:r w:rsidRPr="00C50913">
        <w:rPr>
          <w:rFonts w:ascii="Arial" w:hAnsi="Arial" w:cs="Arial"/>
        </w:rPr>
        <w:t xml:space="preserve">Whitehurst, G.J., Falco, F.L., Lonigan, C.J., Fischel, J.E., </w:t>
      </w:r>
      <w:proofErr w:type="spellStart"/>
      <w:r w:rsidRPr="00C50913">
        <w:rPr>
          <w:rFonts w:ascii="Arial" w:hAnsi="Arial" w:cs="Arial"/>
        </w:rPr>
        <w:t>DeBaryshe</w:t>
      </w:r>
      <w:proofErr w:type="spellEnd"/>
      <w:r w:rsidRPr="00C50913">
        <w:rPr>
          <w:rFonts w:ascii="Arial" w:hAnsi="Arial" w:cs="Arial"/>
        </w:rPr>
        <w:t>, B.D., Valdez-Menchaca, M.C. and Caulfield, M. (1988) 'Accelerating language development through picture book reading', </w:t>
      </w:r>
      <w:r w:rsidRPr="00C50913">
        <w:rPr>
          <w:rFonts w:ascii="Arial" w:hAnsi="Arial" w:cs="Arial"/>
          <w:i/>
          <w:iCs/>
        </w:rPr>
        <w:t>Developmental Psychology</w:t>
      </w:r>
      <w:r w:rsidRPr="00C50913">
        <w:rPr>
          <w:rFonts w:ascii="Arial" w:hAnsi="Arial" w:cs="Arial"/>
        </w:rPr>
        <w:t>, 24(4), pp. 552–559. Available at: </w:t>
      </w:r>
      <w:hyperlink r:id="rId14" w:history="1">
        <w:r w:rsidRPr="00C50913">
          <w:rPr>
            <w:rStyle w:val="Hyperlink"/>
            <w:rFonts w:ascii="Arial" w:hAnsi="Arial" w:cs="Arial"/>
          </w:rPr>
          <w:t>https://doi.org/10.1037/0012-1649.24.4.552</w:t>
        </w:r>
      </w:hyperlink>
    </w:p>
    <w:sectPr w:rsidR="00C50913" w:rsidRPr="00671559">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94962" w14:textId="77777777" w:rsidR="00924B2E" w:rsidRDefault="00924B2E" w:rsidP="00671559">
      <w:pPr>
        <w:spacing w:after="0" w:line="240" w:lineRule="auto"/>
      </w:pPr>
      <w:r>
        <w:separator/>
      </w:r>
    </w:p>
  </w:endnote>
  <w:endnote w:type="continuationSeparator" w:id="0">
    <w:p w14:paraId="2DD0AC23" w14:textId="77777777" w:rsidR="00924B2E" w:rsidRDefault="00924B2E" w:rsidP="00671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EE056" w14:textId="77777777" w:rsidR="00924B2E" w:rsidRDefault="00924B2E" w:rsidP="00671559">
      <w:pPr>
        <w:spacing w:after="0" w:line="240" w:lineRule="auto"/>
      </w:pPr>
      <w:r>
        <w:separator/>
      </w:r>
    </w:p>
  </w:footnote>
  <w:footnote w:type="continuationSeparator" w:id="0">
    <w:p w14:paraId="1564604A" w14:textId="77777777" w:rsidR="00924B2E" w:rsidRDefault="00924B2E" w:rsidP="00671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CB864" w14:textId="7D353614" w:rsidR="00671559" w:rsidRDefault="00671559">
    <w:pPr>
      <w:pStyle w:val="Header"/>
    </w:pPr>
    <w:r>
      <w:t>1400113</w:t>
    </w:r>
    <w:r w:rsidR="00FD22AF">
      <w:tab/>
      <w:t>ECEY5004/C</w:t>
    </w:r>
    <w:r w:rsidR="00FD22AF">
      <w:tab/>
      <w:t>2093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559"/>
    <w:rsid w:val="003C4145"/>
    <w:rsid w:val="00671559"/>
    <w:rsid w:val="00924B2E"/>
    <w:rsid w:val="009961AA"/>
    <w:rsid w:val="00A205CE"/>
    <w:rsid w:val="00C50913"/>
    <w:rsid w:val="00D03B61"/>
    <w:rsid w:val="00FD22AF"/>
    <w:rsid w:val="00FE18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624F9A5"/>
  <w15:chartTrackingRefBased/>
  <w15:docId w15:val="{04DD931D-33D4-CF48-9C83-3687CF15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1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1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559"/>
    <w:rPr>
      <w:rFonts w:eastAsiaTheme="majorEastAsia" w:cstheme="majorBidi"/>
      <w:color w:val="272727" w:themeColor="text1" w:themeTint="D8"/>
    </w:rPr>
  </w:style>
  <w:style w:type="paragraph" w:styleId="Title">
    <w:name w:val="Title"/>
    <w:basedOn w:val="Normal"/>
    <w:next w:val="Normal"/>
    <w:link w:val="TitleChar"/>
    <w:uiPriority w:val="10"/>
    <w:qFormat/>
    <w:rsid w:val="00671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559"/>
    <w:pPr>
      <w:spacing w:before="160"/>
      <w:jc w:val="center"/>
    </w:pPr>
    <w:rPr>
      <w:i/>
      <w:iCs/>
      <w:color w:val="404040" w:themeColor="text1" w:themeTint="BF"/>
    </w:rPr>
  </w:style>
  <w:style w:type="character" w:customStyle="1" w:styleId="QuoteChar">
    <w:name w:val="Quote Char"/>
    <w:basedOn w:val="DefaultParagraphFont"/>
    <w:link w:val="Quote"/>
    <w:uiPriority w:val="29"/>
    <w:rsid w:val="00671559"/>
    <w:rPr>
      <w:i/>
      <w:iCs/>
      <w:color w:val="404040" w:themeColor="text1" w:themeTint="BF"/>
    </w:rPr>
  </w:style>
  <w:style w:type="paragraph" w:styleId="ListParagraph">
    <w:name w:val="List Paragraph"/>
    <w:basedOn w:val="Normal"/>
    <w:uiPriority w:val="34"/>
    <w:qFormat/>
    <w:rsid w:val="00671559"/>
    <w:pPr>
      <w:ind w:left="720"/>
      <w:contextualSpacing/>
    </w:pPr>
  </w:style>
  <w:style w:type="character" w:styleId="IntenseEmphasis">
    <w:name w:val="Intense Emphasis"/>
    <w:basedOn w:val="DefaultParagraphFont"/>
    <w:uiPriority w:val="21"/>
    <w:qFormat/>
    <w:rsid w:val="00671559"/>
    <w:rPr>
      <w:i/>
      <w:iCs/>
      <w:color w:val="0F4761" w:themeColor="accent1" w:themeShade="BF"/>
    </w:rPr>
  </w:style>
  <w:style w:type="paragraph" w:styleId="IntenseQuote">
    <w:name w:val="Intense Quote"/>
    <w:basedOn w:val="Normal"/>
    <w:next w:val="Normal"/>
    <w:link w:val="IntenseQuoteChar"/>
    <w:uiPriority w:val="30"/>
    <w:qFormat/>
    <w:rsid w:val="00671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559"/>
    <w:rPr>
      <w:i/>
      <w:iCs/>
      <w:color w:val="0F4761" w:themeColor="accent1" w:themeShade="BF"/>
    </w:rPr>
  </w:style>
  <w:style w:type="character" w:styleId="IntenseReference">
    <w:name w:val="Intense Reference"/>
    <w:basedOn w:val="DefaultParagraphFont"/>
    <w:uiPriority w:val="32"/>
    <w:qFormat/>
    <w:rsid w:val="00671559"/>
    <w:rPr>
      <w:b/>
      <w:bCs/>
      <w:smallCaps/>
      <w:color w:val="0F4761" w:themeColor="accent1" w:themeShade="BF"/>
      <w:spacing w:val="5"/>
    </w:rPr>
  </w:style>
  <w:style w:type="paragraph" w:styleId="Header">
    <w:name w:val="header"/>
    <w:basedOn w:val="Normal"/>
    <w:link w:val="HeaderChar"/>
    <w:uiPriority w:val="99"/>
    <w:unhideWhenUsed/>
    <w:rsid w:val="006715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559"/>
  </w:style>
  <w:style w:type="paragraph" w:styleId="Footer">
    <w:name w:val="footer"/>
    <w:basedOn w:val="Normal"/>
    <w:link w:val="FooterChar"/>
    <w:uiPriority w:val="99"/>
    <w:unhideWhenUsed/>
    <w:rsid w:val="006715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559"/>
  </w:style>
  <w:style w:type="paragraph" w:styleId="NormalWeb">
    <w:name w:val="Normal (Web)"/>
    <w:basedOn w:val="Normal"/>
    <w:uiPriority w:val="99"/>
    <w:unhideWhenUsed/>
    <w:rsid w:val="00FE18B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E18B2"/>
  </w:style>
  <w:style w:type="character" w:styleId="Emphasis">
    <w:name w:val="Emphasis"/>
    <w:basedOn w:val="DefaultParagraphFont"/>
    <w:uiPriority w:val="20"/>
    <w:qFormat/>
    <w:rsid w:val="00FE18B2"/>
    <w:rPr>
      <w:i/>
      <w:iCs/>
    </w:rPr>
  </w:style>
  <w:style w:type="character" w:styleId="Hyperlink">
    <w:name w:val="Hyperlink"/>
    <w:basedOn w:val="DefaultParagraphFont"/>
    <w:uiPriority w:val="99"/>
    <w:unhideWhenUsed/>
    <w:rsid w:val="00C50913"/>
    <w:rPr>
      <w:color w:val="467886" w:themeColor="hyperlink"/>
      <w:u w:val="single"/>
    </w:rPr>
  </w:style>
  <w:style w:type="character" w:styleId="UnresolvedMention">
    <w:name w:val="Unresolved Mention"/>
    <w:basedOn w:val="DefaultParagraphFont"/>
    <w:uiPriority w:val="99"/>
    <w:semiHidden/>
    <w:unhideWhenUsed/>
    <w:rsid w:val="00C509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750-8606.2009.00088.x" TargetMode="External"/><Relationship Id="rId13" Type="http://schemas.openxmlformats.org/officeDocument/2006/relationships/hyperlink" Target="https://doi.org/10.3102/0034654314566989" TargetMode="External"/><Relationship Id="rId3" Type="http://schemas.openxmlformats.org/officeDocument/2006/relationships/webSettings" Target="webSettings.xml"/><Relationship Id="rId7" Type="http://schemas.openxmlformats.org/officeDocument/2006/relationships/hyperlink" Target="https://online.flipbuilder.com/rslc/tadp/" TargetMode="External"/><Relationship Id="rId12" Type="http://schemas.openxmlformats.org/officeDocument/2006/relationships/hyperlink" Target="https://doi.org/10.1080/1040928070183860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dr.2014.12.004" TargetMode="External"/><Relationship Id="rId11" Type="http://schemas.openxmlformats.org/officeDocument/2006/relationships/hyperlink" Target="https://doi.org/10.1044/0161-1461(2012/11-0073)"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doi.org/10.1111/cdep.12339" TargetMode="External"/><Relationship Id="rId4" Type="http://schemas.openxmlformats.org/officeDocument/2006/relationships/footnotes" Target="footnotes.xml"/><Relationship Id="rId9" Type="http://schemas.openxmlformats.org/officeDocument/2006/relationships/hyperlink" Target="https://doi.org/10.1023/B:ECEJ.0000048967.94189.a3" TargetMode="External"/><Relationship Id="rId14" Type="http://schemas.openxmlformats.org/officeDocument/2006/relationships/hyperlink" Target="https://doi.org/10.1037/0012-1649.24.4.5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2739</Words>
  <Characters>16112</Characters>
  <Application>Microsoft Office Word</Application>
  <DocSecurity>0</DocSecurity>
  <Lines>596</Lines>
  <Paragraphs>673</Paragraphs>
  <ScaleCrop>false</ScaleCrop>
  <Company/>
  <LinksUpToDate>false</LinksUpToDate>
  <CharactersWithSpaces>18178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tiffany bennett</dc:creator>
  <cp:keywords/>
  <dc:description/>
  <cp:lastModifiedBy>tiffany bennett</cp:lastModifiedBy>
  <cp:revision>2</cp:revision>
  <dcterms:created xsi:type="dcterms:W3CDTF">2026-10-25T18:37:00Z</dcterms:created>
  <dcterms:modified xsi:type="dcterms:W3CDTF">2026-10-25T18:37:00Z</dcterms:modified>
</cp:coreProperties>
</file>