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DA9C8C" w14:textId="32861B50" w:rsidR="004006F8" w:rsidRPr="00E1414E" w:rsidRDefault="00E1414E" w:rsidP="00E1414E">
      <w:pPr>
        <w:pStyle w:val="Title"/>
        <w:keepNext w:val="0"/>
        <w:keepLines w:val="0"/>
        <w:spacing w:after="0"/>
        <w:rPr>
          <w:b/>
          <w:sz w:val="40"/>
          <w:szCs w:val="40"/>
        </w:rPr>
      </w:pPr>
      <w:r w:rsidRPr="00E1414E">
        <w:rPr>
          <w:b/>
          <w:szCs w:val="32"/>
        </w:rPr>
        <w:t xml:space="preserve">                         </w:t>
      </w:r>
      <w:r w:rsidR="004006F8" w:rsidRPr="00E1414E">
        <w:rPr>
          <w:b/>
          <w:szCs w:val="32"/>
        </w:rPr>
        <w:t xml:space="preserve"> </w:t>
      </w:r>
      <w:r w:rsidR="004006F8" w:rsidRPr="00E1414E">
        <w:rPr>
          <w:b/>
          <w:sz w:val="40"/>
          <w:szCs w:val="40"/>
        </w:rPr>
        <w:t>Assignment 2-Written Report</w:t>
      </w:r>
    </w:p>
    <w:p w14:paraId="6C56F0FE" w14:textId="77777777" w:rsidR="004006F8" w:rsidRDefault="004006F8" w:rsidP="004006F8">
      <w:pPr>
        <w:rPr>
          <w:b/>
          <w:szCs w:val="32"/>
          <w:u w:val="single"/>
        </w:rPr>
      </w:pPr>
    </w:p>
    <w:p w14:paraId="60675B1A" w14:textId="77777777" w:rsidR="004006F8" w:rsidRDefault="004006F8" w:rsidP="004006F8">
      <w:pPr>
        <w:rPr>
          <w:b/>
          <w:szCs w:val="32"/>
          <w:u w:val="single"/>
        </w:rPr>
      </w:pPr>
    </w:p>
    <w:p w14:paraId="1CAC362A" w14:textId="77777777" w:rsidR="00E1414E" w:rsidRDefault="00E1414E" w:rsidP="00E1414E">
      <w:pPr>
        <w:rPr>
          <w:b/>
          <w:sz w:val="40"/>
          <w:szCs w:val="40"/>
        </w:rPr>
      </w:pPr>
      <w:r>
        <w:rPr>
          <w:b/>
          <w:sz w:val="40"/>
          <w:szCs w:val="40"/>
        </w:rPr>
        <w:t xml:space="preserve">   </w:t>
      </w:r>
      <w:r w:rsidRPr="00C42130">
        <w:rPr>
          <w:b/>
          <w:sz w:val="40"/>
          <w:szCs w:val="40"/>
        </w:rPr>
        <w:t>Name: Vasile Sorin Bricioc</w:t>
      </w:r>
    </w:p>
    <w:p w14:paraId="15A6B83C" w14:textId="77777777" w:rsidR="00E1414E" w:rsidRPr="00EF2947" w:rsidRDefault="00E1414E" w:rsidP="00E1414E">
      <w:pPr>
        <w:rPr>
          <w:b/>
          <w:sz w:val="40"/>
          <w:szCs w:val="40"/>
        </w:rPr>
      </w:pPr>
      <w:r>
        <w:rPr>
          <w:b/>
          <w:sz w:val="40"/>
          <w:szCs w:val="40"/>
        </w:rPr>
        <w:t xml:space="preserve">   </w:t>
      </w:r>
      <w:r w:rsidRPr="00C42130">
        <w:rPr>
          <w:b/>
          <w:sz w:val="40"/>
          <w:szCs w:val="40"/>
        </w:rPr>
        <w:t>Student ID:2030895</w:t>
      </w:r>
    </w:p>
    <w:p w14:paraId="37F69A82" w14:textId="77777777" w:rsidR="00E1414E" w:rsidRDefault="00E1414E" w:rsidP="00E1414E">
      <w:pPr>
        <w:rPr>
          <w:b/>
          <w:sz w:val="40"/>
          <w:szCs w:val="40"/>
        </w:rPr>
      </w:pPr>
    </w:p>
    <w:p w14:paraId="0A92365C" w14:textId="5A907578" w:rsidR="00E1414E" w:rsidRPr="00C42130" w:rsidRDefault="00E1414E" w:rsidP="00E1414E">
      <w:pPr>
        <w:rPr>
          <w:b/>
          <w:sz w:val="40"/>
          <w:szCs w:val="40"/>
        </w:rPr>
      </w:pPr>
      <w:r>
        <w:rPr>
          <w:b/>
          <w:sz w:val="40"/>
          <w:szCs w:val="40"/>
        </w:rPr>
        <w:t xml:space="preserve">   </w:t>
      </w:r>
      <w:r w:rsidRPr="00C42130">
        <w:rPr>
          <w:b/>
          <w:sz w:val="40"/>
          <w:szCs w:val="40"/>
        </w:rPr>
        <w:t xml:space="preserve">MODULE: </w:t>
      </w:r>
      <w:r>
        <w:rPr>
          <w:b/>
          <w:sz w:val="40"/>
          <w:szCs w:val="40"/>
        </w:rPr>
        <w:t>Management Accounting</w:t>
      </w:r>
    </w:p>
    <w:p w14:paraId="263C25B0" w14:textId="33A45EC5" w:rsidR="00E1414E" w:rsidRPr="00C42130" w:rsidRDefault="00E1414E" w:rsidP="00E1414E">
      <w:pPr>
        <w:rPr>
          <w:b/>
          <w:sz w:val="40"/>
          <w:szCs w:val="40"/>
        </w:rPr>
      </w:pPr>
      <w:r>
        <w:rPr>
          <w:b/>
          <w:sz w:val="40"/>
          <w:szCs w:val="40"/>
        </w:rPr>
        <w:t xml:space="preserve">   </w:t>
      </w:r>
      <w:r w:rsidRPr="00C42130">
        <w:rPr>
          <w:b/>
          <w:sz w:val="40"/>
          <w:szCs w:val="40"/>
        </w:rPr>
        <w:t>Module Code: LCBB50</w:t>
      </w:r>
      <w:r>
        <w:rPr>
          <w:b/>
          <w:sz w:val="40"/>
          <w:szCs w:val="40"/>
        </w:rPr>
        <w:t>00</w:t>
      </w:r>
      <w:r>
        <w:rPr>
          <w:b/>
          <w:sz w:val="40"/>
          <w:szCs w:val="40"/>
        </w:rPr>
        <w:t>2</w:t>
      </w:r>
    </w:p>
    <w:p w14:paraId="5107B640" w14:textId="4634886F" w:rsidR="004006F8" w:rsidRDefault="00E1414E" w:rsidP="00E1414E">
      <w:pPr>
        <w:rPr>
          <w:b/>
          <w:szCs w:val="32"/>
          <w:u w:val="single"/>
        </w:rPr>
      </w:pPr>
      <w:r>
        <w:rPr>
          <w:b/>
          <w:sz w:val="40"/>
          <w:szCs w:val="40"/>
        </w:rPr>
        <w:t xml:space="preserve">   </w:t>
      </w:r>
      <w:r w:rsidRPr="00C42130">
        <w:rPr>
          <w:b/>
          <w:sz w:val="40"/>
          <w:szCs w:val="40"/>
        </w:rPr>
        <w:t>Lecturer:</w:t>
      </w:r>
      <w:r>
        <w:rPr>
          <w:b/>
          <w:sz w:val="40"/>
          <w:szCs w:val="40"/>
        </w:rPr>
        <w:t xml:space="preserve"> Samuel Ze-To</w:t>
      </w:r>
    </w:p>
    <w:p w14:paraId="0BB44848" w14:textId="781ECF68" w:rsidR="004006F8" w:rsidRDefault="004006F8" w:rsidP="004006F8">
      <w:pPr>
        <w:rPr>
          <w:b/>
          <w:szCs w:val="32"/>
          <w:u w:val="single"/>
        </w:rPr>
      </w:pPr>
      <w:r>
        <w:rPr>
          <w:b/>
          <w:szCs w:val="32"/>
          <w:u w:val="single"/>
        </w:rPr>
        <w:br w:type="page"/>
      </w:r>
    </w:p>
    <w:p w14:paraId="1E45A615" w14:textId="77777777" w:rsidR="004006F8" w:rsidRDefault="004006F8" w:rsidP="004006F8">
      <w:pPr>
        <w:jc w:val="center"/>
        <w:rPr>
          <w:b/>
          <w:sz w:val="28"/>
          <w:szCs w:val="28"/>
        </w:rPr>
      </w:pPr>
      <w:r>
        <w:rPr>
          <w:b/>
          <w:sz w:val="28"/>
          <w:szCs w:val="28"/>
        </w:rPr>
        <w:lastRenderedPageBreak/>
        <w:t>Executive Summary</w:t>
      </w:r>
    </w:p>
    <w:p w14:paraId="710148BF" w14:textId="77777777" w:rsidR="004006F8" w:rsidRDefault="004006F8" w:rsidP="004006F8">
      <w:pPr>
        <w:pStyle w:val="NormalWeb"/>
        <w:spacing w:before="0" w:beforeAutospacing="0" w:after="0" w:afterAutospacing="0" w:line="360" w:lineRule="auto"/>
        <w:jc w:val="both"/>
      </w:pPr>
      <w:r>
        <w:rPr>
          <w:color w:val="000000"/>
        </w:rPr>
        <w:t xml:space="preserve">Financial resource arrangement is essential for business operations to attract maximum profit margins in the business. The monthly control report has been presented in this study for analysing the financial statement for Amana Ltd. The prediction of profits and losses has been mentioned in the study. Further, the study has predicted the future performance of the company by evaluating the financial statements. It is recommended to the company follow a social media marketing strategy along with a greater focus on the training and development needs of the human resources present in the company </w:t>
      </w:r>
      <w:proofErr w:type="gramStart"/>
      <w:r>
        <w:rPr>
          <w:color w:val="000000"/>
        </w:rPr>
        <w:t>in order to</w:t>
      </w:r>
      <w:proofErr w:type="gramEnd"/>
      <w:r>
        <w:rPr>
          <w:color w:val="000000"/>
        </w:rPr>
        <w:t xml:space="preserve"> facilitate communication in the organisation. The company has been suggested to implement an intranet to enrich communication to enrich organisational performance. </w:t>
      </w:r>
    </w:p>
    <w:sdt>
      <w:sdtPr>
        <w:rPr>
          <w:rFonts w:ascii="Times New Roman" w:eastAsia="Times New Roman" w:hAnsi="Times New Roman" w:cs="Times New Roman"/>
          <w:color w:val="auto"/>
          <w:sz w:val="24"/>
          <w:szCs w:val="24"/>
          <w:lang w:val="en-GB" w:eastAsia="en-IN"/>
        </w:rPr>
        <w:id w:val="-779408197"/>
        <w:docPartObj>
          <w:docPartGallery w:val="Table of Contents"/>
          <w:docPartUnique/>
        </w:docPartObj>
      </w:sdtPr>
      <w:sdtContent>
        <w:p w14:paraId="5950AE69" w14:textId="77777777" w:rsidR="004006F8" w:rsidRDefault="004006F8" w:rsidP="004006F8">
          <w:pPr>
            <w:pStyle w:val="TOCHeading"/>
            <w:jc w:val="center"/>
            <w:rPr>
              <w:rFonts w:ascii="Times New Roman" w:eastAsia="Times New Roman" w:hAnsi="Times New Roman" w:cs="Times New Roman"/>
              <w:color w:val="auto"/>
              <w:sz w:val="24"/>
              <w:szCs w:val="24"/>
              <w:lang w:val="en-GB" w:eastAsia="en-IN"/>
            </w:rPr>
          </w:pPr>
        </w:p>
        <w:p w14:paraId="073FE90F" w14:textId="77777777" w:rsidR="004006F8" w:rsidRDefault="004006F8" w:rsidP="004006F8">
          <w:r>
            <w:br w:type="page"/>
          </w:r>
        </w:p>
        <w:p w14:paraId="39DCA20A" w14:textId="77777777" w:rsidR="004006F8" w:rsidRDefault="004006F8" w:rsidP="004006F8">
          <w:pPr>
            <w:pStyle w:val="TOCHeading"/>
            <w:jc w:val="center"/>
            <w:rPr>
              <w:rFonts w:ascii="Times New Roman" w:hAnsi="Times New Roman" w:cs="Times New Roman"/>
              <w:b/>
              <w:bCs/>
              <w:color w:val="auto"/>
              <w:sz w:val="28"/>
              <w:szCs w:val="28"/>
              <w:lang w:val="en-GB"/>
            </w:rPr>
          </w:pPr>
          <w:r>
            <w:rPr>
              <w:rFonts w:ascii="Times New Roman" w:hAnsi="Times New Roman" w:cs="Times New Roman"/>
              <w:b/>
              <w:bCs/>
              <w:color w:val="auto"/>
              <w:sz w:val="28"/>
              <w:szCs w:val="28"/>
              <w:lang w:val="en-GB"/>
            </w:rPr>
            <w:lastRenderedPageBreak/>
            <w:t>Table of Contents</w:t>
          </w:r>
        </w:p>
        <w:p w14:paraId="60413F4F" w14:textId="569C0099" w:rsidR="004006F8" w:rsidRDefault="004006F8" w:rsidP="004006F8">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r:id="rId7" w:anchor="_Toc113125613" w:history="1">
            <w:r>
              <w:rPr>
                <w:rStyle w:val="Hyperlink"/>
                <w:noProof/>
              </w:rPr>
              <w:t>Introduction</w:t>
            </w:r>
            <w:r>
              <w:rPr>
                <w:rStyle w:val="Hyperlink"/>
                <w:noProof/>
                <w:webHidden/>
              </w:rPr>
              <w:tab/>
            </w:r>
            <w:r>
              <w:rPr>
                <w:rStyle w:val="Hyperlink"/>
                <w:noProof/>
                <w:webHidden/>
              </w:rPr>
              <w:fldChar w:fldCharType="begin"/>
            </w:r>
            <w:r>
              <w:rPr>
                <w:rStyle w:val="Hyperlink"/>
                <w:noProof/>
                <w:webHidden/>
              </w:rPr>
              <w:instrText xml:space="preserve"> PAGEREF _Toc113125613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226A632" w14:textId="5835AA99" w:rsidR="004006F8" w:rsidRDefault="004006F8" w:rsidP="004006F8">
          <w:pPr>
            <w:pStyle w:val="TOC2"/>
            <w:tabs>
              <w:tab w:val="right" w:leader="dot" w:pos="9019"/>
            </w:tabs>
            <w:rPr>
              <w:rFonts w:asciiTheme="minorHAnsi" w:eastAsiaTheme="minorEastAsia" w:hAnsiTheme="minorHAnsi" w:cstheme="minorBidi"/>
              <w:noProof/>
              <w:sz w:val="22"/>
              <w:szCs w:val="22"/>
              <w:lang w:val="en-IN"/>
            </w:rPr>
          </w:pPr>
          <w:hyperlink r:id="rId8" w:anchor="_Toc113125614" w:history="1">
            <w:r>
              <w:rPr>
                <w:rStyle w:val="Hyperlink"/>
                <w:noProof/>
              </w:rPr>
              <w:t>PART A</w:t>
            </w:r>
            <w:r>
              <w:rPr>
                <w:rStyle w:val="Hyperlink"/>
                <w:noProof/>
                <w:webHidden/>
              </w:rPr>
              <w:tab/>
            </w:r>
            <w:r>
              <w:rPr>
                <w:rStyle w:val="Hyperlink"/>
                <w:noProof/>
                <w:webHidden/>
              </w:rPr>
              <w:fldChar w:fldCharType="begin"/>
            </w:r>
            <w:r>
              <w:rPr>
                <w:rStyle w:val="Hyperlink"/>
                <w:noProof/>
                <w:webHidden/>
              </w:rPr>
              <w:instrText xml:space="preserve"> PAGEREF _Toc113125614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5FC2A69A" w14:textId="034B4F3D" w:rsidR="004006F8" w:rsidRDefault="004006F8" w:rsidP="004006F8">
          <w:pPr>
            <w:pStyle w:val="TOC2"/>
            <w:tabs>
              <w:tab w:val="right" w:leader="dot" w:pos="9019"/>
            </w:tabs>
            <w:rPr>
              <w:rFonts w:asciiTheme="minorHAnsi" w:eastAsiaTheme="minorEastAsia" w:hAnsiTheme="minorHAnsi" w:cstheme="minorBidi"/>
              <w:noProof/>
              <w:sz w:val="22"/>
              <w:szCs w:val="22"/>
              <w:lang w:val="en-IN"/>
            </w:rPr>
          </w:pPr>
          <w:hyperlink r:id="rId9" w:anchor="_Toc113125615" w:history="1">
            <w:r>
              <w:rPr>
                <w:rStyle w:val="Hyperlink"/>
                <w:noProof/>
              </w:rPr>
              <w:t>(i) Prepare the monthly control report showing original budget, flexed budget, and variances.</w:t>
            </w:r>
            <w:r>
              <w:rPr>
                <w:rStyle w:val="Hyperlink"/>
                <w:noProof/>
                <w:webHidden/>
              </w:rPr>
              <w:tab/>
            </w:r>
            <w:r>
              <w:rPr>
                <w:rStyle w:val="Hyperlink"/>
                <w:noProof/>
                <w:webHidden/>
              </w:rPr>
              <w:fldChar w:fldCharType="begin"/>
            </w:r>
            <w:r>
              <w:rPr>
                <w:rStyle w:val="Hyperlink"/>
                <w:noProof/>
                <w:webHidden/>
              </w:rPr>
              <w:instrText xml:space="preserve"> PAGEREF _Toc113125615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497E4500" w14:textId="6E24C498" w:rsidR="004006F8" w:rsidRDefault="004006F8" w:rsidP="004006F8">
          <w:pPr>
            <w:pStyle w:val="TOC2"/>
            <w:tabs>
              <w:tab w:val="right" w:leader="dot" w:pos="9019"/>
            </w:tabs>
            <w:rPr>
              <w:rFonts w:asciiTheme="minorHAnsi" w:eastAsiaTheme="minorEastAsia" w:hAnsiTheme="minorHAnsi" w:cstheme="minorBidi"/>
              <w:noProof/>
              <w:sz w:val="22"/>
              <w:szCs w:val="22"/>
              <w:lang w:val="en-IN"/>
            </w:rPr>
          </w:pPr>
          <w:hyperlink r:id="rId10" w:anchor="_Toc113125616" w:history="1">
            <w:r>
              <w:rPr>
                <w:rStyle w:val="Hyperlink"/>
                <w:noProof/>
              </w:rPr>
              <w:t>(ii) Using your control report prepared in (i) above, prepare a report on Amana’s performance during the year 2020.</w:t>
            </w:r>
            <w:r>
              <w:rPr>
                <w:rStyle w:val="Hyperlink"/>
                <w:noProof/>
                <w:webHidden/>
              </w:rPr>
              <w:tab/>
            </w:r>
            <w:r>
              <w:rPr>
                <w:rStyle w:val="Hyperlink"/>
                <w:noProof/>
                <w:webHidden/>
              </w:rPr>
              <w:fldChar w:fldCharType="begin"/>
            </w:r>
            <w:r>
              <w:rPr>
                <w:rStyle w:val="Hyperlink"/>
                <w:noProof/>
                <w:webHidden/>
              </w:rPr>
              <w:instrText xml:space="preserve"> PAGEREF _Toc113125616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0C29EFCA" w14:textId="0E67DCB4" w:rsidR="004006F8" w:rsidRDefault="004006F8" w:rsidP="004006F8">
          <w:pPr>
            <w:pStyle w:val="TOC2"/>
            <w:tabs>
              <w:tab w:val="right" w:leader="dot" w:pos="9019"/>
            </w:tabs>
            <w:rPr>
              <w:rFonts w:asciiTheme="minorHAnsi" w:eastAsiaTheme="minorEastAsia" w:hAnsiTheme="minorHAnsi" w:cstheme="minorBidi"/>
              <w:noProof/>
              <w:sz w:val="22"/>
              <w:szCs w:val="22"/>
              <w:lang w:val="en-IN"/>
            </w:rPr>
          </w:pPr>
          <w:hyperlink r:id="rId11" w:anchor="_Toc113125617" w:history="1">
            <w:r>
              <w:rPr>
                <w:rStyle w:val="Hyperlink"/>
                <w:noProof/>
              </w:rPr>
              <w:t>(iii) Provide recommendations to Amana’s CEO on areas of improvement.</w:t>
            </w:r>
            <w:r>
              <w:rPr>
                <w:rStyle w:val="Hyperlink"/>
                <w:noProof/>
                <w:webHidden/>
              </w:rPr>
              <w:tab/>
            </w:r>
            <w:r>
              <w:rPr>
                <w:rStyle w:val="Hyperlink"/>
                <w:noProof/>
                <w:webHidden/>
              </w:rPr>
              <w:fldChar w:fldCharType="begin"/>
            </w:r>
            <w:r>
              <w:rPr>
                <w:rStyle w:val="Hyperlink"/>
                <w:noProof/>
                <w:webHidden/>
              </w:rPr>
              <w:instrText xml:space="preserve"> PAGEREF _Toc113125617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3FE0C33E" w14:textId="66C951A4" w:rsidR="004006F8" w:rsidRDefault="004006F8" w:rsidP="004006F8">
          <w:pPr>
            <w:pStyle w:val="TOC1"/>
            <w:tabs>
              <w:tab w:val="right" w:leader="dot" w:pos="9019"/>
            </w:tabs>
            <w:rPr>
              <w:rFonts w:asciiTheme="minorHAnsi" w:eastAsiaTheme="minorEastAsia" w:hAnsiTheme="minorHAnsi" w:cstheme="minorBidi"/>
              <w:noProof/>
              <w:sz w:val="22"/>
              <w:szCs w:val="22"/>
              <w:lang w:val="en-IN"/>
            </w:rPr>
          </w:pPr>
          <w:hyperlink r:id="rId12" w:anchor="_Toc113125618" w:history="1">
            <w:r>
              <w:rPr>
                <w:rStyle w:val="Hyperlink"/>
                <w:noProof/>
              </w:rPr>
              <w:t>PART B</w:t>
            </w:r>
            <w:r>
              <w:rPr>
                <w:rStyle w:val="Hyperlink"/>
                <w:noProof/>
                <w:webHidden/>
              </w:rPr>
              <w:tab/>
            </w:r>
            <w:r>
              <w:rPr>
                <w:rStyle w:val="Hyperlink"/>
                <w:noProof/>
                <w:webHidden/>
              </w:rPr>
              <w:fldChar w:fldCharType="begin"/>
            </w:r>
            <w:r>
              <w:rPr>
                <w:rStyle w:val="Hyperlink"/>
                <w:noProof/>
                <w:webHidden/>
              </w:rPr>
              <w:instrText xml:space="preserve"> PAGEREF _Toc113125618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2CAEF778" w14:textId="488F2116" w:rsidR="004006F8" w:rsidRDefault="004006F8" w:rsidP="004006F8">
          <w:pPr>
            <w:pStyle w:val="TOC2"/>
            <w:tabs>
              <w:tab w:val="right" w:leader="dot" w:pos="9019"/>
            </w:tabs>
            <w:rPr>
              <w:rFonts w:asciiTheme="minorHAnsi" w:eastAsiaTheme="minorEastAsia" w:hAnsiTheme="minorHAnsi" w:cstheme="minorBidi"/>
              <w:noProof/>
              <w:sz w:val="22"/>
              <w:szCs w:val="22"/>
              <w:lang w:val="en-IN"/>
            </w:rPr>
          </w:pPr>
          <w:hyperlink r:id="rId13" w:anchor="_Toc113125619" w:history="1">
            <w:r>
              <w:rPr>
                <w:rStyle w:val="Hyperlink"/>
                <w:noProof/>
              </w:rPr>
              <w:t>Analysis of Mr Amana’s decision to go online and advising if they should set up their own online shop or sell upon Amazon, considering all relevant costs</w:t>
            </w:r>
            <w:r>
              <w:rPr>
                <w:rStyle w:val="Hyperlink"/>
                <w:noProof/>
                <w:webHidden/>
              </w:rPr>
              <w:tab/>
            </w:r>
            <w:r>
              <w:rPr>
                <w:rStyle w:val="Hyperlink"/>
                <w:noProof/>
                <w:webHidden/>
              </w:rPr>
              <w:fldChar w:fldCharType="begin"/>
            </w:r>
            <w:r>
              <w:rPr>
                <w:rStyle w:val="Hyperlink"/>
                <w:noProof/>
                <w:webHidden/>
              </w:rPr>
              <w:instrText xml:space="preserve"> PAGEREF _Toc113125619 \h </w:instrText>
            </w:r>
            <w:r>
              <w:rPr>
                <w:rStyle w:val="Hyperlink"/>
                <w:noProof/>
                <w:webHidden/>
              </w:rPr>
            </w:r>
            <w:r>
              <w:rPr>
                <w:rStyle w:val="Hyperlink"/>
                <w:noProof/>
                <w:webHidden/>
              </w:rPr>
              <w:fldChar w:fldCharType="separate"/>
            </w:r>
            <w:r>
              <w:rPr>
                <w:rStyle w:val="Hyperlink"/>
                <w:noProof/>
                <w:webHidden/>
              </w:rPr>
              <w:t>9</w:t>
            </w:r>
            <w:r>
              <w:rPr>
                <w:rStyle w:val="Hyperlink"/>
                <w:noProof/>
                <w:webHidden/>
              </w:rPr>
              <w:fldChar w:fldCharType="end"/>
            </w:r>
          </w:hyperlink>
        </w:p>
        <w:p w14:paraId="4F58772E" w14:textId="0D662600" w:rsidR="004006F8" w:rsidRDefault="004006F8" w:rsidP="004006F8">
          <w:pPr>
            <w:pStyle w:val="TOC1"/>
            <w:tabs>
              <w:tab w:val="right" w:leader="dot" w:pos="9019"/>
            </w:tabs>
            <w:rPr>
              <w:rFonts w:asciiTheme="minorHAnsi" w:eastAsiaTheme="minorEastAsia" w:hAnsiTheme="minorHAnsi" w:cstheme="minorBidi"/>
              <w:noProof/>
              <w:sz w:val="22"/>
              <w:szCs w:val="22"/>
              <w:lang w:val="en-IN"/>
            </w:rPr>
          </w:pPr>
          <w:hyperlink r:id="rId14" w:anchor="_Toc113125620" w:history="1">
            <w:r>
              <w:rPr>
                <w:rStyle w:val="Hyperlink"/>
                <w:noProof/>
              </w:rPr>
              <w:t>Conclusion</w:t>
            </w:r>
            <w:r>
              <w:rPr>
                <w:rStyle w:val="Hyperlink"/>
                <w:noProof/>
                <w:webHidden/>
              </w:rPr>
              <w:tab/>
            </w:r>
            <w:r>
              <w:rPr>
                <w:rStyle w:val="Hyperlink"/>
                <w:noProof/>
                <w:webHidden/>
              </w:rPr>
              <w:fldChar w:fldCharType="begin"/>
            </w:r>
            <w:r>
              <w:rPr>
                <w:rStyle w:val="Hyperlink"/>
                <w:noProof/>
                <w:webHidden/>
              </w:rPr>
              <w:instrText xml:space="preserve"> PAGEREF _Toc113125620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0FE10F95" w14:textId="145BB512" w:rsidR="004006F8" w:rsidRDefault="004006F8" w:rsidP="004006F8">
          <w:pPr>
            <w:pStyle w:val="TOC1"/>
            <w:tabs>
              <w:tab w:val="right" w:leader="dot" w:pos="9019"/>
            </w:tabs>
            <w:rPr>
              <w:rFonts w:asciiTheme="minorHAnsi" w:eastAsiaTheme="minorEastAsia" w:hAnsiTheme="minorHAnsi" w:cstheme="minorBidi"/>
              <w:noProof/>
              <w:sz w:val="22"/>
              <w:szCs w:val="22"/>
              <w:lang w:val="en-IN"/>
            </w:rPr>
          </w:pPr>
          <w:hyperlink r:id="rId15" w:anchor="_Toc113125621" w:history="1">
            <w:r>
              <w:rPr>
                <w:rStyle w:val="Hyperlink"/>
                <w:noProof/>
              </w:rPr>
              <w:t>References</w:t>
            </w:r>
            <w:r>
              <w:rPr>
                <w:rStyle w:val="Hyperlink"/>
                <w:noProof/>
                <w:webHidden/>
              </w:rPr>
              <w:tab/>
            </w:r>
            <w:r>
              <w:rPr>
                <w:rStyle w:val="Hyperlink"/>
                <w:noProof/>
                <w:webHidden/>
              </w:rPr>
              <w:fldChar w:fldCharType="begin"/>
            </w:r>
            <w:r>
              <w:rPr>
                <w:rStyle w:val="Hyperlink"/>
                <w:noProof/>
                <w:webHidden/>
              </w:rPr>
              <w:instrText xml:space="preserve"> PAGEREF _Toc113125621 \h </w:instrText>
            </w:r>
            <w:r>
              <w:rPr>
                <w:rStyle w:val="Hyperlink"/>
                <w:noProof/>
                <w:webHidden/>
              </w:rPr>
            </w:r>
            <w:r>
              <w:rPr>
                <w:rStyle w:val="Hyperlink"/>
                <w:noProof/>
                <w:webHidden/>
              </w:rPr>
              <w:fldChar w:fldCharType="separate"/>
            </w:r>
            <w:r>
              <w:rPr>
                <w:rStyle w:val="Hyperlink"/>
                <w:noProof/>
                <w:webHidden/>
              </w:rPr>
              <w:t>12</w:t>
            </w:r>
            <w:r>
              <w:rPr>
                <w:rStyle w:val="Hyperlink"/>
                <w:noProof/>
                <w:webHidden/>
              </w:rPr>
              <w:fldChar w:fldCharType="end"/>
            </w:r>
          </w:hyperlink>
        </w:p>
        <w:p w14:paraId="481F81DF" w14:textId="77777777" w:rsidR="004006F8" w:rsidRDefault="004006F8" w:rsidP="004006F8">
          <w:r>
            <w:rPr>
              <w:b/>
              <w:bCs/>
              <w:noProof/>
            </w:rPr>
            <w:fldChar w:fldCharType="end"/>
          </w:r>
        </w:p>
      </w:sdtContent>
    </w:sdt>
    <w:p w14:paraId="7BC6316F" w14:textId="77777777" w:rsidR="004006F8" w:rsidRDefault="004006F8" w:rsidP="004006F8">
      <w:pPr>
        <w:pStyle w:val="Title"/>
        <w:keepNext w:val="0"/>
        <w:keepLines w:val="0"/>
        <w:spacing w:after="0"/>
        <w:rPr>
          <w:b/>
          <w:szCs w:val="32"/>
          <w:u w:val="single"/>
        </w:rPr>
      </w:pPr>
    </w:p>
    <w:p w14:paraId="7D635EF7" w14:textId="77777777" w:rsidR="004006F8" w:rsidRDefault="004006F8" w:rsidP="004006F8">
      <w:pPr>
        <w:pStyle w:val="Heading1"/>
        <w:keepNext w:val="0"/>
        <w:keepLines w:val="0"/>
        <w:spacing w:before="0" w:after="0"/>
        <w:rPr>
          <w:b w:val="0"/>
          <w:sz w:val="46"/>
          <w:szCs w:val="46"/>
        </w:rPr>
      </w:pPr>
      <w:r>
        <w:rPr>
          <w:b w:val="0"/>
        </w:rPr>
        <w:br w:type="page"/>
      </w:r>
      <w:bookmarkStart w:id="0" w:name="_224v0vz8j3g8"/>
      <w:bookmarkEnd w:id="0"/>
    </w:p>
    <w:p w14:paraId="683F1C72" w14:textId="77777777" w:rsidR="004006F8" w:rsidRDefault="004006F8" w:rsidP="004006F8">
      <w:pPr>
        <w:pStyle w:val="Heading1"/>
        <w:rPr>
          <w:b w:val="0"/>
        </w:rPr>
      </w:pPr>
      <w:bookmarkStart w:id="1" w:name="_y85dijkzalf6"/>
      <w:bookmarkStart w:id="2" w:name="_Toc113125613"/>
      <w:bookmarkEnd w:id="1"/>
      <w:r>
        <w:lastRenderedPageBreak/>
        <w:t>Introductio</w:t>
      </w:r>
      <w:bookmarkEnd w:id="2"/>
      <w:r>
        <w:t xml:space="preserve">n </w:t>
      </w:r>
    </w:p>
    <w:p w14:paraId="58331ED9" w14:textId="77777777" w:rsidR="004006F8" w:rsidRDefault="004006F8" w:rsidP="004006F8">
      <w:r>
        <w:t xml:space="preserve">Management accounting is relevant with performing accounting methods to form documents, </w:t>
      </w:r>
      <w:proofErr w:type="gramStart"/>
      <w:r>
        <w:t>statements</w:t>
      </w:r>
      <w:proofErr w:type="gramEnd"/>
      <w:r>
        <w:t xml:space="preserve"> and reports to support the management in fostering better decisions regarding the movement of the business performance. The assignment will declare the analysis of financial reports to illustrate the current position of Amana Ltd. in the UK tourism market during the pandemic era.</w:t>
      </w:r>
    </w:p>
    <w:p w14:paraId="3C335814" w14:textId="77777777" w:rsidR="004006F8" w:rsidRDefault="004006F8" w:rsidP="004006F8">
      <w:pPr>
        <w:pStyle w:val="Heading2"/>
      </w:pPr>
      <w:bookmarkStart w:id="3" w:name="_mbe9ahkbca8e"/>
      <w:bookmarkStart w:id="4" w:name="_Toc113125614"/>
      <w:bookmarkEnd w:id="3"/>
      <w:r>
        <w:t>PART A</w:t>
      </w:r>
      <w:bookmarkEnd w:id="4"/>
    </w:p>
    <w:p w14:paraId="18C6CAAA" w14:textId="77777777" w:rsidR="004006F8" w:rsidRDefault="004006F8" w:rsidP="004006F8">
      <w:pPr>
        <w:pStyle w:val="Heading2"/>
      </w:pPr>
      <w:bookmarkStart w:id="5" w:name="_l3gywfyfh2s1"/>
      <w:bookmarkStart w:id="6" w:name="_Toc113125615"/>
      <w:bookmarkEnd w:id="5"/>
      <w:r>
        <w:t>(</w:t>
      </w:r>
      <w:proofErr w:type="spellStart"/>
      <w:r>
        <w:t>i</w:t>
      </w:r>
      <w:proofErr w:type="spellEnd"/>
      <w:r>
        <w:t>) Prepare the monthly control report showing original budget, flexed budget, and variances.</w:t>
      </w:r>
      <w:bookmarkEnd w:id="6"/>
      <w:r>
        <w:t xml:space="preserve"> </w:t>
      </w:r>
    </w:p>
    <w:tbl>
      <w:tblPr>
        <w:tblStyle w:val="GridTable5Dark-Accent6"/>
        <w:tblW w:w="8850" w:type="dxa"/>
        <w:tblInd w:w="0" w:type="dxa"/>
        <w:tblLayout w:type="fixed"/>
        <w:tblLook w:val="0600" w:firstRow="0" w:lastRow="0" w:firstColumn="0" w:lastColumn="0" w:noHBand="1" w:noVBand="1"/>
      </w:tblPr>
      <w:tblGrid>
        <w:gridCol w:w="4170"/>
        <w:gridCol w:w="1815"/>
        <w:gridCol w:w="1635"/>
        <w:gridCol w:w="1230"/>
      </w:tblGrid>
      <w:tr w:rsidR="004006F8" w14:paraId="77FAE50B" w14:textId="77777777" w:rsidTr="004006F8">
        <w:trPr>
          <w:trHeight w:val="94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D59959B" w14:textId="77777777" w:rsidR="004006F8" w:rsidRDefault="004006F8">
            <w:pPr>
              <w:spacing w:line="240" w:lineRule="auto"/>
              <w:jc w:val="center"/>
              <w:rPr>
                <w:b/>
              </w:rPr>
            </w:pPr>
            <w:r>
              <w:rPr>
                <w:b/>
              </w:rPr>
              <w:t>Particulars</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0CD177B" w14:textId="77777777" w:rsidR="004006F8" w:rsidRDefault="004006F8">
            <w:pPr>
              <w:spacing w:line="240" w:lineRule="auto"/>
              <w:jc w:val="center"/>
              <w:rPr>
                <w:b/>
              </w:rPr>
            </w:pPr>
            <w:r>
              <w:rPr>
                <w:b/>
              </w:rPr>
              <w:t>Original budget</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70A77B1" w14:textId="77777777" w:rsidR="004006F8" w:rsidRDefault="004006F8">
            <w:pPr>
              <w:spacing w:line="240" w:lineRule="auto"/>
              <w:jc w:val="center"/>
              <w:rPr>
                <w:b/>
              </w:rPr>
            </w:pPr>
            <w:r>
              <w:rPr>
                <w:b/>
              </w:rPr>
              <w:t>Flexed budget</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79E8902" w14:textId="77777777" w:rsidR="004006F8" w:rsidRDefault="004006F8">
            <w:pPr>
              <w:spacing w:line="240" w:lineRule="auto"/>
              <w:jc w:val="center"/>
              <w:rPr>
                <w:b/>
              </w:rPr>
            </w:pPr>
            <w:r>
              <w:rPr>
                <w:b/>
              </w:rPr>
              <w:t>Variances</w:t>
            </w:r>
          </w:p>
        </w:tc>
      </w:tr>
      <w:tr w:rsidR="004006F8" w14:paraId="7A068379"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F31D699" w14:textId="77777777" w:rsidR="004006F8" w:rsidRDefault="004006F8">
            <w:pPr>
              <w:spacing w:line="240" w:lineRule="auto"/>
            </w:pPr>
            <w:r>
              <w:t xml:space="preserve">Units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02924F" w14:textId="77777777" w:rsidR="004006F8" w:rsidRDefault="004006F8">
            <w:pPr>
              <w:spacing w:line="240" w:lineRule="auto"/>
            </w:pPr>
            <w:r>
              <w:t>100000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BB3BBBE" w14:textId="77777777" w:rsidR="004006F8" w:rsidRDefault="004006F8">
            <w:pPr>
              <w:spacing w:line="240" w:lineRule="auto"/>
            </w:pPr>
            <w:r>
              <w:t>80000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9360FBD" w14:textId="77777777" w:rsidR="004006F8" w:rsidRDefault="004006F8">
            <w:pPr>
              <w:spacing w:line="240" w:lineRule="auto"/>
            </w:pPr>
            <w:r>
              <w:t>20000</w:t>
            </w:r>
          </w:p>
        </w:tc>
      </w:tr>
      <w:tr w:rsidR="004006F8" w14:paraId="563F9F3C"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6EEB38A" w14:textId="77777777" w:rsidR="004006F8" w:rsidRDefault="004006F8">
            <w:pPr>
              <w:spacing w:line="240" w:lineRule="auto"/>
            </w:pPr>
            <w:r>
              <w:t>Selling price</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E6A9543" w14:textId="77777777" w:rsidR="004006F8" w:rsidRDefault="004006F8">
            <w:pPr>
              <w:spacing w:line="240" w:lineRule="auto"/>
            </w:pPr>
            <w:r>
              <w:t>£25</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9ED2D45" w14:textId="77777777" w:rsidR="004006F8" w:rsidRDefault="004006F8">
            <w:pPr>
              <w:spacing w:line="240" w:lineRule="auto"/>
            </w:pPr>
            <w:r>
              <w:t>£20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AEE6257" w14:textId="77777777" w:rsidR="004006F8" w:rsidRDefault="004006F8">
            <w:pPr>
              <w:spacing w:line="240" w:lineRule="auto"/>
            </w:pPr>
            <w:r>
              <w:t>£5</w:t>
            </w:r>
          </w:p>
        </w:tc>
      </w:tr>
      <w:tr w:rsidR="004006F8" w14:paraId="056B81D1" w14:textId="77777777" w:rsidTr="004006F8">
        <w:trPr>
          <w:trHeight w:val="585"/>
        </w:trPr>
        <w:tc>
          <w:tcPr>
            <w:tcW w:w="8850" w:type="dxa"/>
            <w:gridSpan w:val="4"/>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1CCB5E8" w14:textId="77777777" w:rsidR="004006F8" w:rsidRDefault="004006F8">
            <w:pPr>
              <w:spacing w:line="240" w:lineRule="auto"/>
              <w:rPr>
                <w:b/>
              </w:rPr>
            </w:pPr>
            <w:r>
              <w:rPr>
                <w:b/>
              </w:rPr>
              <w:t>Variable costs</w:t>
            </w:r>
          </w:p>
        </w:tc>
      </w:tr>
      <w:tr w:rsidR="004006F8" w14:paraId="32A2CA63"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85FDE0F" w14:textId="77777777" w:rsidR="004006F8" w:rsidRDefault="004006F8">
            <w:pPr>
              <w:spacing w:line="240" w:lineRule="auto"/>
            </w:pPr>
            <w:r>
              <w:t xml:space="preserve">Labour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0D6A297" w14:textId="77777777" w:rsidR="004006F8" w:rsidRDefault="004006F8">
            <w:pPr>
              <w:spacing w:line="240" w:lineRule="auto"/>
            </w:pPr>
            <w:r>
              <w:t>£400000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5285D17" w14:textId="77777777" w:rsidR="004006F8" w:rsidRDefault="004006F8">
            <w:pPr>
              <w:spacing w:line="240" w:lineRule="auto"/>
            </w:pPr>
            <w:r>
              <w:t>£440000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887F3DB" w14:textId="77777777" w:rsidR="004006F8" w:rsidRDefault="004006F8">
            <w:pPr>
              <w:spacing w:line="240" w:lineRule="auto"/>
            </w:pPr>
            <w:proofErr w:type="gramStart"/>
            <w:r>
              <w:t>£(</w:t>
            </w:r>
            <w:proofErr w:type="gramEnd"/>
            <w:r>
              <w:t>40000)</w:t>
            </w:r>
          </w:p>
        </w:tc>
      </w:tr>
      <w:tr w:rsidR="004006F8" w14:paraId="0A3DB566"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A3B09CA" w14:textId="77777777" w:rsidR="004006F8" w:rsidRDefault="004006F8">
            <w:pPr>
              <w:spacing w:line="240" w:lineRule="auto"/>
            </w:pPr>
            <w:r>
              <w:t xml:space="preserve">Contribution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5F34B59" w14:textId="77777777" w:rsidR="004006F8" w:rsidRDefault="004006F8">
            <w:pPr>
              <w:spacing w:line="240" w:lineRule="auto"/>
            </w:pPr>
            <w:r>
              <w:t>£1700000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19E5B50" w14:textId="77777777" w:rsidR="004006F8" w:rsidRDefault="004006F8">
            <w:pPr>
              <w:spacing w:line="240" w:lineRule="auto"/>
            </w:pPr>
            <w:r>
              <w:t>£760000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321FEED" w14:textId="77777777" w:rsidR="004006F8" w:rsidRDefault="004006F8">
            <w:pPr>
              <w:spacing w:line="240" w:lineRule="auto"/>
            </w:pPr>
            <w:r>
              <w:t>£940000</w:t>
            </w:r>
          </w:p>
        </w:tc>
      </w:tr>
      <w:tr w:rsidR="004006F8" w14:paraId="3B90B32D"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C64C1B9" w14:textId="77777777" w:rsidR="004006F8" w:rsidRDefault="004006F8">
            <w:pPr>
              <w:spacing w:line="240" w:lineRule="auto"/>
            </w:pPr>
            <w:r>
              <w:t xml:space="preserve">Materials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068D4D6" w14:textId="77777777" w:rsidR="004006F8" w:rsidRDefault="004006F8">
            <w:pPr>
              <w:spacing w:line="240" w:lineRule="auto"/>
            </w:pPr>
            <w:r>
              <w:t>£250000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0B9EEAF" w14:textId="77777777" w:rsidR="004006F8" w:rsidRDefault="004006F8">
            <w:pPr>
              <w:spacing w:line="240" w:lineRule="auto"/>
            </w:pPr>
            <w:r>
              <w:t>£280000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8067A5A" w14:textId="77777777" w:rsidR="004006F8" w:rsidRDefault="004006F8">
            <w:pPr>
              <w:spacing w:line="240" w:lineRule="auto"/>
            </w:pPr>
            <w:proofErr w:type="gramStart"/>
            <w:r>
              <w:t>£(</w:t>
            </w:r>
            <w:proofErr w:type="gramEnd"/>
            <w:r>
              <w:t>30000)</w:t>
            </w:r>
          </w:p>
        </w:tc>
      </w:tr>
      <w:tr w:rsidR="004006F8" w14:paraId="3CE9744B"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9368F14" w14:textId="77777777" w:rsidR="004006F8" w:rsidRDefault="004006F8">
            <w:pPr>
              <w:spacing w:line="240" w:lineRule="auto"/>
            </w:pPr>
            <w:r>
              <w:t xml:space="preserve">Overhead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D1BC1E9" w14:textId="77777777" w:rsidR="004006F8" w:rsidRDefault="004006F8">
            <w:pPr>
              <w:spacing w:line="240" w:lineRule="auto"/>
            </w:pPr>
            <w:r>
              <w:t>£150000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CEB0B12" w14:textId="77777777" w:rsidR="004006F8" w:rsidRDefault="004006F8">
            <w:pPr>
              <w:spacing w:line="240" w:lineRule="auto"/>
            </w:pPr>
            <w:r>
              <w:t>£120000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0147C18" w14:textId="77777777" w:rsidR="004006F8" w:rsidRDefault="004006F8">
            <w:pPr>
              <w:spacing w:line="240" w:lineRule="auto"/>
            </w:pPr>
            <w:r>
              <w:t>£30000</w:t>
            </w:r>
          </w:p>
        </w:tc>
      </w:tr>
      <w:tr w:rsidR="004006F8" w14:paraId="3F9AD321" w14:textId="77777777" w:rsidTr="004006F8">
        <w:trPr>
          <w:trHeight w:val="585"/>
        </w:trPr>
        <w:tc>
          <w:tcPr>
            <w:tcW w:w="8850" w:type="dxa"/>
            <w:gridSpan w:val="4"/>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31F3756" w14:textId="77777777" w:rsidR="004006F8" w:rsidRDefault="004006F8">
            <w:pPr>
              <w:spacing w:line="240" w:lineRule="auto"/>
              <w:rPr>
                <w:b/>
              </w:rPr>
            </w:pPr>
            <w:r>
              <w:rPr>
                <w:b/>
              </w:rPr>
              <w:t>Fixed overhead</w:t>
            </w:r>
          </w:p>
        </w:tc>
      </w:tr>
      <w:tr w:rsidR="004006F8" w14:paraId="6A4225AB"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1A2809E" w14:textId="77777777" w:rsidR="004006F8" w:rsidRDefault="004006F8">
            <w:pPr>
              <w:spacing w:line="240" w:lineRule="auto"/>
            </w:pPr>
            <w:r>
              <w:t xml:space="preserve">Insurance </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22CE8E4" w14:textId="77777777" w:rsidR="004006F8" w:rsidRDefault="004006F8">
            <w:pPr>
              <w:spacing w:line="240" w:lineRule="auto"/>
            </w:pPr>
            <w:r>
              <w:t>£100000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FEF5535" w14:textId="77777777" w:rsidR="004006F8" w:rsidRDefault="004006F8">
            <w:pPr>
              <w:spacing w:line="240" w:lineRule="auto"/>
            </w:pPr>
            <w:r>
              <w:t>£100000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BA4BF0D" w14:textId="77777777" w:rsidR="004006F8" w:rsidRDefault="004006F8">
            <w:pPr>
              <w:spacing w:line="240" w:lineRule="auto"/>
            </w:pPr>
            <w:r>
              <w:t>£0</w:t>
            </w:r>
          </w:p>
        </w:tc>
      </w:tr>
      <w:tr w:rsidR="004006F8" w14:paraId="66B53DAA" w14:textId="77777777" w:rsidTr="004006F8">
        <w:trPr>
          <w:trHeight w:val="58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6AC0A0F" w14:textId="77777777" w:rsidR="004006F8" w:rsidRDefault="004006F8">
            <w:pPr>
              <w:spacing w:line="240" w:lineRule="auto"/>
            </w:pPr>
            <w:r>
              <w:t>Warehouse rent</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110A9B5F" w14:textId="77777777" w:rsidR="004006F8" w:rsidRDefault="004006F8">
            <w:pPr>
              <w:spacing w:line="240" w:lineRule="auto"/>
            </w:pPr>
            <w:r>
              <w:t>£200000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EF74EA5" w14:textId="77777777" w:rsidR="004006F8" w:rsidRDefault="004006F8">
            <w:pPr>
              <w:spacing w:line="240" w:lineRule="auto"/>
            </w:pPr>
            <w:r>
              <w:t>£170000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091068D" w14:textId="77777777" w:rsidR="004006F8" w:rsidRDefault="004006F8">
            <w:pPr>
              <w:spacing w:line="240" w:lineRule="auto"/>
            </w:pPr>
            <w:r>
              <w:t>£30000</w:t>
            </w:r>
          </w:p>
        </w:tc>
      </w:tr>
      <w:tr w:rsidR="004006F8" w14:paraId="3BF49817" w14:textId="77777777" w:rsidTr="004006F8">
        <w:trPr>
          <w:trHeight w:val="945"/>
        </w:trPr>
        <w:tc>
          <w:tcPr>
            <w:tcW w:w="417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520B98EB" w14:textId="77777777" w:rsidR="004006F8" w:rsidRDefault="004006F8">
            <w:pPr>
              <w:spacing w:line="240" w:lineRule="auto"/>
            </w:pPr>
            <w:r>
              <w:t>Salary (warehouse supervisor for full time)</w:t>
            </w:r>
          </w:p>
        </w:tc>
        <w:tc>
          <w:tcPr>
            <w:tcW w:w="181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1F65A5F" w14:textId="77777777" w:rsidR="004006F8" w:rsidRDefault="004006F8">
            <w:pPr>
              <w:spacing w:line="240" w:lineRule="auto"/>
            </w:pPr>
            <w:r>
              <w:t>£50000</w:t>
            </w:r>
          </w:p>
        </w:tc>
        <w:tc>
          <w:tcPr>
            <w:tcW w:w="163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02F5B0AD" w14:textId="77777777" w:rsidR="004006F8" w:rsidRDefault="004006F8">
            <w:pPr>
              <w:spacing w:line="240" w:lineRule="auto"/>
            </w:pPr>
            <w:r>
              <w:t>£35000</w:t>
            </w:r>
          </w:p>
        </w:tc>
        <w:tc>
          <w:tcPr>
            <w:tcW w:w="123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26879F3C" w14:textId="77777777" w:rsidR="004006F8" w:rsidRDefault="004006F8">
            <w:pPr>
              <w:spacing w:line="240" w:lineRule="auto"/>
            </w:pPr>
            <w:r>
              <w:t>£15000</w:t>
            </w:r>
          </w:p>
        </w:tc>
      </w:tr>
    </w:tbl>
    <w:p w14:paraId="317B8C4A" w14:textId="77777777" w:rsidR="004006F8" w:rsidRDefault="004006F8" w:rsidP="004006F8">
      <w:pPr>
        <w:jc w:val="center"/>
        <w:rPr>
          <w:b/>
        </w:rPr>
      </w:pPr>
      <w:r>
        <w:rPr>
          <w:b/>
        </w:rPr>
        <w:t>Table 1: Monthly control report of Amana Ltd</w:t>
      </w:r>
    </w:p>
    <w:p w14:paraId="6BC1B5DE" w14:textId="77777777" w:rsidR="004006F8" w:rsidRDefault="004006F8" w:rsidP="004006F8">
      <w:pPr>
        <w:jc w:val="center"/>
      </w:pPr>
      <w:r>
        <w:t xml:space="preserve">(Source: Self developed) </w:t>
      </w:r>
    </w:p>
    <w:p w14:paraId="016AEE54" w14:textId="77777777" w:rsidR="004006F8" w:rsidRDefault="004006F8" w:rsidP="004006F8">
      <w:r>
        <w:lastRenderedPageBreak/>
        <w:t xml:space="preserve">It has been understood that the control report engages 3 aspects of budget such as original budget, Fixed </w:t>
      </w:r>
      <w:proofErr w:type="gramStart"/>
      <w:r>
        <w:t>budget</w:t>
      </w:r>
      <w:proofErr w:type="gramEnd"/>
      <w:r>
        <w:t xml:space="preserve"> and variances. As opined by Kiran and Reddy (2019), Original budget is prepared by the business organisations to identify the scopes for future expense while operating the business. Original budgets are forecasted in terms of financial statements to identify the expenses of the organisation. It is further beneficial to protect the cash flow for the business focussing on the profitability. A flexible budget has been taken in this regard to manipulate the profit and loss ratio to perform the changes as per the requirements. As per the opinion of </w:t>
      </w:r>
      <w:proofErr w:type="spellStart"/>
      <w:r>
        <w:t>Hofstätter</w:t>
      </w:r>
      <w:proofErr w:type="spellEnd"/>
      <w:r>
        <w:t xml:space="preserve"> </w:t>
      </w:r>
      <w:r>
        <w:rPr>
          <w:i/>
        </w:rPr>
        <w:t xml:space="preserve">et al. </w:t>
      </w:r>
      <w:r>
        <w:t xml:space="preserve">(2020), static budgets are restricted to cope with the changes in the firm activities. The above table has demonstrated a cost breakdown for the newly hired manager by the owner of Amana Ltd. Further, original budget, flexed budget, and variances are represented throughout the table. It has been evaluated from the tabular representation that that the firm has emphasised on generating an annual sales volume of 100000 units. The accurate sales generation throughout the year has been accounted for 80000 units. This scenario is further reflecting a decline in the sales volume of 20000 units compared to the expectation that has negatively impacted on the company revenue as well. </w:t>
      </w:r>
    </w:p>
    <w:p w14:paraId="7E45B68C" w14:textId="77777777" w:rsidR="004006F8" w:rsidRDefault="004006F8" w:rsidP="004006F8">
      <w:pPr>
        <w:rPr>
          <w:highlight w:val="white"/>
        </w:rPr>
      </w:pPr>
      <w:r>
        <w:rPr>
          <w:highlight w:val="white"/>
        </w:rPr>
        <w:t xml:space="preserve">Original budget portrays forth-vision and detailed budget for the guarantors and borrowers within the first 24 months of agreement to show the profit margins, loss statements, balance sheet statements and cash flow by considering the written considerations and assumptions. As explained by Jassem (2019), a flexible budget is further engaged with the changes in the accounts of earned profits by the business operations. Percentages of earnings for the expenses are involved with a flexible budget instead of normal fixed amounts. This is further beneficial to attract better comparison between the flexed results and budgeted results. This process also allows several changes in the budget expenses that are associated with the income volume of the firm. It involves a purposive approach compared to the flexible budget that do not consider responding to the changes in flexed earning amount of a business firm. As discussed by </w:t>
      </w:r>
      <w:proofErr w:type="spellStart"/>
      <w:r>
        <w:rPr>
          <w:highlight w:val="white"/>
        </w:rPr>
        <w:t>Erfani</w:t>
      </w:r>
      <w:proofErr w:type="spellEnd"/>
      <w:r>
        <w:rPr>
          <w:highlight w:val="white"/>
        </w:rPr>
        <w:t xml:space="preserve"> </w:t>
      </w:r>
      <w:r>
        <w:rPr>
          <w:i/>
          <w:highlight w:val="white"/>
        </w:rPr>
        <w:t xml:space="preserve">et al. </w:t>
      </w:r>
      <w:r>
        <w:rPr>
          <w:highlight w:val="white"/>
        </w:rPr>
        <w:t xml:space="preserve">(2018), a static or traditional approach of making a budget ignores the changes and uncertainties in terms of enhanced expenses that further cause failures for changing approach in the business during the small income variations. It is further considered as a sophisticated format that incorporates several changes regarding additional expenses while performing the business operations. As an example, it can be stated that major changes in the earning amount is managed by accounting step costs. Thus, </w:t>
      </w:r>
      <w:proofErr w:type="gramStart"/>
      <w:r>
        <w:rPr>
          <w:highlight w:val="white"/>
        </w:rPr>
        <w:t>in order to</w:t>
      </w:r>
      <w:proofErr w:type="gramEnd"/>
      <w:r>
        <w:rPr>
          <w:highlight w:val="white"/>
        </w:rPr>
        <w:t xml:space="preserve"> incorporate such changes in a business operation, the business organisations have the opportunity to engage the flexed budget performance to enrich the business outcomes in the present regard. </w:t>
      </w:r>
    </w:p>
    <w:p w14:paraId="5379153E" w14:textId="77777777" w:rsidR="004006F8" w:rsidRDefault="004006F8" w:rsidP="004006F8">
      <w:r>
        <w:lastRenderedPageBreak/>
        <w:t>It is further analysed from the Monthly control report of Amana Ltd that actual cost for the company has been accounted for approximately £280000. Further it has been identified that the company Amana Ltd majors three key scopes for arranging the monthly expenses for the fixed budget. The insurance for the goods and rent for the warehouse has developed the cost and expenses for the organisation. It is further observed that a monthly variance of approx. £2500 is computed to an annual expenditure of £16667 for the company while concentrating on the monthly control report of Amana Ltd. The company is not involved with a scope of insurance cost variance. Therefore, it stays at a monthly amount of £8334. A variance of £1250 has been portrayed through the report provided by the manager of Amana Ltd under the rages for the salaries of the supervisors. Further, the ultimate monthly budget has been accounted for £4167 according to the monthly control report.</w:t>
      </w:r>
    </w:p>
    <w:p w14:paraId="6730BE9E" w14:textId="77777777" w:rsidR="004006F8" w:rsidRDefault="004006F8" w:rsidP="004006F8">
      <w:pPr>
        <w:pStyle w:val="Heading2"/>
      </w:pPr>
      <w:bookmarkStart w:id="7" w:name="_awgy0bqc5ocx"/>
      <w:bookmarkStart w:id="8" w:name="_Toc113125616"/>
      <w:bookmarkEnd w:id="7"/>
      <w:r>
        <w:t>(ii) Using your control report prepared in (</w:t>
      </w:r>
      <w:proofErr w:type="spellStart"/>
      <w:r>
        <w:t>i</w:t>
      </w:r>
      <w:proofErr w:type="spellEnd"/>
      <w:r>
        <w:t>) above, prepare a report on Amana’s performance during the year 2020.</w:t>
      </w:r>
      <w:bookmarkEnd w:id="8"/>
      <w:r>
        <w:t xml:space="preserve"> </w:t>
      </w:r>
    </w:p>
    <w:p w14:paraId="540D9E18" w14:textId="77777777" w:rsidR="004006F8" w:rsidRDefault="004006F8" w:rsidP="004006F8">
      <w:r>
        <w:t>Severe loss in the tourism department opposes a significant impact on the current UK economy. Monthly arrivals of air passengers in the UK fell down from 6,804,900 (</w:t>
      </w:r>
      <w:proofErr w:type="gramStart"/>
      <w:r>
        <w:t>February,</w:t>
      </w:r>
      <w:proofErr w:type="gramEnd"/>
      <w:r>
        <w:t xml:space="preserve"> 2020) to 112,300 (April, 2020) that was estimated as 98.3% fall. Greater London observed ‘the largest fall’ in the room occupancy in any region of the UK from the duration between 2019 to 2020 (</w:t>
      </w:r>
      <w:r>
        <w:rPr>
          <w:highlight w:val="white"/>
        </w:rPr>
        <w:t>ONS, 2022)</w:t>
      </w:r>
      <w:r>
        <w:t>. Only 20% of rooms will be occupied by tourists in July 2020. Turnover of travel agency and accommodation businesses declined to 9.3% during the natural lockdown in 2020. The business proportion in the tourism industries peaked at 85% in 2020 before the improvement in the UK government restrictions in 2020 (</w:t>
      </w:r>
      <w:r>
        <w:rPr>
          <w:highlight w:val="white"/>
        </w:rPr>
        <w:t>ONS, 2022)</w:t>
      </w:r>
      <w:r>
        <w:t>. The employment value in the tourism sector fell by 21.5% in just three months of 2020. The people aged between 16-24 years had lost their job in majority regarding the tourism sector between Q3 2019 and Q3 2020 (</w:t>
      </w:r>
      <w:r>
        <w:rPr>
          <w:highlight w:val="white"/>
        </w:rPr>
        <w:t>ONS, 2022).</w:t>
      </w:r>
      <w:r>
        <w:t xml:space="preserve"> Overseas residents of the UK made “96% fewer visits” in Q2 2020 and spent about 97% which was less than in Q2 2019. Though “a peak of 36.7%” had been recovered by the tourism industry, the peak has again fallen due to the enhancement of the restriction in the pandemic session. The number of international passengers had fallen to 112,300 which was the proportion of 56.5% British nationals due to the same reason. The inbound trajectory of the UK was enhanced to 26.7% and 21.6% billion pounds had been spent out (VisitBritain, 2022).  Inbound and domestic tourism sectors are contributing approximately £127bn a year to the UK economy (Overall 9% GDP). The estimated loss was about £294 million every day in 2020 to the economy of the UK tourism </w:t>
      </w:r>
      <w:r>
        <w:lastRenderedPageBreak/>
        <w:t>department. The inbound visits in the tourism department were estimated as 7.7 million which was less than 2019 (</w:t>
      </w:r>
      <w:r>
        <w:rPr>
          <w:highlight w:val="white"/>
        </w:rPr>
        <w:t>VisitBritain, 2022)</w:t>
      </w:r>
      <w:r>
        <w:t xml:space="preserve">. </w:t>
      </w:r>
    </w:p>
    <w:p w14:paraId="2976F1BC" w14:textId="77777777" w:rsidR="004006F8" w:rsidRDefault="004006F8" w:rsidP="004006F8">
      <w:r>
        <w:t xml:space="preserve">The inbound visitors were estimated as £6.9m in the year 2021 which had </w:t>
      </w:r>
      <w:proofErr w:type="gramStart"/>
      <w:r>
        <w:t>fallen down</w:t>
      </w:r>
      <w:proofErr w:type="gramEnd"/>
      <w:r>
        <w:t xml:space="preserve"> to 76% rather than 2019. Aggregated loss was forecasted around the inbound visits of 29.8 million along with the inbound visitor of 22.2 pounds in the year 2020 compared to 2019 (</w:t>
      </w:r>
      <w:r>
        <w:rPr>
          <w:highlight w:val="white"/>
        </w:rPr>
        <w:t>Committees parliament, 2022a)</w:t>
      </w:r>
      <w:r>
        <w:t>. The exportation amount of the UK in China was about £30.7 billion, the importation amount from China was about £49.0 billion which was estimated as a trade deficit about a loss of £18.3 billion (P</w:t>
      </w:r>
      <w:r>
        <w:rPr>
          <w:highlight w:val="white"/>
        </w:rPr>
        <w:t>arliament, 2022b)</w:t>
      </w:r>
      <w:r>
        <w:t xml:space="preserve">. In relevance to this, the Amana team has the dependent on the Chinese manufacturer to bring souvenirs. The tourism department had taken a big hit in the annual revenue due to the deficiencies of tourism in the pandemic. Sales of this business slightly pickled up in the summer season of </w:t>
      </w:r>
      <w:proofErr w:type="gramStart"/>
      <w:r>
        <w:t>2020</w:t>
      </w:r>
      <w:proofErr w:type="gramEnd"/>
      <w:r>
        <w:t xml:space="preserve"> but it again depleted due to the further restrictions. After the reduction in the effect of the pandemic, the tourism department had the chance to increase the profit growth in the UK tourism market.</w:t>
      </w:r>
    </w:p>
    <w:p w14:paraId="53248C2B" w14:textId="77777777" w:rsidR="004006F8" w:rsidRDefault="004006F8" w:rsidP="004006F8">
      <w:r>
        <w:t xml:space="preserve">According to </w:t>
      </w:r>
      <w:proofErr w:type="spellStart"/>
      <w:r>
        <w:t>Muzakki</w:t>
      </w:r>
      <w:proofErr w:type="spellEnd"/>
      <w:r>
        <w:t xml:space="preserve"> (2020), the movement of bulk carriers via the ports situated in the EU region had declined significantly in the year 2020 about 2% compared with 2019. In referring to that perspective, Amana Ltd. has faced the financial loss due the trade disruption and hindered shipping operations in China. With the relevance of Stewardship Theory, Amana Ltd.’s performance is dependent on the actions, </w:t>
      </w:r>
      <w:proofErr w:type="gramStart"/>
      <w:r>
        <w:t>meanings</w:t>
      </w:r>
      <w:proofErr w:type="gramEnd"/>
      <w:r>
        <w:t xml:space="preserve"> and motives of several responsible stakeholders. Pre-defined succession plan along with the active involvement of the successors can lead to fostering strong Stewardship commitment by Amana Ltd. The annual report of Amana Ltd. can be enhanced through effective employability values and customer loyalty values. </w:t>
      </w:r>
    </w:p>
    <w:p w14:paraId="3C22236A" w14:textId="77777777" w:rsidR="004006F8" w:rsidRDefault="004006F8" w:rsidP="004006F8">
      <w:pPr>
        <w:pStyle w:val="Heading2"/>
      </w:pPr>
      <w:bookmarkStart w:id="9" w:name="_9sliggdm3gud"/>
      <w:bookmarkStart w:id="10" w:name="_Toc113125617"/>
      <w:bookmarkEnd w:id="9"/>
      <w:r>
        <w:t>(iii) Provide recommendations to Amana’s CEO on areas of improvement.</w:t>
      </w:r>
      <w:bookmarkEnd w:id="10"/>
      <w:r>
        <w:t> </w:t>
      </w:r>
    </w:p>
    <w:p w14:paraId="04B57287" w14:textId="77777777" w:rsidR="004006F8" w:rsidRDefault="004006F8" w:rsidP="004006F8">
      <w:pPr>
        <w:numPr>
          <w:ilvl w:val="0"/>
          <w:numId w:val="1"/>
        </w:numPr>
      </w:pPr>
      <w:r>
        <w:rPr>
          <w:b/>
          <w:bCs/>
          <w:i/>
          <w:iCs/>
        </w:rPr>
        <w:t xml:space="preserve">Social media marketing strategy: </w:t>
      </w:r>
      <w:r>
        <w:t xml:space="preserve">Amana Ltd is recommended to engage Digitalisation approach by focusing on the social media marketing strategy to cope with the changing expectations of the consumers. As opined by </w:t>
      </w:r>
      <w:proofErr w:type="spellStart"/>
      <w:r>
        <w:t>Zollo</w:t>
      </w:r>
      <w:proofErr w:type="spellEnd"/>
      <w:r>
        <w:t xml:space="preserve"> et al. (2022), it is further beneficial to expand the consumer base by promoting the business in different social media sites.</w:t>
      </w:r>
    </w:p>
    <w:p w14:paraId="3FF7506D" w14:textId="77777777" w:rsidR="004006F8" w:rsidRDefault="004006F8" w:rsidP="004006F8">
      <w:pPr>
        <w:numPr>
          <w:ilvl w:val="0"/>
          <w:numId w:val="1"/>
        </w:numPr>
      </w:pPr>
      <w:r>
        <w:rPr>
          <w:b/>
          <w:bCs/>
          <w:i/>
          <w:iCs/>
        </w:rPr>
        <w:t xml:space="preserve">Training and development for the human resources: </w:t>
      </w:r>
      <w:r>
        <w:t>The CEO of the company is needed to look after enhancing the skills and talents of the human resources to attract better organisational performance in the present regard to gear up the profit margins throughout the business operations. </w:t>
      </w:r>
    </w:p>
    <w:p w14:paraId="0DD545F5" w14:textId="77777777" w:rsidR="004006F8" w:rsidRDefault="004006F8" w:rsidP="004006F8">
      <w:pPr>
        <w:numPr>
          <w:ilvl w:val="0"/>
          <w:numId w:val="1"/>
        </w:numPr>
      </w:pPr>
      <w:r>
        <w:rPr>
          <w:b/>
          <w:bCs/>
          <w:i/>
          <w:iCs/>
        </w:rPr>
        <w:lastRenderedPageBreak/>
        <w:t xml:space="preserve">Transformational organisational structure: </w:t>
      </w:r>
      <w:r>
        <w:t xml:space="preserve">The company is further recommended to restructure the organisational culture by engaging transformational leadership style while managing the human resources to offer them the flexibility to enhance their performance. As described by Jia </w:t>
      </w:r>
      <w:r>
        <w:rPr>
          <w:i/>
          <w:iCs/>
        </w:rPr>
        <w:t xml:space="preserve">et al. </w:t>
      </w:r>
      <w:r>
        <w:t>(2018), transformational leadership is effective to offer freedom in terms of the cognitive process to the employees while performing a job. </w:t>
      </w:r>
    </w:p>
    <w:p w14:paraId="49E9921C" w14:textId="77777777" w:rsidR="004006F8" w:rsidRDefault="004006F8" w:rsidP="004006F8">
      <w:pPr>
        <w:numPr>
          <w:ilvl w:val="0"/>
          <w:numId w:val="1"/>
        </w:numPr>
      </w:pPr>
      <w:r>
        <w:rPr>
          <w:b/>
          <w:bCs/>
          <w:i/>
          <w:iCs/>
        </w:rPr>
        <w:t xml:space="preserve">Use of Intranet for communication: </w:t>
      </w:r>
      <w:r>
        <w:t>The CEO of the company is recommended to ensure better communication within the organization by implementing an intranet in the organization.</w:t>
      </w:r>
      <w:r>
        <w:br w:type="page"/>
      </w:r>
    </w:p>
    <w:p w14:paraId="2097084D" w14:textId="77777777" w:rsidR="004006F8" w:rsidRDefault="004006F8" w:rsidP="004006F8">
      <w:pPr>
        <w:pStyle w:val="Heading1"/>
        <w:rPr>
          <w:b w:val="0"/>
        </w:rPr>
      </w:pPr>
      <w:bookmarkStart w:id="11" w:name="_Toc113125618"/>
      <w:r>
        <w:lastRenderedPageBreak/>
        <w:t>PART B</w:t>
      </w:r>
      <w:bookmarkEnd w:id="11"/>
      <w:r>
        <w:t xml:space="preserve"> </w:t>
      </w:r>
    </w:p>
    <w:p w14:paraId="5D263A6D" w14:textId="77777777" w:rsidR="004006F8" w:rsidRDefault="004006F8" w:rsidP="004006F8">
      <w:pPr>
        <w:pStyle w:val="Heading2"/>
      </w:pPr>
      <w:bookmarkStart w:id="12" w:name="_9ibekmlgomcb"/>
      <w:bookmarkStart w:id="13" w:name="_ddpbcr6pfo19"/>
      <w:bookmarkStart w:id="14" w:name="_Toc113125619"/>
      <w:bookmarkEnd w:id="12"/>
      <w:bookmarkEnd w:id="13"/>
      <w:r>
        <w:t>Analysis of Mr Amana’s decision to go online and advising if they should set up their</w:t>
      </w:r>
      <w:bookmarkStart w:id="15" w:name="_mqhofx4dmaa0"/>
      <w:bookmarkEnd w:id="15"/>
      <w:r>
        <w:t xml:space="preserve"> own online shop or sell upon Amazon, considering all relevant costs</w:t>
      </w:r>
      <w:bookmarkEnd w:id="14"/>
    </w:p>
    <w:p w14:paraId="1E9C5A3E" w14:textId="77777777" w:rsidR="004006F8" w:rsidRDefault="004006F8" w:rsidP="004006F8">
      <w:pPr>
        <w:rPr>
          <w:b/>
          <w:iCs/>
        </w:rPr>
      </w:pPr>
      <w:r>
        <w:rPr>
          <w:b/>
          <w:iCs/>
        </w:rPr>
        <w:t xml:space="preserve">Decision for going online </w:t>
      </w:r>
    </w:p>
    <w:p w14:paraId="6F3EAC8D" w14:textId="77777777" w:rsidR="004006F8" w:rsidRDefault="004006F8" w:rsidP="004006F8">
      <w:r>
        <w:t xml:space="preserve">The decision for going online for Mr. Amana shall be greatly effective as it could bear the competitive advantage sources thereby ensuring the systematic streamlining of key business functions. Nonetheless, there is a key requirement to establish an appropriate budget where the network of delivery is going to consume around </w:t>
      </w:r>
      <w:r>
        <w:rPr>
          <w:b/>
          <w:i/>
        </w:rPr>
        <w:t xml:space="preserve">£150,000 </w:t>
      </w:r>
      <w:r>
        <w:t>thereby moving half of the</w:t>
      </w:r>
      <w:r>
        <w:rPr>
          <w:i/>
        </w:rPr>
        <w:t xml:space="preserve"> </w:t>
      </w:r>
      <w:r>
        <w:t xml:space="preserve">business to the online system where the preference of prospective consumers could be easily identified. As per the findings of Sung </w:t>
      </w:r>
      <w:r>
        <w:rPr>
          <w:i/>
        </w:rPr>
        <w:t>et al.</w:t>
      </w:r>
      <w:r>
        <w:t xml:space="preserve"> (2019), it has been evident that there shall be advanced intelligent systems, linked to the assessment of the satisfaction level of customers. Nonetheless, there has been noted a considerable cost associated with the upgrade of the recent website channel for ensuring effective management of a substantial sales volume by around £50,000 as well as after the market analysis there is going to be assured sales of around 100,000 units yearly.</w:t>
      </w:r>
    </w:p>
    <w:p w14:paraId="526E879F" w14:textId="77777777" w:rsidR="004006F8" w:rsidRDefault="004006F8" w:rsidP="004006F8">
      <w:r>
        <w:t xml:space="preserve">The decision for going online is the outcome of the overall product quality, contrasted prices of the commodity with the local marketplace scenario as well as the effective assessment of the consumer shopping attitude. There is the other essential inclusion of the full-time IT programmer, which accounts to £50,000 per year. However, it could be contradicted that the decision for going online is linked to the approach of multi-attribute online decision-forming via the system of the opinion mining (Deng and Fu, 2021). </w:t>
      </w:r>
      <w:proofErr w:type="gramStart"/>
      <w:r>
        <w:t>In order to</w:t>
      </w:r>
      <w:proofErr w:type="gramEnd"/>
      <w:r>
        <w:t xml:space="preserve"> expand overall business on the online platform, there is a key requirement for the market analysis process also it entails to be ensured by Amana. On the contrary, Cheng </w:t>
      </w:r>
      <w:r>
        <w:rPr>
          <w:i/>
        </w:rPr>
        <w:t>et al</w:t>
      </w:r>
      <w:r>
        <w:t xml:space="preserve">. (2021) has contended that the power enterprise data model has been </w:t>
      </w:r>
      <w:proofErr w:type="gramStart"/>
      <w:r>
        <w:t>a</w:t>
      </w:r>
      <w:proofErr w:type="gramEnd"/>
      <w:r>
        <w:t xml:space="preserve"> latest era of the decision administration system thereby linking with the connections of the profitability and of the event with the specific emphasis upon the consumer preferences and choices. Mr. Amana has noted most of its rivals sell online commodities to the potential consumers across the UK with the establishment of streamlining of the offered business functions.</w:t>
      </w:r>
    </w:p>
    <w:p w14:paraId="7555B5E7" w14:textId="77777777" w:rsidR="004006F8" w:rsidRDefault="004006F8" w:rsidP="004006F8">
      <w:pPr>
        <w:rPr>
          <w:b/>
          <w:iCs/>
        </w:rPr>
      </w:pPr>
      <w:r>
        <w:rPr>
          <w:b/>
          <w:iCs/>
        </w:rPr>
        <w:t>Decision for own website</w:t>
      </w:r>
    </w:p>
    <w:p w14:paraId="74304245" w14:textId="77777777" w:rsidR="004006F8" w:rsidRDefault="004006F8" w:rsidP="004006F8">
      <w:r>
        <w:t>There is the improvised system of online marketing cum e-commerce system also it has been applied by Amazon that is a considerable advantage for multiple organisations. A considerable portion at Amazon has been sold by 3</w:t>
      </w:r>
      <w:r>
        <w:rPr>
          <w:vertAlign w:val="superscript"/>
        </w:rPr>
        <w:t>rd</w:t>
      </w:r>
      <w:r>
        <w:t xml:space="preserve">-party vendors thereby offering access to </w:t>
      </w:r>
      <w:r>
        <w:lastRenderedPageBreak/>
        <w:t>broader customer marketplaces. Product sales at Amazon indulge the product liability insurance being marketed on their website. As an outcome, it shall be a key benefit for Amana in forms claims of any damages, losses or costs arising from product sale via Amazon also the website has been utilising the public listing approach for products offered. The assurance of products is sustained under the timely delivery facility and consumers have eligibility for refund during product failure in catering to preferences. Eventually, Amazon is a highly more profitable platform rather than developing its own online website for business.</w:t>
      </w:r>
    </w:p>
    <w:p w14:paraId="7A6B4BDF" w14:textId="77777777" w:rsidR="004006F8" w:rsidRDefault="004006F8" w:rsidP="004006F8">
      <w:r>
        <w:t xml:space="preserve">The system of going online shall be a highly successful and profit-generating framework for Mr. Amana in the forms of the time series forecasting, where it’s been crucial in optimising the level of supply chain efficiency. Decisions for going online; further is confined to market analysis-oriented activities. As per the views of Moyle et al. (2020) it has been evident that the insight for going online of the business is segregated in 2 key components indulging the time and forecasts, where key predictions of business circumstances could be acknowledged also. It has been observed from the information produced that the business, also has the alternative associated with the sale of products at Amazon directly also is greatly justifiable. Furthermore, justification conducting online operations at Amazon could ensure the greatest degrees of profitability thereby boosting product awareness. Prior to product sale at Amazon, Amana requires </w:t>
      </w:r>
      <w:proofErr w:type="gramStart"/>
      <w:r>
        <w:t>taking into account</w:t>
      </w:r>
      <w:proofErr w:type="gramEnd"/>
      <w:r>
        <w:t xml:space="preserve"> the fulfilment charges, which is worth £50,000. As the online platform is greatly competitive amidst Amana souvenirs along with further sellers, it is recommended to the organisation to sell its products via Amazon’s website. It could help Amana foster the potential for boosting profitability and brand visibility and reliability, relying on the consumer demand for offered commodities.</w:t>
      </w:r>
    </w:p>
    <w:p w14:paraId="014A9F21" w14:textId="77777777" w:rsidR="004006F8" w:rsidRDefault="004006F8" w:rsidP="004006F8">
      <w:pPr>
        <w:rPr>
          <w:b/>
        </w:rPr>
      </w:pPr>
      <w:r>
        <w:rPr>
          <w:b/>
        </w:rPr>
        <w:t xml:space="preserve">Current business circumstance </w:t>
      </w:r>
    </w:p>
    <w:p w14:paraId="26C764DF" w14:textId="77777777" w:rsidR="004006F8" w:rsidRDefault="004006F8" w:rsidP="004006F8">
      <w:r>
        <w:t>As per the findings of the current business circumstance, observations have been made that there is going to be assured sales of around 65000 units yearly in case Amana Ltd tends to have a tie-up with Amazon. It is greatly profitable as Mr. Amana tends to endure challenges associated with the lack of control over pricing along with policies regarding product return. Amazon has been one of the most famous platforms for reinforcing small businesses and has also included the set of resources, assistance, and tools for the benefits of such enterprises together with the indulgence of favourable progress of SMEs. Since most rivals are utilising online business platforms for effective business development policy; thus, it could be advised to Mr Amana to utilize Amazon for expansion of business operations over the online platform for ensuring effective product reach to a comprehensive range of customers.</w:t>
      </w:r>
    </w:p>
    <w:p w14:paraId="4A75751C" w14:textId="77777777" w:rsidR="004006F8" w:rsidRDefault="004006F8" w:rsidP="004006F8">
      <w:pPr>
        <w:rPr>
          <w:b/>
        </w:rPr>
      </w:pPr>
      <w:r>
        <w:rPr>
          <w:b/>
        </w:rPr>
        <w:br w:type="page"/>
      </w:r>
      <w:bookmarkStart w:id="16" w:name="_1ffhswzfvokh"/>
      <w:bookmarkEnd w:id="16"/>
    </w:p>
    <w:p w14:paraId="171A9E0F" w14:textId="77777777" w:rsidR="004006F8" w:rsidRDefault="004006F8" w:rsidP="004006F8">
      <w:pPr>
        <w:pStyle w:val="Heading1"/>
        <w:rPr>
          <w:b w:val="0"/>
        </w:rPr>
      </w:pPr>
      <w:bookmarkStart w:id="17" w:name="_Toc113125620"/>
      <w:r>
        <w:lastRenderedPageBreak/>
        <w:t>Conclusion</w:t>
      </w:r>
      <w:bookmarkEnd w:id="17"/>
      <w:r>
        <w:t xml:space="preserve"> </w:t>
      </w:r>
    </w:p>
    <w:p w14:paraId="732E7060" w14:textId="77777777" w:rsidR="004006F8" w:rsidRDefault="004006F8" w:rsidP="004006F8">
      <w:r>
        <w:t>In affirmation of the discussion made above, it has been deduced that Amana’s decisions for developing the policy for the online system for the development of products thereby reaching comprehensive levels of audience. Coherent interpretation of data management along with business intelligence has supported the specific focus on the monthly control report comprising the original budget, variance levels, and flexible budget. Throughout the year 2020, Amana’s performance is linked to stewardship theory along with the understandable strategy of the vivid communication network. Nonetheless, tourism productivity lacks considerable stakeholder viewpoints along with the actions of diverse stakeholders considered effectively. Furthermore, the recommendations provided to Amana based on its business performance could help in ensuring sustainable business growth in the increasingly competitive tourism sector. Moreover, considering the decisions of Amana based on going online via its own website or collaborating with Amazon, it is suggested to the organization to use Amazon for the product listing as it could support the organisation to avail facilities of product liability insurance and timely delivery system. Such key services help Amana to regard Amazon as a credible and sustainable platform for business expansion and the development of brand value in the long run. It could help in boosting competitiveness.</w:t>
      </w:r>
    </w:p>
    <w:p w14:paraId="579A054A" w14:textId="77777777" w:rsidR="004006F8" w:rsidRDefault="004006F8" w:rsidP="004006F8">
      <w:pPr>
        <w:pStyle w:val="Heading1"/>
        <w:keepNext w:val="0"/>
        <w:keepLines w:val="0"/>
        <w:spacing w:before="0" w:after="0"/>
        <w:rPr>
          <w:b w:val="0"/>
          <w:sz w:val="24"/>
          <w:szCs w:val="24"/>
        </w:rPr>
      </w:pPr>
      <w:r>
        <w:rPr>
          <w:b w:val="0"/>
        </w:rPr>
        <w:br w:type="page"/>
      </w:r>
      <w:bookmarkStart w:id="18" w:name="_wdb2e126khc7"/>
      <w:bookmarkEnd w:id="18"/>
    </w:p>
    <w:p w14:paraId="4AC9CFCF" w14:textId="77777777" w:rsidR="004006F8" w:rsidRDefault="004006F8" w:rsidP="004006F8">
      <w:pPr>
        <w:pStyle w:val="Heading1"/>
        <w:rPr>
          <w:b w:val="0"/>
        </w:rPr>
      </w:pPr>
      <w:bookmarkStart w:id="19" w:name="_b6eeoyz37qx"/>
      <w:bookmarkStart w:id="20" w:name="_Toc113125621"/>
      <w:bookmarkEnd w:id="19"/>
      <w:r>
        <w:lastRenderedPageBreak/>
        <w:t>Reference</w:t>
      </w:r>
      <w:bookmarkEnd w:id="20"/>
      <w:r>
        <w:t>s</w:t>
      </w:r>
    </w:p>
    <w:p w14:paraId="3B360F91" w14:textId="77777777" w:rsidR="004006F8" w:rsidRDefault="004006F8" w:rsidP="004006F8">
      <w:pPr>
        <w:spacing w:before="240"/>
      </w:pPr>
      <w:r>
        <w:t xml:space="preserve">Cheng, Z., Ye, Y., Huang, W., Zhang, Y. and Lan, L., 2021, March. Research on power enterprise data model online management decision system based on big data. </w:t>
      </w:r>
      <w:r>
        <w:rPr>
          <w:i/>
        </w:rPr>
        <w:t>In Journal of Physics: Conference Series</w:t>
      </w:r>
      <w:r>
        <w:t xml:space="preserve"> (Vol. 1802, No. 4, p. 042096). IOP Publishing.</w:t>
      </w:r>
    </w:p>
    <w:p w14:paraId="23FFFF93" w14:textId="77777777" w:rsidR="004006F8" w:rsidRDefault="004006F8" w:rsidP="004006F8">
      <w:pPr>
        <w:spacing w:before="240"/>
        <w:rPr>
          <w:highlight w:val="white"/>
        </w:rPr>
      </w:pPr>
      <w:proofErr w:type="gramStart"/>
      <w:r>
        <w:rPr>
          <w:highlight w:val="white"/>
        </w:rPr>
        <w:t>Committees</w:t>
      </w:r>
      <w:proofErr w:type="gramEnd"/>
      <w:r>
        <w:rPr>
          <w:highlight w:val="white"/>
        </w:rPr>
        <w:t xml:space="preserve"> parliament. 2022a. </w:t>
      </w:r>
      <w:r>
        <w:rPr>
          <w:i/>
          <w:highlight w:val="white"/>
        </w:rPr>
        <w:t>About VisitBritain:</w:t>
      </w:r>
      <w:r>
        <w:rPr>
          <w:highlight w:val="white"/>
        </w:rPr>
        <w:t xml:space="preserve"> [online] Available at: &lt;https://committees.parliament.uk/writtenevidence/42107/pdf/#:~:text=Loss%20of%20tourism%20has%20a,2020%20when%20compared%20to%202019.&gt; [Accessed 19 August 2022].</w:t>
      </w:r>
    </w:p>
    <w:p w14:paraId="2EFC7256" w14:textId="77777777" w:rsidR="004006F8" w:rsidRDefault="004006F8" w:rsidP="004006F8">
      <w:pPr>
        <w:spacing w:before="240"/>
      </w:pPr>
      <w:r>
        <w:t xml:space="preserve">Deng, G. and Fu, Y., 2021. Fuzzy </w:t>
      </w:r>
      <w:proofErr w:type="gramStart"/>
      <w:r>
        <w:t>rule based</w:t>
      </w:r>
      <w:proofErr w:type="gramEnd"/>
      <w:r>
        <w:t xml:space="preserve"> classification method of surrounding rock stability of coal roadway using artificial intelligence algorithm. </w:t>
      </w:r>
      <w:r>
        <w:rPr>
          <w:i/>
        </w:rPr>
        <w:t>Journal of Intelligent &amp; Fuzzy Systems</w:t>
      </w:r>
      <w:r>
        <w:t>, 40(4), pp.8163-8171.</w:t>
      </w:r>
    </w:p>
    <w:p w14:paraId="25BB0F1B" w14:textId="77777777" w:rsidR="004006F8" w:rsidRDefault="004006F8" w:rsidP="004006F8">
      <w:pPr>
        <w:spacing w:before="240"/>
      </w:pPr>
      <w:proofErr w:type="spellStart"/>
      <w:r>
        <w:t>Erfani</w:t>
      </w:r>
      <w:proofErr w:type="spellEnd"/>
      <w:r>
        <w:t xml:space="preserve">, T., </w:t>
      </w:r>
      <w:proofErr w:type="spellStart"/>
      <w:r>
        <w:t>Pachos</w:t>
      </w:r>
      <w:proofErr w:type="spellEnd"/>
      <w:r>
        <w:t xml:space="preserve">, K. and </w:t>
      </w:r>
      <w:proofErr w:type="spellStart"/>
      <w:r>
        <w:t>Harou</w:t>
      </w:r>
      <w:proofErr w:type="spellEnd"/>
      <w:r>
        <w:t>, J.J., 2018. Real‐options water supply planning: Multistage scenario trees for adaptive and flexible capacity expansion under probabilistic climate change uncertainty. </w:t>
      </w:r>
      <w:r>
        <w:rPr>
          <w:i/>
          <w:iCs/>
        </w:rPr>
        <w:t>Water Resources Research</w:t>
      </w:r>
      <w:r>
        <w:t>, </w:t>
      </w:r>
      <w:r>
        <w:rPr>
          <w:i/>
          <w:iCs/>
        </w:rPr>
        <w:t>54</w:t>
      </w:r>
      <w:r>
        <w:t>(7), pp.5069-5087.</w:t>
      </w:r>
    </w:p>
    <w:p w14:paraId="143F4BB0" w14:textId="77777777" w:rsidR="004006F8" w:rsidRDefault="004006F8" w:rsidP="004006F8">
      <w:pPr>
        <w:spacing w:before="240"/>
      </w:pPr>
      <w:proofErr w:type="spellStart"/>
      <w:r>
        <w:t>Hofstätter</w:t>
      </w:r>
      <w:proofErr w:type="spellEnd"/>
      <w:r>
        <w:t xml:space="preserve">, T., </w:t>
      </w:r>
      <w:proofErr w:type="spellStart"/>
      <w:r>
        <w:t>Krawina</w:t>
      </w:r>
      <w:proofErr w:type="spellEnd"/>
      <w:r>
        <w:t xml:space="preserve">, M., </w:t>
      </w:r>
      <w:proofErr w:type="spellStart"/>
      <w:r>
        <w:t>Mühlreiter</w:t>
      </w:r>
      <w:proofErr w:type="spellEnd"/>
      <w:r>
        <w:t xml:space="preserve">, B., </w:t>
      </w:r>
      <w:proofErr w:type="spellStart"/>
      <w:r>
        <w:t>Pöhler</w:t>
      </w:r>
      <w:proofErr w:type="spellEnd"/>
      <w:r>
        <w:t xml:space="preserve">, S. and </w:t>
      </w:r>
      <w:proofErr w:type="spellStart"/>
      <w:r>
        <w:t>Tschiesner</w:t>
      </w:r>
      <w:proofErr w:type="spellEnd"/>
      <w:r>
        <w:t>, A., 2020. Reimagining the auto industry’s future: It’s now or never. </w:t>
      </w:r>
      <w:r>
        <w:rPr>
          <w:i/>
          <w:iCs/>
        </w:rPr>
        <w:t xml:space="preserve">Retrieved from McKinsey &amp; Company: https://www. </w:t>
      </w:r>
      <w:proofErr w:type="spellStart"/>
      <w:r>
        <w:rPr>
          <w:i/>
          <w:iCs/>
        </w:rPr>
        <w:t>mckinsey</w:t>
      </w:r>
      <w:proofErr w:type="spellEnd"/>
      <w:r>
        <w:rPr>
          <w:i/>
          <w:iCs/>
        </w:rPr>
        <w:t>. com/industries/automotive‐and‐assembly/ourinsights/reimagining‐the‐auto‐industrys‐future‐its‐now‐or‐never</w:t>
      </w:r>
      <w:r>
        <w:t xml:space="preserve">. Pp. 1-8. </w:t>
      </w:r>
    </w:p>
    <w:p w14:paraId="5B476059" w14:textId="77777777" w:rsidR="004006F8" w:rsidRDefault="004006F8" w:rsidP="004006F8">
      <w:pPr>
        <w:spacing w:before="240"/>
      </w:pPr>
      <w:r>
        <w:t>Jassem, S., 2019. Benefits of Switching from Activity-Based Costing to Resource Consumption Accounting: Evidence from a Power Generator Manufacturing Plant. </w:t>
      </w:r>
      <w:r>
        <w:rPr>
          <w:i/>
          <w:iCs/>
        </w:rPr>
        <w:t>Management &amp; Accounting Review (MAR)</w:t>
      </w:r>
      <w:r>
        <w:t>, </w:t>
      </w:r>
      <w:r>
        <w:rPr>
          <w:i/>
          <w:iCs/>
        </w:rPr>
        <w:t>18</w:t>
      </w:r>
      <w:r>
        <w:t>(3), pp.169-190.</w:t>
      </w:r>
    </w:p>
    <w:p w14:paraId="5C482620" w14:textId="77777777" w:rsidR="004006F8" w:rsidRDefault="004006F8" w:rsidP="004006F8">
      <w:pPr>
        <w:spacing w:before="240"/>
      </w:pPr>
      <w:r>
        <w:t>Jia, J., Liu, H., Chin, T. and Hu, D., 2018. The continuous mediating effects of GHRM on employees’ green passion via transformational leadership and green creativity. </w:t>
      </w:r>
      <w:r>
        <w:rPr>
          <w:i/>
          <w:iCs/>
        </w:rPr>
        <w:t>Sustainability</w:t>
      </w:r>
      <w:r>
        <w:t>, </w:t>
      </w:r>
      <w:r>
        <w:rPr>
          <w:i/>
          <w:iCs/>
        </w:rPr>
        <w:t>10</w:t>
      </w:r>
      <w:r>
        <w:t>(9), p.3237.</w:t>
      </w:r>
    </w:p>
    <w:p w14:paraId="56EB73C3" w14:textId="77777777" w:rsidR="004006F8" w:rsidRDefault="004006F8" w:rsidP="004006F8">
      <w:pPr>
        <w:spacing w:before="240"/>
      </w:pPr>
      <w:r>
        <w:t>Kiran, T. and Reddy, A., 2019. Critical success factors of ERP implementation in SMEs. </w:t>
      </w:r>
      <w:r>
        <w:rPr>
          <w:i/>
          <w:iCs/>
        </w:rPr>
        <w:t>Journal of Project Management</w:t>
      </w:r>
      <w:r>
        <w:t>, </w:t>
      </w:r>
      <w:r>
        <w:rPr>
          <w:i/>
          <w:iCs/>
        </w:rPr>
        <w:t>4</w:t>
      </w:r>
      <w:r>
        <w:t>(4), pp.267-280.</w:t>
      </w:r>
    </w:p>
    <w:p w14:paraId="21C4ED63" w14:textId="77777777" w:rsidR="004006F8" w:rsidRDefault="004006F8" w:rsidP="004006F8">
      <w:pPr>
        <w:spacing w:before="240"/>
      </w:pPr>
      <w:r>
        <w:t xml:space="preserve">Moyle, C.L., Moyle, B. and Burgers, H., 2020. Entrepreneurial strategies and tourism industry growth. </w:t>
      </w:r>
      <w:r>
        <w:rPr>
          <w:i/>
        </w:rPr>
        <w:t>Tourism Management Perspectives</w:t>
      </w:r>
      <w:r>
        <w:t>, 35, p.100708.</w:t>
      </w:r>
    </w:p>
    <w:p w14:paraId="1AD3B7DF" w14:textId="77777777" w:rsidR="004006F8" w:rsidRDefault="004006F8" w:rsidP="004006F8">
      <w:pPr>
        <w:spacing w:before="240"/>
        <w:rPr>
          <w:highlight w:val="white"/>
        </w:rPr>
      </w:pPr>
      <w:r>
        <w:rPr>
          <w:highlight w:val="white"/>
        </w:rPr>
        <w:lastRenderedPageBreak/>
        <w:t xml:space="preserve">ONS. 2022. </w:t>
      </w:r>
      <w:r>
        <w:rPr>
          <w:i/>
          <w:highlight w:val="white"/>
        </w:rPr>
        <w:t>Coronavirus and the impact on the UK travel and tourism industry - Office for National Statistics</w:t>
      </w:r>
      <w:r>
        <w:rPr>
          <w:highlight w:val="white"/>
        </w:rPr>
        <w:t>. [online] Available at: &lt;https://www.ons.gov.uk/businessindustryandtrade/tourismindustry/articles/coronavirusandtheimpactontheuktravelandtourismindustry/2021-02-15#:~:text=1.-,Main%20points,the%20same%20month%20in%202019.&gt; [Accessed 3 September 2022].</w:t>
      </w:r>
    </w:p>
    <w:p w14:paraId="4741B5BC" w14:textId="77777777" w:rsidR="004006F8" w:rsidRDefault="004006F8" w:rsidP="004006F8">
      <w:pPr>
        <w:spacing w:before="240"/>
        <w:rPr>
          <w:highlight w:val="white"/>
        </w:rPr>
      </w:pPr>
      <w:r>
        <w:rPr>
          <w:highlight w:val="white"/>
        </w:rPr>
        <w:t>Parliament. 2022b</w:t>
      </w:r>
      <w:r>
        <w:rPr>
          <w:i/>
          <w:highlight w:val="white"/>
        </w:rPr>
        <w:t>. An impartial research and information service for MPs and their staff</w:t>
      </w:r>
      <w:r>
        <w:rPr>
          <w:highlight w:val="white"/>
        </w:rPr>
        <w:t xml:space="preserve"> [online] Available at: &lt;https://commonslibrary.parliament.uk/research-briefings/cbp-7379/&gt; [Accessed 3 September 2022].</w:t>
      </w:r>
    </w:p>
    <w:p w14:paraId="3EE5D154" w14:textId="77777777" w:rsidR="004006F8" w:rsidRDefault="004006F8" w:rsidP="004006F8">
      <w:pPr>
        <w:spacing w:before="240"/>
      </w:pPr>
      <w:r>
        <w:t xml:space="preserve">Sung, S.H., Kim, D.H., Kim, T.J., Kang, I.S. and Lee, K.J., 2019. Unconventional Inorganic‐Based </w:t>
      </w:r>
      <w:proofErr w:type="spellStart"/>
      <w:r>
        <w:t>Memristive</w:t>
      </w:r>
      <w:proofErr w:type="spellEnd"/>
      <w:r>
        <w:t xml:space="preserve"> Devices for Advanced Intelligent Systems. A</w:t>
      </w:r>
      <w:r>
        <w:rPr>
          <w:i/>
        </w:rPr>
        <w:t>dvanced Materials Technologies,</w:t>
      </w:r>
      <w:r>
        <w:t xml:space="preserve"> 4(4), p.1900080.</w:t>
      </w:r>
    </w:p>
    <w:p w14:paraId="119C49CD" w14:textId="77777777" w:rsidR="004006F8" w:rsidRDefault="004006F8" w:rsidP="004006F8">
      <w:pPr>
        <w:spacing w:before="240"/>
        <w:rPr>
          <w:highlight w:val="white"/>
        </w:rPr>
      </w:pPr>
      <w:r>
        <w:rPr>
          <w:highlight w:val="white"/>
        </w:rPr>
        <w:t xml:space="preserve">VisitBritain. 2022. 2022 </w:t>
      </w:r>
      <w:r>
        <w:rPr>
          <w:i/>
          <w:highlight w:val="white"/>
        </w:rPr>
        <w:t>tourism forecast</w:t>
      </w:r>
      <w:r>
        <w:rPr>
          <w:highlight w:val="white"/>
        </w:rPr>
        <w:t>. [online] Available at: &lt;https://www.visitbritain.org/2022-tourism-forecast&gt; [Accessed 19 August 2022].</w:t>
      </w:r>
    </w:p>
    <w:p w14:paraId="33C7FF7C" w14:textId="77777777" w:rsidR="004006F8" w:rsidRDefault="004006F8" w:rsidP="004006F8">
      <w:pPr>
        <w:spacing w:before="240"/>
      </w:pPr>
      <w:proofErr w:type="spellStart"/>
      <w:r>
        <w:t>Zollo</w:t>
      </w:r>
      <w:proofErr w:type="spellEnd"/>
      <w:r>
        <w:t xml:space="preserve">, L., </w:t>
      </w:r>
      <w:proofErr w:type="spellStart"/>
      <w:r>
        <w:t>Filieri</w:t>
      </w:r>
      <w:proofErr w:type="spellEnd"/>
      <w:r>
        <w:t xml:space="preserve">, R., </w:t>
      </w:r>
      <w:proofErr w:type="spellStart"/>
      <w:r>
        <w:t>Rialti</w:t>
      </w:r>
      <w:proofErr w:type="spellEnd"/>
      <w:r>
        <w:t>, R. and Yoon, S., 2020. Unpacking the relationship between social media marketing and brand equity: The mediating role of consumers’ benefits and experience. </w:t>
      </w:r>
      <w:r>
        <w:rPr>
          <w:i/>
          <w:iCs/>
        </w:rPr>
        <w:t>Journal of Business research</w:t>
      </w:r>
      <w:r>
        <w:t>, </w:t>
      </w:r>
      <w:r>
        <w:rPr>
          <w:i/>
          <w:iCs/>
        </w:rPr>
        <w:t>117</w:t>
      </w:r>
      <w:r>
        <w:t>, pp.256-267.</w:t>
      </w:r>
    </w:p>
    <w:p w14:paraId="1AA112DD" w14:textId="77777777" w:rsidR="004006F8" w:rsidRDefault="004006F8" w:rsidP="004006F8"/>
    <w:p w14:paraId="305D6175" w14:textId="77777777" w:rsidR="004006F8" w:rsidRDefault="004006F8" w:rsidP="004006F8">
      <w:pPr>
        <w:rPr>
          <w:highlight w:val="white"/>
        </w:rPr>
      </w:pPr>
    </w:p>
    <w:p w14:paraId="09708FB0" w14:textId="77777777" w:rsidR="004006F8" w:rsidRDefault="004006F8" w:rsidP="004006F8">
      <w:pPr>
        <w:rPr>
          <w:highlight w:val="white"/>
        </w:rPr>
      </w:pPr>
    </w:p>
    <w:p w14:paraId="3E44FFAC" w14:textId="77777777" w:rsidR="004006F8" w:rsidRDefault="004006F8" w:rsidP="004006F8">
      <w:pPr>
        <w:rPr>
          <w:highlight w:val="white"/>
        </w:rPr>
      </w:pPr>
    </w:p>
    <w:p w14:paraId="78112DD1" w14:textId="77777777" w:rsidR="004006F8" w:rsidRDefault="004006F8" w:rsidP="004006F8">
      <w:pPr>
        <w:rPr>
          <w:highlight w:val="white"/>
        </w:rPr>
      </w:pPr>
    </w:p>
    <w:p w14:paraId="4C5664AA" w14:textId="77777777" w:rsidR="00676709" w:rsidRDefault="00676709"/>
    <w:sectPr w:rsidR="00676709">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097A2" w14:textId="77777777" w:rsidR="0028765A" w:rsidRDefault="0028765A" w:rsidP="004006F8">
      <w:pPr>
        <w:spacing w:line="240" w:lineRule="auto"/>
      </w:pPr>
      <w:r>
        <w:separator/>
      </w:r>
    </w:p>
  </w:endnote>
  <w:endnote w:type="continuationSeparator" w:id="0">
    <w:p w14:paraId="1FD25016" w14:textId="77777777" w:rsidR="0028765A" w:rsidRDefault="0028765A" w:rsidP="004006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7573563"/>
      <w:docPartObj>
        <w:docPartGallery w:val="Page Numbers (Bottom of Page)"/>
        <w:docPartUnique/>
      </w:docPartObj>
    </w:sdtPr>
    <w:sdtEndPr>
      <w:rPr>
        <w:noProof/>
      </w:rPr>
    </w:sdtEndPr>
    <w:sdtContent>
      <w:p w14:paraId="5D8536E8" w14:textId="445D2B90" w:rsidR="004006F8" w:rsidRDefault="004006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D57F35" w14:textId="77777777" w:rsidR="004006F8" w:rsidRDefault="00400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3CC44" w14:textId="77777777" w:rsidR="0028765A" w:rsidRDefault="0028765A" w:rsidP="004006F8">
      <w:pPr>
        <w:spacing w:line="240" w:lineRule="auto"/>
      </w:pPr>
      <w:r>
        <w:separator/>
      </w:r>
    </w:p>
  </w:footnote>
  <w:footnote w:type="continuationSeparator" w:id="0">
    <w:p w14:paraId="6EE17219" w14:textId="77777777" w:rsidR="0028765A" w:rsidRDefault="0028765A" w:rsidP="004006F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AD53ED"/>
    <w:multiLevelType w:val="multilevel"/>
    <w:tmpl w:val="CD0857E2"/>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cs="Times New Roman" w:hint="default"/>
        <w:sz w:val="20"/>
      </w:rPr>
    </w:lvl>
    <w:lvl w:ilvl="2">
      <w:start w:val="1"/>
      <w:numFmt w:val="bullet"/>
      <w:lvlText w:val=""/>
      <w:lvlJc w:val="left"/>
      <w:pPr>
        <w:tabs>
          <w:tab w:val="num" w:pos="1800"/>
        </w:tabs>
        <w:ind w:left="1800" w:hanging="360"/>
      </w:pPr>
      <w:rPr>
        <w:rFonts w:ascii="Wingdings" w:hAnsi="Wingdings" w:hint="default"/>
        <w:sz w:val="20"/>
      </w:rPr>
    </w:lvl>
    <w:lvl w:ilvl="3">
      <w:start w:val="1"/>
      <w:numFmt w:val="bullet"/>
      <w:lvlText w:val=""/>
      <w:lvlJc w:val="left"/>
      <w:pPr>
        <w:tabs>
          <w:tab w:val="num" w:pos="2520"/>
        </w:tabs>
        <w:ind w:left="2520" w:hanging="360"/>
      </w:pPr>
      <w:rPr>
        <w:rFonts w:ascii="Wingdings" w:hAnsi="Wingdings" w:hint="default"/>
        <w:sz w:val="20"/>
      </w:rPr>
    </w:lvl>
    <w:lvl w:ilvl="4">
      <w:start w:val="1"/>
      <w:numFmt w:val="bullet"/>
      <w:lvlText w:val=""/>
      <w:lvlJc w:val="left"/>
      <w:pPr>
        <w:tabs>
          <w:tab w:val="num" w:pos="3240"/>
        </w:tabs>
        <w:ind w:left="3240" w:hanging="360"/>
      </w:pPr>
      <w:rPr>
        <w:rFonts w:ascii="Wingdings" w:hAnsi="Wingdings" w:hint="default"/>
        <w:sz w:val="20"/>
      </w:rPr>
    </w:lvl>
    <w:lvl w:ilvl="5">
      <w:start w:val="1"/>
      <w:numFmt w:val="bullet"/>
      <w:lvlText w:val=""/>
      <w:lvlJc w:val="left"/>
      <w:pPr>
        <w:tabs>
          <w:tab w:val="num" w:pos="3960"/>
        </w:tabs>
        <w:ind w:left="3960" w:hanging="360"/>
      </w:pPr>
      <w:rPr>
        <w:rFonts w:ascii="Wingdings" w:hAnsi="Wingdings" w:hint="default"/>
        <w:sz w:val="20"/>
      </w:rPr>
    </w:lvl>
    <w:lvl w:ilvl="6">
      <w:start w:val="1"/>
      <w:numFmt w:val="bullet"/>
      <w:lvlText w:val=""/>
      <w:lvlJc w:val="left"/>
      <w:pPr>
        <w:tabs>
          <w:tab w:val="num" w:pos="4680"/>
        </w:tabs>
        <w:ind w:left="4680" w:hanging="360"/>
      </w:pPr>
      <w:rPr>
        <w:rFonts w:ascii="Wingdings" w:hAnsi="Wingdings" w:hint="default"/>
        <w:sz w:val="20"/>
      </w:rPr>
    </w:lvl>
    <w:lvl w:ilvl="7">
      <w:start w:val="1"/>
      <w:numFmt w:val="bullet"/>
      <w:lvlText w:val=""/>
      <w:lvlJc w:val="left"/>
      <w:pPr>
        <w:tabs>
          <w:tab w:val="num" w:pos="5400"/>
        </w:tabs>
        <w:ind w:left="5400" w:hanging="360"/>
      </w:pPr>
      <w:rPr>
        <w:rFonts w:ascii="Wingdings" w:hAnsi="Wingdings" w:hint="default"/>
        <w:sz w:val="20"/>
      </w:rPr>
    </w:lvl>
    <w:lvl w:ilvl="8">
      <w:start w:val="1"/>
      <w:numFmt w:val="bullet"/>
      <w:lvlText w:val=""/>
      <w:lvlJc w:val="left"/>
      <w:pPr>
        <w:tabs>
          <w:tab w:val="num" w:pos="6120"/>
        </w:tabs>
        <w:ind w:left="6120" w:hanging="360"/>
      </w:pPr>
      <w:rPr>
        <w:rFonts w:ascii="Wingdings" w:hAnsi="Wingdings" w:hint="default"/>
        <w:sz w:val="20"/>
      </w:rPr>
    </w:lvl>
  </w:abstractNum>
  <w:num w:numId="1" w16cid:durableId="165251511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7BA7"/>
    <w:rsid w:val="0028765A"/>
    <w:rsid w:val="004006F8"/>
    <w:rsid w:val="005F0EAB"/>
    <w:rsid w:val="00607BA7"/>
    <w:rsid w:val="00676709"/>
    <w:rsid w:val="00E14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E218C"/>
  <w15:chartTrackingRefBased/>
  <w15:docId w15:val="{362FD361-F533-4EEE-B7E3-ACDBBE04B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06F8"/>
    <w:pPr>
      <w:spacing w:after="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uiPriority w:val="9"/>
    <w:qFormat/>
    <w:rsid w:val="004006F8"/>
    <w:pPr>
      <w:keepNext/>
      <w:keepLines/>
      <w:spacing w:before="400" w:after="120"/>
      <w:outlineLvl w:val="0"/>
    </w:pPr>
    <w:rPr>
      <w:b/>
      <w:sz w:val="28"/>
      <w:szCs w:val="40"/>
    </w:rPr>
  </w:style>
  <w:style w:type="paragraph" w:styleId="Heading2">
    <w:name w:val="heading 2"/>
    <w:basedOn w:val="Normal"/>
    <w:next w:val="Normal"/>
    <w:link w:val="Heading2Char"/>
    <w:uiPriority w:val="9"/>
    <w:semiHidden/>
    <w:unhideWhenUsed/>
    <w:qFormat/>
    <w:rsid w:val="004006F8"/>
    <w:pPr>
      <w:keepNext/>
      <w:keepLines/>
      <w:spacing w:before="360" w:after="120"/>
      <w:outlineLvl w:val="1"/>
    </w:pPr>
    <w:rPr>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6F8"/>
    <w:rPr>
      <w:rFonts w:ascii="Times New Roman" w:eastAsia="Times New Roman" w:hAnsi="Times New Roman" w:cs="Times New Roman"/>
      <w:b/>
      <w:sz w:val="28"/>
      <w:szCs w:val="40"/>
      <w:lang w:eastAsia="en-IN"/>
    </w:rPr>
  </w:style>
  <w:style w:type="character" w:customStyle="1" w:styleId="Heading2Char">
    <w:name w:val="Heading 2 Char"/>
    <w:basedOn w:val="DefaultParagraphFont"/>
    <w:link w:val="Heading2"/>
    <w:uiPriority w:val="9"/>
    <w:semiHidden/>
    <w:rsid w:val="004006F8"/>
    <w:rPr>
      <w:rFonts w:ascii="Times New Roman" w:eastAsia="Times New Roman" w:hAnsi="Times New Roman" w:cs="Times New Roman"/>
      <w:b/>
      <w:sz w:val="24"/>
      <w:szCs w:val="32"/>
      <w:lang w:eastAsia="en-IN"/>
    </w:rPr>
  </w:style>
  <w:style w:type="character" w:styleId="Hyperlink">
    <w:name w:val="Hyperlink"/>
    <w:basedOn w:val="DefaultParagraphFont"/>
    <w:uiPriority w:val="99"/>
    <w:semiHidden/>
    <w:unhideWhenUsed/>
    <w:rsid w:val="004006F8"/>
    <w:rPr>
      <w:color w:val="0563C1" w:themeColor="hyperlink"/>
      <w:u w:val="single"/>
    </w:rPr>
  </w:style>
  <w:style w:type="paragraph" w:styleId="NormalWeb">
    <w:name w:val="Normal (Web)"/>
    <w:basedOn w:val="Normal"/>
    <w:uiPriority w:val="99"/>
    <w:semiHidden/>
    <w:unhideWhenUsed/>
    <w:rsid w:val="004006F8"/>
    <w:pPr>
      <w:spacing w:before="100" w:beforeAutospacing="1" w:after="100" w:afterAutospacing="1" w:line="240" w:lineRule="auto"/>
      <w:jc w:val="left"/>
    </w:pPr>
    <w:rPr>
      <w:lang w:val="en-IN"/>
    </w:rPr>
  </w:style>
  <w:style w:type="paragraph" w:styleId="TOC1">
    <w:name w:val="toc 1"/>
    <w:basedOn w:val="Normal"/>
    <w:next w:val="Normal"/>
    <w:autoRedefine/>
    <w:uiPriority w:val="39"/>
    <w:semiHidden/>
    <w:unhideWhenUsed/>
    <w:rsid w:val="004006F8"/>
    <w:pPr>
      <w:spacing w:after="100"/>
    </w:pPr>
  </w:style>
  <w:style w:type="paragraph" w:styleId="TOC2">
    <w:name w:val="toc 2"/>
    <w:basedOn w:val="Normal"/>
    <w:next w:val="Normal"/>
    <w:autoRedefine/>
    <w:uiPriority w:val="39"/>
    <w:semiHidden/>
    <w:unhideWhenUsed/>
    <w:rsid w:val="004006F8"/>
    <w:pPr>
      <w:spacing w:after="100"/>
      <w:ind w:left="240"/>
    </w:pPr>
  </w:style>
  <w:style w:type="paragraph" w:styleId="Title">
    <w:name w:val="Title"/>
    <w:basedOn w:val="Normal"/>
    <w:next w:val="Normal"/>
    <w:link w:val="TitleChar"/>
    <w:uiPriority w:val="10"/>
    <w:qFormat/>
    <w:rsid w:val="004006F8"/>
    <w:pPr>
      <w:keepNext/>
      <w:keepLines/>
      <w:spacing w:after="60"/>
    </w:pPr>
    <w:rPr>
      <w:sz w:val="32"/>
      <w:szCs w:val="52"/>
    </w:rPr>
  </w:style>
  <w:style w:type="character" w:customStyle="1" w:styleId="TitleChar">
    <w:name w:val="Title Char"/>
    <w:basedOn w:val="DefaultParagraphFont"/>
    <w:link w:val="Title"/>
    <w:uiPriority w:val="10"/>
    <w:rsid w:val="004006F8"/>
    <w:rPr>
      <w:rFonts w:ascii="Times New Roman" w:eastAsia="Times New Roman" w:hAnsi="Times New Roman" w:cs="Times New Roman"/>
      <w:sz w:val="32"/>
      <w:szCs w:val="52"/>
      <w:lang w:eastAsia="en-IN"/>
    </w:rPr>
  </w:style>
  <w:style w:type="paragraph" w:styleId="TOCHeading">
    <w:name w:val="TOC Heading"/>
    <w:basedOn w:val="Heading1"/>
    <w:next w:val="Normal"/>
    <w:uiPriority w:val="39"/>
    <w:semiHidden/>
    <w:unhideWhenUsed/>
    <w:qFormat/>
    <w:rsid w:val="004006F8"/>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table" w:styleId="GridTable5Dark-Accent6">
    <w:name w:val="Grid Table 5 Dark Accent 6"/>
    <w:basedOn w:val="TableNormal"/>
    <w:uiPriority w:val="50"/>
    <w:rsid w:val="004006F8"/>
    <w:pPr>
      <w:spacing w:after="0" w:line="240" w:lineRule="auto"/>
      <w:jc w:val="both"/>
    </w:pPr>
    <w:rPr>
      <w:rFonts w:ascii="Times New Roman" w:eastAsia="Times New Roman" w:hAnsi="Times New Roman" w:cs="Times New Roman"/>
      <w:sz w:val="24"/>
      <w:szCs w:val="24"/>
      <w:lang w:eastAsia="en-IN"/>
    </w:r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4006F8"/>
    <w:pPr>
      <w:tabs>
        <w:tab w:val="center" w:pos="4513"/>
        <w:tab w:val="right" w:pos="9026"/>
      </w:tabs>
      <w:spacing w:line="240" w:lineRule="auto"/>
    </w:pPr>
  </w:style>
  <w:style w:type="character" w:customStyle="1" w:styleId="HeaderChar">
    <w:name w:val="Header Char"/>
    <w:basedOn w:val="DefaultParagraphFont"/>
    <w:link w:val="Header"/>
    <w:uiPriority w:val="99"/>
    <w:rsid w:val="004006F8"/>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4006F8"/>
    <w:pPr>
      <w:tabs>
        <w:tab w:val="center" w:pos="4513"/>
        <w:tab w:val="right" w:pos="9026"/>
      </w:tabs>
      <w:spacing w:line="240" w:lineRule="auto"/>
    </w:pPr>
  </w:style>
  <w:style w:type="character" w:customStyle="1" w:styleId="FooterChar">
    <w:name w:val="Footer Char"/>
    <w:basedOn w:val="DefaultParagraphFont"/>
    <w:link w:val="Footer"/>
    <w:uiPriority w:val="99"/>
    <w:rsid w:val="004006F8"/>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992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rici\Downloads\PR13294%20(2).docx" TargetMode="External"/><Relationship Id="rId13" Type="http://schemas.openxmlformats.org/officeDocument/2006/relationships/hyperlink" Target="file:///C:\Users\Brici\Downloads\PR13294%20(2).doc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Brici\Downloads\PR13294%20(2).docx" TargetMode="External"/><Relationship Id="rId12" Type="http://schemas.openxmlformats.org/officeDocument/2006/relationships/hyperlink" Target="file:///C:\Users\Brici\Downloads\PR13294%20(2).doc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Brici\Downloads\PR13294%20(2).docx" TargetMode="External"/><Relationship Id="rId5" Type="http://schemas.openxmlformats.org/officeDocument/2006/relationships/footnotes" Target="footnotes.xml"/><Relationship Id="rId15" Type="http://schemas.openxmlformats.org/officeDocument/2006/relationships/hyperlink" Target="file:///C:\Users\Brici\Downloads\PR13294%20(2).docx" TargetMode="External"/><Relationship Id="rId10" Type="http://schemas.openxmlformats.org/officeDocument/2006/relationships/hyperlink" Target="file:///C:\Users\Brici\Downloads\PR13294%20(2).docx" TargetMode="External"/><Relationship Id="rId4" Type="http://schemas.openxmlformats.org/officeDocument/2006/relationships/webSettings" Target="webSettings.xml"/><Relationship Id="rId9" Type="http://schemas.openxmlformats.org/officeDocument/2006/relationships/hyperlink" Target="file:///C:\Users\Brici\Downloads\PR13294%20(2).docx" TargetMode="External"/><Relationship Id="rId14" Type="http://schemas.openxmlformats.org/officeDocument/2006/relationships/hyperlink" Target="file:///C:\Users\Brici\Downloads\PR13294%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13</Pages>
  <Words>3379</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2</cp:revision>
  <dcterms:created xsi:type="dcterms:W3CDTF">2022-09-07T15:52:00Z</dcterms:created>
  <dcterms:modified xsi:type="dcterms:W3CDTF">2022-09-07T16:04:00Z</dcterms:modified>
</cp:coreProperties>
</file>