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383FB08" w14:textId="77777777" w:rsidR="00AD1DFD" w:rsidRDefault="00000000">
      <w:pPr>
        <w:rPr>
          <w:rFonts w:ascii="Arial" w:eastAsia="Arial" w:hAnsi="Arial" w:cs="Arial"/>
          <w:b/>
          <w:bCs/>
          <w:sz w:val="32"/>
          <w:szCs w:val="32"/>
        </w:rPr>
      </w:pPr>
      <w:r>
        <w:rPr>
          <w:noProof/>
        </w:rPr>
        <w:drawing>
          <wp:anchor distT="0" distB="0" distL="114300" distR="114300" simplePos="0" relativeHeight="251658240" behindDoc="0" locked="0" layoutInCell="1" hidden="0" allowOverlap="1" wp14:anchorId="4476C286" wp14:editId="1B116826">
            <wp:simplePos x="0" y="0"/>
            <wp:positionH relativeFrom="column">
              <wp:posOffset>1790700</wp:posOffset>
            </wp:positionH>
            <wp:positionV relativeFrom="paragraph">
              <wp:posOffset>259108</wp:posOffset>
            </wp:positionV>
            <wp:extent cx="2360295" cy="94488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360295" cy="944880"/>
                    </a:xfrm>
                    <a:prstGeom prst="rect">
                      <a:avLst/>
                    </a:prstGeom>
                    <a:ln/>
                  </pic:spPr>
                </pic:pic>
              </a:graphicData>
            </a:graphic>
          </wp:anchor>
        </w:drawing>
      </w:r>
    </w:p>
    <w:p w14:paraId="09425500" w14:textId="77777777" w:rsidR="00AD1DFD" w:rsidRDefault="00AD1DFD">
      <w:pPr>
        <w:rPr>
          <w:rFonts w:ascii="Arial" w:eastAsia="Arial" w:hAnsi="Arial" w:cs="Arial"/>
          <w:b/>
          <w:bCs/>
          <w:sz w:val="32"/>
          <w:szCs w:val="32"/>
        </w:rPr>
      </w:pPr>
    </w:p>
    <w:p w14:paraId="50C3947A" w14:textId="77777777" w:rsidR="00AD1DFD" w:rsidRDefault="00AD1DFD">
      <w:pPr>
        <w:jc w:val="center"/>
        <w:rPr>
          <w:rFonts w:ascii="Arial" w:eastAsia="Arial" w:hAnsi="Arial" w:cs="Arial"/>
          <w:b/>
          <w:bCs/>
          <w:sz w:val="32"/>
          <w:szCs w:val="32"/>
        </w:rPr>
      </w:pPr>
    </w:p>
    <w:p w14:paraId="7A23DDFD" w14:textId="77777777" w:rsidR="00AD1DFD" w:rsidRDefault="00AD1DFD">
      <w:pPr>
        <w:jc w:val="center"/>
        <w:rPr>
          <w:rFonts w:ascii="Arial" w:eastAsia="Arial" w:hAnsi="Arial" w:cs="Arial"/>
          <w:b/>
          <w:bCs/>
          <w:sz w:val="32"/>
          <w:szCs w:val="32"/>
        </w:rPr>
      </w:pPr>
    </w:p>
    <w:p w14:paraId="4D0832AA" w14:textId="77777777" w:rsidR="00AD1DFD" w:rsidRDefault="00000000">
      <w:pPr>
        <w:jc w:val="center"/>
        <w:rPr>
          <w:b/>
          <w:bCs/>
          <w:sz w:val="32"/>
          <w:szCs w:val="32"/>
        </w:rPr>
      </w:pPr>
      <w:r>
        <w:rPr>
          <w:b/>
          <w:bCs/>
          <w:sz w:val="32"/>
          <w:szCs w:val="32"/>
        </w:rPr>
        <w:t>Module Code and Name: LCMB7037 Business Development Proposal</w:t>
      </w:r>
    </w:p>
    <w:p w14:paraId="4E8C720F" w14:textId="77777777" w:rsidR="00AD1DFD" w:rsidRDefault="00AD1DFD">
      <w:pPr>
        <w:jc w:val="center"/>
        <w:rPr>
          <w:b/>
          <w:bCs/>
          <w:sz w:val="32"/>
          <w:szCs w:val="32"/>
        </w:rPr>
      </w:pPr>
      <w:bookmarkStart w:id="0" w:name="_ck2on22xl6a5" w:colFirst="0" w:colLast="0"/>
      <w:bookmarkEnd w:id="0"/>
    </w:p>
    <w:p w14:paraId="7D007C2B" w14:textId="77777777" w:rsidR="00AD1DFD" w:rsidRDefault="00000000">
      <w:pPr>
        <w:jc w:val="center"/>
        <w:rPr>
          <w:b/>
          <w:bCs/>
          <w:sz w:val="32"/>
          <w:szCs w:val="32"/>
        </w:rPr>
      </w:pPr>
      <w:bookmarkStart w:id="1" w:name="_m1qy3wghd89" w:colFirst="0" w:colLast="0"/>
      <w:bookmarkEnd w:id="1"/>
      <w:r>
        <w:rPr>
          <w:b/>
          <w:bCs/>
          <w:sz w:val="32"/>
          <w:szCs w:val="32"/>
        </w:rPr>
        <w:t>Title: Developing EverAfter Weddings: A Wedding Planning and Event Management Business for Personalised Wedding Experiences in London</w:t>
      </w:r>
    </w:p>
    <w:p w14:paraId="16A86BD8" w14:textId="77777777" w:rsidR="00AD1DFD" w:rsidRDefault="00AD1DFD">
      <w:pPr>
        <w:jc w:val="center"/>
        <w:rPr>
          <w:b/>
          <w:bCs/>
          <w:sz w:val="32"/>
          <w:szCs w:val="32"/>
        </w:rPr>
      </w:pPr>
    </w:p>
    <w:p w14:paraId="563DF870" w14:textId="65844004" w:rsidR="00AD1DFD" w:rsidRDefault="00000000">
      <w:pPr>
        <w:jc w:val="center"/>
        <w:rPr>
          <w:b/>
          <w:bCs/>
          <w:sz w:val="32"/>
          <w:szCs w:val="32"/>
        </w:rPr>
      </w:pPr>
      <w:r>
        <w:rPr>
          <w:b/>
          <w:bCs/>
          <w:sz w:val="32"/>
          <w:szCs w:val="32"/>
        </w:rPr>
        <w:t>Student ID:</w:t>
      </w:r>
      <w:r w:rsidR="00DB33CC">
        <w:rPr>
          <w:b/>
          <w:bCs/>
          <w:sz w:val="32"/>
          <w:szCs w:val="32"/>
        </w:rPr>
        <w:t>2430959</w:t>
      </w:r>
    </w:p>
    <w:p w14:paraId="4D895535" w14:textId="77777777" w:rsidR="00DB33CC" w:rsidRDefault="00000000" w:rsidP="00DB33CC">
      <w:pPr>
        <w:jc w:val="center"/>
        <w:rPr>
          <w:b/>
          <w:bCs/>
          <w:sz w:val="32"/>
          <w:szCs w:val="32"/>
        </w:rPr>
      </w:pPr>
      <w:r>
        <w:rPr>
          <w:b/>
          <w:bCs/>
          <w:sz w:val="32"/>
          <w:szCs w:val="32"/>
        </w:rPr>
        <w:t>Student name:</w:t>
      </w:r>
      <w:r w:rsidR="00DB33CC">
        <w:rPr>
          <w:b/>
          <w:bCs/>
          <w:sz w:val="32"/>
          <w:szCs w:val="32"/>
        </w:rPr>
        <w:t xml:space="preserve"> Chetnaben Anilbhai Fadke</w:t>
      </w:r>
    </w:p>
    <w:p w14:paraId="22E5549B" w14:textId="20F76278" w:rsidR="00AD1DFD" w:rsidRDefault="00DB33CC" w:rsidP="00DB33CC">
      <w:pPr>
        <w:jc w:val="center"/>
        <w:rPr>
          <w:b/>
          <w:bCs/>
          <w:sz w:val="32"/>
          <w:szCs w:val="32"/>
        </w:rPr>
      </w:pPr>
      <w:r>
        <w:rPr>
          <w:b/>
          <w:bCs/>
          <w:sz w:val="32"/>
          <w:szCs w:val="32"/>
        </w:rPr>
        <w:t>W</w:t>
      </w:r>
      <w:r w:rsidR="00000000">
        <w:rPr>
          <w:b/>
          <w:bCs/>
          <w:sz w:val="32"/>
          <w:szCs w:val="32"/>
        </w:rPr>
        <w:t>ord Count: 2150</w:t>
      </w:r>
      <w:r w:rsidR="00000000">
        <w:br w:type="page"/>
      </w:r>
    </w:p>
    <w:p w14:paraId="52EB832B" w14:textId="77777777" w:rsidR="00AD1DFD" w:rsidRDefault="00000000">
      <w:pPr>
        <w:spacing w:before="480"/>
        <w:jc w:val="center"/>
        <w:rPr>
          <w:b/>
          <w:bCs/>
          <w:sz w:val="28"/>
          <w:szCs w:val="28"/>
        </w:rPr>
      </w:pPr>
      <w:r>
        <w:rPr>
          <w:b/>
          <w:bCs/>
          <w:sz w:val="28"/>
          <w:szCs w:val="28"/>
        </w:rPr>
        <w:lastRenderedPageBreak/>
        <w:t>Table of Contents</w:t>
      </w:r>
    </w:p>
    <w:sdt>
      <w:sdtPr>
        <w:id w:val="2093715393"/>
        <w:docPartObj>
          <w:docPartGallery w:val="Table of Contents"/>
          <w:docPartUnique/>
        </w:docPartObj>
      </w:sdtPr>
      <w:sdtContent>
        <w:p w14:paraId="3013DFB0" w14:textId="77777777" w:rsidR="00AD1DFD" w:rsidRDefault="00000000">
          <w:pPr>
            <w:widowControl w:val="0"/>
            <w:tabs>
              <w:tab w:val="right" w:leader="dot" w:pos="9360"/>
            </w:tabs>
            <w:spacing w:before="60" w:line="240" w:lineRule="auto"/>
            <w:jc w:val="left"/>
            <w:rPr>
              <w:b/>
              <w:bCs/>
              <w:color w:val="000000"/>
            </w:rPr>
          </w:pPr>
          <w:r>
            <w:fldChar w:fldCharType="begin"/>
          </w:r>
          <w:r>
            <w:instrText xml:space="preserve"> TOC \h \u \z \t "Heading 1,1,Heading 2,2,Heading 3,3,Heading 4,4,Heading 5,5,Heading 6,6,"</w:instrText>
          </w:r>
          <w:r>
            <w:fldChar w:fldCharType="separate"/>
          </w:r>
          <w:hyperlink w:anchor="_hch9tvmkimxy">
            <w:r>
              <w:rPr>
                <w:b/>
                <w:bCs/>
                <w:color w:val="000000"/>
              </w:rPr>
              <w:t>4. Literature Review</w:t>
            </w:r>
            <w:r>
              <w:rPr>
                <w:b/>
                <w:bCs/>
                <w:color w:val="000000"/>
              </w:rPr>
              <w:tab/>
            </w:r>
          </w:hyperlink>
          <w:r>
            <w:fldChar w:fldCharType="begin"/>
          </w:r>
          <w:r>
            <w:instrText xml:space="preserve"> PAGEREF _hch9tvmkimxy \h </w:instrText>
          </w:r>
          <w:r>
            <w:fldChar w:fldCharType="separate"/>
          </w:r>
          <w:r>
            <w:rPr>
              <w:b/>
              <w:bCs/>
            </w:rPr>
            <w:t>2</w:t>
          </w:r>
          <w:r>
            <w:fldChar w:fldCharType="end"/>
          </w:r>
        </w:p>
        <w:p w14:paraId="05793F54" w14:textId="77777777" w:rsidR="00AD1DFD" w:rsidRDefault="00000000">
          <w:pPr>
            <w:widowControl w:val="0"/>
            <w:tabs>
              <w:tab w:val="right" w:leader="dot" w:pos="9360"/>
            </w:tabs>
            <w:spacing w:before="60" w:line="240" w:lineRule="auto"/>
            <w:ind w:left="360"/>
            <w:jc w:val="left"/>
            <w:rPr>
              <w:color w:val="000000"/>
            </w:rPr>
          </w:pPr>
          <w:hyperlink w:anchor="_rli19k4gpvs0">
            <w:r>
              <w:rPr>
                <w:color w:val="000000"/>
              </w:rPr>
              <w:t>4.1 Wedding Planning and Event Management Literature</w:t>
            </w:r>
            <w:r>
              <w:rPr>
                <w:color w:val="000000"/>
              </w:rPr>
              <w:tab/>
            </w:r>
          </w:hyperlink>
          <w:r>
            <w:fldChar w:fldCharType="begin"/>
          </w:r>
          <w:r>
            <w:instrText xml:space="preserve"> PAGEREF _rli19k4gpvs0 \h </w:instrText>
          </w:r>
          <w:r>
            <w:fldChar w:fldCharType="separate"/>
          </w:r>
          <w:r>
            <w:t>2</w:t>
          </w:r>
          <w:r>
            <w:fldChar w:fldCharType="end"/>
          </w:r>
        </w:p>
        <w:p w14:paraId="177F2B92" w14:textId="77777777" w:rsidR="00AD1DFD" w:rsidRDefault="00000000">
          <w:pPr>
            <w:widowControl w:val="0"/>
            <w:tabs>
              <w:tab w:val="right" w:leader="dot" w:pos="9360"/>
            </w:tabs>
            <w:spacing w:before="60" w:line="240" w:lineRule="auto"/>
            <w:ind w:left="360"/>
            <w:jc w:val="left"/>
            <w:rPr>
              <w:color w:val="000000"/>
            </w:rPr>
          </w:pPr>
          <w:hyperlink w:anchor="_h4q56dhl4mmr">
            <w:r>
              <w:rPr>
                <w:color w:val="000000"/>
              </w:rPr>
              <w:t>4.2 Personalisation and Customer Experience</w:t>
            </w:r>
            <w:r>
              <w:rPr>
                <w:color w:val="000000"/>
              </w:rPr>
              <w:tab/>
            </w:r>
          </w:hyperlink>
          <w:r>
            <w:fldChar w:fldCharType="begin"/>
          </w:r>
          <w:r>
            <w:instrText xml:space="preserve"> PAGEREF _h4q56dhl4mmr \h </w:instrText>
          </w:r>
          <w:r>
            <w:fldChar w:fldCharType="separate"/>
          </w:r>
          <w:r>
            <w:t>2</w:t>
          </w:r>
          <w:r>
            <w:fldChar w:fldCharType="end"/>
          </w:r>
        </w:p>
        <w:p w14:paraId="04B74068" w14:textId="77777777" w:rsidR="00AD1DFD" w:rsidRDefault="00000000">
          <w:pPr>
            <w:widowControl w:val="0"/>
            <w:tabs>
              <w:tab w:val="right" w:leader="dot" w:pos="9360"/>
            </w:tabs>
            <w:spacing w:before="60" w:line="240" w:lineRule="auto"/>
            <w:ind w:left="360"/>
            <w:jc w:val="left"/>
            <w:rPr>
              <w:color w:val="000000"/>
            </w:rPr>
          </w:pPr>
          <w:hyperlink w:anchor="_sy023t174crg">
            <w:r>
              <w:rPr>
                <w:color w:val="000000"/>
              </w:rPr>
              <w:t>4.3 Resource-Based View (RBV)</w:t>
            </w:r>
            <w:r>
              <w:rPr>
                <w:color w:val="000000"/>
              </w:rPr>
              <w:tab/>
            </w:r>
          </w:hyperlink>
          <w:r>
            <w:fldChar w:fldCharType="begin"/>
          </w:r>
          <w:r>
            <w:instrText xml:space="preserve"> PAGEREF _sy023t174crg \h </w:instrText>
          </w:r>
          <w:r>
            <w:fldChar w:fldCharType="separate"/>
          </w:r>
          <w:r>
            <w:t>2</w:t>
          </w:r>
          <w:r>
            <w:fldChar w:fldCharType="end"/>
          </w:r>
        </w:p>
        <w:p w14:paraId="052E8A63" w14:textId="77777777" w:rsidR="00AD1DFD" w:rsidRDefault="00000000">
          <w:pPr>
            <w:widowControl w:val="0"/>
            <w:tabs>
              <w:tab w:val="right" w:leader="dot" w:pos="9360"/>
            </w:tabs>
            <w:spacing w:before="60" w:line="240" w:lineRule="auto"/>
            <w:ind w:left="720"/>
            <w:jc w:val="left"/>
            <w:rPr>
              <w:color w:val="000000"/>
            </w:rPr>
          </w:pPr>
          <w:hyperlink w:anchor="_lt3d7ioo1zxx">
            <w:r>
              <w:rPr>
                <w:color w:val="000000"/>
              </w:rPr>
              <w:t>4.3.1 Explanation of RBV</w:t>
            </w:r>
            <w:r>
              <w:rPr>
                <w:color w:val="000000"/>
              </w:rPr>
              <w:tab/>
            </w:r>
          </w:hyperlink>
          <w:r>
            <w:fldChar w:fldCharType="begin"/>
          </w:r>
          <w:r>
            <w:instrText xml:space="preserve"> PAGEREF _lt3d7ioo1zxx \h </w:instrText>
          </w:r>
          <w:r>
            <w:fldChar w:fldCharType="separate"/>
          </w:r>
          <w:r>
            <w:t>2</w:t>
          </w:r>
          <w:r>
            <w:fldChar w:fldCharType="end"/>
          </w:r>
        </w:p>
        <w:p w14:paraId="657F98B5" w14:textId="77777777" w:rsidR="00AD1DFD" w:rsidRDefault="00000000">
          <w:pPr>
            <w:widowControl w:val="0"/>
            <w:tabs>
              <w:tab w:val="right" w:leader="dot" w:pos="9360"/>
            </w:tabs>
            <w:spacing w:before="60" w:line="240" w:lineRule="auto"/>
            <w:ind w:left="720"/>
            <w:jc w:val="left"/>
            <w:rPr>
              <w:color w:val="000000"/>
            </w:rPr>
          </w:pPr>
          <w:hyperlink w:anchor="_h5lh6rh311s5">
            <w:r>
              <w:rPr>
                <w:color w:val="000000"/>
              </w:rPr>
              <w:t>4.3.2 Application to EverAfter</w:t>
            </w:r>
            <w:r>
              <w:rPr>
                <w:color w:val="000000"/>
              </w:rPr>
              <w:tab/>
            </w:r>
          </w:hyperlink>
          <w:r>
            <w:fldChar w:fldCharType="begin"/>
          </w:r>
          <w:r>
            <w:instrText xml:space="preserve"> PAGEREF _h5lh6rh311s5 \h </w:instrText>
          </w:r>
          <w:r>
            <w:fldChar w:fldCharType="separate"/>
          </w:r>
          <w:r>
            <w:t>3</w:t>
          </w:r>
          <w:r>
            <w:fldChar w:fldCharType="end"/>
          </w:r>
        </w:p>
        <w:p w14:paraId="6B12400D" w14:textId="77777777" w:rsidR="00AD1DFD" w:rsidRDefault="00000000">
          <w:pPr>
            <w:widowControl w:val="0"/>
            <w:tabs>
              <w:tab w:val="right" w:leader="dot" w:pos="9360"/>
            </w:tabs>
            <w:spacing w:before="60" w:line="240" w:lineRule="auto"/>
            <w:ind w:left="360"/>
            <w:jc w:val="left"/>
            <w:rPr>
              <w:color w:val="000000"/>
            </w:rPr>
          </w:pPr>
          <w:hyperlink w:anchor="_atn7c7lzzioq">
            <w:r>
              <w:rPr>
                <w:color w:val="000000"/>
              </w:rPr>
              <w:t>4.4 SERVQUAL</w:t>
            </w:r>
            <w:r>
              <w:rPr>
                <w:color w:val="000000"/>
              </w:rPr>
              <w:tab/>
            </w:r>
          </w:hyperlink>
          <w:r>
            <w:fldChar w:fldCharType="begin"/>
          </w:r>
          <w:r>
            <w:instrText xml:space="preserve"> PAGEREF _atn7c7lzzioq \h </w:instrText>
          </w:r>
          <w:r>
            <w:fldChar w:fldCharType="separate"/>
          </w:r>
          <w:r>
            <w:t>3</w:t>
          </w:r>
          <w:r>
            <w:fldChar w:fldCharType="end"/>
          </w:r>
        </w:p>
        <w:p w14:paraId="36302CEE" w14:textId="77777777" w:rsidR="00AD1DFD" w:rsidRDefault="00000000">
          <w:pPr>
            <w:widowControl w:val="0"/>
            <w:tabs>
              <w:tab w:val="right" w:leader="dot" w:pos="9360"/>
            </w:tabs>
            <w:spacing w:before="60" w:line="240" w:lineRule="auto"/>
            <w:ind w:left="720"/>
            <w:jc w:val="left"/>
            <w:rPr>
              <w:color w:val="000000"/>
            </w:rPr>
          </w:pPr>
          <w:hyperlink w:anchor="_ewg5n936v9qo">
            <w:r>
              <w:rPr>
                <w:color w:val="000000"/>
              </w:rPr>
              <w:t>4.4.1 Explanation</w:t>
            </w:r>
            <w:r>
              <w:rPr>
                <w:color w:val="000000"/>
              </w:rPr>
              <w:tab/>
            </w:r>
          </w:hyperlink>
          <w:r>
            <w:fldChar w:fldCharType="begin"/>
          </w:r>
          <w:r>
            <w:instrText xml:space="preserve"> PAGEREF _ewg5n936v9qo \h </w:instrText>
          </w:r>
          <w:r>
            <w:fldChar w:fldCharType="separate"/>
          </w:r>
          <w:r>
            <w:t>3</w:t>
          </w:r>
          <w:r>
            <w:fldChar w:fldCharType="end"/>
          </w:r>
        </w:p>
        <w:p w14:paraId="71388A30" w14:textId="77777777" w:rsidR="00AD1DFD" w:rsidRDefault="00000000">
          <w:pPr>
            <w:widowControl w:val="0"/>
            <w:tabs>
              <w:tab w:val="right" w:leader="dot" w:pos="9360"/>
            </w:tabs>
            <w:spacing w:before="60" w:line="240" w:lineRule="auto"/>
            <w:ind w:left="720"/>
            <w:jc w:val="left"/>
            <w:rPr>
              <w:color w:val="000000"/>
            </w:rPr>
          </w:pPr>
          <w:hyperlink w:anchor="_bx87vh3ew69s">
            <w:r>
              <w:rPr>
                <w:color w:val="000000"/>
              </w:rPr>
              <w:t>4.4.2 Relevance and Critical Evaluation</w:t>
            </w:r>
            <w:r>
              <w:rPr>
                <w:color w:val="000000"/>
              </w:rPr>
              <w:tab/>
            </w:r>
          </w:hyperlink>
          <w:r>
            <w:fldChar w:fldCharType="begin"/>
          </w:r>
          <w:r>
            <w:instrText xml:space="preserve"> PAGEREF _bx87vh3ew69s \h </w:instrText>
          </w:r>
          <w:r>
            <w:fldChar w:fldCharType="separate"/>
          </w:r>
          <w:r>
            <w:t>4</w:t>
          </w:r>
          <w:r>
            <w:fldChar w:fldCharType="end"/>
          </w:r>
        </w:p>
        <w:p w14:paraId="211A4A93" w14:textId="77777777" w:rsidR="00AD1DFD" w:rsidRDefault="00000000">
          <w:pPr>
            <w:widowControl w:val="0"/>
            <w:tabs>
              <w:tab w:val="right" w:leader="dot" w:pos="9360"/>
            </w:tabs>
            <w:spacing w:before="60" w:line="240" w:lineRule="auto"/>
            <w:ind w:left="360"/>
            <w:jc w:val="left"/>
            <w:rPr>
              <w:color w:val="000000"/>
            </w:rPr>
          </w:pPr>
          <w:hyperlink w:anchor="_nwzi6h444vw4">
            <w:r>
              <w:rPr>
                <w:color w:val="000000"/>
              </w:rPr>
              <w:t>4.5 Critical Theoretical Framework</w:t>
            </w:r>
            <w:r>
              <w:rPr>
                <w:color w:val="000000"/>
              </w:rPr>
              <w:tab/>
            </w:r>
          </w:hyperlink>
          <w:r>
            <w:fldChar w:fldCharType="begin"/>
          </w:r>
          <w:r>
            <w:instrText xml:space="preserve"> PAGEREF _nwzi6h444vw4 \h </w:instrText>
          </w:r>
          <w:r>
            <w:fldChar w:fldCharType="separate"/>
          </w:r>
          <w:r>
            <w:t>4</w:t>
          </w:r>
          <w:r>
            <w:fldChar w:fldCharType="end"/>
          </w:r>
        </w:p>
        <w:p w14:paraId="08ABBC0D" w14:textId="77777777" w:rsidR="00AD1DFD" w:rsidRDefault="00000000">
          <w:pPr>
            <w:widowControl w:val="0"/>
            <w:tabs>
              <w:tab w:val="right" w:leader="dot" w:pos="9360"/>
            </w:tabs>
            <w:spacing w:before="60" w:line="240" w:lineRule="auto"/>
            <w:ind w:left="360"/>
            <w:jc w:val="left"/>
            <w:rPr>
              <w:color w:val="000000"/>
            </w:rPr>
          </w:pPr>
          <w:hyperlink w:anchor="_s13fox1cvzm7">
            <w:r>
              <w:rPr>
                <w:color w:val="000000"/>
              </w:rPr>
              <w:t>4.6 Critical Synthesis of the Literature</w:t>
            </w:r>
            <w:r>
              <w:rPr>
                <w:color w:val="000000"/>
              </w:rPr>
              <w:tab/>
            </w:r>
          </w:hyperlink>
          <w:r>
            <w:fldChar w:fldCharType="begin"/>
          </w:r>
          <w:r>
            <w:instrText xml:space="preserve"> PAGEREF _s13fox1cvzm7 \h </w:instrText>
          </w:r>
          <w:r>
            <w:fldChar w:fldCharType="separate"/>
          </w:r>
          <w:r>
            <w:t>4</w:t>
          </w:r>
          <w:r>
            <w:fldChar w:fldCharType="end"/>
          </w:r>
        </w:p>
        <w:p w14:paraId="3F59FF9C" w14:textId="77777777" w:rsidR="00AD1DFD" w:rsidRDefault="00000000">
          <w:pPr>
            <w:widowControl w:val="0"/>
            <w:tabs>
              <w:tab w:val="right" w:leader="dot" w:pos="9360"/>
            </w:tabs>
            <w:spacing w:before="60" w:line="240" w:lineRule="auto"/>
            <w:ind w:left="360"/>
            <w:jc w:val="left"/>
            <w:rPr>
              <w:color w:val="000000"/>
            </w:rPr>
          </w:pPr>
          <w:hyperlink w:anchor="_622sd410sz69">
            <w:r>
              <w:rPr>
                <w:color w:val="000000"/>
              </w:rPr>
              <w:t>4.7 Literature Gap</w:t>
            </w:r>
            <w:r>
              <w:rPr>
                <w:color w:val="000000"/>
              </w:rPr>
              <w:tab/>
            </w:r>
          </w:hyperlink>
          <w:r>
            <w:fldChar w:fldCharType="begin"/>
          </w:r>
          <w:r>
            <w:instrText xml:space="preserve"> PAGEREF _622sd410sz69 \h </w:instrText>
          </w:r>
          <w:r>
            <w:fldChar w:fldCharType="separate"/>
          </w:r>
          <w:r>
            <w:t>5</w:t>
          </w:r>
          <w:r>
            <w:fldChar w:fldCharType="end"/>
          </w:r>
        </w:p>
        <w:p w14:paraId="7AAFE90C" w14:textId="77777777" w:rsidR="00AD1DFD" w:rsidRDefault="00000000">
          <w:pPr>
            <w:widowControl w:val="0"/>
            <w:tabs>
              <w:tab w:val="right" w:leader="dot" w:pos="9360"/>
            </w:tabs>
            <w:spacing w:before="60" w:line="240" w:lineRule="auto"/>
            <w:jc w:val="left"/>
            <w:rPr>
              <w:b/>
              <w:bCs/>
              <w:color w:val="000000"/>
            </w:rPr>
          </w:pPr>
          <w:hyperlink w:anchor="_sfkym6nqllox">
            <w:r>
              <w:rPr>
                <w:b/>
                <w:bCs/>
                <w:color w:val="000000"/>
              </w:rPr>
              <w:t>5. Methodology</w:t>
            </w:r>
            <w:r>
              <w:rPr>
                <w:b/>
                <w:bCs/>
                <w:color w:val="000000"/>
              </w:rPr>
              <w:tab/>
            </w:r>
          </w:hyperlink>
          <w:r>
            <w:fldChar w:fldCharType="begin"/>
          </w:r>
          <w:r>
            <w:instrText xml:space="preserve"> PAGEREF _sfkym6nqllox \h </w:instrText>
          </w:r>
          <w:r>
            <w:fldChar w:fldCharType="separate"/>
          </w:r>
          <w:r>
            <w:rPr>
              <w:b/>
              <w:bCs/>
            </w:rPr>
            <w:t>6</w:t>
          </w:r>
          <w:r>
            <w:fldChar w:fldCharType="end"/>
          </w:r>
        </w:p>
        <w:p w14:paraId="498C6858" w14:textId="77777777" w:rsidR="00AD1DFD" w:rsidRDefault="00000000">
          <w:pPr>
            <w:widowControl w:val="0"/>
            <w:tabs>
              <w:tab w:val="right" w:leader="dot" w:pos="9360"/>
            </w:tabs>
            <w:spacing w:before="60" w:line="240" w:lineRule="auto"/>
            <w:ind w:left="360"/>
            <w:jc w:val="left"/>
            <w:rPr>
              <w:color w:val="000000"/>
            </w:rPr>
          </w:pPr>
          <w:hyperlink w:anchor="_nqr9e7xbyg93">
            <w:r>
              <w:rPr>
                <w:color w:val="000000"/>
              </w:rPr>
              <w:t>5.1 Research Philosophy — Interpretivism</w:t>
            </w:r>
            <w:r>
              <w:rPr>
                <w:color w:val="000000"/>
              </w:rPr>
              <w:tab/>
            </w:r>
          </w:hyperlink>
          <w:r>
            <w:fldChar w:fldCharType="begin"/>
          </w:r>
          <w:r>
            <w:instrText xml:space="preserve"> PAGEREF _nqr9e7xbyg93 \h </w:instrText>
          </w:r>
          <w:r>
            <w:fldChar w:fldCharType="separate"/>
          </w:r>
          <w:r>
            <w:t>6</w:t>
          </w:r>
          <w:r>
            <w:fldChar w:fldCharType="end"/>
          </w:r>
        </w:p>
        <w:p w14:paraId="2A8BE2E5" w14:textId="77777777" w:rsidR="00AD1DFD" w:rsidRDefault="00000000">
          <w:pPr>
            <w:widowControl w:val="0"/>
            <w:tabs>
              <w:tab w:val="right" w:leader="dot" w:pos="9360"/>
            </w:tabs>
            <w:spacing w:before="60" w:line="240" w:lineRule="auto"/>
            <w:ind w:left="360"/>
            <w:jc w:val="left"/>
            <w:rPr>
              <w:color w:val="000000"/>
            </w:rPr>
          </w:pPr>
          <w:hyperlink w:anchor="_w9zbw9ykfsdc">
            <w:r>
              <w:rPr>
                <w:color w:val="000000"/>
              </w:rPr>
              <w:t>5.2 Research Approach — Inductive</w:t>
            </w:r>
            <w:r>
              <w:rPr>
                <w:color w:val="000000"/>
              </w:rPr>
              <w:tab/>
            </w:r>
          </w:hyperlink>
          <w:r>
            <w:fldChar w:fldCharType="begin"/>
          </w:r>
          <w:r>
            <w:instrText xml:space="preserve"> PAGEREF _w9zbw9ykfsdc \h </w:instrText>
          </w:r>
          <w:r>
            <w:fldChar w:fldCharType="separate"/>
          </w:r>
          <w:r>
            <w:t>6</w:t>
          </w:r>
          <w:r>
            <w:fldChar w:fldCharType="end"/>
          </w:r>
        </w:p>
        <w:p w14:paraId="538C2662" w14:textId="77777777" w:rsidR="00AD1DFD" w:rsidRDefault="00000000">
          <w:pPr>
            <w:widowControl w:val="0"/>
            <w:tabs>
              <w:tab w:val="right" w:leader="dot" w:pos="9360"/>
            </w:tabs>
            <w:spacing w:before="60" w:line="240" w:lineRule="auto"/>
            <w:ind w:left="360"/>
            <w:jc w:val="left"/>
            <w:rPr>
              <w:color w:val="000000"/>
            </w:rPr>
          </w:pPr>
          <w:hyperlink w:anchor="_hs3sl172hqqv">
            <w:r>
              <w:rPr>
                <w:color w:val="000000"/>
              </w:rPr>
              <w:t>5.3 Research Design — Qualitative Secondary Research</w:t>
            </w:r>
            <w:r>
              <w:rPr>
                <w:color w:val="000000"/>
              </w:rPr>
              <w:tab/>
            </w:r>
          </w:hyperlink>
          <w:r>
            <w:fldChar w:fldCharType="begin"/>
          </w:r>
          <w:r>
            <w:instrText xml:space="preserve"> PAGEREF _hs3sl172hqqv \h </w:instrText>
          </w:r>
          <w:r>
            <w:fldChar w:fldCharType="separate"/>
          </w:r>
          <w:r>
            <w:t>7</w:t>
          </w:r>
          <w:r>
            <w:fldChar w:fldCharType="end"/>
          </w:r>
        </w:p>
        <w:p w14:paraId="42A96A79" w14:textId="77777777" w:rsidR="00AD1DFD" w:rsidRDefault="00000000">
          <w:pPr>
            <w:widowControl w:val="0"/>
            <w:tabs>
              <w:tab w:val="right" w:leader="dot" w:pos="9360"/>
            </w:tabs>
            <w:spacing w:before="60" w:line="240" w:lineRule="auto"/>
            <w:ind w:left="360"/>
            <w:jc w:val="left"/>
            <w:rPr>
              <w:color w:val="000000"/>
            </w:rPr>
          </w:pPr>
          <w:hyperlink w:anchor="_f41xapoa60pa">
            <w:r>
              <w:rPr>
                <w:color w:val="000000"/>
              </w:rPr>
              <w:t>5.4 Data Collection and Sources</w:t>
            </w:r>
            <w:r>
              <w:rPr>
                <w:color w:val="000000"/>
              </w:rPr>
              <w:tab/>
            </w:r>
          </w:hyperlink>
          <w:r>
            <w:fldChar w:fldCharType="begin"/>
          </w:r>
          <w:r>
            <w:instrText xml:space="preserve"> PAGEREF _f41xapoa60pa \h </w:instrText>
          </w:r>
          <w:r>
            <w:fldChar w:fldCharType="separate"/>
          </w:r>
          <w:r>
            <w:t>7</w:t>
          </w:r>
          <w:r>
            <w:fldChar w:fldCharType="end"/>
          </w:r>
        </w:p>
        <w:p w14:paraId="78667ADF" w14:textId="77777777" w:rsidR="00AD1DFD" w:rsidRDefault="00000000">
          <w:pPr>
            <w:widowControl w:val="0"/>
            <w:tabs>
              <w:tab w:val="right" w:leader="dot" w:pos="9360"/>
            </w:tabs>
            <w:spacing w:before="60" w:line="240" w:lineRule="auto"/>
            <w:ind w:left="360"/>
            <w:jc w:val="left"/>
            <w:rPr>
              <w:color w:val="000000"/>
            </w:rPr>
          </w:pPr>
          <w:hyperlink w:anchor="_uy1t8qdly1w7">
            <w:r>
              <w:rPr>
                <w:color w:val="000000"/>
              </w:rPr>
              <w:t>5.5 Inclusion and Exclusion Criteria</w:t>
            </w:r>
            <w:r>
              <w:rPr>
                <w:color w:val="000000"/>
              </w:rPr>
              <w:tab/>
            </w:r>
          </w:hyperlink>
          <w:r>
            <w:fldChar w:fldCharType="begin"/>
          </w:r>
          <w:r>
            <w:instrText xml:space="preserve"> PAGEREF _uy1t8qdly1w7 \h </w:instrText>
          </w:r>
          <w:r>
            <w:fldChar w:fldCharType="separate"/>
          </w:r>
          <w:r>
            <w:t>7</w:t>
          </w:r>
          <w:r>
            <w:fldChar w:fldCharType="end"/>
          </w:r>
        </w:p>
        <w:p w14:paraId="0E84B1D4" w14:textId="77777777" w:rsidR="00AD1DFD" w:rsidRDefault="00000000">
          <w:pPr>
            <w:widowControl w:val="0"/>
            <w:tabs>
              <w:tab w:val="right" w:leader="dot" w:pos="9360"/>
            </w:tabs>
            <w:spacing w:before="60" w:line="240" w:lineRule="auto"/>
            <w:ind w:left="360"/>
            <w:jc w:val="left"/>
            <w:rPr>
              <w:color w:val="000000"/>
            </w:rPr>
          </w:pPr>
          <w:hyperlink w:anchor="_rj4edju2r80f">
            <w:r>
              <w:rPr>
                <w:color w:val="000000"/>
              </w:rPr>
              <w:t>5.6 Data Analysis</w:t>
            </w:r>
            <w:r>
              <w:rPr>
                <w:color w:val="000000"/>
              </w:rPr>
              <w:tab/>
            </w:r>
          </w:hyperlink>
          <w:r>
            <w:fldChar w:fldCharType="begin"/>
          </w:r>
          <w:r>
            <w:instrText xml:space="preserve"> PAGEREF _rj4edju2r80f \h </w:instrText>
          </w:r>
          <w:r>
            <w:fldChar w:fldCharType="separate"/>
          </w:r>
          <w:r>
            <w:t>8</w:t>
          </w:r>
          <w:r>
            <w:fldChar w:fldCharType="end"/>
          </w:r>
        </w:p>
        <w:p w14:paraId="13A6CC63" w14:textId="77777777" w:rsidR="00AD1DFD" w:rsidRDefault="00000000">
          <w:pPr>
            <w:widowControl w:val="0"/>
            <w:tabs>
              <w:tab w:val="right" w:leader="dot" w:pos="9360"/>
            </w:tabs>
            <w:spacing w:before="60" w:line="240" w:lineRule="auto"/>
            <w:ind w:left="360"/>
            <w:jc w:val="left"/>
            <w:rPr>
              <w:color w:val="000000"/>
            </w:rPr>
          </w:pPr>
          <w:hyperlink w:anchor="_bm66ratq3z8g">
            <w:r>
              <w:rPr>
                <w:color w:val="000000"/>
              </w:rPr>
              <w:t>5.7 Ethical Considerations</w:t>
            </w:r>
            <w:r>
              <w:rPr>
                <w:color w:val="000000"/>
              </w:rPr>
              <w:tab/>
            </w:r>
          </w:hyperlink>
          <w:r>
            <w:fldChar w:fldCharType="begin"/>
          </w:r>
          <w:r>
            <w:instrText xml:space="preserve"> PAGEREF _bm66ratq3z8g \h </w:instrText>
          </w:r>
          <w:r>
            <w:fldChar w:fldCharType="separate"/>
          </w:r>
          <w:r>
            <w:t>8</w:t>
          </w:r>
          <w:r>
            <w:fldChar w:fldCharType="end"/>
          </w:r>
        </w:p>
        <w:p w14:paraId="00FBB88D" w14:textId="77777777" w:rsidR="00AD1DFD" w:rsidRDefault="00000000">
          <w:pPr>
            <w:widowControl w:val="0"/>
            <w:tabs>
              <w:tab w:val="right" w:leader="dot" w:pos="9360"/>
            </w:tabs>
            <w:spacing w:before="60" w:line="240" w:lineRule="auto"/>
            <w:ind w:left="360"/>
            <w:jc w:val="left"/>
            <w:rPr>
              <w:color w:val="000000"/>
            </w:rPr>
          </w:pPr>
          <w:hyperlink w:anchor="_79ucvexm5aui">
            <w:r>
              <w:rPr>
                <w:color w:val="000000"/>
              </w:rPr>
              <w:t>5.8 Methodological Limitations</w:t>
            </w:r>
            <w:r>
              <w:rPr>
                <w:color w:val="000000"/>
              </w:rPr>
              <w:tab/>
            </w:r>
          </w:hyperlink>
          <w:r>
            <w:fldChar w:fldCharType="begin"/>
          </w:r>
          <w:r>
            <w:instrText xml:space="preserve"> PAGEREF _79ucvexm5aui \h </w:instrText>
          </w:r>
          <w:r>
            <w:fldChar w:fldCharType="separate"/>
          </w:r>
          <w:r>
            <w:t>9</w:t>
          </w:r>
          <w:r>
            <w:fldChar w:fldCharType="end"/>
          </w:r>
        </w:p>
        <w:p w14:paraId="53E3B0BE" w14:textId="77777777" w:rsidR="00AD1DFD" w:rsidRDefault="00000000">
          <w:pPr>
            <w:widowControl w:val="0"/>
            <w:tabs>
              <w:tab w:val="right" w:leader="dot" w:pos="9360"/>
            </w:tabs>
            <w:spacing w:before="60" w:line="240" w:lineRule="auto"/>
            <w:jc w:val="left"/>
            <w:rPr>
              <w:b/>
              <w:bCs/>
              <w:color w:val="000000"/>
            </w:rPr>
          </w:pPr>
          <w:hyperlink w:anchor="_9cuqlnlc512d">
            <w:r>
              <w:rPr>
                <w:b/>
                <w:bCs/>
                <w:color w:val="000000"/>
              </w:rPr>
              <w:t>References</w:t>
            </w:r>
            <w:r>
              <w:rPr>
                <w:b/>
                <w:bCs/>
                <w:color w:val="000000"/>
              </w:rPr>
              <w:tab/>
            </w:r>
          </w:hyperlink>
          <w:r>
            <w:fldChar w:fldCharType="begin"/>
          </w:r>
          <w:r>
            <w:instrText xml:space="preserve"> PAGEREF _9cuqlnlc512d \h </w:instrText>
          </w:r>
          <w:r>
            <w:fldChar w:fldCharType="separate"/>
          </w:r>
          <w:r>
            <w:rPr>
              <w:b/>
              <w:bCs/>
            </w:rPr>
            <w:t>10</w:t>
          </w:r>
          <w:r>
            <w:fldChar w:fldCharType="end"/>
          </w:r>
          <w:r>
            <w:fldChar w:fldCharType="end"/>
          </w:r>
        </w:p>
      </w:sdtContent>
    </w:sdt>
    <w:p w14:paraId="610059B7" w14:textId="77777777" w:rsidR="00AD1DFD" w:rsidRDefault="00000000">
      <w:pPr>
        <w:spacing w:before="480"/>
        <w:jc w:val="center"/>
      </w:pPr>
      <w:r>
        <w:br w:type="page"/>
      </w:r>
    </w:p>
    <w:p w14:paraId="657EADFA" w14:textId="77777777" w:rsidR="00AD1DFD" w:rsidRDefault="00000000">
      <w:pPr>
        <w:pStyle w:val="Heading1"/>
        <w:spacing w:before="480"/>
      </w:pPr>
      <w:bookmarkStart w:id="2" w:name="_hch9tvmkimxy" w:colFirst="0" w:colLast="0"/>
      <w:bookmarkEnd w:id="2"/>
      <w:r>
        <w:lastRenderedPageBreak/>
        <w:t>4. Literature Review</w:t>
      </w:r>
    </w:p>
    <w:p w14:paraId="47E52A42" w14:textId="77777777" w:rsidR="00AD1DFD" w:rsidRDefault="00000000">
      <w:pPr>
        <w:pStyle w:val="Heading2"/>
        <w:spacing w:after="80"/>
        <w:rPr>
          <w:b/>
          <w:bCs/>
          <w:sz w:val="26"/>
          <w:szCs w:val="26"/>
        </w:rPr>
      </w:pPr>
      <w:bookmarkStart w:id="3" w:name="_rli19k4gpvs0" w:colFirst="0" w:colLast="0"/>
      <w:bookmarkEnd w:id="3"/>
      <w:r>
        <w:rPr>
          <w:b/>
          <w:bCs/>
          <w:sz w:val="26"/>
          <w:szCs w:val="26"/>
        </w:rPr>
        <w:t>4.1 Wedding Planning and Event Management Literature</w:t>
      </w:r>
    </w:p>
    <w:p w14:paraId="3D930908" w14:textId="22816F75" w:rsidR="00AD1DFD" w:rsidRDefault="00000000">
      <w:pPr>
        <w:spacing w:before="240" w:after="240"/>
      </w:pPr>
      <w:r>
        <w:t xml:space="preserve">The planning of a wedding is not just an event management task </w:t>
      </w:r>
      <w:r w:rsidR="00DB33CC">
        <w:t>for</w:t>
      </w:r>
      <w:r>
        <w:t xml:space="preserve"> planning the event, as at a wedding the combination of tourism + consumption + highly personal experiences is all involved. While weddings have multiple economic and tourism functions, as referenced by Pereira </w:t>
      </w:r>
      <w:r>
        <w:rPr>
          <w:i/>
          <w:iCs/>
        </w:rPr>
        <w:t>et al</w:t>
      </w:r>
      <w:r>
        <w:t xml:space="preserve">. (2022), Wang, Liu and Li (2024) write on the importance of </w:t>
      </w:r>
      <w:r w:rsidR="00DB33CC">
        <w:t>personalizing</w:t>
      </w:r>
      <w:r>
        <w:t xml:space="preserve"> wedding consumption. Though the business focus of even </w:t>
      </w:r>
      <w:r w:rsidR="00DB33CC">
        <w:t>organizers</w:t>
      </w:r>
      <w:r>
        <w:t xml:space="preserve"> is on coordination and event delivery through the eyes of tradition, today's wedding services are also all about providing personalized experience to their clients. For EverAfter Weddings, this involves positioning arranging as a much more extensive and experience-driven administration and dispense management.</w:t>
      </w:r>
    </w:p>
    <w:p w14:paraId="4CCE56B1" w14:textId="0A92378A" w:rsidR="00AD1DFD" w:rsidRDefault="00000000">
      <w:pPr>
        <w:pStyle w:val="Heading2"/>
        <w:spacing w:after="80"/>
        <w:rPr>
          <w:b/>
          <w:bCs/>
          <w:sz w:val="26"/>
          <w:szCs w:val="26"/>
        </w:rPr>
      </w:pPr>
      <w:bookmarkStart w:id="4" w:name="_h4q56dhl4mmr" w:colFirst="0" w:colLast="0"/>
      <w:bookmarkEnd w:id="4"/>
      <w:r>
        <w:rPr>
          <w:b/>
          <w:bCs/>
          <w:sz w:val="26"/>
          <w:szCs w:val="26"/>
        </w:rPr>
        <w:t xml:space="preserve">4.2 </w:t>
      </w:r>
      <w:r w:rsidR="00DB33CC">
        <w:rPr>
          <w:b/>
          <w:bCs/>
          <w:sz w:val="26"/>
          <w:szCs w:val="26"/>
        </w:rPr>
        <w:t>Personalization</w:t>
      </w:r>
      <w:r>
        <w:rPr>
          <w:b/>
          <w:bCs/>
          <w:sz w:val="26"/>
          <w:szCs w:val="26"/>
        </w:rPr>
        <w:t xml:space="preserve"> and Customer Experience</w:t>
      </w:r>
    </w:p>
    <w:p w14:paraId="22E09586" w14:textId="05964394" w:rsidR="00AD1DFD" w:rsidRDefault="00000000">
      <w:pPr>
        <w:spacing w:before="240" w:after="240"/>
      </w:pPr>
      <w:r>
        <w:t xml:space="preserve">While </w:t>
      </w:r>
      <w:r w:rsidR="00DB33CC">
        <w:t>personalization</w:t>
      </w:r>
      <w:r>
        <w:t xml:space="preserve"> is a dominant factor in customer experience these days, it needs to be effective, and that balance needs to be struck between technology and humans. </w:t>
      </w:r>
      <w:r w:rsidR="00DB33CC">
        <w:t>Customized</w:t>
      </w:r>
      <w:r>
        <w:t xml:space="preserve"> wedding experiences are relevant, as shown by Wang, Liu and Li (2024), and Vorster, Hardcastle and Brown (2025) demonstrate the impact of </w:t>
      </w:r>
      <w:r w:rsidR="00DB33CC">
        <w:t>personalizing</w:t>
      </w:r>
      <w:r>
        <w:t xml:space="preserve"> customer experiences with the use of AI-based services. Likewise, Weippert (2024) defines the journeys as personalised omnichannel journeys. Together, these opposing views indicate that EverAfter will need to factor in personalised recommendations and digital engagement, as well as human-centred planning, to create value, customer satisfaction, and build better customer relationships.</w:t>
      </w:r>
    </w:p>
    <w:p w14:paraId="1CD50BA0" w14:textId="77777777" w:rsidR="00AD1DFD" w:rsidRDefault="00000000">
      <w:pPr>
        <w:pStyle w:val="Heading2"/>
        <w:spacing w:after="80"/>
        <w:rPr>
          <w:b/>
          <w:bCs/>
          <w:sz w:val="26"/>
          <w:szCs w:val="26"/>
        </w:rPr>
      </w:pPr>
      <w:bookmarkStart w:id="5" w:name="_sy023t174crg" w:colFirst="0" w:colLast="0"/>
      <w:bookmarkEnd w:id="5"/>
      <w:r>
        <w:rPr>
          <w:b/>
          <w:bCs/>
          <w:sz w:val="26"/>
          <w:szCs w:val="26"/>
        </w:rPr>
        <w:t>4.3 Resource-Based View (RBV)</w:t>
      </w:r>
    </w:p>
    <w:p w14:paraId="342BB9B7" w14:textId="77777777" w:rsidR="00AD1DFD" w:rsidRDefault="00000000">
      <w:pPr>
        <w:pStyle w:val="Heading3"/>
        <w:spacing w:before="360"/>
        <w:rPr>
          <w:b/>
          <w:bCs/>
          <w:color w:val="000000"/>
          <w:sz w:val="24"/>
          <w:szCs w:val="24"/>
        </w:rPr>
      </w:pPr>
      <w:bookmarkStart w:id="6" w:name="_lt3d7ioo1zxx" w:colFirst="0" w:colLast="0"/>
      <w:bookmarkEnd w:id="6"/>
      <w:r>
        <w:rPr>
          <w:b/>
          <w:bCs/>
          <w:color w:val="000000"/>
          <w:sz w:val="24"/>
          <w:szCs w:val="24"/>
        </w:rPr>
        <w:t>4.3.1 Explanation of RBV</w:t>
      </w:r>
    </w:p>
    <w:p w14:paraId="0C806AFD" w14:textId="3B8AE1AC" w:rsidR="00AD1DFD" w:rsidRDefault="00000000">
      <w:pPr>
        <w:spacing w:before="240" w:after="240"/>
      </w:pPr>
      <w:r>
        <w:t xml:space="preserve">The Resource-Based View (RBV) theory is used to describe competitive </w:t>
      </w:r>
      <w:r w:rsidR="00DB33CC">
        <w:t>advantages</w:t>
      </w:r>
      <w:r>
        <w:t xml:space="preserve"> in terms of the multi-dimensional resources and capabilities of companies, which are valuable, rare, imperfectly imitable and imperfectly substitutable. It applies to EverAfter Weddings because one of the factors in determining the level of service for the business may be less about the physical assets, and more about the relationship, knowledge and capabilities. Service capabilities and digital </w:t>
      </w:r>
      <w:r>
        <w:lastRenderedPageBreak/>
        <w:t xml:space="preserve">capabilities are crucial to firm performance, as </w:t>
      </w:r>
      <w:r w:rsidR="00DB33CC">
        <w:t>emphasized</w:t>
      </w:r>
      <w:r>
        <w:t xml:space="preserve"> by Davies </w:t>
      </w:r>
      <w:r>
        <w:rPr>
          <w:i/>
          <w:iCs/>
        </w:rPr>
        <w:t>et al</w:t>
      </w:r>
      <w:r>
        <w:t xml:space="preserve">. (2023), and brand capital is important to achieving competitive advantage, as </w:t>
      </w:r>
      <w:r w:rsidR="00DB33CC">
        <w:t>emphasized</w:t>
      </w:r>
      <w:r>
        <w:t xml:space="preserve"> by Bakashaba and Bindeeba (2025). However, Peñarroya-Farell and Miralles (2022) show how companies may need to change their resources and business models if the external conditions change. Therefore, RBV is a valuable tool for existing capabilities evaluation as well as evaluating what capabilities </w:t>
      </w:r>
      <w:proofErr w:type="gramStart"/>
      <w:r>
        <w:t>have to</w:t>
      </w:r>
      <w:proofErr w:type="gramEnd"/>
      <w:r>
        <w:t xml:space="preserve"> be acquired by EverAfter.</w:t>
      </w:r>
    </w:p>
    <w:p w14:paraId="359526A8" w14:textId="77777777" w:rsidR="00AD1DFD" w:rsidRDefault="00000000">
      <w:pPr>
        <w:pStyle w:val="Heading3"/>
        <w:spacing w:before="360"/>
        <w:rPr>
          <w:b/>
          <w:bCs/>
          <w:color w:val="000000"/>
          <w:sz w:val="24"/>
          <w:szCs w:val="24"/>
        </w:rPr>
      </w:pPr>
      <w:bookmarkStart w:id="7" w:name="_h5lh6rh311s5" w:colFirst="0" w:colLast="0"/>
      <w:bookmarkEnd w:id="7"/>
      <w:r>
        <w:rPr>
          <w:b/>
          <w:bCs/>
          <w:color w:val="000000"/>
          <w:sz w:val="24"/>
          <w:szCs w:val="24"/>
        </w:rPr>
        <w:t>4.3.2 Application to EverAfter</w:t>
      </w:r>
    </w:p>
    <w:p w14:paraId="35F8BE18" w14:textId="359135CC" w:rsidR="00AD1DFD" w:rsidRDefault="00000000">
      <w:pPr>
        <w:spacing w:before="240" w:after="240"/>
      </w:pPr>
      <w:r>
        <w:t xml:space="preserve">RBV can be used to guide EverAfter in the following ways: It could be based on the proposed customer relationships, supplier partnerships, expertise in event management, digital capacity, brand reputation and knowledge of the service. In 2023, Davies </w:t>
      </w:r>
      <w:r>
        <w:rPr>
          <w:i/>
          <w:iCs/>
        </w:rPr>
        <w:t>et al</w:t>
      </w:r>
      <w:r>
        <w:t xml:space="preserve">. highlight the importance of both the ‘digital skills’ and ‘service capabilities', which EverAfter aims to combine with professional planning in its integration. Likewise, Bakashaba and Bindeeba (2025) highlight branding's role for </w:t>
      </w:r>
      <w:r w:rsidR="00DB33CC">
        <w:t>digitally oriented</w:t>
      </w:r>
      <w:r>
        <w:t xml:space="preserve"> SMEs. Thonglor, Chotisarn and Phuthong (2026), however, highlight the synergy between human and AI and the importance of open innovation, to which they attribute the idea that people should leverage </w:t>
      </w:r>
      <w:r w:rsidR="00DB33CC">
        <w:t>AI,</w:t>
      </w:r>
      <w:r>
        <w:t xml:space="preserve"> but human skills should not be overlooked. So, EverAfter's advantage lies with the ability to join tailored, human service to trusted supplier relationships and suitable digital skills.</w:t>
      </w:r>
    </w:p>
    <w:p w14:paraId="22A16800" w14:textId="77777777" w:rsidR="00AD1DFD" w:rsidRDefault="00000000">
      <w:pPr>
        <w:pStyle w:val="Heading2"/>
        <w:keepNext w:val="0"/>
        <w:keepLines w:val="0"/>
        <w:spacing w:after="80"/>
        <w:rPr>
          <w:b/>
          <w:bCs/>
          <w:sz w:val="26"/>
          <w:szCs w:val="26"/>
        </w:rPr>
      </w:pPr>
      <w:bookmarkStart w:id="8" w:name="_atn7c7lzzioq" w:colFirst="0" w:colLast="0"/>
      <w:bookmarkEnd w:id="8"/>
      <w:r>
        <w:rPr>
          <w:b/>
          <w:bCs/>
          <w:sz w:val="26"/>
          <w:szCs w:val="26"/>
        </w:rPr>
        <w:t>4.4 SERVQUAL</w:t>
      </w:r>
    </w:p>
    <w:p w14:paraId="251F9434" w14:textId="77777777" w:rsidR="00AD1DFD" w:rsidRDefault="00000000">
      <w:pPr>
        <w:pStyle w:val="Heading3"/>
        <w:spacing w:before="360"/>
        <w:rPr>
          <w:b/>
          <w:bCs/>
          <w:color w:val="000000"/>
          <w:sz w:val="24"/>
          <w:szCs w:val="24"/>
        </w:rPr>
      </w:pPr>
      <w:bookmarkStart w:id="9" w:name="_ewg5n936v9qo" w:colFirst="0" w:colLast="0"/>
      <w:bookmarkEnd w:id="9"/>
      <w:r>
        <w:rPr>
          <w:b/>
          <w:bCs/>
          <w:color w:val="000000"/>
          <w:sz w:val="24"/>
          <w:szCs w:val="24"/>
        </w:rPr>
        <w:t>4.4.1 Explanation</w:t>
      </w:r>
    </w:p>
    <w:p w14:paraId="47855E51" w14:textId="77777777" w:rsidR="00AD1DFD" w:rsidRDefault="00000000">
      <w:pPr>
        <w:spacing w:before="240" w:after="240"/>
      </w:pPr>
      <w:r>
        <w:t xml:space="preserve">A SERVQUAL scale is used to assess the quality of service, based on the service's reliability, responsiveness, assurance, empathy and tangibles. The role of this is highlighted in studies by Jonkisz </w:t>
      </w:r>
      <w:r>
        <w:rPr>
          <w:i/>
          <w:iCs/>
        </w:rPr>
        <w:t>et al</w:t>
      </w:r>
      <w:r>
        <w:t xml:space="preserve"> (2022) and by Alemu (2023) in the context of the assessment of conventional service quality, and its adaptability to other contexts of service. Sumi and Kabir (2021), however, go one step further in its application to electronic services, suggesting that digital exchanges have become more a part of the service quality domain. SERVQUAL, as such, offers an appropriate benchmark for the evaluation of service delivery, both in person and with the use of technology, for EverAfter Weddings.</w:t>
      </w:r>
    </w:p>
    <w:p w14:paraId="62801194" w14:textId="77777777" w:rsidR="00AD1DFD" w:rsidRDefault="00000000">
      <w:pPr>
        <w:pStyle w:val="Heading3"/>
        <w:spacing w:before="360"/>
        <w:rPr>
          <w:b/>
          <w:bCs/>
          <w:color w:val="000000"/>
          <w:sz w:val="24"/>
          <w:szCs w:val="24"/>
        </w:rPr>
      </w:pPr>
      <w:bookmarkStart w:id="10" w:name="_bx87vh3ew69s" w:colFirst="0" w:colLast="0"/>
      <w:bookmarkEnd w:id="10"/>
      <w:r>
        <w:rPr>
          <w:b/>
          <w:bCs/>
          <w:color w:val="000000"/>
          <w:sz w:val="24"/>
          <w:szCs w:val="24"/>
        </w:rPr>
        <w:lastRenderedPageBreak/>
        <w:t>4.4.2 Relevance and Critical Evaluation</w:t>
      </w:r>
    </w:p>
    <w:p w14:paraId="662F57E5" w14:textId="77777777" w:rsidR="00AD1DFD" w:rsidRDefault="00000000">
      <w:pPr>
        <w:spacing w:before="240" w:after="240"/>
      </w:pPr>
      <w:r>
        <w:t xml:space="preserve">SERVQUAL can be used by EverAfter to determine the impact of reliability, responsiveness, assurance and empathy on customer trust, satisfaction and recommendations. But its traditional size might not represent the emotionality and individuality of marriage services. For digital services, it's applicable as Sumi and Kabir (2021) show, and for more traditional services, assessment as does Jonkisz </w:t>
      </w:r>
      <w:r>
        <w:rPr>
          <w:i/>
          <w:iCs/>
        </w:rPr>
        <w:t>et al</w:t>
      </w:r>
      <w:r>
        <w:t xml:space="preserve"> (2022). Thus, it is essential for EverAfter to tailor SERVQUAL to make it a hybrid between human interaction and personalised planning and digital convenience instead of applying it in a rigid manner.</w:t>
      </w:r>
    </w:p>
    <w:p w14:paraId="414BD311" w14:textId="77777777" w:rsidR="00AD1DFD" w:rsidRDefault="00000000">
      <w:pPr>
        <w:pStyle w:val="Heading2"/>
        <w:keepNext w:val="0"/>
        <w:keepLines w:val="0"/>
        <w:spacing w:before="280" w:after="80"/>
        <w:rPr>
          <w:b/>
          <w:bCs/>
          <w:sz w:val="26"/>
          <w:szCs w:val="26"/>
        </w:rPr>
      </w:pPr>
      <w:bookmarkStart w:id="11" w:name="_nwzi6h444vw4" w:colFirst="0" w:colLast="0"/>
      <w:bookmarkEnd w:id="11"/>
      <w:r>
        <w:rPr>
          <w:b/>
          <w:bCs/>
          <w:sz w:val="26"/>
          <w:szCs w:val="26"/>
        </w:rPr>
        <w:t>4.5 Critical Theoretical Framework</w:t>
      </w:r>
    </w:p>
    <w:p w14:paraId="14ED1C14" w14:textId="47A0692A" w:rsidR="00AD1DFD" w:rsidRDefault="00000000">
      <w:pPr>
        <w:spacing w:before="240" w:after="240"/>
      </w:pPr>
      <w:r>
        <w:t xml:space="preserve">The frameworks chosen </w:t>
      </w:r>
      <w:r w:rsidR="00DB33CC">
        <w:t>to have</w:t>
      </w:r>
      <w:r>
        <w:t xml:space="preserve"> different perspectives, but they focus on various aspects. With the technological orientation of EverAfter, this study shows that value can be brought to the use of digital technologies by coordinating them, addressing what Feng, Wang and Zhao (2025) call coordinated mechanisms. On the other side of the coin, Halim </w:t>
      </w:r>
      <w:r>
        <w:rPr>
          <w:i/>
          <w:iCs/>
        </w:rPr>
        <w:t>et al</w:t>
      </w:r>
      <w:r>
        <w:t>. (2025) find that service quality impacts satisfaction and purchasing intention, which is congruent with the service orientation and service quality of EverAfter. Fakieh, AL-Malaise AL-Ghamdi and Ragab (2022) indicate that the Business Model Canvas can be utilised for business-model development, yet its business focus might not account for broader competitive elements. Hence, the incorporation of RBV and SERVQUAL makes it easier to have a wider foundation for assessing the ability of EverAfter, customer value, external environment, competition and business model.</w:t>
      </w:r>
    </w:p>
    <w:p w14:paraId="675AEA21" w14:textId="469CF695" w:rsidR="00AD1DFD" w:rsidRDefault="00000000">
      <w:pPr>
        <w:pStyle w:val="Heading2"/>
        <w:spacing w:after="80"/>
        <w:rPr>
          <w:b/>
          <w:bCs/>
          <w:sz w:val="26"/>
          <w:szCs w:val="26"/>
        </w:rPr>
      </w:pPr>
      <w:bookmarkStart w:id="12" w:name="_s13fox1cvzm7" w:colFirst="0" w:colLast="0"/>
      <w:bookmarkEnd w:id="12"/>
      <w:r>
        <w:rPr>
          <w:b/>
          <w:bCs/>
          <w:sz w:val="26"/>
          <w:szCs w:val="26"/>
        </w:rPr>
        <w:t xml:space="preserve">4.6 Critical Synthesis of </w:t>
      </w:r>
      <w:r w:rsidR="00DB33CC">
        <w:rPr>
          <w:b/>
          <w:bCs/>
          <w:sz w:val="26"/>
          <w:szCs w:val="26"/>
        </w:rPr>
        <w:t>Literature</w:t>
      </w:r>
    </w:p>
    <w:p w14:paraId="25D4DD0A" w14:textId="7E180FAC" w:rsidR="00AD1DFD" w:rsidRDefault="00000000">
      <w:pPr>
        <w:spacing w:before="240" w:after="240"/>
      </w:pPr>
      <w:r>
        <w:t xml:space="preserve">Complementary views on experiences of marriages, </w:t>
      </w:r>
      <w:r w:rsidR="00DB33CC">
        <w:t>personalization</w:t>
      </w:r>
      <w:r>
        <w:t xml:space="preserve">, digital competencies and service levels can be found in the literature. The multi-faceted tourism value of weddings is stressed by Pereira </w:t>
      </w:r>
      <w:r>
        <w:rPr>
          <w:i/>
          <w:iCs/>
        </w:rPr>
        <w:t>et al</w:t>
      </w:r>
      <w:r>
        <w:t xml:space="preserve">. (2022), and </w:t>
      </w:r>
      <w:r w:rsidR="00DB33CC">
        <w:t>customized</w:t>
      </w:r>
      <w:r>
        <w:t xml:space="preserve"> wedding consumption is pointed out by Wang, Liu and Li (2024). This is expanded upon by Hardcastle, Vorster and Brown (2025), and Weippert (2024) towards </w:t>
      </w:r>
      <w:r w:rsidR="00DB33CC">
        <w:t>customized</w:t>
      </w:r>
      <w:r>
        <w:t xml:space="preserve"> digital experiences. Davies </w:t>
      </w:r>
      <w:r>
        <w:rPr>
          <w:i/>
          <w:iCs/>
        </w:rPr>
        <w:t>et al</w:t>
      </w:r>
      <w:r>
        <w:t xml:space="preserve">. (2023) also underscore the significance of digital skills, brand capital and a combination of people and AI. Bakashaba and Bindeeba (2025) and Thonglor, Chotisarn and Phuthong (2026) show this too. Other works of SERVQUAL consolidate the quality of service, and other works such as those of Feng, Wang and </w:t>
      </w:r>
      <w:r>
        <w:lastRenderedPageBreak/>
        <w:t xml:space="preserve">Zhao (2025), Halim </w:t>
      </w:r>
      <w:r>
        <w:rPr>
          <w:i/>
          <w:iCs/>
        </w:rPr>
        <w:t>et al</w:t>
      </w:r>
      <w:r>
        <w:t xml:space="preserve">. (2025) and Fakieh, AL-Malaise AL-Ghamdi and Ragab (2022) </w:t>
      </w:r>
      <w:r w:rsidR="00DB33CC">
        <w:t>emphasis</w:t>
      </w:r>
      <w:r>
        <w:t xml:space="preserve"> digital value, satisfaction and business-model development.</w:t>
      </w:r>
    </w:p>
    <w:p w14:paraId="7230956E" w14:textId="77777777" w:rsidR="00AD1DFD" w:rsidRDefault="00000000">
      <w:pPr>
        <w:pStyle w:val="Heading2"/>
        <w:spacing w:after="80"/>
        <w:rPr>
          <w:b/>
          <w:bCs/>
          <w:sz w:val="26"/>
          <w:szCs w:val="26"/>
        </w:rPr>
      </w:pPr>
      <w:bookmarkStart w:id="13" w:name="_622sd410sz69" w:colFirst="0" w:colLast="0"/>
      <w:bookmarkEnd w:id="13"/>
      <w:r>
        <w:rPr>
          <w:b/>
          <w:bCs/>
          <w:sz w:val="26"/>
          <w:szCs w:val="26"/>
        </w:rPr>
        <w:t>4.7 Literature Gap</w:t>
      </w:r>
    </w:p>
    <w:p w14:paraId="4CE1A422" w14:textId="1F4314DC" w:rsidR="00AD1DFD" w:rsidRDefault="00000000">
      <w:pPr>
        <w:spacing w:before="240" w:after="240"/>
      </w:pPr>
      <w:r>
        <w:t xml:space="preserve">Despite those contributions, the body of literature still lacks cohesion as they are scattered in the fields of tourism, </w:t>
      </w:r>
      <w:r w:rsidR="00DB33CC">
        <w:t>customized</w:t>
      </w:r>
      <w:r>
        <w:t xml:space="preserve"> consumption, digital customer journeys, SME capabilities, service quality and business-model development. Pereira </w:t>
      </w:r>
      <w:r>
        <w:rPr>
          <w:i/>
          <w:iCs/>
        </w:rPr>
        <w:t>et al</w:t>
      </w:r>
      <w:r>
        <w:t xml:space="preserve">. (2022) focus on tourism impacts, whereas Wang, Liu and Li (2024) take an interest in </w:t>
      </w:r>
      <w:r w:rsidR="00DB33CC">
        <w:t>customized</w:t>
      </w:r>
      <w:r>
        <w:t xml:space="preserve"> wedding products and planning services. Likewise, Hardcastle </w:t>
      </w:r>
      <w:r>
        <w:rPr>
          <w:i/>
          <w:iCs/>
        </w:rPr>
        <w:t>et al</w:t>
      </w:r>
      <w:r>
        <w:t xml:space="preserve">. (2025), Weippert (2024) and Davies </w:t>
      </w:r>
      <w:r>
        <w:rPr>
          <w:i/>
          <w:iCs/>
        </w:rPr>
        <w:t>et al</w:t>
      </w:r>
      <w:r>
        <w:t xml:space="preserve">. (2023) focus on digital </w:t>
      </w:r>
      <w:r w:rsidR="00DB33CC">
        <w:t>personalization</w:t>
      </w:r>
      <w:r>
        <w:t xml:space="preserve"> and capabilities without taking ‘London's wedding industry' into consideration. As a result, only a few studies consider aspects of </w:t>
      </w:r>
      <w:r w:rsidR="00DB33CC">
        <w:t>personalization</w:t>
      </w:r>
      <w:r>
        <w:t xml:space="preserve">, digital skills, service quality and business model development </w:t>
      </w:r>
      <w:proofErr w:type="gramStart"/>
      <w:r>
        <w:t>in order to</w:t>
      </w:r>
      <w:proofErr w:type="gramEnd"/>
      <w:r>
        <w:t xml:space="preserve"> test the commercial feasibility of a personalised service business like personalised wedding planning, including its London-based version – EverAfter Weddings.</w:t>
      </w:r>
    </w:p>
    <w:p w14:paraId="076279E8" w14:textId="77777777" w:rsidR="00AD1DFD" w:rsidRDefault="00AD1DFD"/>
    <w:p w14:paraId="67EB6CAE" w14:textId="77777777" w:rsidR="00AD1DFD" w:rsidRDefault="00000000">
      <w:pPr>
        <w:pStyle w:val="Heading1"/>
        <w:keepNext w:val="0"/>
        <w:keepLines w:val="0"/>
        <w:spacing w:before="480"/>
        <w:rPr>
          <w:sz w:val="46"/>
          <w:szCs w:val="46"/>
        </w:rPr>
      </w:pPr>
      <w:bookmarkStart w:id="14" w:name="_5sh54i758etd" w:colFirst="0" w:colLast="0"/>
      <w:bookmarkEnd w:id="14"/>
      <w:r>
        <w:br w:type="page"/>
      </w:r>
    </w:p>
    <w:p w14:paraId="4DB54047" w14:textId="77777777" w:rsidR="00AD1DFD" w:rsidRDefault="00000000">
      <w:pPr>
        <w:pStyle w:val="Heading1"/>
        <w:keepNext w:val="0"/>
        <w:keepLines w:val="0"/>
        <w:spacing w:before="480"/>
      </w:pPr>
      <w:bookmarkStart w:id="15" w:name="_sfkym6nqllox" w:colFirst="0" w:colLast="0"/>
      <w:bookmarkEnd w:id="15"/>
      <w:r>
        <w:lastRenderedPageBreak/>
        <w:t>5. Methodology</w:t>
      </w:r>
    </w:p>
    <w:p w14:paraId="3D6FC14E" w14:textId="77777777" w:rsidR="00AD1DFD" w:rsidRDefault="00000000">
      <w:pPr>
        <w:pStyle w:val="Heading2"/>
        <w:spacing w:after="80"/>
        <w:rPr>
          <w:b/>
          <w:bCs/>
          <w:sz w:val="26"/>
          <w:szCs w:val="26"/>
        </w:rPr>
      </w:pPr>
      <w:bookmarkStart w:id="16" w:name="_nqr9e7xbyg93" w:colFirst="0" w:colLast="0"/>
      <w:bookmarkEnd w:id="16"/>
      <w:r>
        <w:rPr>
          <w:b/>
          <w:bCs/>
          <w:sz w:val="26"/>
          <w:szCs w:val="26"/>
        </w:rPr>
        <w:t>5.1 Research Philosophy — Interpretivism</w:t>
      </w:r>
    </w:p>
    <w:p w14:paraId="03579B31" w14:textId="3EB94BBE" w:rsidR="00AD1DFD" w:rsidRDefault="00000000">
      <w:pPr>
        <w:spacing w:before="240" w:after="240"/>
      </w:pPr>
      <w:r>
        <w:t xml:space="preserve">However, interpretivism is concerned with the understanding of meanings, perception and experiences instead of measuring behavior objectively (Pervin and Mokhtar, 2022). For EverAfter Weddings, this is as it should be, since there are many varying and context-specific notions of what constitutes a </w:t>
      </w:r>
      <w:r w:rsidR="00DB33CC">
        <w:t>customized</w:t>
      </w:r>
      <w:r>
        <w:t xml:space="preserve"> wedding. Because of the different focus of customer perception of convenience, </w:t>
      </w:r>
      <w:r w:rsidR="00DB33CC">
        <w:t>personalization</w:t>
      </w:r>
      <w:r>
        <w:t xml:space="preserve"> and service quality, interpretivism facilitates considerations of non-measurable relationships different from positivism that focus on measurable relationships. Secondary evidence can be used to look at these views without gathering primary participant information. EverAfter had to develop a ‘proposal' based on subjective meanings, perceptions and experiences of customer meanings related to </w:t>
      </w:r>
      <w:r w:rsidR="00DB33CC">
        <w:t>personalization</w:t>
      </w:r>
      <w:r>
        <w:t xml:space="preserve">, convenience and service quality, which called for interpretivism. It is not a positivist </w:t>
      </w:r>
      <w:r w:rsidR="00DB33CC">
        <w:t>approach but</w:t>
      </w:r>
      <w:r>
        <w:t xml:space="preserve"> rather gave prominence to the contextual interpretation of the different preferences and expectations of weddings.</w:t>
      </w:r>
    </w:p>
    <w:p w14:paraId="52E94FB6" w14:textId="77777777" w:rsidR="00AD1DFD" w:rsidRDefault="00000000">
      <w:pPr>
        <w:pStyle w:val="Heading2"/>
        <w:spacing w:after="80"/>
        <w:rPr>
          <w:b/>
          <w:bCs/>
          <w:sz w:val="26"/>
          <w:szCs w:val="26"/>
        </w:rPr>
      </w:pPr>
      <w:bookmarkStart w:id="17" w:name="_w9zbw9ykfsdc" w:colFirst="0" w:colLast="0"/>
      <w:bookmarkEnd w:id="17"/>
      <w:r>
        <w:rPr>
          <w:b/>
          <w:bCs/>
          <w:sz w:val="26"/>
          <w:szCs w:val="26"/>
        </w:rPr>
        <w:t>5.2 Research Approach — Inductive</w:t>
      </w:r>
    </w:p>
    <w:p w14:paraId="5BA3D9B3" w14:textId="6E066CB6" w:rsidR="00AD1DFD" w:rsidRDefault="00000000">
      <w:pPr>
        <w:spacing w:before="240" w:after="240"/>
      </w:pPr>
      <w:r>
        <w:t xml:space="preserve">An inductive approach helps build more comprehensive understandings from the patterns that emerge within and from already existing evidence (Laari, 2025). Induction starts with different themes that emerge from </w:t>
      </w:r>
      <w:r w:rsidR="00DB33CC">
        <w:t>literature</w:t>
      </w:r>
      <w:r>
        <w:t xml:space="preserve"> in contrast to deductive research, which is based on pre-determined hypotheses. The methodology is better suited to EverAfter since it is exploring market opportunities and formulating a business proposal that is sellable, rather than testing preconceptions based on statistical modelling. An inductive approach allowed </w:t>
      </w:r>
      <w:r w:rsidR="00DB33CC">
        <w:t>generalizations</w:t>
      </w:r>
      <w:r>
        <w:t xml:space="preserve"> to be drawn from patterns and comparative evidence from the literature available. It directed customer expectations, market opportunities and competitive concerns to guide EverAfter's business proposal, eliminating the need to adhere to any jumping conclusions about what to do.</w:t>
      </w:r>
    </w:p>
    <w:p w14:paraId="37E3870A" w14:textId="77777777" w:rsidR="00AD1DFD" w:rsidRDefault="00000000">
      <w:pPr>
        <w:pStyle w:val="Heading2"/>
        <w:spacing w:after="80"/>
        <w:rPr>
          <w:b/>
          <w:bCs/>
          <w:sz w:val="26"/>
          <w:szCs w:val="26"/>
        </w:rPr>
      </w:pPr>
      <w:bookmarkStart w:id="18" w:name="_hs3sl172hqqv" w:colFirst="0" w:colLast="0"/>
      <w:bookmarkEnd w:id="18"/>
      <w:r>
        <w:rPr>
          <w:b/>
          <w:bCs/>
          <w:sz w:val="26"/>
          <w:szCs w:val="26"/>
        </w:rPr>
        <w:t>5.3 Research Design — Qualitative Secondary Research</w:t>
      </w:r>
    </w:p>
    <w:p w14:paraId="2EC04A66" w14:textId="77777777" w:rsidR="00AD1DFD" w:rsidRDefault="00000000">
      <w:pPr>
        <w:spacing w:before="240" w:after="240"/>
      </w:pPr>
      <w:r>
        <w:t xml:space="preserve">Qualitative secondary designs do not involve new collection of data from participants, but instead they derive insight from what has already been collected in the literature, either by researchers or </w:t>
      </w:r>
      <w:r>
        <w:lastRenderedPageBreak/>
        <w:t>practitioners, in academic or industry and/or market settings (Cartwright and Igudia, 2024). Primary research can offer direct feedback from customers, whereas secondary research will allow for broader findings on existing research, trends in the market and competitors' methods. This design is suitable for EverAfter as it allows for customer expectation evaluation, service development/commercial opportunities and fits with the approved ethics design.</w:t>
      </w:r>
    </w:p>
    <w:p w14:paraId="21F2F4A3" w14:textId="77777777" w:rsidR="00AD1DFD" w:rsidRDefault="00000000">
      <w:pPr>
        <w:pStyle w:val="Heading2"/>
        <w:spacing w:after="80"/>
        <w:rPr>
          <w:b/>
          <w:bCs/>
          <w:sz w:val="26"/>
          <w:szCs w:val="26"/>
        </w:rPr>
      </w:pPr>
      <w:bookmarkStart w:id="19" w:name="_f41xapoa60pa" w:colFirst="0" w:colLast="0"/>
      <w:bookmarkEnd w:id="19"/>
      <w:r>
        <w:rPr>
          <w:b/>
          <w:bCs/>
          <w:sz w:val="26"/>
          <w:szCs w:val="26"/>
        </w:rPr>
        <w:t>5.4 Data Collection and Sources</w:t>
      </w:r>
    </w:p>
    <w:p w14:paraId="009FD2EE" w14:textId="6749D66A" w:rsidR="00AD1DFD" w:rsidRDefault="00000000">
      <w:pPr>
        <w:spacing w:before="240" w:after="240"/>
      </w:pPr>
      <w:r>
        <w:t xml:space="preserve">The secondary evidence was sourced from such as Google Scholar, Scopus, ScienceDirect, Emerald Insight and SpringerLink; government publications, Professional bodies, Industry reports and credible business sources. Academic evidence was prioritized to support the development of a theoretical framework and </w:t>
      </w:r>
      <w:r w:rsidR="00DB33CC">
        <w:t>industry,</w:t>
      </w:r>
      <w:r>
        <w:t xml:space="preserve"> and professional evidence </w:t>
      </w:r>
      <w:proofErr w:type="gramStart"/>
      <w:r>
        <w:t>were</w:t>
      </w:r>
      <w:proofErr w:type="gramEnd"/>
      <w:r>
        <w:t xml:space="preserve"> used to give a salient backdrop to the freshness of the market. They were different from primary sources, as they allowed wider comparison of the existing findings, without getting actively involved with couples from London. Still, the quality of methods used and the intent behind the publications, as well as commercial interests, might influence the level of reliability (Gillings and Jaworska, 2025). Thus, a thorough evaluation of their credibility, relevance, recency and connection to the research goals was carried out prior to inclusion of the sources.</w:t>
      </w:r>
    </w:p>
    <w:p w14:paraId="0E6BB367" w14:textId="77777777" w:rsidR="00AD1DFD" w:rsidRDefault="00000000">
      <w:pPr>
        <w:pStyle w:val="Heading2"/>
        <w:keepNext w:val="0"/>
        <w:keepLines w:val="0"/>
        <w:spacing w:before="280" w:after="80"/>
        <w:rPr>
          <w:b/>
          <w:bCs/>
          <w:sz w:val="26"/>
          <w:szCs w:val="26"/>
        </w:rPr>
      </w:pPr>
      <w:bookmarkStart w:id="20" w:name="_uy1t8qdly1w7" w:colFirst="0" w:colLast="0"/>
      <w:bookmarkEnd w:id="20"/>
      <w:r>
        <w:rPr>
          <w:b/>
          <w:bCs/>
          <w:sz w:val="26"/>
          <w:szCs w:val="26"/>
        </w:rPr>
        <w:t>5.5 Inclusion and Exclusion Criteria</w:t>
      </w:r>
    </w:p>
    <w:p w14:paraId="54CE4013" w14:textId="77777777" w:rsidR="00AD1DFD" w:rsidRDefault="00000000">
      <w:pPr>
        <w:rPr>
          <w:b/>
          <w:bCs/>
        </w:rPr>
      </w:pPr>
      <w:r>
        <w:rPr>
          <w:b/>
          <w:bCs/>
        </w:rPr>
        <w:t>Table 1. Inclusion and Exclusion</w:t>
      </w:r>
    </w:p>
    <w:tbl>
      <w:tblPr>
        <w:tblStyle w:val="a"/>
        <w:tblW w:w="92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35"/>
        <w:gridCol w:w="7970"/>
      </w:tblGrid>
      <w:tr w:rsidR="00AD1DFD" w14:paraId="4221BF60"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7CED17" w14:textId="77777777" w:rsidR="00AD1DFD" w:rsidRDefault="00000000">
            <w:pPr>
              <w:spacing w:line="240" w:lineRule="auto"/>
              <w:jc w:val="center"/>
            </w:pPr>
            <w:r>
              <w:rPr>
                <w:b/>
                <w:bCs/>
              </w:rPr>
              <w:t>Criterion</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02E6C" w14:textId="77777777" w:rsidR="00AD1DFD" w:rsidRDefault="00000000">
            <w:pPr>
              <w:spacing w:line="240" w:lineRule="auto"/>
              <w:jc w:val="center"/>
            </w:pPr>
            <w:r>
              <w:rPr>
                <w:b/>
                <w:bCs/>
              </w:rPr>
              <w:t>Inclusion / Exclusion</w:t>
            </w:r>
          </w:p>
        </w:tc>
      </w:tr>
      <w:tr w:rsidR="00AD1DFD" w14:paraId="6BF70FC8"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78D0F" w14:textId="77777777" w:rsidR="00AD1DFD" w:rsidRDefault="00000000">
            <w:pPr>
              <w:spacing w:line="240" w:lineRule="auto"/>
            </w:pPr>
            <w:r>
              <w:t>Sources</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AB415B" w14:textId="77777777" w:rsidR="00AD1DFD" w:rsidRDefault="00000000">
            <w:pPr>
              <w:spacing w:line="240" w:lineRule="auto"/>
            </w:pPr>
            <w:r>
              <w:t>Use peer-reviewed, industry, government and professional sources; not blogs or unsupported sources.</w:t>
            </w:r>
          </w:p>
        </w:tc>
      </w:tr>
      <w:tr w:rsidR="00AD1DFD" w14:paraId="61930197"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54FB1" w14:textId="77777777" w:rsidR="00AD1DFD" w:rsidRDefault="00000000">
            <w:pPr>
              <w:spacing w:line="240" w:lineRule="auto"/>
            </w:pPr>
            <w:r>
              <w:t>Date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ED94C" w14:textId="7F04B304" w:rsidR="00AD1DFD" w:rsidRDefault="00000000">
            <w:pPr>
              <w:spacing w:line="240" w:lineRule="auto"/>
            </w:pPr>
            <w:r>
              <w:t xml:space="preserve">Mainly 2019–2026; retain older seminal sources </w:t>
            </w:r>
            <w:r w:rsidR="00DB33CC">
              <w:t>were</w:t>
            </w:r>
            <w:r>
              <w:t xml:space="preserve"> essential.</w:t>
            </w:r>
          </w:p>
        </w:tc>
      </w:tr>
      <w:tr w:rsidR="00AD1DFD" w14:paraId="0BFC5D3C"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0E2EF" w14:textId="77777777" w:rsidR="00AD1DFD" w:rsidRDefault="00000000">
            <w:pPr>
              <w:spacing w:line="240" w:lineRule="auto"/>
            </w:pPr>
            <w:r>
              <w:t>Language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EC5F0" w14:textId="77777777" w:rsidR="00AD1DFD" w:rsidRDefault="00000000">
            <w:pPr>
              <w:spacing w:line="240" w:lineRule="auto"/>
            </w:pPr>
            <w:r>
              <w:t>English-language publications only.</w:t>
            </w:r>
          </w:p>
        </w:tc>
      </w:tr>
      <w:tr w:rsidR="00AD1DFD" w14:paraId="0B6190D7"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91807D" w14:textId="77777777" w:rsidR="00AD1DFD" w:rsidRDefault="00000000">
            <w:pPr>
              <w:spacing w:line="240" w:lineRule="auto"/>
            </w:pPr>
            <w:r>
              <w:t>Relevance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B365E" w14:textId="77777777" w:rsidR="00AD1DFD" w:rsidRDefault="00000000">
            <w:pPr>
              <w:spacing w:line="240" w:lineRule="auto"/>
            </w:pPr>
            <w:r>
              <w:t>Evidence from handbag or wedding events in the UK or London covering the wedding and event sector only.</w:t>
            </w:r>
          </w:p>
        </w:tc>
      </w:tr>
      <w:tr w:rsidR="00AD1DFD" w14:paraId="26DD9140"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E2FAB" w14:textId="77777777" w:rsidR="00AD1DFD" w:rsidRDefault="00000000">
            <w:pPr>
              <w:spacing w:line="240" w:lineRule="auto"/>
            </w:pPr>
            <w:r>
              <w:lastRenderedPageBreak/>
              <w:t>Quality</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77895E" w14:textId="77777777" w:rsidR="00AD1DFD" w:rsidRDefault="00000000">
            <w:pPr>
              <w:spacing w:line="240" w:lineRule="auto"/>
            </w:pPr>
            <w:r>
              <w:t>Use reliable, credible sources – not duplications or unwarranted sources of information.</w:t>
            </w:r>
          </w:p>
        </w:tc>
      </w:tr>
      <w:tr w:rsidR="00AD1DFD" w14:paraId="313CFBD3"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19FD46" w14:textId="77777777" w:rsidR="00AD1DFD" w:rsidRDefault="00000000">
            <w:pPr>
              <w:spacing w:line="240" w:lineRule="auto"/>
            </w:pPr>
            <w:r>
              <w:t>Purpose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622AD" w14:textId="77777777" w:rsidR="00AD1DFD" w:rsidRDefault="00000000">
            <w:pPr>
              <w:spacing w:line="240" w:lineRule="auto"/>
            </w:pPr>
            <w:r>
              <w:t>Evidence needs to be used to back up Customer Study, Market Study, Competitor Study or Commercial Viability Study.</w:t>
            </w:r>
          </w:p>
        </w:tc>
      </w:tr>
    </w:tbl>
    <w:p w14:paraId="0B95913E" w14:textId="77777777" w:rsidR="00AD1DFD" w:rsidRDefault="00000000">
      <w:pPr>
        <w:pStyle w:val="Heading2"/>
        <w:spacing w:after="80"/>
        <w:rPr>
          <w:b/>
          <w:bCs/>
          <w:sz w:val="26"/>
          <w:szCs w:val="26"/>
        </w:rPr>
      </w:pPr>
      <w:bookmarkStart w:id="21" w:name="_rj4edju2r80f" w:colFirst="0" w:colLast="0"/>
      <w:bookmarkEnd w:id="21"/>
      <w:r>
        <w:rPr>
          <w:b/>
          <w:bCs/>
          <w:sz w:val="26"/>
          <w:szCs w:val="26"/>
        </w:rPr>
        <w:t>5.6 Data Analysis</w:t>
      </w:r>
    </w:p>
    <w:p w14:paraId="03F1A4DC" w14:textId="363156CE" w:rsidR="00AD1DFD" w:rsidRDefault="00000000">
      <w:pPr>
        <w:spacing w:before="240" w:after="240"/>
      </w:pPr>
      <w:r>
        <w:t xml:space="preserve">A selection of the sources </w:t>
      </w:r>
      <w:r w:rsidR="00DB33CC">
        <w:t>was</w:t>
      </w:r>
      <w:r>
        <w:t xml:space="preserve"> </w:t>
      </w:r>
      <w:r w:rsidR="00DB33CC">
        <w:t>analyzed</w:t>
      </w:r>
      <w:r>
        <w:t xml:space="preserve">, ensuring that the evidence had been deemed to be credible, recent in terms of dates, was in English and it was relevant to wedding planning in the UK/London setting. Academic and industry research was compared to identify matching and conflicting research evidence on the following: customer expectations, market conditions, competition and commercial opportunities. The evidence was then systematically </w:t>
      </w:r>
      <w:r w:rsidR="00DB33CC">
        <w:t>analyzed</w:t>
      </w:r>
      <w:r>
        <w:t xml:space="preserve"> based on external environmental influences, competitive pressures, </w:t>
      </w:r>
      <w:r w:rsidR="00DB33CC">
        <w:t>organizational</w:t>
      </w:r>
      <w:r>
        <w:t xml:space="preserve"> capabilities, service quality requirements, as well as value creation requirements. This guaranteed that the most pertinent evidence was considered in the strategic positioning, value proposition to customers, and overall commercial-viability analysis of EverAfter Weddings. Also, the analysis </w:t>
      </w:r>
      <w:r w:rsidR="00DB33CC">
        <w:t>considered</w:t>
      </w:r>
      <w:r>
        <w:t xml:space="preserve"> the extent to which the findings were relevant to EverAfter Weddings instead of just pertaining to the broader service sector. Evidence from various sources was </w:t>
      </w:r>
      <w:r w:rsidR="00DB33CC">
        <w:t>compared</w:t>
      </w:r>
      <w:r>
        <w:t xml:space="preserve"> for areas of agreement, disagreement and contextual differences. This facilitated reducing individual discretion in the findings and brought a more equitable picture of the needs of the customer, the competitive situation and the business opportunity.</w:t>
      </w:r>
    </w:p>
    <w:p w14:paraId="684E3B46" w14:textId="77777777" w:rsidR="00AD1DFD" w:rsidRDefault="00000000">
      <w:pPr>
        <w:pStyle w:val="Heading2"/>
        <w:spacing w:after="80"/>
        <w:rPr>
          <w:b/>
          <w:bCs/>
          <w:sz w:val="26"/>
          <w:szCs w:val="26"/>
        </w:rPr>
      </w:pPr>
      <w:bookmarkStart w:id="22" w:name="_bm66ratq3z8g" w:colFirst="0" w:colLast="0"/>
      <w:bookmarkEnd w:id="22"/>
      <w:r>
        <w:rPr>
          <w:b/>
          <w:bCs/>
          <w:sz w:val="26"/>
          <w:szCs w:val="26"/>
        </w:rPr>
        <w:t>5.7 Ethical Considerations</w:t>
      </w:r>
    </w:p>
    <w:p w14:paraId="1C44E4D8" w14:textId="77777777" w:rsidR="00AD1DFD" w:rsidRDefault="00000000">
      <w:pPr>
        <w:spacing w:before="240" w:after="240"/>
      </w:pPr>
      <w:r>
        <w:t xml:space="preserve">No human participants or primary data were involved in the study because of its reliance on secondary data. Clear citations, integrity in studying information, plagiarism and source credibility procedures were thus taught as parts of ethical practice. Participant confidentiality does not need to be maintained, although researcher bias is still an issue with this type of research. Research materials are securely and properly managed, according to the requirements of the university. Ethical issues also had to do with providing evidence which may create an ideal situation for the business opportunity, as well as avoiding selection of material that would be counterproductive. </w:t>
      </w:r>
      <w:r>
        <w:lastRenderedPageBreak/>
        <w:t>Sources cited accurately with no change in meaning; sources properly acknowledged for published sources utilised. Confidential or personally identifiable information was not collected. These measures ensured transparency, academic integrity and responsible use of secondary evidence during the development of the proposal for the EverAfter Weddings.</w:t>
      </w:r>
    </w:p>
    <w:p w14:paraId="1A0BE1FA" w14:textId="77777777" w:rsidR="00AD1DFD" w:rsidRDefault="00000000">
      <w:pPr>
        <w:pStyle w:val="Heading2"/>
        <w:spacing w:after="80"/>
        <w:rPr>
          <w:b/>
          <w:bCs/>
          <w:sz w:val="26"/>
          <w:szCs w:val="26"/>
        </w:rPr>
      </w:pPr>
      <w:bookmarkStart w:id="23" w:name="_79ucvexm5aui" w:colFirst="0" w:colLast="0"/>
      <w:bookmarkEnd w:id="23"/>
      <w:r>
        <w:rPr>
          <w:b/>
          <w:bCs/>
          <w:sz w:val="26"/>
          <w:szCs w:val="26"/>
        </w:rPr>
        <w:t>5.8 Methodological Limitations</w:t>
      </w:r>
    </w:p>
    <w:p w14:paraId="54E8ED70" w14:textId="64629E66" w:rsidR="00AD1DFD" w:rsidRDefault="00000000">
      <w:pPr>
        <w:spacing w:before="240" w:after="240"/>
      </w:pPr>
      <w:r>
        <w:t xml:space="preserve">Secondary research </w:t>
      </w:r>
      <w:r w:rsidR="00DB33CC">
        <w:t>enabled us</w:t>
      </w:r>
      <w:r>
        <w:t xml:space="preserve"> to get overall secondary evidence, but </w:t>
      </w:r>
      <w:r w:rsidR="00DB33CC">
        <w:t>it</w:t>
      </w:r>
      <w:r>
        <w:t xml:space="preserve"> can't give first-hand accounts of what a couple did in London. Access to paid industry reports may be limited, and there is restricted competitor (financial) information, thus less commercial assessment. The information from industry sources can be biased, and preferences and attitudes can change, affecting the timeliness of the information. As a result, it is important to have evidence to back up any commercial claims that may have been published, and conclusions can only be drawn from the evidence available.</w:t>
      </w:r>
      <w:r>
        <w:br w:type="page"/>
      </w:r>
    </w:p>
    <w:p w14:paraId="06E9D5AE" w14:textId="77777777" w:rsidR="00AD1DFD" w:rsidRDefault="00000000">
      <w:pPr>
        <w:pStyle w:val="Heading1"/>
      </w:pPr>
      <w:bookmarkStart w:id="24" w:name="_9cuqlnlc512d" w:colFirst="0" w:colLast="0"/>
      <w:bookmarkEnd w:id="24"/>
      <w:r>
        <w:lastRenderedPageBreak/>
        <w:t>References</w:t>
      </w:r>
    </w:p>
    <w:p w14:paraId="53B72E94" w14:textId="01159A7B" w:rsidR="00AD1DFD" w:rsidRDefault="00000000">
      <w:pPr>
        <w:spacing w:after="160"/>
      </w:pPr>
      <w:r>
        <w:t xml:space="preserve">Pereira, L., Mendonça, S., Dias, Á., Costa, R.L.D. and Gonçalves, R., 2022. Impact of destination weddings </w:t>
      </w:r>
      <w:r w:rsidR="00DB33CC">
        <w:t>on</w:t>
      </w:r>
      <w:r>
        <w:t xml:space="preserve"> the tourism economy. International Journal of Economics and Business Research, 23(4), pp.500-526.</w:t>
      </w:r>
      <w:hyperlink r:id="rId7">
        <w:r>
          <w:rPr>
            <w:color w:val="1155CC"/>
            <w:u w:val="single"/>
          </w:rPr>
          <w:t>https://www.researchgate.net/profile/Alvaro-Dias-3/publication/361041736_Impact_of_destination_weddings_in_the_tourism_economy/links/64479731017bc07902da5d88/Impact-of-destination-weddings-in-the-tourism-economy.pdf</w:t>
        </w:r>
      </w:hyperlink>
      <w:r>
        <w:t xml:space="preserve"> </w:t>
      </w:r>
    </w:p>
    <w:p w14:paraId="3582D0B6" w14:textId="77777777" w:rsidR="00AD1DFD" w:rsidRDefault="00000000">
      <w:pPr>
        <w:spacing w:after="160"/>
      </w:pPr>
      <w:r>
        <w:t>Wang, Z., Liu, C. and Li, Z., 2024. Mining customer experiences of hybrid customized cultural fashion: The case of high-end qipaos for weddings. Journal of Theoretical and Applied Electronic Commerce Research, 19(4), pp.3584-3605.</w:t>
      </w:r>
      <w:hyperlink r:id="rId8">
        <w:r>
          <w:rPr>
            <w:color w:val="1155CC"/>
            <w:u w:val="single"/>
          </w:rPr>
          <w:t>https://www.mdpi.com/0718-1876/19/4/174</w:t>
        </w:r>
      </w:hyperlink>
      <w:r>
        <w:t xml:space="preserve"> </w:t>
      </w:r>
    </w:p>
    <w:p w14:paraId="768DB400" w14:textId="77777777" w:rsidR="00AD1DFD" w:rsidRDefault="00000000">
      <w:pPr>
        <w:spacing w:after="160"/>
      </w:pPr>
      <w:r>
        <w:t>Hardcastle, K., Vorster, L. and Brown, D.M., 2025. Understanding customer responses to AI-driven personalized journeys: Impacts on the customer experience. Journal of Advertising, 54(2), pp.176-195.</w:t>
      </w:r>
      <w:hyperlink r:id="rId9">
        <w:r>
          <w:rPr>
            <w:color w:val="1155CC"/>
            <w:u w:val="single"/>
          </w:rPr>
          <w:t>https://www.tandfonline.com/doi/pdf/10.1080/00913367.2025.2460985</w:t>
        </w:r>
      </w:hyperlink>
    </w:p>
    <w:p w14:paraId="353F54B1" w14:textId="22DA9D4A" w:rsidR="00AD1DFD" w:rsidRDefault="00000000">
      <w:pPr>
        <w:spacing w:after="160"/>
      </w:pPr>
      <w:r>
        <w:t xml:space="preserve">Weippert, M., 2024. The scope and intensity of personalised omnichannel customer journeys: a </w:t>
      </w:r>
      <w:r w:rsidR="00DB33CC">
        <w:t>conceptualization</w:t>
      </w:r>
      <w:r>
        <w:t xml:space="preserve"> integrating experts’ and consumers’ perspectives. Journal of Marketing Management, 40(11-12), pp.877-909.</w:t>
      </w:r>
      <w:hyperlink r:id="rId10">
        <w:r>
          <w:rPr>
            <w:color w:val="1155CC"/>
            <w:u w:val="single"/>
          </w:rPr>
          <w:t>https://www.tandfonline.com/doi/pdf/10.1080/0267257X.2024.2388088</w:t>
        </w:r>
      </w:hyperlink>
      <w:r>
        <w:t xml:space="preserve"> </w:t>
      </w:r>
    </w:p>
    <w:p w14:paraId="59A0EB55" w14:textId="77777777" w:rsidR="00AD1DFD" w:rsidRDefault="00000000">
      <w:pPr>
        <w:spacing w:after="160"/>
      </w:pPr>
      <w:r>
        <w:t>Davies, P., Bustinza, O.F., Parry, G. and Jovanovic, M., 2023. Unpacking the relationship between digital capabilities, services capabilities, and firm financial performance: a moderated mediation model. Industrial Marketing Management, 115, pp.1-10.</w:t>
      </w:r>
      <w:hyperlink r:id="rId11">
        <w:r>
          <w:rPr>
            <w:color w:val="1155CC"/>
            <w:u w:val="single"/>
          </w:rPr>
          <w:t>https://www.sciencedirect.com/science/article/pii/S0019850123001645</w:t>
        </w:r>
      </w:hyperlink>
      <w:r>
        <w:t xml:space="preserve"> </w:t>
      </w:r>
    </w:p>
    <w:p w14:paraId="0D70FE57" w14:textId="77777777" w:rsidR="00AD1DFD" w:rsidRDefault="00000000">
      <w:pPr>
        <w:spacing w:after="160"/>
      </w:pPr>
      <w:r>
        <w:t>Bakashaba, R. and Bindeeba, D.S., 2025. Beyond market penetration: leveraging brand capital for competitive advantage in digitally driven SMES in resource-constrained settings. Future Business Journal, 11(1), p.240.</w:t>
      </w:r>
      <w:hyperlink r:id="rId12">
        <w:r>
          <w:rPr>
            <w:color w:val="1155CC"/>
            <w:u w:val="single"/>
          </w:rPr>
          <w:t>https://link.springer.com/content/pdf/10.1186/s43093-025-00663-y.pdf</w:t>
        </w:r>
      </w:hyperlink>
    </w:p>
    <w:p w14:paraId="42D9F6A5" w14:textId="77777777" w:rsidR="00AD1DFD" w:rsidRDefault="00000000">
      <w:pPr>
        <w:spacing w:after="160"/>
      </w:pPr>
      <w:r>
        <w:t>Peñarroya-Farell, M. and Miralles, F., 2022. Business model adaptation to the COVID-19 crisis: Strategic response of the Spanish cultural and creative firms. Journal of Open Innovation: Technology, Market, and Complexity, 8(1), p.39.</w:t>
      </w:r>
      <w:hyperlink r:id="rId13">
        <w:r>
          <w:rPr>
            <w:color w:val="1155CC"/>
            <w:u w:val="single"/>
          </w:rPr>
          <w:t>https://www.sciencedirect.com/science/article/pii/S2199853122010484</w:t>
        </w:r>
      </w:hyperlink>
    </w:p>
    <w:p w14:paraId="3ED7E3C5" w14:textId="77777777" w:rsidR="00AD1DFD" w:rsidRDefault="00000000">
      <w:pPr>
        <w:spacing w:after="160"/>
      </w:pPr>
      <w:r>
        <w:lastRenderedPageBreak/>
        <w:t xml:space="preserve">Thonglor, R., Chotisarn, N. and Phuthong, T., 2026. Unlocking </w:t>
      </w:r>
      <w:proofErr w:type="spellStart"/>
      <w:r>
        <w:t>microtourism</w:t>
      </w:r>
      <w:proofErr w:type="spellEnd"/>
      <w:r>
        <w:t xml:space="preserve"> small and medium-sized enterprises potential: Human–AI synergy and open-innovation pathways to sustainability. Cogent Business &amp; Management, 13(1), p.2698507.</w:t>
      </w:r>
      <w:hyperlink r:id="rId14">
        <w:r>
          <w:rPr>
            <w:color w:val="1155CC"/>
            <w:u w:val="single"/>
          </w:rPr>
          <w:t>https://www.tandfonline.com/doi/pdf/10.1080/23311975.2026.2698507</w:t>
        </w:r>
      </w:hyperlink>
      <w:r>
        <w:t xml:space="preserve"> </w:t>
      </w:r>
    </w:p>
    <w:p w14:paraId="7B49CF82" w14:textId="77777777" w:rsidR="00AD1DFD" w:rsidRDefault="00000000">
      <w:pPr>
        <w:spacing w:after="160"/>
      </w:pPr>
      <w:r>
        <w:t xml:space="preserve">Jonkisz, A., Karniej, P. and Krasowska, D., 2022. The </w:t>
      </w:r>
      <w:proofErr w:type="spellStart"/>
      <w:r>
        <w:t>servqual</w:t>
      </w:r>
      <w:proofErr w:type="spellEnd"/>
      <w:r>
        <w:t xml:space="preserve"> method as an assessment tool of the quality of medical services in selected Asian countries. International journal of environmental research and public health, 19(13), p.7831.</w:t>
      </w:r>
      <w:hyperlink r:id="rId15">
        <w:r>
          <w:rPr>
            <w:color w:val="1155CC"/>
            <w:u w:val="single"/>
          </w:rPr>
          <w:t>https://www.mdpi.com/1660-4601/19/13/7831</w:t>
        </w:r>
      </w:hyperlink>
      <w:r>
        <w:t xml:space="preserve"> </w:t>
      </w:r>
    </w:p>
    <w:p w14:paraId="59AAB15A" w14:textId="77777777" w:rsidR="00AD1DFD" w:rsidRDefault="00000000">
      <w:pPr>
        <w:spacing w:after="160"/>
      </w:pPr>
      <w:r>
        <w:t>Alemu, A., 2023. Assessing service quality in tertiary Education using adapted SERVQUAL scale. Cogent Education, 10(2), p.2259733.</w:t>
      </w:r>
      <w:hyperlink r:id="rId16">
        <w:r>
          <w:rPr>
            <w:color w:val="1155CC"/>
            <w:u w:val="single"/>
          </w:rPr>
          <w:t>https://www.tandfonline.com/doi/pdf/10.1080/2331186X.2023.2259733</w:t>
        </w:r>
      </w:hyperlink>
      <w:r>
        <w:t xml:space="preserve"> </w:t>
      </w:r>
    </w:p>
    <w:p w14:paraId="04629EBE" w14:textId="77777777" w:rsidR="00AD1DFD" w:rsidRDefault="00000000">
      <w:pPr>
        <w:spacing w:after="160"/>
      </w:pPr>
      <w:r>
        <w:t xml:space="preserve">Sumi, R.S. and Kabir, G., 2021. Satisfaction of e-learners with electronic learning service quality using the </w:t>
      </w:r>
      <w:proofErr w:type="spellStart"/>
      <w:r>
        <w:t>servqual</w:t>
      </w:r>
      <w:proofErr w:type="spellEnd"/>
      <w:r>
        <w:t xml:space="preserve"> model. Journal of Open Innovation: Technology, Market, and Complexity, 7(4), p.227. </w:t>
      </w:r>
      <w:hyperlink r:id="rId17">
        <w:r>
          <w:rPr>
            <w:color w:val="1155CC"/>
            <w:u w:val="single"/>
          </w:rPr>
          <w:t>https://www.sciencedirect.com/science/article/pii/S2199853122001676</w:t>
        </w:r>
      </w:hyperlink>
      <w:r>
        <w:t xml:space="preserve"> </w:t>
      </w:r>
    </w:p>
    <w:p w14:paraId="567098B8" w14:textId="77777777" w:rsidR="00AD1DFD" w:rsidRDefault="00000000">
      <w:pPr>
        <w:spacing w:after="160"/>
      </w:pPr>
      <w:r>
        <w:t>Feng, D., Wang, H. and Zhao, L., 2025. Digital technologies for sustainable supply chain performance: Source-push and value chain-pull mechanisms. Sustainability, 17(12), p.5524.</w:t>
      </w:r>
      <w:hyperlink r:id="rId18">
        <w:r>
          <w:rPr>
            <w:color w:val="1155CC"/>
            <w:u w:val="single"/>
          </w:rPr>
          <w:t>https://www.mdpi.com/2071-1050/17/12/5524</w:t>
        </w:r>
      </w:hyperlink>
      <w:r>
        <w:t xml:space="preserve"> </w:t>
      </w:r>
    </w:p>
    <w:p w14:paraId="389F9F70" w14:textId="77777777" w:rsidR="00AD1DFD" w:rsidRDefault="00000000">
      <w:pPr>
        <w:spacing w:after="160"/>
      </w:pPr>
      <w:r>
        <w:t>Halim, Y., Salem, K., Tawfik, H. and Maree, A., 2025. Service quality as a driver of customer satisfaction and purchase intentions: a mixed-methods longitudinal study of the Egyptian Post Office (2013–2023). Future Business Journal, 11(1), p.246.</w:t>
      </w:r>
      <w:hyperlink r:id="rId19">
        <w:r>
          <w:rPr>
            <w:color w:val="1155CC"/>
            <w:u w:val="single"/>
          </w:rPr>
          <w:t>https://link.springer.com/content/pdf/10.1186/s43093-025-00634-3.pdf</w:t>
        </w:r>
      </w:hyperlink>
      <w:r>
        <w:t xml:space="preserve"> </w:t>
      </w:r>
    </w:p>
    <w:p w14:paraId="5EB4684C" w14:textId="77777777" w:rsidR="00AD1DFD" w:rsidRDefault="00000000">
      <w:pPr>
        <w:spacing w:after="160"/>
      </w:pPr>
      <w:r>
        <w:t>Fakieh, B., AL-Malaise AL-Ghamdi, A.S. and Ragab, M., 2022. The effect of utilizing business model canvas on the satisfaction of operating electronic business. Complexity, 2022(1), p.1649160.</w:t>
      </w:r>
      <w:hyperlink r:id="rId20">
        <w:r>
          <w:rPr>
            <w:color w:val="1155CC"/>
            <w:u w:val="single"/>
          </w:rPr>
          <w:t>https://onlinelibrary.wiley.com/doi/pdf/10.1155/2022/1649160</w:t>
        </w:r>
      </w:hyperlink>
    </w:p>
    <w:p w14:paraId="4A1218EE" w14:textId="77777777" w:rsidR="00AD1DFD" w:rsidRDefault="00000000">
      <w:pPr>
        <w:spacing w:after="240"/>
      </w:pPr>
      <w:r>
        <w:t xml:space="preserve">Pervin, N. and Mokhtar, M. (2022). </w:t>
      </w:r>
      <w:r>
        <w:rPr>
          <w:i/>
          <w:iCs/>
        </w:rPr>
        <w:t>The Interpretivist Research Paradigm: A subjective notion of a social context</w:t>
      </w:r>
      <w:r>
        <w:t xml:space="preserve">. [online] </w:t>
      </w:r>
      <w:r>
        <w:rPr>
          <w:i/>
          <w:iCs/>
        </w:rPr>
        <w:t>ResearchGate</w:t>
      </w:r>
      <w:r>
        <w:t xml:space="preserve">, Human Resource Management Academic Research Society. doi:10.6007/IJARPED/v11-i2/12938. </w:t>
      </w:r>
    </w:p>
    <w:p w14:paraId="33533CD3" w14:textId="46AEBF39" w:rsidR="00AD1DFD" w:rsidRDefault="00000000">
      <w:pPr>
        <w:spacing w:after="240"/>
      </w:pPr>
      <w:r>
        <w:t xml:space="preserve">Laari, L. (2025). Inductive-deductive qualitative data analysis logic in health sciences research: A framework for </w:t>
      </w:r>
      <w:r w:rsidR="00DB33CC">
        <w:t>analyzing</w:t>
      </w:r>
      <w:r>
        <w:t xml:space="preserve"> qualitative data. </w:t>
      </w:r>
      <w:r>
        <w:rPr>
          <w:i/>
          <w:iCs/>
        </w:rPr>
        <w:t>International Journal of Qualitative Methods</w:t>
      </w:r>
      <w:r>
        <w:t xml:space="preserve">, [online] </w:t>
      </w:r>
      <w:r>
        <w:lastRenderedPageBreak/>
        <w:t xml:space="preserve">24. Available at: </w:t>
      </w:r>
      <w:hyperlink r:id="rId21">
        <w:r>
          <w:rPr>
            <w:color w:val="1155CC"/>
            <w:u w:val="single"/>
          </w:rPr>
          <w:t>https://journals.sagepub.com/doi/10.1177/16094069251381706</w:t>
        </w:r>
      </w:hyperlink>
      <w:r>
        <w:t xml:space="preserve">  [Accessed 18 Aug. 2026].</w:t>
      </w:r>
    </w:p>
    <w:p w14:paraId="1B5146BE" w14:textId="77777777" w:rsidR="00AD1DFD" w:rsidRDefault="00000000">
      <w:pPr>
        <w:spacing w:after="160"/>
      </w:pPr>
      <w:r>
        <w:t>Cartwright, E. and Igudia, E., 2024. The case for mixed methods research: Embracing qualitative research to understand the (informal) economy. Review of Development Economics, 28(4), pp.1947-1970.</w:t>
      </w:r>
      <w:hyperlink r:id="rId22">
        <w:r>
          <w:rPr>
            <w:color w:val="1155CC"/>
            <w:u w:val="single"/>
          </w:rPr>
          <w:t>https://onlinelibrary.wiley.com/doi/pdf/10.1111%2Frode.13069</w:t>
        </w:r>
      </w:hyperlink>
      <w:r>
        <w:t xml:space="preserve"> </w:t>
      </w:r>
    </w:p>
    <w:p w14:paraId="1813A391" w14:textId="77777777" w:rsidR="00AD1DFD" w:rsidRDefault="00000000">
      <w:pPr>
        <w:spacing w:after="160"/>
      </w:pPr>
      <w:r>
        <w:t>Gillings, M. and Jaworska, S., 2025. How humans and machines identify discourse topics: A methodological triangulation. Applied Corpus Linguistics, 5(1), p.100121.</w:t>
      </w:r>
      <w:hyperlink r:id="rId23">
        <w:r>
          <w:rPr>
            <w:color w:val="1155CC"/>
            <w:u w:val="single"/>
          </w:rPr>
          <w:t>https://www.sciencedirect.com/science/article/pii/S2666799125000048</w:t>
        </w:r>
      </w:hyperlink>
    </w:p>
    <w:sectPr w:rsidR="00AD1DFD">
      <w:footerReference w:type="default" r:id="rId2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05824" w14:textId="77777777" w:rsidR="003C5AEB" w:rsidRDefault="003C5AEB">
      <w:pPr>
        <w:spacing w:line="240" w:lineRule="auto"/>
      </w:pPr>
      <w:r>
        <w:separator/>
      </w:r>
    </w:p>
  </w:endnote>
  <w:endnote w:type="continuationSeparator" w:id="0">
    <w:p w14:paraId="49106DF8" w14:textId="77777777" w:rsidR="003C5AEB" w:rsidRDefault="003C5A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261455-D8D4-49B6-8831-B86DD4720465}"/>
  </w:font>
  <w:font w:name="Cambria">
    <w:panose1 w:val="02040503050406030204"/>
    <w:charset w:val="00"/>
    <w:family w:val="roman"/>
    <w:pitch w:val="variable"/>
    <w:sig w:usb0="E00006FF" w:usb1="420024FF" w:usb2="02000000" w:usb3="00000000" w:csb0="0000019F" w:csb1="00000000"/>
    <w:embedRegular r:id="rId2" w:fontKey="{84B67F03-2712-4CF2-890E-34557D2BE0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4AB5B" w14:textId="77777777" w:rsidR="00AD1DFD" w:rsidRDefault="00000000">
    <w:pPr>
      <w:jc w:val="right"/>
    </w:pPr>
    <w:r>
      <w:fldChar w:fldCharType="begin"/>
    </w:r>
    <w:r>
      <w:instrText>PAGE</w:instrText>
    </w:r>
    <w:r>
      <w:fldChar w:fldCharType="separate"/>
    </w:r>
    <w:r w:rsidR="00DB33CC">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2CF3C" w14:textId="77777777" w:rsidR="003C5AEB" w:rsidRDefault="003C5AEB">
      <w:pPr>
        <w:spacing w:line="240" w:lineRule="auto"/>
      </w:pPr>
      <w:r>
        <w:separator/>
      </w:r>
    </w:p>
  </w:footnote>
  <w:footnote w:type="continuationSeparator" w:id="0">
    <w:p w14:paraId="4C6715B5" w14:textId="77777777" w:rsidR="003C5AEB" w:rsidRDefault="003C5A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DFD"/>
    <w:rsid w:val="003C5AEB"/>
    <w:rsid w:val="00404CE0"/>
    <w:rsid w:val="009C5996"/>
    <w:rsid w:val="00AD1DFD"/>
    <w:rsid w:val="00DB33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14D8"/>
  <w15:docId w15:val="{FC0DB2F8-CC96-44F2-9E11-C2F9D7CCA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dpi.com/0718-1876/19/4/174" TargetMode="External"/><Relationship Id="rId13" Type="http://schemas.openxmlformats.org/officeDocument/2006/relationships/hyperlink" Target="https://www.sciencedirect.com/science/article/pii/S2199853122010484" TargetMode="External"/><Relationship Id="rId18" Type="http://schemas.openxmlformats.org/officeDocument/2006/relationships/hyperlink" Target="https://www.mdpi.com/2071-1050/17/12/5524"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journals.sagepub.com/doi/10.1177/16094069251381706" TargetMode="External"/><Relationship Id="rId7" Type="http://schemas.openxmlformats.org/officeDocument/2006/relationships/hyperlink" Target="https://www.researchgate.net/profile/Alvaro-Dias-3/publication/361041736_Impact_of_destination_weddings_in_the_tourism_economy/links/64479731017bc07902da5d88/Impact-of-destination-weddings-in-the-tourism-economy.pdf" TargetMode="External"/><Relationship Id="rId12" Type="http://schemas.openxmlformats.org/officeDocument/2006/relationships/hyperlink" Target="https://link.springer.com/content/pdf/10.1186/s43093-025-00663-y.pdf" TargetMode="External"/><Relationship Id="rId17" Type="http://schemas.openxmlformats.org/officeDocument/2006/relationships/hyperlink" Target="https://www.sciencedirect.com/science/article/pii/S2199853122001676"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andfonline.com/doi/pdf/10.1080/2331186X.2023.2259733" TargetMode="External"/><Relationship Id="rId20" Type="http://schemas.openxmlformats.org/officeDocument/2006/relationships/hyperlink" Target="https://onlinelibrary.wiley.com/doi/pdf/10.1155/2022/1649160"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sciencedirect.com/science/article/pii/S0019850123001645"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mdpi.com/1660-4601/19/13/7831" TargetMode="External"/><Relationship Id="rId23" Type="http://schemas.openxmlformats.org/officeDocument/2006/relationships/hyperlink" Target="https://www.sciencedirect.com/science/article/pii/S2666799125000048" TargetMode="External"/><Relationship Id="rId10" Type="http://schemas.openxmlformats.org/officeDocument/2006/relationships/hyperlink" Target="https://www.tandfonline.com/doi/pdf/10.1080/0267257X.2024.2388088" TargetMode="External"/><Relationship Id="rId19" Type="http://schemas.openxmlformats.org/officeDocument/2006/relationships/hyperlink" Target="https://link.springer.com/content/pdf/10.1186/s43093-025-00634-3.pdf" TargetMode="External"/><Relationship Id="rId4" Type="http://schemas.openxmlformats.org/officeDocument/2006/relationships/footnotes" Target="footnotes.xml"/><Relationship Id="rId9" Type="http://schemas.openxmlformats.org/officeDocument/2006/relationships/hyperlink" Target="https://www.tandfonline.com/doi/pdf/10.1080/00913367.2025.2460985" TargetMode="External"/><Relationship Id="rId14" Type="http://schemas.openxmlformats.org/officeDocument/2006/relationships/hyperlink" Target="https://www.tandfonline.com/doi/pdf/10.1080/23311975.2026.2698507" TargetMode="External"/><Relationship Id="rId22" Type="http://schemas.openxmlformats.org/officeDocument/2006/relationships/hyperlink" Target="https://onlinelibrary.wiley.com/doi/pdf/10.1111%2Frode.13069"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3579</Words>
  <Characters>20405</Characters>
  <Application>Microsoft Office Word</Application>
  <DocSecurity>0</DocSecurity>
  <Lines>170</Lines>
  <Paragraphs>47</Paragraphs>
  <ScaleCrop>false</ScaleCrop>
  <Company/>
  <LinksUpToDate>false</LinksUpToDate>
  <CharactersWithSpaces>23937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Chetnaben Anilbhai Fadke (2430959)</cp:lastModifiedBy>
  <cp:revision>2</cp:revision>
  <dcterms:created xsi:type="dcterms:W3CDTF">2026-08-25T15:24:00Z</dcterms:created>
  <dcterms:modified xsi:type="dcterms:W3CDTF">2026-08-25T15:24:00Z</dcterms:modified>
</cp:coreProperties>
</file>