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618144" w14:textId="77777777" w:rsidR="00CB5B3D" w:rsidRPr="00CD03C3" w:rsidRDefault="00CB5B3D" w:rsidP="00CD03C3">
      <w:pPr>
        <w:spacing w:line="360" w:lineRule="auto"/>
        <w:jc w:val="center"/>
        <w:rPr>
          <w:rFonts w:ascii="Arial" w:hAnsi="Arial" w:cs="Arial"/>
          <w:b/>
        </w:rPr>
      </w:pPr>
    </w:p>
    <w:p w14:paraId="7B9E1FA8" w14:textId="6889CC46" w:rsidR="00CB5B3D" w:rsidRPr="00CD03C3" w:rsidRDefault="00CB5B3D" w:rsidP="00CD03C3">
      <w:pPr>
        <w:spacing w:line="360" w:lineRule="auto"/>
        <w:jc w:val="center"/>
        <w:rPr>
          <w:rFonts w:ascii="Arial" w:hAnsi="Arial" w:cs="Arial"/>
        </w:rPr>
      </w:pPr>
      <w:r w:rsidRPr="00CD03C3">
        <w:rPr>
          <w:rFonts w:ascii="Arial" w:hAnsi="Arial" w:cs="Arial"/>
        </w:rPr>
        <w:t>Tesco</w:t>
      </w:r>
    </w:p>
    <w:p w14:paraId="3D766584" w14:textId="096E84BB" w:rsidR="00CB5B3D" w:rsidRPr="00CD03C3" w:rsidRDefault="00CB5B3D" w:rsidP="00CD03C3">
      <w:pPr>
        <w:spacing w:line="360" w:lineRule="auto"/>
        <w:jc w:val="center"/>
        <w:rPr>
          <w:rFonts w:ascii="Arial" w:hAnsi="Arial" w:cs="Arial"/>
          <w:b/>
        </w:rPr>
      </w:pPr>
    </w:p>
    <w:p w14:paraId="3D4C7942" w14:textId="77777777" w:rsidR="00CB5B3D" w:rsidRPr="00CD03C3" w:rsidRDefault="00CB5B3D" w:rsidP="00CD03C3">
      <w:pPr>
        <w:spacing w:line="360" w:lineRule="auto"/>
        <w:rPr>
          <w:rFonts w:ascii="Arial" w:hAnsi="Arial" w:cs="Arial"/>
          <w:b/>
        </w:rPr>
      </w:pPr>
    </w:p>
    <w:p w14:paraId="42CD0CAD" w14:textId="39D4BDE8" w:rsidR="00CB5B3D" w:rsidRPr="00CD03C3" w:rsidRDefault="00CB5B3D" w:rsidP="00CD03C3">
      <w:pPr>
        <w:spacing w:line="360" w:lineRule="auto"/>
        <w:rPr>
          <w:rFonts w:ascii="Arial" w:hAnsi="Arial" w:cs="Arial"/>
          <w:bCs/>
        </w:rPr>
      </w:pPr>
      <w:r w:rsidRPr="00CD03C3">
        <w:rPr>
          <w:rFonts w:ascii="Arial" w:hAnsi="Arial" w:cs="Arial"/>
          <w:bCs/>
        </w:rPr>
        <w:t>LCBB4007</w:t>
      </w:r>
    </w:p>
    <w:p w14:paraId="34497EC0" w14:textId="7CE0453C" w:rsidR="00C73EA4" w:rsidRPr="00C73EA4" w:rsidRDefault="00C73EA4" w:rsidP="00CD03C3">
      <w:pPr>
        <w:spacing w:line="360" w:lineRule="auto"/>
        <w:rPr>
          <w:rFonts w:ascii="Arial" w:hAnsi="Arial" w:cs="Arial"/>
        </w:rPr>
      </w:pPr>
      <w:r w:rsidRPr="00C73EA4">
        <w:rPr>
          <w:rFonts w:ascii="Arial" w:eastAsia="Times New Roman" w:hAnsi="Arial" w:cs="Arial"/>
          <w:color w:val="000000"/>
          <w:kern w:val="36"/>
          <w:lang w:eastAsia="en-GB"/>
          <w14:ligatures w14:val="none"/>
        </w:rPr>
        <w:t>Ibrahim Rufai</w:t>
      </w:r>
    </w:p>
    <w:p w14:paraId="2ACF45E6" w14:textId="77777777" w:rsidR="00C73EA4" w:rsidRPr="00CD03C3" w:rsidRDefault="00971496" w:rsidP="00CD03C3">
      <w:pPr>
        <w:spacing w:line="360" w:lineRule="auto"/>
        <w:rPr>
          <w:rFonts w:ascii="Arial" w:hAnsi="Arial" w:cs="Arial"/>
        </w:rPr>
      </w:pPr>
      <w:r w:rsidRPr="00CD03C3">
        <w:rPr>
          <w:rFonts w:ascii="Arial" w:hAnsi="Arial" w:cs="Arial"/>
        </w:rPr>
        <w:t xml:space="preserve">Mihai </w:t>
      </w:r>
      <w:r w:rsidR="00C0789D" w:rsidRPr="00CD03C3">
        <w:rPr>
          <w:rFonts w:ascii="Arial" w:hAnsi="Arial" w:cs="Arial"/>
        </w:rPr>
        <w:t xml:space="preserve">Buscu </w:t>
      </w:r>
    </w:p>
    <w:p w14:paraId="74157FBF" w14:textId="3B93A936" w:rsidR="00C0789D" w:rsidRPr="00CD03C3" w:rsidRDefault="00C0789D" w:rsidP="00CD03C3">
      <w:pPr>
        <w:spacing w:line="360" w:lineRule="auto"/>
        <w:rPr>
          <w:rFonts w:ascii="Arial" w:hAnsi="Arial" w:cs="Arial"/>
        </w:rPr>
      </w:pPr>
      <w:r w:rsidRPr="00CD03C3">
        <w:rPr>
          <w:rFonts w:ascii="Arial" w:hAnsi="Arial" w:cs="Arial"/>
        </w:rPr>
        <w:t>2245144</w:t>
      </w:r>
    </w:p>
    <w:p w14:paraId="28B13BA3" w14:textId="16637F00" w:rsidR="00FC14E5" w:rsidRPr="00CD03C3" w:rsidRDefault="00FC14E5" w:rsidP="00CD03C3">
      <w:pPr>
        <w:spacing w:line="360" w:lineRule="auto"/>
        <w:rPr>
          <w:rFonts w:ascii="Arial" w:hAnsi="Arial" w:cs="Arial"/>
        </w:rPr>
      </w:pPr>
      <w:r w:rsidRPr="00CD03C3">
        <w:rPr>
          <w:rFonts w:ascii="Arial" w:hAnsi="Arial" w:cs="Arial"/>
        </w:rPr>
        <w:t>Introduction</w:t>
      </w:r>
    </w:p>
    <w:p w14:paraId="3249AE7D" w14:textId="77777777" w:rsidR="00FC14E5" w:rsidRPr="00CD03C3" w:rsidRDefault="00FC14E5" w:rsidP="00CD03C3">
      <w:pPr>
        <w:spacing w:line="360" w:lineRule="auto"/>
        <w:rPr>
          <w:rFonts w:ascii="Arial" w:hAnsi="Arial" w:cs="Arial"/>
        </w:rPr>
      </w:pPr>
      <w:r w:rsidRPr="00CD03C3">
        <w:rPr>
          <w:rFonts w:ascii="Arial" w:hAnsi="Arial" w:cs="Arial"/>
        </w:rPr>
        <w:t>For this assessment, I have chosen Tesco, one of the largest retailers in the UK. Tesco is a private sector company founded in 1919, operating as a multinational grocery and general merchandise retailer. Tesco’s primary goal is to serve its customers with affordable, high-quality products while maintaining a commitment to sustainability and corporate responsibility. The company’s mission is “to be the champion for customers, helping them to enjoy a better quality of life and an easier way of living.” Tesco offers a wide range of products including groceries, clothing, electronics, and financial services, catering to millions of customers both in-store and online.</w:t>
      </w:r>
    </w:p>
    <w:p w14:paraId="55C70CE8" w14:textId="020BE0AC" w:rsidR="00FC14E5" w:rsidRPr="00CD03C3" w:rsidRDefault="00FC14E5" w:rsidP="00CD03C3">
      <w:pPr>
        <w:spacing w:line="360" w:lineRule="auto"/>
        <w:rPr>
          <w:rFonts w:ascii="Arial" w:hAnsi="Arial" w:cs="Arial"/>
        </w:rPr>
      </w:pPr>
      <w:r w:rsidRPr="00CD03C3">
        <w:rPr>
          <w:rFonts w:ascii="Arial" w:hAnsi="Arial" w:cs="Arial"/>
        </w:rPr>
        <w:t>Main Body</w:t>
      </w:r>
    </w:p>
    <w:p w14:paraId="520C99DC" w14:textId="1CB6C668" w:rsidR="00FC14E5" w:rsidRPr="00CD03C3" w:rsidRDefault="00FC14E5" w:rsidP="00CD03C3">
      <w:pPr>
        <w:spacing w:line="360" w:lineRule="auto"/>
        <w:rPr>
          <w:rFonts w:ascii="Arial" w:hAnsi="Arial" w:cs="Arial"/>
        </w:rPr>
      </w:pPr>
      <w:r w:rsidRPr="00CD03C3">
        <w:rPr>
          <w:rFonts w:ascii="Arial" w:hAnsi="Arial" w:cs="Arial"/>
        </w:rPr>
        <w:t>PESTEL Analysis</w:t>
      </w:r>
    </w:p>
    <w:p w14:paraId="4877626A" w14:textId="77777777" w:rsidR="00FC14E5" w:rsidRPr="00CD03C3" w:rsidRDefault="00FC14E5" w:rsidP="00CD03C3">
      <w:pPr>
        <w:spacing w:line="360" w:lineRule="auto"/>
        <w:rPr>
          <w:rFonts w:ascii="Arial" w:hAnsi="Arial" w:cs="Arial"/>
        </w:rPr>
      </w:pPr>
      <w:r w:rsidRPr="00CD03C3">
        <w:rPr>
          <w:rFonts w:ascii="Arial" w:hAnsi="Arial" w:cs="Arial"/>
        </w:rPr>
        <w:t>The PESTEL analysis tool helps identify the macro-environmental factors affecting Tesco. The factors are as follows:</w:t>
      </w:r>
    </w:p>
    <w:p w14:paraId="60FB3552" w14:textId="6983A3A8" w:rsidR="00FC14E5" w:rsidRPr="00CD03C3" w:rsidRDefault="00FC14E5" w:rsidP="00CD03C3">
      <w:pPr>
        <w:spacing w:line="360" w:lineRule="auto"/>
        <w:rPr>
          <w:rFonts w:ascii="Arial" w:hAnsi="Arial" w:cs="Arial"/>
        </w:rPr>
      </w:pPr>
      <w:r w:rsidRPr="00CD03C3">
        <w:rPr>
          <w:rFonts w:ascii="Arial" w:hAnsi="Arial" w:cs="Arial"/>
        </w:rPr>
        <w:t>Political:</w:t>
      </w:r>
    </w:p>
    <w:p w14:paraId="203969A7" w14:textId="482CB53B" w:rsidR="00FC14E5" w:rsidRPr="00CD03C3" w:rsidRDefault="00FC14E5" w:rsidP="00CD03C3">
      <w:pPr>
        <w:spacing w:line="360" w:lineRule="auto"/>
        <w:rPr>
          <w:rFonts w:ascii="Arial" w:hAnsi="Arial" w:cs="Arial"/>
        </w:rPr>
      </w:pPr>
      <w:r w:rsidRPr="00CD03C3">
        <w:rPr>
          <w:rFonts w:ascii="Arial" w:hAnsi="Arial" w:cs="Arial"/>
        </w:rPr>
        <w:t>Regulations and Policies: Tesco must adhere to various regulations, including food safety standards, employment laws, and trade policies. Compliance with UK and EU regulations post-Brexit is crucial (Johnson, Scholes, &amp; Whittington, 2008).</w:t>
      </w:r>
    </w:p>
    <w:p w14:paraId="5596DD7F" w14:textId="619928A0" w:rsidR="00FC14E5" w:rsidRPr="00CD03C3" w:rsidRDefault="00FC14E5" w:rsidP="00CD03C3">
      <w:pPr>
        <w:spacing w:line="360" w:lineRule="auto"/>
        <w:rPr>
          <w:rFonts w:ascii="Arial" w:hAnsi="Arial" w:cs="Arial"/>
        </w:rPr>
      </w:pPr>
      <w:r w:rsidRPr="00CD03C3">
        <w:rPr>
          <w:rFonts w:ascii="Arial" w:hAnsi="Arial" w:cs="Arial"/>
        </w:rPr>
        <w:t>- Government Policies: Changes in taxation, minimum wage laws, and trade policies can impact Tesco’s operational costs and pricing strategies (Hill &amp; Jones, 2012).</w:t>
      </w:r>
    </w:p>
    <w:p w14:paraId="2795F855" w14:textId="536C4875" w:rsidR="00FC14E5" w:rsidRPr="00CD03C3" w:rsidRDefault="00FC14E5" w:rsidP="00CD03C3">
      <w:pPr>
        <w:spacing w:line="360" w:lineRule="auto"/>
        <w:rPr>
          <w:rFonts w:ascii="Arial" w:hAnsi="Arial" w:cs="Arial"/>
        </w:rPr>
      </w:pPr>
      <w:r w:rsidRPr="00CD03C3">
        <w:rPr>
          <w:rFonts w:ascii="Arial" w:hAnsi="Arial" w:cs="Arial"/>
        </w:rPr>
        <w:t>Economic:</w:t>
      </w:r>
    </w:p>
    <w:p w14:paraId="3F649ADD" w14:textId="3FF31B60" w:rsidR="00FC14E5" w:rsidRPr="00CD03C3" w:rsidRDefault="00FC14E5" w:rsidP="00CD03C3">
      <w:pPr>
        <w:spacing w:line="360" w:lineRule="auto"/>
        <w:rPr>
          <w:rFonts w:ascii="Arial" w:hAnsi="Arial" w:cs="Arial"/>
        </w:rPr>
      </w:pPr>
      <w:r w:rsidRPr="00CD03C3">
        <w:rPr>
          <w:rFonts w:ascii="Arial" w:hAnsi="Arial" w:cs="Arial"/>
        </w:rPr>
        <w:lastRenderedPageBreak/>
        <w:t>- Economic Conditions: Tesco’s performance is influenced by the overall economic environment. Economic downturns or recessions can lead to reduced consumer spending (Grant, 2016).</w:t>
      </w:r>
    </w:p>
    <w:p w14:paraId="1195DCCA" w14:textId="66EB8B2B" w:rsidR="00FC14E5" w:rsidRPr="00CD03C3" w:rsidRDefault="00FC14E5" w:rsidP="00CD03C3">
      <w:pPr>
        <w:spacing w:line="360" w:lineRule="auto"/>
        <w:rPr>
          <w:rFonts w:ascii="Arial" w:hAnsi="Arial" w:cs="Arial"/>
        </w:rPr>
      </w:pPr>
      <w:r w:rsidRPr="00CD03C3">
        <w:rPr>
          <w:rFonts w:ascii="Arial" w:hAnsi="Arial" w:cs="Arial"/>
        </w:rPr>
        <w:t>- Inflation and Exchange Rates: Fluctuations in inflation and currency exchange rates affect Tesco’s pricing and profitability, especially for imported goods (Wheelen &amp; Hunger, 2011).</w:t>
      </w:r>
    </w:p>
    <w:p w14:paraId="734D5F75" w14:textId="4B37C515" w:rsidR="00FC14E5" w:rsidRPr="00CD03C3" w:rsidRDefault="00FC14E5" w:rsidP="00CD03C3">
      <w:pPr>
        <w:spacing w:line="360" w:lineRule="auto"/>
        <w:rPr>
          <w:rFonts w:ascii="Arial" w:hAnsi="Arial" w:cs="Arial"/>
        </w:rPr>
      </w:pPr>
      <w:r w:rsidRPr="00CD03C3">
        <w:rPr>
          <w:rFonts w:ascii="Arial" w:hAnsi="Arial" w:cs="Arial"/>
        </w:rPr>
        <w:t>Social:</w:t>
      </w:r>
    </w:p>
    <w:p w14:paraId="7A540A21" w14:textId="25D1CCFE" w:rsidR="00FC14E5" w:rsidRPr="00CD03C3" w:rsidRDefault="00FC14E5" w:rsidP="00CD03C3">
      <w:pPr>
        <w:spacing w:line="360" w:lineRule="auto"/>
        <w:rPr>
          <w:rFonts w:ascii="Arial" w:hAnsi="Arial" w:cs="Arial"/>
        </w:rPr>
      </w:pPr>
      <w:r w:rsidRPr="00CD03C3">
        <w:rPr>
          <w:rFonts w:ascii="Arial" w:hAnsi="Arial" w:cs="Arial"/>
        </w:rPr>
        <w:t>- Changing Consumer Preferences: Increasing demand for organic and sustainable products requires Tesco to adapt its product offerings (Kotler &amp; Keller, 2016).</w:t>
      </w:r>
    </w:p>
    <w:p w14:paraId="0515934C" w14:textId="714ED379" w:rsidR="00FC14E5" w:rsidRPr="00CD03C3" w:rsidRDefault="00FC14E5" w:rsidP="00CD03C3">
      <w:pPr>
        <w:spacing w:line="360" w:lineRule="auto"/>
        <w:rPr>
          <w:rFonts w:ascii="Arial" w:hAnsi="Arial" w:cs="Arial"/>
        </w:rPr>
      </w:pPr>
      <w:r w:rsidRPr="00CD03C3">
        <w:rPr>
          <w:rFonts w:ascii="Arial" w:hAnsi="Arial" w:cs="Arial"/>
        </w:rPr>
        <w:t>- Demographic Changes: An aging population and growing urbanization influence Tesco’s product range and store locations (Henry, 2018).</w:t>
      </w:r>
    </w:p>
    <w:p w14:paraId="1C72FD88" w14:textId="56A98ED8" w:rsidR="00FC14E5" w:rsidRPr="00CD03C3" w:rsidRDefault="00FC14E5" w:rsidP="00CD03C3">
      <w:pPr>
        <w:spacing w:line="360" w:lineRule="auto"/>
        <w:rPr>
          <w:rFonts w:ascii="Arial" w:hAnsi="Arial" w:cs="Arial"/>
        </w:rPr>
      </w:pPr>
      <w:r w:rsidRPr="00CD03C3">
        <w:rPr>
          <w:rFonts w:ascii="Arial" w:hAnsi="Arial" w:cs="Arial"/>
        </w:rPr>
        <w:t>Technological</w:t>
      </w:r>
    </w:p>
    <w:p w14:paraId="02751005" w14:textId="5E6A403D" w:rsidR="00FC14E5" w:rsidRPr="00CD03C3" w:rsidRDefault="00FC14E5" w:rsidP="00CD03C3">
      <w:pPr>
        <w:spacing w:line="360" w:lineRule="auto"/>
        <w:rPr>
          <w:rFonts w:ascii="Arial" w:hAnsi="Arial" w:cs="Arial"/>
        </w:rPr>
      </w:pPr>
      <w:r w:rsidRPr="00CD03C3">
        <w:rPr>
          <w:rFonts w:ascii="Arial" w:hAnsi="Arial" w:cs="Arial"/>
        </w:rPr>
        <w:t>- E-commerce Growth: The rise of online shopping requires Tesco to invest in its digital platforms and delivery services to meet consumer expectations (Chaffey &amp; Ellis-Chadwick, 2019).</w:t>
      </w:r>
    </w:p>
    <w:p w14:paraId="5FF4397A" w14:textId="17915708" w:rsidR="00FC14E5" w:rsidRPr="00CD03C3" w:rsidRDefault="00FC14E5" w:rsidP="00CD03C3">
      <w:pPr>
        <w:spacing w:line="360" w:lineRule="auto"/>
        <w:rPr>
          <w:rFonts w:ascii="Arial" w:hAnsi="Arial" w:cs="Arial"/>
        </w:rPr>
      </w:pPr>
      <w:r w:rsidRPr="00CD03C3">
        <w:rPr>
          <w:rFonts w:ascii="Arial" w:hAnsi="Arial" w:cs="Arial"/>
        </w:rPr>
        <w:t>- Automation and AI: Implementing automation and AI in supply chain and customer service can enhance efficiency and customer satisfaction (Johnson et al., 2008).</w:t>
      </w:r>
    </w:p>
    <w:p w14:paraId="4038A916" w14:textId="1F53074C" w:rsidR="00FC14E5" w:rsidRPr="00CD03C3" w:rsidRDefault="00FC14E5" w:rsidP="00CD03C3">
      <w:pPr>
        <w:spacing w:line="360" w:lineRule="auto"/>
        <w:rPr>
          <w:rFonts w:ascii="Arial" w:hAnsi="Arial" w:cs="Arial"/>
        </w:rPr>
      </w:pPr>
      <w:r w:rsidRPr="00CD03C3">
        <w:rPr>
          <w:rFonts w:ascii="Arial" w:hAnsi="Arial" w:cs="Arial"/>
        </w:rPr>
        <w:t>Environmental:</w:t>
      </w:r>
    </w:p>
    <w:p w14:paraId="58BB91CC" w14:textId="2381D892" w:rsidR="00FC14E5" w:rsidRPr="00CD03C3" w:rsidRDefault="00FC14E5" w:rsidP="00CD03C3">
      <w:pPr>
        <w:spacing w:line="360" w:lineRule="auto"/>
        <w:rPr>
          <w:rFonts w:ascii="Arial" w:hAnsi="Arial" w:cs="Arial"/>
        </w:rPr>
      </w:pPr>
      <w:r w:rsidRPr="00CD03C3">
        <w:rPr>
          <w:rFonts w:ascii="Arial" w:hAnsi="Arial" w:cs="Arial"/>
        </w:rPr>
        <w:t>- Sustainability: Tesco faces pressure to reduce its environmental impact. Initiatives such as reducing plastic waste and carbon emissions are essential for maintaining customer trust and compliance with environmental regulations (Grant, 2016).</w:t>
      </w:r>
    </w:p>
    <w:p w14:paraId="2ED53306" w14:textId="2D2F3C6D" w:rsidR="00FC14E5" w:rsidRPr="00CD03C3" w:rsidRDefault="00FC14E5" w:rsidP="00CD03C3">
      <w:pPr>
        <w:spacing w:line="360" w:lineRule="auto"/>
        <w:rPr>
          <w:rFonts w:ascii="Arial" w:hAnsi="Arial" w:cs="Arial"/>
        </w:rPr>
      </w:pPr>
      <w:r w:rsidRPr="00CD03C3">
        <w:rPr>
          <w:rFonts w:ascii="Arial" w:hAnsi="Arial" w:cs="Arial"/>
        </w:rPr>
        <w:t>- Climate Change: Extreme weather conditions can affect supply chains and product availability, requiring Tesco to develop robust contingency plans (Hill &amp; Jones, 2012).</w:t>
      </w:r>
    </w:p>
    <w:p w14:paraId="32957C9E" w14:textId="1A18F64A" w:rsidR="00FC14E5" w:rsidRPr="00CD03C3" w:rsidRDefault="00FC14E5" w:rsidP="00CD03C3">
      <w:pPr>
        <w:spacing w:line="360" w:lineRule="auto"/>
        <w:rPr>
          <w:rFonts w:ascii="Arial" w:hAnsi="Arial" w:cs="Arial"/>
        </w:rPr>
      </w:pPr>
      <w:r w:rsidRPr="00CD03C3">
        <w:rPr>
          <w:rFonts w:ascii="Arial" w:hAnsi="Arial" w:cs="Arial"/>
        </w:rPr>
        <w:t xml:space="preserve">Legal: </w:t>
      </w:r>
    </w:p>
    <w:p w14:paraId="2BDA96E9" w14:textId="100A2330" w:rsidR="00FC14E5" w:rsidRPr="00CD03C3" w:rsidRDefault="00FC14E5" w:rsidP="00CD03C3">
      <w:pPr>
        <w:spacing w:line="360" w:lineRule="auto"/>
        <w:rPr>
          <w:rFonts w:ascii="Arial" w:hAnsi="Arial" w:cs="Arial"/>
        </w:rPr>
      </w:pPr>
      <w:r w:rsidRPr="00CD03C3">
        <w:rPr>
          <w:rFonts w:ascii="Arial" w:hAnsi="Arial" w:cs="Arial"/>
        </w:rPr>
        <w:t>- Consumer Protection Laws: Compliance with consumer protection laws ensures customer rights are safeguarded, enhancing brand reputation and customer loyalty (Kotler &amp; Keller, 2016).</w:t>
      </w:r>
    </w:p>
    <w:p w14:paraId="7BDC367E" w14:textId="70BB5A0A" w:rsidR="00FC14E5" w:rsidRPr="00CD03C3" w:rsidRDefault="00FC14E5" w:rsidP="00CD03C3">
      <w:pPr>
        <w:spacing w:line="360" w:lineRule="auto"/>
        <w:rPr>
          <w:rFonts w:ascii="Arial" w:hAnsi="Arial" w:cs="Arial"/>
        </w:rPr>
      </w:pPr>
      <w:r w:rsidRPr="00CD03C3">
        <w:rPr>
          <w:rFonts w:ascii="Arial" w:hAnsi="Arial" w:cs="Arial"/>
        </w:rPr>
        <w:t>- Health and Safety Regulations:</w:t>
      </w:r>
      <w:r w:rsidR="00257E81" w:rsidRPr="00CD03C3">
        <w:rPr>
          <w:rFonts w:ascii="Arial" w:hAnsi="Arial" w:cs="Arial"/>
        </w:rPr>
        <w:t xml:space="preserve"> </w:t>
      </w:r>
      <w:r w:rsidRPr="00CD03C3">
        <w:rPr>
          <w:rFonts w:ascii="Arial" w:hAnsi="Arial" w:cs="Arial"/>
        </w:rPr>
        <w:t>Adherence to health and safety standards in stores and supply chains is critical for operational continuity and customer trust (Wheelen &amp; Hunger, 2011).</w:t>
      </w:r>
    </w:p>
    <w:p w14:paraId="4D5C1DE0" w14:textId="7D30710F" w:rsidR="00FC14E5" w:rsidRPr="00CD03C3" w:rsidRDefault="00FC14E5" w:rsidP="00CD03C3">
      <w:pPr>
        <w:spacing w:line="360" w:lineRule="auto"/>
        <w:rPr>
          <w:rFonts w:ascii="Arial" w:hAnsi="Arial" w:cs="Arial"/>
        </w:rPr>
      </w:pPr>
      <w:r w:rsidRPr="00CD03C3">
        <w:rPr>
          <w:rFonts w:ascii="Arial" w:hAnsi="Arial" w:cs="Arial"/>
        </w:rPr>
        <w:t>SWOT Analysis</w:t>
      </w:r>
    </w:p>
    <w:p w14:paraId="436CB2AD" w14:textId="77777777" w:rsidR="00FC14E5" w:rsidRPr="00CD03C3" w:rsidRDefault="00FC14E5" w:rsidP="00CD03C3">
      <w:pPr>
        <w:spacing w:line="360" w:lineRule="auto"/>
        <w:rPr>
          <w:rFonts w:ascii="Arial" w:hAnsi="Arial" w:cs="Arial"/>
        </w:rPr>
      </w:pPr>
      <w:r w:rsidRPr="00CD03C3">
        <w:rPr>
          <w:rFonts w:ascii="Arial" w:hAnsi="Arial" w:cs="Arial"/>
        </w:rPr>
        <w:lastRenderedPageBreak/>
        <w:t>A SWOT analysis helps in understanding Tesco’s internal strengths and weaknesses, as well as the external opportunities and threats it faces.</w:t>
      </w:r>
    </w:p>
    <w:p w14:paraId="350FDC61" w14:textId="62DA8B8E" w:rsidR="00FC14E5" w:rsidRPr="00CD03C3" w:rsidRDefault="00FC14E5" w:rsidP="00CD03C3">
      <w:pPr>
        <w:spacing w:line="360" w:lineRule="auto"/>
        <w:rPr>
          <w:rFonts w:ascii="Arial" w:hAnsi="Arial" w:cs="Arial"/>
        </w:rPr>
      </w:pPr>
      <w:r w:rsidRPr="00CD03C3">
        <w:rPr>
          <w:rFonts w:ascii="Arial" w:hAnsi="Arial" w:cs="Arial"/>
        </w:rPr>
        <w:t>Strengths:</w:t>
      </w:r>
    </w:p>
    <w:p w14:paraId="3C8657B2" w14:textId="34FAEC1D" w:rsidR="00FC14E5" w:rsidRPr="00CD03C3" w:rsidRDefault="00FC14E5" w:rsidP="00CD03C3">
      <w:pPr>
        <w:spacing w:line="360" w:lineRule="auto"/>
        <w:rPr>
          <w:rFonts w:ascii="Arial" w:hAnsi="Arial" w:cs="Arial"/>
        </w:rPr>
      </w:pPr>
      <w:r w:rsidRPr="00CD03C3">
        <w:rPr>
          <w:rFonts w:ascii="Arial" w:hAnsi="Arial" w:cs="Arial"/>
        </w:rPr>
        <w:t>- Strong Brand Recognition: Tesco is a well-known and trusted brand in the UK and internationally (Henry, 2018).</w:t>
      </w:r>
    </w:p>
    <w:p w14:paraId="08DF1512" w14:textId="67BE504F" w:rsidR="00FC14E5" w:rsidRPr="00CD03C3" w:rsidRDefault="00FC14E5" w:rsidP="00CD03C3">
      <w:pPr>
        <w:spacing w:line="360" w:lineRule="auto"/>
        <w:rPr>
          <w:rFonts w:ascii="Arial" w:hAnsi="Arial" w:cs="Arial"/>
        </w:rPr>
      </w:pPr>
      <w:r w:rsidRPr="00CD03C3">
        <w:rPr>
          <w:rFonts w:ascii="Arial" w:hAnsi="Arial" w:cs="Arial"/>
        </w:rPr>
        <w:t>- Extensive Distribution Network: With numerous stores and a robust online platform, Tesco has a wide reach and accessibility (Chaffey &amp; Ellis-Chadwick, 2019).</w:t>
      </w:r>
    </w:p>
    <w:p w14:paraId="7137F900" w14:textId="3E22D333" w:rsidR="00FC14E5" w:rsidRPr="00CD03C3" w:rsidRDefault="00FC14E5" w:rsidP="00CD03C3">
      <w:pPr>
        <w:spacing w:line="360" w:lineRule="auto"/>
        <w:rPr>
          <w:rFonts w:ascii="Arial" w:hAnsi="Arial" w:cs="Arial"/>
        </w:rPr>
      </w:pPr>
      <w:r w:rsidRPr="00CD03C3">
        <w:rPr>
          <w:rFonts w:ascii="Arial" w:hAnsi="Arial" w:cs="Arial"/>
        </w:rPr>
        <w:t>- Diverse Product Range: Offering a variety of products from groceries to financial services enhances customer convenience and loyalty (Kotler &amp; Keller, 2016).</w:t>
      </w:r>
    </w:p>
    <w:p w14:paraId="0B586E50" w14:textId="77777777" w:rsidR="00FC14E5" w:rsidRPr="00CD03C3" w:rsidRDefault="00FC14E5" w:rsidP="00CD03C3">
      <w:pPr>
        <w:spacing w:line="360" w:lineRule="auto"/>
        <w:rPr>
          <w:rFonts w:ascii="Arial" w:hAnsi="Arial" w:cs="Arial"/>
        </w:rPr>
      </w:pPr>
    </w:p>
    <w:p w14:paraId="5A8CA989" w14:textId="02A7774B" w:rsidR="00FC14E5" w:rsidRPr="00CD03C3" w:rsidRDefault="00FC14E5" w:rsidP="00CD03C3">
      <w:pPr>
        <w:spacing w:line="360" w:lineRule="auto"/>
        <w:rPr>
          <w:rFonts w:ascii="Arial" w:hAnsi="Arial" w:cs="Arial"/>
        </w:rPr>
      </w:pPr>
      <w:r w:rsidRPr="00CD03C3">
        <w:rPr>
          <w:rFonts w:ascii="Arial" w:hAnsi="Arial" w:cs="Arial"/>
        </w:rPr>
        <w:t>Weaknesses:</w:t>
      </w:r>
    </w:p>
    <w:p w14:paraId="6150C8A1" w14:textId="1817EA7C" w:rsidR="00FC14E5" w:rsidRPr="00CD03C3" w:rsidRDefault="00FC14E5" w:rsidP="00CD03C3">
      <w:pPr>
        <w:spacing w:line="360" w:lineRule="auto"/>
        <w:rPr>
          <w:rFonts w:ascii="Arial" w:hAnsi="Arial" w:cs="Arial"/>
        </w:rPr>
      </w:pPr>
      <w:r w:rsidRPr="00CD03C3">
        <w:rPr>
          <w:rFonts w:ascii="Arial" w:hAnsi="Arial" w:cs="Arial"/>
        </w:rPr>
        <w:t>- High Operating Costs:</w:t>
      </w:r>
      <w:r w:rsidR="00E271B0" w:rsidRPr="00CD03C3">
        <w:rPr>
          <w:rFonts w:ascii="Arial" w:hAnsi="Arial" w:cs="Arial"/>
        </w:rPr>
        <w:t xml:space="preserve"> </w:t>
      </w:r>
      <w:r w:rsidRPr="00CD03C3">
        <w:rPr>
          <w:rFonts w:ascii="Arial" w:hAnsi="Arial" w:cs="Arial"/>
        </w:rPr>
        <w:t>Maintaining large stores and extensive distribution networks incurs significant costs (Johnson et al., 2008).</w:t>
      </w:r>
    </w:p>
    <w:p w14:paraId="732DBCD9" w14:textId="7D0DB7AF" w:rsidR="00FC14E5" w:rsidRPr="00CD03C3" w:rsidRDefault="00FC14E5" w:rsidP="00CD03C3">
      <w:pPr>
        <w:spacing w:line="360" w:lineRule="auto"/>
        <w:rPr>
          <w:rFonts w:ascii="Arial" w:hAnsi="Arial" w:cs="Arial"/>
        </w:rPr>
      </w:pPr>
      <w:r w:rsidRPr="00CD03C3">
        <w:rPr>
          <w:rFonts w:ascii="Arial" w:hAnsi="Arial" w:cs="Arial"/>
        </w:rPr>
        <w:t>- Dependence on the UK Market: A significant portion of Tesco’s revenue is generated in the UK, making it vulnerable to local market fluctuations (Hill &amp; Jones, 2012).</w:t>
      </w:r>
    </w:p>
    <w:p w14:paraId="338B721F" w14:textId="025A0013" w:rsidR="00FC14E5" w:rsidRPr="00CD03C3" w:rsidRDefault="00FC14E5" w:rsidP="00CD03C3">
      <w:pPr>
        <w:spacing w:line="360" w:lineRule="auto"/>
        <w:rPr>
          <w:rFonts w:ascii="Arial" w:hAnsi="Arial" w:cs="Arial"/>
        </w:rPr>
      </w:pPr>
      <w:r w:rsidRPr="00CD03C3">
        <w:rPr>
          <w:rFonts w:ascii="Arial" w:hAnsi="Arial" w:cs="Arial"/>
        </w:rPr>
        <w:t>Opportunities:</w:t>
      </w:r>
    </w:p>
    <w:p w14:paraId="07A5EF06" w14:textId="53C75954" w:rsidR="00FC14E5" w:rsidRPr="00CD03C3" w:rsidRDefault="00FC14E5" w:rsidP="00CD03C3">
      <w:pPr>
        <w:spacing w:line="360" w:lineRule="auto"/>
        <w:rPr>
          <w:rFonts w:ascii="Arial" w:hAnsi="Arial" w:cs="Arial"/>
        </w:rPr>
      </w:pPr>
      <w:r w:rsidRPr="00CD03C3">
        <w:rPr>
          <w:rFonts w:ascii="Arial" w:hAnsi="Arial" w:cs="Arial"/>
        </w:rPr>
        <w:t>- Expansion into Emerging Markets: Exploring new markets in Asia and Africa can drive growth and diversify revenue streams (Grant, 2016).</w:t>
      </w:r>
    </w:p>
    <w:p w14:paraId="03CF71E8" w14:textId="4AFC6D24" w:rsidR="00FC14E5" w:rsidRPr="00CD03C3" w:rsidRDefault="00FC14E5" w:rsidP="00CD03C3">
      <w:pPr>
        <w:spacing w:line="360" w:lineRule="auto"/>
        <w:rPr>
          <w:rFonts w:ascii="Arial" w:hAnsi="Arial" w:cs="Arial"/>
        </w:rPr>
      </w:pPr>
      <w:r w:rsidRPr="00CD03C3">
        <w:rPr>
          <w:rFonts w:ascii="Arial" w:hAnsi="Arial" w:cs="Arial"/>
        </w:rPr>
        <w:t xml:space="preserve">- Digital </w:t>
      </w:r>
      <w:r w:rsidR="00257E81" w:rsidRPr="00CD03C3">
        <w:rPr>
          <w:rFonts w:ascii="Arial" w:hAnsi="Arial" w:cs="Arial"/>
        </w:rPr>
        <w:t>Transformation: Investing</w:t>
      </w:r>
      <w:r w:rsidRPr="00CD03C3">
        <w:rPr>
          <w:rFonts w:ascii="Arial" w:hAnsi="Arial" w:cs="Arial"/>
        </w:rPr>
        <w:t xml:space="preserve"> in technology to enhance online shopping experiences and streamline operations can improve efficiency and customer satisfaction (Chaffey &amp; Ellis-Chadwick, 2019).</w:t>
      </w:r>
    </w:p>
    <w:p w14:paraId="485171A6" w14:textId="4B4E51A9" w:rsidR="00FC14E5" w:rsidRPr="00CD03C3" w:rsidRDefault="00FC14E5" w:rsidP="00CD03C3">
      <w:pPr>
        <w:spacing w:line="360" w:lineRule="auto"/>
        <w:rPr>
          <w:rFonts w:ascii="Arial" w:hAnsi="Arial" w:cs="Arial"/>
        </w:rPr>
      </w:pPr>
      <w:r w:rsidRPr="00CD03C3">
        <w:rPr>
          <w:rFonts w:ascii="Arial" w:hAnsi="Arial" w:cs="Arial"/>
        </w:rPr>
        <w:t>- Sustainability Initiatives: Focusing on sustainability can attract environmentally conscious consumers and comply with regulatory demands (Henry, 2018).</w:t>
      </w:r>
    </w:p>
    <w:p w14:paraId="4B738913" w14:textId="0B59C6F0" w:rsidR="00FC14E5" w:rsidRPr="00CD03C3" w:rsidRDefault="00FC14E5" w:rsidP="00CD03C3">
      <w:pPr>
        <w:spacing w:line="360" w:lineRule="auto"/>
        <w:rPr>
          <w:rFonts w:ascii="Arial" w:hAnsi="Arial" w:cs="Arial"/>
        </w:rPr>
      </w:pPr>
      <w:r w:rsidRPr="00CD03C3">
        <w:rPr>
          <w:rFonts w:ascii="Arial" w:hAnsi="Arial" w:cs="Arial"/>
        </w:rPr>
        <w:t>Threats:</w:t>
      </w:r>
    </w:p>
    <w:p w14:paraId="2A5E7FD6" w14:textId="04B593F0" w:rsidR="00FC14E5" w:rsidRPr="00CD03C3" w:rsidRDefault="00FC14E5" w:rsidP="00CD03C3">
      <w:pPr>
        <w:spacing w:line="360" w:lineRule="auto"/>
        <w:rPr>
          <w:rFonts w:ascii="Arial" w:hAnsi="Arial" w:cs="Arial"/>
        </w:rPr>
      </w:pPr>
      <w:r w:rsidRPr="00CD03C3">
        <w:rPr>
          <w:rFonts w:ascii="Arial" w:hAnsi="Arial" w:cs="Arial"/>
        </w:rPr>
        <w:t>- Intense Competition: Tesco faces strong competition from other major retailers like Aldi, Lidl, and Sainsbury’s, which can impact market share (Kotler &amp; Keller, 2016).</w:t>
      </w:r>
    </w:p>
    <w:p w14:paraId="065AF7BB" w14:textId="1DFD2ACF" w:rsidR="00FC14E5" w:rsidRPr="00CD03C3" w:rsidRDefault="00FC14E5" w:rsidP="00CD03C3">
      <w:pPr>
        <w:spacing w:line="360" w:lineRule="auto"/>
        <w:rPr>
          <w:rFonts w:ascii="Arial" w:hAnsi="Arial" w:cs="Arial"/>
        </w:rPr>
      </w:pPr>
      <w:r w:rsidRPr="00CD03C3">
        <w:rPr>
          <w:rFonts w:ascii="Arial" w:hAnsi="Arial" w:cs="Arial"/>
        </w:rPr>
        <w:t>- Economic Uncertainty:</w:t>
      </w:r>
      <w:r w:rsidR="00257E81" w:rsidRPr="00CD03C3">
        <w:rPr>
          <w:rFonts w:ascii="Arial" w:hAnsi="Arial" w:cs="Arial"/>
        </w:rPr>
        <w:t xml:space="preserve"> </w:t>
      </w:r>
      <w:r w:rsidRPr="00CD03C3">
        <w:rPr>
          <w:rFonts w:ascii="Arial" w:hAnsi="Arial" w:cs="Arial"/>
        </w:rPr>
        <w:t>Economic fluctuations, particularly post-Brexit, can affect consumer spending and supply chain stability (Hill &amp; Jones, 2012).</w:t>
      </w:r>
    </w:p>
    <w:p w14:paraId="6ADE833E" w14:textId="4B1D0A46" w:rsidR="00FC14E5" w:rsidRPr="00CD03C3" w:rsidRDefault="00FC14E5" w:rsidP="00CD03C3">
      <w:pPr>
        <w:spacing w:line="360" w:lineRule="auto"/>
        <w:rPr>
          <w:rFonts w:ascii="Arial" w:hAnsi="Arial" w:cs="Arial"/>
        </w:rPr>
      </w:pPr>
      <w:r w:rsidRPr="00CD03C3">
        <w:rPr>
          <w:rFonts w:ascii="Arial" w:hAnsi="Arial" w:cs="Arial"/>
        </w:rPr>
        <w:t>- Regulatory Changes: New regulations or changes in existing laws can increase operational costs and impact profitability (Wheelen &amp; Hunger, 2011).</w:t>
      </w:r>
    </w:p>
    <w:p w14:paraId="2C3C5EAB" w14:textId="74103D5B" w:rsidR="00FC14E5" w:rsidRPr="00CD03C3" w:rsidRDefault="00FC14E5" w:rsidP="00CD03C3">
      <w:pPr>
        <w:spacing w:line="360" w:lineRule="auto"/>
        <w:rPr>
          <w:rFonts w:ascii="Arial" w:hAnsi="Arial" w:cs="Arial"/>
        </w:rPr>
      </w:pPr>
      <w:r w:rsidRPr="00CD03C3">
        <w:rPr>
          <w:rFonts w:ascii="Arial" w:hAnsi="Arial" w:cs="Arial"/>
        </w:rPr>
        <w:lastRenderedPageBreak/>
        <w:t>Usefulness of SWOT Analysis</w:t>
      </w:r>
    </w:p>
    <w:p w14:paraId="230891E0" w14:textId="77777777" w:rsidR="00FC14E5" w:rsidRPr="00CD03C3" w:rsidRDefault="00FC14E5" w:rsidP="00CD03C3">
      <w:pPr>
        <w:spacing w:line="360" w:lineRule="auto"/>
        <w:rPr>
          <w:rFonts w:ascii="Arial" w:hAnsi="Arial" w:cs="Arial"/>
        </w:rPr>
      </w:pPr>
      <w:r w:rsidRPr="00CD03C3">
        <w:rPr>
          <w:rFonts w:ascii="Arial" w:hAnsi="Arial" w:cs="Arial"/>
        </w:rPr>
        <w:t>The SWOT analysis is instrumental in formulating strategic plans for Tesco. By leveraging its strengths such as strong brand recognition and extensive distribution network, Tesco can capitalize on opportunities like market expansion and digital transformation. Identifying weaknesses such as high operating costs allows Tesco to implement cost-reduction strategies. Awareness of external threats enables Tesco to develop contingency plans and stay competitive in the market. Thus, the SWOT analysis is a valuable tool for Tesco to navigate its business environment and ensure sustained success.</w:t>
      </w:r>
    </w:p>
    <w:p w14:paraId="6086FF93" w14:textId="6FE6DF2F" w:rsidR="00FC14E5" w:rsidRPr="00CD03C3" w:rsidRDefault="00FC14E5" w:rsidP="00CD03C3">
      <w:pPr>
        <w:spacing w:line="360" w:lineRule="auto"/>
        <w:rPr>
          <w:rFonts w:ascii="Arial" w:hAnsi="Arial" w:cs="Arial"/>
        </w:rPr>
      </w:pPr>
      <w:r w:rsidRPr="00CD03C3">
        <w:rPr>
          <w:rFonts w:ascii="Arial" w:hAnsi="Arial" w:cs="Arial"/>
        </w:rPr>
        <w:t>Conclusion</w:t>
      </w:r>
    </w:p>
    <w:p w14:paraId="3607A549" w14:textId="77777777" w:rsidR="00FC14E5" w:rsidRPr="00CD03C3" w:rsidRDefault="00FC14E5" w:rsidP="00CD03C3">
      <w:pPr>
        <w:spacing w:line="360" w:lineRule="auto"/>
        <w:rPr>
          <w:rFonts w:ascii="Arial" w:hAnsi="Arial" w:cs="Arial"/>
        </w:rPr>
      </w:pPr>
      <w:r w:rsidRPr="00CD03C3">
        <w:rPr>
          <w:rFonts w:ascii="Arial" w:hAnsi="Arial" w:cs="Arial"/>
        </w:rPr>
        <w:t>The use of PESTEL and SWOT analysis tools provides a comprehensive understanding of Tesco’s business environment and competitive position. These tools help identify the key factors influencing Tesco’s operations and strategize effectively to maintain and enhance its market position. Employing these analytical frameworks is crucial for Tesco to adapt to dynamic market conditions and achieve long-term success.</w:t>
      </w:r>
    </w:p>
    <w:p w14:paraId="25EB9156" w14:textId="47567EC2" w:rsidR="00FC14E5" w:rsidRPr="00CD03C3" w:rsidRDefault="00FC14E5" w:rsidP="00CD03C3">
      <w:pPr>
        <w:spacing w:line="360" w:lineRule="auto"/>
        <w:rPr>
          <w:rFonts w:ascii="Arial" w:hAnsi="Arial" w:cs="Arial"/>
        </w:rPr>
      </w:pPr>
      <w:r w:rsidRPr="00CD03C3">
        <w:rPr>
          <w:rFonts w:ascii="Arial" w:hAnsi="Arial" w:cs="Arial"/>
        </w:rPr>
        <w:t>References</w:t>
      </w:r>
    </w:p>
    <w:p w14:paraId="59336A3B" w14:textId="641BEB28" w:rsidR="00FC14E5" w:rsidRPr="00CD03C3" w:rsidRDefault="00FC14E5" w:rsidP="00CD03C3">
      <w:pPr>
        <w:spacing w:line="360" w:lineRule="auto"/>
        <w:rPr>
          <w:rFonts w:ascii="Arial" w:hAnsi="Arial" w:cs="Arial"/>
        </w:rPr>
      </w:pPr>
      <w:r w:rsidRPr="00CD03C3">
        <w:rPr>
          <w:rFonts w:ascii="Arial" w:hAnsi="Arial" w:cs="Arial"/>
        </w:rPr>
        <w:t>- Chaffey, D., &amp; Ellis-Chadwick, F. (2019). Digital Marketing: Strategy, Implementation and Practice. Pearson.</w:t>
      </w:r>
    </w:p>
    <w:p w14:paraId="247F390B" w14:textId="4A6BC1FB" w:rsidR="00FC14E5" w:rsidRPr="00CD03C3" w:rsidRDefault="00FC14E5" w:rsidP="00CD03C3">
      <w:pPr>
        <w:spacing w:line="360" w:lineRule="auto"/>
        <w:rPr>
          <w:rFonts w:ascii="Arial" w:hAnsi="Arial" w:cs="Arial"/>
        </w:rPr>
      </w:pPr>
      <w:r w:rsidRPr="00CD03C3">
        <w:rPr>
          <w:rFonts w:ascii="Arial" w:hAnsi="Arial" w:cs="Arial"/>
        </w:rPr>
        <w:t>- Grant, R. M. (2016). Contemporary Strategy Analysis. Wiley.</w:t>
      </w:r>
    </w:p>
    <w:p w14:paraId="3FBC2C25" w14:textId="576359F9" w:rsidR="00FC14E5" w:rsidRPr="00CD03C3" w:rsidRDefault="00FC14E5" w:rsidP="00CD03C3">
      <w:pPr>
        <w:spacing w:line="360" w:lineRule="auto"/>
        <w:rPr>
          <w:rFonts w:ascii="Arial" w:hAnsi="Arial" w:cs="Arial"/>
        </w:rPr>
      </w:pPr>
      <w:r w:rsidRPr="00CD03C3">
        <w:rPr>
          <w:rFonts w:ascii="Arial" w:hAnsi="Arial" w:cs="Arial"/>
        </w:rPr>
        <w:t>- Henry, A. (2018). Understanding Strategic Management. Oxford University Press.</w:t>
      </w:r>
    </w:p>
    <w:p w14:paraId="30F6566B" w14:textId="3AD9FA47" w:rsidR="00FC14E5" w:rsidRPr="00CD03C3" w:rsidRDefault="00FC14E5" w:rsidP="00CD03C3">
      <w:pPr>
        <w:spacing w:line="360" w:lineRule="auto"/>
        <w:rPr>
          <w:rFonts w:ascii="Arial" w:hAnsi="Arial" w:cs="Arial"/>
        </w:rPr>
      </w:pPr>
      <w:r w:rsidRPr="00CD03C3">
        <w:rPr>
          <w:rFonts w:ascii="Arial" w:hAnsi="Arial" w:cs="Arial"/>
        </w:rPr>
        <w:t xml:space="preserve">- Hill, C. W. L., &amp; Jones, G. R. (2012). *Strategic Management: An Integrated </w:t>
      </w:r>
      <w:r w:rsidR="00257E81" w:rsidRPr="00CD03C3">
        <w:rPr>
          <w:rFonts w:ascii="Arial" w:hAnsi="Arial" w:cs="Arial"/>
        </w:rPr>
        <w:t>Approach</w:t>
      </w:r>
      <w:r w:rsidRPr="00CD03C3">
        <w:rPr>
          <w:rFonts w:ascii="Arial" w:hAnsi="Arial" w:cs="Arial"/>
        </w:rPr>
        <w:t>. Cengage Learning.</w:t>
      </w:r>
    </w:p>
    <w:p w14:paraId="755E0B94" w14:textId="22FD95C0" w:rsidR="00FC14E5" w:rsidRPr="00CD03C3" w:rsidRDefault="00FC14E5" w:rsidP="00CD03C3">
      <w:pPr>
        <w:spacing w:line="360" w:lineRule="auto"/>
        <w:rPr>
          <w:rFonts w:ascii="Arial" w:hAnsi="Arial" w:cs="Arial"/>
        </w:rPr>
      </w:pPr>
      <w:r w:rsidRPr="00CD03C3">
        <w:rPr>
          <w:rFonts w:ascii="Arial" w:hAnsi="Arial" w:cs="Arial"/>
        </w:rPr>
        <w:t>- Johnson, G., Scholes, K., &amp; Whittington, R. (2008). *Exploring Corporate Strategy: Text and Cases. Pearson Education.</w:t>
      </w:r>
    </w:p>
    <w:p w14:paraId="33EF1C43" w14:textId="7C03B711" w:rsidR="00FC14E5" w:rsidRPr="00CD03C3" w:rsidRDefault="00FC14E5" w:rsidP="00CD03C3">
      <w:pPr>
        <w:spacing w:line="360" w:lineRule="auto"/>
        <w:rPr>
          <w:rFonts w:ascii="Arial" w:hAnsi="Arial" w:cs="Arial"/>
        </w:rPr>
      </w:pPr>
      <w:r w:rsidRPr="00CD03C3">
        <w:rPr>
          <w:rFonts w:ascii="Arial" w:hAnsi="Arial" w:cs="Arial"/>
        </w:rPr>
        <w:t>- Kotler, P., &amp; Keller, K. L. (2016). Marketing Management. Pearson.</w:t>
      </w:r>
    </w:p>
    <w:p w14:paraId="446A2A7E" w14:textId="35930462" w:rsidR="00595919" w:rsidRPr="00CD03C3" w:rsidRDefault="00FC14E5" w:rsidP="00CD03C3">
      <w:pPr>
        <w:spacing w:line="360" w:lineRule="auto"/>
        <w:rPr>
          <w:rFonts w:ascii="Arial" w:hAnsi="Arial" w:cs="Arial"/>
        </w:rPr>
      </w:pPr>
      <w:r w:rsidRPr="00CD03C3">
        <w:rPr>
          <w:rFonts w:ascii="Arial" w:hAnsi="Arial" w:cs="Arial"/>
        </w:rPr>
        <w:t>- Wheelen, T. L., &amp; Hunger, J. D. (2011). *Strategic Management and Business Policy: Toward Global Sustainability. Pearson.</w:t>
      </w:r>
    </w:p>
    <w:sectPr w:rsidR="00595919" w:rsidRPr="00CD03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A45"/>
    <w:rsid w:val="000861DD"/>
    <w:rsid w:val="00123908"/>
    <w:rsid w:val="00257E81"/>
    <w:rsid w:val="00337477"/>
    <w:rsid w:val="0038596D"/>
    <w:rsid w:val="003C050E"/>
    <w:rsid w:val="004C7E43"/>
    <w:rsid w:val="00595919"/>
    <w:rsid w:val="0086635B"/>
    <w:rsid w:val="00971496"/>
    <w:rsid w:val="00A03F3C"/>
    <w:rsid w:val="00A643DD"/>
    <w:rsid w:val="00AA2FC7"/>
    <w:rsid w:val="00C0789D"/>
    <w:rsid w:val="00C16063"/>
    <w:rsid w:val="00C73EA4"/>
    <w:rsid w:val="00CB5B3D"/>
    <w:rsid w:val="00CD03C3"/>
    <w:rsid w:val="00E271B0"/>
    <w:rsid w:val="00E84359"/>
    <w:rsid w:val="00EC1A45"/>
    <w:rsid w:val="00F6046C"/>
    <w:rsid w:val="00FC14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4A34B"/>
  <w15:chartTrackingRefBased/>
  <w15:docId w15:val="{0E93A712-9E1F-497F-875D-07E33D08C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1A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1A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1A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1A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1A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1A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1A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1A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1A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1A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1A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1A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1A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1A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1A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1A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1A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1A45"/>
    <w:rPr>
      <w:rFonts w:eastAsiaTheme="majorEastAsia" w:cstheme="majorBidi"/>
      <w:color w:val="272727" w:themeColor="text1" w:themeTint="D8"/>
    </w:rPr>
  </w:style>
  <w:style w:type="paragraph" w:styleId="Title">
    <w:name w:val="Title"/>
    <w:basedOn w:val="Normal"/>
    <w:next w:val="Normal"/>
    <w:link w:val="TitleChar"/>
    <w:uiPriority w:val="10"/>
    <w:qFormat/>
    <w:rsid w:val="00EC1A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1A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1A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1A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1A45"/>
    <w:pPr>
      <w:spacing w:before="160"/>
      <w:jc w:val="center"/>
    </w:pPr>
    <w:rPr>
      <w:i/>
      <w:iCs/>
      <w:color w:val="404040" w:themeColor="text1" w:themeTint="BF"/>
    </w:rPr>
  </w:style>
  <w:style w:type="character" w:customStyle="1" w:styleId="QuoteChar">
    <w:name w:val="Quote Char"/>
    <w:basedOn w:val="DefaultParagraphFont"/>
    <w:link w:val="Quote"/>
    <w:uiPriority w:val="29"/>
    <w:rsid w:val="00EC1A45"/>
    <w:rPr>
      <w:i/>
      <w:iCs/>
      <w:color w:val="404040" w:themeColor="text1" w:themeTint="BF"/>
    </w:rPr>
  </w:style>
  <w:style w:type="paragraph" w:styleId="ListParagraph">
    <w:name w:val="List Paragraph"/>
    <w:basedOn w:val="Normal"/>
    <w:uiPriority w:val="34"/>
    <w:qFormat/>
    <w:rsid w:val="00EC1A45"/>
    <w:pPr>
      <w:ind w:left="720"/>
      <w:contextualSpacing/>
    </w:pPr>
  </w:style>
  <w:style w:type="character" w:styleId="IntenseEmphasis">
    <w:name w:val="Intense Emphasis"/>
    <w:basedOn w:val="DefaultParagraphFont"/>
    <w:uiPriority w:val="21"/>
    <w:qFormat/>
    <w:rsid w:val="00EC1A45"/>
    <w:rPr>
      <w:i/>
      <w:iCs/>
      <w:color w:val="0F4761" w:themeColor="accent1" w:themeShade="BF"/>
    </w:rPr>
  </w:style>
  <w:style w:type="paragraph" w:styleId="IntenseQuote">
    <w:name w:val="Intense Quote"/>
    <w:basedOn w:val="Normal"/>
    <w:next w:val="Normal"/>
    <w:link w:val="IntenseQuoteChar"/>
    <w:uiPriority w:val="30"/>
    <w:qFormat/>
    <w:rsid w:val="00EC1A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1A45"/>
    <w:rPr>
      <w:i/>
      <w:iCs/>
      <w:color w:val="0F4761" w:themeColor="accent1" w:themeShade="BF"/>
    </w:rPr>
  </w:style>
  <w:style w:type="character" w:styleId="IntenseReference">
    <w:name w:val="Intense Reference"/>
    <w:basedOn w:val="DefaultParagraphFont"/>
    <w:uiPriority w:val="32"/>
    <w:qFormat/>
    <w:rsid w:val="00EC1A45"/>
    <w:rPr>
      <w:b/>
      <w:bCs/>
      <w:smallCaps/>
      <w:color w:val="0F4761" w:themeColor="accent1" w:themeShade="BF"/>
      <w:spacing w:val="5"/>
    </w:rPr>
  </w:style>
  <w:style w:type="paragraph" w:styleId="NormalWeb">
    <w:name w:val="Normal (Web)"/>
    <w:basedOn w:val="Normal"/>
    <w:uiPriority w:val="99"/>
    <w:semiHidden/>
    <w:unhideWhenUsed/>
    <w:rsid w:val="0012390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4652330">
      <w:bodyDiv w:val="1"/>
      <w:marLeft w:val="0"/>
      <w:marRight w:val="0"/>
      <w:marTop w:val="0"/>
      <w:marBottom w:val="0"/>
      <w:divBdr>
        <w:top w:val="none" w:sz="0" w:space="0" w:color="auto"/>
        <w:left w:val="none" w:sz="0" w:space="0" w:color="auto"/>
        <w:bottom w:val="none" w:sz="0" w:space="0" w:color="auto"/>
        <w:right w:val="none" w:sz="0" w:space="0" w:color="auto"/>
      </w:divBdr>
    </w:div>
    <w:div w:id="1608544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1010</Words>
  <Characters>5759</Characters>
  <Application>Microsoft Office Word</Application>
  <DocSecurity>0</DocSecurity>
  <Lines>47</Lines>
  <Paragraphs>13</Paragraphs>
  <ScaleCrop>false</ScaleCrop>
  <Company/>
  <LinksUpToDate>false</LinksUpToDate>
  <CharactersWithSpaces>6756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Alexandru Buscu (2245144)</dc:creator>
  <cp:keywords/>
  <dc:description/>
  <cp:lastModifiedBy>Mihai Alexandru Buscu (2245144)</cp:lastModifiedBy>
  <cp:revision>17</cp:revision>
  <dcterms:created xsi:type="dcterms:W3CDTF">2024-06-26T13:36:00Z</dcterms:created>
  <dcterms:modified xsi:type="dcterms:W3CDTF">2024-06-30T14:57:00Z</dcterms:modified>
</cp:coreProperties>
</file>