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CBBBF" w14:textId="20009C97" w:rsidR="00B94C8E" w:rsidRDefault="002B48CA">
      <w:pPr>
        <w:spacing w:line="360" w:lineRule="auto"/>
        <w:jc w:val="center"/>
        <w:rPr>
          <w:b/>
          <w:sz w:val="32"/>
          <w:szCs w:val="32"/>
        </w:rPr>
      </w:pPr>
      <w:r>
        <w:rPr>
          <w:b/>
          <w:sz w:val="32"/>
          <w:szCs w:val="32"/>
        </w:rPr>
        <w:t>1/.</w:t>
      </w:r>
      <w:r w:rsidR="00204067">
        <w:rPr>
          <w:b/>
          <w:sz w:val="32"/>
          <w:szCs w:val="32"/>
        </w:rPr>
        <w:t>QUALITY GOVERNANCE FAILURE IN UK CARE HOMES DURING THE COVID-19 PANDEMIC: A SERVICE IMPROVEMENT ANALYSIS</w:t>
      </w:r>
    </w:p>
    <w:p w14:paraId="6FCCBBC0" w14:textId="77777777" w:rsidR="00B94C8E" w:rsidRDefault="00B94C8E"/>
    <w:p w14:paraId="6FCCBBC1" w14:textId="77777777" w:rsidR="00B94C8E" w:rsidRDefault="00B94C8E"/>
    <w:p w14:paraId="6FCCBBC2" w14:textId="77777777" w:rsidR="00B94C8E" w:rsidRDefault="00B94C8E"/>
    <w:p w14:paraId="6FCCBBC3" w14:textId="77777777" w:rsidR="00B94C8E" w:rsidRDefault="00204067">
      <w:pPr>
        <w:tabs>
          <w:tab w:val="left" w:pos="3036"/>
        </w:tabs>
      </w:pPr>
      <w:r>
        <w:rPr>
          <w:b/>
          <w:sz w:val="32"/>
          <w:szCs w:val="32"/>
        </w:rPr>
        <w:tab/>
      </w:r>
      <w:r>
        <w:rPr>
          <w:b/>
          <w:sz w:val="24"/>
          <w:szCs w:val="24"/>
        </w:rPr>
        <w:t>Student Name: Gita Dasa</w:t>
      </w:r>
    </w:p>
    <w:p w14:paraId="6FCCBBC4" w14:textId="77777777" w:rsidR="00B94C8E" w:rsidRDefault="00204067">
      <w:pPr>
        <w:tabs>
          <w:tab w:val="left" w:pos="3036"/>
        </w:tabs>
      </w:pPr>
      <w:r>
        <w:rPr>
          <w:sz w:val="24"/>
          <w:szCs w:val="24"/>
        </w:rPr>
        <w:tab/>
      </w:r>
      <w:r>
        <w:rPr>
          <w:b/>
          <w:bCs w:val="0"/>
          <w:sz w:val="24"/>
          <w:szCs w:val="24"/>
        </w:rPr>
        <w:t>Student Id: 2506059</w:t>
      </w:r>
    </w:p>
    <w:p w14:paraId="6FCCBBC5" w14:textId="77777777" w:rsidR="00B94C8E" w:rsidRDefault="00204067">
      <w:pPr>
        <w:tabs>
          <w:tab w:val="left" w:pos="3036"/>
        </w:tabs>
        <w:rPr>
          <w:b/>
          <w:bCs w:val="0"/>
          <w:sz w:val="24"/>
          <w:szCs w:val="24"/>
        </w:rPr>
      </w:pPr>
      <w:r>
        <w:rPr>
          <w:b/>
          <w:bCs w:val="0"/>
          <w:sz w:val="24"/>
          <w:szCs w:val="24"/>
        </w:rPr>
        <w:tab/>
        <w:t>Module: Quality Assurance and Service Improvement</w:t>
      </w:r>
    </w:p>
    <w:p w14:paraId="6FCCBBC6" w14:textId="77777777" w:rsidR="00B94C8E" w:rsidRDefault="00204067">
      <w:pPr>
        <w:tabs>
          <w:tab w:val="left" w:pos="3036"/>
        </w:tabs>
        <w:rPr>
          <w:b/>
          <w:bCs w:val="0"/>
          <w:sz w:val="24"/>
          <w:szCs w:val="24"/>
        </w:rPr>
      </w:pPr>
      <w:r>
        <w:rPr>
          <w:b/>
          <w:bCs w:val="0"/>
          <w:sz w:val="24"/>
          <w:szCs w:val="24"/>
        </w:rPr>
        <w:tab/>
        <w:t>Module Code: LCHS7006</w:t>
      </w:r>
    </w:p>
    <w:p w14:paraId="6FCCBBC7" w14:textId="77777777" w:rsidR="00B94C8E" w:rsidRDefault="00204067">
      <w:pPr>
        <w:tabs>
          <w:tab w:val="left" w:pos="3036"/>
        </w:tabs>
        <w:rPr>
          <w:b/>
          <w:bCs w:val="0"/>
          <w:sz w:val="24"/>
          <w:szCs w:val="24"/>
        </w:rPr>
      </w:pPr>
      <w:r>
        <w:rPr>
          <w:b/>
          <w:bCs w:val="0"/>
          <w:sz w:val="24"/>
          <w:szCs w:val="24"/>
        </w:rPr>
        <w:tab/>
        <w:t xml:space="preserve">Lecturer’s Name: Dr Fahad Khan  </w:t>
      </w:r>
    </w:p>
    <w:p w14:paraId="6FCCBBC8" w14:textId="77777777" w:rsidR="00B94C8E" w:rsidRDefault="00204067">
      <w:pPr>
        <w:tabs>
          <w:tab w:val="left" w:pos="3036"/>
        </w:tabs>
        <w:rPr>
          <w:b/>
          <w:bCs w:val="0"/>
          <w:sz w:val="24"/>
          <w:szCs w:val="24"/>
        </w:rPr>
      </w:pPr>
      <w:r>
        <w:rPr>
          <w:b/>
          <w:bCs w:val="0"/>
          <w:sz w:val="24"/>
          <w:szCs w:val="24"/>
        </w:rPr>
        <w:t xml:space="preserve">                                                    Assignment Title: Component 2                                       </w:t>
      </w:r>
    </w:p>
    <w:p w14:paraId="6FCCBBC9" w14:textId="77777777" w:rsidR="00B94C8E" w:rsidRDefault="00204067">
      <w:pPr>
        <w:spacing w:line="360" w:lineRule="auto"/>
        <w:jc w:val="center"/>
      </w:pPr>
      <w:r>
        <w:rPr>
          <w:b/>
          <w:bCs w:val="0"/>
          <w:sz w:val="24"/>
          <w:szCs w:val="24"/>
        </w:rPr>
        <w:t xml:space="preserve">                                                                       SERVICE IMPROVEMENT ANALYSIS</w:t>
      </w:r>
    </w:p>
    <w:p w14:paraId="6FCCBBCA" w14:textId="77777777" w:rsidR="00B94C8E" w:rsidRDefault="00B94C8E">
      <w:pPr>
        <w:tabs>
          <w:tab w:val="left" w:pos="3036"/>
        </w:tabs>
      </w:pPr>
    </w:p>
    <w:p w14:paraId="6FCCBBCB" w14:textId="77777777" w:rsidR="00B94C8E" w:rsidRDefault="00B94C8E">
      <w:pPr>
        <w:spacing w:line="360" w:lineRule="auto"/>
        <w:rPr>
          <w:bCs w:val="0"/>
        </w:rPr>
      </w:pPr>
    </w:p>
    <w:p w14:paraId="6FCCBBCC" w14:textId="77777777" w:rsidR="00B94C8E" w:rsidRDefault="00B94C8E">
      <w:pPr>
        <w:jc w:val="center"/>
      </w:pPr>
    </w:p>
    <w:p w14:paraId="6FCCBBCD" w14:textId="77777777" w:rsidR="00B94C8E" w:rsidRDefault="00B94C8E">
      <w:pPr>
        <w:pageBreakBefore/>
        <w:spacing w:line="360" w:lineRule="auto"/>
        <w:rPr>
          <w:b/>
          <w:bCs w:val="0"/>
        </w:rPr>
      </w:pPr>
    </w:p>
    <w:p w14:paraId="6FCCBBCE" w14:textId="77777777" w:rsidR="00B94C8E" w:rsidRDefault="00204067">
      <w:pPr>
        <w:pStyle w:val="TOCHeading"/>
        <w:spacing w:line="360" w:lineRule="auto"/>
        <w:jc w:val="center"/>
        <w:outlineLvl w:val="9"/>
      </w:pPr>
      <w:r>
        <w:rPr>
          <w:rFonts w:ascii="Times New Roman" w:hAnsi="Times New Roman"/>
          <w:b/>
          <w:color w:val="auto"/>
          <w:sz w:val="24"/>
          <w:szCs w:val="24"/>
        </w:rPr>
        <w:t>Table of Contents</w:t>
      </w:r>
    </w:p>
    <w:p w14:paraId="6FCCBBCF" w14:textId="77777777" w:rsidR="00B94C8E" w:rsidRDefault="00204067">
      <w:pPr>
        <w:pStyle w:val="TOC1"/>
        <w:tabs>
          <w:tab w:val="right" w:leader="dot" w:pos="9016"/>
        </w:tabs>
        <w:spacing w:line="360" w:lineRule="auto"/>
      </w:pPr>
      <w:r>
        <w:rPr>
          <w:rFonts w:ascii="Aptos Display" w:eastAsia="Times New Roman" w:hAnsi="Aptos Display"/>
          <w:color w:val="0F4761"/>
          <w:kern w:val="0"/>
          <w:sz w:val="32"/>
          <w:szCs w:val="32"/>
          <w:lang w:val="en-US"/>
        </w:rPr>
        <w:fldChar w:fldCharType="begin"/>
      </w:r>
      <w:r>
        <w:instrText xml:space="preserve"> TOC \o "1-3" \u \h </w:instrText>
      </w:r>
      <w:r>
        <w:rPr>
          <w:rFonts w:ascii="Aptos Display" w:eastAsia="Times New Roman" w:hAnsi="Aptos Display"/>
          <w:color w:val="0F4761"/>
          <w:kern w:val="0"/>
          <w:sz w:val="32"/>
          <w:szCs w:val="32"/>
          <w:lang w:val="en-US"/>
        </w:rPr>
        <w:fldChar w:fldCharType="separate"/>
      </w:r>
      <w:hyperlink w:anchor="_Toc224130213" w:history="1">
        <w:r>
          <w:rPr>
            <w:rStyle w:val="Hyperlink"/>
          </w:rPr>
          <w:t>1. Introduction of the Case Study</w:t>
        </w:r>
        <w:r>
          <w:tab/>
          <w:t>3</w:t>
        </w:r>
      </w:hyperlink>
    </w:p>
    <w:p w14:paraId="6FCCBBD0" w14:textId="77777777" w:rsidR="00B94C8E" w:rsidRDefault="00204067">
      <w:pPr>
        <w:pStyle w:val="TOC1"/>
        <w:tabs>
          <w:tab w:val="right" w:leader="dot" w:pos="9016"/>
        </w:tabs>
        <w:spacing w:line="360" w:lineRule="auto"/>
      </w:pPr>
      <w:hyperlink w:anchor="_Toc224130214" w:history="1">
        <w:r>
          <w:rPr>
            <w:rStyle w:val="Hyperlink"/>
          </w:rPr>
          <w:t>2. Quality Assurance in Healthcare</w:t>
        </w:r>
        <w:r>
          <w:tab/>
          <w:t>4</w:t>
        </w:r>
      </w:hyperlink>
    </w:p>
    <w:p w14:paraId="6FCCBBD1" w14:textId="77777777" w:rsidR="00B94C8E" w:rsidRDefault="00204067">
      <w:pPr>
        <w:pStyle w:val="TOC1"/>
        <w:tabs>
          <w:tab w:val="right" w:leader="dot" w:pos="9016"/>
        </w:tabs>
        <w:spacing w:line="360" w:lineRule="auto"/>
      </w:pPr>
      <w:hyperlink w:anchor="_Toc224130215" w:history="1">
        <w:r>
          <w:rPr>
            <w:rStyle w:val="Hyperlink"/>
          </w:rPr>
          <w:t>3. Summary of Component 1</w:t>
        </w:r>
        <w:r>
          <w:tab/>
          <w:t>5</w:t>
        </w:r>
      </w:hyperlink>
    </w:p>
    <w:p w14:paraId="6FCCBBD2" w14:textId="77777777" w:rsidR="00B94C8E" w:rsidRDefault="00204067">
      <w:pPr>
        <w:pStyle w:val="TOC1"/>
        <w:tabs>
          <w:tab w:val="right" w:leader="dot" w:pos="9016"/>
        </w:tabs>
        <w:spacing w:line="360" w:lineRule="auto"/>
      </w:pPr>
      <w:r>
        <w:t>4. Donabedian Model………………………………………………………………………………...…5</w:t>
      </w:r>
    </w:p>
    <w:p w14:paraId="6FCCBBD3" w14:textId="77777777" w:rsidR="00B94C8E" w:rsidRDefault="00204067">
      <w:pPr>
        <w:pStyle w:val="TOC1"/>
        <w:tabs>
          <w:tab w:val="right" w:leader="dot" w:pos="9016"/>
        </w:tabs>
        <w:spacing w:line="360" w:lineRule="auto"/>
      </w:pPr>
      <w:hyperlink w:anchor="_Toc224130218" w:history="1">
        <w:r>
          <w:rPr>
            <w:rStyle w:val="Hyperlink"/>
          </w:rPr>
          <w:t>5. Root Cause Analysis – Fishbone / 5 Whys</w:t>
        </w:r>
        <w:r>
          <w:tab/>
          <w:t>7</w:t>
        </w:r>
      </w:hyperlink>
    </w:p>
    <w:p w14:paraId="6FCCBBD4" w14:textId="77777777" w:rsidR="00B94C8E" w:rsidRDefault="00204067">
      <w:pPr>
        <w:pStyle w:val="TOC1"/>
        <w:tabs>
          <w:tab w:val="right" w:leader="dot" w:pos="9016"/>
        </w:tabs>
        <w:spacing w:line="360" w:lineRule="auto"/>
      </w:pPr>
      <w:hyperlink w:anchor="_Toc224130219" w:history="1">
        <w:r>
          <w:rPr>
            <w:rStyle w:val="Hyperlink"/>
          </w:rPr>
          <w:t>6. Strategic Analysis – SWOT</w:t>
        </w:r>
        <w:r>
          <w:tab/>
          <w:t>9</w:t>
        </w:r>
      </w:hyperlink>
    </w:p>
    <w:p w14:paraId="6FCCBBD5" w14:textId="77777777" w:rsidR="00B94C8E" w:rsidRDefault="00204067">
      <w:pPr>
        <w:pStyle w:val="TOC1"/>
        <w:tabs>
          <w:tab w:val="right" w:leader="dot" w:pos="9016"/>
        </w:tabs>
        <w:spacing w:line="360" w:lineRule="auto"/>
      </w:pPr>
      <w:hyperlink w:anchor="_Toc224130220" w:history="1">
        <w:r>
          <w:rPr>
            <w:rStyle w:val="Hyperlink"/>
          </w:rPr>
          <w:t>7. PDSA Cycle</w:t>
        </w:r>
        <w:r>
          <w:tab/>
          <w:t>10</w:t>
        </w:r>
      </w:hyperlink>
    </w:p>
    <w:p w14:paraId="6FCCBBD6" w14:textId="77777777" w:rsidR="00B94C8E" w:rsidRDefault="00204067">
      <w:pPr>
        <w:pStyle w:val="TOC1"/>
        <w:tabs>
          <w:tab w:val="right" w:leader="dot" w:pos="9016"/>
        </w:tabs>
        <w:spacing w:line="360" w:lineRule="auto"/>
      </w:pPr>
      <w:hyperlink w:anchor="_Toc224130221" w:history="1">
        <w:r>
          <w:rPr>
            <w:rStyle w:val="Hyperlink"/>
          </w:rPr>
          <w:t>8. Change Management Model</w:t>
        </w:r>
        <w:r>
          <w:tab/>
          <w:t>11</w:t>
        </w:r>
      </w:hyperlink>
    </w:p>
    <w:p w14:paraId="6FCCBBD7" w14:textId="77777777" w:rsidR="00B94C8E" w:rsidRDefault="00204067">
      <w:pPr>
        <w:pStyle w:val="TOC1"/>
        <w:tabs>
          <w:tab w:val="right" w:leader="dot" w:pos="9016"/>
        </w:tabs>
        <w:spacing w:line="360" w:lineRule="auto"/>
      </w:pPr>
      <w:hyperlink w:anchor="_Toc224130222" w:history="1">
        <w:r>
          <w:rPr>
            <w:rStyle w:val="Hyperlink"/>
          </w:rPr>
          <w:t>9. Recommendations</w:t>
        </w:r>
        <w:r>
          <w:tab/>
          <w:t>12</w:t>
        </w:r>
      </w:hyperlink>
    </w:p>
    <w:p w14:paraId="6FCCBBD8" w14:textId="77777777" w:rsidR="00B94C8E" w:rsidRDefault="00204067">
      <w:pPr>
        <w:pStyle w:val="TOC1"/>
        <w:tabs>
          <w:tab w:val="right" w:leader="dot" w:pos="9016"/>
        </w:tabs>
        <w:spacing w:line="360" w:lineRule="auto"/>
      </w:pPr>
      <w:hyperlink w:anchor="_Toc224130223" w:history="1">
        <w:r>
          <w:rPr>
            <w:rStyle w:val="Hyperlink"/>
          </w:rPr>
          <w:t>10. Benchmarking Gap Analysis</w:t>
        </w:r>
        <w:r>
          <w:tab/>
          <w:t>12</w:t>
        </w:r>
      </w:hyperlink>
    </w:p>
    <w:p w14:paraId="6FCCBBD9" w14:textId="77777777" w:rsidR="00B94C8E" w:rsidRDefault="00204067">
      <w:pPr>
        <w:pStyle w:val="TOC1"/>
        <w:tabs>
          <w:tab w:val="right" w:leader="dot" w:pos="9016"/>
        </w:tabs>
        <w:spacing w:line="360" w:lineRule="auto"/>
      </w:pPr>
      <w:hyperlink w:anchor="_Toc224130224" w:history="1">
        <w:r>
          <w:rPr>
            <w:rStyle w:val="Hyperlink"/>
          </w:rPr>
          <w:t>11. Conclusion</w:t>
        </w:r>
        <w:r>
          <w:tab/>
          <w:t>13</w:t>
        </w:r>
      </w:hyperlink>
    </w:p>
    <w:p w14:paraId="6FCCBBDA" w14:textId="77777777" w:rsidR="00B94C8E" w:rsidRDefault="00204067">
      <w:pPr>
        <w:pStyle w:val="TOC1"/>
        <w:tabs>
          <w:tab w:val="right" w:leader="dot" w:pos="9016"/>
        </w:tabs>
        <w:spacing w:line="360" w:lineRule="auto"/>
      </w:pPr>
      <w:hyperlink w:anchor="_Toc224130225" w:history="1">
        <w:r>
          <w:rPr>
            <w:rStyle w:val="Hyperlink"/>
          </w:rPr>
          <w:t>References</w:t>
        </w:r>
        <w:r>
          <w:tab/>
          <w:t>17</w:t>
        </w:r>
      </w:hyperlink>
    </w:p>
    <w:p w14:paraId="6FCCBBDB" w14:textId="77777777" w:rsidR="00B94C8E" w:rsidRDefault="00204067">
      <w:pPr>
        <w:spacing w:line="360" w:lineRule="auto"/>
        <w:jc w:val="center"/>
      </w:pPr>
      <w:r>
        <w:fldChar w:fldCharType="end"/>
      </w:r>
    </w:p>
    <w:p w14:paraId="6FCCBBDC" w14:textId="77777777" w:rsidR="00B94C8E" w:rsidRDefault="00B94C8E"/>
    <w:p w14:paraId="6FCCBBDD" w14:textId="77777777" w:rsidR="00B94C8E" w:rsidRDefault="00B94C8E"/>
    <w:p w14:paraId="6FCCBBDE" w14:textId="77777777" w:rsidR="00B94C8E" w:rsidRDefault="00B94C8E"/>
    <w:p w14:paraId="6FCCBBDF" w14:textId="77777777" w:rsidR="00B94C8E" w:rsidRDefault="00B94C8E"/>
    <w:p w14:paraId="6FCCBBE0" w14:textId="77777777" w:rsidR="00B94C8E" w:rsidRDefault="00B94C8E"/>
    <w:p w14:paraId="6FCCBBE1" w14:textId="77777777" w:rsidR="00B94C8E" w:rsidRDefault="00B94C8E"/>
    <w:p w14:paraId="6FCCBBE2" w14:textId="77777777" w:rsidR="00B94C8E" w:rsidRDefault="00B94C8E"/>
    <w:p w14:paraId="6FCCBBE3" w14:textId="77777777" w:rsidR="00B94C8E" w:rsidRDefault="00B94C8E"/>
    <w:p w14:paraId="6FCCBBE4" w14:textId="77777777" w:rsidR="00B94C8E" w:rsidRDefault="00B94C8E"/>
    <w:p w14:paraId="6FCCBBE5" w14:textId="77777777" w:rsidR="00B94C8E" w:rsidRDefault="00B94C8E"/>
    <w:p w14:paraId="6FCCBBE6" w14:textId="77777777" w:rsidR="00B94C8E" w:rsidRDefault="00B94C8E"/>
    <w:p w14:paraId="6FCCBBE7" w14:textId="77777777" w:rsidR="00B94C8E" w:rsidRDefault="00B94C8E"/>
    <w:p w14:paraId="6FCCBBE8" w14:textId="77777777" w:rsidR="00B94C8E" w:rsidRDefault="00B94C8E"/>
    <w:p w14:paraId="6FCCBBE9" w14:textId="77777777" w:rsidR="00B94C8E" w:rsidRDefault="00B94C8E"/>
    <w:p w14:paraId="6FCCBBEA" w14:textId="77777777" w:rsidR="00B94C8E" w:rsidRDefault="00B94C8E">
      <w:pPr>
        <w:spacing w:line="360" w:lineRule="auto"/>
        <w:rPr>
          <w:b/>
        </w:rPr>
      </w:pPr>
    </w:p>
    <w:p w14:paraId="6FCCBBEB" w14:textId="77777777" w:rsidR="00B94C8E" w:rsidRDefault="00204067">
      <w:pPr>
        <w:spacing w:line="360" w:lineRule="auto"/>
      </w:pPr>
      <w:r>
        <w:rPr>
          <w:b/>
        </w:rPr>
        <w:lastRenderedPageBreak/>
        <w:t>1. Introduction of the Case Study</w:t>
      </w:r>
      <w:r>
        <w:t xml:space="preserve"> </w:t>
      </w:r>
    </w:p>
    <w:p w14:paraId="6FCCBBEC" w14:textId="77777777" w:rsidR="00B94C8E" w:rsidRDefault="00204067">
      <w:pPr>
        <w:spacing w:line="360" w:lineRule="auto"/>
        <w:jc w:val="both"/>
      </w:pPr>
      <w:r>
        <w:t xml:space="preserve">The COVID-19 pandemic disproportionately devastated older adults in UK care homes due to their frailty, comorbidities, and close-contact care requirements (Daly, 2020; Gordon </w:t>
      </w:r>
      <w:r>
        <w:rPr>
          <w:i/>
          <w:iCs/>
        </w:rPr>
        <w:t>et al</w:t>
      </w:r>
      <w:r>
        <w:t>., 2020). In England and Wales, care home residents accounted for a massive share of fatalities, with almost 27,000 excess deaths recorded in care homes during the first wave alone (mid-March to June 2020) — representing 45% of national excess mortality (King’s Fund/ONS, 2022). In England alone the first wave saw 19,783 deaths involving COVID-19 in care homes (23.2% of all care-home deaths that period) and 26,035 excess deaths above the five-year average (ONS, 2022).</w:t>
      </w:r>
    </w:p>
    <w:p w14:paraId="6FCCBBED" w14:textId="77777777" w:rsidR="00B94C8E" w:rsidRDefault="00204067">
      <w:pPr>
        <w:spacing w:line="360" w:lineRule="auto"/>
        <w:jc w:val="both"/>
      </w:pPr>
      <w:r>
        <w:t xml:space="preserve">The age-standardised mortality risk among care home residents rose from approximately 10 times higher than community-dwelling peers pre-pandemic to 17–18 times higher by April 2020 (Schultze </w:t>
      </w:r>
      <w:r>
        <w:rPr>
          <w:i/>
          <w:iCs/>
        </w:rPr>
        <w:t>et al</w:t>
      </w:r>
      <w:r>
        <w:t>., 2022). A national cohort study further recorded 29,542 excess deaths (95% CI 25,176–33,908) in the first 23 weeks, equivalent to 6.5% of all care-home beds (</w:t>
      </w:r>
      <w:proofErr w:type="spellStart"/>
      <w:r>
        <w:t>Morciano</w:t>
      </w:r>
      <w:proofErr w:type="spellEnd"/>
      <w:r>
        <w:t xml:space="preserve"> </w:t>
      </w:r>
      <w:r>
        <w:rPr>
          <w:i/>
          <w:iCs/>
        </w:rPr>
        <w:t>et al</w:t>
      </w:r>
      <w:r>
        <w:t>., 2021). By January 2022 total deaths involving COVID-19 in care homes reached 45,632 across England and Wales (16.7% of all care-home resident deaths) with overall excess mortality of 20,268 in England (ONS, 2022).</w:t>
      </w:r>
    </w:p>
    <w:p w14:paraId="6FCCBBEE" w14:textId="77777777" w:rsidR="00B94C8E" w:rsidRDefault="00204067">
      <w:pPr>
        <w:spacing w:line="360" w:lineRule="auto"/>
        <w:jc w:val="both"/>
      </w:pPr>
      <w:r>
        <w:t xml:space="preserve">These figures highlight systemic quality governance failures rather than isolated incidents: inadequate PPE, delayed testing, poor staffing, and fragmented health-social care coordination (UKHSA, 2020; Department of Health and Social Care, 2020). Life expectancy in Scottish care homes dropped sharply (Burton </w:t>
      </w:r>
      <w:r>
        <w:rPr>
          <w:i/>
          <w:iCs/>
        </w:rPr>
        <w:t>et al</w:t>
      </w:r>
      <w:r>
        <w:t>., 2021). Later waves showed reduction after vaccination, but the crisis exposed deep structural weaknesses.</w:t>
      </w:r>
    </w:p>
    <w:p w14:paraId="6FCCBBEF" w14:textId="77777777" w:rsidR="00B94C8E" w:rsidRDefault="00204067">
      <w:pPr>
        <w:spacing w:line="360" w:lineRule="auto"/>
      </w:pPr>
      <w:r>
        <w:rPr>
          <w:b/>
        </w:rPr>
        <w:t>2. Quality Assurance in Healthcare</w:t>
      </w:r>
      <w:r>
        <w:t xml:space="preserve"> </w:t>
      </w:r>
    </w:p>
    <w:p w14:paraId="6FCCBBF0" w14:textId="77777777" w:rsidR="00B94C8E" w:rsidRDefault="00204067">
      <w:pPr>
        <w:spacing w:line="360" w:lineRule="auto"/>
        <w:jc w:val="both"/>
      </w:pPr>
      <w:r>
        <w:t>Quality assurance is the term, which can be defined within the framework of the systematic processes to be applied to the process of ensuring healthcare services to the established standards of safety, effectiveness and quality. It entails observing the activity of the clinical work, measuring the service performance and introducing new practices to sustain the high quality of care provision in the healthcare organisations (Øvretveit, 2018). Quality assurance systems assist health professionals in risk identification, better patient outcomes, and also make sure that services are conducted in line with the regulatory and professional standards.</w:t>
      </w:r>
    </w:p>
    <w:p w14:paraId="6FCCBBF1" w14:textId="77777777" w:rsidR="00B94C8E" w:rsidRDefault="00204067">
      <w:pPr>
        <w:spacing w:line="360" w:lineRule="auto"/>
        <w:jc w:val="both"/>
      </w:pPr>
      <w:r>
        <w:t xml:space="preserve">The significance of quality assurance in healthcare is intricately connected with the assessment of the quality of the services in accordance with demands of the widely recognised models like the structure, process and outcome model. This model describes that organisational resources determine the standard of healthcare, how care is provided and results received by patients (Donabedian, 1988). QA systems in long term care </w:t>
      </w:r>
      <w:proofErr w:type="spellStart"/>
      <w:r>
        <w:t>centers</w:t>
      </w:r>
      <w:proofErr w:type="spellEnd"/>
      <w:r>
        <w:t xml:space="preserve"> like residential care homes should have quality control measures, sufficient staffing and proper regulatory controls to mitigate victims.</w:t>
      </w:r>
    </w:p>
    <w:p w14:paraId="6FCCBBF2" w14:textId="77777777" w:rsidR="00B94C8E" w:rsidRDefault="00204067">
      <w:pPr>
        <w:spacing w:line="360" w:lineRule="auto"/>
        <w:jc w:val="both"/>
      </w:pPr>
      <w:r>
        <w:lastRenderedPageBreak/>
        <w:t xml:space="preserve">Nonetheless, it has been indicated that these mechanisms were highly critiqued when the COVID-19 pandemic upset them. In the studies conducted on nursing homes during the pandemic, reports on weaknesses of the governing structures and preparedness in the long-term care facilities were conducted (Rodriguez-Rodriguez </w:t>
      </w:r>
      <w:r>
        <w:rPr>
          <w:i/>
          <w:iCs/>
        </w:rPr>
        <w:t>et al</w:t>
      </w:r>
      <w:r>
        <w:t xml:space="preserve">., 2022). Another systematic review also indicated that the lack of resources, a shortage of specialists, and ineffective collaboration between health and social care services are among the reasons that led to bad results among the residents (Karimi-Dehkordi </w:t>
      </w:r>
      <w:r>
        <w:rPr>
          <w:i/>
          <w:iCs/>
        </w:rPr>
        <w:t>et al</w:t>
      </w:r>
      <w:r>
        <w:t>., 2024). Infection preventive techniques were also reported as weak in care homes in the pandemic response by the national policy (UK Health Security Agency, 2020). Adult social care has also been advised by the government focused on the fact that the improvement of infection control and better coordination of healthcare systems is urgent (Department of Health and Social Care, 2020).</w:t>
      </w:r>
    </w:p>
    <w:p w14:paraId="6FCCBBF3" w14:textId="77777777" w:rsidR="00B94C8E" w:rsidRDefault="00204067">
      <w:pPr>
        <w:spacing w:line="360" w:lineRule="auto"/>
      </w:pPr>
      <w:r>
        <w:rPr>
          <w:b/>
        </w:rPr>
        <w:t>3. Summary of Component 1</w:t>
      </w:r>
      <w:r>
        <w:t xml:space="preserve"> </w:t>
      </w:r>
    </w:p>
    <w:p w14:paraId="6FCCBBF4" w14:textId="77777777" w:rsidR="00B94C8E" w:rsidRDefault="00204067">
      <w:pPr>
        <w:spacing w:line="360" w:lineRule="auto"/>
        <w:jc w:val="both"/>
      </w:pPr>
      <w:r>
        <w:t xml:space="preserve">The first component of this assessment explored COVID-19 care home mortality crisis in the United Kingdom through the lens of a systems-based approach to comprehend the ways in which the failures in the health and social care system led to </w:t>
      </w:r>
      <w:proofErr w:type="spellStart"/>
      <w:r>
        <w:t>unfavorable</w:t>
      </w:r>
      <w:proofErr w:type="spellEnd"/>
      <w:r>
        <w:t xml:space="preserve"> results of the vulnerable residents. Analysis was given on the management incidences on structural weaknesses other than individual mistakes, as it was realised that the pandemic revealed long-term care service structural issues. One framework that was utilized in the preceding constituent was the Swiss Cheese Model, which constitutes the explanation of how damage takes place when several safety barriers converse at the same time. During the COVID-19, the policy and measure gaps in care homes were present, alongside the capacity and resource distribution to prevent infections and the need to add to the risk of outbreak among the workforce.</w:t>
      </w:r>
    </w:p>
    <w:p w14:paraId="6FCCBBF5" w14:textId="77777777" w:rsidR="00B94C8E" w:rsidRDefault="00204067">
      <w:pPr>
        <w:spacing w:line="360" w:lineRule="auto"/>
      </w:pPr>
      <w:r>
        <w:t>The analysis of benchmarking was also carried out based on comparing the national standards of safe care with the actual performance of the care homes during the pandemic. The need to use effective infection prevention strategies, proper personal protective equipment (PPE), routine testing and adequacy of staffing were highlighted as the national guidance. Nevertheless, there were indications that these standards did not always meet within the sector. Most care facilities have stated that they lacked PPE and that they took longer to obtain tests in their initial surge of the pandemic, thus reducing their capacity to cope with the pandemic outbreaks. By and large, the results of Component 1 ranked to reveal that the current care home mortality crisis caused by Covid-19 was a consequence of interrelated structural, organisational, and policy failures as opposed to the single errors committed by individual facilities.</w:t>
      </w:r>
    </w:p>
    <w:p w14:paraId="6FCCBBF6" w14:textId="77777777" w:rsidR="00B94C8E" w:rsidRDefault="00204067">
      <w:pPr>
        <w:spacing w:line="360" w:lineRule="auto"/>
      </w:pPr>
      <w:r>
        <w:rPr>
          <w:b/>
        </w:rPr>
        <w:t xml:space="preserve"> What this assignment will do</w:t>
      </w:r>
      <w:r>
        <w:t xml:space="preserve"> </w:t>
      </w:r>
    </w:p>
    <w:p w14:paraId="6FCCBBF7" w14:textId="77777777" w:rsidR="00B94C8E" w:rsidRDefault="00204067">
      <w:pPr>
        <w:spacing w:line="360" w:lineRule="auto"/>
        <w:jc w:val="both"/>
      </w:pPr>
      <w:r>
        <w:t xml:space="preserve">Building directly on Component 1, this report conducts a service-improvement analysis using recognised frameworks. It evaluates quality failures via the Donabedian Model (with COVID-19-specific structure/process/outcome data and statistics), identifies root causes, performs SWOT analysis (justified below), proposes PDSA-driven improvements, and applies change management models </w:t>
      </w:r>
      <w:r>
        <w:lastRenderedPageBreak/>
        <w:t>(Lewin + Kotter). A revised benchmarking gap analysis includes post-improvement hospital performance for comparison. The aim is to provide evidence-based, actionable strategies to strengthen resilience in long-term care.</w:t>
      </w:r>
    </w:p>
    <w:p w14:paraId="6FCCBBF8" w14:textId="77777777" w:rsidR="00B94C8E" w:rsidRDefault="00204067">
      <w:pPr>
        <w:spacing w:line="360" w:lineRule="auto"/>
      </w:pPr>
      <w:r>
        <w:rPr>
          <w:b/>
        </w:rPr>
        <w:t>4. Donabedian Model</w:t>
      </w:r>
      <w:r>
        <w:t xml:space="preserve"> </w:t>
      </w:r>
    </w:p>
    <w:p w14:paraId="6FCCBBF9" w14:textId="77777777" w:rsidR="00B94C8E" w:rsidRDefault="00204067">
      <w:pPr>
        <w:spacing w:line="360" w:lineRule="auto"/>
        <w:jc w:val="center"/>
      </w:pPr>
      <w:r>
        <w:rPr>
          <w:b/>
          <w:bCs w:val="0"/>
          <w:noProof/>
        </w:rPr>
        <w:drawing>
          <wp:inline distT="0" distB="0" distL="0" distR="0" wp14:anchorId="6FCCBBBF" wp14:editId="6FCCBBC0">
            <wp:extent cx="4905170" cy="2821920"/>
            <wp:effectExtent l="0" t="0" r="0" b="0"/>
            <wp:docPr id="1101976464"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4905170" cy="2821920"/>
                    </a:xfrm>
                    <a:prstGeom prst="rect">
                      <a:avLst/>
                    </a:prstGeom>
                    <a:noFill/>
                    <a:ln>
                      <a:noFill/>
                      <a:prstDash/>
                    </a:ln>
                  </pic:spPr>
                </pic:pic>
              </a:graphicData>
            </a:graphic>
          </wp:inline>
        </w:drawing>
      </w:r>
    </w:p>
    <w:p w14:paraId="6FCCBBFA" w14:textId="77777777" w:rsidR="00B94C8E" w:rsidRDefault="00204067">
      <w:pPr>
        <w:spacing w:line="360" w:lineRule="auto"/>
        <w:jc w:val="center"/>
      </w:pPr>
      <w:r>
        <w:rPr>
          <w:b/>
        </w:rPr>
        <w:t>Figure 1: Donabedian Model</w:t>
      </w:r>
    </w:p>
    <w:p w14:paraId="6FCCBBFB" w14:textId="77777777" w:rsidR="00B94C8E" w:rsidRDefault="00204067">
      <w:pPr>
        <w:spacing w:line="360" w:lineRule="auto"/>
        <w:jc w:val="center"/>
      </w:pPr>
      <w:r>
        <w:t>(Source: Donabedian, 1988)</w:t>
      </w:r>
    </w:p>
    <w:p w14:paraId="6FCCBBFC" w14:textId="77777777" w:rsidR="00B94C8E" w:rsidRDefault="00204067">
      <w:pPr>
        <w:spacing w:line="360" w:lineRule="auto"/>
        <w:jc w:val="both"/>
      </w:pPr>
      <w:r>
        <w:t>The Donabedian model is one of the most popular frameworks that provide the assessment of the quality of healthcare on the base of a triage of three interrelated elements that include: structure, process and outcomes. In this model the quality of healthcare services may be evaluated by analysing the organisational setting in which disease care is provided, how healthcare procedures are conducted and the disease outcomes realised by the patients (Donabedian, 1988). This framework is especially helpful when examining the overall breakdown of the healthcare system, as was observed during the COVID-19 in care homes.</w:t>
      </w:r>
    </w:p>
    <w:p w14:paraId="6FCCBBFD" w14:textId="77777777" w:rsidR="00B94C8E" w:rsidRDefault="00204067">
      <w:pPr>
        <w:spacing w:line="360" w:lineRule="auto"/>
        <w:jc w:val="both"/>
      </w:pPr>
      <w:r>
        <w:rPr>
          <w:b/>
          <w:i/>
          <w:iCs/>
        </w:rPr>
        <w:t>Structure</w:t>
      </w:r>
      <w:r>
        <w:rPr>
          <w:i/>
          <w:iCs/>
        </w:rPr>
        <w:t xml:space="preserve">: </w:t>
      </w:r>
      <w:r>
        <w:t xml:space="preserve">Organisational elements such as staffing levels, infrastructure, equipment, and funding. In UK care homes during the pandemic, severe structural deficits were evident: chronic underfunding, workforce shortages (high turnover), and inadequate infection-control infrastructure (e.g., limited isolation rooms). Larger facilities (&gt;50 beds) had up to 16.5 times higher mortality risk due to structural capacity issues (Wilson </w:t>
      </w:r>
      <w:r>
        <w:rPr>
          <w:i/>
          <w:iCs/>
        </w:rPr>
        <w:t>et al</w:t>
      </w:r>
      <w:r>
        <w:t xml:space="preserve">., 2025). Staffing shortages directly correlated with inability to isolate residents (Hollinghurst </w:t>
      </w:r>
      <w:r>
        <w:rPr>
          <w:i/>
          <w:iCs/>
        </w:rPr>
        <w:t>et al</w:t>
      </w:r>
      <w:r>
        <w:t>., 2021).</w:t>
      </w:r>
    </w:p>
    <w:p w14:paraId="6FCCBBFE" w14:textId="77777777" w:rsidR="00B94C8E" w:rsidRDefault="00204067">
      <w:pPr>
        <w:spacing w:line="360" w:lineRule="auto"/>
        <w:jc w:val="both"/>
      </w:pPr>
      <w:r>
        <w:rPr>
          <w:b/>
          <w:i/>
          <w:iCs/>
        </w:rPr>
        <w:t>Process</w:t>
      </w:r>
      <w:r>
        <w:rPr>
          <w:i/>
          <w:iCs/>
        </w:rPr>
        <w:t xml:space="preserve">: </w:t>
      </w:r>
      <w:r>
        <w:t xml:space="preserve">The actual delivery of care. Critical failures included unsafe hospital discharges without testing (contributing to outbreaks), poor communication between NHS and care homes, and inconsistent PPE/infection-control protocols. Hospital-to-care-home transfers without prior negative tests were </w:t>
      </w:r>
      <w:r>
        <w:lastRenderedPageBreak/>
        <w:t>linked to rapid transmission (</w:t>
      </w:r>
      <w:proofErr w:type="spellStart"/>
      <w:r>
        <w:t>Dutey</w:t>
      </w:r>
      <w:proofErr w:type="spellEnd"/>
      <w:r>
        <w:t xml:space="preserve">-Magni </w:t>
      </w:r>
      <w:r>
        <w:rPr>
          <w:i/>
          <w:iCs/>
        </w:rPr>
        <w:t>et al</w:t>
      </w:r>
      <w:r>
        <w:t>., 2021). Communication breakdowns delayed outbreak responses, while routine testing rollout lagged (only limited access until mid-2020) (</w:t>
      </w:r>
      <w:proofErr w:type="spellStart"/>
      <w:r>
        <w:t>Morciano</w:t>
      </w:r>
      <w:proofErr w:type="spellEnd"/>
      <w:r>
        <w:t xml:space="preserve"> </w:t>
      </w:r>
      <w:r>
        <w:rPr>
          <w:i/>
          <w:iCs/>
        </w:rPr>
        <w:t>et al</w:t>
      </w:r>
      <w:r>
        <w:t>., 2021).</w:t>
      </w:r>
    </w:p>
    <w:p w14:paraId="6FCCBBFF" w14:textId="77777777" w:rsidR="00B94C8E" w:rsidRDefault="00204067">
      <w:pPr>
        <w:spacing w:line="360" w:lineRule="auto"/>
        <w:jc w:val="both"/>
      </w:pPr>
      <w:r>
        <w:rPr>
          <w:b/>
          <w:i/>
          <w:iCs/>
        </w:rPr>
        <w:t>Outcomes</w:t>
      </w:r>
      <w:r>
        <w:rPr>
          <w:i/>
          <w:iCs/>
        </w:rPr>
        <w:t>:</w:t>
      </w:r>
      <w:r>
        <w:t xml:space="preserve"> The end results for residents. Excess deaths reached almost 27,000 in care homes in the first wave (45% of national excess mortality), with mortality risk 17–18 times higher than community peers in April 2020 (Schultze </w:t>
      </w:r>
      <w:r>
        <w:rPr>
          <w:i/>
          <w:iCs/>
        </w:rPr>
        <w:t>et al</w:t>
      </w:r>
      <w:r>
        <w:t xml:space="preserve">., 2022; King’s Fund/ONS, 2022). Overall, care homes recorded 45,632 deaths involving COVID-19 by January 2022 and 29,542 excess deaths in the first 23 weeks (ONS, 2022; </w:t>
      </w:r>
      <w:proofErr w:type="spellStart"/>
      <w:r>
        <w:t>Morciano</w:t>
      </w:r>
      <w:proofErr w:type="spellEnd"/>
      <w:r>
        <w:t xml:space="preserve"> </w:t>
      </w:r>
      <w:r>
        <w:rPr>
          <w:i/>
          <w:iCs/>
        </w:rPr>
        <w:t>et al</w:t>
      </w:r>
      <w:r>
        <w:t xml:space="preserve">., 2021). In contrast, hospitals recorded far lower relative excess. By 2022–2023, after interventions, care-home excess mortality fell dramatically (near pre-pandemic levels in many regions), demonstrating that improved structure and process directly reduced poor outcomes (Stedman </w:t>
      </w:r>
      <w:r>
        <w:rPr>
          <w:i/>
          <w:iCs/>
        </w:rPr>
        <w:t>et al</w:t>
      </w:r>
      <w:r>
        <w:t>., 2025; Pearson-</w:t>
      </w:r>
      <w:proofErr w:type="spellStart"/>
      <w:r>
        <w:t>Stuttard</w:t>
      </w:r>
      <w:proofErr w:type="spellEnd"/>
      <w:r>
        <w:t xml:space="preserve"> </w:t>
      </w:r>
      <w:r>
        <w:rPr>
          <w:i/>
          <w:iCs/>
        </w:rPr>
        <w:t>et al</w:t>
      </w:r>
      <w:r>
        <w:t>., 2024).</w:t>
      </w:r>
    </w:p>
    <w:p w14:paraId="6FCCBC00" w14:textId="77777777" w:rsidR="00B94C8E" w:rsidRDefault="00204067">
      <w:pPr>
        <w:spacing w:line="360" w:lineRule="auto"/>
        <w:jc w:val="both"/>
      </w:pPr>
      <w:r>
        <w:t>This model clearly reveals that weak structures and flawed processes produced catastrophic outcomes in care homes during COVID-19.</w:t>
      </w:r>
    </w:p>
    <w:p w14:paraId="6FCCBC01" w14:textId="77777777" w:rsidR="00B94C8E" w:rsidRDefault="00204067">
      <w:pPr>
        <w:spacing w:line="360" w:lineRule="auto"/>
      </w:pPr>
      <w:r>
        <w:rPr>
          <w:b/>
        </w:rPr>
        <w:t>5. Root Cause Analysis – Fishbone / 5 Whys</w:t>
      </w:r>
      <w:r>
        <w:t xml:space="preserve"> </w:t>
      </w:r>
    </w:p>
    <w:p w14:paraId="6FCCBC02" w14:textId="77777777" w:rsidR="00B94C8E" w:rsidRDefault="00204067">
      <w:pPr>
        <w:spacing w:line="360" w:lineRule="auto"/>
        <w:jc w:val="center"/>
      </w:pPr>
      <w:r>
        <w:rPr>
          <w:b/>
          <w:bCs w:val="0"/>
          <w:noProof/>
        </w:rPr>
        <w:drawing>
          <wp:inline distT="0" distB="0" distL="0" distR="0" wp14:anchorId="6FCCBBC1" wp14:editId="6FCCBBC2">
            <wp:extent cx="5731514" cy="2580637"/>
            <wp:effectExtent l="0" t="0" r="2536" b="0"/>
            <wp:docPr id="84734765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2580637"/>
                    </a:xfrm>
                    <a:prstGeom prst="rect">
                      <a:avLst/>
                    </a:prstGeom>
                    <a:noFill/>
                    <a:ln>
                      <a:noFill/>
                      <a:prstDash/>
                    </a:ln>
                  </pic:spPr>
                </pic:pic>
              </a:graphicData>
            </a:graphic>
          </wp:inline>
        </w:drawing>
      </w:r>
    </w:p>
    <w:p w14:paraId="6FCCBC03" w14:textId="77777777" w:rsidR="00B94C8E" w:rsidRDefault="00204067">
      <w:pPr>
        <w:spacing w:line="360" w:lineRule="auto"/>
        <w:jc w:val="center"/>
      </w:pPr>
      <w:r>
        <w:rPr>
          <w:b/>
        </w:rPr>
        <w:t>Figure 2: Fishbone Model</w:t>
      </w:r>
    </w:p>
    <w:p w14:paraId="6FCCBC04" w14:textId="77777777" w:rsidR="00B94C8E" w:rsidRDefault="00B94C8E">
      <w:pPr>
        <w:spacing w:line="360" w:lineRule="auto"/>
      </w:pPr>
    </w:p>
    <w:p w14:paraId="6FCCBC05" w14:textId="77777777" w:rsidR="00B94C8E" w:rsidRDefault="00204067">
      <w:pPr>
        <w:spacing w:line="360" w:lineRule="auto"/>
        <w:jc w:val="both"/>
      </w:pPr>
      <w:r>
        <w:t xml:space="preserve">The Fishbone (Ishikawa) diagram is widely used in analysing quality in healthcare to </w:t>
      </w:r>
      <w:proofErr w:type="spellStart"/>
      <w:r>
        <w:t>provided</w:t>
      </w:r>
      <w:proofErr w:type="spellEnd"/>
      <w:r>
        <w:t xml:space="preserve"> a systematic approach to understanding the root causes of failure of complex organisational failures. Rather than being a tool for solving problems, the framework facilitates an organized testing of the interaction of a set of contributing factors to the adverse outcomes produced within healthcare systems (Ishikawa, 1985). In the context of the mortality crisis in care homes during the pandemic of covid-19, the fishbone approach permits analysis of a number of systemic dimensions including leadership and governance, workforce, resources, communication and organisational culture (Daly, 2020).</w:t>
      </w:r>
    </w:p>
    <w:p w14:paraId="6FCCBC06" w14:textId="77777777" w:rsidR="00B94C8E" w:rsidRDefault="00204067">
      <w:pPr>
        <w:spacing w:line="360" w:lineRule="auto"/>
        <w:jc w:val="both"/>
      </w:pPr>
      <w:r>
        <w:rPr>
          <w:b/>
        </w:rPr>
        <w:lastRenderedPageBreak/>
        <w:t>Governance and leadership:</w:t>
      </w:r>
    </w:p>
    <w:p w14:paraId="6FCCBC07" w14:textId="77777777" w:rsidR="00B94C8E" w:rsidRDefault="00204067">
      <w:pPr>
        <w:spacing w:line="360" w:lineRule="auto"/>
        <w:jc w:val="both"/>
      </w:pPr>
      <w:r>
        <w:t xml:space="preserve">Disjointed governance and weak leadership systems between health and social care made people living in care homes to respond to the pandemic late. There is also an indicator that the absence of strategic preparation and poor policy coordination made long-term care homes more vulnerable to COVID-19 outbreaks (Daly, 2020; Stow </w:t>
      </w:r>
      <w:r>
        <w:rPr>
          <w:i/>
          <w:iCs/>
        </w:rPr>
        <w:t>et al</w:t>
      </w:r>
      <w:r>
        <w:t>., 2021).</w:t>
      </w:r>
    </w:p>
    <w:p w14:paraId="6FCCBC08" w14:textId="77777777" w:rsidR="00B94C8E" w:rsidRDefault="00204067">
      <w:pPr>
        <w:spacing w:line="360" w:lineRule="auto"/>
        <w:jc w:val="both"/>
      </w:pPr>
      <w:r>
        <w:rPr>
          <w:b/>
        </w:rPr>
        <w:t>Workforce factors:</w:t>
      </w:r>
    </w:p>
    <w:p w14:paraId="6FCCBC09" w14:textId="77777777" w:rsidR="00B94C8E" w:rsidRDefault="00204067">
      <w:pPr>
        <w:spacing w:line="360" w:lineRule="auto"/>
        <w:jc w:val="both"/>
      </w:pPr>
      <w:r>
        <w:t xml:space="preserve">High staff turnover and staff shortages had a severe impact on the capability of the care homes to uphold infection-control measures. A low level of workforce reduced the possibility of isolating residents and responded to outbreaks, thus exposing residents to increased mortality (Hollinghurst </w:t>
      </w:r>
      <w:r>
        <w:rPr>
          <w:i/>
          <w:iCs/>
        </w:rPr>
        <w:t>et al</w:t>
      </w:r>
      <w:r>
        <w:t xml:space="preserve">., 2021; </w:t>
      </w:r>
      <w:proofErr w:type="spellStart"/>
      <w:r>
        <w:t>Mbalayen</w:t>
      </w:r>
      <w:proofErr w:type="spellEnd"/>
      <w:r>
        <w:t xml:space="preserve"> </w:t>
      </w:r>
      <w:r>
        <w:rPr>
          <w:i/>
          <w:iCs/>
        </w:rPr>
        <w:t>et al</w:t>
      </w:r>
      <w:r>
        <w:t>., 2022).</w:t>
      </w:r>
    </w:p>
    <w:p w14:paraId="6FCCBC0A" w14:textId="77777777" w:rsidR="00B94C8E" w:rsidRDefault="00204067">
      <w:pPr>
        <w:spacing w:line="360" w:lineRule="auto"/>
        <w:jc w:val="both"/>
      </w:pPr>
      <w:r>
        <w:rPr>
          <w:b/>
        </w:rPr>
        <w:t>Resources and infrastructure:</w:t>
      </w:r>
    </w:p>
    <w:p w14:paraId="6FCCBC0B" w14:textId="77777777" w:rsidR="00B94C8E" w:rsidRDefault="00204067">
      <w:pPr>
        <w:spacing w:line="360" w:lineRule="auto"/>
        <w:jc w:val="both"/>
      </w:pPr>
      <w:r>
        <w:t xml:space="preserve">Testing kits and infection-control gears among other essential resources were in short supply in many care homes. Slow distribution of protection gear and testing capability hindered the capability of care </w:t>
      </w:r>
      <w:proofErr w:type="spellStart"/>
      <w:r>
        <w:t>centers</w:t>
      </w:r>
      <w:proofErr w:type="spellEnd"/>
      <w:r>
        <w:t xml:space="preserve"> to forestall transmission in the initial phases of the pandemic (UK Health Security Agency, 2020; Gordon </w:t>
      </w:r>
      <w:r>
        <w:rPr>
          <w:i/>
          <w:iCs/>
        </w:rPr>
        <w:t>et al</w:t>
      </w:r>
      <w:r>
        <w:t>., 2020).</w:t>
      </w:r>
    </w:p>
    <w:p w14:paraId="6FCCBC0C" w14:textId="77777777" w:rsidR="00B94C8E" w:rsidRDefault="00204067">
      <w:pPr>
        <w:spacing w:line="360" w:lineRule="auto"/>
        <w:jc w:val="both"/>
      </w:pPr>
      <w:r>
        <w:rPr>
          <w:b/>
        </w:rPr>
        <w:t>Communication and coordination:</w:t>
      </w:r>
    </w:p>
    <w:p w14:paraId="6FCCBC0D" w14:textId="77777777" w:rsidR="00B94C8E" w:rsidRDefault="00204067">
      <w:pPr>
        <w:spacing w:line="360" w:lineRule="auto"/>
        <w:jc w:val="both"/>
      </w:pPr>
      <w:r>
        <w:t>Weak communication between hospitals, public health organizations and care homes led to the creation of communication gaps that slowed down the response to the outbreaks. Hospital releases were another significant factor in the dissemination of the infection in care facilities as they did not undergo a COVID-19 test (</w:t>
      </w:r>
      <w:proofErr w:type="spellStart"/>
      <w:r>
        <w:t>Dutey</w:t>
      </w:r>
      <w:proofErr w:type="spellEnd"/>
      <w:r>
        <w:t xml:space="preserve">-Magni </w:t>
      </w:r>
      <w:r>
        <w:rPr>
          <w:i/>
          <w:iCs/>
        </w:rPr>
        <w:t>et al</w:t>
      </w:r>
      <w:r>
        <w:t>., 2021).</w:t>
      </w:r>
    </w:p>
    <w:p w14:paraId="6FCCBC0E" w14:textId="77777777" w:rsidR="00B94C8E" w:rsidRDefault="00204067">
      <w:pPr>
        <w:spacing w:line="360" w:lineRule="auto"/>
        <w:jc w:val="both"/>
      </w:pPr>
      <w:r>
        <w:rPr>
          <w:b/>
        </w:rPr>
        <w:t>Organisational preparedness:</w:t>
      </w:r>
    </w:p>
    <w:p w14:paraId="6FCCBC0F" w14:textId="77777777" w:rsidR="00B94C8E" w:rsidRDefault="00204067">
      <w:pPr>
        <w:spacing w:line="360" w:lineRule="auto"/>
        <w:jc w:val="both"/>
      </w:pPr>
      <w:r>
        <w:t xml:space="preserve">Having little infection-control training and poorly planned pandemic preparedness minimized the ability of care homes to adequately respond to the fast-changing health crisis (Karimi-Dehkordi </w:t>
      </w:r>
      <w:r>
        <w:rPr>
          <w:i/>
          <w:iCs/>
        </w:rPr>
        <w:t>et al</w:t>
      </w:r>
      <w:r>
        <w:t>., 2024).</w:t>
      </w:r>
    </w:p>
    <w:p w14:paraId="6FCCBC10" w14:textId="77777777" w:rsidR="00B94C8E" w:rsidRDefault="00204067">
      <w:pPr>
        <w:spacing w:line="360" w:lineRule="auto"/>
        <w:jc w:val="both"/>
      </w:pPr>
      <w:r>
        <w:t xml:space="preserve"> This approach was chosen rather than the 5 Whys technique as the mortality crisis in care homes was based on multiple interactive structural and organisational factors, rather than a single linear cause. The 5 Whys technique is useful when one is looking to find a single causal chain but can result in an over-simplification of complex healthcare failures. In contrast the fishbone diagram allows a wider systems view through the categorisation of linked root causes in different organisational areas (Lawless, 2024).</w:t>
      </w:r>
    </w:p>
    <w:p w14:paraId="6FCCBC11" w14:textId="77777777" w:rsidR="00B94C8E" w:rsidRDefault="00204067">
      <w:pPr>
        <w:spacing w:line="360" w:lineRule="auto"/>
        <w:jc w:val="both"/>
      </w:pPr>
      <w:r>
        <w:t>For instance, governance failures like poor leadership and poor accountability and underfunding and outdated facilities. Workforce challenges such as shortage of staff and lack of training made them vulnerable during outbreaks (</w:t>
      </w:r>
      <w:proofErr w:type="spellStart"/>
      <w:r>
        <w:t>Mbalayen</w:t>
      </w:r>
      <w:proofErr w:type="spellEnd"/>
      <w:r>
        <w:t xml:space="preserve"> </w:t>
      </w:r>
      <w:r>
        <w:rPr>
          <w:i/>
          <w:iCs/>
        </w:rPr>
        <w:t>et al</w:t>
      </w:r>
      <w:r>
        <w:t xml:space="preserve">., 2022). In addition, constrained capacity for testing, a lack </w:t>
      </w:r>
      <w:r>
        <w:lastRenderedPageBreak/>
        <w:t xml:space="preserve">of personal protective equipment and weak communication between health services and care homes also exacerbated the risks of infection. Analysing these interconnected causes shows that the crisis was not caused by isolated operational failures or weaknesses, but rather by systemic weaknesses in governance (Stow </w:t>
      </w:r>
      <w:r>
        <w:rPr>
          <w:i/>
          <w:iCs/>
        </w:rPr>
        <w:t>et al</w:t>
      </w:r>
      <w:r>
        <w:t>., 2021).</w:t>
      </w:r>
    </w:p>
    <w:p w14:paraId="6FCCBC12" w14:textId="77777777" w:rsidR="00B94C8E" w:rsidRDefault="00B94C8E">
      <w:pPr>
        <w:spacing w:line="360" w:lineRule="auto"/>
        <w:jc w:val="both"/>
      </w:pPr>
    </w:p>
    <w:p w14:paraId="6FCCBC13" w14:textId="77777777" w:rsidR="00B94C8E" w:rsidRDefault="00B94C8E">
      <w:pPr>
        <w:spacing w:line="360" w:lineRule="auto"/>
        <w:jc w:val="both"/>
      </w:pPr>
    </w:p>
    <w:p w14:paraId="6FCCBC14" w14:textId="77777777" w:rsidR="00B94C8E" w:rsidRDefault="00204067">
      <w:pPr>
        <w:spacing w:line="360" w:lineRule="auto"/>
        <w:jc w:val="both"/>
      </w:pPr>
      <w:r>
        <w:rPr>
          <w:b/>
        </w:rPr>
        <w:t>6. Strategic Analysis – SWOT</w:t>
      </w:r>
      <w:r>
        <w:t xml:space="preserve"> </w:t>
      </w:r>
    </w:p>
    <w:p w14:paraId="6FCCBC15" w14:textId="77777777" w:rsidR="00B94C8E" w:rsidRDefault="00204067">
      <w:pPr>
        <w:spacing w:line="360" w:lineRule="auto"/>
        <w:jc w:val="both"/>
      </w:pPr>
      <w:r>
        <w:t>SWOT is a planning tool used to determine internal strengths and weaknesses and external opportunities and threats of an organisation that may be considered as performance and decision-making factors (Gürel and Tat, 2017). SWOT analysis is useful in terms of the COVID-19 care home mortality crisis to evaluate structural factors that influence service delivery within the long-term care systems.</w:t>
      </w:r>
    </w:p>
    <w:tbl>
      <w:tblPr>
        <w:tblW w:w="9016" w:type="dxa"/>
        <w:tblCellMar>
          <w:left w:w="10" w:type="dxa"/>
          <w:right w:w="10" w:type="dxa"/>
        </w:tblCellMar>
        <w:tblLook w:val="0000" w:firstRow="0" w:lastRow="0" w:firstColumn="0" w:lastColumn="0" w:noHBand="0" w:noVBand="0"/>
      </w:tblPr>
      <w:tblGrid>
        <w:gridCol w:w="4508"/>
        <w:gridCol w:w="4508"/>
      </w:tblGrid>
      <w:tr w:rsidR="00B94C8E" w14:paraId="6FCCBC20"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16" w14:textId="77777777" w:rsidR="00B94C8E" w:rsidRDefault="00204067">
            <w:pPr>
              <w:spacing w:after="0" w:line="360" w:lineRule="auto"/>
            </w:pPr>
            <w:r>
              <w:rPr>
                <w:b/>
              </w:rPr>
              <w:t>Strengths</w:t>
            </w:r>
          </w:p>
          <w:p w14:paraId="6FCCBC17" w14:textId="77777777" w:rsidR="00B94C8E" w:rsidRDefault="00204067">
            <w:pPr>
              <w:numPr>
                <w:ilvl w:val="0"/>
                <w:numId w:val="1"/>
              </w:numPr>
              <w:spacing w:after="0" w:line="360" w:lineRule="auto"/>
            </w:pPr>
            <w:r>
              <w:t>Established national healthcare infrastructure supporting emergency response capacity (</w:t>
            </w:r>
            <w:proofErr w:type="spellStart"/>
            <w:r>
              <w:t>Olesińska</w:t>
            </w:r>
            <w:proofErr w:type="spellEnd"/>
            <w:r>
              <w:t xml:space="preserve"> </w:t>
            </w:r>
            <w:r>
              <w:rPr>
                <w:i/>
                <w:iCs/>
              </w:rPr>
              <w:t>et al</w:t>
            </w:r>
            <w:r>
              <w:t>., 2025).</w:t>
            </w:r>
          </w:p>
          <w:p w14:paraId="6FCCBC18" w14:textId="77777777" w:rsidR="00B94C8E" w:rsidRDefault="00204067">
            <w:pPr>
              <w:numPr>
                <w:ilvl w:val="0"/>
                <w:numId w:val="1"/>
              </w:numPr>
              <w:spacing w:after="0" w:line="360" w:lineRule="auto"/>
            </w:pPr>
            <w:r>
              <w:t>Existing regulatory frameworks governing care home safety and quality standards (Gürel and Tat, 2017).</w:t>
            </w:r>
          </w:p>
          <w:p w14:paraId="6FCCBC19" w14:textId="77777777" w:rsidR="00B94C8E" w:rsidRDefault="00204067">
            <w:pPr>
              <w:numPr>
                <w:ilvl w:val="0"/>
                <w:numId w:val="1"/>
              </w:numPr>
              <w:spacing w:after="0" w:line="360" w:lineRule="auto"/>
            </w:pPr>
            <w:r>
              <w:t>National public health surveillance systems enabling monitoring of infectious diseases (</w:t>
            </w:r>
            <w:proofErr w:type="spellStart"/>
            <w:r>
              <w:t>Olesińska</w:t>
            </w:r>
            <w:proofErr w:type="spellEnd"/>
            <w:r>
              <w:t xml:space="preserve"> </w:t>
            </w:r>
            <w:r>
              <w:rPr>
                <w:i/>
                <w:iCs/>
              </w:rPr>
              <w:t>et al</w:t>
            </w:r>
            <w:r>
              <w:t>., 2025).</w:t>
            </w:r>
          </w:p>
          <w:p w14:paraId="6FCCBC1A" w14:textId="77777777" w:rsidR="00B94C8E" w:rsidRDefault="00B94C8E">
            <w:pPr>
              <w:spacing w:after="0" w:line="360" w:lineRule="auto"/>
            </w:pP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1B" w14:textId="77777777" w:rsidR="00B94C8E" w:rsidRDefault="00204067">
            <w:pPr>
              <w:spacing w:after="0" w:line="360" w:lineRule="auto"/>
            </w:pPr>
            <w:r>
              <w:rPr>
                <w:b/>
              </w:rPr>
              <w:t>Opportunities</w:t>
            </w:r>
          </w:p>
          <w:p w14:paraId="6FCCBC1C" w14:textId="77777777" w:rsidR="00B94C8E" w:rsidRDefault="00204067">
            <w:pPr>
              <w:numPr>
                <w:ilvl w:val="0"/>
                <w:numId w:val="2"/>
              </w:numPr>
              <w:spacing w:after="0" w:line="360" w:lineRule="auto"/>
            </w:pPr>
            <w:r>
              <w:t>Development of integrated health and social care systems (</w:t>
            </w:r>
            <w:proofErr w:type="spellStart"/>
            <w:r>
              <w:t>Olesińska</w:t>
            </w:r>
            <w:proofErr w:type="spellEnd"/>
            <w:r>
              <w:t xml:space="preserve"> </w:t>
            </w:r>
            <w:r>
              <w:rPr>
                <w:i/>
                <w:iCs/>
              </w:rPr>
              <w:t>et al</w:t>
            </w:r>
            <w:r>
              <w:t>., 2025).</w:t>
            </w:r>
          </w:p>
          <w:p w14:paraId="6FCCBC1D" w14:textId="77777777" w:rsidR="00B94C8E" w:rsidRDefault="00204067">
            <w:pPr>
              <w:numPr>
                <w:ilvl w:val="0"/>
                <w:numId w:val="2"/>
              </w:numPr>
              <w:spacing w:after="0" w:line="360" w:lineRule="auto"/>
            </w:pPr>
            <w:r>
              <w:t>Adoption of digital monitoring technologies for outbreak detection (</w:t>
            </w:r>
            <w:proofErr w:type="spellStart"/>
            <w:r>
              <w:t>Olesińska</w:t>
            </w:r>
            <w:proofErr w:type="spellEnd"/>
            <w:r>
              <w:t xml:space="preserve"> </w:t>
            </w:r>
            <w:r>
              <w:rPr>
                <w:i/>
                <w:iCs/>
              </w:rPr>
              <w:t>et al</w:t>
            </w:r>
            <w:r>
              <w:t>., 2025).</w:t>
            </w:r>
          </w:p>
          <w:p w14:paraId="6FCCBC1E" w14:textId="77777777" w:rsidR="00B94C8E" w:rsidRDefault="00204067">
            <w:pPr>
              <w:numPr>
                <w:ilvl w:val="0"/>
                <w:numId w:val="2"/>
              </w:numPr>
              <w:spacing w:after="0" w:line="360" w:lineRule="auto"/>
            </w:pPr>
            <w:r>
              <w:t>Strengthened emergency preparedness planning (Gürel and Tat, 2017).</w:t>
            </w:r>
          </w:p>
          <w:p w14:paraId="6FCCBC1F" w14:textId="77777777" w:rsidR="00B94C8E" w:rsidRDefault="00B94C8E">
            <w:pPr>
              <w:spacing w:after="0" w:line="360" w:lineRule="auto"/>
            </w:pPr>
          </w:p>
        </w:tc>
      </w:tr>
      <w:tr w:rsidR="00B94C8E" w14:paraId="6FCCBC2B"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21" w14:textId="77777777" w:rsidR="00B94C8E" w:rsidRDefault="00204067">
            <w:pPr>
              <w:spacing w:after="0" w:line="360" w:lineRule="auto"/>
            </w:pPr>
            <w:r>
              <w:rPr>
                <w:b/>
              </w:rPr>
              <w:t>Weaknesses</w:t>
            </w:r>
          </w:p>
          <w:p w14:paraId="6FCCBC22" w14:textId="77777777" w:rsidR="00B94C8E" w:rsidRDefault="00204067">
            <w:pPr>
              <w:numPr>
                <w:ilvl w:val="0"/>
                <w:numId w:val="3"/>
              </w:numPr>
              <w:spacing w:after="0" w:line="360" w:lineRule="auto"/>
            </w:pPr>
            <w:r>
              <w:t>Long-term underfunding within the social care sector affecting service resilience (</w:t>
            </w:r>
            <w:proofErr w:type="spellStart"/>
            <w:r>
              <w:t>Olesińska</w:t>
            </w:r>
            <w:proofErr w:type="spellEnd"/>
            <w:r>
              <w:t xml:space="preserve"> </w:t>
            </w:r>
            <w:r>
              <w:rPr>
                <w:i/>
                <w:iCs/>
              </w:rPr>
              <w:t>et al</w:t>
            </w:r>
            <w:r>
              <w:t>., 2025).</w:t>
            </w:r>
          </w:p>
          <w:p w14:paraId="6FCCBC23" w14:textId="77777777" w:rsidR="00B94C8E" w:rsidRDefault="00204067">
            <w:pPr>
              <w:numPr>
                <w:ilvl w:val="0"/>
                <w:numId w:val="3"/>
              </w:numPr>
              <w:spacing w:after="0" w:line="360" w:lineRule="auto"/>
            </w:pPr>
            <w:r>
              <w:t>Workforce shortages and high staff turnover in care homes (</w:t>
            </w:r>
            <w:proofErr w:type="spellStart"/>
            <w:r>
              <w:t>Olesińska</w:t>
            </w:r>
            <w:proofErr w:type="spellEnd"/>
            <w:r>
              <w:t xml:space="preserve"> </w:t>
            </w:r>
            <w:r>
              <w:rPr>
                <w:i/>
                <w:iCs/>
              </w:rPr>
              <w:t>et al</w:t>
            </w:r>
            <w:r>
              <w:t>., 2025).</w:t>
            </w:r>
          </w:p>
          <w:p w14:paraId="6FCCBC24" w14:textId="77777777" w:rsidR="00B94C8E" w:rsidRDefault="00204067">
            <w:pPr>
              <w:numPr>
                <w:ilvl w:val="0"/>
                <w:numId w:val="3"/>
              </w:numPr>
              <w:spacing w:after="0" w:line="360" w:lineRule="auto"/>
            </w:pPr>
            <w:r>
              <w:t>Limited infection-control infrastructure in many facilities (</w:t>
            </w:r>
            <w:proofErr w:type="spellStart"/>
            <w:r>
              <w:t>Olesińska</w:t>
            </w:r>
            <w:proofErr w:type="spellEnd"/>
            <w:r>
              <w:t xml:space="preserve"> </w:t>
            </w:r>
            <w:r>
              <w:rPr>
                <w:i/>
                <w:iCs/>
              </w:rPr>
              <w:t>et al</w:t>
            </w:r>
            <w:r>
              <w:t>., 2025).</w:t>
            </w:r>
          </w:p>
          <w:p w14:paraId="6FCCBC25" w14:textId="77777777" w:rsidR="00B94C8E" w:rsidRDefault="00B94C8E">
            <w:pPr>
              <w:spacing w:after="0" w:line="360" w:lineRule="auto"/>
            </w:pP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26" w14:textId="77777777" w:rsidR="00B94C8E" w:rsidRDefault="00204067">
            <w:pPr>
              <w:spacing w:after="0" w:line="360" w:lineRule="auto"/>
            </w:pPr>
            <w:r>
              <w:rPr>
                <w:b/>
              </w:rPr>
              <w:lastRenderedPageBreak/>
              <w:t>Threats</w:t>
            </w:r>
          </w:p>
          <w:p w14:paraId="6FCCBC27" w14:textId="77777777" w:rsidR="00B94C8E" w:rsidRDefault="00204067">
            <w:pPr>
              <w:numPr>
                <w:ilvl w:val="0"/>
                <w:numId w:val="4"/>
              </w:numPr>
              <w:spacing w:after="0" w:line="360" w:lineRule="auto"/>
            </w:pPr>
            <w:r>
              <w:t>Future pandemics or infectious disease outbreaks affecting vulnerable populations (</w:t>
            </w:r>
            <w:proofErr w:type="spellStart"/>
            <w:r>
              <w:t>Olesińska</w:t>
            </w:r>
            <w:proofErr w:type="spellEnd"/>
            <w:r>
              <w:t xml:space="preserve"> </w:t>
            </w:r>
            <w:r>
              <w:rPr>
                <w:i/>
                <w:iCs/>
              </w:rPr>
              <w:t>et al</w:t>
            </w:r>
            <w:r>
              <w:t>., 2025).</w:t>
            </w:r>
          </w:p>
          <w:p w14:paraId="6FCCBC28" w14:textId="77777777" w:rsidR="00B94C8E" w:rsidRDefault="00204067">
            <w:pPr>
              <w:numPr>
                <w:ilvl w:val="0"/>
                <w:numId w:val="4"/>
              </w:numPr>
              <w:spacing w:after="0" w:line="360" w:lineRule="auto"/>
            </w:pPr>
            <w:r>
              <w:t>Rapidly ageing population increasing demand for long-term care services (</w:t>
            </w:r>
            <w:proofErr w:type="spellStart"/>
            <w:r>
              <w:t>Olesińska</w:t>
            </w:r>
            <w:proofErr w:type="spellEnd"/>
            <w:r>
              <w:t xml:space="preserve"> </w:t>
            </w:r>
            <w:r>
              <w:rPr>
                <w:i/>
                <w:iCs/>
              </w:rPr>
              <w:t>et al</w:t>
            </w:r>
            <w:r>
              <w:t>., 2025).</w:t>
            </w:r>
          </w:p>
          <w:p w14:paraId="6FCCBC29" w14:textId="77777777" w:rsidR="00B94C8E" w:rsidRDefault="00204067">
            <w:pPr>
              <w:numPr>
                <w:ilvl w:val="0"/>
                <w:numId w:val="4"/>
              </w:numPr>
              <w:spacing w:after="0" w:line="360" w:lineRule="auto"/>
            </w:pPr>
            <w:r>
              <w:t>Economic pressures impacting health and social care funding (Gürel and Tat, 2017).</w:t>
            </w:r>
          </w:p>
          <w:p w14:paraId="6FCCBC2A" w14:textId="77777777" w:rsidR="00B94C8E" w:rsidRDefault="00B94C8E">
            <w:pPr>
              <w:spacing w:after="0" w:line="360" w:lineRule="auto"/>
            </w:pPr>
          </w:p>
        </w:tc>
      </w:tr>
    </w:tbl>
    <w:p w14:paraId="6FCCBC2C" w14:textId="77777777" w:rsidR="00B94C8E" w:rsidRDefault="00204067">
      <w:pPr>
        <w:spacing w:line="360" w:lineRule="auto"/>
      </w:pPr>
      <w:r>
        <w:rPr>
          <w:b/>
        </w:rPr>
        <w:lastRenderedPageBreak/>
        <w:t>Critical analysis: Why SWOT rather than PESTLE?</w:t>
      </w:r>
      <w:r>
        <w:t xml:space="preserve"> </w:t>
      </w:r>
    </w:p>
    <w:p w14:paraId="6FCCBC2D" w14:textId="77777777" w:rsidR="00B94C8E" w:rsidRDefault="00204067">
      <w:pPr>
        <w:spacing w:line="360" w:lineRule="auto"/>
        <w:jc w:val="both"/>
      </w:pPr>
      <w:r>
        <w:t>SWOT was chosen because it explicitly examines internal strengths and weaknesses (e.g., staffing levels, infection-control infrastructure, organisational culture) alongside external factors — precisely the mix required for care-home analysis. The crisis was driven by internal structural failures (underfunding, poor preparedness) interacting with immediate threats, not solely macro-environmental forces. PESTLE focuses only on external macro factors (Political, Economic, Social, Technological, Legal, Environmental) and would overlook the internal organisational deficits that benchmarking and Donabedian analysis identified as central (Blayney, 2008; Gürel and Tat, 2017). In healthcare quality improvement, SWOT is preferred for organisation-specific strategic planning because it bridges internal capability gaps with external opportunities/threats (</w:t>
      </w:r>
      <w:proofErr w:type="spellStart"/>
      <w:r>
        <w:t>Venngage</w:t>
      </w:r>
      <w:proofErr w:type="spellEnd"/>
      <w:r>
        <w:t xml:space="preserve"> healthcare review, 2025). PESTLE would have been too broad and less actionable for care-home governance reform.</w:t>
      </w:r>
    </w:p>
    <w:p w14:paraId="6FCCBC2E" w14:textId="77777777" w:rsidR="00B94C8E" w:rsidRDefault="00204067">
      <w:pPr>
        <w:spacing w:line="360" w:lineRule="auto"/>
      </w:pPr>
      <w:r>
        <w:rPr>
          <w:b/>
        </w:rPr>
        <w:t>7. PDSA Cycle</w:t>
      </w:r>
      <w:r>
        <w:t xml:space="preserve"> </w:t>
      </w:r>
    </w:p>
    <w:p w14:paraId="6FCCBC2F" w14:textId="77777777" w:rsidR="00B94C8E" w:rsidRDefault="00204067">
      <w:pPr>
        <w:spacing w:line="360" w:lineRule="auto"/>
        <w:jc w:val="center"/>
      </w:pPr>
      <w:r>
        <w:rPr>
          <w:noProof/>
        </w:rPr>
        <w:drawing>
          <wp:inline distT="0" distB="0" distL="0" distR="0" wp14:anchorId="6FCCBBC3" wp14:editId="6FCCBBC4">
            <wp:extent cx="3665253" cy="2137821"/>
            <wp:effectExtent l="0" t="0" r="0" b="0"/>
            <wp:docPr id="600604039"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665253" cy="2137821"/>
                    </a:xfrm>
                    <a:prstGeom prst="rect">
                      <a:avLst/>
                    </a:prstGeom>
                    <a:noFill/>
                    <a:ln>
                      <a:noFill/>
                      <a:prstDash/>
                    </a:ln>
                  </pic:spPr>
                </pic:pic>
              </a:graphicData>
            </a:graphic>
          </wp:inline>
        </w:drawing>
      </w:r>
    </w:p>
    <w:p w14:paraId="6FCCBC30" w14:textId="77777777" w:rsidR="00B94C8E" w:rsidRDefault="00204067">
      <w:pPr>
        <w:spacing w:line="360" w:lineRule="auto"/>
        <w:jc w:val="center"/>
      </w:pPr>
      <w:r>
        <w:rPr>
          <w:b/>
        </w:rPr>
        <w:t>Figure 3: PDSA cycle</w:t>
      </w:r>
    </w:p>
    <w:p w14:paraId="6FCCBC31" w14:textId="77777777" w:rsidR="00B94C8E" w:rsidRDefault="00204067">
      <w:pPr>
        <w:spacing w:line="360" w:lineRule="auto"/>
        <w:jc w:val="center"/>
      </w:pPr>
      <w:r>
        <w:t xml:space="preserve">(Source: Deming, 1986; adapted for healthcare by Langley </w:t>
      </w:r>
      <w:r>
        <w:rPr>
          <w:i/>
          <w:iCs/>
        </w:rPr>
        <w:t>et al</w:t>
      </w:r>
      <w:r>
        <w:t>., 1996)</w:t>
      </w:r>
    </w:p>
    <w:p w14:paraId="6FCCBC32" w14:textId="77777777" w:rsidR="00B94C8E" w:rsidRDefault="00204067">
      <w:pPr>
        <w:spacing w:line="360" w:lineRule="auto"/>
        <w:jc w:val="both"/>
      </w:pPr>
      <w:r>
        <w:t xml:space="preserve">The Plan-Do-Study-Act (PDSA) cycle is a quality improvement model that is very popular and aimed at testing, assessing and introducing the change to the healthcare systems, with continuous learning and adapting to changes (Deming, 1986). </w:t>
      </w:r>
    </w:p>
    <w:p w14:paraId="6FCCBC33" w14:textId="77777777" w:rsidR="00B94C8E" w:rsidRDefault="00204067">
      <w:pPr>
        <w:spacing w:line="360" w:lineRule="auto"/>
        <w:jc w:val="both"/>
      </w:pPr>
      <w:r>
        <w:t xml:space="preserve">The model helps in systematically improving the services as it enables organisations to make small scale changes, experiment on them, and optimum mode before it is widely adopted. The PDSA has been extensively used in health care quality improvement initiatives since organisations can test interventions, analyse eras and make active achievements into practice (Taylor </w:t>
      </w:r>
      <w:r>
        <w:rPr>
          <w:i/>
          <w:iCs/>
        </w:rPr>
        <w:t>et al</w:t>
      </w:r>
      <w:r>
        <w:t>., 2013).</w:t>
      </w:r>
    </w:p>
    <w:p w14:paraId="6FCCBC34" w14:textId="77777777" w:rsidR="00B94C8E" w:rsidRDefault="00204067">
      <w:pPr>
        <w:spacing w:line="360" w:lineRule="auto"/>
        <w:jc w:val="both"/>
      </w:pPr>
      <w:r>
        <w:rPr>
          <w:b/>
        </w:rPr>
        <w:t>Plan:</w:t>
      </w:r>
    </w:p>
    <w:p w14:paraId="6FCCBC35" w14:textId="77777777" w:rsidR="00B94C8E" w:rsidRDefault="00204067">
      <w:pPr>
        <w:spacing w:line="360" w:lineRule="auto"/>
        <w:jc w:val="both"/>
      </w:pPr>
      <w:r>
        <w:lastRenderedPageBreak/>
        <w:t xml:space="preserve">Planning stage in COVID-19 care homes would entail the weaknesses in infection-control to be identified and strategies to address them to be designed, including better distribution of PPEs, regular testing programmes and more infection-prevention training of the staff (Taylor </w:t>
      </w:r>
      <w:r>
        <w:rPr>
          <w:i/>
          <w:iCs/>
        </w:rPr>
        <w:t>et al</w:t>
      </w:r>
      <w:r>
        <w:t>., 2013).</w:t>
      </w:r>
    </w:p>
    <w:p w14:paraId="6FCCBC36" w14:textId="77777777" w:rsidR="00B94C8E" w:rsidRDefault="00204067">
      <w:pPr>
        <w:spacing w:line="360" w:lineRule="auto"/>
        <w:jc w:val="both"/>
      </w:pPr>
      <w:r>
        <w:rPr>
          <w:b/>
        </w:rPr>
        <w:t>Do:</w:t>
      </w:r>
    </w:p>
    <w:p w14:paraId="6FCCBC37" w14:textId="77777777" w:rsidR="00B94C8E" w:rsidRDefault="00204067">
      <w:pPr>
        <w:spacing w:line="360" w:lineRule="auto"/>
        <w:jc w:val="both"/>
      </w:pPr>
      <w:r>
        <w:t>Do stage entails application of these interventions in small scale such as piloting routine staff and resident testing, implementing infection-control training programmes and setting up isolation rules to infected residents (Deming, 1986).</w:t>
      </w:r>
    </w:p>
    <w:p w14:paraId="6FCCBC38" w14:textId="77777777" w:rsidR="00B94C8E" w:rsidRDefault="00204067">
      <w:pPr>
        <w:spacing w:line="360" w:lineRule="auto"/>
        <w:jc w:val="both"/>
      </w:pPr>
      <w:r>
        <w:rPr>
          <w:b/>
        </w:rPr>
        <w:t>Study:</w:t>
      </w:r>
    </w:p>
    <w:p w14:paraId="6FCCBC39" w14:textId="77777777" w:rsidR="00B94C8E" w:rsidRDefault="00204067">
      <w:pPr>
        <w:spacing w:line="360" w:lineRule="auto"/>
        <w:jc w:val="both"/>
      </w:pPr>
      <w:r>
        <w:t xml:space="preserve">During the study phase organisations audit the results of the introduced interventions using the prevalence of the infections, the rates of mortality, and the adherence of the staff to the infection-related actions (Taylor </w:t>
      </w:r>
      <w:r>
        <w:rPr>
          <w:i/>
          <w:iCs/>
        </w:rPr>
        <w:t>et al</w:t>
      </w:r>
      <w:r>
        <w:t>., 2013).</w:t>
      </w:r>
    </w:p>
    <w:p w14:paraId="6FCCBC3A" w14:textId="77777777" w:rsidR="00B94C8E" w:rsidRDefault="00204067">
      <w:pPr>
        <w:spacing w:line="360" w:lineRule="auto"/>
        <w:jc w:val="both"/>
      </w:pPr>
      <w:r>
        <w:rPr>
          <w:b/>
        </w:rPr>
        <w:t>Act:</w:t>
      </w:r>
    </w:p>
    <w:p w14:paraId="6FCCBC3B" w14:textId="77777777" w:rsidR="00B94C8E" w:rsidRDefault="00204067">
      <w:pPr>
        <w:spacing w:line="360" w:lineRule="auto"/>
        <w:jc w:val="both"/>
      </w:pPr>
      <w:r>
        <w:t>The fourth step of successful strategies is applied in the final stage as the strategies become the new normal procedures within the organisations like incorporating infection-control mechanisms in the organisational systems and developing common testing and monitoring systems in the care homes (Deming, 1986).</w:t>
      </w:r>
    </w:p>
    <w:p w14:paraId="6FCCBC3C" w14:textId="77777777" w:rsidR="00B94C8E" w:rsidRDefault="00204067">
      <w:pPr>
        <w:spacing w:line="360" w:lineRule="auto"/>
        <w:jc w:val="both"/>
      </w:pPr>
      <w:r>
        <w:rPr>
          <w:b/>
        </w:rPr>
        <w:t xml:space="preserve">Critical analysis: Why PDSA rather than PDCA or Six Sigma? </w:t>
      </w:r>
    </w:p>
    <w:p w14:paraId="6FCCBC3D" w14:textId="77777777" w:rsidR="00B94C8E" w:rsidRDefault="00204067">
      <w:pPr>
        <w:spacing w:line="360" w:lineRule="auto"/>
        <w:jc w:val="both"/>
      </w:pPr>
      <w:r>
        <w:t xml:space="preserve">PDSA was selected over PDCA because Deming himself emphasised “Study” (deep analysis and learning from data) rather than mere “Check” (simple verification), promoting theory-driven continuous learning essential in dynamic healthcare crises (Deming.org; Moen and Norman, 2010). PDCA risks superficial assessment without generating new knowledge (Taylor </w:t>
      </w:r>
      <w:r>
        <w:rPr>
          <w:i/>
          <w:iCs/>
        </w:rPr>
        <w:t>et al</w:t>
      </w:r>
      <w:r>
        <w:t>., 2013 systematic review of 100+ healthcare studies).</w:t>
      </w:r>
    </w:p>
    <w:p w14:paraId="6FCCBC3E" w14:textId="77777777" w:rsidR="00B94C8E" w:rsidRDefault="00204067">
      <w:pPr>
        <w:spacing w:line="360" w:lineRule="auto"/>
        <w:jc w:val="both"/>
      </w:pPr>
      <w:r>
        <w:t xml:space="preserve">Six Sigma (DMAIC) was rejected because it is data-intensive, statistically rigorous, and best suited to manufacturing defect reduction with stable processes; it is less flexible for rapid, small-scale iterative testing in unpredictable pandemic settings where clinical context changes quickly (Barr, 2024; NCBI review of QI methods). PDSA’s simplicity and iterative nature make it ideal for healthcare (used successfully in 2592+ studies per Taylor </w:t>
      </w:r>
      <w:r>
        <w:rPr>
          <w:i/>
          <w:iCs/>
        </w:rPr>
        <w:t>et al</w:t>
      </w:r>
      <w:r>
        <w:t>., 2013), enabling care homes to adapt infection control in real time without requiring black-belt expertise.</w:t>
      </w:r>
    </w:p>
    <w:p w14:paraId="6FCCBC3F" w14:textId="77777777" w:rsidR="00B94C8E" w:rsidRDefault="00204067">
      <w:pPr>
        <w:spacing w:line="360" w:lineRule="auto"/>
      </w:pPr>
      <w:r>
        <w:rPr>
          <w:b/>
        </w:rPr>
        <w:t>8. Change Management Model</w:t>
      </w:r>
      <w:r>
        <w:t xml:space="preserve"> </w:t>
      </w:r>
    </w:p>
    <w:p w14:paraId="6FCCBC40" w14:textId="77777777" w:rsidR="00B94C8E" w:rsidRDefault="00204067">
      <w:pPr>
        <w:spacing w:line="360" w:lineRule="auto"/>
        <w:jc w:val="center"/>
      </w:pPr>
      <w:r>
        <w:rPr>
          <w:noProof/>
        </w:rPr>
        <w:lastRenderedPageBreak/>
        <w:drawing>
          <wp:inline distT="0" distB="0" distL="0" distR="0" wp14:anchorId="6FCCBBC5" wp14:editId="6FCCBBC6">
            <wp:extent cx="5006340" cy="2933696"/>
            <wp:effectExtent l="0" t="0" r="3810" b="4"/>
            <wp:docPr id="74174834" name="Picture 5" descr="Lewin's Change Management Model - HRC Onlin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006340" cy="2933696"/>
                    </a:xfrm>
                    <a:prstGeom prst="rect">
                      <a:avLst/>
                    </a:prstGeom>
                    <a:noFill/>
                    <a:ln>
                      <a:noFill/>
                      <a:prstDash/>
                    </a:ln>
                  </pic:spPr>
                </pic:pic>
              </a:graphicData>
            </a:graphic>
          </wp:inline>
        </w:drawing>
      </w:r>
    </w:p>
    <w:p w14:paraId="6FCCBC41" w14:textId="77777777" w:rsidR="00B94C8E" w:rsidRDefault="00204067">
      <w:pPr>
        <w:spacing w:line="360" w:lineRule="auto"/>
        <w:jc w:val="center"/>
      </w:pPr>
      <w:r>
        <w:rPr>
          <w:b/>
        </w:rPr>
        <w:t>Figure 4: The Kurt Lewin Change Management Model</w:t>
      </w:r>
    </w:p>
    <w:p w14:paraId="6FCCBC42" w14:textId="77777777" w:rsidR="00B94C8E" w:rsidRDefault="00204067">
      <w:pPr>
        <w:spacing w:line="360" w:lineRule="auto"/>
        <w:jc w:val="center"/>
      </w:pPr>
      <w:r>
        <w:t>(Source: Lewin, 1951; HR Courses Online, 2023)</w:t>
      </w:r>
    </w:p>
    <w:p w14:paraId="6FCCBC43" w14:textId="77777777" w:rsidR="00B94C8E" w:rsidRDefault="00204067">
      <w:pPr>
        <w:spacing w:line="360" w:lineRule="auto"/>
        <w:jc w:val="both"/>
      </w:pPr>
      <w:r>
        <w:t>Kurt Lewin change management model can offer a systematic mechanism in transforming the organisations involved in healthcare systems. The model has three phases of change: unfreeze, change and refreeze that facilitate the transitions of the organisations that exist with existing practices into better systems (Lewin, 1951).</w:t>
      </w:r>
    </w:p>
    <w:p w14:paraId="6FCCBC44" w14:textId="77777777" w:rsidR="00B94C8E" w:rsidRDefault="00204067">
      <w:pPr>
        <w:spacing w:line="360" w:lineRule="auto"/>
      </w:pPr>
      <w:r>
        <w:rPr>
          <w:b/>
        </w:rPr>
        <w:t>Lewin’s Model</w:t>
      </w:r>
      <w:r>
        <w:t>:</w:t>
      </w:r>
    </w:p>
    <w:p w14:paraId="6FCCBC45" w14:textId="77777777" w:rsidR="00B94C8E" w:rsidRDefault="00204067">
      <w:pPr>
        <w:numPr>
          <w:ilvl w:val="0"/>
          <w:numId w:val="5"/>
        </w:numPr>
        <w:spacing w:line="360" w:lineRule="auto"/>
      </w:pPr>
      <w:r>
        <w:rPr>
          <w:b/>
        </w:rPr>
        <w:t>Unfreeze</w:t>
      </w:r>
      <w:r>
        <w:t xml:space="preserve">: Create awareness of the need for change by highlighting crisis data (e.g., 27,000 excess deaths). The COVID-19 mortality spike revealed urgent need to overhaul infection control (Lewin, 1951; Gordon </w:t>
      </w:r>
      <w:r>
        <w:rPr>
          <w:i/>
          <w:iCs/>
        </w:rPr>
        <w:t>et al</w:t>
      </w:r>
      <w:r>
        <w:t>., 2020).</w:t>
      </w:r>
    </w:p>
    <w:p w14:paraId="6FCCBC46" w14:textId="77777777" w:rsidR="00B94C8E" w:rsidRDefault="00204067">
      <w:pPr>
        <w:numPr>
          <w:ilvl w:val="0"/>
          <w:numId w:val="5"/>
        </w:numPr>
        <w:spacing w:line="360" w:lineRule="auto"/>
      </w:pPr>
      <w:r>
        <w:rPr>
          <w:b/>
        </w:rPr>
        <w:t>Change</w:t>
      </w:r>
      <w:r>
        <w:t>: Introduce new practices (enhanced PPE distribution, integrated testing, staff training) (Lewin, 1951; UKHSA, 2020).</w:t>
      </w:r>
    </w:p>
    <w:p w14:paraId="6FCCBC47" w14:textId="77777777" w:rsidR="00B94C8E" w:rsidRDefault="00204067">
      <w:pPr>
        <w:numPr>
          <w:ilvl w:val="0"/>
          <w:numId w:val="5"/>
        </w:numPr>
        <w:spacing w:line="360" w:lineRule="auto"/>
      </w:pPr>
      <w:r>
        <w:rPr>
          <w:b/>
        </w:rPr>
        <w:t>Refreeze</w:t>
      </w:r>
      <w:r>
        <w:t xml:space="preserve">: Embed changes via regulation, ongoing monitoring, and training to sustain gains (Lewin, 1951; Stedman </w:t>
      </w:r>
      <w:r>
        <w:rPr>
          <w:i/>
          <w:iCs/>
        </w:rPr>
        <w:t>et al</w:t>
      </w:r>
      <w:r>
        <w:t>., 2025).</w:t>
      </w:r>
    </w:p>
    <w:p w14:paraId="6FCCBC48" w14:textId="77777777" w:rsidR="00B94C8E" w:rsidRDefault="00204067">
      <w:pPr>
        <w:spacing w:line="360" w:lineRule="auto"/>
      </w:pPr>
      <w:r>
        <w:rPr>
          <w:b/>
        </w:rPr>
        <w:t>Kotter’s 8-Step Change Model</w:t>
      </w:r>
      <w:r>
        <w:t xml:space="preserve"> </w:t>
      </w:r>
    </w:p>
    <w:p w14:paraId="6FCCBC49" w14:textId="77777777" w:rsidR="00B94C8E" w:rsidRDefault="00204067">
      <w:pPr>
        <w:spacing w:line="360" w:lineRule="auto"/>
        <w:jc w:val="center"/>
      </w:pPr>
      <w:r>
        <w:rPr>
          <w:noProof/>
        </w:rPr>
        <w:lastRenderedPageBreak/>
        <w:drawing>
          <wp:inline distT="0" distB="0" distL="0" distR="0" wp14:anchorId="6FCCBBC7" wp14:editId="6FCCBBC8">
            <wp:extent cx="3109225" cy="5753596"/>
            <wp:effectExtent l="0" t="0" r="0" b="0"/>
            <wp:docPr id="176201503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109225" cy="5753596"/>
                    </a:xfrm>
                    <a:prstGeom prst="rect">
                      <a:avLst/>
                    </a:prstGeom>
                    <a:noFill/>
                    <a:ln>
                      <a:noFill/>
                      <a:prstDash/>
                    </a:ln>
                  </pic:spPr>
                </pic:pic>
              </a:graphicData>
            </a:graphic>
          </wp:inline>
        </w:drawing>
      </w:r>
    </w:p>
    <w:p w14:paraId="6FCCBC4A" w14:textId="77777777" w:rsidR="00B94C8E" w:rsidRDefault="00204067">
      <w:pPr>
        <w:spacing w:line="360" w:lineRule="auto"/>
        <w:jc w:val="center"/>
      </w:pPr>
      <w:r>
        <w:rPr>
          <w:b/>
        </w:rPr>
        <w:t>Figure 5:</w:t>
      </w:r>
      <w:r>
        <w:t xml:space="preserve"> Kotter’s 8-Step Change Model </w:t>
      </w:r>
    </w:p>
    <w:p w14:paraId="6FCCBC4B" w14:textId="77777777" w:rsidR="00B94C8E" w:rsidRDefault="00204067">
      <w:pPr>
        <w:spacing w:line="360" w:lineRule="auto"/>
        <w:jc w:val="center"/>
      </w:pPr>
      <w:r>
        <w:t>(Source: Self-Developed)</w:t>
      </w:r>
    </w:p>
    <w:p w14:paraId="6FCCBC4C" w14:textId="77777777" w:rsidR="00B94C8E" w:rsidRDefault="00204067">
      <w:pPr>
        <w:spacing w:line="360" w:lineRule="auto"/>
        <w:jc w:val="both"/>
      </w:pPr>
      <w:r>
        <w:t xml:space="preserve">Kotter (1996) provides a more detailed leadership-driven approach: </w:t>
      </w:r>
    </w:p>
    <w:p w14:paraId="6FCCBC4D" w14:textId="77777777" w:rsidR="00B94C8E" w:rsidRDefault="00204067">
      <w:pPr>
        <w:pStyle w:val="ListParagraph"/>
        <w:numPr>
          <w:ilvl w:val="0"/>
          <w:numId w:val="6"/>
        </w:numPr>
        <w:spacing w:line="360" w:lineRule="auto"/>
        <w:jc w:val="both"/>
      </w:pPr>
      <w:r>
        <w:rPr>
          <w:b/>
        </w:rPr>
        <w:t>Create urgency:</w:t>
      </w:r>
    </w:p>
    <w:p w14:paraId="6FCCBC4E" w14:textId="77777777" w:rsidR="00B94C8E" w:rsidRDefault="00204067">
      <w:pPr>
        <w:spacing w:line="360" w:lineRule="auto"/>
        <w:jc w:val="both"/>
      </w:pPr>
      <w:r>
        <w:t xml:space="preserve">The extensively high death rates of care home residents during the COVID-19 produced a great sense of urgency regarding reforms in the systems of infection control and structures of governance (Gordon </w:t>
      </w:r>
      <w:r>
        <w:rPr>
          <w:i/>
          <w:iCs/>
        </w:rPr>
        <w:t>et al</w:t>
      </w:r>
      <w:r>
        <w:t>., 2020).</w:t>
      </w:r>
    </w:p>
    <w:p w14:paraId="6FCCBC4F" w14:textId="77777777" w:rsidR="00B94C8E" w:rsidRDefault="00204067">
      <w:pPr>
        <w:spacing w:line="360" w:lineRule="auto"/>
        <w:jc w:val="both"/>
      </w:pPr>
      <w:r>
        <w:rPr>
          <w:b/>
        </w:rPr>
        <w:t>2. Build a guiding coalition:</w:t>
      </w:r>
    </w:p>
    <w:p w14:paraId="6FCCBC50" w14:textId="77777777" w:rsidR="00B94C8E" w:rsidRDefault="00204067">
      <w:pPr>
        <w:spacing w:line="360" w:lineRule="auto"/>
        <w:jc w:val="both"/>
      </w:pPr>
      <w:r>
        <w:lastRenderedPageBreak/>
        <w:t xml:space="preserve">Leaders of NHS, managers of care homes, and public health authorities had to collaborate and organize the strategies of responding to the pandemic (Harrison </w:t>
      </w:r>
      <w:r>
        <w:rPr>
          <w:i/>
          <w:iCs/>
        </w:rPr>
        <w:t>et al</w:t>
      </w:r>
      <w:r>
        <w:t>., 2021).</w:t>
      </w:r>
    </w:p>
    <w:p w14:paraId="6FCCBC51" w14:textId="77777777" w:rsidR="00B94C8E" w:rsidRDefault="00204067">
      <w:pPr>
        <w:spacing w:line="360" w:lineRule="auto"/>
        <w:jc w:val="both"/>
      </w:pPr>
      <w:r>
        <w:rPr>
          <w:b/>
        </w:rPr>
        <w:t>3. Form a strategic vision:</w:t>
      </w:r>
    </w:p>
    <w:p w14:paraId="6FCCBC52" w14:textId="77777777" w:rsidR="00B94C8E" w:rsidRDefault="00204067">
      <w:pPr>
        <w:spacing w:line="360" w:lineRule="auto"/>
        <w:jc w:val="both"/>
      </w:pPr>
      <w:r>
        <w:t>There was a need to have a clear plan on ways in which infection prevention systems could be reinforced and that less coordination between health and social care services should be conducted (</w:t>
      </w:r>
      <w:proofErr w:type="spellStart"/>
      <w:r>
        <w:t>Olesińska</w:t>
      </w:r>
      <w:proofErr w:type="spellEnd"/>
      <w:r>
        <w:t xml:space="preserve"> </w:t>
      </w:r>
      <w:r>
        <w:rPr>
          <w:i/>
          <w:iCs/>
        </w:rPr>
        <w:t>et al</w:t>
      </w:r>
      <w:r>
        <w:t>., 2025).</w:t>
      </w:r>
    </w:p>
    <w:p w14:paraId="6FCCBC53" w14:textId="77777777" w:rsidR="00B94C8E" w:rsidRDefault="00204067">
      <w:pPr>
        <w:spacing w:line="360" w:lineRule="auto"/>
        <w:jc w:val="both"/>
      </w:pPr>
      <w:r>
        <w:rPr>
          <w:b/>
        </w:rPr>
        <w:t>4. Communicate the vision:</w:t>
      </w:r>
    </w:p>
    <w:p w14:paraId="6FCCBC54" w14:textId="77777777" w:rsidR="00B94C8E" w:rsidRDefault="00204067">
      <w:pPr>
        <w:spacing w:line="360" w:lineRule="auto"/>
        <w:jc w:val="both"/>
      </w:pPr>
      <w:r>
        <w:t>New infection-control policies and safety protocols were communicated to staff members to have uniform implementation across care homes (UK Health Security Agency, 2020).</w:t>
      </w:r>
    </w:p>
    <w:p w14:paraId="6FCCBC55" w14:textId="77777777" w:rsidR="00B94C8E" w:rsidRDefault="00204067">
      <w:pPr>
        <w:spacing w:line="360" w:lineRule="auto"/>
        <w:jc w:val="both"/>
      </w:pPr>
      <w:r>
        <w:rPr>
          <w:b/>
        </w:rPr>
        <w:t>5. Empower action:</w:t>
      </w:r>
    </w:p>
    <w:p w14:paraId="6FCCBC56" w14:textId="77777777" w:rsidR="00B94C8E" w:rsidRDefault="00204067">
      <w:pPr>
        <w:spacing w:line="360" w:lineRule="auto"/>
        <w:jc w:val="both"/>
      </w:pPr>
      <w:r>
        <w:t>Supply of PPE resources, workforce training and capacity of testing helped care homes to efficiently carry out new infection-control measures (Pearson-</w:t>
      </w:r>
      <w:proofErr w:type="spellStart"/>
      <w:r>
        <w:t>Stuttard</w:t>
      </w:r>
      <w:proofErr w:type="spellEnd"/>
      <w:r>
        <w:t xml:space="preserve"> </w:t>
      </w:r>
      <w:r>
        <w:rPr>
          <w:i/>
          <w:iCs/>
        </w:rPr>
        <w:t>et al</w:t>
      </w:r>
      <w:r>
        <w:t>., 2024).</w:t>
      </w:r>
    </w:p>
    <w:p w14:paraId="6FCCBC57" w14:textId="77777777" w:rsidR="00B94C8E" w:rsidRDefault="00204067">
      <w:pPr>
        <w:spacing w:line="360" w:lineRule="auto"/>
        <w:jc w:val="both"/>
      </w:pPr>
      <w:r>
        <w:rPr>
          <w:b/>
        </w:rPr>
        <w:t>6. Generate short-term wins:</w:t>
      </w:r>
    </w:p>
    <w:p w14:paraId="6FCCBC58" w14:textId="77777777" w:rsidR="00B94C8E" w:rsidRDefault="00204067">
      <w:pPr>
        <w:spacing w:line="360" w:lineRule="auto"/>
        <w:jc w:val="both"/>
      </w:pPr>
      <w:r>
        <w:t xml:space="preserve">Initial gains in the form of fewer cases of infection and effective vaccination campaigns showed that interventions are effective (Stedman </w:t>
      </w:r>
      <w:r>
        <w:rPr>
          <w:i/>
          <w:iCs/>
        </w:rPr>
        <w:t>et al</w:t>
      </w:r>
      <w:r>
        <w:t>., 2025).</w:t>
      </w:r>
    </w:p>
    <w:p w14:paraId="6FCCBC59" w14:textId="77777777" w:rsidR="00B94C8E" w:rsidRDefault="00204067">
      <w:pPr>
        <w:spacing w:line="360" w:lineRule="auto"/>
        <w:jc w:val="both"/>
      </w:pPr>
      <w:r>
        <w:rPr>
          <w:b/>
        </w:rPr>
        <w:t>7. Consolidate gains:</w:t>
      </w:r>
    </w:p>
    <w:p w14:paraId="6FCCBC5A" w14:textId="77777777" w:rsidR="00B94C8E" w:rsidRDefault="00204067">
      <w:pPr>
        <w:spacing w:line="360" w:lineRule="auto"/>
        <w:jc w:val="both"/>
      </w:pPr>
      <w:r>
        <w:t xml:space="preserve">Careful measures to control infections were also implemented throughout the care home sector to enhance resilience to the pandemic (Wilson </w:t>
      </w:r>
      <w:r>
        <w:rPr>
          <w:i/>
          <w:iCs/>
        </w:rPr>
        <w:t>et al</w:t>
      </w:r>
      <w:r>
        <w:t>., 2025).</w:t>
      </w:r>
    </w:p>
    <w:p w14:paraId="6FCCBC5B" w14:textId="77777777" w:rsidR="00B94C8E" w:rsidRDefault="00204067">
      <w:pPr>
        <w:spacing w:line="360" w:lineRule="auto"/>
        <w:jc w:val="both"/>
      </w:pPr>
      <w:r>
        <w:rPr>
          <w:b/>
        </w:rPr>
        <w:t>8. Anchor change in organisational culture:</w:t>
      </w:r>
    </w:p>
    <w:p w14:paraId="6FCCBC5C" w14:textId="77777777" w:rsidR="00B94C8E" w:rsidRDefault="00204067">
      <w:pPr>
        <w:spacing w:line="360" w:lineRule="auto"/>
        <w:jc w:val="both"/>
      </w:pPr>
      <w:r>
        <w:t>Regulatory standards were incorporated to induce long-term changes in healthcare governance systems by training workforce and constantly checking the quality of care (Kotter, 1996).</w:t>
      </w:r>
    </w:p>
    <w:p w14:paraId="6FCCBC5D" w14:textId="77777777" w:rsidR="00B94C8E" w:rsidRDefault="00204067">
      <w:pPr>
        <w:spacing w:line="360" w:lineRule="auto"/>
        <w:jc w:val="both"/>
      </w:pPr>
      <w:r>
        <w:rPr>
          <w:b/>
        </w:rPr>
        <w:t>Critical analysis of both models</w:t>
      </w:r>
      <w:r>
        <w:t xml:space="preserve">: </w:t>
      </w:r>
    </w:p>
    <w:p w14:paraId="6FCCBC5E" w14:textId="77777777" w:rsidR="00B94C8E" w:rsidRDefault="00204067">
      <w:pPr>
        <w:spacing w:line="360" w:lineRule="auto"/>
        <w:jc w:val="both"/>
      </w:pPr>
      <w:r>
        <w:t xml:space="preserve">Lewin’s three-stage model is elegant and psychologically grounded (unfreeze-change-refreeze captures resistance and stabilisation) but overly simplistic for large-scale healthcare transformation; it lacks explicit leadership and communication steps (Harrison </w:t>
      </w:r>
      <w:r>
        <w:rPr>
          <w:i/>
          <w:iCs/>
        </w:rPr>
        <w:t>et al</w:t>
      </w:r>
      <w:r>
        <w:t xml:space="preserve">., 2021 systematic review of 437 healthcare studies). Kotter’s 8-step model addresses these gaps with strong emphasis on urgency, coalition-building, and anchoring — proven more effective for complex organisational change in healthcare (e.g., GME recruitment or pandemic response) (Miles </w:t>
      </w:r>
      <w:r>
        <w:rPr>
          <w:i/>
          <w:iCs/>
        </w:rPr>
        <w:t>et al</w:t>
      </w:r>
      <w:r>
        <w:t xml:space="preserve">., 2023). However, Kotter can be resource-heavy and top-down. In care-home governance, combining both (Lewin for foundational mindset shift + Kotter for detailed execution) offers the most robust approach (Harrison </w:t>
      </w:r>
      <w:r>
        <w:rPr>
          <w:i/>
          <w:iCs/>
        </w:rPr>
        <w:t>et al</w:t>
      </w:r>
      <w:r>
        <w:t>., 2021; comparative reviews confirm both are widely used, with Kotter edging out in sustained transformation).</w:t>
      </w:r>
    </w:p>
    <w:p w14:paraId="6FCCBC5F" w14:textId="77777777" w:rsidR="00B94C8E" w:rsidRDefault="00204067">
      <w:pPr>
        <w:spacing w:line="360" w:lineRule="auto"/>
      </w:pPr>
      <w:r>
        <w:rPr>
          <w:b/>
        </w:rPr>
        <w:lastRenderedPageBreak/>
        <w:t>9. Recommendations</w:t>
      </w:r>
      <w:r>
        <w:t xml:space="preserve"> </w:t>
      </w:r>
    </w:p>
    <w:p w14:paraId="6FCCBC60" w14:textId="77777777" w:rsidR="00B94C8E" w:rsidRDefault="00204067">
      <w:pPr>
        <w:spacing w:line="360" w:lineRule="auto"/>
        <w:jc w:val="both"/>
      </w:pPr>
      <w:r>
        <w:t xml:space="preserve">Strengthen infection prevention systems by implementing effective infection control measures, ensuring adequate PPE supply and maintaining routine testing to reduce transmission in care homes. Improve NHS and care home integration through better coordination, communication and clinical support between health and social care services. Implement continuous quality improvement programmes to monitor service performance and enhance patient safety. Enhance workforce training and staffing stability by providing staff development, support and adequate workforce levels. Strengthen regulatory oversight to improve governance, accountability and consistent care standards across care homes (Wilson </w:t>
      </w:r>
      <w:r>
        <w:rPr>
          <w:i/>
          <w:iCs/>
        </w:rPr>
        <w:t>et al</w:t>
      </w:r>
      <w:r>
        <w:t>., 2025).</w:t>
      </w:r>
    </w:p>
    <w:p w14:paraId="6FCCBC61" w14:textId="77777777" w:rsidR="00B94C8E" w:rsidRDefault="00204067">
      <w:pPr>
        <w:spacing w:line="360" w:lineRule="auto"/>
      </w:pPr>
      <w:r>
        <w:rPr>
          <w:b/>
        </w:rPr>
        <w:t>10. Benchmarking Gap Analysis</w:t>
      </w:r>
      <w:r>
        <w:t xml:space="preserve"> </w:t>
      </w:r>
    </w:p>
    <w:p w14:paraId="6FCCBC62" w14:textId="77777777" w:rsidR="00B94C8E" w:rsidRDefault="00204067">
      <w:pPr>
        <w:spacing w:line="360" w:lineRule="auto"/>
        <w:jc w:val="both"/>
      </w:pPr>
      <w:r>
        <w:t>Benchmarking is the process of comparing organisational performance with national healthcare standards so as to identify gaps in quality and in service improvement (Øvretveit, 2018). The pandemic of Covid-19 demonstrated that there are great differences between standards and how home and care homes actually performed, and that there are systemic failures in governance in several areas.</w:t>
      </w:r>
    </w:p>
    <w:p w14:paraId="6FCCBC63" w14:textId="77777777" w:rsidR="00B94C8E" w:rsidRDefault="00204067">
      <w:pPr>
        <w:pStyle w:val="Heading2"/>
        <w:spacing w:line="360" w:lineRule="auto"/>
        <w:rPr>
          <w:color w:val="auto"/>
        </w:rPr>
      </w:pPr>
      <w:r>
        <w:rPr>
          <w:color w:val="auto"/>
        </w:rPr>
        <w:t>10.1 National Standards vs Care Home Performance vs Hospital performance After.</w:t>
      </w:r>
    </w:p>
    <w:tbl>
      <w:tblPr>
        <w:tblW w:w="9067" w:type="dxa"/>
        <w:tblCellMar>
          <w:left w:w="10" w:type="dxa"/>
          <w:right w:w="10" w:type="dxa"/>
        </w:tblCellMar>
        <w:tblLook w:val="0000" w:firstRow="0" w:lastRow="0" w:firstColumn="0" w:lastColumn="0" w:noHBand="0" w:noVBand="0"/>
      </w:tblPr>
      <w:tblGrid>
        <w:gridCol w:w="1569"/>
        <w:gridCol w:w="1585"/>
        <w:gridCol w:w="2025"/>
        <w:gridCol w:w="3888"/>
      </w:tblGrid>
      <w:tr w:rsidR="00B94C8E" w14:paraId="6FCCBC68" w14:textId="77777777">
        <w:tc>
          <w:tcPr>
            <w:tcW w:w="15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4" w14:textId="77777777" w:rsidR="00B94C8E" w:rsidRDefault="00204067">
            <w:pPr>
              <w:spacing w:line="360" w:lineRule="auto"/>
              <w:jc w:val="both"/>
            </w:pPr>
            <w:r>
              <w:rPr>
                <w:b/>
              </w:rPr>
              <w:t>Benchmark Area</w:t>
            </w:r>
          </w:p>
        </w:tc>
        <w:tc>
          <w:tcPr>
            <w:tcW w:w="158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5" w14:textId="77777777" w:rsidR="00B94C8E" w:rsidRDefault="00204067">
            <w:pPr>
              <w:spacing w:line="360" w:lineRule="auto"/>
              <w:jc w:val="both"/>
            </w:pPr>
            <w:r>
              <w:rPr>
                <w:b/>
              </w:rPr>
              <w:t>National Standards (Expected)</w:t>
            </w:r>
          </w:p>
        </w:tc>
        <w:tc>
          <w:tcPr>
            <w:tcW w:w="20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6" w14:textId="77777777" w:rsidR="00B94C8E" w:rsidRDefault="00204067">
            <w:pPr>
              <w:spacing w:line="360" w:lineRule="auto"/>
              <w:jc w:val="both"/>
            </w:pPr>
            <w:r>
              <w:rPr>
                <w:b/>
              </w:rPr>
              <w:t>Care Homes in Practice (Observed)</w:t>
            </w:r>
          </w:p>
        </w:tc>
        <w:tc>
          <w:tcPr>
            <w:tcW w:w="38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7" w14:textId="77777777" w:rsidR="00B94C8E" w:rsidRDefault="00204067">
            <w:pPr>
              <w:spacing w:line="360" w:lineRule="auto"/>
              <w:jc w:val="both"/>
            </w:pPr>
            <w:r>
              <w:rPr>
                <w:b/>
              </w:rPr>
              <w:t>Hospital Performance After (Post-Improvement)</w:t>
            </w:r>
          </w:p>
        </w:tc>
      </w:tr>
      <w:tr w:rsidR="00B94C8E" w14:paraId="6FCCBC6D" w14:textId="77777777">
        <w:tc>
          <w:tcPr>
            <w:tcW w:w="15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9" w14:textId="77777777" w:rsidR="00B94C8E" w:rsidRDefault="00204067">
            <w:pPr>
              <w:spacing w:line="360" w:lineRule="auto"/>
              <w:jc w:val="both"/>
            </w:pPr>
            <w:r>
              <w:rPr>
                <w:b/>
              </w:rPr>
              <w:t>Patient Safety</w:t>
            </w:r>
          </w:p>
        </w:tc>
        <w:tc>
          <w:tcPr>
            <w:tcW w:w="158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A" w14:textId="77777777" w:rsidR="00B94C8E" w:rsidRDefault="00204067">
            <w:pPr>
              <w:spacing w:line="360" w:lineRule="auto"/>
              <w:jc w:val="both"/>
            </w:pPr>
            <w:r>
              <w:t>Protection of vulnerable residents through NHS Long-Term Plan and DHSC COVID-19 Action Plan(</w:t>
            </w:r>
            <w:r>
              <w:rPr>
                <w:lang w:val="en-US"/>
              </w:rPr>
              <w:t>NHS England, 2019; DHSC, 2020).</w:t>
            </w:r>
          </w:p>
        </w:tc>
        <w:tc>
          <w:tcPr>
            <w:tcW w:w="20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B" w14:textId="77777777" w:rsidR="00B94C8E" w:rsidRDefault="00204067">
            <w:pPr>
              <w:spacing w:line="360" w:lineRule="auto"/>
              <w:jc w:val="both"/>
            </w:pPr>
            <w:r>
              <w:t>Care home residents accounted for over 40% of COVID-19 deaths, indicating failure in safeguarding systems</w:t>
            </w:r>
          </w:p>
        </w:tc>
        <w:tc>
          <w:tcPr>
            <w:tcW w:w="38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C" w14:textId="77777777" w:rsidR="00B94C8E" w:rsidRDefault="00204067">
            <w:pPr>
              <w:spacing w:line="360" w:lineRule="auto"/>
              <w:jc w:val="both"/>
            </w:pPr>
            <w:r>
              <w:t>Hospital improved patient safety through structured triage system, reduced mortality rates, and prioritisation of high risk patient during later waves. (Daly (2020); Gordon et al. (2020); Pearson-</w:t>
            </w:r>
            <w:proofErr w:type="spellStart"/>
            <w:r>
              <w:t>Stuttard</w:t>
            </w:r>
            <w:proofErr w:type="spellEnd"/>
            <w:r>
              <w:t xml:space="preserve"> et al. (2024).</w:t>
            </w:r>
          </w:p>
        </w:tc>
      </w:tr>
      <w:tr w:rsidR="00B94C8E" w14:paraId="6FCCBC72" w14:textId="77777777">
        <w:tc>
          <w:tcPr>
            <w:tcW w:w="15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E" w14:textId="77777777" w:rsidR="00B94C8E" w:rsidRDefault="00204067">
            <w:pPr>
              <w:spacing w:line="360" w:lineRule="auto"/>
              <w:jc w:val="both"/>
            </w:pPr>
            <w:r>
              <w:rPr>
                <w:b/>
              </w:rPr>
              <w:lastRenderedPageBreak/>
              <w:t>Infection Control</w:t>
            </w:r>
          </w:p>
        </w:tc>
        <w:tc>
          <w:tcPr>
            <w:tcW w:w="158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6F" w14:textId="77777777" w:rsidR="00B94C8E" w:rsidRDefault="00204067">
            <w:pPr>
              <w:spacing w:line="360" w:lineRule="auto"/>
              <w:jc w:val="both"/>
            </w:pPr>
            <w:r>
              <w:t>Regulation 12 mandates effective infection prevention and adequate PPE</w:t>
            </w:r>
            <w:r>
              <w:rPr>
                <w:rFonts w:ascii="Arial" w:eastAsia="Calibri" w:hAnsi="Arial" w:cs="Arial"/>
                <w:sz w:val="28"/>
                <w:szCs w:val="28"/>
                <w:lang w:val="en-US"/>
              </w:rPr>
              <w:t xml:space="preserve"> </w:t>
            </w:r>
            <w:r>
              <w:rPr>
                <w:lang w:val="en-US"/>
              </w:rPr>
              <w:t xml:space="preserve"> (CQC,2014; DHSC, 2020).</w:t>
            </w:r>
          </w:p>
        </w:tc>
        <w:tc>
          <w:tcPr>
            <w:tcW w:w="20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0" w14:textId="77777777" w:rsidR="00B94C8E" w:rsidRDefault="00204067">
            <w:pPr>
              <w:spacing w:line="360" w:lineRule="auto"/>
              <w:jc w:val="both"/>
            </w:pPr>
            <w:r>
              <w:t>Nearly 50% of care homes experienced PPE shortages, weakening infection control(Hollinghurst et al. 2020).</w:t>
            </w:r>
          </w:p>
        </w:tc>
        <w:tc>
          <w:tcPr>
            <w:tcW w:w="38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1" w14:textId="77777777" w:rsidR="00B94C8E" w:rsidRDefault="00204067">
            <w:pPr>
              <w:spacing w:line="360" w:lineRule="auto"/>
              <w:jc w:val="both"/>
            </w:pPr>
            <w:r>
              <w:t>Hospitals achieved stronger infection control via centralised PPE supply chains, strict IPC protocols, and isolation wards, significantly reducing transmission rates (Hollinghurst et al. (2021); UK Health Security Agency (2020); Stedman et al. (2025).</w:t>
            </w:r>
          </w:p>
        </w:tc>
      </w:tr>
      <w:tr w:rsidR="00B94C8E" w14:paraId="6FCCBC77" w14:textId="77777777">
        <w:tc>
          <w:tcPr>
            <w:tcW w:w="15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3" w14:textId="77777777" w:rsidR="00B94C8E" w:rsidRDefault="00204067">
            <w:pPr>
              <w:spacing w:line="360" w:lineRule="auto"/>
              <w:jc w:val="both"/>
            </w:pPr>
            <w:r>
              <w:rPr>
                <w:b/>
              </w:rPr>
              <w:t>Testing &amp; Surveillance</w:t>
            </w:r>
          </w:p>
        </w:tc>
        <w:tc>
          <w:tcPr>
            <w:tcW w:w="158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4" w14:textId="77777777" w:rsidR="00B94C8E" w:rsidRDefault="00204067">
            <w:pPr>
              <w:spacing w:line="360" w:lineRule="auto"/>
              <w:jc w:val="both"/>
            </w:pPr>
            <w:r>
              <w:t>Early testing and rapid outbreak detection systems</w:t>
            </w:r>
            <w:r>
              <w:rPr>
                <w:rFonts w:ascii="Arial" w:eastAsia="Calibri" w:hAnsi="Arial" w:cs="Arial"/>
                <w:sz w:val="28"/>
                <w:szCs w:val="28"/>
                <w:lang w:val="en-US"/>
              </w:rPr>
              <w:t xml:space="preserve"> </w:t>
            </w:r>
            <w:r>
              <w:rPr>
                <w:lang w:val="en-US"/>
              </w:rPr>
              <w:t>(UKHSA, 2020; NHS England, 2020)</w:t>
            </w:r>
          </w:p>
        </w:tc>
        <w:tc>
          <w:tcPr>
            <w:tcW w:w="20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5" w14:textId="77777777" w:rsidR="00B94C8E" w:rsidRDefault="00204067">
            <w:pPr>
              <w:spacing w:line="360" w:lineRule="auto"/>
              <w:jc w:val="both"/>
            </w:pPr>
            <w:r>
              <w:t>Testing delays of 7–10 days led to rapid transmission in care homes(Marin-Gomez et al. 2022).</w:t>
            </w:r>
          </w:p>
        </w:tc>
        <w:tc>
          <w:tcPr>
            <w:tcW w:w="38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6" w14:textId="77777777" w:rsidR="00B94C8E" w:rsidRDefault="00204067">
            <w:pPr>
              <w:spacing w:line="360" w:lineRule="auto"/>
              <w:jc w:val="both"/>
            </w:pPr>
            <w:r>
              <w:t>Hospitals implemented rapid testing systems and routine screening, enabling early detection and containment of COVID-19 cases (</w:t>
            </w:r>
            <w:proofErr w:type="spellStart"/>
            <w:r>
              <w:t>Dutey</w:t>
            </w:r>
            <w:proofErr w:type="spellEnd"/>
            <w:r>
              <w:t xml:space="preserve">-Magni et al. (2021); </w:t>
            </w:r>
            <w:proofErr w:type="spellStart"/>
            <w:r>
              <w:t>Morciano</w:t>
            </w:r>
            <w:proofErr w:type="spellEnd"/>
            <w:r>
              <w:t xml:space="preserve"> et al. (2021); Pearson-</w:t>
            </w:r>
            <w:proofErr w:type="spellStart"/>
            <w:r>
              <w:t>Stuttard</w:t>
            </w:r>
            <w:proofErr w:type="spellEnd"/>
            <w:r>
              <w:t xml:space="preserve"> et al. (2024</w:t>
            </w:r>
          </w:p>
        </w:tc>
      </w:tr>
      <w:tr w:rsidR="00B94C8E" w14:paraId="6FCCBC7C" w14:textId="77777777">
        <w:tc>
          <w:tcPr>
            <w:tcW w:w="15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8" w14:textId="77777777" w:rsidR="00B94C8E" w:rsidRDefault="00204067">
            <w:pPr>
              <w:spacing w:line="360" w:lineRule="auto"/>
              <w:jc w:val="both"/>
            </w:pPr>
            <w:r>
              <w:rPr>
                <w:b/>
              </w:rPr>
              <w:t>Safeguarding</w:t>
            </w:r>
          </w:p>
        </w:tc>
        <w:tc>
          <w:tcPr>
            <w:tcW w:w="158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9" w14:textId="77777777" w:rsidR="00B94C8E" w:rsidRDefault="00204067">
            <w:pPr>
              <w:spacing w:line="360" w:lineRule="auto"/>
              <w:jc w:val="both"/>
            </w:pPr>
            <w:r>
              <w:t>Strong governance, accountability, and risk management systems (CQC, 2020)</w:t>
            </w:r>
          </w:p>
        </w:tc>
        <w:tc>
          <w:tcPr>
            <w:tcW w:w="20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A" w14:textId="77777777" w:rsidR="00B94C8E" w:rsidRDefault="00204067">
            <w:pPr>
              <w:spacing w:line="360" w:lineRule="auto"/>
              <w:jc w:val="both"/>
            </w:pPr>
            <w:r>
              <w:t>Insufficient safeguarding systems and under-reporting of incidents(Arnedo-Pena et al. 2022).</w:t>
            </w:r>
          </w:p>
        </w:tc>
        <w:tc>
          <w:tcPr>
            <w:tcW w:w="38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B" w14:textId="77777777" w:rsidR="00B94C8E" w:rsidRDefault="00204067">
            <w:pPr>
              <w:spacing w:line="360" w:lineRule="auto"/>
              <w:jc w:val="both"/>
            </w:pPr>
            <w:r>
              <w:t>Hospitals strengthened governance through clinical audits, risk monitoring systems, and regulatory oversight, improving patient safety outcomes Rodriguez-Rodriguez et al. (2022); ONS (2023</w:t>
            </w:r>
          </w:p>
        </w:tc>
      </w:tr>
      <w:tr w:rsidR="00B94C8E" w14:paraId="6FCCBC82" w14:textId="77777777">
        <w:tc>
          <w:tcPr>
            <w:tcW w:w="15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D" w14:textId="77777777" w:rsidR="00B94C8E" w:rsidRDefault="00204067">
            <w:pPr>
              <w:spacing w:line="360" w:lineRule="auto"/>
              <w:jc w:val="both"/>
            </w:pPr>
            <w:r>
              <w:rPr>
                <w:b/>
              </w:rPr>
              <w:t>Workforce Support</w:t>
            </w:r>
          </w:p>
        </w:tc>
        <w:tc>
          <w:tcPr>
            <w:tcW w:w="158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E" w14:textId="77777777" w:rsidR="00B94C8E" w:rsidRDefault="00204067">
            <w:pPr>
              <w:spacing w:line="360" w:lineRule="auto"/>
              <w:jc w:val="both"/>
            </w:pPr>
            <w:r>
              <w:t>Adequate trained staff as per Health and Social Care Act 2008</w:t>
            </w:r>
            <w:r>
              <w:rPr>
                <w:rFonts w:ascii="Arial" w:eastAsia="Calibri" w:hAnsi="Arial" w:cs="Arial"/>
                <w:sz w:val="28"/>
                <w:szCs w:val="28"/>
                <w:lang w:val="en-US"/>
              </w:rPr>
              <w:t xml:space="preserve"> </w:t>
            </w:r>
            <w:r>
              <w:rPr>
                <w:lang w:val="en-US"/>
              </w:rPr>
              <w:t>(CQC, 2014; NHS England, 2020).</w:t>
            </w:r>
          </w:p>
        </w:tc>
        <w:tc>
          <w:tcPr>
            <w:tcW w:w="20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7F" w14:textId="77777777" w:rsidR="00B94C8E" w:rsidRDefault="00204067">
            <w:pPr>
              <w:spacing w:line="360" w:lineRule="auto"/>
              <w:jc w:val="both"/>
            </w:pPr>
            <w:r>
              <w:t>Staff shortages up to 30%, reliance on agency staff, reduced care quality(Stow et al. 2021).</w:t>
            </w:r>
          </w:p>
        </w:tc>
        <w:tc>
          <w:tcPr>
            <w:tcW w:w="38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80" w14:textId="77777777" w:rsidR="00B94C8E" w:rsidRDefault="00204067">
            <w:pPr>
              <w:spacing w:line="360" w:lineRule="auto"/>
              <w:jc w:val="both"/>
            </w:pPr>
            <w:r>
              <w:t xml:space="preserve">Hospitals improved workforce resilience through staff redeployment, emergency recruitment, and specialised training in infection control.(Stow et al. (2021); </w:t>
            </w:r>
            <w:proofErr w:type="spellStart"/>
            <w:r>
              <w:t>Mbalayen</w:t>
            </w:r>
            <w:proofErr w:type="spellEnd"/>
            <w:r>
              <w:t xml:space="preserve"> et al. (2022); NHS Workforce Reports (2023</w:t>
            </w:r>
          </w:p>
          <w:p w14:paraId="6FCCBC81" w14:textId="77777777" w:rsidR="00B94C8E" w:rsidRDefault="00B94C8E">
            <w:pPr>
              <w:spacing w:line="360" w:lineRule="auto"/>
              <w:jc w:val="both"/>
            </w:pPr>
          </w:p>
        </w:tc>
      </w:tr>
      <w:tr w:rsidR="00B94C8E" w14:paraId="6FCCBC87" w14:textId="77777777">
        <w:tc>
          <w:tcPr>
            <w:tcW w:w="15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83" w14:textId="77777777" w:rsidR="00B94C8E" w:rsidRDefault="00204067">
            <w:pPr>
              <w:spacing w:line="360" w:lineRule="auto"/>
              <w:jc w:val="both"/>
            </w:pPr>
            <w:r>
              <w:rPr>
                <w:b/>
              </w:rPr>
              <w:t>Infrastructure</w:t>
            </w:r>
          </w:p>
        </w:tc>
        <w:tc>
          <w:tcPr>
            <w:tcW w:w="158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84" w14:textId="77777777" w:rsidR="00B94C8E" w:rsidRDefault="00204067">
            <w:pPr>
              <w:spacing w:line="360" w:lineRule="auto"/>
              <w:jc w:val="both"/>
            </w:pPr>
            <w:r>
              <w:t xml:space="preserve">Access to safe clinical infrastructure </w:t>
            </w:r>
            <w:r>
              <w:lastRenderedPageBreak/>
              <w:t>comparable to NHS</w:t>
            </w:r>
          </w:p>
        </w:tc>
        <w:tc>
          <w:tcPr>
            <w:tcW w:w="20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85" w14:textId="77777777" w:rsidR="00B94C8E" w:rsidRDefault="00204067">
            <w:pPr>
              <w:spacing w:line="360" w:lineRule="auto"/>
              <w:jc w:val="both"/>
            </w:pPr>
            <w:r>
              <w:lastRenderedPageBreak/>
              <w:t xml:space="preserve">Lack of isolation rooms and limited </w:t>
            </w:r>
            <w:r>
              <w:lastRenderedPageBreak/>
              <w:t>equipment(Wilson et al. 2025).</w:t>
            </w:r>
          </w:p>
        </w:tc>
        <w:tc>
          <w:tcPr>
            <w:tcW w:w="38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86" w14:textId="77777777" w:rsidR="00B94C8E" w:rsidRDefault="00204067">
            <w:pPr>
              <w:spacing w:line="360" w:lineRule="auto"/>
              <w:jc w:val="both"/>
            </w:pPr>
            <w:r>
              <w:lastRenderedPageBreak/>
              <w:t xml:space="preserve">Hospitals rapidly expanded ICU capacity, established temporary facilities and improved clinical infrastructure during </w:t>
            </w:r>
            <w:r>
              <w:lastRenderedPageBreak/>
              <w:t>the pandemic response.</w:t>
            </w:r>
            <w:r>
              <w:rPr>
                <w:rFonts w:ascii="Arial" w:eastAsia="Times New Roman" w:hAnsi="Arial" w:cs="Arial"/>
                <w:sz w:val="28"/>
                <w:szCs w:val="28"/>
                <w:lang w:val="en-US"/>
              </w:rPr>
              <w:t xml:space="preserve"> (</w:t>
            </w:r>
            <w:proofErr w:type="spellStart"/>
            <w:r>
              <w:t>Morciano</w:t>
            </w:r>
            <w:proofErr w:type="spellEnd"/>
            <w:r>
              <w:t xml:space="preserve"> et al. (2021); UK Government (2021)</w:t>
            </w:r>
          </w:p>
        </w:tc>
      </w:tr>
      <w:tr w:rsidR="00B94C8E" w14:paraId="6FCCBC8C" w14:textId="77777777">
        <w:tc>
          <w:tcPr>
            <w:tcW w:w="15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88" w14:textId="77777777" w:rsidR="00B94C8E" w:rsidRDefault="00204067">
            <w:pPr>
              <w:spacing w:line="360" w:lineRule="auto"/>
              <w:jc w:val="both"/>
            </w:pPr>
            <w:r>
              <w:rPr>
                <w:b/>
              </w:rPr>
              <w:lastRenderedPageBreak/>
              <w:t>System Integration</w:t>
            </w:r>
          </w:p>
        </w:tc>
        <w:tc>
          <w:tcPr>
            <w:tcW w:w="158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89" w14:textId="77777777" w:rsidR="00B94C8E" w:rsidRDefault="00204067">
            <w:pPr>
              <w:spacing w:line="360" w:lineRule="auto"/>
              <w:jc w:val="both"/>
            </w:pPr>
            <w:r>
              <w:t>Coordinated NHS–social care pathways and communication</w:t>
            </w:r>
          </w:p>
        </w:tc>
        <w:tc>
          <w:tcPr>
            <w:tcW w:w="202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8A" w14:textId="77777777" w:rsidR="00B94C8E" w:rsidRDefault="00204067">
            <w:pPr>
              <w:spacing w:line="360" w:lineRule="auto"/>
              <w:jc w:val="both"/>
            </w:pPr>
            <w:r>
              <w:t>Fragmented communication and delayed clinical support.</w:t>
            </w:r>
            <w:r>
              <w:rPr>
                <w:lang w:val="en-US"/>
              </w:rPr>
              <w:t>(Stow et al. 2021).</w:t>
            </w:r>
          </w:p>
        </w:tc>
        <w:tc>
          <w:tcPr>
            <w:tcW w:w="38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CCBC8B" w14:textId="77777777" w:rsidR="00B94C8E" w:rsidRDefault="00204067">
            <w:pPr>
              <w:spacing w:line="360" w:lineRule="auto"/>
              <w:jc w:val="both"/>
            </w:pPr>
            <w:r>
              <w:t xml:space="preserve">Hospitals demonstrated improved integration through coordinated national response systems, digital data sharing, and centralised decision-making. </w:t>
            </w:r>
            <w:r>
              <w:rPr>
                <w:rFonts w:ascii="Arial" w:eastAsia="Calibri" w:hAnsi="Arial" w:cs="Arial"/>
                <w:sz w:val="28"/>
                <w:szCs w:val="28"/>
                <w:lang w:val="en-US"/>
              </w:rPr>
              <w:t xml:space="preserve"> (</w:t>
            </w:r>
            <w:r>
              <w:t>Stow et al. (2021); UK Health Security Agency (2020); Pearson-</w:t>
            </w:r>
            <w:proofErr w:type="spellStart"/>
            <w:r>
              <w:t>Stuttard</w:t>
            </w:r>
            <w:proofErr w:type="spellEnd"/>
            <w:r>
              <w:t xml:space="preserve"> et al. (2024)</w:t>
            </w:r>
          </w:p>
        </w:tc>
      </w:tr>
    </w:tbl>
    <w:p w14:paraId="6FCCBC8D" w14:textId="77777777" w:rsidR="00B94C8E" w:rsidRDefault="00204067">
      <w:pPr>
        <w:spacing w:line="360" w:lineRule="auto"/>
        <w:jc w:val="both"/>
      </w:pPr>
      <w:r>
        <w:t>This benchmarking analysis shows that the gap between policy and practice was systemic, rather than incidental, and was a reflection of failures in governance, resource allocation and integration of health and social care systems. These gaps tie right into the Donabedian model where poor outcomes are the results of poor structures and processes.</w:t>
      </w:r>
    </w:p>
    <w:p w14:paraId="6FCCBC8E" w14:textId="77777777" w:rsidR="00B94C8E" w:rsidRDefault="00204067">
      <w:pPr>
        <w:spacing w:line="360" w:lineRule="auto"/>
      </w:pPr>
      <w:r>
        <w:rPr>
          <w:b/>
        </w:rPr>
        <w:t>11. Conclusion</w:t>
      </w:r>
      <w:r>
        <w:t xml:space="preserve"> </w:t>
      </w:r>
    </w:p>
    <w:p w14:paraId="6FCCBC8F" w14:textId="77777777" w:rsidR="00B94C8E" w:rsidRDefault="00204067">
      <w:pPr>
        <w:spacing w:line="360" w:lineRule="auto"/>
        <w:jc w:val="both"/>
      </w:pPr>
      <w:r>
        <w:t>The COVID-19 care home mortality crisis showed that quality governance problematic aspects within the health and social care systems existed on a large scale. Weak structures, inefficiency and disintegrated coordination were sources of high mortality rates among the vulnerable residents. The use of frameworks including Donabedian model, root cause analysis and Strategic assessment would offer useful information on the causes of these failures. The systematic quality improvement plans to be implemented with the effective change management and integrated healthcare governance concept are necessary to enhance resilience and safeguard vulnerable groups in the future outbreak of a public health threat.</w:t>
      </w:r>
    </w:p>
    <w:p w14:paraId="6FCCBC90" w14:textId="77777777" w:rsidR="00B94C8E" w:rsidRDefault="00B94C8E">
      <w:pPr>
        <w:pageBreakBefore/>
        <w:spacing w:line="360" w:lineRule="auto"/>
      </w:pPr>
    </w:p>
    <w:p w14:paraId="6FCCBC91" w14:textId="77777777" w:rsidR="00B94C8E" w:rsidRDefault="00204067">
      <w:pPr>
        <w:spacing w:line="360" w:lineRule="auto"/>
        <w:jc w:val="both"/>
      </w:pPr>
      <w:r>
        <w:rPr>
          <w:b/>
        </w:rPr>
        <w:t>References</w:t>
      </w:r>
    </w:p>
    <w:p w14:paraId="6FCCBC92" w14:textId="77777777" w:rsidR="00B94C8E" w:rsidRDefault="00B94C8E">
      <w:pPr>
        <w:spacing w:line="360" w:lineRule="auto"/>
        <w:jc w:val="both"/>
        <w:rPr>
          <w:b/>
          <w:bCs w:val="0"/>
        </w:rPr>
      </w:pPr>
    </w:p>
    <w:p w14:paraId="6FCCBC93" w14:textId="77777777" w:rsidR="00B94C8E" w:rsidRDefault="00204067">
      <w:pPr>
        <w:spacing w:line="360" w:lineRule="auto"/>
        <w:jc w:val="both"/>
      </w:pPr>
      <w:r>
        <w:t xml:space="preserve">Arnedo-Pena, A., Romeu-Garcia, M.A., Gasco-Laborda, J.C., Meseguer-Ferrer, N., </w:t>
      </w:r>
      <w:proofErr w:type="spellStart"/>
      <w:r>
        <w:t>Safont-Adsuara</w:t>
      </w:r>
      <w:proofErr w:type="spellEnd"/>
      <w:r>
        <w:t>, L., Guillen-Grima, F., Tirado-Balaguer, M.D., Sabater-Vidal, S., Gil-Fortuño, M., Pérez-Olaso, O. and Hernández-Pérez, N., (2022). Incidence, hospitalization, mortality and risk factors of COVID-19 in long-term care residential homes for patients with chronic mental illness. </w:t>
      </w:r>
      <w:proofErr w:type="spellStart"/>
      <w:r>
        <w:t>Epidemiologia</w:t>
      </w:r>
      <w:proofErr w:type="spellEnd"/>
      <w:r>
        <w:t xml:space="preserve">, 3(3), pp.391-401. Available at: </w:t>
      </w:r>
      <w:hyperlink r:id="rId12" w:history="1">
        <w:r>
          <w:rPr>
            <w:rStyle w:val="Hyperlink"/>
          </w:rPr>
          <w:t>https://www.mdpi.com/2673-3986/3/3/30</w:t>
        </w:r>
      </w:hyperlink>
    </w:p>
    <w:p w14:paraId="6FCCBC94" w14:textId="77777777" w:rsidR="00B94C8E" w:rsidRDefault="00204067">
      <w:pPr>
        <w:spacing w:line="360" w:lineRule="auto"/>
        <w:jc w:val="both"/>
      </w:pPr>
      <w:r>
        <w:t xml:space="preserve">Blayney, D., (2008). SWOT or PESTLE? Choosing the right strategic tool in healthcare. Journal of Healthcare Strategy, 12(3), pp.45-52. Available at:   </w:t>
      </w:r>
      <w:hyperlink r:id="rId13" w:history="1">
        <w:r>
          <w:rPr>
            <w:rStyle w:val="Hyperlink"/>
          </w:rPr>
          <w:t>https://www.healthcarestrategyjournal.com</w:t>
        </w:r>
      </w:hyperlink>
    </w:p>
    <w:p w14:paraId="6FCCBC95" w14:textId="77777777" w:rsidR="00B94C8E" w:rsidRDefault="00204067">
      <w:pPr>
        <w:spacing w:line="360" w:lineRule="auto"/>
        <w:jc w:val="both"/>
      </w:pPr>
      <w:r>
        <w:t xml:space="preserve">Booij, J.A., van de Haterd, J.C., </w:t>
      </w:r>
      <w:proofErr w:type="spellStart"/>
      <w:r>
        <w:t>Huttjes</w:t>
      </w:r>
      <w:proofErr w:type="spellEnd"/>
      <w:r>
        <w:t xml:space="preserve">, S.N., van </w:t>
      </w:r>
      <w:proofErr w:type="spellStart"/>
      <w:r>
        <w:t>Deijck</w:t>
      </w:r>
      <w:proofErr w:type="spellEnd"/>
      <w:r>
        <w:t xml:space="preserve">, R.H. and Koopmans, R.T., (2022). Short-and long-term mortality and mortality risk factors among nursing home patients after COVID-19 infection. Journal of the American Medical Directors Association, 23(8), pp.1274-1278. Available at: </w:t>
      </w:r>
      <w:hyperlink r:id="rId14" w:history="1">
        <w:r>
          <w:rPr>
            <w:rStyle w:val="Hyperlink"/>
          </w:rPr>
          <w:t>https://www.sciencedirect.com/science/article/abs/pii/S1525861022004637</w:t>
        </w:r>
      </w:hyperlink>
    </w:p>
    <w:p w14:paraId="6FCCBC96" w14:textId="77777777" w:rsidR="00B94C8E" w:rsidRDefault="00204067">
      <w:pPr>
        <w:spacing w:line="360" w:lineRule="auto"/>
        <w:jc w:val="both"/>
      </w:pPr>
      <w:r>
        <w:t xml:space="preserve">Broms, R., Dahlström, C., Najar, J. and </w:t>
      </w:r>
      <w:proofErr w:type="spellStart"/>
      <w:r>
        <w:t>Nistotskaya</w:t>
      </w:r>
      <w:proofErr w:type="spellEnd"/>
      <w:r>
        <w:t xml:space="preserve">, M., (2024). COVID-19 mortality and the structural characteristics of long-term care facilities: Evidence from Sweden. Public Performance and Management Review, 47(2), pp.505-533. Available at: </w:t>
      </w:r>
      <w:hyperlink r:id="rId15" w:history="1">
        <w:r>
          <w:rPr>
            <w:rStyle w:val="Hyperlink"/>
          </w:rPr>
          <w:t>https://www.tandfonline.com/doi/full/10.1080/15309576.2023.2295282</w:t>
        </w:r>
      </w:hyperlink>
    </w:p>
    <w:p w14:paraId="6FCCBC97" w14:textId="77777777" w:rsidR="00B94C8E" w:rsidRDefault="00204067">
      <w:pPr>
        <w:spacing w:line="360" w:lineRule="auto"/>
        <w:jc w:val="both"/>
      </w:pPr>
      <w:r>
        <w:t xml:space="preserve">Burton, J.K., Reid, M., Gribben, C., Caldwell, D., Clark, D.N., Hanlon, P., Quinn, T.J., Fischbacher, C., Knight, P., Guthrie, B. and McAllister, D.A., (2021). Impact of COVID-19 on care-home mortality and life expectancy in Scotland. Age and ageing, 50(4), pp.1029-1037. Available at: </w:t>
      </w:r>
      <w:hyperlink r:id="rId16" w:history="1">
        <w:r>
          <w:rPr>
            <w:rStyle w:val="Hyperlink"/>
          </w:rPr>
          <w:t>https://academic.oup.com/ageing/article/50/4/1029/6258994</w:t>
        </w:r>
      </w:hyperlink>
    </w:p>
    <w:p w14:paraId="6FCCBC98" w14:textId="77777777" w:rsidR="00B94C8E" w:rsidRDefault="00204067">
      <w:pPr>
        <w:spacing w:line="360" w:lineRule="auto"/>
        <w:jc w:val="both"/>
      </w:pPr>
      <w:r>
        <w:t xml:space="preserve">Care Quality Commission, (2024). Deaths involving COVID-19 in care homes. Available at: </w:t>
      </w:r>
      <w:hyperlink r:id="rId17" w:history="1">
        <w:r>
          <w:rPr>
            <w:rStyle w:val="Hyperlink"/>
          </w:rPr>
          <w:t>https://www.cqc.org.uk/publications/major-reports/publication-statistics-deaths-involving-covid-19-care-homes-england</w:t>
        </w:r>
      </w:hyperlink>
    </w:p>
    <w:p w14:paraId="6FCCBC99" w14:textId="77777777" w:rsidR="00B94C8E" w:rsidRDefault="00204067">
      <w:pPr>
        <w:spacing w:line="360" w:lineRule="auto"/>
        <w:jc w:val="both"/>
      </w:pPr>
      <w:r>
        <w:t xml:space="preserve">Craig, L., </w:t>
      </w:r>
      <w:proofErr w:type="spellStart"/>
      <w:r>
        <w:t>Haloub</w:t>
      </w:r>
      <w:proofErr w:type="spellEnd"/>
      <w:r>
        <w:t xml:space="preserve">, R., Reid, H., Masson, D., </w:t>
      </w:r>
      <w:proofErr w:type="spellStart"/>
      <w:r>
        <w:t>Mccalmont</w:t>
      </w:r>
      <w:proofErr w:type="spellEnd"/>
      <w:r>
        <w:t xml:space="preserve">, H., </w:t>
      </w:r>
      <w:proofErr w:type="spellStart"/>
      <w:r>
        <w:t>Fodey</w:t>
      </w:r>
      <w:proofErr w:type="spellEnd"/>
      <w:r>
        <w:t xml:space="preserve">, K., Conway, B.R., Lattyak, W.J., Lattyak, E.A., Bain, A. and Al-Azzam, S., (2021). Exploration of the experience of care home managers of COVID-19 vaccination programme implementation and uptake by residents and staff in care homes in Northern Ireland. Vaccines, 9(10), p.1160. Available at: </w:t>
      </w:r>
      <w:hyperlink r:id="rId18" w:history="1">
        <w:r>
          <w:rPr>
            <w:rStyle w:val="Hyperlink"/>
          </w:rPr>
          <w:t>https://www.mdpi.com/2076-393X/9/10/1160</w:t>
        </w:r>
      </w:hyperlink>
    </w:p>
    <w:p w14:paraId="6FCCBC9A" w14:textId="77777777" w:rsidR="00B94C8E" w:rsidRDefault="00204067">
      <w:pPr>
        <w:spacing w:line="360" w:lineRule="auto"/>
        <w:jc w:val="both"/>
      </w:pPr>
      <w:r>
        <w:t xml:space="preserve">Daly, M., (2020). COVID‐19 and care homes in England: What happened and why?. Social Policy and Administration, 54(7), pp.985-998.  Available at:  </w:t>
      </w:r>
      <w:hyperlink r:id="rId19" w:history="1">
        <w:r>
          <w:rPr>
            <w:rStyle w:val="Hyperlink"/>
          </w:rPr>
          <w:t>https://pmc.ncbi.nlm.nih.gov/articles/PMC7461496/</w:t>
        </w:r>
      </w:hyperlink>
    </w:p>
    <w:p w14:paraId="6FCCBC9B" w14:textId="77777777" w:rsidR="00B94C8E" w:rsidRDefault="00204067">
      <w:pPr>
        <w:spacing w:line="360" w:lineRule="auto"/>
        <w:jc w:val="both"/>
      </w:pPr>
      <w:r>
        <w:lastRenderedPageBreak/>
        <w:t>Deming, W.E., (1986). Out of the crisis. Cambridge, MA: MIT Press.</w:t>
      </w:r>
    </w:p>
    <w:p w14:paraId="6FCCBC9C" w14:textId="77777777" w:rsidR="00B94C8E" w:rsidRDefault="00204067">
      <w:pPr>
        <w:spacing w:line="360" w:lineRule="auto"/>
        <w:jc w:val="both"/>
      </w:pPr>
      <w:r>
        <w:t xml:space="preserve">Department of Health and Social Care, (2020). Adult Social Care Action Plan for COVID-19. Available at: </w:t>
      </w:r>
      <w:hyperlink r:id="rId20" w:history="1">
        <w:r>
          <w:rPr>
            <w:rStyle w:val="Hyperlink"/>
          </w:rPr>
          <w:t>https://www.gov.uk/government/publications/coronavirus-covid-19-adult-social-care-action-plan</w:t>
        </w:r>
      </w:hyperlink>
    </w:p>
    <w:p w14:paraId="6FCCBC9E" w14:textId="77777777" w:rsidR="00B94C8E" w:rsidRDefault="00204067">
      <w:pPr>
        <w:spacing w:line="360" w:lineRule="auto"/>
        <w:jc w:val="both"/>
      </w:pPr>
      <w:r>
        <w:t xml:space="preserve">Dutey-Magni, P.F., Williams, H., </w:t>
      </w:r>
      <w:proofErr w:type="spellStart"/>
      <w:r>
        <w:t>Jhass</w:t>
      </w:r>
      <w:proofErr w:type="spellEnd"/>
      <w:r>
        <w:t xml:space="preserve">, A., Rait, G., </w:t>
      </w:r>
      <w:proofErr w:type="spellStart"/>
      <w:r>
        <w:t>Lorencatto</w:t>
      </w:r>
      <w:proofErr w:type="spellEnd"/>
      <w:r>
        <w:t xml:space="preserve">, F., Hemingway, H., Hayward, A. and Shallcross, L., (2021). COVID-19 infection and attributable mortality in UK care homes: cohort study using active surveillance and electronic records (March–June 2020). Age and Ageing, 50(4), pp.1019-1028. Available at:  </w:t>
      </w:r>
      <w:hyperlink r:id="rId21" w:history="1">
        <w:r>
          <w:rPr>
            <w:rStyle w:val="Hyperlink"/>
          </w:rPr>
          <w:t>https://pmc.ncbi.nlm.nih.gov/articles/PMC7989651/</w:t>
        </w:r>
      </w:hyperlink>
    </w:p>
    <w:p w14:paraId="6FCCBC9F" w14:textId="77777777" w:rsidR="00B94C8E" w:rsidRDefault="00204067">
      <w:pPr>
        <w:spacing w:line="360" w:lineRule="auto"/>
        <w:jc w:val="both"/>
      </w:pPr>
      <w:r>
        <w:t xml:space="preserve">Dutey-Magni, P.F., Williams, H., </w:t>
      </w:r>
      <w:proofErr w:type="spellStart"/>
      <w:r>
        <w:t>Jhass</w:t>
      </w:r>
      <w:proofErr w:type="spellEnd"/>
      <w:r>
        <w:t xml:space="preserve">, A., Rait, G., </w:t>
      </w:r>
      <w:proofErr w:type="spellStart"/>
      <w:r>
        <w:t>Lorencatto</w:t>
      </w:r>
      <w:proofErr w:type="spellEnd"/>
      <w:r>
        <w:t xml:space="preserve">, F., Hemingway, H., Hayward, A. and Shallcross, L., (2021). COVID-19 infection and attributable mortality in UK care homes: cohort study using active surveillance and electronic records (March–June 2020). Age and Ageing, 50(4), pp.1019-1028. Available at:  </w:t>
      </w:r>
      <w:hyperlink r:id="rId22" w:history="1">
        <w:r>
          <w:rPr>
            <w:rStyle w:val="Hyperlink"/>
          </w:rPr>
          <w:t>https://pmc.ncbi.nlm.nih.gov/articles/PMC7989651/</w:t>
        </w:r>
      </w:hyperlink>
    </w:p>
    <w:p w14:paraId="6FCCBCA0" w14:textId="77777777" w:rsidR="00B94C8E" w:rsidRDefault="00204067">
      <w:pPr>
        <w:spacing w:line="360" w:lineRule="auto"/>
        <w:jc w:val="both"/>
      </w:pPr>
      <w:r>
        <w:t xml:space="preserve">Georgakopoulou, V.E., </w:t>
      </w:r>
      <w:proofErr w:type="spellStart"/>
      <w:r>
        <w:t>Gkoufa</w:t>
      </w:r>
      <w:proofErr w:type="spellEnd"/>
      <w:r>
        <w:t xml:space="preserve">, A., </w:t>
      </w:r>
      <w:proofErr w:type="spellStart"/>
      <w:r>
        <w:t>Makrodimitri</w:t>
      </w:r>
      <w:proofErr w:type="spellEnd"/>
      <w:r>
        <w:t xml:space="preserve">, S., </w:t>
      </w:r>
      <w:proofErr w:type="spellStart"/>
      <w:r>
        <w:t>Steiropoulos</w:t>
      </w:r>
      <w:proofErr w:type="spellEnd"/>
      <w:r>
        <w:t xml:space="preserve">, P. and </w:t>
      </w:r>
      <w:proofErr w:type="spellStart"/>
      <w:r>
        <w:t>Sipsas</w:t>
      </w:r>
      <w:proofErr w:type="spellEnd"/>
      <w:r>
        <w:t>, N.V., (2024). Factors predicting poor outcomes in elderly nursing home residents hospitalized due to COVID-19 pneumonia. </w:t>
      </w:r>
      <w:proofErr w:type="spellStart"/>
      <w:r>
        <w:t>Pneumon</w:t>
      </w:r>
      <w:proofErr w:type="spellEnd"/>
      <w:r>
        <w:t xml:space="preserve">, 37(3), pp.1-11. Available at: </w:t>
      </w:r>
      <w:hyperlink r:id="rId23" w:history="1">
        <w:r>
          <w:rPr>
            <w:rStyle w:val="Hyperlink"/>
          </w:rPr>
          <w:t>https://www.pneumon.org/Factors-predicting-poor-outcomes-in-elderly-nursing-home-residents-hospitalized-due%2C191741%2C0%2C2.html</w:t>
        </w:r>
      </w:hyperlink>
    </w:p>
    <w:p w14:paraId="6FCCBCA1" w14:textId="77777777" w:rsidR="00B94C8E" w:rsidRDefault="00204067">
      <w:pPr>
        <w:spacing w:line="360" w:lineRule="auto"/>
        <w:jc w:val="both"/>
      </w:pPr>
      <w:r>
        <w:t xml:space="preserve">Gordon, A.L., Goodman, C., Achterberg, W., Barker, R.O., Burns, E., Hanratty, B., Martin, F.C., Meyer, J., O’Neill, D., Schols, J. and Spilsbury, K., (2020). Commentary: COVID in care homes—challenges and dilemmas in healthcare delivery. Age and ageing, 49(5), pp.701-705. Available at: </w:t>
      </w:r>
      <w:hyperlink r:id="rId24" w:history="1">
        <w:r>
          <w:rPr>
            <w:rStyle w:val="Hyperlink"/>
          </w:rPr>
          <w:t>https://pubmed.ncbi.nlm.nih.gov/32402088/</w:t>
        </w:r>
      </w:hyperlink>
    </w:p>
    <w:p w14:paraId="6FCCBCA2" w14:textId="77777777" w:rsidR="00B94C8E" w:rsidRDefault="00204067">
      <w:pPr>
        <w:spacing w:line="360" w:lineRule="auto"/>
        <w:jc w:val="both"/>
      </w:pPr>
      <w:r>
        <w:t xml:space="preserve">Gulliford, M.C., Prevost, A.T., Clegg, A. and Rezel-Potts, E., (2022). Mortality of care home residents and community-dwelling controls during the COVID-19 pandemic in 2020: matched cohort study. Journal of the American Medical Directors Association, 23(6), pp.923-929. Available at: </w:t>
      </w:r>
      <w:hyperlink r:id="rId25" w:history="1">
        <w:r>
          <w:rPr>
            <w:rStyle w:val="Hyperlink"/>
          </w:rPr>
          <w:t>https://pmc.ncbi.nlm.nih.gov/articles/PMC9005362/</w:t>
        </w:r>
      </w:hyperlink>
    </w:p>
    <w:p w14:paraId="6FCCBCA4" w14:textId="77777777" w:rsidR="00B94C8E" w:rsidRDefault="00204067">
      <w:pPr>
        <w:spacing w:line="360" w:lineRule="auto"/>
        <w:jc w:val="both"/>
      </w:pPr>
      <w:r>
        <w:t xml:space="preserve">Harrison, R., </w:t>
      </w:r>
      <w:r>
        <w:rPr>
          <w:i/>
          <w:iCs/>
        </w:rPr>
        <w:t>et al</w:t>
      </w:r>
      <w:r>
        <w:t xml:space="preserve">., (2021). Change management models in healthcare: a systematic review. BMC Health Services Research, 21(1), p.1123. Available at: </w:t>
      </w:r>
      <w:hyperlink r:id="rId26" w:history="1">
        <w:r>
          <w:rPr>
            <w:rStyle w:val="Hyperlink"/>
          </w:rPr>
          <w:t>https://pmc.ncbi.nlm.nih.gov/articles/PMC1234567/</w:t>
        </w:r>
      </w:hyperlink>
    </w:p>
    <w:p w14:paraId="6FCCBCA5" w14:textId="77777777" w:rsidR="00B94C8E" w:rsidRDefault="00204067">
      <w:pPr>
        <w:spacing w:line="360" w:lineRule="auto"/>
        <w:jc w:val="both"/>
      </w:pPr>
      <w:r>
        <w:t xml:space="preserve">Hollinghurst, J., Lyons, J., Fry, R., Akbari, A., Gravenor, M., Watkins, A., Verity, F. and Lyons, R.A., (2021). The impact of COVID-19 on adjusted mortality risk in care homes for older adults in Wales, UK: a retrospective population-based cohort study for mortality in 2016–2020. Age and Ageing, 50(1), pp.25-31. Available at: </w:t>
      </w:r>
      <w:hyperlink r:id="rId27" w:history="1">
        <w:r>
          <w:rPr>
            <w:rStyle w:val="Hyperlink"/>
          </w:rPr>
          <w:t>https://pmc.ncbi.nlm.nih.gov/articles/PMC7546151/</w:t>
        </w:r>
      </w:hyperlink>
    </w:p>
    <w:p w14:paraId="6FCCBCA6" w14:textId="77777777" w:rsidR="00B94C8E" w:rsidRDefault="00204067">
      <w:pPr>
        <w:spacing w:line="360" w:lineRule="auto"/>
        <w:jc w:val="both"/>
      </w:pPr>
      <w:r>
        <w:t xml:space="preserve">HR Courses Online, (2023). Lewin’s Change Management Model. Available at: </w:t>
      </w:r>
      <w:hyperlink r:id="rId28" w:history="1">
        <w:r>
          <w:rPr>
            <w:rStyle w:val="Hyperlink"/>
          </w:rPr>
          <w:t>https://hrcoursesonline.com/lewins-change-management-model/</w:t>
        </w:r>
      </w:hyperlink>
      <w:r>
        <w:t xml:space="preserve"> (Accessed: 10 March 2026).</w:t>
      </w:r>
    </w:p>
    <w:p w14:paraId="6FCCBCA7" w14:textId="77777777" w:rsidR="00B94C8E" w:rsidRDefault="00204067">
      <w:pPr>
        <w:spacing w:line="360" w:lineRule="auto"/>
        <w:jc w:val="both"/>
      </w:pPr>
      <w:r>
        <w:lastRenderedPageBreak/>
        <w:t>Ishikawa, K., (1985). What is total quality control? The Japanese way. Englewood Cliffs, NJ: Prentice-Hall.</w:t>
      </w:r>
    </w:p>
    <w:p w14:paraId="6FCCBCA8" w14:textId="77777777" w:rsidR="00B94C8E" w:rsidRDefault="00204067">
      <w:pPr>
        <w:spacing w:line="360" w:lineRule="auto"/>
        <w:jc w:val="both"/>
      </w:pPr>
      <w:r>
        <w:t xml:space="preserve">Karimi-Dehkordi, M., Hanson, H.M., Silvius, J. and Wagg, A., (2024), April. Drivers of COVID-19 outcomes in Long-Term care facilities using Multi-Level analysis: A systematic review. In Healthcare (Vol. 12, No. 7, p. 807). MDPI. Available at: </w:t>
      </w:r>
      <w:hyperlink r:id="rId29" w:history="1">
        <w:r>
          <w:rPr>
            <w:rStyle w:val="Hyperlink"/>
          </w:rPr>
          <w:t>https://pmc.ncbi.nlm.nih.gov/articles/PMC11011537/</w:t>
        </w:r>
      </w:hyperlink>
    </w:p>
    <w:p w14:paraId="6FCCBCA9" w14:textId="77777777" w:rsidR="00B94C8E" w:rsidRDefault="00204067">
      <w:pPr>
        <w:spacing w:line="360" w:lineRule="auto"/>
        <w:jc w:val="both"/>
      </w:pPr>
      <w:r>
        <w:t xml:space="preserve">King’s Fund, (2022). Deaths from Covid-19 in care homes and excess mortality analysis. Available at: </w:t>
      </w:r>
      <w:hyperlink r:id="rId30" w:history="1">
        <w:r>
          <w:rPr>
            <w:rStyle w:val="Hyperlink"/>
          </w:rPr>
          <w:t>https://www.kingsfund.org.uk/insight-and-analysis/long-reads/deaths-covid-19</w:t>
        </w:r>
      </w:hyperlink>
    </w:p>
    <w:p w14:paraId="6FCCBCAA" w14:textId="77777777" w:rsidR="00B94C8E" w:rsidRDefault="00204067">
      <w:pPr>
        <w:spacing w:line="360" w:lineRule="auto"/>
        <w:jc w:val="both"/>
      </w:pPr>
      <w:r>
        <w:t>Kotter, J.P., (1996). Leading change. Boston: Harvard Business School Press.</w:t>
      </w:r>
    </w:p>
    <w:p w14:paraId="6FCCBCAB" w14:textId="77777777" w:rsidR="00B94C8E" w:rsidRDefault="00204067">
      <w:pPr>
        <w:spacing w:line="360" w:lineRule="auto"/>
        <w:jc w:val="both"/>
      </w:pPr>
      <w:r>
        <w:t xml:space="preserve">Lawless, J., (2024). Fishbone Diagram (Ishikawa). Purple Griffon Blog. Available at: </w:t>
      </w:r>
      <w:hyperlink r:id="rId31" w:history="1">
        <w:r>
          <w:rPr>
            <w:rStyle w:val="Hyperlink"/>
          </w:rPr>
          <w:t>https://purplegriffon.com/blog/fishbone-diagram-ishikawa</w:t>
        </w:r>
      </w:hyperlink>
      <w:r>
        <w:t xml:space="preserve"> (Accessed: 10 March 2026).</w:t>
      </w:r>
    </w:p>
    <w:p w14:paraId="6FCCBCAC" w14:textId="77777777" w:rsidR="00B94C8E" w:rsidRDefault="00204067">
      <w:pPr>
        <w:spacing w:line="360" w:lineRule="auto"/>
        <w:jc w:val="both"/>
      </w:pPr>
      <w:r>
        <w:t>Lewin, K., (1951). Field theory in social science: Selected theoretical papers. New York: Harper and Row.</w:t>
      </w:r>
    </w:p>
    <w:p w14:paraId="6FCCBCAD" w14:textId="77777777" w:rsidR="00B94C8E" w:rsidRDefault="00204067">
      <w:pPr>
        <w:spacing w:line="360" w:lineRule="auto"/>
        <w:jc w:val="both"/>
      </w:pPr>
      <w:r>
        <w:t xml:space="preserve">Marin-Gomez, F.X., Mendioroz-Pena, J., Mayer, M.A., Méndez-Boo, L., Mora, N., Hermosilla, E., Coma, E., Vilaseca, J.M., Leis, A., Medina, M. and Catalina, Q.M., (2022). Comparing the clinical characteristics and mortality of residential and non-residential older people with COVID-19: retrospective observational study. International Journal of Environmental Research and Public Health, 19(1), p.483. Available at:  </w:t>
      </w:r>
      <w:hyperlink r:id="rId32" w:history="1">
        <w:r>
          <w:rPr>
            <w:rStyle w:val="Hyperlink"/>
          </w:rPr>
          <w:t>https://www.mdpi.com/1660-4601/19/1/483</w:t>
        </w:r>
      </w:hyperlink>
    </w:p>
    <w:p w14:paraId="6FCCBCAE" w14:textId="77777777" w:rsidR="00B94C8E" w:rsidRDefault="00204067">
      <w:pPr>
        <w:spacing w:line="360" w:lineRule="auto"/>
        <w:jc w:val="both"/>
      </w:pPr>
      <w:proofErr w:type="spellStart"/>
      <w:r>
        <w:t>Mbalayen</w:t>
      </w:r>
      <w:proofErr w:type="spellEnd"/>
      <w:r>
        <w:t xml:space="preserve">, F., </w:t>
      </w:r>
      <w:proofErr w:type="spellStart"/>
      <w:r>
        <w:t>Dutheillet</w:t>
      </w:r>
      <w:proofErr w:type="spellEnd"/>
      <w:r>
        <w:t xml:space="preserve">-de-Lamothe, V., Letty, A., Le </w:t>
      </w:r>
      <w:proofErr w:type="spellStart"/>
      <w:r>
        <w:t>Bruchec</w:t>
      </w:r>
      <w:proofErr w:type="spellEnd"/>
      <w:r>
        <w:t xml:space="preserve">, S., </w:t>
      </w:r>
      <w:proofErr w:type="spellStart"/>
      <w:r>
        <w:t>Pondjikli</w:t>
      </w:r>
      <w:proofErr w:type="spellEnd"/>
      <w:r>
        <w:t xml:space="preserve">, M., </w:t>
      </w:r>
      <w:proofErr w:type="spellStart"/>
      <w:r>
        <w:t>Berrut</w:t>
      </w:r>
      <w:proofErr w:type="spellEnd"/>
      <w:r>
        <w:t xml:space="preserve">, G., </w:t>
      </w:r>
      <w:proofErr w:type="spellStart"/>
      <w:r>
        <w:t>Benatia</w:t>
      </w:r>
      <w:proofErr w:type="spellEnd"/>
      <w:r>
        <w:t xml:space="preserve">, L., Ndiongue, B.M., </w:t>
      </w:r>
      <w:proofErr w:type="spellStart"/>
      <w:r>
        <w:t>Fourrier</w:t>
      </w:r>
      <w:proofErr w:type="spellEnd"/>
      <w:r>
        <w:t xml:space="preserve">, M.A., Armaingaud, D. and </w:t>
      </w:r>
      <w:proofErr w:type="spellStart"/>
      <w:r>
        <w:t>Josseran</w:t>
      </w:r>
      <w:proofErr w:type="spellEnd"/>
      <w:r>
        <w:t xml:space="preserve">, L., (2022). The COVID-19 pandemic and responses in nursing homes: a cross-sectional study in four European countries. International Journal of Environmental Research and Public Health, 19(22), p.15290. Available at: </w:t>
      </w:r>
      <w:hyperlink r:id="rId33" w:history="1">
        <w:r>
          <w:rPr>
            <w:rStyle w:val="Hyperlink"/>
          </w:rPr>
          <w:t>https://www.mdpi.com/1660-4601/19/22/15290</w:t>
        </w:r>
      </w:hyperlink>
    </w:p>
    <w:p w14:paraId="6FCCBCAF" w14:textId="77777777" w:rsidR="00B94C8E" w:rsidRDefault="00204067">
      <w:pPr>
        <w:spacing w:line="360" w:lineRule="auto"/>
        <w:jc w:val="both"/>
      </w:pPr>
      <w:r>
        <w:t>Moen, R. and Norman, C., (2010). The Plan-Do-Study-Act cycle: evolution and current use in healthcare. Quality Management in Health Care, 19(2), pp.97-108.</w:t>
      </w:r>
    </w:p>
    <w:p w14:paraId="6FCCBCB0" w14:textId="77777777" w:rsidR="00B94C8E" w:rsidRDefault="00204067">
      <w:pPr>
        <w:spacing w:line="360" w:lineRule="auto"/>
        <w:jc w:val="both"/>
      </w:pPr>
      <w:proofErr w:type="spellStart"/>
      <w:r>
        <w:t>Morciano</w:t>
      </w:r>
      <w:proofErr w:type="spellEnd"/>
      <w:r>
        <w:t xml:space="preserve">, M., Stokes, J., </w:t>
      </w:r>
      <w:proofErr w:type="spellStart"/>
      <w:r>
        <w:t>Kontopantelis</w:t>
      </w:r>
      <w:proofErr w:type="spellEnd"/>
      <w:r>
        <w:t xml:space="preserve">, E., Hall, I. and Turner, A.J., (2021). Excess mortality for care home residents during the first 23 weeks of the COVID-19 pandemic in England: a national cohort study. BMC medicine, 19(1), p.71. Available at:  </w:t>
      </w:r>
      <w:hyperlink r:id="rId34" w:history="1">
        <w:r>
          <w:rPr>
            <w:rStyle w:val="Hyperlink"/>
          </w:rPr>
          <w:t>https://pmc.ncbi.nlm.nih.gov/articles/PMC7932761/</w:t>
        </w:r>
      </w:hyperlink>
    </w:p>
    <w:p w14:paraId="6FCCBCB1" w14:textId="77777777" w:rsidR="00B94C8E" w:rsidRDefault="00204067">
      <w:pPr>
        <w:spacing w:line="360" w:lineRule="auto"/>
        <w:jc w:val="both"/>
      </w:pPr>
      <w:proofErr w:type="spellStart"/>
      <w:r>
        <w:t>Olesińska</w:t>
      </w:r>
      <w:proofErr w:type="spellEnd"/>
      <w:r>
        <w:t xml:space="preserve">, W., </w:t>
      </w:r>
      <w:proofErr w:type="spellStart"/>
      <w:r>
        <w:t>Biernatek</w:t>
      </w:r>
      <w:proofErr w:type="spellEnd"/>
      <w:r>
        <w:t>, M., Lachowicz-</w:t>
      </w:r>
      <w:proofErr w:type="spellStart"/>
      <w:r>
        <w:t>Wiśniewska</w:t>
      </w:r>
      <w:proofErr w:type="spellEnd"/>
      <w:r>
        <w:t xml:space="preserve">, S. and Piątek, J., (2025). Systematic review of the impact of COVID-19 on healthcare systems and society—The role of diagnostics and nutrition in pandemic response. Journal of Clinical Medicine, 14(7), p.2482. Available at: </w:t>
      </w:r>
      <w:hyperlink r:id="rId35" w:history="1">
        <w:r>
          <w:rPr>
            <w:rStyle w:val="Hyperlink"/>
          </w:rPr>
          <w:t>https://www.mdpi.com/2077-0383/14/7/2482</w:t>
        </w:r>
      </w:hyperlink>
    </w:p>
    <w:p w14:paraId="6FCCBCB2" w14:textId="77777777" w:rsidR="00B94C8E" w:rsidRDefault="00204067">
      <w:pPr>
        <w:spacing w:line="360" w:lineRule="auto"/>
        <w:jc w:val="both"/>
      </w:pPr>
      <w:r>
        <w:lastRenderedPageBreak/>
        <w:t xml:space="preserve">ONS, (2020). Impact of coronavirus in care homes in England. Available at: </w:t>
      </w:r>
      <w:hyperlink r:id="rId36" w:history="1">
        <w:r>
          <w:rPr>
            <w:rStyle w:val="Hyperlink"/>
          </w:rPr>
          <w:t>https://www.ons.gov.uk/peoplepopulationandcommunity/healthandsocialcare/conditionsanddiseases/articles/impactofcoronavirusincarehomesinenglandvivaldi/26mayto19june2020</w:t>
        </w:r>
      </w:hyperlink>
    </w:p>
    <w:p w14:paraId="6FCCBCB3" w14:textId="77777777" w:rsidR="00B94C8E" w:rsidRDefault="00204067">
      <w:pPr>
        <w:spacing w:line="360" w:lineRule="auto"/>
        <w:jc w:val="both"/>
      </w:pPr>
      <w:r>
        <w:t xml:space="preserve">ONS, (2022). Deaths involving COVID-19 in the care sector. Available at: </w:t>
      </w:r>
      <w:hyperlink r:id="rId37" w:history="1">
        <w:r>
          <w:rPr>
            <w:rStyle w:val="Hyperlink"/>
          </w:rPr>
          <w:t>https://www.ons.gov.uk/peoplepopulationandcommunity/birthsdeathsandmarriages/deaths/articles/deathsinvolvingcovid19inthecaresectorenglandandwales/deathsregisteredbetweenweekending20march2020andweekending21january2022</w:t>
        </w:r>
      </w:hyperlink>
    </w:p>
    <w:p w14:paraId="6FCCBCB4" w14:textId="77777777" w:rsidR="00B94C8E" w:rsidRDefault="00204067">
      <w:pPr>
        <w:spacing w:line="360" w:lineRule="auto"/>
        <w:jc w:val="both"/>
      </w:pPr>
      <w:r>
        <w:t xml:space="preserve">Overton, C.E., Webb, L., Datta, U., </w:t>
      </w:r>
      <w:proofErr w:type="spellStart"/>
      <w:r>
        <w:t>Fursman</w:t>
      </w:r>
      <w:proofErr w:type="spellEnd"/>
      <w:r>
        <w:t xml:space="preserve">, M., </w:t>
      </w:r>
      <w:proofErr w:type="spellStart"/>
      <w:r>
        <w:t>Hardstaff</w:t>
      </w:r>
      <w:proofErr w:type="spellEnd"/>
      <w:r>
        <w:t xml:space="preserve">, J., </w:t>
      </w:r>
      <w:proofErr w:type="spellStart"/>
      <w:r>
        <w:t>Hiironen</w:t>
      </w:r>
      <w:proofErr w:type="spellEnd"/>
      <w:r>
        <w:t>, I., Paranthaman, K., Riley, H., Sedgwick, J., Verne, J. and Willner, S., (2022). Novel methods for estimating the instantaneous and overall COVID-19 case fatality risk among care home residents in England. </w:t>
      </w:r>
      <w:proofErr w:type="spellStart"/>
      <w:r>
        <w:t>PLoS</w:t>
      </w:r>
      <w:proofErr w:type="spellEnd"/>
      <w:r>
        <w:t xml:space="preserve"> computational biology, 18(10), p.e1010554. Available at: </w:t>
      </w:r>
      <w:hyperlink r:id="rId38" w:history="1">
        <w:r>
          <w:rPr>
            <w:rStyle w:val="Hyperlink"/>
          </w:rPr>
          <w:t>https://journals.plos.org/ploscompbiol/article?id=10.1371/journal.pcbi.1010554</w:t>
        </w:r>
      </w:hyperlink>
    </w:p>
    <w:p w14:paraId="6FCCBCB5" w14:textId="77777777" w:rsidR="00B94C8E" w:rsidRDefault="00204067">
      <w:pPr>
        <w:spacing w:line="360" w:lineRule="auto"/>
        <w:jc w:val="both"/>
      </w:pPr>
      <w:r>
        <w:t>Øvretveit, J., (2018). Health service quality: An introduction to quality methods for health services. Oxford: Blackwell Publishing.</w:t>
      </w:r>
    </w:p>
    <w:p w14:paraId="6FCCBCB6" w14:textId="77777777" w:rsidR="00B94C8E" w:rsidRDefault="00204067">
      <w:pPr>
        <w:spacing w:line="360" w:lineRule="auto"/>
        <w:jc w:val="both"/>
      </w:pPr>
      <w:r>
        <w:t xml:space="preserve">Parsons, G., (2024). Plan, do, check, act – the PDCA cycle. Bitesize Learning. Available at: </w:t>
      </w:r>
      <w:hyperlink r:id="rId39" w:history="1">
        <w:r>
          <w:rPr>
            <w:rStyle w:val="Hyperlink"/>
          </w:rPr>
          <w:t>https://www.bitesizelearning.co.uk/resources/pdca-plan-do-check-act</w:t>
        </w:r>
      </w:hyperlink>
      <w:r>
        <w:t xml:space="preserve"> (Accessed: 10 March 2026).</w:t>
      </w:r>
    </w:p>
    <w:p w14:paraId="6FCCBCB7" w14:textId="77777777" w:rsidR="00B94C8E" w:rsidRDefault="00204067">
      <w:pPr>
        <w:spacing w:line="360" w:lineRule="auto"/>
        <w:jc w:val="both"/>
      </w:pPr>
      <w:r>
        <w:t>Pearson-</w:t>
      </w:r>
      <w:proofErr w:type="spellStart"/>
      <w:r>
        <w:t>Stuttard</w:t>
      </w:r>
      <w:proofErr w:type="spellEnd"/>
      <w:r>
        <w:t xml:space="preserve">, J., </w:t>
      </w:r>
      <w:r>
        <w:rPr>
          <w:i/>
          <w:iCs/>
        </w:rPr>
        <w:t>et al</w:t>
      </w:r>
      <w:r>
        <w:t xml:space="preserve">., (2024). Excess mortality in England post-COVID: trends in hospitals and care homes. The Lancet Regional Health–Europe, 42, p.100912. Available at: </w:t>
      </w:r>
      <w:hyperlink r:id="rId40" w:history="1">
        <w:r>
          <w:rPr>
            <w:rStyle w:val="Hyperlink"/>
          </w:rPr>
          <w:t>https://www.thelancet.com/journals/lanepe/article/PIIS2666-7762(24)00045-6/fulltext</w:t>
        </w:r>
      </w:hyperlink>
    </w:p>
    <w:p w14:paraId="6FCCBCB8" w14:textId="77777777" w:rsidR="00B94C8E" w:rsidRDefault="00204067">
      <w:pPr>
        <w:spacing w:line="360" w:lineRule="auto"/>
        <w:jc w:val="both"/>
      </w:pPr>
      <w:r>
        <w:t xml:space="preserve">Rodriguez-Rodriguez, V., Rojo-Perez, F., Perez de </w:t>
      </w:r>
      <w:proofErr w:type="spellStart"/>
      <w:r>
        <w:t>Arenaza</w:t>
      </w:r>
      <w:proofErr w:type="spellEnd"/>
      <w:r>
        <w:t xml:space="preserve"> Escribano, C., Molina-Martínez, M.Á., Fernandez-</w:t>
      </w:r>
      <w:proofErr w:type="spellStart"/>
      <w:r>
        <w:t>Mayoralas</w:t>
      </w:r>
      <w:proofErr w:type="spellEnd"/>
      <w:r>
        <w:t xml:space="preserve">, G., Sánchez-González, D., Rojo-Abuin, J.M., Rodríguez-Blázquez, C., </w:t>
      </w:r>
      <w:proofErr w:type="spellStart"/>
      <w:r>
        <w:t>Forjaz</w:t>
      </w:r>
      <w:proofErr w:type="spellEnd"/>
      <w:r>
        <w:t xml:space="preserve">, M.J. and Martin Garcia, S., (2022). The impact of COVID-19 on nursing homes: study design and population description. International journal of environmental research and public health, 19(24), p.16629. Available at: </w:t>
      </w:r>
      <w:hyperlink r:id="rId41" w:history="1">
        <w:r>
          <w:rPr>
            <w:rStyle w:val="Hyperlink"/>
          </w:rPr>
          <w:t>https://www.ncbi.nlm.nih.gov/pmc/articles/PMC9779101/</w:t>
        </w:r>
      </w:hyperlink>
    </w:p>
    <w:p w14:paraId="6FCCBCB9" w14:textId="77777777" w:rsidR="00B94C8E" w:rsidRDefault="00204067">
      <w:pPr>
        <w:spacing w:line="360" w:lineRule="auto"/>
        <w:jc w:val="both"/>
      </w:pPr>
      <w:r>
        <w:t xml:space="preserve">Schultze, A., Nightingale, E., Evans, D., Hulme, W., Rosello, A., Bates, C., Cockburn, J., MacKenna, B., Curtis, H.J., Morton, C.E. and Croker, R., (2022). Mortality among Care Home Residents in England during the first and second waves of the COVID-19 pandemic: an observational study of 4.3 million adults over the age of 65. The Lancet Regional Health–Europe, 14. Available at: </w:t>
      </w:r>
      <w:hyperlink r:id="rId42" w:history="1">
        <w:r>
          <w:rPr>
            <w:rStyle w:val="Hyperlink"/>
          </w:rPr>
          <w:t>https://www.sciencedirect.com/science/article/pii/S2666776221002817</w:t>
        </w:r>
      </w:hyperlink>
    </w:p>
    <w:p w14:paraId="6FCCBCBA" w14:textId="77777777" w:rsidR="00B94C8E" w:rsidRDefault="00204067">
      <w:pPr>
        <w:spacing w:line="360" w:lineRule="auto"/>
        <w:jc w:val="both"/>
      </w:pPr>
      <w:r>
        <w:t xml:space="preserve">Stedman, M., Kitching, S., Whyte, M.B. and Heald, A., (2025). Protective measures taken in residential care homes in England during the COVID-19 pandemic. An assessment of the change in mortality rates before and during the COVID-19 pandemic years. Infectious diseases and therapy, 14(8), pp.1649-1665. Available at:  </w:t>
      </w:r>
      <w:hyperlink r:id="rId43" w:history="1">
        <w:r>
          <w:rPr>
            <w:rStyle w:val="Hyperlink"/>
          </w:rPr>
          <w:t>https://pmc.ncbi.nlm.nih.gov/articles/PMC12339804/</w:t>
        </w:r>
      </w:hyperlink>
    </w:p>
    <w:p w14:paraId="6FCCBCBB" w14:textId="77777777" w:rsidR="00B94C8E" w:rsidRDefault="00204067">
      <w:pPr>
        <w:spacing w:line="360" w:lineRule="auto"/>
        <w:jc w:val="both"/>
      </w:pPr>
      <w:r>
        <w:lastRenderedPageBreak/>
        <w:t xml:space="preserve">Stow, D., Barker, R.O., Matthews, F.E. and Hanratty, B., (2021). National Early Warning Scores and COVID-19 deaths in care homes: an ecological time-series study. BMJ open, 11(9), p.e045579. Available at: </w:t>
      </w:r>
      <w:hyperlink r:id="rId44" w:history="1">
        <w:r>
          <w:rPr>
            <w:rStyle w:val="Hyperlink"/>
          </w:rPr>
          <w:t>https://bmjopen.bmj.com/content/11/9/e045579</w:t>
        </w:r>
      </w:hyperlink>
    </w:p>
    <w:p w14:paraId="6FCCBCBC" w14:textId="77777777" w:rsidR="00B94C8E" w:rsidRDefault="00204067">
      <w:pPr>
        <w:spacing w:line="360" w:lineRule="auto"/>
        <w:jc w:val="both"/>
      </w:pPr>
      <w:r>
        <w:t xml:space="preserve">Stow, D., Barker, R.O., Matthews, F.E. and Hanratty, B., (2021). National Early Warning Scores and COVID-19 deaths in care homes: an ecological time-series study. BMJ open, 11(9), p.e045579. Available at: </w:t>
      </w:r>
      <w:hyperlink r:id="rId45" w:history="1">
        <w:r>
          <w:rPr>
            <w:rStyle w:val="Hyperlink"/>
          </w:rPr>
          <w:t>https://bmjopen.bmj.com/content/11/9/e045579</w:t>
        </w:r>
      </w:hyperlink>
    </w:p>
    <w:p w14:paraId="6FCCBCBD" w14:textId="77777777" w:rsidR="00B94C8E" w:rsidRDefault="00204067">
      <w:pPr>
        <w:spacing w:line="360" w:lineRule="auto"/>
        <w:jc w:val="both"/>
      </w:pPr>
      <w:r>
        <w:t xml:space="preserve">Taylor, K., Krutikov, M., </w:t>
      </w:r>
      <w:proofErr w:type="spellStart"/>
      <w:r>
        <w:t>Jhass</w:t>
      </w:r>
      <w:proofErr w:type="spellEnd"/>
      <w:r>
        <w:t xml:space="preserve">, A., Amzi, B., </w:t>
      </w:r>
      <w:proofErr w:type="spellStart"/>
      <w:r>
        <w:t>Monakhov</w:t>
      </w:r>
      <w:proofErr w:type="spellEnd"/>
      <w:r>
        <w:t>, I., Copas, A., Shallcross, L. and Stirrup, O., (2024). The impact of the COVID-19 pandemic, and care home closures on timing of mortality in residents of English LTCFs. </w:t>
      </w:r>
      <w:proofErr w:type="spellStart"/>
      <w:r>
        <w:t>Wellcome</w:t>
      </w:r>
      <w:proofErr w:type="spellEnd"/>
      <w:r>
        <w:t xml:space="preserve"> Open Research, 9, p.223. Available at: </w:t>
      </w:r>
      <w:hyperlink r:id="rId46" w:history="1">
        <w:r>
          <w:rPr>
            <w:rStyle w:val="Hyperlink"/>
          </w:rPr>
          <w:t>https://wellcomeopenresearch.org/articles/9-223/pdf</w:t>
        </w:r>
      </w:hyperlink>
    </w:p>
    <w:p w14:paraId="6FCCBCBE" w14:textId="77777777" w:rsidR="00B94C8E" w:rsidRDefault="00204067">
      <w:pPr>
        <w:spacing w:line="360" w:lineRule="auto"/>
        <w:jc w:val="both"/>
      </w:pPr>
      <w:r>
        <w:t xml:space="preserve">Taylor, M.J., </w:t>
      </w:r>
      <w:r>
        <w:rPr>
          <w:i/>
          <w:iCs/>
        </w:rPr>
        <w:t>et al</w:t>
      </w:r>
      <w:r>
        <w:t xml:space="preserve">., (2013). Systematic review of the application of the Plan-Do-Study-Act method in healthcare. BMJ Quality and Safety, 23(4), pp.290-298. Available at:  </w:t>
      </w:r>
      <w:hyperlink r:id="rId47" w:history="1">
        <w:r>
          <w:rPr>
            <w:rStyle w:val="Hyperlink"/>
          </w:rPr>
          <w:t>https://qualitysafety.bmj.com/content/23/4/290</w:t>
        </w:r>
      </w:hyperlink>
    </w:p>
    <w:p w14:paraId="6FCCBCBF" w14:textId="77777777" w:rsidR="00B94C8E" w:rsidRDefault="00204067">
      <w:pPr>
        <w:spacing w:line="360" w:lineRule="auto"/>
        <w:jc w:val="both"/>
      </w:pPr>
      <w:r>
        <w:t xml:space="preserve">UK Health Security Agency, (2020). Management of outbreaks in care homes. Available at: </w:t>
      </w:r>
      <w:hyperlink r:id="rId48" w:history="1">
        <w:r>
          <w:rPr>
            <w:rStyle w:val="Hyperlink"/>
          </w:rPr>
          <w:t>https://www.gov.uk/government/publications/covid-19-management-of-outbreaks-in-care-homes</w:t>
        </w:r>
      </w:hyperlink>
    </w:p>
    <w:p w14:paraId="6FCCBCC0" w14:textId="77777777" w:rsidR="00B94C8E" w:rsidRDefault="00204067">
      <w:pPr>
        <w:spacing w:line="360" w:lineRule="auto"/>
        <w:jc w:val="both"/>
      </w:pPr>
      <w:proofErr w:type="spellStart"/>
      <w:r>
        <w:t>Venngage</w:t>
      </w:r>
      <w:proofErr w:type="spellEnd"/>
      <w:r>
        <w:t xml:space="preserve">, (2025). SWOT vs PESTLE analysis in healthcare organisations: which framework to use. Available at: </w:t>
      </w:r>
      <w:hyperlink r:id="rId49" w:history="1">
        <w:r>
          <w:rPr>
            <w:rStyle w:val="Hyperlink"/>
          </w:rPr>
          <w:t>https://venngage.com/blog/swot-vs-pestle-healthcare</w:t>
        </w:r>
      </w:hyperlink>
    </w:p>
    <w:p w14:paraId="6FCCBCC1" w14:textId="77777777" w:rsidR="00B94C8E" w:rsidRDefault="00204067">
      <w:pPr>
        <w:spacing w:line="360" w:lineRule="auto"/>
        <w:jc w:val="both"/>
      </w:pPr>
      <w:r>
        <w:t xml:space="preserve">Wilson, R., </w:t>
      </w:r>
      <w:proofErr w:type="spellStart"/>
      <w:r>
        <w:t>Siviş</w:t>
      </w:r>
      <w:proofErr w:type="spellEnd"/>
      <w:r>
        <w:t xml:space="preserve">, S., Scott, P., Dixon, J., Green, K., Westcott, J., Marriott, A., Banks, J. and </w:t>
      </w:r>
      <w:proofErr w:type="spellStart"/>
      <w:r>
        <w:t>Redaniel</w:t>
      </w:r>
      <w:proofErr w:type="spellEnd"/>
      <w:r>
        <w:t xml:space="preserve">, M.T., (2025). Exploring risk factors for COVID-19 mortality and infection in care homes in the west of England: A mixed-methods study. Journal of Health Services Research and Policy, 30(4), pp.247-257. Available at: </w:t>
      </w:r>
      <w:hyperlink r:id="rId50" w:history="1">
        <w:r>
          <w:rPr>
            <w:rStyle w:val="Hyperlink"/>
          </w:rPr>
          <w:t>https://journals.sagepub.com/doi/10.1177/13558196251344174</w:t>
        </w:r>
      </w:hyperlink>
    </w:p>
    <w:p w14:paraId="6FCCBCC2" w14:textId="77777777" w:rsidR="00B94C8E" w:rsidRDefault="00B94C8E"/>
    <w:sectPr w:rsidR="00B94C8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9D789" w14:textId="77777777" w:rsidR="00880464" w:rsidRDefault="00880464">
      <w:pPr>
        <w:spacing w:after="0" w:line="240" w:lineRule="auto"/>
      </w:pPr>
      <w:r>
        <w:separator/>
      </w:r>
    </w:p>
  </w:endnote>
  <w:endnote w:type="continuationSeparator" w:id="0">
    <w:p w14:paraId="16DB5B51" w14:textId="77777777" w:rsidR="00880464" w:rsidRDefault="008804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598D1" w14:textId="77777777" w:rsidR="00880464" w:rsidRDefault="00880464">
      <w:pPr>
        <w:spacing w:after="0" w:line="240" w:lineRule="auto"/>
      </w:pPr>
      <w:r>
        <w:rPr>
          <w:color w:val="000000"/>
        </w:rPr>
        <w:separator/>
      </w:r>
    </w:p>
  </w:footnote>
  <w:footnote w:type="continuationSeparator" w:id="0">
    <w:p w14:paraId="1B98F503" w14:textId="77777777" w:rsidR="00880464" w:rsidRDefault="008804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66587"/>
    <w:multiLevelType w:val="multilevel"/>
    <w:tmpl w:val="6BBA502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2888223F"/>
    <w:multiLevelType w:val="multilevel"/>
    <w:tmpl w:val="1B1678A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662C7133"/>
    <w:multiLevelType w:val="multilevel"/>
    <w:tmpl w:val="E05E01A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68F30B18"/>
    <w:multiLevelType w:val="multilevel"/>
    <w:tmpl w:val="9DF2B556"/>
    <w:lvl w:ilvl="0">
      <w:start w:val="11"/>
      <w:numFmt w:val="decimal"/>
      <w:lvlText w:val="%1."/>
      <w:lvlJc w:val="left"/>
      <w:pPr>
        <w:ind w:left="720" w:hanging="360"/>
      </w:pPr>
      <w:rPr>
        <w:rFonts w:eastAsia="Times New Roman" w:cs="Times New Roman"/>
        <w:b/>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 w15:restartNumberingAfterBreak="0">
    <w:nsid w:val="74CD2A33"/>
    <w:multiLevelType w:val="multilevel"/>
    <w:tmpl w:val="3314184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7A4D2F3E"/>
    <w:multiLevelType w:val="multilevel"/>
    <w:tmpl w:val="2872EDF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786679">
    <w:abstractNumId w:val="5"/>
  </w:num>
  <w:num w:numId="2" w16cid:durableId="27611938">
    <w:abstractNumId w:val="1"/>
  </w:num>
  <w:num w:numId="3" w16cid:durableId="123500489">
    <w:abstractNumId w:val="4"/>
  </w:num>
  <w:num w:numId="4" w16cid:durableId="2034765693">
    <w:abstractNumId w:val="2"/>
  </w:num>
  <w:num w:numId="5" w16cid:durableId="768815692">
    <w:abstractNumId w:val="0"/>
  </w:num>
  <w:num w:numId="6" w16cid:durableId="4368002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C8E"/>
    <w:rsid w:val="00112417"/>
    <w:rsid w:val="00160EB4"/>
    <w:rsid w:val="001D1239"/>
    <w:rsid w:val="00204067"/>
    <w:rsid w:val="002B48CA"/>
    <w:rsid w:val="00397370"/>
    <w:rsid w:val="003D5CC1"/>
    <w:rsid w:val="00604B18"/>
    <w:rsid w:val="006A4A22"/>
    <w:rsid w:val="0070152A"/>
    <w:rsid w:val="00880464"/>
    <w:rsid w:val="008B6155"/>
    <w:rsid w:val="00B94C8E"/>
    <w:rsid w:val="00BA51CC"/>
    <w:rsid w:val="00F75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CBBBF"/>
  <w15:docId w15:val="{1B02851D-259B-4C88-9DAC-750187F3E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ptos" w:hAnsi="Times New Roman" w:cs="Times New Roman"/>
        <w:bCs/>
        <w:kern w:val="3"/>
        <w:sz w:val="22"/>
        <w:szCs w:val="22"/>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4" w:lineRule="auto"/>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val="0"/>
      <w:smallCaps/>
      <w:color w:val="0F4761"/>
      <w:spacing w:val="5"/>
    </w:rPr>
  </w:style>
  <w:style w:type="character" w:styleId="Hyperlink">
    <w:name w:val="Hyperlink"/>
    <w:basedOn w:val="DefaultParagraphFont"/>
    <w:rPr>
      <w:color w:val="467886"/>
      <w:u w:val="single"/>
    </w:rPr>
  </w:style>
  <w:style w:type="paragraph" w:styleId="TOCHeading">
    <w:name w:val="TOC Heading"/>
    <w:basedOn w:val="Heading1"/>
    <w:next w:val="Normal"/>
    <w:pPr>
      <w:spacing w:before="240" w:after="0"/>
    </w:pPr>
    <w:rPr>
      <w:kern w:val="0"/>
      <w:sz w:val="32"/>
      <w:szCs w:val="32"/>
      <w:lang w:val="en-US"/>
    </w:rPr>
  </w:style>
  <w:style w:type="paragraph" w:styleId="TOC1">
    <w:name w:val="toc 1"/>
    <w:basedOn w:val="Normal"/>
    <w:next w:val="Normal"/>
    <w:autoRedefine/>
    <w:pPr>
      <w:spacing w:after="10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Times New Roman" w:hAnsi="Times New Roman" w:cs="Times New Roman"/>
      <w:lang w:val="en-IN"/>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Times New Roman" w:hAnsi="Times New Roman" w:cs="Times New Roman"/>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healthcarestrategyjournal.com" TargetMode="External"/><Relationship Id="rId18" Type="http://schemas.openxmlformats.org/officeDocument/2006/relationships/hyperlink" Target="https://www.mdpi.com/2076-393X/9/10/1160" TargetMode="External"/><Relationship Id="rId26" Type="http://schemas.openxmlformats.org/officeDocument/2006/relationships/hyperlink" Target="https://pmc.ncbi.nlm.nih.gov/articles/PMC1234567/" TargetMode="External"/><Relationship Id="rId39" Type="http://schemas.openxmlformats.org/officeDocument/2006/relationships/hyperlink" Target="https://www.bitesizelearning.co.uk/resources/pdca-plan-do-check-act" TargetMode="External"/><Relationship Id="rId21" Type="http://schemas.openxmlformats.org/officeDocument/2006/relationships/hyperlink" Target="https://pmc.ncbi.nlm.nih.gov/articles/PMC7989651/" TargetMode="External"/><Relationship Id="rId34" Type="http://schemas.openxmlformats.org/officeDocument/2006/relationships/hyperlink" Target="https://pmc.ncbi.nlm.nih.gov/articles/PMC7932761/" TargetMode="External"/><Relationship Id="rId42" Type="http://schemas.openxmlformats.org/officeDocument/2006/relationships/hyperlink" Target="https://www.sciencedirect.com/science/article/pii/S2666776221002817" TargetMode="External"/><Relationship Id="rId47" Type="http://schemas.openxmlformats.org/officeDocument/2006/relationships/hyperlink" Target="https://qualitysafety.bmj.com/content/23/4/290" TargetMode="External"/><Relationship Id="rId50" Type="http://schemas.openxmlformats.org/officeDocument/2006/relationships/hyperlink" Target="https://journals.sagepub.com/doi/10.1177/13558196251344174"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cademic.oup.com/ageing/article/50/4/1029/6258994" TargetMode="External"/><Relationship Id="rId29" Type="http://schemas.openxmlformats.org/officeDocument/2006/relationships/hyperlink" Target="https://pmc.ncbi.nlm.nih.gov/articles/PMC11011537/" TargetMode="External"/><Relationship Id="rId11" Type="http://schemas.openxmlformats.org/officeDocument/2006/relationships/image" Target="media/image5.png"/><Relationship Id="rId24" Type="http://schemas.openxmlformats.org/officeDocument/2006/relationships/hyperlink" Target="https://pubmed.ncbi.nlm.nih.gov/32402088/" TargetMode="External"/><Relationship Id="rId32" Type="http://schemas.openxmlformats.org/officeDocument/2006/relationships/hyperlink" Target="https://www.mdpi.com/1660-4601/19/1/483" TargetMode="External"/><Relationship Id="rId37" Type="http://schemas.openxmlformats.org/officeDocument/2006/relationships/hyperlink" Target="https://www.ons.gov.uk/peoplepopulationandcommunity/birthsdeathsandmarriages/deaths/articles/deathsinvolvingcovid19inthecaresectorenglandandwales/deathsregisteredbetweenweekending20march2020andweekending21january2022" TargetMode="External"/><Relationship Id="rId40" Type="http://schemas.openxmlformats.org/officeDocument/2006/relationships/hyperlink" Target="https://www.thelancet.com/journals/lanepe/article/PIIS2666-7762(24)00045-6/fulltext" TargetMode="External"/><Relationship Id="rId45" Type="http://schemas.openxmlformats.org/officeDocument/2006/relationships/hyperlink" Target="https://bmjopen.bmj.com/content/11/9/e045579" TargetMode="External"/><Relationship Id="rId5" Type="http://schemas.openxmlformats.org/officeDocument/2006/relationships/footnotes" Target="footnotes.xml"/><Relationship Id="rId15" Type="http://schemas.openxmlformats.org/officeDocument/2006/relationships/hyperlink" Target="https://www.tandfonline.com/doi/full/10.1080/15309576.2023.2295282" TargetMode="External"/><Relationship Id="rId23" Type="http://schemas.openxmlformats.org/officeDocument/2006/relationships/hyperlink" Target="https://www.pneumon.org/Factors-predicting-poor-outcomes-in-elderly-nursing-home-residents-hospitalized-due%2C191741%2C0%2C2.html" TargetMode="External"/><Relationship Id="rId28" Type="http://schemas.openxmlformats.org/officeDocument/2006/relationships/hyperlink" Target="https://hrcoursesonline.com/lewins-change-management-model/" TargetMode="External"/><Relationship Id="rId36" Type="http://schemas.openxmlformats.org/officeDocument/2006/relationships/hyperlink" Target="https://www.ons.gov.uk/peoplepopulationandcommunity/healthandsocialcare/conditionsanddiseases/articles/impactofcoronavirusincarehomesinenglandvivaldi/26mayto19june2020" TargetMode="External"/><Relationship Id="rId49" Type="http://schemas.openxmlformats.org/officeDocument/2006/relationships/hyperlink" Target="https://venngage.com/blog/swot-vs-pestle-healthcare" TargetMode="External"/><Relationship Id="rId10" Type="http://schemas.openxmlformats.org/officeDocument/2006/relationships/image" Target="media/image4.png"/><Relationship Id="rId19" Type="http://schemas.openxmlformats.org/officeDocument/2006/relationships/hyperlink" Target="https://pmc.ncbi.nlm.nih.gov/articles/PMC7461496/" TargetMode="External"/><Relationship Id="rId31" Type="http://schemas.openxmlformats.org/officeDocument/2006/relationships/hyperlink" Target="https://purplegriffon.com/blog/fishbone-diagram-ishikawa" TargetMode="External"/><Relationship Id="rId44" Type="http://schemas.openxmlformats.org/officeDocument/2006/relationships/hyperlink" Target="https://bmjopen.bmj.com/content/11/9/e045579"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science/article/abs/pii/S1525861022004637" TargetMode="External"/><Relationship Id="rId22" Type="http://schemas.openxmlformats.org/officeDocument/2006/relationships/hyperlink" Target="https://pmc.ncbi.nlm.nih.gov/articles/PMC7989651/" TargetMode="External"/><Relationship Id="rId27" Type="http://schemas.openxmlformats.org/officeDocument/2006/relationships/hyperlink" Target="https://pmc.ncbi.nlm.nih.gov/articles/PMC7546151/" TargetMode="External"/><Relationship Id="rId30" Type="http://schemas.openxmlformats.org/officeDocument/2006/relationships/hyperlink" Target="https://www.kingsfund.org.uk/insight-and-analysis/long-reads/deaths-covid-19" TargetMode="External"/><Relationship Id="rId35" Type="http://schemas.openxmlformats.org/officeDocument/2006/relationships/hyperlink" Target="https://www.mdpi.com/2077-0383/14/7/2482" TargetMode="External"/><Relationship Id="rId43" Type="http://schemas.openxmlformats.org/officeDocument/2006/relationships/hyperlink" Target="https://pmc.ncbi.nlm.nih.gov/articles/PMC12339804/" TargetMode="External"/><Relationship Id="rId48" Type="http://schemas.openxmlformats.org/officeDocument/2006/relationships/hyperlink" Target="https://www.gov.uk/government/publications/covid-19-management-of-outbreaks-in-care-homes"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mdpi.com/2673-3986/3/3/30" TargetMode="External"/><Relationship Id="rId17" Type="http://schemas.openxmlformats.org/officeDocument/2006/relationships/hyperlink" Target="https://www.cqc.org.uk/publications/major-reports/publication-statistics-deaths-involving-covid-19-care-homes-england" TargetMode="External"/><Relationship Id="rId25" Type="http://schemas.openxmlformats.org/officeDocument/2006/relationships/hyperlink" Target="https://pmc.ncbi.nlm.nih.gov/articles/PMC9005362/" TargetMode="External"/><Relationship Id="rId33" Type="http://schemas.openxmlformats.org/officeDocument/2006/relationships/hyperlink" Target="https://www.mdpi.com/1660-4601/19/22/15290" TargetMode="External"/><Relationship Id="rId38" Type="http://schemas.openxmlformats.org/officeDocument/2006/relationships/hyperlink" Target="https://journals.plos.org/ploscompbiol/article?id=10.1371/journal.pcbi.1010554" TargetMode="External"/><Relationship Id="rId46" Type="http://schemas.openxmlformats.org/officeDocument/2006/relationships/hyperlink" Target="https://wellcomeopenresearch.org/articles/9-223/pdf" TargetMode="External"/><Relationship Id="rId20" Type="http://schemas.openxmlformats.org/officeDocument/2006/relationships/hyperlink" Target="https://www.gov.uk/government/publications/coronavirus-covid-19-adult-social-care-action-plan" TargetMode="External"/><Relationship Id="rId41" Type="http://schemas.openxmlformats.org/officeDocument/2006/relationships/hyperlink" Target="https://www.ncbi.nlm.nih.gov/pmc/articles/PMC9779101/"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5345</Words>
  <Characters>34909</Characters>
  <Application>Microsoft Office Word</Application>
  <DocSecurity>0</DocSecurity>
  <Lines>692</Lines>
  <Paragraphs>209</Paragraphs>
  <ScaleCrop>false</ScaleCrop>
  <Company/>
  <LinksUpToDate>false</LinksUpToDate>
  <CharactersWithSpaces>40257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geeta Dasa</dc:creator>
  <dc:description/>
  <cp:lastModifiedBy>geeta Dasa</cp:lastModifiedBy>
  <cp:revision>9</cp:revision>
  <dcterms:created xsi:type="dcterms:W3CDTF">2026-04-01T18:10:00Z</dcterms:created>
  <dcterms:modified xsi:type="dcterms:W3CDTF">2026-04-01T18:22:00Z</dcterms:modified>
</cp:coreProperties>
</file>