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10809300"/>
        <w:docPartObj>
          <w:docPartGallery w:val="Cover Pages"/>
          <w:docPartUnique/>
        </w:docPartObj>
      </w:sdtPr>
      <w:sdtContent>
        <w:p w14:paraId="3B8C28B7" w14:textId="08CEE4FF" w:rsidR="003C6E1F" w:rsidRDefault="0010410A">
          <w:r>
            <w:rPr>
              <w:noProof/>
            </w:rPr>
            <mc:AlternateContent>
              <mc:Choice Requires="wps">
                <w:drawing>
                  <wp:anchor distT="0" distB="0" distL="114300" distR="114300" simplePos="0" relativeHeight="251660288" behindDoc="0" locked="0" layoutInCell="1" allowOverlap="1" wp14:anchorId="6C2A2C71" wp14:editId="0F3DE48A">
                    <wp:simplePos x="0" y="0"/>
                    <wp:positionH relativeFrom="margin">
                      <wp:posOffset>3762376</wp:posOffset>
                    </wp:positionH>
                    <wp:positionV relativeFrom="page">
                      <wp:posOffset>762000</wp:posOffset>
                    </wp:positionV>
                    <wp:extent cx="2305050" cy="641074"/>
                    <wp:effectExtent l="0" t="0" r="0" b="698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05050" cy="64107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1-21T00:00:00Z">
                                    <w:dateFormat w:val="yyyy"/>
                                    <w:lid w:val="en-US"/>
                                    <w:storeMappedDataAs w:val="dateTime"/>
                                    <w:calendar w:val="gregorian"/>
                                  </w:date>
                                </w:sdtPr>
                                <w:sdtContent>
                                  <w:p w14:paraId="2F18A7CE" w14:textId="6AAC6E9B" w:rsidR="003C6E1F" w:rsidRDefault="0010410A">
                                    <w:pPr>
                                      <w:pStyle w:val="NoSpacing"/>
                                      <w:jc w:val="right"/>
                                      <w:rPr>
                                        <w:color w:val="FFFFFF" w:themeColor="background1"/>
                                        <w:sz w:val="24"/>
                                        <w:szCs w:val="24"/>
                                      </w:rPr>
                                    </w:pPr>
                                    <w:r w:rsidRPr="002E49C2">
                                      <w:rPr>
                                        <w:rFonts w:ascii="Times New Roman" w:hAnsi="Times New Roman" w:cs="Times New Roman"/>
                                        <w:color w:val="FFFFFF" w:themeColor="background1"/>
                                        <w:sz w:val="24"/>
                                        <w:szCs w:val="24"/>
                                      </w:rPr>
                                      <w:t>21 November 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2A2C71" id="Rectangle 130" o:spid="_x0000_s1026" style="position:absolute;margin-left:296.25pt;margin-top:60pt;width:181.5pt;height:5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" fillcolor="#156082 [3204]" stroked="f" strokeweight="1.5pt">
                    <o:lock v:ext="edit" aspectratio="t"/>
                    <v:textbox inset="3.6pt,,3.6pt">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1-21T00:00:00Z">
                              <w:dateFormat w:val="yyyy"/>
                              <w:lid w:val="en-US"/>
                              <w:storeMappedDataAs w:val="dateTime"/>
                              <w:calendar w:val="gregorian"/>
                            </w:date>
                          </w:sdtPr>
                          <w:sdtContent>
                            <w:p w14:paraId="2F18A7CE" w14:textId="6AAC6E9B" w:rsidR="003C6E1F" w:rsidRDefault="0010410A">
                              <w:pPr>
                                <w:pStyle w:val="NoSpacing"/>
                                <w:jc w:val="right"/>
                                <w:rPr>
                                  <w:color w:val="FFFFFF" w:themeColor="background1"/>
                                  <w:sz w:val="24"/>
                                  <w:szCs w:val="24"/>
                                </w:rPr>
                              </w:pPr>
                              <w:r w:rsidRPr="002E49C2">
                                <w:rPr>
                                  <w:rFonts w:ascii="Times New Roman" w:hAnsi="Times New Roman" w:cs="Times New Roman"/>
                                  <w:color w:val="FFFFFF" w:themeColor="background1"/>
                                  <w:sz w:val="24"/>
                                  <w:szCs w:val="24"/>
                                </w:rPr>
                                <w:t>21 November 2025</w:t>
                              </w:r>
                            </w:p>
                          </w:sdtContent>
                        </w:sdt>
                      </w:txbxContent>
                    </v:textbox>
                    <w10:wrap anchorx="margin" anchory="page"/>
                  </v:rect>
                </w:pict>
              </mc:Fallback>
            </mc:AlternateContent>
          </w:r>
        </w:p>
        <w:p w14:paraId="4A7FBA19" w14:textId="3CB86386" w:rsidR="003C6E1F" w:rsidRDefault="003C6E1F">
          <w:r>
            <w:rPr>
              <w:noProof/>
            </w:rPr>
            <mc:AlternateContent>
              <mc:Choice Requires="wpg">
                <w:drawing>
                  <wp:anchor distT="0" distB="0" distL="114300" distR="114300" simplePos="0" relativeHeight="251659264" behindDoc="1" locked="0" layoutInCell="1" allowOverlap="1" wp14:anchorId="06AC0637" wp14:editId="107711B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A8D9EDB" w14:textId="786605E4" w:rsidR="003C6E1F" w:rsidRDefault="003C6E1F">
                                  <w:pPr>
                                    <w:rPr>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0410A" w:rsidRPr="000841E2">
                                        <w:rPr>
                                          <w:rFonts w:ascii="Times New Roman" w:hAnsi="Times New Roman" w:cs="Times New Roman"/>
                                          <w:color w:val="FFFFFF" w:themeColor="background1"/>
                                          <w:sz w:val="72"/>
                                          <w:szCs w:val="72"/>
                                        </w:rPr>
                                        <w:t>D</w:t>
                                      </w:r>
                                      <w:r w:rsidR="00535A8A">
                                        <w:rPr>
                                          <w:rFonts w:ascii="Times New Roman" w:hAnsi="Times New Roman" w:cs="Times New Roman"/>
                                          <w:color w:val="FFFFFF" w:themeColor="background1"/>
                                          <w:sz w:val="72"/>
                                          <w:szCs w:val="72"/>
                                        </w:rPr>
                                        <w:t>ISSERTATION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6AC0637"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A8D9EDB" w14:textId="786605E4" w:rsidR="003C6E1F" w:rsidRDefault="003C6E1F">
                            <w:pPr>
                              <w:rPr>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0410A" w:rsidRPr="000841E2">
                                  <w:rPr>
                                    <w:rFonts w:ascii="Times New Roman" w:hAnsi="Times New Roman" w:cs="Times New Roman"/>
                                    <w:color w:val="FFFFFF" w:themeColor="background1"/>
                                    <w:sz w:val="72"/>
                                    <w:szCs w:val="72"/>
                                  </w:rPr>
                                  <w:t>D</w:t>
                                </w:r>
                                <w:r w:rsidR="00535A8A">
                                  <w:rPr>
                                    <w:rFonts w:ascii="Times New Roman" w:hAnsi="Times New Roman" w:cs="Times New Roman"/>
                                    <w:color w:val="FFFFFF" w:themeColor="background1"/>
                                    <w:sz w:val="72"/>
                                    <w:szCs w:val="72"/>
                                  </w:rPr>
                                  <w:t>ISSERTATION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2F094D8" wp14:editId="228AEEB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F33E6" w14:textId="6B8C00EA" w:rsidR="003C6E1F" w:rsidRDefault="003C6E1F">
                                <w:pPr>
                                  <w:pStyle w:val="NoSpacing"/>
                                  <w:rPr>
                                    <w:color w:val="7F7F7F" w:themeColor="text1" w:themeTint="80"/>
                                    <w:sz w:val="18"/>
                                    <w:szCs w:val="18"/>
                                  </w:rPr>
                                </w:pPr>
                                <w:sdt>
                                  <w:sdtPr>
                                    <w:rPr>
                                      <w:rFonts w:ascii="Times New Roman" w:hAnsi="Times New Roman" w:cs="Times New Roman"/>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10410A" w:rsidRPr="002E49C2">
                                      <w:rPr>
                                        <w:rFonts w:ascii="Times New Roman" w:hAnsi="Times New Roman" w:cs="Times New Roman"/>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rFonts w:ascii="Times New Roman" w:hAnsi="Times New Roman" w:cs="Times New Roman"/>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10410A" w:rsidRPr="002E49C2">
                                      <w:rPr>
                                        <w:rFonts w:ascii="Times New Roman" w:hAnsi="Times New Roman" w:cs="Times New Roman"/>
                                        <w:color w:val="7F7F7F" w:themeColor="text1" w:themeTint="80"/>
                                        <w:sz w:val="18"/>
                                        <w:szCs w:val="18"/>
                                      </w:rPr>
                                      <w:t>Birmingham</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2F094D8"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44F33E6" w14:textId="6B8C00EA" w:rsidR="003C6E1F" w:rsidRDefault="003C6E1F">
                          <w:pPr>
                            <w:pStyle w:val="NoSpacing"/>
                            <w:rPr>
                              <w:color w:val="7F7F7F" w:themeColor="text1" w:themeTint="80"/>
                              <w:sz w:val="18"/>
                              <w:szCs w:val="18"/>
                            </w:rPr>
                          </w:pPr>
                          <w:sdt>
                            <w:sdtPr>
                              <w:rPr>
                                <w:rFonts w:ascii="Times New Roman" w:hAnsi="Times New Roman" w:cs="Times New Roman"/>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10410A" w:rsidRPr="002E49C2">
                                <w:rPr>
                                  <w:rFonts w:ascii="Times New Roman" w:hAnsi="Times New Roman" w:cs="Times New Roman"/>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rFonts w:ascii="Times New Roman" w:hAnsi="Times New Roman" w:cs="Times New Roman"/>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10410A" w:rsidRPr="002E49C2">
                                <w:rPr>
                                  <w:rFonts w:ascii="Times New Roman" w:hAnsi="Times New Roman" w:cs="Times New Roman"/>
                                  <w:color w:val="7F7F7F" w:themeColor="text1" w:themeTint="80"/>
                                  <w:sz w:val="18"/>
                                  <w:szCs w:val="18"/>
                                </w:rPr>
                                <w:t>Birmingham</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6F5EBC7" wp14:editId="2A9076E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AA99B1B" w14:textId="1BE4E454" w:rsidR="003C6E1F" w:rsidRDefault="000841E2">
                                    <w:pPr>
                                      <w:pStyle w:val="NoSpacing"/>
                                      <w:spacing w:before="40" w:after="40"/>
                                      <w:rPr>
                                        <w:caps/>
                                        <w:color w:val="156082" w:themeColor="accent1"/>
                                        <w:sz w:val="28"/>
                                        <w:szCs w:val="28"/>
                                      </w:rPr>
                                    </w:pPr>
                                    <w:r w:rsidRPr="000841E2">
                                      <w:rPr>
                                        <w:rFonts w:ascii="Times New Roman" w:eastAsia="Times New Roman" w:hAnsi="Times New Roman" w:cs="Times New Roman"/>
                                        <w:b/>
                                        <w:bCs/>
                                        <w:sz w:val="32"/>
                                        <w:szCs w:val="32"/>
                                      </w:rPr>
                                      <w:t>A</w:t>
                                    </w:r>
                                    <w:r w:rsidR="003C29DA">
                                      <w:rPr>
                                        <w:rFonts w:ascii="Times New Roman" w:eastAsia="Times New Roman" w:hAnsi="Times New Roman" w:cs="Times New Roman"/>
                                        <w:b/>
                                        <w:bCs/>
                                        <w:sz w:val="32"/>
                                        <w:szCs w:val="32"/>
                                      </w:rPr>
                                      <w:t>N</w:t>
                                    </w:r>
                                    <w:r w:rsidRPr="000841E2">
                                      <w:rPr>
                                        <w:rFonts w:ascii="Times New Roman" w:eastAsia="Times New Roman" w:hAnsi="Times New Roman" w:cs="Times New Roman"/>
                                        <w:b/>
                                        <w:bCs/>
                                        <w:sz w:val="32"/>
                                        <w:szCs w:val="32"/>
                                      </w:rPr>
                                      <w:t xml:space="preserve"> E</w:t>
                                    </w:r>
                                    <w:r w:rsidR="003C29DA">
                                      <w:rPr>
                                        <w:rFonts w:ascii="Times New Roman" w:eastAsia="Times New Roman" w:hAnsi="Times New Roman" w:cs="Times New Roman"/>
                                        <w:b/>
                                        <w:bCs/>
                                        <w:sz w:val="32"/>
                                        <w:szCs w:val="32"/>
                                      </w:rPr>
                                      <w:t>VALUATION</w:t>
                                    </w:r>
                                    <w:r w:rsidRPr="000841E2">
                                      <w:rPr>
                                        <w:rFonts w:ascii="Times New Roman" w:eastAsia="Times New Roman" w:hAnsi="Times New Roman" w:cs="Times New Roman"/>
                                        <w:b/>
                                        <w:bCs/>
                                        <w:sz w:val="32"/>
                                        <w:szCs w:val="32"/>
                                      </w:rPr>
                                      <w:t xml:space="preserve"> </w:t>
                                    </w:r>
                                    <w:r w:rsidR="003C29DA">
                                      <w:rPr>
                                        <w:rFonts w:ascii="Times New Roman" w:eastAsia="Times New Roman" w:hAnsi="Times New Roman" w:cs="Times New Roman"/>
                                        <w:b/>
                                        <w:bCs/>
                                        <w:sz w:val="32"/>
                                        <w:szCs w:val="32"/>
                                      </w:rPr>
                                      <w:t>OF THE IMPACT</w:t>
                                    </w:r>
                                    <w:r w:rsidRPr="000841E2">
                                      <w:rPr>
                                        <w:rFonts w:ascii="Times New Roman" w:eastAsia="Times New Roman" w:hAnsi="Times New Roman" w:cs="Times New Roman"/>
                                        <w:b/>
                                        <w:bCs/>
                                        <w:sz w:val="32"/>
                                        <w:szCs w:val="32"/>
                                      </w:rPr>
                                      <w:t xml:space="preserve"> </w:t>
                                    </w:r>
                                    <w:r w:rsidR="00422F0F">
                                      <w:rPr>
                                        <w:rFonts w:ascii="Times New Roman" w:eastAsia="Times New Roman" w:hAnsi="Times New Roman" w:cs="Times New Roman"/>
                                        <w:b/>
                                        <w:bCs/>
                                        <w:sz w:val="32"/>
                                        <w:szCs w:val="32"/>
                                      </w:rPr>
                                      <w:t>OF FINANCIAL R</w:t>
                                    </w:r>
                                    <w:r w:rsidR="00535A8A">
                                      <w:rPr>
                                        <w:rFonts w:ascii="Times New Roman" w:eastAsia="Times New Roman" w:hAnsi="Times New Roman" w:cs="Times New Roman"/>
                                        <w:b/>
                                        <w:bCs/>
                                        <w:sz w:val="32"/>
                                        <w:szCs w:val="32"/>
                                      </w:rPr>
                                      <w:t>ATIOS ON SHARE PRICE</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7B05265" w14:textId="4202D43D" w:rsidR="003C6E1F" w:rsidRDefault="003C6E1F">
                                    <w:pPr>
                                      <w:pStyle w:val="NoSpacing"/>
                                      <w:spacing w:before="40" w:after="40"/>
                                      <w:rPr>
                                        <w:caps/>
                                        <w:color w:val="A02B93" w:themeColor="accent5"/>
                                        <w:sz w:val="24"/>
                                        <w:szCs w:val="24"/>
                                      </w:rPr>
                                    </w:pPr>
                                    <w:r w:rsidRPr="000841E2">
                                      <w:rPr>
                                        <w:rFonts w:ascii="Times New Roman" w:hAnsi="Times New Roman" w:cs="Times New Roman"/>
                                        <w:caps/>
                                        <w:color w:val="A02B93" w:themeColor="accent5"/>
                                        <w:sz w:val="24"/>
                                        <w:szCs w:val="24"/>
                                      </w:rPr>
                                      <w:t>A</w:t>
                                    </w:r>
                                    <w:r w:rsidR="003C29DA">
                                      <w:rPr>
                                        <w:rFonts w:ascii="Times New Roman" w:hAnsi="Times New Roman" w:cs="Times New Roman"/>
                                        <w:caps/>
                                        <w:color w:val="A02B93" w:themeColor="accent5"/>
                                        <w:sz w:val="24"/>
                                        <w:szCs w:val="24"/>
                                      </w:rPr>
                                      <w:t>ndzhela</w:t>
                                    </w:r>
                                    <w:r w:rsidRPr="000841E2">
                                      <w:rPr>
                                        <w:rFonts w:ascii="Times New Roman" w:hAnsi="Times New Roman" w:cs="Times New Roman"/>
                                        <w:caps/>
                                        <w:color w:val="A02B93" w:themeColor="accent5"/>
                                        <w:sz w:val="24"/>
                                        <w:szCs w:val="24"/>
                                      </w:rPr>
                                      <w:t xml:space="preserve"> Toneva (2217837)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6F5EBC7"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rFonts w:ascii="Times New Roman" w:eastAsia="Times New Roman" w:hAnsi="Times New Roman" w:cs="Times New Roman"/>
                              <w:b/>
                              <w:bCs/>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AA99B1B" w14:textId="1BE4E454" w:rsidR="003C6E1F" w:rsidRDefault="000841E2">
                              <w:pPr>
                                <w:pStyle w:val="NoSpacing"/>
                                <w:spacing w:before="40" w:after="40"/>
                                <w:rPr>
                                  <w:caps/>
                                  <w:color w:val="156082" w:themeColor="accent1"/>
                                  <w:sz w:val="28"/>
                                  <w:szCs w:val="28"/>
                                </w:rPr>
                              </w:pPr>
                              <w:r w:rsidRPr="000841E2">
                                <w:rPr>
                                  <w:rFonts w:ascii="Times New Roman" w:eastAsia="Times New Roman" w:hAnsi="Times New Roman" w:cs="Times New Roman"/>
                                  <w:b/>
                                  <w:bCs/>
                                  <w:sz w:val="32"/>
                                  <w:szCs w:val="32"/>
                                </w:rPr>
                                <w:t>A</w:t>
                              </w:r>
                              <w:r w:rsidR="003C29DA">
                                <w:rPr>
                                  <w:rFonts w:ascii="Times New Roman" w:eastAsia="Times New Roman" w:hAnsi="Times New Roman" w:cs="Times New Roman"/>
                                  <w:b/>
                                  <w:bCs/>
                                  <w:sz w:val="32"/>
                                  <w:szCs w:val="32"/>
                                </w:rPr>
                                <w:t>N</w:t>
                              </w:r>
                              <w:r w:rsidRPr="000841E2">
                                <w:rPr>
                                  <w:rFonts w:ascii="Times New Roman" w:eastAsia="Times New Roman" w:hAnsi="Times New Roman" w:cs="Times New Roman"/>
                                  <w:b/>
                                  <w:bCs/>
                                  <w:sz w:val="32"/>
                                  <w:szCs w:val="32"/>
                                </w:rPr>
                                <w:t xml:space="preserve"> E</w:t>
                              </w:r>
                              <w:r w:rsidR="003C29DA">
                                <w:rPr>
                                  <w:rFonts w:ascii="Times New Roman" w:eastAsia="Times New Roman" w:hAnsi="Times New Roman" w:cs="Times New Roman"/>
                                  <w:b/>
                                  <w:bCs/>
                                  <w:sz w:val="32"/>
                                  <w:szCs w:val="32"/>
                                </w:rPr>
                                <w:t>VALUATION</w:t>
                              </w:r>
                              <w:r w:rsidRPr="000841E2">
                                <w:rPr>
                                  <w:rFonts w:ascii="Times New Roman" w:eastAsia="Times New Roman" w:hAnsi="Times New Roman" w:cs="Times New Roman"/>
                                  <w:b/>
                                  <w:bCs/>
                                  <w:sz w:val="32"/>
                                  <w:szCs w:val="32"/>
                                </w:rPr>
                                <w:t xml:space="preserve"> </w:t>
                              </w:r>
                              <w:r w:rsidR="003C29DA">
                                <w:rPr>
                                  <w:rFonts w:ascii="Times New Roman" w:eastAsia="Times New Roman" w:hAnsi="Times New Roman" w:cs="Times New Roman"/>
                                  <w:b/>
                                  <w:bCs/>
                                  <w:sz w:val="32"/>
                                  <w:szCs w:val="32"/>
                                </w:rPr>
                                <w:t>OF THE IMPACT</w:t>
                              </w:r>
                              <w:r w:rsidRPr="000841E2">
                                <w:rPr>
                                  <w:rFonts w:ascii="Times New Roman" w:eastAsia="Times New Roman" w:hAnsi="Times New Roman" w:cs="Times New Roman"/>
                                  <w:b/>
                                  <w:bCs/>
                                  <w:sz w:val="32"/>
                                  <w:szCs w:val="32"/>
                                </w:rPr>
                                <w:t xml:space="preserve"> </w:t>
                              </w:r>
                              <w:r w:rsidR="00422F0F">
                                <w:rPr>
                                  <w:rFonts w:ascii="Times New Roman" w:eastAsia="Times New Roman" w:hAnsi="Times New Roman" w:cs="Times New Roman"/>
                                  <w:b/>
                                  <w:bCs/>
                                  <w:sz w:val="32"/>
                                  <w:szCs w:val="32"/>
                                </w:rPr>
                                <w:t>OF FINANCIAL R</w:t>
                              </w:r>
                              <w:r w:rsidR="00535A8A">
                                <w:rPr>
                                  <w:rFonts w:ascii="Times New Roman" w:eastAsia="Times New Roman" w:hAnsi="Times New Roman" w:cs="Times New Roman"/>
                                  <w:b/>
                                  <w:bCs/>
                                  <w:sz w:val="32"/>
                                  <w:szCs w:val="32"/>
                                </w:rPr>
                                <w:t>ATIOS ON SHARE PRICE</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7B05265" w14:textId="4202D43D" w:rsidR="003C6E1F" w:rsidRDefault="003C6E1F">
                              <w:pPr>
                                <w:pStyle w:val="NoSpacing"/>
                                <w:spacing w:before="40" w:after="40"/>
                                <w:rPr>
                                  <w:caps/>
                                  <w:color w:val="A02B93" w:themeColor="accent5"/>
                                  <w:sz w:val="24"/>
                                  <w:szCs w:val="24"/>
                                </w:rPr>
                              </w:pPr>
                              <w:r w:rsidRPr="000841E2">
                                <w:rPr>
                                  <w:rFonts w:ascii="Times New Roman" w:hAnsi="Times New Roman" w:cs="Times New Roman"/>
                                  <w:caps/>
                                  <w:color w:val="A02B93" w:themeColor="accent5"/>
                                  <w:sz w:val="24"/>
                                  <w:szCs w:val="24"/>
                                </w:rPr>
                                <w:t>A</w:t>
                              </w:r>
                              <w:r w:rsidR="003C29DA">
                                <w:rPr>
                                  <w:rFonts w:ascii="Times New Roman" w:hAnsi="Times New Roman" w:cs="Times New Roman"/>
                                  <w:caps/>
                                  <w:color w:val="A02B93" w:themeColor="accent5"/>
                                  <w:sz w:val="24"/>
                                  <w:szCs w:val="24"/>
                                </w:rPr>
                                <w:t>ndzhela</w:t>
                              </w:r>
                              <w:r w:rsidRPr="000841E2">
                                <w:rPr>
                                  <w:rFonts w:ascii="Times New Roman" w:hAnsi="Times New Roman" w:cs="Times New Roman"/>
                                  <w:caps/>
                                  <w:color w:val="A02B93" w:themeColor="accent5"/>
                                  <w:sz w:val="24"/>
                                  <w:szCs w:val="24"/>
                                </w:rPr>
                                <w:t xml:space="preserve"> Toneva (2217837)</w:t>
                              </w:r>
                            </w:p>
                          </w:sdtContent>
                        </w:sdt>
                      </w:txbxContent>
                    </v:textbox>
                    <w10:wrap type="square" anchorx="page" anchory="page"/>
                  </v:shape>
                </w:pict>
              </mc:Fallback>
            </mc:AlternateContent>
          </w:r>
          <w:r>
            <w:br w:type="page"/>
          </w:r>
        </w:p>
      </w:sdtContent>
    </w:sdt>
    <w:sdt>
      <w:sdtPr>
        <w:id w:val="31453427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1A3B633" w14:textId="033452F8" w:rsidR="0010410A" w:rsidRDefault="0010410A">
          <w:pPr>
            <w:pStyle w:val="TOCHeading"/>
          </w:pPr>
          <w:r>
            <w:t>Contents</w:t>
          </w:r>
        </w:p>
        <w:p w14:paraId="0B945108" w14:textId="4EDF4FC9" w:rsidR="0010410A" w:rsidRPr="0010410A" w:rsidRDefault="0010410A">
          <w:pPr>
            <w:pStyle w:val="TOC1"/>
            <w:tabs>
              <w:tab w:val="right" w:leader="dot" w:pos="9016"/>
            </w:tabs>
            <w:rPr>
              <w:rFonts w:ascii="Arial" w:hAnsi="Arial" w:cs="Arial"/>
              <w:noProof/>
              <w:sz w:val="22"/>
              <w:szCs w:val="22"/>
            </w:rPr>
          </w:pPr>
          <w:r w:rsidRPr="0010410A">
            <w:rPr>
              <w:rFonts w:ascii="Arial" w:hAnsi="Arial" w:cs="Arial"/>
              <w:sz w:val="22"/>
              <w:szCs w:val="22"/>
            </w:rPr>
            <w:fldChar w:fldCharType="begin"/>
          </w:r>
          <w:r w:rsidRPr="0010410A">
            <w:rPr>
              <w:rFonts w:ascii="Arial" w:hAnsi="Arial" w:cs="Arial"/>
              <w:sz w:val="22"/>
              <w:szCs w:val="22"/>
            </w:rPr>
            <w:instrText xml:space="preserve"> TOC \o "1-3" \h \z \u </w:instrText>
          </w:r>
          <w:r w:rsidRPr="0010410A">
            <w:rPr>
              <w:rFonts w:ascii="Arial" w:hAnsi="Arial" w:cs="Arial"/>
              <w:sz w:val="22"/>
              <w:szCs w:val="22"/>
            </w:rPr>
            <w:fldChar w:fldCharType="separate"/>
          </w:r>
          <w:hyperlink w:anchor="_Toc214027602" w:history="1">
            <w:r w:rsidRPr="0010410A">
              <w:rPr>
                <w:rStyle w:val="Hyperlink"/>
                <w:rFonts w:ascii="Arial" w:eastAsia="Times New Roman" w:hAnsi="Arial" w:cs="Arial"/>
                <w:b/>
                <w:bCs/>
                <w:noProof/>
                <w:sz w:val="22"/>
                <w:szCs w:val="22"/>
              </w:rPr>
              <w:t>Abstract</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w:t>
            </w:r>
            <w:r w:rsidRPr="0010410A">
              <w:rPr>
                <w:rFonts w:ascii="Arial" w:hAnsi="Arial" w:cs="Arial"/>
                <w:noProof/>
                <w:webHidden/>
                <w:sz w:val="22"/>
                <w:szCs w:val="22"/>
              </w:rPr>
              <w:fldChar w:fldCharType="end"/>
            </w:r>
          </w:hyperlink>
        </w:p>
        <w:p w14:paraId="53F560A5" w14:textId="14D7B8E4" w:rsidR="0010410A" w:rsidRPr="0010410A" w:rsidRDefault="0010410A">
          <w:pPr>
            <w:pStyle w:val="TOC1"/>
            <w:tabs>
              <w:tab w:val="right" w:leader="dot" w:pos="9016"/>
            </w:tabs>
            <w:rPr>
              <w:rFonts w:ascii="Arial" w:hAnsi="Arial" w:cs="Arial"/>
              <w:noProof/>
              <w:sz w:val="22"/>
              <w:szCs w:val="22"/>
            </w:rPr>
          </w:pPr>
          <w:hyperlink w:anchor="_Toc214027603" w:history="1">
            <w:r w:rsidRPr="0010410A">
              <w:rPr>
                <w:rStyle w:val="Hyperlink"/>
                <w:rFonts w:ascii="Arial" w:eastAsia="Times New Roman" w:hAnsi="Arial" w:cs="Arial"/>
                <w:b/>
                <w:bCs/>
                <w:noProof/>
                <w:sz w:val="22"/>
                <w:szCs w:val="22"/>
              </w:rPr>
              <w:t>Acknowledgement</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_Toc214027603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w:t>
            </w:r>
            <w:r w:rsidRPr="0010410A">
              <w:rPr>
                <w:rFonts w:ascii="Arial" w:hAnsi="Arial" w:cs="Arial"/>
                <w:noProof/>
                <w:webHidden/>
                <w:sz w:val="22"/>
                <w:szCs w:val="22"/>
              </w:rPr>
              <w:fldChar w:fldCharType="end"/>
            </w:r>
          </w:hyperlink>
        </w:p>
        <w:p w14:paraId="07897163" w14:textId="5B4CFD59" w:rsidR="0010410A" w:rsidRPr="0010410A" w:rsidRDefault="0010410A">
          <w:pPr>
            <w:pStyle w:val="TOC1"/>
            <w:tabs>
              <w:tab w:val="right" w:leader="dot" w:pos="9016"/>
            </w:tabs>
            <w:rPr>
              <w:rFonts w:ascii="Arial" w:hAnsi="Arial" w:cs="Arial"/>
              <w:noProof/>
              <w:sz w:val="22"/>
              <w:szCs w:val="22"/>
            </w:rPr>
          </w:pPr>
          <w:hyperlink w:anchor="_Toc214027604" w:history="1">
            <w:r w:rsidRPr="0010410A">
              <w:rPr>
                <w:rStyle w:val="Hyperlink"/>
                <w:rFonts w:ascii="Arial" w:eastAsia="Times New Roman" w:hAnsi="Arial" w:cs="Arial"/>
                <w:b/>
                <w:bCs/>
                <w:noProof/>
                <w:sz w:val="22"/>
                <w:szCs w:val="22"/>
              </w:rPr>
              <w:t>List of Tables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_Toc214027604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4</w:t>
            </w:r>
            <w:r w:rsidRPr="0010410A">
              <w:rPr>
                <w:rFonts w:ascii="Arial" w:hAnsi="Arial" w:cs="Arial"/>
                <w:noProof/>
                <w:webHidden/>
                <w:sz w:val="22"/>
                <w:szCs w:val="22"/>
              </w:rPr>
              <w:fldChar w:fldCharType="end"/>
            </w:r>
          </w:hyperlink>
        </w:p>
        <w:p w14:paraId="3ECF9578" w14:textId="2117B178" w:rsidR="0010410A" w:rsidRPr="0010410A" w:rsidRDefault="0010410A">
          <w:pPr>
            <w:pStyle w:val="TOC1"/>
            <w:tabs>
              <w:tab w:val="right" w:leader="dot" w:pos="9016"/>
            </w:tabs>
            <w:rPr>
              <w:rFonts w:ascii="Arial" w:hAnsi="Arial" w:cs="Arial"/>
              <w:noProof/>
              <w:sz w:val="22"/>
              <w:szCs w:val="22"/>
            </w:rPr>
          </w:pPr>
          <w:hyperlink w:anchor="_Toc214027605" w:history="1">
            <w:r w:rsidRPr="0010410A">
              <w:rPr>
                <w:rStyle w:val="Hyperlink"/>
                <w:rFonts w:ascii="Arial" w:eastAsia="Times New Roman" w:hAnsi="Arial" w:cs="Arial"/>
                <w:b/>
                <w:bCs/>
                <w:noProof/>
                <w:sz w:val="22"/>
                <w:szCs w:val="22"/>
              </w:rPr>
              <w:t>Chapter 1: Introduction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_Toc214027605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5</w:t>
            </w:r>
            <w:r w:rsidRPr="0010410A">
              <w:rPr>
                <w:rFonts w:ascii="Arial" w:hAnsi="Arial" w:cs="Arial"/>
                <w:noProof/>
                <w:webHidden/>
                <w:sz w:val="22"/>
                <w:szCs w:val="22"/>
              </w:rPr>
              <w:fldChar w:fldCharType="end"/>
            </w:r>
          </w:hyperlink>
        </w:p>
        <w:p w14:paraId="3CA5E068" w14:textId="0BA40E25" w:rsidR="0010410A" w:rsidRPr="0010410A" w:rsidRDefault="0010410A">
          <w:pPr>
            <w:pStyle w:val="TOC1"/>
            <w:tabs>
              <w:tab w:val="right" w:leader="dot" w:pos="9016"/>
            </w:tabs>
            <w:rPr>
              <w:rFonts w:ascii="Arial" w:hAnsi="Arial" w:cs="Arial"/>
              <w:noProof/>
              <w:sz w:val="22"/>
              <w:szCs w:val="22"/>
            </w:rPr>
          </w:pPr>
          <w:hyperlink w:anchor="_Toc214027606" w:history="1">
            <w:r w:rsidRPr="0010410A">
              <w:rPr>
                <w:rStyle w:val="Hyperlink"/>
                <w:rFonts w:ascii="Arial" w:eastAsia="Times New Roman" w:hAnsi="Arial" w:cs="Arial"/>
                <w:b/>
                <w:bCs/>
                <w:noProof/>
                <w:sz w:val="22"/>
                <w:szCs w:val="22"/>
              </w:rPr>
              <w:t>1.1 Background of the Study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_Toc214027606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5</w:t>
            </w:r>
            <w:r w:rsidRPr="0010410A">
              <w:rPr>
                <w:rFonts w:ascii="Arial" w:hAnsi="Arial" w:cs="Arial"/>
                <w:noProof/>
                <w:webHidden/>
                <w:sz w:val="22"/>
                <w:szCs w:val="22"/>
              </w:rPr>
              <w:fldChar w:fldCharType="end"/>
            </w:r>
          </w:hyperlink>
        </w:p>
        <w:p w14:paraId="429EB805" w14:textId="5BB63B32" w:rsidR="0010410A" w:rsidRPr="0010410A" w:rsidRDefault="0010410A">
          <w:pPr>
            <w:pStyle w:val="TOC1"/>
            <w:tabs>
              <w:tab w:val="right" w:leader="dot" w:pos="9016"/>
            </w:tabs>
            <w:rPr>
              <w:rFonts w:ascii="Arial" w:hAnsi="Arial" w:cs="Arial"/>
              <w:noProof/>
              <w:sz w:val="22"/>
              <w:szCs w:val="22"/>
            </w:rPr>
          </w:pPr>
          <w:hyperlink w:anchor="_Toc214027607" w:history="1">
            <w:r w:rsidRPr="0010410A">
              <w:rPr>
                <w:rStyle w:val="Hyperlink"/>
                <w:rFonts w:ascii="Arial" w:eastAsia="Times New Roman" w:hAnsi="Arial" w:cs="Arial"/>
                <w:b/>
                <w:bCs/>
                <w:noProof/>
                <w:sz w:val="22"/>
                <w:szCs w:val="22"/>
              </w:rPr>
              <w:t>1.2 Statement of the Problem</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_Toc214027607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6</w:t>
            </w:r>
            <w:r w:rsidRPr="0010410A">
              <w:rPr>
                <w:rFonts w:ascii="Arial" w:hAnsi="Arial" w:cs="Arial"/>
                <w:noProof/>
                <w:webHidden/>
                <w:sz w:val="22"/>
                <w:szCs w:val="22"/>
              </w:rPr>
              <w:fldChar w:fldCharType="end"/>
            </w:r>
          </w:hyperlink>
        </w:p>
        <w:p w14:paraId="5E06612B" w14:textId="0815B82D" w:rsidR="0010410A" w:rsidRPr="0010410A" w:rsidRDefault="0010410A">
          <w:pPr>
            <w:pStyle w:val="TOC1"/>
            <w:tabs>
              <w:tab w:val="right" w:leader="dot" w:pos="9016"/>
            </w:tabs>
            <w:rPr>
              <w:rFonts w:ascii="Arial" w:hAnsi="Arial" w:cs="Arial"/>
              <w:noProof/>
              <w:sz w:val="22"/>
              <w:szCs w:val="22"/>
            </w:rPr>
          </w:pPr>
          <w:hyperlink w:anchor="_Toc214027608" w:history="1">
            <w:r w:rsidRPr="0010410A">
              <w:rPr>
                <w:rStyle w:val="Hyperlink"/>
                <w:rFonts w:ascii="Arial" w:eastAsia="Times New Roman" w:hAnsi="Arial" w:cs="Arial"/>
                <w:b/>
                <w:bCs/>
                <w:noProof/>
                <w:sz w:val="22"/>
                <w:szCs w:val="22"/>
              </w:rPr>
              <w:t>1.3 Research Aim, Objectives and Questions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_Toc214027608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6</w:t>
            </w:r>
            <w:r w:rsidRPr="0010410A">
              <w:rPr>
                <w:rFonts w:ascii="Arial" w:hAnsi="Arial" w:cs="Arial"/>
                <w:noProof/>
                <w:webHidden/>
                <w:sz w:val="22"/>
                <w:szCs w:val="22"/>
              </w:rPr>
              <w:fldChar w:fldCharType="end"/>
            </w:r>
          </w:hyperlink>
        </w:p>
        <w:p w14:paraId="35CAA828" w14:textId="7DB9F764" w:rsidR="0010410A" w:rsidRPr="0010410A" w:rsidRDefault="0010410A">
          <w:pPr>
            <w:pStyle w:val="TOC1"/>
            <w:tabs>
              <w:tab w:val="right" w:leader="dot" w:pos="9016"/>
            </w:tabs>
            <w:rPr>
              <w:rFonts w:ascii="Arial" w:hAnsi="Arial" w:cs="Arial"/>
              <w:noProof/>
              <w:sz w:val="22"/>
              <w:szCs w:val="22"/>
            </w:rPr>
          </w:pPr>
          <w:hyperlink w:anchor="_Toc214027609" w:history="1">
            <w:r w:rsidRPr="0010410A">
              <w:rPr>
                <w:rStyle w:val="Hyperlink"/>
                <w:rFonts w:ascii="Arial" w:eastAsia="Times New Roman" w:hAnsi="Arial" w:cs="Arial"/>
                <w:b/>
                <w:bCs/>
                <w:noProof/>
                <w:sz w:val="22"/>
                <w:szCs w:val="22"/>
              </w:rPr>
              <w:t>1.4 Structure of the Dissertation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_Toc214027609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7</w:t>
            </w:r>
            <w:r w:rsidRPr="0010410A">
              <w:rPr>
                <w:rFonts w:ascii="Arial" w:hAnsi="Arial" w:cs="Arial"/>
                <w:noProof/>
                <w:webHidden/>
                <w:sz w:val="22"/>
                <w:szCs w:val="22"/>
              </w:rPr>
              <w:fldChar w:fldCharType="end"/>
            </w:r>
          </w:hyperlink>
        </w:p>
        <w:p w14:paraId="3AA1D1D6" w14:textId="6562818D" w:rsidR="0010410A" w:rsidRPr="0010410A" w:rsidRDefault="0010410A">
          <w:pPr>
            <w:pStyle w:val="TOC1"/>
            <w:tabs>
              <w:tab w:val="right" w:leader="dot" w:pos="9016"/>
            </w:tabs>
            <w:rPr>
              <w:rFonts w:ascii="Arial" w:hAnsi="Arial" w:cs="Arial"/>
              <w:noProof/>
              <w:sz w:val="22"/>
              <w:szCs w:val="22"/>
            </w:rPr>
          </w:pPr>
          <w:hyperlink w:anchor="_Toc214027610" w:history="1">
            <w:r w:rsidRPr="0010410A">
              <w:rPr>
                <w:rStyle w:val="Hyperlink"/>
                <w:rFonts w:ascii="Arial" w:eastAsia="Times New Roman" w:hAnsi="Arial" w:cs="Arial"/>
                <w:b/>
                <w:bCs/>
                <w:noProof/>
                <w:sz w:val="22"/>
                <w:szCs w:val="22"/>
              </w:rPr>
              <w:t>Chapter 2: Literature Review</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_Toc214027610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7</w:t>
            </w:r>
            <w:r w:rsidRPr="0010410A">
              <w:rPr>
                <w:rFonts w:ascii="Arial" w:hAnsi="Arial" w:cs="Arial"/>
                <w:noProof/>
                <w:webHidden/>
                <w:sz w:val="22"/>
                <w:szCs w:val="22"/>
              </w:rPr>
              <w:fldChar w:fldCharType="end"/>
            </w:r>
          </w:hyperlink>
        </w:p>
        <w:p w14:paraId="6CFBC745" w14:textId="15DE7CBC" w:rsidR="0010410A" w:rsidRPr="0010410A" w:rsidRDefault="0010410A">
          <w:pPr>
            <w:pStyle w:val="TOC1"/>
            <w:tabs>
              <w:tab w:val="right" w:leader="dot" w:pos="9016"/>
            </w:tabs>
            <w:rPr>
              <w:rFonts w:ascii="Arial" w:hAnsi="Arial" w:cs="Arial"/>
              <w:noProof/>
              <w:sz w:val="22"/>
              <w:szCs w:val="22"/>
            </w:rPr>
          </w:pPr>
          <w:hyperlink w:anchor="_Toc214027611" w:history="1">
            <w:r w:rsidRPr="0010410A">
              <w:rPr>
                <w:rStyle w:val="Hyperlink"/>
                <w:rFonts w:ascii="Arial" w:eastAsia="Times New Roman" w:hAnsi="Arial" w:cs="Arial"/>
                <w:b/>
                <w:bCs/>
                <w:noProof/>
                <w:sz w:val="22"/>
                <w:szCs w:val="22"/>
              </w:rPr>
              <w:t>2.1 Introduction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_Toc214027611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7</w:t>
            </w:r>
            <w:r w:rsidRPr="0010410A">
              <w:rPr>
                <w:rFonts w:ascii="Arial" w:hAnsi="Arial" w:cs="Arial"/>
                <w:noProof/>
                <w:webHidden/>
                <w:sz w:val="22"/>
                <w:szCs w:val="22"/>
              </w:rPr>
              <w:fldChar w:fldCharType="end"/>
            </w:r>
          </w:hyperlink>
        </w:p>
        <w:p w14:paraId="12189BAE" w14:textId="7DB7614F" w:rsidR="0010410A" w:rsidRPr="0010410A" w:rsidRDefault="0010410A">
          <w:pPr>
            <w:pStyle w:val="TOC1"/>
            <w:tabs>
              <w:tab w:val="right" w:leader="dot" w:pos="9016"/>
            </w:tabs>
            <w:rPr>
              <w:rFonts w:ascii="Arial" w:hAnsi="Arial" w:cs="Arial"/>
              <w:noProof/>
              <w:sz w:val="22"/>
              <w:szCs w:val="22"/>
            </w:rPr>
          </w:pPr>
          <w:hyperlink w:anchor="_Toc214027612" w:history="1">
            <w:r w:rsidRPr="0010410A">
              <w:rPr>
                <w:rStyle w:val="Hyperlink"/>
                <w:rFonts w:ascii="Arial" w:eastAsia="Times New Roman" w:hAnsi="Arial" w:cs="Arial"/>
                <w:b/>
                <w:bCs/>
                <w:noProof/>
                <w:sz w:val="22"/>
                <w:szCs w:val="22"/>
              </w:rPr>
              <w:t>2.2 Theoretical Framework</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8</w:t>
            </w:r>
            <w:r w:rsidRPr="0010410A">
              <w:rPr>
                <w:rFonts w:ascii="Arial" w:hAnsi="Arial" w:cs="Arial"/>
                <w:noProof/>
                <w:webHidden/>
                <w:sz w:val="22"/>
                <w:szCs w:val="22"/>
              </w:rPr>
              <w:fldChar w:fldCharType="end"/>
            </w:r>
          </w:hyperlink>
        </w:p>
        <w:p w14:paraId="55190E31" w14:textId="1B6BA141" w:rsidR="0010410A" w:rsidRPr="0010410A" w:rsidRDefault="0010410A">
          <w:pPr>
            <w:pStyle w:val="TOC2"/>
            <w:tabs>
              <w:tab w:val="right" w:leader="dot" w:pos="9016"/>
            </w:tabs>
            <w:rPr>
              <w:rFonts w:ascii="Arial" w:hAnsi="Arial" w:cs="Arial"/>
              <w:noProof/>
              <w:sz w:val="22"/>
              <w:szCs w:val="22"/>
            </w:rPr>
          </w:pPr>
          <w:hyperlink w:anchor="_Toc214027613" w:history="1">
            <w:r w:rsidRPr="0010410A">
              <w:rPr>
                <w:rStyle w:val="Hyperlink"/>
                <w:rFonts w:ascii="Arial" w:eastAsia="Times New Roman" w:hAnsi="Arial" w:cs="Arial"/>
                <w:b/>
                <w:bCs/>
                <w:noProof/>
                <w:sz w:val="22"/>
                <w:szCs w:val="22"/>
              </w:rPr>
              <w:t>2.2.1 Efficient Market Hypothesis (EMH)</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_Toc214027613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8</w:t>
            </w:r>
            <w:r w:rsidRPr="0010410A">
              <w:rPr>
                <w:rFonts w:ascii="Arial" w:hAnsi="Arial" w:cs="Arial"/>
                <w:noProof/>
                <w:webHidden/>
                <w:sz w:val="22"/>
                <w:szCs w:val="22"/>
              </w:rPr>
              <w:fldChar w:fldCharType="end"/>
            </w:r>
          </w:hyperlink>
        </w:p>
        <w:p w14:paraId="3D425F8B" w14:textId="64E2A870" w:rsidR="0010410A" w:rsidRPr="0010410A" w:rsidRDefault="0010410A">
          <w:pPr>
            <w:pStyle w:val="TOC2"/>
            <w:tabs>
              <w:tab w:val="right" w:leader="dot" w:pos="9016"/>
            </w:tabs>
            <w:rPr>
              <w:rFonts w:ascii="Arial" w:hAnsi="Arial" w:cs="Arial"/>
              <w:noProof/>
              <w:sz w:val="22"/>
              <w:szCs w:val="22"/>
            </w:rPr>
          </w:pPr>
          <w:hyperlink w:anchor="_Toc214027614" w:history="1">
            <w:r w:rsidRPr="0010410A">
              <w:rPr>
                <w:rStyle w:val="Hyperlink"/>
                <w:rFonts w:ascii="Arial" w:eastAsia="Times New Roman" w:hAnsi="Arial" w:cs="Arial"/>
                <w:b/>
                <w:bCs/>
                <w:noProof/>
                <w:sz w:val="22"/>
                <w:szCs w:val="22"/>
              </w:rPr>
              <w:t>2.2.2 Fundamental Analysis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_Toc214027614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8</w:t>
            </w:r>
            <w:r w:rsidRPr="0010410A">
              <w:rPr>
                <w:rFonts w:ascii="Arial" w:hAnsi="Arial" w:cs="Arial"/>
                <w:noProof/>
                <w:webHidden/>
                <w:sz w:val="22"/>
                <w:szCs w:val="22"/>
              </w:rPr>
              <w:fldChar w:fldCharType="end"/>
            </w:r>
          </w:hyperlink>
        </w:p>
        <w:p w14:paraId="365826FF" w14:textId="411C75A0" w:rsidR="0010410A" w:rsidRPr="0010410A" w:rsidRDefault="0010410A">
          <w:pPr>
            <w:pStyle w:val="TOC1"/>
            <w:tabs>
              <w:tab w:val="right" w:leader="dot" w:pos="9016"/>
            </w:tabs>
            <w:rPr>
              <w:rFonts w:ascii="Arial" w:hAnsi="Arial" w:cs="Arial"/>
              <w:noProof/>
              <w:sz w:val="22"/>
              <w:szCs w:val="22"/>
            </w:rPr>
          </w:pPr>
          <w:hyperlink w:anchor="_Toc214027615" w:history="1">
            <w:r w:rsidRPr="0010410A">
              <w:rPr>
                <w:rStyle w:val="Hyperlink"/>
                <w:rFonts w:ascii="Arial" w:eastAsia="Times New Roman" w:hAnsi="Arial" w:cs="Arial"/>
                <w:b/>
                <w:bCs/>
                <w:noProof/>
                <w:sz w:val="22"/>
                <w:szCs w:val="22"/>
              </w:rPr>
              <w:t>2.3 Major Financial Ratios and Their Usage</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_Toc214027615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9</w:t>
            </w:r>
            <w:r w:rsidRPr="0010410A">
              <w:rPr>
                <w:rFonts w:ascii="Arial" w:hAnsi="Arial" w:cs="Arial"/>
                <w:noProof/>
                <w:webHidden/>
                <w:sz w:val="22"/>
                <w:szCs w:val="22"/>
              </w:rPr>
              <w:fldChar w:fldCharType="end"/>
            </w:r>
          </w:hyperlink>
        </w:p>
        <w:p w14:paraId="6EDCD3C2" w14:textId="5C77CF92" w:rsidR="0010410A" w:rsidRPr="0010410A" w:rsidRDefault="0010410A">
          <w:pPr>
            <w:pStyle w:val="TOC2"/>
            <w:tabs>
              <w:tab w:val="right" w:leader="dot" w:pos="9016"/>
            </w:tabs>
            <w:rPr>
              <w:rFonts w:ascii="Arial" w:hAnsi="Arial" w:cs="Arial"/>
              <w:noProof/>
              <w:sz w:val="22"/>
              <w:szCs w:val="22"/>
            </w:rPr>
          </w:pPr>
          <w:hyperlink w:anchor="_Toc214027616" w:history="1">
            <w:r w:rsidRPr="0010410A">
              <w:rPr>
                <w:rStyle w:val="Hyperlink"/>
                <w:rFonts w:ascii="Arial" w:eastAsia="Times New Roman" w:hAnsi="Arial" w:cs="Arial"/>
                <w:b/>
                <w:bCs/>
                <w:noProof/>
                <w:sz w:val="22"/>
                <w:szCs w:val="22"/>
              </w:rPr>
              <w:t>2.3.1 Return on Assets (ROA)</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_Toc214027616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9</w:t>
            </w:r>
            <w:r w:rsidRPr="0010410A">
              <w:rPr>
                <w:rFonts w:ascii="Arial" w:hAnsi="Arial" w:cs="Arial"/>
                <w:noProof/>
                <w:webHidden/>
                <w:sz w:val="22"/>
                <w:szCs w:val="22"/>
              </w:rPr>
              <w:fldChar w:fldCharType="end"/>
            </w:r>
          </w:hyperlink>
        </w:p>
        <w:p w14:paraId="28B4B27D" w14:textId="220F6B94" w:rsidR="0010410A" w:rsidRPr="0010410A" w:rsidRDefault="0010410A">
          <w:pPr>
            <w:pStyle w:val="TOC2"/>
            <w:tabs>
              <w:tab w:val="right" w:leader="dot" w:pos="9016"/>
            </w:tabs>
            <w:rPr>
              <w:rFonts w:ascii="Arial" w:hAnsi="Arial" w:cs="Arial"/>
              <w:noProof/>
              <w:sz w:val="22"/>
              <w:szCs w:val="22"/>
            </w:rPr>
          </w:pPr>
          <w:hyperlink w:anchor="_Toc214027617" w:history="1">
            <w:r w:rsidRPr="0010410A">
              <w:rPr>
                <w:rStyle w:val="Hyperlink"/>
                <w:rFonts w:ascii="Arial" w:eastAsia="Times New Roman" w:hAnsi="Arial" w:cs="Arial"/>
                <w:b/>
                <w:bCs/>
                <w:noProof/>
                <w:sz w:val="22"/>
                <w:szCs w:val="22"/>
              </w:rPr>
              <w:t>2.3.2 Return on Liquidity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_Toc214027617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10</w:t>
            </w:r>
            <w:r w:rsidRPr="0010410A">
              <w:rPr>
                <w:rFonts w:ascii="Arial" w:hAnsi="Arial" w:cs="Arial"/>
                <w:noProof/>
                <w:webHidden/>
                <w:sz w:val="22"/>
                <w:szCs w:val="22"/>
              </w:rPr>
              <w:fldChar w:fldCharType="end"/>
            </w:r>
          </w:hyperlink>
        </w:p>
        <w:p w14:paraId="37302660" w14:textId="1BD13EB6" w:rsidR="0010410A" w:rsidRPr="0010410A" w:rsidRDefault="0010410A">
          <w:pPr>
            <w:pStyle w:val="TOC2"/>
            <w:tabs>
              <w:tab w:val="right" w:leader="dot" w:pos="9016"/>
            </w:tabs>
            <w:rPr>
              <w:rFonts w:ascii="Arial" w:hAnsi="Arial" w:cs="Arial"/>
              <w:noProof/>
              <w:sz w:val="22"/>
              <w:szCs w:val="22"/>
            </w:rPr>
          </w:pPr>
          <w:hyperlink w:anchor="_Toc214027618" w:history="1">
            <w:r w:rsidRPr="0010410A">
              <w:rPr>
                <w:rStyle w:val="Hyperlink"/>
                <w:rFonts w:ascii="Arial" w:eastAsia="Times New Roman" w:hAnsi="Arial" w:cs="Arial"/>
                <w:b/>
                <w:bCs/>
                <w:noProof/>
                <w:sz w:val="22"/>
                <w:szCs w:val="22"/>
              </w:rPr>
              <w:t>2.3.3 Net Profit Margin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_Toc214027618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11</w:t>
            </w:r>
            <w:r w:rsidRPr="0010410A">
              <w:rPr>
                <w:rFonts w:ascii="Arial" w:hAnsi="Arial" w:cs="Arial"/>
                <w:noProof/>
                <w:webHidden/>
                <w:sz w:val="22"/>
                <w:szCs w:val="22"/>
              </w:rPr>
              <w:fldChar w:fldCharType="end"/>
            </w:r>
          </w:hyperlink>
        </w:p>
        <w:p w14:paraId="4D3CF6DC" w14:textId="7E88DB0A" w:rsidR="0010410A" w:rsidRPr="0010410A" w:rsidRDefault="0010410A">
          <w:pPr>
            <w:pStyle w:val="TOC2"/>
            <w:tabs>
              <w:tab w:val="right" w:leader="dot" w:pos="9016"/>
            </w:tabs>
            <w:rPr>
              <w:rFonts w:ascii="Arial" w:hAnsi="Arial" w:cs="Arial"/>
              <w:noProof/>
              <w:sz w:val="22"/>
              <w:szCs w:val="22"/>
            </w:rPr>
          </w:pPr>
          <w:hyperlink w:anchor="_Toc214027619" w:history="1">
            <w:r w:rsidRPr="0010410A">
              <w:rPr>
                <w:rStyle w:val="Hyperlink"/>
                <w:rFonts w:ascii="Arial" w:eastAsia="Times New Roman" w:hAnsi="Arial" w:cs="Arial"/>
                <w:b/>
                <w:bCs/>
                <w:noProof/>
                <w:sz w:val="22"/>
                <w:szCs w:val="22"/>
              </w:rPr>
              <w:t>2.3.4 Dividend Yield</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_Toc214027619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11</w:t>
            </w:r>
            <w:r w:rsidRPr="0010410A">
              <w:rPr>
                <w:rFonts w:ascii="Arial" w:hAnsi="Arial" w:cs="Arial"/>
                <w:noProof/>
                <w:webHidden/>
                <w:sz w:val="22"/>
                <w:szCs w:val="22"/>
              </w:rPr>
              <w:fldChar w:fldCharType="end"/>
            </w:r>
          </w:hyperlink>
        </w:p>
        <w:p w14:paraId="36D7226D" w14:textId="5CB90D25" w:rsidR="0010410A" w:rsidRPr="0010410A" w:rsidRDefault="0010410A">
          <w:pPr>
            <w:pStyle w:val="TOC2"/>
            <w:tabs>
              <w:tab w:val="right" w:leader="dot" w:pos="9016"/>
            </w:tabs>
            <w:rPr>
              <w:rFonts w:ascii="Arial" w:hAnsi="Arial" w:cs="Arial"/>
              <w:noProof/>
              <w:sz w:val="22"/>
              <w:szCs w:val="22"/>
            </w:rPr>
          </w:pPr>
          <w:hyperlink w:anchor="_Toc214027620" w:history="1">
            <w:r w:rsidRPr="0010410A">
              <w:rPr>
                <w:rStyle w:val="Hyperlink"/>
                <w:rFonts w:ascii="Arial" w:eastAsia="Times New Roman" w:hAnsi="Arial" w:cs="Arial"/>
                <w:b/>
                <w:bCs/>
                <w:noProof/>
                <w:sz w:val="22"/>
                <w:szCs w:val="22"/>
              </w:rPr>
              <w:t>2.3.5 Price-to-Earnings (P/E) Ratio</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_Toc214027620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12</w:t>
            </w:r>
            <w:r w:rsidRPr="0010410A">
              <w:rPr>
                <w:rFonts w:ascii="Arial" w:hAnsi="Arial" w:cs="Arial"/>
                <w:noProof/>
                <w:webHidden/>
                <w:sz w:val="22"/>
                <w:szCs w:val="22"/>
              </w:rPr>
              <w:fldChar w:fldCharType="end"/>
            </w:r>
          </w:hyperlink>
        </w:p>
        <w:p w14:paraId="76507487" w14:textId="4D8580D9" w:rsidR="0010410A" w:rsidRPr="0010410A" w:rsidRDefault="0010410A">
          <w:pPr>
            <w:pStyle w:val="TOC2"/>
            <w:tabs>
              <w:tab w:val="right" w:leader="dot" w:pos="9016"/>
            </w:tabs>
            <w:rPr>
              <w:rFonts w:ascii="Arial" w:hAnsi="Arial" w:cs="Arial"/>
              <w:noProof/>
              <w:sz w:val="22"/>
              <w:szCs w:val="22"/>
            </w:rPr>
          </w:pPr>
          <w:hyperlink w:anchor="_Toc214027621" w:history="1">
            <w:r w:rsidRPr="0010410A">
              <w:rPr>
                <w:rStyle w:val="Hyperlink"/>
                <w:rFonts w:ascii="Arial" w:eastAsia="Times New Roman" w:hAnsi="Arial" w:cs="Arial"/>
                <w:b/>
                <w:bCs/>
                <w:noProof/>
                <w:sz w:val="22"/>
                <w:szCs w:val="22"/>
              </w:rPr>
              <w:t>2.3.6 Earnings Per Share (EPS)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_Toc214027621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12</w:t>
            </w:r>
            <w:r w:rsidRPr="0010410A">
              <w:rPr>
                <w:rFonts w:ascii="Arial" w:hAnsi="Arial" w:cs="Arial"/>
                <w:noProof/>
                <w:webHidden/>
                <w:sz w:val="22"/>
                <w:szCs w:val="22"/>
              </w:rPr>
              <w:fldChar w:fldCharType="end"/>
            </w:r>
          </w:hyperlink>
        </w:p>
        <w:p w14:paraId="07936372" w14:textId="2753F6B7" w:rsidR="0010410A" w:rsidRPr="0010410A" w:rsidRDefault="0010410A">
          <w:pPr>
            <w:pStyle w:val="TOC2"/>
            <w:tabs>
              <w:tab w:val="right" w:leader="dot" w:pos="9016"/>
            </w:tabs>
            <w:rPr>
              <w:rFonts w:ascii="Arial" w:hAnsi="Arial" w:cs="Arial"/>
              <w:noProof/>
              <w:sz w:val="22"/>
              <w:szCs w:val="22"/>
            </w:rPr>
          </w:pPr>
          <w:hyperlink w:anchor="_Toc214027622" w:history="1">
            <w:r w:rsidRPr="0010410A">
              <w:rPr>
                <w:rStyle w:val="Hyperlink"/>
                <w:rFonts w:ascii="Arial" w:eastAsia="Times New Roman" w:hAnsi="Arial" w:cs="Arial"/>
                <w:b/>
                <w:bCs/>
                <w:noProof/>
                <w:sz w:val="22"/>
                <w:szCs w:val="22"/>
              </w:rPr>
              <w:t>2.3.7 PEG Ratio (Price/Earnings to Growth)</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12</w:t>
            </w:r>
            <w:r w:rsidRPr="0010410A">
              <w:rPr>
                <w:rFonts w:ascii="Arial" w:hAnsi="Arial" w:cs="Arial"/>
                <w:noProof/>
                <w:webHidden/>
                <w:sz w:val="22"/>
                <w:szCs w:val="22"/>
              </w:rPr>
              <w:fldChar w:fldCharType="end"/>
            </w:r>
          </w:hyperlink>
        </w:p>
        <w:p w14:paraId="3C5ABE64" w14:textId="563382CD" w:rsidR="0010410A" w:rsidRPr="0010410A" w:rsidRDefault="0010410A">
          <w:pPr>
            <w:pStyle w:val="TOC1"/>
            <w:tabs>
              <w:tab w:val="right" w:leader="dot" w:pos="9016"/>
            </w:tabs>
            <w:rPr>
              <w:rFonts w:ascii="Arial" w:hAnsi="Arial" w:cs="Arial"/>
              <w:noProof/>
              <w:sz w:val="22"/>
              <w:szCs w:val="22"/>
            </w:rPr>
          </w:pPr>
          <w:hyperlink w:anchor="_Toc214027623" w:history="1">
            <w:r w:rsidRPr="0010410A">
              <w:rPr>
                <w:rStyle w:val="Hyperlink"/>
                <w:rFonts w:ascii="Arial" w:eastAsia="Times New Roman" w:hAnsi="Arial" w:cs="Arial"/>
                <w:b/>
                <w:bCs/>
                <w:noProof/>
                <w:sz w:val="22"/>
                <w:szCs w:val="22"/>
              </w:rPr>
              <w:t>2.4 Empirical Findings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_Toc214027623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13</w:t>
            </w:r>
            <w:r w:rsidRPr="0010410A">
              <w:rPr>
                <w:rFonts w:ascii="Arial" w:hAnsi="Arial" w:cs="Arial"/>
                <w:noProof/>
                <w:webHidden/>
                <w:sz w:val="22"/>
                <w:szCs w:val="22"/>
              </w:rPr>
              <w:fldChar w:fldCharType="end"/>
            </w:r>
          </w:hyperlink>
        </w:p>
        <w:p w14:paraId="0046E217" w14:textId="28AA20B5" w:rsidR="0010410A" w:rsidRPr="0010410A" w:rsidRDefault="0010410A">
          <w:pPr>
            <w:pStyle w:val="TOC2"/>
            <w:tabs>
              <w:tab w:val="right" w:leader="dot" w:pos="9016"/>
            </w:tabs>
            <w:rPr>
              <w:rFonts w:ascii="Arial" w:hAnsi="Arial" w:cs="Arial"/>
              <w:noProof/>
              <w:sz w:val="22"/>
              <w:szCs w:val="22"/>
            </w:rPr>
          </w:pPr>
          <w:hyperlink w:anchor="_Toc214027624" w:history="1">
            <w:r w:rsidRPr="0010410A">
              <w:rPr>
                <w:rStyle w:val="Hyperlink"/>
                <w:rFonts w:ascii="Arial" w:eastAsia="Times New Roman" w:hAnsi="Arial" w:cs="Arial"/>
                <w:b/>
                <w:bCs/>
                <w:noProof/>
                <w:sz w:val="22"/>
                <w:szCs w:val="22"/>
              </w:rPr>
              <w:t>2.4.1 Classic and International Evidence</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_Toc214027624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13</w:t>
            </w:r>
            <w:r w:rsidRPr="0010410A">
              <w:rPr>
                <w:rFonts w:ascii="Arial" w:hAnsi="Arial" w:cs="Arial"/>
                <w:noProof/>
                <w:webHidden/>
                <w:sz w:val="22"/>
                <w:szCs w:val="22"/>
              </w:rPr>
              <w:fldChar w:fldCharType="end"/>
            </w:r>
          </w:hyperlink>
        </w:p>
        <w:p w14:paraId="3A5C4514" w14:textId="49828B10" w:rsidR="0010410A" w:rsidRPr="0010410A" w:rsidRDefault="0010410A">
          <w:pPr>
            <w:pStyle w:val="TOC2"/>
            <w:tabs>
              <w:tab w:val="right" w:leader="dot" w:pos="9016"/>
            </w:tabs>
            <w:rPr>
              <w:rFonts w:ascii="Arial" w:hAnsi="Arial" w:cs="Arial"/>
              <w:noProof/>
              <w:sz w:val="22"/>
              <w:szCs w:val="22"/>
            </w:rPr>
          </w:pPr>
          <w:hyperlink w:anchor="_Toc214027625" w:history="1">
            <w:r w:rsidRPr="0010410A">
              <w:rPr>
                <w:rStyle w:val="Hyperlink"/>
                <w:rFonts w:ascii="Arial" w:eastAsia="Times New Roman" w:hAnsi="Arial" w:cs="Arial"/>
                <w:b/>
                <w:bCs/>
                <w:noProof/>
                <w:sz w:val="22"/>
                <w:szCs w:val="22"/>
              </w:rPr>
              <w:t>2.4.2 UK and Developed Market Studies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_Toc214027625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14</w:t>
            </w:r>
            <w:r w:rsidRPr="0010410A">
              <w:rPr>
                <w:rFonts w:ascii="Arial" w:hAnsi="Arial" w:cs="Arial"/>
                <w:noProof/>
                <w:webHidden/>
                <w:sz w:val="22"/>
                <w:szCs w:val="22"/>
              </w:rPr>
              <w:fldChar w:fldCharType="end"/>
            </w:r>
          </w:hyperlink>
        </w:p>
        <w:p w14:paraId="00D2D701" w14:textId="7EFFCBA8" w:rsidR="0010410A" w:rsidRPr="0010410A" w:rsidRDefault="0010410A">
          <w:pPr>
            <w:pStyle w:val="TOC2"/>
            <w:tabs>
              <w:tab w:val="right" w:leader="dot" w:pos="9016"/>
            </w:tabs>
            <w:rPr>
              <w:rFonts w:ascii="Arial" w:hAnsi="Arial" w:cs="Arial"/>
              <w:noProof/>
              <w:sz w:val="22"/>
              <w:szCs w:val="22"/>
            </w:rPr>
          </w:pPr>
          <w:hyperlink w:anchor="_Toc214027626" w:history="1">
            <w:r w:rsidRPr="0010410A">
              <w:rPr>
                <w:rStyle w:val="Hyperlink"/>
                <w:rFonts w:ascii="Arial" w:eastAsia="Times New Roman" w:hAnsi="Arial" w:cs="Arial"/>
                <w:b/>
                <w:bCs/>
                <w:noProof/>
                <w:sz w:val="22"/>
                <w:szCs w:val="22"/>
              </w:rPr>
              <w:t>2.4.3 Impact of COVID-19 and Market Shocks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_Toc214027626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15</w:t>
            </w:r>
            <w:r w:rsidRPr="0010410A">
              <w:rPr>
                <w:rFonts w:ascii="Arial" w:hAnsi="Arial" w:cs="Arial"/>
                <w:noProof/>
                <w:webHidden/>
                <w:sz w:val="22"/>
                <w:szCs w:val="22"/>
              </w:rPr>
              <w:fldChar w:fldCharType="end"/>
            </w:r>
          </w:hyperlink>
        </w:p>
        <w:p w14:paraId="338EEED9" w14:textId="27A52821" w:rsidR="0010410A" w:rsidRPr="0010410A" w:rsidRDefault="0010410A">
          <w:pPr>
            <w:pStyle w:val="TOC2"/>
            <w:tabs>
              <w:tab w:val="right" w:leader="dot" w:pos="9016"/>
            </w:tabs>
            <w:rPr>
              <w:rFonts w:ascii="Arial" w:hAnsi="Arial" w:cs="Arial"/>
              <w:noProof/>
              <w:sz w:val="22"/>
              <w:szCs w:val="22"/>
            </w:rPr>
          </w:pPr>
          <w:hyperlink w:anchor="_Toc214027627" w:history="1">
            <w:r w:rsidRPr="0010410A">
              <w:rPr>
                <w:rStyle w:val="Hyperlink"/>
                <w:rFonts w:ascii="Arial" w:eastAsia="Times New Roman" w:hAnsi="Arial" w:cs="Arial"/>
                <w:b/>
                <w:bCs/>
                <w:noProof/>
                <w:sz w:val="22"/>
                <w:szCs w:val="22"/>
              </w:rPr>
              <w:t>2.4.4 Patterns and Comparative Insights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_Toc214027627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15</w:t>
            </w:r>
            <w:r w:rsidRPr="0010410A">
              <w:rPr>
                <w:rFonts w:ascii="Arial" w:hAnsi="Arial" w:cs="Arial"/>
                <w:noProof/>
                <w:webHidden/>
                <w:sz w:val="22"/>
                <w:szCs w:val="22"/>
              </w:rPr>
              <w:fldChar w:fldCharType="end"/>
            </w:r>
          </w:hyperlink>
        </w:p>
        <w:p w14:paraId="0D6DB821" w14:textId="78D20206" w:rsidR="0010410A" w:rsidRPr="0010410A" w:rsidRDefault="0010410A">
          <w:pPr>
            <w:pStyle w:val="TOC1"/>
            <w:tabs>
              <w:tab w:val="right" w:leader="dot" w:pos="9016"/>
            </w:tabs>
            <w:rPr>
              <w:rFonts w:ascii="Arial" w:hAnsi="Arial" w:cs="Arial"/>
              <w:noProof/>
              <w:sz w:val="22"/>
              <w:szCs w:val="22"/>
            </w:rPr>
          </w:pPr>
          <w:hyperlink w:anchor="_Toc214027628" w:history="1">
            <w:r w:rsidRPr="0010410A">
              <w:rPr>
                <w:rStyle w:val="Hyperlink"/>
                <w:rFonts w:ascii="Arial" w:eastAsia="Times New Roman" w:hAnsi="Arial" w:cs="Arial"/>
                <w:b/>
                <w:bCs/>
                <w:noProof/>
                <w:sz w:val="22"/>
                <w:szCs w:val="22"/>
              </w:rPr>
              <w:t>2.5 Gaps in Literature</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_Toc214027628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16</w:t>
            </w:r>
            <w:r w:rsidRPr="0010410A">
              <w:rPr>
                <w:rFonts w:ascii="Arial" w:hAnsi="Arial" w:cs="Arial"/>
                <w:noProof/>
                <w:webHidden/>
                <w:sz w:val="22"/>
                <w:szCs w:val="22"/>
              </w:rPr>
              <w:fldChar w:fldCharType="end"/>
            </w:r>
          </w:hyperlink>
        </w:p>
        <w:p w14:paraId="453D78EE" w14:textId="66A975C3" w:rsidR="0010410A" w:rsidRPr="0010410A" w:rsidRDefault="0010410A">
          <w:pPr>
            <w:pStyle w:val="TOC1"/>
            <w:tabs>
              <w:tab w:val="right" w:leader="dot" w:pos="9016"/>
            </w:tabs>
            <w:rPr>
              <w:rFonts w:ascii="Arial" w:hAnsi="Arial" w:cs="Arial"/>
              <w:noProof/>
              <w:sz w:val="22"/>
              <w:szCs w:val="22"/>
            </w:rPr>
          </w:pPr>
          <w:hyperlink w:anchor="_Toc214027629" w:history="1">
            <w:r w:rsidRPr="0010410A">
              <w:rPr>
                <w:rStyle w:val="Hyperlink"/>
                <w:rFonts w:ascii="Arial" w:eastAsia="Times New Roman" w:hAnsi="Arial" w:cs="Arial"/>
                <w:b/>
                <w:bCs/>
                <w:noProof/>
                <w:sz w:val="22"/>
                <w:szCs w:val="22"/>
              </w:rPr>
              <w:t>2.6 Conceptual Framework</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_Toc214027629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16</w:t>
            </w:r>
            <w:r w:rsidRPr="0010410A">
              <w:rPr>
                <w:rFonts w:ascii="Arial" w:hAnsi="Arial" w:cs="Arial"/>
                <w:noProof/>
                <w:webHidden/>
                <w:sz w:val="22"/>
                <w:szCs w:val="22"/>
              </w:rPr>
              <w:fldChar w:fldCharType="end"/>
            </w:r>
          </w:hyperlink>
        </w:p>
        <w:p w14:paraId="625527BA" w14:textId="3BFECF90" w:rsidR="0010410A" w:rsidRPr="0010410A" w:rsidRDefault="0010410A">
          <w:pPr>
            <w:pStyle w:val="TOC1"/>
            <w:tabs>
              <w:tab w:val="right" w:leader="dot" w:pos="9016"/>
            </w:tabs>
            <w:rPr>
              <w:rFonts w:ascii="Arial" w:hAnsi="Arial" w:cs="Arial"/>
              <w:noProof/>
              <w:sz w:val="22"/>
              <w:szCs w:val="22"/>
            </w:rPr>
          </w:pPr>
          <w:hyperlink w:anchor="_Toc214027630" w:history="1">
            <w:r w:rsidRPr="0010410A">
              <w:rPr>
                <w:rStyle w:val="Hyperlink"/>
                <w:rFonts w:ascii="Arial" w:eastAsia="Times New Roman" w:hAnsi="Arial" w:cs="Arial"/>
                <w:b/>
                <w:bCs/>
                <w:noProof/>
                <w:sz w:val="22"/>
                <w:szCs w:val="22"/>
              </w:rPr>
              <w:t>Chapter 3: Research Methods and Methodology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_Toc214027630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17</w:t>
            </w:r>
            <w:r w:rsidRPr="0010410A">
              <w:rPr>
                <w:rFonts w:ascii="Arial" w:hAnsi="Arial" w:cs="Arial"/>
                <w:noProof/>
                <w:webHidden/>
                <w:sz w:val="22"/>
                <w:szCs w:val="22"/>
              </w:rPr>
              <w:fldChar w:fldCharType="end"/>
            </w:r>
          </w:hyperlink>
        </w:p>
        <w:p w14:paraId="77E1E3E2" w14:textId="3AB5AA68" w:rsidR="0010410A" w:rsidRPr="0010410A" w:rsidRDefault="0010410A">
          <w:pPr>
            <w:pStyle w:val="TOC1"/>
            <w:tabs>
              <w:tab w:val="right" w:leader="dot" w:pos="9016"/>
            </w:tabs>
            <w:rPr>
              <w:rFonts w:ascii="Arial" w:hAnsi="Arial" w:cs="Arial"/>
              <w:noProof/>
              <w:sz w:val="22"/>
              <w:szCs w:val="22"/>
            </w:rPr>
          </w:pPr>
          <w:hyperlink w:anchor="_Toc214027631" w:history="1">
            <w:r w:rsidRPr="0010410A">
              <w:rPr>
                <w:rStyle w:val="Hyperlink"/>
                <w:rFonts w:ascii="Arial" w:eastAsia="Times New Roman" w:hAnsi="Arial" w:cs="Arial"/>
                <w:b/>
                <w:bCs/>
                <w:noProof/>
                <w:sz w:val="22"/>
                <w:szCs w:val="22"/>
              </w:rPr>
              <w:t>3.1 Introduction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_Toc214027631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17</w:t>
            </w:r>
            <w:r w:rsidRPr="0010410A">
              <w:rPr>
                <w:rFonts w:ascii="Arial" w:hAnsi="Arial" w:cs="Arial"/>
                <w:noProof/>
                <w:webHidden/>
                <w:sz w:val="22"/>
                <w:szCs w:val="22"/>
              </w:rPr>
              <w:fldChar w:fldCharType="end"/>
            </w:r>
          </w:hyperlink>
        </w:p>
        <w:p w14:paraId="2FF042B9" w14:textId="3762B19A" w:rsidR="0010410A" w:rsidRPr="0010410A" w:rsidRDefault="0010410A">
          <w:pPr>
            <w:pStyle w:val="TOC1"/>
            <w:tabs>
              <w:tab w:val="right" w:leader="dot" w:pos="9016"/>
            </w:tabs>
            <w:rPr>
              <w:rFonts w:ascii="Arial" w:hAnsi="Arial" w:cs="Arial"/>
              <w:noProof/>
              <w:sz w:val="22"/>
              <w:szCs w:val="22"/>
            </w:rPr>
          </w:pPr>
          <w:hyperlink w:anchor="_Toc214027632" w:history="1">
            <w:r w:rsidRPr="0010410A">
              <w:rPr>
                <w:rStyle w:val="Hyperlink"/>
                <w:rFonts w:ascii="Arial" w:eastAsia="Times New Roman" w:hAnsi="Arial" w:cs="Arial"/>
                <w:b/>
                <w:bCs/>
                <w:noProof/>
                <w:sz w:val="22"/>
                <w:szCs w:val="22"/>
              </w:rPr>
              <w:t>3.2 Research Philosophy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17</w:t>
            </w:r>
            <w:r w:rsidRPr="0010410A">
              <w:rPr>
                <w:rFonts w:ascii="Arial" w:hAnsi="Arial" w:cs="Arial"/>
                <w:noProof/>
                <w:webHidden/>
                <w:sz w:val="22"/>
                <w:szCs w:val="22"/>
              </w:rPr>
              <w:fldChar w:fldCharType="end"/>
            </w:r>
          </w:hyperlink>
        </w:p>
        <w:p w14:paraId="2F3C8328" w14:textId="33DAEAD7" w:rsidR="0010410A" w:rsidRPr="0010410A" w:rsidRDefault="0010410A">
          <w:pPr>
            <w:pStyle w:val="TOC2"/>
            <w:tabs>
              <w:tab w:val="right" w:leader="dot" w:pos="9016"/>
            </w:tabs>
            <w:rPr>
              <w:rFonts w:ascii="Arial" w:hAnsi="Arial" w:cs="Arial"/>
              <w:noProof/>
              <w:sz w:val="22"/>
              <w:szCs w:val="22"/>
            </w:rPr>
          </w:pPr>
          <w:hyperlink w:anchor="_Toc214027633" w:history="1">
            <w:r w:rsidRPr="0010410A">
              <w:rPr>
                <w:rStyle w:val="Hyperlink"/>
                <w:rFonts w:ascii="Arial" w:eastAsia="Times New Roman" w:hAnsi="Arial" w:cs="Arial"/>
                <w:b/>
                <w:bCs/>
                <w:noProof/>
                <w:sz w:val="22"/>
                <w:szCs w:val="22"/>
              </w:rPr>
              <w:t>3.2.1 Positivism</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_Toc214027633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17</w:t>
            </w:r>
            <w:r w:rsidRPr="0010410A">
              <w:rPr>
                <w:rFonts w:ascii="Arial" w:hAnsi="Arial" w:cs="Arial"/>
                <w:noProof/>
                <w:webHidden/>
                <w:sz w:val="22"/>
                <w:szCs w:val="22"/>
              </w:rPr>
              <w:fldChar w:fldCharType="end"/>
            </w:r>
          </w:hyperlink>
        </w:p>
        <w:p w14:paraId="3F80681A" w14:textId="1552ACC1" w:rsidR="0010410A" w:rsidRPr="0010410A" w:rsidRDefault="0010410A">
          <w:pPr>
            <w:pStyle w:val="TOC1"/>
            <w:tabs>
              <w:tab w:val="right" w:leader="dot" w:pos="9016"/>
            </w:tabs>
            <w:rPr>
              <w:rFonts w:ascii="Arial" w:hAnsi="Arial" w:cs="Arial"/>
              <w:noProof/>
              <w:sz w:val="22"/>
              <w:szCs w:val="22"/>
            </w:rPr>
          </w:pPr>
          <w:hyperlink w:anchor="_Toc214027634" w:history="1">
            <w:r w:rsidRPr="0010410A">
              <w:rPr>
                <w:rStyle w:val="Hyperlink"/>
                <w:rFonts w:ascii="Arial" w:eastAsia="Times New Roman" w:hAnsi="Arial" w:cs="Arial"/>
                <w:b/>
                <w:bCs/>
                <w:noProof/>
                <w:sz w:val="22"/>
                <w:szCs w:val="22"/>
              </w:rPr>
              <w:t>3.3 Research Design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_Toc214027634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19</w:t>
            </w:r>
            <w:r w:rsidRPr="0010410A">
              <w:rPr>
                <w:rFonts w:ascii="Arial" w:hAnsi="Arial" w:cs="Arial"/>
                <w:noProof/>
                <w:webHidden/>
                <w:sz w:val="22"/>
                <w:szCs w:val="22"/>
              </w:rPr>
              <w:fldChar w:fldCharType="end"/>
            </w:r>
          </w:hyperlink>
        </w:p>
        <w:p w14:paraId="3C268DBB" w14:textId="442865DA" w:rsidR="0010410A" w:rsidRPr="0010410A" w:rsidRDefault="0010410A">
          <w:pPr>
            <w:pStyle w:val="TOC1"/>
            <w:tabs>
              <w:tab w:val="right" w:leader="dot" w:pos="9016"/>
            </w:tabs>
            <w:rPr>
              <w:rFonts w:ascii="Arial" w:hAnsi="Arial" w:cs="Arial"/>
              <w:noProof/>
              <w:sz w:val="22"/>
              <w:szCs w:val="22"/>
            </w:rPr>
          </w:pPr>
          <w:hyperlink w:anchor="_Toc214027635" w:history="1">
            <w:r w:rsidRPr="0010410A">
              <w:rPr>
                <w:rStyle w:val="Hyperlink"/>
                <w:rFonts w:ascii="Arial" w:eastAsia="Times New Roman" w:hAnsi="Arial" w:cs="Arial"/>
                <w:b/>
                <w:bCs/>
                <w:noProof/>
                <w:sz w:val="22"/>
                <w:szCs w:val="22"/>
              </w:rPr>
              <w:t>3.4 Research Strategy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_Toc214027635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19</w:t>
            </w:r>
            <w:r w:rsidRPr="0010410A">
              <w:rPr>
                <w:rFonts w:ascii="Arial" w:hAnsi="Arial" w:cs="Arial"/>
                <w:noProof/>
                <w:webHidden/>
                <w:sz w:val="22"/>
                <w:szCs w:val="22"/>
              </w:rPr>
              <w:fldChar w:fldCharType="end"/>
            </w:r>
          </w:hyperlink>
        </w:p>
        <w:p w14:paraId="2E180212" w14:textId="6D9DC8F0" w:rsidR="0010410A" w:rsidRPr="0010410A" w:rsidRDefault="0010410A">
          <w:pPr>
            <w:pStyle w:val="TOC1"/>
            <w:tabs>
              <w:tab w:val="right" w:leader="dot" w:pos="9016"/>
            </w:tabs>
            <w:rPr>
              <w:rFonts w:ascii="Arial" w:hAnsi="Arial" w:cs="Arial"/>
              <w:noProof/>
              <w:sz w:val="22"/>
              <w:szCs w:val="22"/>
            </w:rPr>
          </w:pPr>
          <w:hyperlink w:anchor="_Toc214027636" w:history="1">
            <w:r w:rsidRPr="0010410A">
              <w:rPr>
                <w:rStyle w:val="Hyperlink"/>
                <w:rFonts w:ascii="Arial" w:eastAsia="Times New Roman" w:hAnsi="Arial" w:cs="Arial"/>
                <w:b/>
                <w:bCs/>
                <w:noProof/>
                <w:sz w:val="22"/>
                <w:szCs w:val="22"/>
              </w:rPr>
              <w:t>3.5 Sampling</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_Toc214027636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19</w:t>
            </w:r>
            <w:r w:rsidRPr="0010410A">
              <w:rPr>
                <w:rFonts w:ascii="Arial" w:hAnsi="Arial" w:cs="Arial"/>
                <w:noProof/>
                <w:webHidden/>
                <w:sz w:val="22"/>
                <w:szCs w:val="22"/>
              </w:rPr>
              <w:fldChar w:fldCharType="end"/>
            </w:r>
          </w:hyperlink>
        </w:p>
        <w:p w14:paraId="6A143CC9" w14:textId="060851DB" w:rsidR="0010410A" w:rsidRPr="0010410A" w:rsidRDefault="0010410A">
          <w:pPr>
            <w:pStyle w:val="TOC2"/>
            <w:tabs>
              <w:tab w:val="right" w:leader="dot" w:pos="9016"/>
            </w:tabs>
            <w:rPr>
              <w:rFonts w:ascii="Arial" w:hAnsi="Arial" w:cs="Arial"/>
              <w:noProof/>
              <w:sz w:val="22"/>
              <w:szCs w:val="22"/>
            </w:rPr>
          </w:pPr>
          <w:hyperlink w:anchor="_Toc214027637" w:history="1">
            <w:r w:rsidRPr="0010410A">
              <w:rPr>
                <w:rStyle w:val="Hyperlink"/>
                <w:rFonts w:ascii="Arial" w:eastAsia="Times New Roman" w:hAnsi="Arial" w:cs="Arial"/>
                <w:b/>
                <w:bCs/>
                <w:noProof/>
                <w:sz w:val="22"/>
                <w:szCs w:val="22"/>
              </w:rPr>
              <w:t>3.5.1 Target Population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_Toc214027637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19</w:t>
            </w:r>
            <w:r w:rsidRPr="0010410A">
              <w:rPr>
                <w:rFonts w:ascii="Arial" w:hAnsi="Arial" w:cs="Arial"/>
                <w:noProof/>
                <w:webHidden/>
                <w:sz w:val="22"/>
                <w:szCs w:val="22"/>
              </w:rPr>
              <w:fldChar w:fldCharType="end"/>
            </w:r>
          </w:hyperlink>
        </w:p>
        <w:p w14:paraId="256CD977" w14:textId="0A99013B" w:rsidR="0010410A" w:rsidRPr="0010410A" w:rsidRDefault="0010410A">
          <w:pPr>
            <w:pStyle w:val="TOC2"/>
            <w:tabs>
              <w:tab w:val="right" w:leader="dot" w:pos="9016"/>
            </w:tabs>
            <w:rPr>
              <w:rFonts w:ascii="Arial" w:hAnsi="Arial" w:cs="Arial"/>
              <w:noProof/>
              <w:sz w:val="22"/>
              <w:szCs w:val="22"/>
            </w:rPr>
          </w:pPr>
          <w:hyperlink w:anchor="_Toc214027638" w:history="1">
            <w:r w:rsidRPr="0010410A">
              <w:rPr>
                <w:rStyle w:val="Hyperlink"/>
                <w:rFonts w:ascii="Arial" w:eastAsia="Times New Roman" w:hAnsi="Arial" w:cs="Arial"/>
                <w:b/>
                <w:bCs/>
                <w:noProof/>
                <w:sz w:val="22"/>
                <w:szCs w:val="22"/>
              </w:rPr>
              <w:t>3.5.2 Sampling Frame and Selection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_Toc214027638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20</w:t>
            </w:r>
            <w:r w:rsidRPr="0010410A">
              <w:rPr>
                <w:rFonts w:ascii="Arial" w:hAnsi="Arial" w:cs="Arial"/>
                <w:noProof/>
                <w:webHidden/>
                <w:sz w:val="22"/>
                <w:szCs w:val="22"/>
              </w:rPr>
              <w:fldChar w:fldCharType="end"/>
            </w:r>
          </w:hyperlink>
        </w:p>
        <w:p w14:paraId="5BDF7A07" w14:textId="2C7A3A84" w:rsidR="0010410A" w:rsidRPr="0010410A" w:rsidRDefault="0010410A">
          <w:pPr>
            <w:pStyle w:val="TOC2"/>
            <w:tabs>
              <w:tab w:val="right" w:leader="dot" w:pos="9016"/>
            </w:tabs>
            <w:rPr>
              <w:rFonts w:ascii="Arial" w:hAnsi="Arial" w:cs="Arial"/>
              <w:noProof/>
              <w:sz w:val="22"/>
              <w:szCs w:val="22"/>
            </w:rPr>
          </w:pPr>
          <w:hyperlink w:anchor="_Toc214027639" w:history="1">
            <w:r w:rsidRPr="0010410A">
              <w:rPr>
                <w:rStyle w:val="Hyperlink"/>
                <w:rFonts w:ascii="Arial" w:eastAsia="Times New Roman" w:hAnsi="Arial" w:cs="Arial"/>
                <w:b/>
                <w:bCs/>
                <w:noProof/>
                <w:sz w:val="22"/>
                <w:szCs w:val="22"/>
              </w:rPr>
              <w:t>3.5.3 Time Frame</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_Toc214027639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20</w:t>
            </w:r>
            <w:r w:rsidRPr="0010410A">
              <w:rPr>
                <w:rFonts w:ascii="Arial" w:hAnsi="Arial" w:cs="Arial"/>
                <w:noProof/>
                <w:webHidden/>
                <w:sz w:val="22"/>
                <w:szCs w:val="22"/>
              </w:rPr>
              <w:fldChar w:fldCharType="end"/>
            </w:r>
          </w:hyperlink>
        </w:p>
        <w:p w14:paraId="2759498B" w14:textId="38FDCF3A" w:rsidR="0010410A" w:rsidRPr="0010410A" w:rsidRDefault="0010410A">
          <w:pPr>
            <w:pStyle w:val="TOC1"/>
            <w:tabs>
              <w:tab w:val="right" w:leader="dot" w:pos="9016"/>
            </w:tabs>
            <w:rPr>
              <w:rFonts w:ascii="Arial" w:hAnsi="Arial" w:cs="Arial"/>
              <w:noProof/>
              <w:sz w:val="22"/>
              <w:szCs w:val="22"/>
            </w:rPr>
          </w:pPr>
          <w:hyperlink w:anchor="_Toc214027640" w:history="1">
            <w:r w:rsidRPr="0010410A">
              <w:rPr>
                <w:rStyle w:val="Hyperlink"/>
                <w:rFonts w:ascii="Arial" w:eastAsia="Times New Roman" w:hAnsi="Arial" w:cs="Arial"/>
                <w:b/>
                <w:bCs/>
                <w:noProof/>
                <w:sz w:val="22"/>
                <w:szCs w:val="22"/>
              </w:rPr>
              <w:t>3.6 Data Collection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_Toc214027640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20</w:t>
            </w:r>
            <w:r w:rsidRPr="0010410A">
              <w:rPr>
                <w:rFonts w:ascii="Arial" w:hAnsi="Arial" w:cs="Arial"/>
                <w:noProof/>
                <w:webHidden/>
                <w:sz w:val="22"/>
                <w:szCs w:val="22"/>
              </w:rPr>
              <w:fldChar w:fldCharType="end"/>
            </w:r>
          </w:hyperlink>
        </w:p>
        <w:p w14:paraId="27671BA9" w14:textId="33FBA373" w:rsidR="0010410A" w:rsidRPr="0010410A" w:rsidRDefault="0010410A">
          <w:pPr>
            <w:pStyle w:val="TOC1"/>
            <w:tabs>
              <w:tab w:val="right" w:leader="dot" w:pos="9016"/>
            </w:tabs>
            <w:rPr>
              <w:rFonts w:ascii="Arial" w:hAnsi="Arial" w:cs="Arial"/>
              <w:noProof/>
              <w:sz w:val="22"/>
              <w:szCs w:val="22"/>
            </w:rPr>
          </w:pPr>
          <w:hyperlink w:anchor="_Toc214027641" w:history="1">
            <w:r w:rsidRPr="0010410A">
              <w:rPr>
                <w:rStyle w:val="Hyperlink"/>
                <w:rFonts w:ascii="Arial" w:eastAsia="Times New Roman" w:hAnsi="Arial" w:cs="Arial"/>
                <w:b/>
                <w:bCs/>
                <w:noProof/>
                <w:sz w:val="22"/>
                <w:szCs w:val="22"/>
              </w:rPr>
              <w:t>3.7 Data Analysis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_Toc214027641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21</w:t>
            </w:r>
            <w:r w:rsidRPr="0010410A">
              <w:rPr>
                <w:rFonts w:ascii="Arial" w:hAnsi="Arial" w:cs="Arial"/>
                <w:noProof/>
                <w:webHidden/>
                <w:sz w:val="22"/>
                <w:szCs w:val="22"/>
              </w:rPr>
              <w:fldChar w:fldCharType="end"/>
            </w:r>
          </w:hyperlink>
        </w:p>
        <w:p w14:paraId="399CE4C8" w14:textId="2136D9C7" w:rsidR="0010410A" w:rsidRPr="0010410A" w:rsidRDefault="0010410A">
          <w:pPr>
            <w:pStyle w:val="TOC1"/>
            <w:tabs>
              <w:tab w:val="right" w:leader="dot" w:pos="9016"/>
            </w:tabs>
            <w:rPr>
              <w:rFonts w:ascii="Arial" w:hAnsi="Arial" w:cs="Arial"/>
              <w:noProof/>
              <w:sz w:val="22"/>
              <w:szCs w:val="22"/>
            </w:rPr>
          </w:pPr>
          <w:hyperlink w:anchor="_Toc214027642" w:history="1">
            <w:r w:rsidRPr="0010410A">
              <w:rPr>
                <w:rStyle w:val="Hyperlink"/>
                <w:rFonts w:ascii="Arial" w:eastAsia="Times New Roman" w:hAnsi="Arial" w:cs="Arial"/>
                <w:b/>
                <w:bCs/>
                <w:noProof/>
                <w:sz w:val="22"/>
                <w:szCs w:val="22"/>
              </w:rPr>
              <w:t>3.8 Ethical Considerations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21</w:t>
            </w:r>
            <w:r w:rsidRPr="0010410A">
              <w:rPr>
                <w:rFonts w:ascii="Arial" w:hAnsi="Arial" w:cs="Arial"/>
                <w:noProof/>
                <w:webHidden/>
                <w:sz w:val="22"/>
                <w:szCs w:val="22"/>
              </w:rPr>
              <w:fldChar w:fldCharType="end"/>
            </w:r>
          </w:hyperlink>
        </w:p>
        <w:p w14:paraId="5301A3F2" w14:textId="47E14CB7" w:rsidR="0010410A" w:rsidRPr="0010410A" w:rsidRDefault="0010410A">
          <w:pPr>
            <w:pStyle w:val="TOC1"/>
            <w:tabs>
              <w:tab w:val="right" w:leader="dot" w:pos="9016"/>
            </w:tabs>
            <w:rPr>
              <w:rFonts w:ascii="Arial" w:hAnsi="Arial" w:cs="Arial"/>
              <w:noProof/>
              <w:sz w:val="22"/>
              <w:szCs w:val="22"/>
            </w:rPr>
          </w:pPr>
          <w:hyperlink w:anchor="_Toc214027643" w:history="1">
            <w:r w:rsidRPr="0010410A">
              <w:rPr>
                <w:rStyle w:val="Hyperlink"/>
                <w:rFonts w:ascii="Arial" w:eastAsia="Times New Roman" w:hAnsi="Arial" w:cs="Arial"/>
                <w:b/>
                <w:bCs/>
                <w:noProof/>
                <w:sz w:val="22"/>
                <w:szCs w:val="22"/>
              </w:rPr>
              <w:t>3.9 Reliability and Validity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_Toc214027643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22</w:t>
            </w:r>
            <w:r w:rsidRPr="0010410A">
              <w:rPr>
                <w:rFonts w:ascii="Arial" w:hAnsi="Arial" w:cs="Arial"/>
                <w:noProof/>
                <w:webHidden/>
                <w:sz w:val="22"/>
                <w:szCs w:val="22"/>
              </w:rPr>
              <w:fldChar w:fldCharType="end"/>
            </w:r>
          </w:hyperlink>
        </w:p>
        <w:p w14:paraId="00FB6C36" w14:textId="6A7B8857" w:rsidR="0010410A" w:rsidRPr="0010410A" w:rsidRDefault="0010410A">
          <w:pPr>
            <w:pStyle w:val="TOC1"/>
            <w:tabs>
              <w:tab w:val="right" w:leader="dot" w:pos="9016"/>
            </w:tabs>
            <w:rPr>
              <w:rFonts w:ascii="Arial" w:hAnsi="Arial" w:cs="Arial"/>
              <w:noProof/>
              <w:sz w:val="22"/>
              <w:szCs w:val="22"/>
            </w:rPr>
          </w:pPr>
          <w:hyperlink w:anchor="_Toc214027644" w:history="1">
            <w:r w:rsidRPr="0010410A">
              <w:rPr>
                <w:rStyle w:val="Hyperlink"/>
                <w:rFonts w:ascii="Arial" w:eastAsia="Times New Roman" w:hAnsi="Arial" w:cs="Arial"/>
                <w:b/>
                <w:bCs/>
                <w:noProof/>
                <w:sz w:val="22"/>
                <w:szCs w:val="22"/>
              </w:rPr>
              <w:t>3.10 Limitations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_Toc214027644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22</w:t>
            </w:r>
            <w:r w:rsidRPr="0010410A">
              <w:rPr>
                <w:rFonts w:ascii="Arial" w:hAnsi="Arial" w:cs="Arial"/>
                <w:noProof/>
                <w:webHidden/>
                <w:sz w:val="22"/>
                <w:szCs w:val="22"/>
              </w:rPr>
              <w:fldChar w:fldCharType="end"/>
            </w:r>
          </w:hyperlink>
        </w:p>
        <w:p w14:paraId="4872F94E" w14:textId="1579F99A" w:rsidR="0010410A" w:rsidRPr="0010410A" w:rsidRDefault="0010410A">
          <w:pPr>
            <w:pStyle w:val="TOC1"/>
            <w:tabs>
              <w:tab w:val="right" w:leader="dot" w:pos="9016"/>
            </w:tabs>
            <w:rPr>
              <w:rFonts w:ascii="Arial" w:hAnsi="Arial" w:cs="Arial"/>
              <w:noProof/>
              <w:sz w:val="22"/>
              <w:szCs w:val="22"/>
            </w:rPr>
          </w:pPr>
          <w:hyperlink w:anchor="_Toc214027645" w:history="1">
            <w:r w:rsidRPr="0010410A">
              <w:rPr>
                <w:rStyle w:val="Hyperlink"/>
                <w:rFonts w:ascii="Arial" w:eastAsia="Times New Roman" w:hAnsi="Arial" w:cs="Arial"/>
                <w:b/>
                <w:bCs/>
                <w:noProof/>
                <w:sz w:val="22"/>
                <w:szCs w:val="22"/>
              </w:rPr>
              <w:t>Chapter 4: Data Analysis and Results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_Toc214027645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22</w:t>
            </w:r>
            <w:r w:rsidRPr="0010410A">
              <w:rPr>
                <w:rFonts w:ascii="Arial" w:hAnsi="Arial" w:cs="Arial"/>
                <w:noProof/>
                <w:webHidden/>
                <w:sz w:val="22"/>
                <w:szCs w:val="22"/>
              </w:rPr>
              <w:fldChar w:fldCharType="end"/>
            </w:r>
          </w:hyperlink>
        </w:p>
        <w:p w14:paraId="7DD30D2F" w14:textId="77738A93" w:rsidR="0010410A" w:rsidRPr="0010410A" w:rsidRDefault="0010410A">
          <w:pPr>
            <w:pStyle w:val="TOC1"/>
            <w:tabs>
              <w:tab w:val="right" w:leader="dot" w:pos="9016"/>
            </w:tabs>
            <w:rPr>
              <w:rFonts w:ascii="Arial" w:hAnsi="Arial" w:cs="Arial"/>
              <w:noProof/>
              <w:sz w:val="22"/>
              <w:szCs w:val="22"/>
            </w:rPr>
          </w:pPr>
          <w:hyperlink w:anchor="_Toc214027646" w:history="1">
            <w:r w:rsidRPr="0010410A">
              <w:rPr>
                <w:rStyle w:val="Hyperlink"/>
                <w:rFonts w:ascii="Arial" w:eastAsia="Times New Roman" w:hAnsi="Arial" w:cs="Arial"/>
                <w:b/>
                <w:bCs/>
                <w:noProof/>
                <w:sz w:val="22"/>
                <w:szCs w:val="22"/>
              </w:rPr>
              <w:t>4.1 Introduction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_Toc214027646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22</w:t>
            </w:r>
            <w:r w:rsidRPr="0010410A">
              <w:rPr>
                <w:rFonts w:ascii="Arial" w:hAnsi="Arial" w:cs="Arial"/>
                <w:noProof/>
                <w:webHidden/>
                <w:sz w:val="22"/>
                <w:szCs w:val="22"/>
              </w:rPr>
              <w:fldChar w:fldCharType="end"/>
            </w:r>
          </w:hyperlink>
        </w:p>
        <w:p w14:paraId="24ADC64D" w14:textId="36D16D6F" w:rsidR="0010410A" w:rsidRPr="0010410A" w:rsidRDefault="0010410A">
          <w:pPr>
            <w:pStyle w:val="TOC1"/>
            <w:tabs>
              <w:tab w:val="right" w:leader="dot" w:pos="9016"/>
            </w:tabs>
            <w:rPr>
              <w:rFonts w:ascii="Arial" w:hAnsi="Arial" w:cs="Arial"/>
              <w:noProof/>
              <w:sz w:val="22"/>
              <w:szCs w:val="22"/>
            </w:rPr>
          </w:pPr>
          <w:hyperlink w:anchor="_Toc214027647" w:history="1">
            <w:r w:rsidRPr="0010410A">
              <w:rPr>
                <w:rStyle w:val="Hyperlink"/>
                <w:rFonts w:ascii="Arial" w:eastAsia="Times New Roman" w:hAnsi="Arial" w:cs="Arial"/>
                <w:b/>
                <w:bCs/>
                <w:noProof/>
                <w:sz w:val="22"/>
                <w:szCs w:val="22"/>
              </w:rPr>
              <w:t>4.2 Descriptive Analysis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_Toc214027647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23</w:t>
            </w:r>
            <w:r w:rsidRPr="0010410A">
              <w:rPr>
                <w:rFonts w:ascii="Arial" w:hAnsi="Arial" w:cs="Arial"/>
                <w:noProof/>
                <w:webHidden/>
                <w:sz w:val="22"/>
                <w:szCs w:val="22"/>
              </w:rPr>
              <w:fldChar w:fldCharType="end"/>
            </w:r>
          </w:hyperlink>
        </w:p>
        <w:p w14:paraId="399D4620" w14:textId="51075332" w:rsidR="0010410A" w:rsidRPr="0010410A" w:rsidRDefault="0010410A">
          <w:pPr>
            <w:pStyle w:val="TOC1"/>
            <w:tabs>
              <w:tab w:val="right" w:leader="dot" w:pos="9016"/>
            </w:tabs>
            <w:rPr>
              <w:rFonts w:ascii="Arial" w:hAnsi="Arial" w:cs="Arial"/>
              <w:noProof/>
              <w:sz w:val="22"/>
              <w:szCs w:val="22"/>
            </w:rPr>
          </w:pPr>
          <w:hyperlink w:anchor="_Toc214027648" w:history="1">
            <w:r w:rsidRPr="0010410A">
              <w:rPr>
                <w:rStyle w:val="Hyperlink"/>
                <w:rFonts w:ascii="Arial" w:eastAsia="Times New Roman" w:hAnsi="Arial" w:cs="Arial"/>
                <w:b/>
                <w:bCs/>
                <w:noProof/>
                <w:sz w:val="22"/>
                <w:szCs w:val="22"/>
              </w:rPr>
              <w:t>4.3 Correlation Analysis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_Toc214027648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24</w:t>
            </w:r>
            <w:r w:rsidRPr="0010410A">
              <w:rPr>
                <w:rFonts w:ascii="Arial" w:hAnsi="Arial" w:cs="Arial"/>
                <w:noProof/>
                <w:webHidden/>
                <w:sz w:val="22"/>
                <w:szCs w:val="22"/>
              </w:rPr>
              <w:fldChar w:fldCharType="end"/>
            </w:r>
          </w:hyperlink>
        </w:p>
        <w:p w14:paraId="6197FE68" w14:textId="6AF2763F" w:rsidR="0010410A" w:rsidRPr="0010410A" w:rsidRDefault="0010410A">
          <w:pPr>
            <w:pStyle w:val="TOC1"/>
            <w:tabs>
              <w:tab w:val="right" w:leader="dot" w:pos="9016"/>
            </w:tabs>
            <w:rPr>
              <w:rFonts w:ascii="Arial" w:hAnsi="Arial" w:cs="Arial"/>
              <w:noProof/>
              <w:sz w:val="22"/>
              <w:szCs w:val="22"/>
            </w:rPr>
          </w:pPr>
          <w:hyperlink w:anchor="_Toc214027649" w:history="1">
            <w:r w:rsidRPr="0010410A">
              <w:rPr>
                <w:rStyle w:val="Hyperlink"/>
                <w:rFonts w:ascii="Arial" w:eastAsia="Times New Roman" w:hAnsi="Arial" w:cs="Arial"/>
                <w:b/>
                <w:bCs/>
                <w:noProof/>
                <w:sz w:val="22"/>
                <w:szCs w:val="22"/>
              </w:rPr>
              <w:t>4.4 Regression Analysis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_Toc214027649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26</w:t>
            </w:r>
            <w:r w:rsidRPr="0010410A">
              <w:rPr>
                <w:rFonts w:ascii="Arial" w:hAnsi="Arial" w:cs="Arial"/>
                <w:noProof/>
                <w:webHidden/>
                <w:sz w:val="22"/>
                <w:szCs w:val="22"/>
              </w:rPr>
              <w:fldChar w:fldCharType="end"/>
            </w:r>
          </w:hyperlink>
        </w:p>
        <w:p w14:paraId="1F07D23F" w14:textId="4A8E1646" w:rsidR="0010410A" w:rsidRPr="0010410A" w:rsidRDefault="0010410A">
          <w:pPr>
            <w:pStyle w:val="TOC3"/>
            <w:tabs>
              <w:tab w:val="right" w:leader="dot" w:pos="9016"/>
            </w:tabs>
            <w:rPr>
              <w:rFonts w:ascii="Arial" w:hAnsi="Arial" w:cs="Arial"/>
              <w:noProof/>
              <w:sz w:val="22"/>
              <w:szCs w:val="22"/>
            </w:rPr>
          </w:pPr>
          <w:hyperlink w:anchor="_Toc214027650" w:history="1">
            <w:r w:rsidRPr="0010410A">
              <w:rPr>
                <w:rStyle w:val="Hyperlink"/>
                <w:rFonts w:ascii="Arial" w:eastAsia="Times New Roman" w:hAnsi="Arial" w:cs="Arial"/>
                <w:b/>
                <w:bCs/>
                <w:noProof/>
                <w:sz w:val="22"/>
                <w:szCs w:val="22"/>
              </w:rPr>
              <w:t>Table 3: Regression Results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_Toc214027650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27</w:t>
            </w:r>
            <w:r w:rsidRPr="0010410A">
              <w:rPr>
                <w:rFonts w:ascii="Arial" w:hAnsi="Arial" w:cs="Arial"/>
                <w:noProof/>
                <w:webHidden/>
                <w:sz w:val="22"/>
                <w:szCs w:val="22"/>
              </w:rPr>
              <w:fldChar w:fldCharType="end"/>
            </w:r>
          </w:hyperlink>
        </w:p>
        <w:p w14:paraId="0A197509" w14:textId="40FEA41F" w:rsidR="0010410A" w:rsidRPr="0010410A" w:rsidRDefault="0010410A">
          <w:pPr>
            <w:pStyle w:val="TOC1"/>
            <w:tabs>
              <w:tab w:val="right" w:leader="dot" w:pos="9016"/>
            </w:tabs>
            <w:rPr>
              <w:rFonts w:ascii="Arial" w:hAnsi="Arial" w:cs="Arial"/>
              <w:noProof/>
              <w:sz w:val="22"/>
              <w:szCs w:val="22"/>
            </w:rPr>
          </w:pPr>
          <w:hyperlink w:anchor="_Toc214027651" w:history="1">
            <w:r w:rsidRPr="0010410A">
              <w:rPr>
                <w:rStyle w:val="Hyperlink"/>
                <w:rFonts w:ascii="Arial" w:eastAsia="Times New Roman" w:hAnsi="Arial" w:cs="Arial"/>
                <w:b/>
                <w:bCs/>
                <w:noProof/>
                <w:sz w:val="22"/>
                <w:szCs w:val="22"/>
              </w:rPr>
              <w:t>4.5 Discussion of Findings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_Toc214027651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27</w:t>
            </w:r>
            <w:r w:rsidRPr="0010410A">
              <w:rPr>
                <w:rFonts w:ascii="Arial" w:hAnsi="Arial" w:cs="Arial"/>
                <w:noProof/>
                <w:webHidden/>
                <w:sz w:val="22"/>
                <w:szCs w:val="22"/>
              </w:rPr>
              <w:fldChar w:fldCharType="end"/>
            </w:r>
          </w:hyperlink>
        </w:p>
        <w:p w14:paraId="0DAB8BF3" w14:textId="6BB8E495" w:rsidR="0010410A" w:rsidRPr="0010410A" w:rsidRDefault="0010410A">
          <w:pPr>
            <w:pStyle w:val="TOC1"/>
            <w:tabs>
              <w:tab w:val="right" w:leader="dot" w:pos="9016"/>
            </w:tabs>
            <w:rPr>
              <w:rFonts w:ascii="Arial" w:hAnsi="Arial" w:cs="Arial"/>
              <w:noProof/>
              <w:sz w:val="22"/>
              <w:szCs w:val="22"/>
            </w:rPr>
          </w:pPr>
          <w:hyperlink w:anchor="_Toc214027652" w:history="1">
            <w:r w:rsidRPr="0010410A">
              <w:rPr>
                <w:rStyle w:val="Hyperlink"/>
                <w:rFonts w:ascii="Arial" w:eastAsia="Times New Roman" w:hAnsi="Arial" w:cs="Arial"/>
                <w:b/>
                <w:bCs/>
                <w:noProof/>
                <w:sz w:val="22"/>
                <w:szCs w:val="22"/>
              </w:rPr>
              <w:t>Chapter 5: Summary, Conclusions and Recommendations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28</w:t>
            </w:r>
            <w:r w:rsidRPr="0010410A">
              <w:rPr>
                <w:rFonts w:ascii="Arial" w:hAnsi="Arial" w:cs="Arial"/>
                <w:noProof/>
                <w:webHidden/>
                <w:sz w:val="22"/>
                <w:szCs w:val="22"/>
              </w:rPr>
              <w:fldChar w:fldCharType="end"/>
            </w:r>
          </w:hyperlink>
        </w:p>
        <w:p w14:paraId="0924AD2B" w14:textId="6237410B" w:rsidR="0010410A" w:rsidRPr="0010410A" w:rsidRDefault="0010410A">
          <w:pPr>
            <w:pStyle w:val="TOC1"/>
            <w:tabs>
              <w:tab w:val="right" w:leader="dot" w:pos="9016"/>
            </w:tabs>
            <w:rPr>
              <w:rFonts w:ascii="Arial" w:hAnsi="Arial" w:cs="Arial"/>
              <w:noProof/>
              <w:sz w:val="22"/>
              <w:szCs w:val="22"/>
            </w:rPr>
          </w:pPr>
          <w:hyperlink w:anchor="_Toc214027653" w:history="1">
            <w:r w:rsidRPr="0010410A">
              <w:rPr>
                <w:rStyle w:val="Hyperlink"/>
                <w:rFonts w:ascii="Arial" w:eastAsia="Times New Roman" w:hAnsi="Arial" w:cs="Arial"/>
                <w:b/>
                <w:bCs/>
                <w:noProof/>
                <w:sz w:val="22"/>
                <w:szCs w:val="22"/>
              </w:rPr>
              <w:t>5.1 Introduction</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_Toc214027653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28</w:t>
            </w:r>
            <w:r w:rsidRPr="0010410A">
              <w:rPr>
                <w:rFonts w:ascii="Arial" w:hAnsi="Arial" w:cs="Arial"/>
                <w:noProof/>
                <w:webHidden/>
                <w:sz w:val="22"/>
                <w:szCs w:val="22"/>
              </w:rPr>
              <w:fldChar w:fldCharType="end"/>
            </w:r>
          </w:hyperlink>
        </w:p>
        <w:p w14:paraId="5F13ED76" w14:textId="7FFD14A4" w:rsidR="0010410A" w:rsidRPr="0010410A" w:rsidRDefault="0010410A">
          <w:pPr>
            <w:pStyle w:val="TOC1"/>
            <w:tabs>
              <w:tab w:val="right" w:leader="dot" w:pos="9016"/>
            </w:tabs>
            <w:rPr>
              <w:rFonts w:ascii="Arial" w:hAnsi="Arial" w:cs="Arial"/>
              <w:noProof/>
              <w:sz w:val="22"/>
              <w:szCs w:val="22"/>
            </w:rPr>
          </w:pPr>
          <w:hyperlink w:anchor="_Toc214027654" w:history="1">
            <w:r w:rsidRPr="0010410A">
              <w:rPr>
                <w:rStyle w:val="Hyperlink"/>
                <w:rFonts w:ascii="Arial" w:eastAsia="Times New Roman" w:hAnsi="Arial" w:cs="Arial"/>
                <w:b/>
                <w:bCs/>
                <w:noProof/>
                <w:sz w:val="22"/>
                <w:szCs w:val="22"/>
              </w:rPr>
              <w:t>5.2 Summary of Key Findings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_Toc214027654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29</w:t>
            </w:r>
            <w:r w:rsidRPr="0010410A">
              <w:rPr>
                <w:rFonts w:ascii="Arial" w:hAnsi="Arial" w:cs="Arial"/>
                <w:noProof/>
                <w:webHidden/>
                <w:sz w:val="22"/>
                <w:szCs w:val="22"/>
              </w:rPr>
              <w:fldChar w:fldCharType="end"/>
            </w:r>
          </w:hyperlink>
        </w:p>
        <w:p w14:paraId="1A89B378" w14:textId="4BB1B5B3" w:rsidR="0010410A" w:rsidRPr="0010410A" w:rsidRDefault="0010410A">
          <w:pPr>
            <w:pStyle w:val="TOC1"/>
            <w:tabs>
              <w:tab w:val="right" w:leader="dot" w:pos="9016"/>
            </w:tabs>
            <w:rPr>
              <w:rFonts w:ascii="Arial" w:hAnsi="Arial" w:cs="Arial"/>
              <w:noProof/>
              <w:sz w:val="22"/>
              <w:szCs w:val="22"/>
            </w:rPr>
          </w:pPr>
          <w:hyperlink w:anchor="_Toc214027655" w:history="1">
            <w:r w:rsidRPr="0010410A">
              <w:rPr>
                <w:rStyle w:val="Hyperlink"/>
                <w:rFonts w:ascii="Arial" w:eastAsia="Times New Roman" w:hAnsi="Arial" w:cs="Arial"/>
                <w:b/>
                <w:bCs/>
                <w:noProof/>
                <w:sz w:val="22"/>
                <w:szCs w:val="22"/>
              </w:rPr>
              <w:t>5.3 Conclusions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_Toc214027655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30</w:t>
            </w:r>
            <w:r w:rsidRPr="0010410A">
              <w:rPr>
                <w:rFonts w:ascii="Arial" w:hAnsi="Arial" w:cs="Arial"/>
                <w:noProof/>
                <w:webHidden/>
                <w:sz w:val="22"/>
                <w:szCs w:val="22"/>
              </w:rPr>
              <w:fldChar w:fldCharType="end"/>
            </w:r>
          </w:hyperlink>
        </w:p>
        <w:p w14:paraId="2FB6AFC7" w14:textId="0695A2DA" w:rsidR="0010410A" w:rsidRPr="0010410A" w:rsidRDefault="0010410A">
          <w:pPr>
            <w:pStyle w:val="TOC1"/>
            <w:tabs>
              <w:tab w:val="right" w:leader="dot" w:pos="9016"/>
            </w:tabs>
            <w:rPr>
              <w:rFonts w:ascii="Arial" w:hAnsi="Arial" w:cs="Arial"/>
              <w:noProof/>
              <w:sz w:val="22"/>
              <w:szCs w:val="22"/>
            </w:rPr>
          </w:pPr>
          <w:hyperlink w:anchor="_Toc214027656" w:history="1">
            <w:r w:rsidRPr="0010410A">
              <w:rPr>
                <w:rStyle w:val="Hyperlink"/>
                <w:rFonts w:ascii="Arial" w:eastAsia="Times New Roman" w:hAnsi="Arial" w:cs="Arial"/>
                <w:b/>
                <w:bCs/>
                <w:noProof/>
                <w:sz w:val="22"/>
                <w:szCs w:val="22"/>
              </w:rPr>
              <w:t>5.4 Implications of the Study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_Toc214027656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30</w:t>
            </w:r>
            <w:r w:rsidRPr="0010410A">
              <w:rPr>
                <w:rFonts w:ascii="Arial" w:hAnsi="Arial" w:cs="Arial"/>
                <w:noProof/>
                <w:webHidden/>
                <w:sz w:val="22"/>
                <w:szCs w:val="22"/>
              </w:rPr>
              <w:fldChar w:fldCharType="end"/>
            </w:r>
          </w:hyperlink>
        </w:p>
        <w:p w14:paraId="0E822D14" w14:textId="39E26231" w:rsidR="0010410A" w:rsidRPr="0010410A" w:rsidRDefault="0010410A">
          <w:pPr>
            <w:pStyle w:val="TOC2"/>
            <w:tabs>
              <w:tab w:val="right" w:leader="dot" w:pos="9016"/>
            </w:tabs>
            <w:rPr>
              <w:rFonts w:ascii="Arial" w:hAnsi="Arial" w:cs="Arial"/>
              <w:noProof/>
              <w:sz w:val="22"/>
              <w:szCs w:val="22"/>
            </w:rPr>
          </w:pPr>
          <w:hyperlink w:anchor="_Toc214027657" w:history="1">
            <w:r w:rsidRPr="0010410A">
              <w:rPr>
                <w:rStyle w:val="Hyperlink"/>
                <w:rFonts w:ascii="Arial" w:eastAsia="Times New Roman" w:hAnsi="Arial" w:cs="Arial"/>
                <w:b/>
                <w:bCs/>
                <w:noProof/>
                <w:sz w:val="22"/>
                <w:szCs w:val="22"/>
              </w:rPr>
              <w:t>5.4.1 Theoretical Implications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_Toc214027657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30</w:t>
            </w:r>
            <w:r w:rsidRPr="0010410A">
              <w:rPr>
                <w:rFonts w:ascii="Arial" w:hAnsi="Arial" w:cs="Arial"/>
                <w:noProof/>
                <w:webHidden/>
                <w:sz w:val="22"/>
                <w:szCs w:val="22"/>
              </w:rPr>
              <w:fldChar w:fldCharType="end"/>
            </w:r>
          </w:hyperlink>
        </w:p>
        <w:p w14:paraId="33080C31" w14:textId="20538CDC" w:rsidR="0010410A" w:rsidRPr="0010410A" w:rsidRDefault="0010410A">
          <w:pPr>
            <w:pStyle w:val="TOC2"/>
            <w:tabs>
              <w:tab w:val="right" w:leader="dot" w:pos="9016"/>
            </w:tabs>
            <w:rPr>
              <w:rFonts w:ascii="Arial" w:hAnsi="Arial" w:cs="Arial"/>
              <w:noProof/>
              <w:sz w:val="22"/>
              <w:szCs w:val="22"/>
            </w:rPr>
          </w:pPr>
          <w:hyperlink w:anchor="_Toc214027658" w:history="1">
            <w:r w:rsidRPr="0010410A">
              <w:rPr>
                <w:rStyle w:val="Hyperlink"/>
                <w:rFonts w:ascii="Arial" w:eastAsia="Times New Roman" w:hAnsi="Arial" w:cs="Arial"/>
                <w:b/>
                <w:bCs/>
                <w:noProof/>
                <w:sz w:val="22"/>
                <w:szCs w:val="22"/>
              </w:rPr>
              <w:t>5.4.2 Practical Implications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_Toc214027658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31</w:t>
            </w:r>
            <w:r w:rsidRPr="0010410A">
              <w:rPr>
                <w:rFonts w:ascii="Arial" w:hAnsi="Arial" w:cs="Arial"/>
                <w:noProof/>
                <w:webHidden/>
                <w:sz w:val="22"/>
                <w:szCs w:val="22"/>
              </w:rPr>
              <w:fldChar w:fldCharType="end"/>
            </w:r>
          </w:hyperlink>
        </w:p>
        <w:p w14:paraId="56C888EB" w14:textId="4A2BF622" w:rsidR="0010410A" w:rsidRPr="0010410A" w:rsidRDefault="0010410A">
          <w:pPr>
            <w:pStyle w:val="TOC2"/>
            <w:tabs>
              <w:tab w:val="right" w:leader="dot" w:pos="9016"/>
            </w:tabs>
            <w:rPr>
              <w:rFonts w:ascii="Arial" w:hAnsi="Arial" w:cs="Arial"/>
              <w:noProof/>
              <w:sz w:val="22"/>
              <w:szCs w:val="22"/>
            </w:rPr>
          </w:pPr>
          <w:hyperlink w:anchor="_Toc214027659" w:history="1">
            <w:r w:rsidRPr="0010410A">
              <w:rPr>
                <w:rStyle w:val="Hyperlink"/>
                <w:rFonts w:ascii="Arial" w:eastAsia="Times New Roman" w:hAnsi="Arial" w:cs="Arial"/>
                <w:b/>
                <w:bCs/>
                <w:noProof/>
                <w:sz w:val="22"/>
                <w:szCs w:val="22"/>
              </w:rPr>
              <w:t>5.4.3 Methodological Implications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_Toc214027659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31</w:t>
            </w:r>
            <w:r w:rsidRPr="0010410A">
              <w:rPr>
                <w:rFonts w:ascii="Arial" w:hAnsi="Arial" w:cs="Arial"/>
                <w:noProof/>
                <w:webHidden/>
                <w:sz w:val="22"/>
                <w:szCs w:val="22"/>
              </w:rPr>
              <w:fldChar w:fldCharType="end"/>
            </w:r>
          </w:hyperlink>
        </w:p>
        <w:p w14:paraId="66398665" w14:textId="5847DB36" w:rsidR="0010410A" w:rsidRPr="0010410A" w:rsidRDefault="0010410A">
          <w:pPr>
            <w:pStyle w:val="TOC1"/>
            <w:tabs>
              <w:tab w:val="right" w:leader="dot" w:pos="9016"/>
            </w:tabs>
            <w:rPr>
              <w:rFonts w:ascii="Arial" w:hAnsi="Arial" w:cs="Arial"/>
              <w:noProof/>
              <w:sz w:val="22"/>
              <w:szCs w:val="22"/>
            </w:rPr>
          </w:pPr>
          <w:hyperlink w:anchor="_Toc214027660" w:history="1">
            <w:r w:rsidRPr="0010410A">
              <w:rPr>
                <w:rStyle w:val="Hyperlink"/>
                <w:rFonts w:ascii="Arial" w:eastAsia="Times New Roman" w:hAnsi="Arial" w:cs="Arial"/>
                <w:b/>
                <w:bCs/>
                <w:noProof/>
                <w:sz w:val="22"/>
                <w:szCs w:val="22"/>
              </w:rPr>
              <w:t>5.5 Recommendations</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_Toc214027660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31</w:t>
            </w:r>
            <w:r w:rsidRPr="0010410A">
              <w:rPr>
                <w:rFonts w:ascii="Arial" w:hAnsi="Arial" w:cs="Arial"/>
                <w:noProof/>
                <w:webHidden/>
                <w:sz w:val="22"/>
                <w:szCs w:val="22"/>
              </w:rPr>
              <w:fldChar w:fldCharType="end"/>
            </w:r>
          </w:hyperlink>
        </w:p>
        <w:p w14:paraId="47E5C787" w14:textId="4EBF6401" w:rsidR="0010410A" w:rsidRPr="0010410A" w:rsidRDefault="0010410A">
          <w:pPr>
            <w:pStyle w:val="TOC1"/>
            <w:tabs>
              <w:tab w:val="right" w:leader="dot" w:pos="9016"/>
            </w:tabs>
            <w:rPr>
              <w:rFonts w:ascii="Arial" w:hAnsi="Arial" w:cs="Arial"/>
              <w:noProof/>
              <w:sz w:val="22"/>
              <w:szCs w:val="22"/>
            </w:rPr>
          </w:pPr>
          <w:hyperlink w:anchor="_Toc214027661" w:history="1">
            <w:r w:rsidRPr="0010410A">
              <w:rPr>
                <w:rStyle w:val="Hyperlink"/>
                <w:rFonts w:ascii="Arial" w:eastAsia="Times New Roman" w:hAnsi="Arial" w:cs="Arial"/>
                <w:b/>
                <w:bCs/>
                <w:noProof/>
                <w:sz w:val="22"/>
                <w:szCs w:val="22"/>
              </w:rPr>
              <w:t>5.6 Summary</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_Toc214027661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32</w:t>
            </w:r>
            <w:r w:rsidRPr="0010410A">
              <w:rPr>
                <w:rFonts w:ascii="Arial" w:hAnsi="Arial" w:cs="Arial"/>
                <w:noProof/>
                <w:webHidden/>
                <w:sz w:val="22"/>
                <w:szCs w:val="22"/>
              </w:rPr>
              <w:fldChar w:fldCharType="end"/>
            </w:r>
          </w:hyperlink>
        </w:p>
        <w:p w14:paraId="55246307" w14:textId="1AC7567A" w:rsidR="0010410A" w:rsidRPr="0010410A" w:rsidRDefault="0010410A">
          <w:pPr>
            <w:pStyle w:val="TOC3"/>
            <w:tabs>
              <w:tab w:val="right" w:leader="dot" w:pos="9016"/>
            </w:tabs>
            <w:rPr>
              <w:rFonts w:ascii="Arial" w:hAnsi="Arial" w:cs="Arial"/>
              <w:noProof/>
              <w:sz w:val="22"/>
              <w:szCs w:val="22"/>
            </w:rPr>
          </w:pPr>
          <w:hyperlink w:anchor="_Toc214027662" w:history="1">
            <w:r w:rsidRPr="0010410A">
              <w:rPr>
                <w:rStyle w:val="Hyperlink"/>
                <w:rFonts w:ascii="Arial" w:eastAsia="Times New Roman" w:hAnsi="Arial" w:cs="Arial"/>
                <w:b/>
                <w:bCs/>
                <w:noProof/>
                <w:sz w:val="22"/>
                <w:szCs w:val="22"/>
              </w:rPr>
              <w:t>Reference</w:t>
            </w:r>
            <w:r w:rsidRPr="0010410A">
              <w:rPr>
                <w:rFonts w:ascii="Arial" w:hAnsi="Arial" w:cs="Arial"/>
                <w:noProof/>
                <w:webHidden/>
                <w:sz w:val="22"/>
                <w:szCs w:val="22"/>
              </w:rPr>
              <w:tab/>
            </w:r>
            <w:r w:rsidRPr="0010410A">
              <w:rPr>
                <w:rFonts w:ascii="Arial" w:hAnsi="Arial" w:cs="Arial"/>
                <w:noProof/>
                <w:webHidden/>
                <w:sz w:val="22"/>
                <w:szCs w:val="22"/>
              </w:rPr>
              <w:fldChar w:fldCharType="begin"/>
            </w:r>
            <w:r w:rsidRPr="0010410A">
              <w:rPr>
                <w:rFonts w:ascii="Arial" w:hAnsi="Arial" w:cs="Arial"/>
                <w:noProof/>
                <w:webHidden/>
                <w:sz w:val="22"/>
                <w:szCs w:val="22"/>
              </w:rPr>
              <w:instrText xml:space="preserve"> PAGEREF _Toc214027662 \h </w:instrText>
            </w:r>
            <w:r w:rsidRPr="0010410A">
              <w:rPr>
                <w:rFonts w:ascii="Arial" w:hAnsi="Arial" w:cs="Arial"/>
                <w:noProof/>
                <w:webHidden/>
                <w:sz w:val="22"/>
                <w:szCs w:val="22"/>
              </w:rPr>
            </w:r>
            <w:r w:rsidRPr="0010410A">
              <w:rPr>
                <w:rFonts w:ascii="Arial" w:hAnsi="Arial" w:cs="Arial"/>
                <w:noProof/>
                <w:webHidden/>
                <w:sz w:val="22"/>
                <w:szCs w:val="22"/>
              </w:rPr>
              <w:fldChar w:fldCharType="separate"/>
            </w:r>
            <w:r>
              <w:rPr>
                <w:rFonts w:ascii="Arial" w:hAnsi="Arial" w:cs="Arial"/>
                <w:noProof/>
                <w:webHidden/>
                <w:sz w:val="22"/>
                <w:szCs w:val="22"/>
              </w:rPr>
              <w:t>33</w:t>
            </w:r>
            <w:r w:rsidRPr="0010410A">
              <w:rPr>
                <w:rFonts w:ascii="Arial" w:hAnsi="Arial" w:cs="Arial"/>
                <w:noProof/>
                <w:webHidden/>
                <w:sz w:val="22"/>
                <w:szCs w:val="22"/>
              </w:rPr>
              <w:fldChar w:fldCharType="end"/>
            </w:r>
          </w:hyperlink>
        </w:p>
        <w:p w14:paraId="40919373" w14:textId="4BE3F4D4" w:rsidR="0010410A" w:rsidRDefault="0010410A">
          <w:r w:rsidRPr="0010410A">
            <w:rPr>
              <w:rFonts w:ascii="Arial" w:hAnsi="Arial" w:cs="Arial"/>
              <w:b/>
              <w:bCs/>
              <w:noProof/>
              <w:sz w:val="22"/>
              <w:szCs w:val="22"/>
            </w:rPr>
            <w:fldChar w:fldCharType="end"/>
          </w:r>
        </w:p>
      </w:sdtContent>
    </w:sdt>
    <w:p w14:paraId="1FC51131" w14:textId="77777777" w:rsidR="003C6E1F" w:rsidRDefault="003C6E1F"/>
    <w:p w14:paraId="5EA6394A" w14:textId="77777777" w:rsidR="003C6E1F" w:rsidRDefault="003C6E1F"/>
    <w:p w14:paraId="120C651F" w14:textId="77777777" w:rsidR="003C6E1F" w:rsidRDefault="003C6E1F"/>
    <w:p w14:paraId="314B23E7" w14:textId="77777777" w:rsidR="003C6E1F" w:rsidRDefault="003C6E1F"/>
    <w:p w14:paraId="4DE5484F" w14:textId="77777777" w:rsidR="003C6E1F" w:rsidRDefault="003C6E1F"/>
    <w:p w14:paraId="45513D4D" w14:textId="77777777" w:rsidR="003C6E1F" w:rsidRDefault="003C6E1F"/>
    <w:p w14:paraId="6045B3FB" w14:textId="77777777" w:rsidR="00CE397E" w:rsidRPr="000350E6" w:rsidRDefault="00CE397E" w:rsidP="0010410A">
      <w:pPr>
        <w:pStyle w:val="Heading1"/>
        <w:spacing w:line="360" w:lineRule="auto"/>
        <w:ind w:left="2880" w:firstLine="720"/>
        <w:rPr>
          <w:rFonts w:ascii="Arial" w:eastAsia="Times New Roman" w:hAnsi="Arial" w:cs="Arial"/>
          <w:b/>
          <w:bCs/>
          <w:color w:val="auto"/>
          <w:sz w:val="32"/>
          <w:szCs w:val="32"/>
        </w:rPr>
      </w:pPr>
      <w:bookmarkStart w:id="0" w:name="_Toc919174193"/>
      <w:bookmarkStart w:id="1" w:name="_Toc214027602"/>
      <w:r w:rsidRPr="000350E6">
        <w:rPr>
          <w:rFonts w:ascii="Arial" w:eastAsia="Times New Roman" w:hAnsi="Arial" w:cs="Arial"/>
          <w:b/>
          <w:bCs/>
          <w:color w:val="auto"/>
          <w:sz w:val="32"/>
          <w:szCs w:val="32"/>
        </w:rPr>
        <w:lastRenderedPageBreak/>
        <w:t>Abstract</w:t>
      </w:r>
      <w:bookmarkEnd w:id="0"/>
      <w:bookmarkEnd w:id="1"/>
    </w:p>
    <w:p w14:paraId="6D168450" w14:textId="77777777" w:rsidR="00CE397E" w:rsidRPr="0007685E" w:rsidRDefault="00CE397E" w:rsidP="00CE397E">
      <w:pPr>
        <w:spacing w:line="360" w:lineRule="auto"/>
        <w:ind w:firstLine="720"/>
        <w:jc w:val="both"/>
        <w:rPr>
          <w:rFonts w:ascii="Arial" w:eastAsia="Times New Roman" w:hAnsi="Arial" w:cs="Arial"/>
          <w:color w:val="000000" w:themeColor="text1"/>
          <w:sz w:val="22"/>
          <w:szCs w:val="22"/>
        </w:rPr>
      </w:pPr>
      <w:r w:rsidRPr="0007685E">
        <w:rPr>
          <w:rFonts w:ascii="Arial" w:eastAsia="Times New Roman" w:hAnsi="Arial" w:cs="Arial"/>
          <w:color w:val="000000" w:themeColor="text1"/>
          <w:sz w:val="22"/>
          <w:szCs w:val="22"/>
        </w:rPr>
        <w:t>The paper focuses on the correlation of financial ratios and the share prices of companies in the FTSE 100 Index, specifically the years 2019 to 2023, or including the COVID-19 pandemic. The study will be based on the Fundamental Analysis Theory that states that intrinsic firm performance indicators hold significant market value. The quantitative positivist approach was used to gather secondary financial reports and databases including Bloomberg and Yahoo Finance. Descriptive and correlation analysis and multiple regression analyses have been used to understand the role of profitability, liquidity, and market ratios on the share price performance.</w:t>
      </w:r>
    </w:p>
    <w:p w14:paraId="13DEF2FE" w14:textId="77777777" w:rsidR="00CE397E" w:rsidRPr="0007685E" w:rsidRDefault="00CE397E" w:rsidP="00CE397E">
      <w:pPr>
        <w:spacing w:line="360" w:lineRule="auto"/>
        <w:ind w:firstLine="720"/>
        <w:jc w:val="both"/>
        <w:rPr>
          <w:rFonts w:ascii="Arial" w:eastAsia="Times New Roman" w:hAnsi="Arial" w:cs="Arial"/>
          <w:color w:val="000000" w:themeColor="text1"/>
          <w:sz w:val="22"/>
          <w:szCs w:val="22"/>
        </w:rPr>
      </w:pPr>
      <w:r w:rsidRPr="0007685E">
        <w:rPr>
          <w:rFonts w:ascii="Arial" w:eastAsia="Times New Roman" w:hAnsi="Arial" w:cs="Arial"/>
          <w:color w:val="000000" w:themeColor="text1"/>
          <w:sz w:val="22"/>
          <w:szCs w:val="22"/>
        </w:rPr>
        <w:t>The results indicate that profitability ratios, especially Earnings per Share (EPS) and Return on Equity (ROE), are significantly and positively related to the prices of shares, which may indicate that compared to companies that show lower internal financial performance, a company with higher internal financial performance is likely to be valued higher by the market. The liquidity ratios like the Current Ratio indicate a mixed association but weaker ones, meaning that market participants are more concerned with profitability and earnings potential and less concerned with short-term liquidity. The findings can be compared to the former works of empirical researchers (e.g., Al-</w:t>
      </w:r>
      <w:proofErr w:type="spellStart"/>
      <w:r w:rsidRPr="0007685E">
        <w:rPr>
          <w:rFonts w:ascii="Arial" w:eastAsia="Times New Roman" w:hAnsi="Arial" w:cs="Arial"/>
          <w:color w:val="000000" w:themeColor="text1"/>
          <w:sz w:val="22"/>
          <w:szCs w:val="22"/>
        </w:rPr>
        <w:t>Mwalla</w:t>
      </w:r>
      <w:proofErr w:type="spellEnd"/>
      <w:r w:rsidRPr="0007685E">
        <w:rPr>
          <w:rFonts w:ascii="Arial" w:eastAsia="Times New Roman" w:hAnsi="Arial" w:cs="Arial"/>
          <w:color w:val="000000" w:themeColor="text1"/>
          <w:sz w:val="22"/>
          <w:szCs w:val="22"/>
        </w:rPr>
        <w:t>, 2012; Rahman et al., 2020) that can substantiate the predictive ability of financial ratios in stock prices.</w:t>
      </w:r>
    </w:p>
    <w:p w14:paraId="6B1CAC8C" w14:textId="77777777" w:rsidR="00CE397E" w:rsidRPr="0007685E" w:rsidRDefault="00CE397E" w:rsidP="00CE397E">
      <w:pPr>
        <w:spacing w:line="360" w:lineRule="auto"/>
        <w:ind w:firstLine="720"/>
        <w:jc w:val="both"/>
        <w:rPr>
          <w:rFonts w:ascii="Arial" w:eastAsia="Times New Roman" w:hAnsi="Arial" w:cs="Arial"/>
          <w:color w:val="000000" w:themeColor="text1"/>
          <w:sz w:val="22"/>
          <w:szCs w:val="22"/>
        </w:rPr>
      </w:pPr>
      <w:r w:rsidRPr="0007685E">
        <w:rPr>
          <w:rFonts w:ascii="Arial" w:eastAsia="Times New Roman" w:hAnsi="Arial" w:cs="Arial"/>
          <w:color w:val="000000" w:themeColor="text1"/>
          <w:sz w:val="22"/>
          <w:szCs w:val="22"/>
        </w:rPr>
        <w:t>The current research study relates to the current body of literature by confirming the applicability of fundamental analysis in the framework of modern financial markets and specifically in times of global economic instability like the COVID-19 crisis. It has practical implications to investors, financial analysts, and policymakers who would like to know how intrinsic financial indicators would influence market valuation trends in the post-panning economy</w:t>
      </w:r>
    </w:p>
    <w:p w14:paraId="4614727E" w14:textId="77777777" w:rsidR="00CE397E" w:rsidRPr="0007685E" w:rsidRDefault="00CE397E" w:rsidP="00CE397E">
      <w:pPr>
        <w:spacing w:line="360" w:lineRule="auto"/>
        <w:ind w:firstLine="720"/>
        <w:jc w:val="both"/>
        <w:rPr>
          <w:rFonts w:ascii="Arial" w:eastAsia="Times New Roman" w:hAnsi="Arial" w:cs="Arial"/>
          <w:color w:val="000000" w:themeColor="text1"/>
          <w:sz w:val="22"/>
          <w:szCs w:val="22"/>
        </w:rPr>
      </w:pPr>
    </w:p>
    <w:p w14:paraId="19791A87"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55FB5CD9" w14:textId="77777777" w:rsidR="00CE397E" w:rsidRPr="000350E6" w:rsidRDefault="00CE397E" w:rsidP="00CE397E">
      <w:pPr>
        <w:pStyle w:val="Heading1"/>
        <w:spacing w:line="360" w:lineRule="auto"/>
        <w:jc w:val="center"/>
        <w:rPr>
          <w:rFonts w:ascii="Arial" w:eastAsia="Times New Roman" w:hAnsi="Arial" w:cs="Arial"/>
          <w:b/>
          <w:bCs/>
          <w:color w:val="auto"/>
          <w:sz w:val="32"/>
          <w:szCs w:val="32"/>
        </w:rPr>
      </w:pPr>
      <w:bookmarkStart w:id="2" w:name="_Toc1015914213"/>
      <w:bookmarkStart w:id="3" w:name="_Toc214027603"/>
      <w:r w:rsidRPr="000350E6">
        <w:rPr>
          <w:rFonts w:ascii="Arial" w:eastAsia="Times New Roman" w:hAnsi="Arial" w:cs="Arial"/>
          <w:b/>
          <w:bCs/>
          <w:color w:val="auto"/>
          <w:sz w:val="32"/>
          <w:szCs w:val="32"/>
        </w:rPr>
        <w:t>Acknowledgement</w:t>
      </w:r>
      <w:bookmarkEnd w:id="2"/>
      <w:bookmarkEnd w:id="3"/>
    </w:p>
    <w:p w14:paraId="2725C654" w14:textId="77777777" w:rsidR="00CE397E" w:rsidRPr="0007685E" w:rsidRDefault="00CE397E" w:rsidP="00CE397E">
      <w:pPr>
        <w:spacing w:before="240" w:after="240" w:line="360" w:lineRule="auto"/>
        <w:jc w:val="both"/>
        <w:rPr>
          <w:rFonts w:ascii="Arial" w:eastAsia="Times New Roman" w:hAnsi="Arial" w:cs="Arial"/>
          <w:sz w:val="22"/>
          <w:szCs w:val="22"/>
        </w:rPr>
      </w:pPr>
      <w:r w:rsidRPr="0007685E">
        <w:rPr>
          <w:rFonts w:ascii="Arial" w:eastAsia="Times New Roman" w:hAnsi="Arial" w:cs="Arial"/>
          <w:sz w:val="22"/>
          <w:szCs w:val="22"/>
        </w:rPr>
        <w:t xml:space="preserve">I would like to express my deepest gratitude to my supervisor, </w:t>
      </w:r>
      <w:r w:rsidRPr="0007685E">
        <w:rPr>
          <w:rFonts w:ascii="Arial" w:eastAsia="Times New Roman" w:hAnsi="Arial" w:cs="Arial"/>
          <w:b/>
          <w:bCs/>
          <w:sz w:val="22"/>
          <w:szCs w:val="22"/>
        </w:rPr>
        <w:t>[Supervisor’s Name]</w:t>
      </w:r>
      <w:r w:rsidRPr="0007685E">
        <w:rPr>
          <w:rFonts w:ascii="Arial" w:eastAsia="Times New Roman" w:hAnsi="Arial" w:cs="Arial"/>
          <w:sz w:val="22"/>
          <w:szCs w:val="22"/>
        </w:rPr>
        <w:t>, for their invaluable guidance, insightful feedback, and continuous support throughout the development of this research project. Their expertise and encouragement were instrumental in shaping the direction of this study and enhancing the quality of my work.</w:t>
      </w:r>
    </w:p>
    <w:p w14:paraId="6F3641A8" w14:textId="77777777" w:rsidR="00CE397E" w:rsidRPr="0007685E" w:rsidRDefault="00CE397E" w:rsidP="00CE397E">
      <w:pPr>
        <w:spacing w:before="240" w:after="240" w:line="360" w:lineRule="auto"/>
        <w:jc w:val="both"/>
        <w:rPr>
          <w:rFonts w:ascii="Arial" w:eastAsia="Times New Roman" w:hAnsi="Arial" w:cs="Arial"/>
          <w:sz w:val="22"/>
          <w:szCs w:val="22"/>
        </w:rPr>
      </w:pPr>
      <w:r w:rsidRPr="0007685E">
        <w:rPr>
          <w:rFonts w:ascii="Arial" w:eastAsia="Times New Roman" w:hAnsi="Arial" w:cs="Arial"/>
          <w:sz w:val="22"/>
          <w:szCs w:val="22"/>
        </w:rPr>
        <w:lastRenderedPageBreak/>
        <w:t>I am also thankful to the faculty and staff of Bath Spa University, particularly within the Business and Management Department, for providing a supportive academic environment and access to essential research resources that made this study possible.</w:t>
      </w:r>
    </w:p>
    <w:p w14:paraId="0F81AC44" w14:textId="77777777" w:rsidR="00CE397E" w:rsidRPr="0007685E" w:rsidRDefault="00CE397E" w:rsidP="00CE397E">
      <w:pPr>
        <w:spacing w:before="240" w:after="240" w:line="360" w:lineRule="auto"/>
        <w:jc w:val="both"/>
        <w:rPr>
          <w:rFonts w:ascii="Arial" w:eastAsia="Times New Roman" w:hAnsi="Arial" w:cs="Arial"/>
          <w:sz w:val="22"/>
          <w:szCs w:val="22"/>
        </w:rPr>
      </w:pPr>
      <w:r w:rsidRPr="0007685E">
        <w:rPr>
          <w:rFonts w:ascii="Arial" w:eastAsia="Times New Roman" w:hAnsi="Arial" w:cs="Arial"/>
          <w:sz w:val="22"/>
          <w:szCs w:val="22"/>
        </w:rPr>
        <w:t>Special thanks go to my family and friends for their unwavering encouragement, patience, and understanding during the entire research process. Their moral support and motivation have been a constant source of inspiration.</w:t>
      </w:r>
    </w:p>
    <w:p w14:paraId="7CBA6545" w14:textId="77777777" w:rsidR="00CE397E" w:rsidRPr="0007685E" w:rsidRDefault="00CE397E" w:rsidP="00CE397E">
      <w:pPr>
        <w:spacing w:before="240" w:after="240" w:line="360" w:lineRule="auto"/>
        <w:jc w:val="both"/>
        <w:rPr>
          <w:rFonts w:ascii="Arial" w:eastAsia="Times New Roman" w:hAnsi="Arial" w:cs="Arial"/>
          <w:sz w:val="22"/>
          <w:szCs w:val="22"/>
        </w:rPr>
      </w:pPr>
      <w:r w:rsidRPr="0007685E">
        <w:rPr>
          <w:rFonts w:ascii="Arial" w:eastAsia="Times New Roman" w:hAnsi="Arial" w:cs="Arial"/>
          <w:sz w:val="22"/>
          <w:szCs w:val="22"/>
        </w:rPr>
        <w:t>Finally, I acknowledge the researchers and authors whose works provided the foundation for this study. Their scholarly contributions have been critical in advancing my understanding of financial analysis and market behaviour.</w:t>
      </w:r>
    </w:p>
    <w:p w14:paraId="15CC0D97" w14:textId="77777777" w:rsidR="00CE397E" w:rsidRPr="0007685E" w:rsidRDefault="00CE397E" w:rsidP="00CE397E">
      <w:pPr>
        <w:spacing w:before="240" w:after="240" w:line="360" w:lineRule="auto"/>
        <w:jc w:val="both"/>
        <w:rPr>
          <w:rFonts w:ascii="Arial" w:eastAsia="Times New Roman" w:hAnsi="Arial" w:cs="Arial"/>
          <w:b/>
          <w:bCs/>
          <w:sz w:val="22"/>
          <w:szCs w:val="22"/>
        </w:rPr>
      </w:pPr>
      <w:r w:rsidRPr="0007685E">
        <w:rPr>
          <w:rFonts w:ascii="Arial" w:eastAsia="Times New Roman" w:hAnsi="Arial" w:cs="Arial"/>
          <w:b/>
          <w:bCs/>
          <w:sz w:val="22"/>
          <w:szCs w:val="22"/>
        </w:rPr>
        <w:t>Thank you all for your invaluable contributions to the completion of this research.</w:t>
      </w:r>
    </w:p>
    <w:p w14:paraId="503227B5"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2F2A1A08"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7D355F1F"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038F2DA3"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26D685FB"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0EDEB7C4"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113C9BEB"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5D36454F" w14:textId="77777777" w:rsidR="00CE397E" w:rsidRPr="004A1235" w:rsidRDefault="00CE397E" w:rsidP="00CE397E">
      <w:pPr>
        <w:pStyle w:val="Heading1"/>
        <w:jc w:val="center"/>
        <w:rPr>
          <w:rFonts w:ascii="Arial" w:eastAsia="Times New Roman" w:hAnsi="Arial" w:cs="Arial"/>
          <w:b/>
          <w:bCs/>
          <w:color w:val="auto"/>
          <w:sz w:val="32"/>
          <w:szCs w:val="32"/>
        </w:rPr>
      </w:pPr>
      <w:bookmarkStart w:id="4" w:name="_Toc471181679"/>
      <w:bookmarkStart w:id="5" w:name="_Toc214027604"/>
      <w:r w:rsidRPr="004A1235">
        <w:rPr>
          <w:rFonts w:ascii="Arial" w:eastAsia="Times New Roman" w:hAnsi="Arial" w:cs="Arial"/>
          <w:b/>
          <w:bCs/>
          <w:color w:val="auto"/>
          <w:sz w:val="32"/>
          <w:szCs w:val="32"/>
        </w:rPr>
        <w:t>List of Tables</w:t>
      </w:r>
      <w:bookmarkEnd w:id="4"/>
      <w:bookmarkEnd w:id="5"/>
    </w:p>
    <w:p w14:paraId="060DD7B9" w14:textId="77777777" w:rsidR="00CE397E" w:rsidRPr="0007685E" w:rsidRDefault="00CE397E" w:rsidP="00CE397E">
      <w:pPr>
        <w:spacing w:line="360" w:lineRule="auto"/>
        <w:jc w:val="both"/>
        <w:rPr>
          <w:rFonts w:ascii="Arial" w:eastAsia="Times New Roman" w:hAnsi="Arial" w:cs="Arial"/>
          <w:color w:val="000000" w:themeColor="text1"/>
          <w:sz w:val="22"/>
          <w:szCs w:val="22"/>
        </w:rPr>
      </w:pPr>
    </w:p>
    <w:p w14:paraId="5C197686" w14:textId="77777777" w:rsidR="00CE397E" w:rsidRPr="0007685E" w:rsidRDefault="00CE397E" w:rsidP="00CE397E">
      <w:pPr>
        <w:spacing w:line="360" w:lineRule="auto"/>
        <w:jc w:val="both"/>
        <w:rPr>
          <w:rFonts w:ascii="Arial" w:eastAsia="Times New Roman" w:hAnsi="Arial" w:cs="Arial"/>
          <w:color w:val="000000" w:themeColor="text1"/>
          <w:sz w:val="22"/>
          <w:szCs w:val="22"/>
        </w:rPr>
      </w:pPr>
      <w:r w:rsidRPr="0007685E">
        <w:rPr>
          <w:rFonts w:ascii="Arial" w:eastAsia="Times New Roman" w:hAnsi="Arial" w:cs="Arial"/>
          <w:color w:val="000000" w:themeColor="text1"/>
          <w:sz w:val="22"/>
          <w:szCs w:val="22"/>
        </w:rPr>
        <w:t>Table 1: Descriptive Statistics</w:t>
      </w:r>
    </w:p>
    <w:p w14:paraId="57E4D3DC" w14:textId="77777777" w:rsidR="00CE397E" w:rsidRPr="0007685E" w:rsidRDefault="00CE397E" w:rsidP="00CE397E">
      <w:pPr>
        <w:spacing w:line="360" w:lineRule="auto"/>
        <w:jc w:val="both"/>
        <w:rPr>
          <w:rFonts w:ascii="Arial" w:eastAsia="Times New Roman" w:hAnsi="Arial" w:cs="Arial"/>
          <w:color w:val="000000" w:themeColor="text1"/>
          <w:sz w:val="22"/>
          <w:szCs w:val="22"/>
        </w:rPr>
      </w:pPr>
      <w:r w:rsidRPr="0007685E">
        <w:rPr>
          <w:rFonts w:ascii="Arial" w:eastAsia="Times New Roman" w:hAnsi="Arial" w:cs="Arial"/>
          <w:color w:val="000000" w:themeColor="text1"/>
          <w:sz w:val="22"/>
          <w:szCs w:val="22"/>
        </w:rPr>
        <w:t>Table 2: Correlation Matrix</w:t>
      </w:r>
    </w:p>
    <w:p w14:paraId="00A08F52" w14:textId="77777777" w:rsidR="00CE397E" w:rsidRPr="0007685E" w:rsidRDefault="00CE397E" w:rsidP="00CE397E">
      <w:pPr>
        <w:spacing w:line="360" w:lineRule="auto"/>
        <w:jc w:val="both"/>
        <w:rPr>
          <w:rFonts w:ascii="Arial" w:eastAsia="Times New Roman" w:hAnsi="Arial" w:cs="Arial"/>
          <w:color w:val="000000" w:themeColor="text1"/>
          <w:sz w:val="22"/>
          <w:szCs w:val="22"/>
        </w:rPr>
      </w:pPr>
      <w:r w:rsidRPr="0007685E">
        <w:rPr>
          <w:rFonts w:ascii="Arial" w:eastAsia="Times New Roman" w:hAnsi="Arial" w:cs="Arial"/>
          <w:color w:val="000000" w:themeColor="text1"/>
          <w:sz w:val="22"/>
          <w:szCs w:val="22"/>
        </w:rPr>
        <w:t>Table 3: Regression Analysis</w:t>
      </w:r>
    </w:p>
    <w:p w14:paraId="75A89AC0" w14:textId="77777777" w:rsidR="00CE397E" w:rsidRDefault="00CE397E"/>
    <w:p w14:paraId="16C8B418" w14:textId="77777777" w:rsidR="003C6E1F" w:rsidRDefault="003C6E1F"/>
    <w:p w14:paraId="6E8A0C72"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6" w:name="_Toc596303054"/>
      <w:bookmarkStart w:id="7" w:name="_Toc214027605"/>
      <w:r w:rsidRPr="00F7201A">
        <w:rPr>
          <w:rFonts w:ascii="Arial" w:eastAsia="Times New Roman" w:hAnsi="Arial" w:cs="Arial"/>
          <w:b/>
          <w:bCs/>
          <w:color w:val="auto"/>
          <w:sz w:val="32"/>
          <w:szCs w:val="32"/>
        </w:rPr>
        <w:lastRenderedPageBreak/>
        <w:t>Chapter 1: Introduction</w:t>
      </w:r>
      <w:bookmarkEnd w:id="6"/>
      <w:bookmarkEnd w:id="7"/>
    </w:p>
    <w:p w14:paraId="410C5718" w14:textId="77777777" w:rsidR="00CE397E" w:rsidRPr="00B15E29"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 dynamics of stock markets have long captivated academics, experts, and policymakers alike. Share prices vary due to a wide range of factors, from macroeconomic conditions to industry trends and firm-specific fundamentals. Among the firm-level indicators, financial ratios occupy a central position in both theoretical finance and applied investment analysis. Ratios such as the Price-to-Earnings (P/E), Earnings per Share (EPS), Return on Assets (ROA), Bonus Yield, and Current Ratio are widely used by experts to interpret corporate performance and guide investment decisions. These indicators provide understandings into a company’s success, efficiency, liquidity, wealth, and growth prospects, making them critical to both equity valuation and investor decision-making processes.</w:t>
      </w:r>
    </w:p>
    <w:p w14:paraId="1175F9EE" w14:textId="77777777" w:rsidR="00CE397E" w:rsidRPr="00B15E29"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 link between financial ratios and share prices has been discovered widely within the field of corporate finance. However, the findings remain mixed and background specific. For example, while Basu (1977) found that low P/E stocks generate higher returns, more recent studies (e.g., Chen and Zhao, 2009) suggest that EPS and ROE are stronger analysts of future stock returns. These irregularities highlight the need for transformed investigation, especially in the post-COVID-19 economic climate where traditional valuation models may face new challenges.</w:t>
      </w:r>
    </w:p>
    <w:p w14:paraId="7601DA80" w14:textId="77777777" w:rsidR="00CE397E" w:rsidRPr="00B15E29"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 UK stock market, represented by FTSE 100, offers fertile ground for such research. As one of the most developed and varied financial markets, it provides rich data across multiple sectors, including finance, energy, healthcare, and consumer goods. However, despite the maturity of this market, recent research focusing specifically on the relationship between financial ratios and share prices in the UK has been limited. This gap creates an opportunity to revisit the topic using updated data from 2019–2023, encompassing the pre-pandemic, pandemic, and post-pandemic periods.</w:t>
      </w:r>
    </w:p>
    <w:p w14:paraId="402865CC" w14:textId="77777777" w:rsidR="00CE397E" w:rsidRPr="00F7201A" w:rsidRDefault="00CE397E" w:rsidP="00CE397E">
      <w:pPr>
        <w:spacing w:after="0" w:line="360" w:lineRule="auto"/>
        <w:jc w:val="both"/>
        <w:rPr>
          <w:rFonts w:ascii="Arial" w:eastAsia="Times New Roman" w:hAnsi="Arial" w:cs="Arial"/>
          <w:color w:val="000000" w:themeColor="text1"/>
        </w:rPr>
      </w:pPr>
    </w:p>
    <w:p w14:paraId="68D62257"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8" w:name="_Toc1673236243"/>
      <w:bookmarkStart w:id="9" w:name="_Toc214027606"/>
      <w:r w:rsidRPr="00F7201A">
        <w:rPr>
          <w:rFonts w:ascii="Arial" w:eastAsia="Times New Roman" w:hAnsi="Arial" w:cs="Arial"/>
          <w:b/>
          <w:bCs/>
          <w:color w:val="auto"/>
          <w:sz w:val="32"/>
          <w:szCs w:val="32"/>
        </w:rPr>
        <w:t>1.1 Background of the Study</w:t>
      </w:r>
      <w:bookmarkEnd w:id="8"/>
      <w:bookmarkEnd w:id="9"/>
    </w:p>
    <w:p w14:paraId="79F05EA2" w14:textId="77777777" w:rsidR="00CE397E" w:rsidRPr="00B15E29"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 xml:space="preserve">Financial ratios serve as measurable tools that convert raw accounting data into explainable measures of company health and performance. They are classified into categories such as profitability ratios (e.g., ROA, Net Profit Margin), liquidity ratios (e.g., Current Ratio, Return on Liquidity), and estimate ratios (e.g., P/E, PEG, Dividend Yield). These ratios not </w:t>
      </w:r>
      <w:r w:rsidRPr="00B15E29">
        <w:rPr>
          <w:rFonts w:ascii="Arial" w:eastAsia="Times New Roman" w:hAnsi="Arial" w:cs="Arial"/>
          <w:color w:val="000000" w:themeColor="text1"/>
          <w:sz w:val="22"/>
          <w:szCs w:val="22"/>
        </w:rPr>
        <w:lastRenderedPageBreak/>
        <w:t>only enable cross-company and cross-sectoral comparisons but also help investors form expectations about the basic value of firms.</w:t>
      </w:r>
    </w:p>
    <w:p w14:paraId="156B76CC" w14:textId="77777777" w:rsidR="00CE397E" w:rsidRPr="00B15E29" w:rsidRDefault="00CE397E" w:rsidP="00CE397E">
      <w:pPr>
        <w:spacing w:beforeAutospacing="1" w:after="0"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Theoretically, financial ratios can influence share prices in two principal ways. First, under the Efficient Market Hypothesis (Fama, 1970), all openly available information, including financial ratios, should already be reflected in share prices. If this holds true, ratios will have little analytical power. On the other hand, fundamental analysis (Graham and Dodd, 1934) reasons that financial statements reveal mispriced securities, and careful use of ratios allows investors to exploit market incompetence. The tension between these two views supports the ongoing debate in finance: do financial ratios truly explain share price movements, or are they simply expressive tools with limited projecting capacity? This study contributes to the debate by analytically testing the statistical relationship between selected financial ratios and share prices of FTSE 100 companies.</w:t>
      </w:r>
    </w:p>
    <w:p w14:paraId="56B93305" w14:textId="77777777" w:rsidR="00CE397E" w:rsidRPr="00F7201A" w:rsidRDefault="00CE397E" w:rsidP="00CE397E">
      <w:pPr>
        <w:pStyle w:val="Heading1"/>
        <w:jc w:val="center"/>
        <w:rPr>
          <w:rFonts w:ascii="Arial" w:eastAsia="Times New Roman" w:hAnsi="Arial" w:cs="Arial"/>
          <w:b/>
          <w:bCs/>
          <w:color w:val="auto"/>
          <w:sz w:val="32"/>
          <w:szCs w:val="32"/>
        </w:rPr>
      </w:pPr>
      <w:bookmarkStart w:id="10" w:name="_Toc1176316583"/>
      <w:bookmarkStart w:id="11" w:name="_Toc214027607"/>
      <w:r w:rsidRPr="00F7201A">
        <w:rPr>
          <w:rFonts w:ascii="Arial" w:eastAsia="Times New Roman" w:hAnsi="Arial" w:cs="Arial"/>
          <w:b/>
          <w:bCs/>
          <w:color w:val="auto"/>
          <w:sz w:val="32"/>
          <w:szCs w:val="32"/>
        </w:rPr>
        <w:t>1.2 Statement of the Problem</w:t>
      </w:r>
      <w:bookmarkEnd w:id="10"/>
      <w:bookmarkEnd w:id="11"/>
    </w:p>
    <w:p w14:paraId="19E72887" w14:textId="77777777" w:rsidR="00CE397E" w:rsidRPr="00B15E29" w:rsidRDefault="00CE397E" w:rsidP="00CE397E">
      <w:pPr>
        <w:spacing w:beforeAutospacing="1" w:after="0"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Although financial ratios are widely used by investors, analysts, and corporate managers, their projecting power regarding share price movements remains undefined. Existing studies offer disagreeing evidence, often influenced by geographical context, time limit, or industry sector. Moreover, there is a lack of recent, UK-specific studies that include the structural shocks introduced by COVID-19, Brexit worries, and inflationary pressures. Thus, the central problem addressed by this thesis is the doubt surrounding the impact of financial ratios on share prices in the UK stock market. Resolving this issue holds practical relevance for investors seeking effective valuation models, businesses aiming to understand investor behaviour, and policymakers concerned with market efficiency.</w:t>
      </w:r>
    </w:p>
    <w:p w14:paraId="540A711F"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2" w:name="_Toc645417584"/>
      <w:bookmarkStart w:id="13" w:name="_Toc214027608"/>
      <w:r w:rsidRPr="00F7201A">
        <w:rPr>
          <w:rFonts w:ascii="Arial" w:eastAsia="Times New Roman" w:hAnsi="Arial" w:cs="Arial"/>
          <w:b/>
          <w:bCs/>
          <w:color w:val="auto"/>
          <w:sz w:val="32"/>
          <w:szCs w:val="32"/>
        </w:rPr>
        <w:t>1.3 Research Aim, Objectives and Questions</w:t>
      </w:r>
      <w:bookmarkEnd w:id="12"/>
      <w:bookmarkEnd w:id="13"/>
    </w:p>
    <w:p w14:paraId="2FA2A74D" w14:textId="77777777" w:rsidR="00CE397E" w:rsidRPr="00F7201A" w:rsidRDefault="00CE397E" w:rsidP="00CE397E">
      <w:pPr>
        <w:spacing w:beforeAutospacing="1" w:afterAutospacing="1" w:line="360" w:lineRule="auto"/>
        <w:jc w:val="both"/>
        <w:rPr>
          <w:rFonts w:ascii="Arial" w:eastAsia="Times New Roman" w:hAnsi="Arial" w:cs="Arial"/>
          <w:color w:val="000000" w:themeColor="text1"/>
          <w:sz w:val="27"/>
          <w:szCs w:val="27"/>
        </w:rPr>
      </w:pPr>
      <w:r w:rsidRPr="00F7201A">
        <w:rPr>
          <w:rFonts w:ascii="Arial" w:eastAsia="Times New Roman" w:hAnsi="Arial" w:cs="Arial"/>
          <w:b/>
          <w:bCs/>
          <w:color w:val="000000" w:themeColor="text1"/>
          <w:sz w:val="27"/>
          <w:szCs w:val="27"/>
        </w:rPr>
        <w:t>Research Aim</w:t>
      </w:r>
    </w:p>
    <w:p w14:paraId="0DF9042D" w14:textId="77777777" w:rsidR="00CE397E" w:rsidRPr="00F7201A" w:rsidRDefault="00CE397E" w:rsidP="00CE397E">
      <w:pPr>
        <w:spacing w:beforeAutospacing="1" w:afterAutospacing="1" w:line="360" w:lineRule="auto"/>
        <w:jc w:val="both"/>
        <w:rPr>
          <w:rFonts w:ascii="Arial" w:eastAsia="Times New Roman" w:hAnsi="Arial" w:cs="Arial"/>
          <w:color w:val="000000" w:themeColor="text1"/>
        </w:rPr>
      </w:pPr>
      <w:r w:rsidRPr="00B15E29">
        <w:rPr>
          <w:rFonts w:ascii="Arial" w:eastAsia="Times New Roman" w:hAnsi="Arial" w:cs="Arial"/>
          <w:color w:val="000000" w:themeColor="text1"/>
          <w:sz w:val="22"/>
          <w:szCs w:val="22"/>
        </w:rPr>
        <w:t>To examine the statistical impact of selected financial ratios on the share prices of UK-listed firms</w:t>
      </w:r>
      <w:r w:rsidRPr="00F7201A">
        <w:rPr>
          <w:rFonts w:ascii="Arial" w:eastAsia="Times New Roman" w:hAnsi="Arial" w:cs="Arial"/>
          <w:color w:val="000000" w:themeColor="text1"/>
        </w:rPr>
        <w:t>.</w:t>
      </w:r>
    </w:p>
    <w:p w14:paraId="2521E59A" w14:textId="77777777" w:rsidR="00CE397E" w:rsidRPr="00F7201A" w:rsidRDefault="00CE397E" w:rsidP="00CE397E">
      <w:pPr>
        <w:spacing w:beforeAutospacing="1" w:afterAutospacing="1" w:line="360" w:lineRule="auto"/>
        <w:jc w:val="both"/>
        <w:rPr>
          <w:rFonts w:ascii="Arial" w:eastAsia="Times New Roman" w:hAnsi="Arial" w:cs="Arial"/>
          <w:color w:val="000000" w:themeColor="text1"/>
          <w:sz w:val="27"/>
          <w:szCs w:val="27"/>
        </w:rPr>
      </w:pPr>
      <w:r w:rsidRPr="00F7201A">
        <w:rPr>
          <w:rFonts w:ascii="Arial" w:eastAsia="Times New Roman" w:hAnsi="Arial" w:cs="Arial"/>
          <w:b/>
          <w:bCs/>
          <w:color w:val="000000" w:themeColor="text1"/>
          <w:sz w:val="27"/>
          <w:szCs w:val="27"/>
        </w:rPr>
        <w:t>Research Objectives</w:t>
      </w:r>
    </w:p>
    <w:p w14:paraId="207201B7" w14:textId="77777777" w:rsidR="00CE397E" w:rsidRPr="001068B6"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1068B6">
        <w:rPr>
          <w:rFonts w:ascii="Arial" w:eastAsia="Times New Roman" w:hAnsi="Arial" w:cs="Arial"/>
          <w:color w:val="000000" w:themeColor="text1"/>
          <w:sz w:val="22"/>
          <w:szCs w:val="22"/>
        </w:rPr>
        <w:t>To evaluate the impact of success, liquidity, and valuation ratios on share prices.</w:t>
      </w:r>
    </w:p>
    <w:p w14:paraId="50B888DE" w14:textId="77777777" w:rsidR="00CE397E" w:rsidRPr="001068B6"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1068B6">
        <w:rPr>
          <w:rFonts w:ascii="Arial" w:eastAsia="Times New Roman" w:hAnsi="Arial" w:cs="Arial"/>
          <w:color w:val="000000" w:themeColor="text1"/>
          <w:sz w:val="22"/>
          <w:szCs w:val="22"/>
        </w:rPr>
        <w:lastRenderedPageBreak/>
        <w:t>To apply statistical analysis methods (connection and worsening) to determine the strength of the relationship between ratios and share prices.</w:t>
      </w:r>
    </w:p>
    <w:p w14:paraId="5267A01D" w14:textId="77777777" w:rsidR="00CE397E" w:rsidRPr="001068B6"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1068B6">
        <w:rPr>
          <w:rFonts w:ascii="Arial" w:eastAsia="Times New Roman" w:hAnsi="Arial" w:cs="Arial"/>
          <w:color w:val="000000" w:themeColor="text1"/>
          <w:sz w:val="22"/>
          <w:szCs w:val="22"/>
        </w:rPr>
        <w:t>To provide understandings that can support investor decision-making and enhance the literature on financial valuation in the UK.</w:t>
      </w:r>
    </w:p>
    <w:p w14:paraId="6C764EDA" w14:textId="77777777" w:rsidR="00CE397E" w:rsidRPr="00F7201A" w:rsidRDefault="00CE397E" w:rsidP="00CE397E">
      <w:pPr>
        <w:spacing w:beforeAutospacing="1" w:afterAutospacing="1" w:line="360" w:lineRule="auto"/>
        <w:jc w:val="both"/>
        <w:rPr>
          <w:rFonts w:ascii="Arial" w:eastAsia="Times New Roman" w:hAnsi="Arial" w:cs="Arial"/>
          <w:color w:val="000000" w:themeColor="text1"/>
          <w:sz w:val="27"/>
          <w:szCs w:val="27"/>
        </w:rPr>
      </w:pPr>
      <w:r w:rsidRPr="00F7201A">
        <w:rPr>
          <w:rFonts w:ascii="Arial" w:eastAsia="Times New Roman" w:hAnsi="Arial" w:cs="Arial"/>
          <w:b/>
          <w:bCs/>
          <w:color w:val="000000" w:themeColor="text1"/>
          <w:sz w:val="27"/>
          <w:szCs w:val="27"/>
        </w:rPr>
        <w:t>Research Questions</w:t>
      </w:r>
    </w:p>
    <w:p w14:paraId="11BBE4A1" w14:textId="77777777" w:rsidR="00CE397E"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0E5E5C">
        <w:rPr>
          <w:rFonts w:ascii="Arial" w:eastAsia="Times New Roman" w:hAnsi="Arial" w:cs="Arial"/>
          <w:color w:val="000000" w:themeColor="text1"/>
          <w:sz w:val="22"/>
          <w:szCs w:val="22"/>
        </w:rPr>
        <w:t>How do key financial ratios affect the share prices of UK-listed companies?</w:t>
      </w:r>
    </w:p>
    <w:p w14:paraId="703EA976" w14:textId="77777777" w:rsidR="00CE397E" w:rsidRPr="000E5E5C"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0E5E5C">
        <w:rPr>
          <w:rFonts w:ascii="Arial" w:eastAsia="Times New Roman" w:hAnsi="Arial" w:cs="Arial"/>
          <w:color w:val="000000" w:themeColor="text1"/>
          <w:sz w:val="22"/>
          <w:szCs w:val="22"/>
        </w:rPr>
        <w:t>Are some financial ratios better predictors of share prices than others?</w:t>
      </w:r>
    </w:p>
    <w:p w14:paraId="2EF7FDD1" w14:textId="77777777" w:rsidR="00CE397E" w:rsidRPr="000E5E5C"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0E5E5C">
        <w:rPr>
          <w:rFonts w:ascii="Arial" w:eastAsia="Times New Roman" w:hAnsi="Arial" w:cs="Arial"/>
          <w:color w:val="000000" w:themeColor="text1"/>
          <w:sz w:val="22"/>
          <w:szCs w:val="22"/>
        </w:rPr>
        <w:t>How has the relationship between financial ratios and share prices evolved during the pre- and post-COVID-19 periods?</w:t>
      </w:r>
    </w:p>
    <w:p w14:paraId="7AD10EC4" w14:textId="77777777" w:rsidR="00CE397E" w:rsidRPr="00F7201A" w:rsidRDefault="00CE397E" w:rsidP="00CE397E">
      <w:pPr>
        <w:spacing w:after="0" w:line="360" w:lineRule="auto"/>
        <w:jc w:val="both"/>
        <w:rPr>
          <w:rFonts w:ascii="Arial" w:eastAsia="Times New Roman" w:hAnsi="Arial" w:cs="Arial"/>
          <w:color w:val="000000" w:themeColor="text1"/>
        </w:rPr>
      </w:pPr>
    </w:p>
    <w:p w14:paraId="41307F39" w14:textId="77777777" w:rsidR="00CE397E" w:rsidRPr="00F7201A" w:rsidRDefault="00CE397E" w:rsidP="00CE397E">
      <w:pPr>
        <w:pStyle w:val="Heading1"/>
        <w:jc w:val="center"/>
        <w:rPr>
          <w:rFonts w:ascii="Arial" w:eastAsia="Times New Roman" w:hAnsi="Arial" w:cs="Arial"/>
          <w:b/>
          <w:bCs/>
          <w:color w:val="auto"/>
          <w:sz w:val="32"/>
          <w:szCs w:val="32"/>
        </w:rPr>
      </w:pPr>
      <w:bookmarkStart w:id="14" w:name="_Toc787508812"/>
      <w:bookmarkStart w:id="15" w:name="_Toc214027609"/>
      <w:r w:rsidRPr="00F7201A">
        <w:rPr>
          <w:rFonts w:ascii="Arial" w:eastAsia="Times New Roman" w:hAnsi="Arial" w:cs="Arial"/>
          <w:b/>
          <w:bCs/>
          <w:color w:val="auto"/>
          <w:sz w:val="32"/>
          <w:szCs w:val="32"/>
        </w:rPr>
        <w:t>1.4 Structure of the Dissertation</w:t>
      </w:r>
      <w:bookmarkEnd w:id="14"/>
      <w:bookmarkEnd w:id="15"/>
    </w:p>
    <w:p w14:paraId="7C8D77A8" w14:textId="77777777" w:rsidR="00CE397E" w:rsidRPr="00B15E29"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This dissertation is structured into five chapters:</w:t>
      </w:r>
    </w:p>
    <w:p w14:paraId="5A3472F2" w14:textId="77777777" w:rsidR="00CE397E"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7A1CD5">
        <w:rPr>
          <w:rFonts w:ascii="Arial" w:eastAsia="Times New Roman" w:hAnsi="Arial" w:cs="Arial"/>
          <w:b/>
          <w:bCs/>
          <w:color w:val="000000" w:themeColor="text1"/>
        </w:rPr>
        <w:t>Chapter 1</w:t>
      </w:r>
      <w:r w:rsidRPr="007867B0">
        <w:rPr>
          <w:rFonts w:ascii="Arial" w:eastAsia="Times New Roman" w:hAnsi="Arial" w:cs="Arial"/>
          <w:b/>
          <w:bCs/>
          <w:color w:val="000000" w:themeColor="text1"/>
          <w:sz w:val="22"/>
          <w:szCs w:val="22"/>
        </w:rPr>
        <w:t xml:space="preserve"> (Introduction):</w:t>
      </w:r>
      <w:r w:rsidRPr="007867B0">
        <w:rPr>
          <w:rFonts w:ascii="Arial" w:eastAsia="Times New Roman" w:hAnsi="Arial" w:cs="Arial"/>
          <w:color w:val="000000" w:themeColor="text1"/>
          <w:sz w:val="22"/>
          <w:szCs w:val="22"/>
        </w:rPr>
        <w:t xml:space="preserve"> Provides background, research problems, aims, objectives, and questions.</w:t>
      </w:r>
    </w:p>
    <w:p w14:paraId="292AA520" w14:textId="77777777" w:rsidR="00CE397E" w:rsidRPr="007867B0"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7A1CD5">
        <w:rPr>
          <w:rFonts w:ascii="Arial" w:eastAsia="Times New Roman" w:hAnsi="Arial" w:cs="Arial"/>
          <w:b/>
          <w:bCs/>
          <w:color w:val="000000" w:themeColor="text1"/>
        </w:rPr>
        <w:t>Chapter 2</w:t>
      </w:r>
      <w:r w:rsidRPr="007867B0">
        <w:rPr>
          <w:rFonts w:ascii="Arial" w:eastAsia="Times New Roman" w:hAnsi="Arial" w:cs="Arial"/>
          <w:b/>
          <w:bCs/>
          <w:color w:val="000000" w:themeColor="text1"/>
          <w:sz w:val="22"/>
          <w:szCs w:val="22"/>
        </w:rPr>
        <w:t xml:space="preserve"> (Literature Review):</w:t>
      </w:r>
      <w:r w:rsidRPr="007867B0">
        <w:rPr>
          <w:rFonts w:ascii="Arial" w:eastAsia="Times New Roman" w:hAnsi="Arial" w:cs="Arial"/>
          <w:color w:val="000000" w:themeColor="text1"/>
          <w:sz w:val="22"/>
          <w:szCs w:val="22"/>
        </w:rPr>
        <w:t xml:space="preserve"> Critically reviews theoretical frameworks, major financial ratios, empirical findings, and gaps in the literature.</w:t>
      </w:r>
    </w:p>
    <w:p w14:paraId="640D9616" w14:textId="77777777" w:rsidR="00CE397E" w:rsidRPr="007867B0"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7A1CD5">
        <w:rPr>
          <w:rFonts w:ascii="Arial" w:eastAsia="Times New Roman" w:hAnsi="Arial" w:cs="Arial"/>
          <w:b/>
          <w:bCs/>
          <w:color w:val="000000" w:themeColor="text1"/>
        </w:rPr>
        <w:t>Chapter 3</w:t>
      </w:r>
      <w:r w:rsidRPr="007867B0">
        <w:rPr>
          <w:rFonts w:ascii="Arial" w:eastAsia="Times New Roman" w:hAnsi="Arial" w:cs="Arial"/>
          <w:b/>
          <w:bCs/>
          <w:color w:val="000000" w:themeColor="text1"/>
          <w:sz w:val="22"/>
          <w:szCs w:val="22"/>
        </w:rPr>
        <w:t xml:space="preserve"> (Research Methodology):</w:t>
      </w:r>
      <w:r w:rsidRPr="007867B0">
        <w:rPr>
          <w:rFonts w:ascii="Arial" w:eastAsia="Times New Roman" w:hAnsi="Arial" w:cs="Arial"/>
          <w:color w:val="000000" w:themeColor="text1"/>
          <w:sz w:val="22"/>
          <w:szCs w:val="22"/>
        </w:rPr>
        <w:t xml:space="preserve"> Outlines the philosophical stance, research design, sampling, data collection, and analytical techniques.</w:t>
      </w:r>
    </w:p>
    <w:p w14:paraId="7843C58C" w14:textId="77777777" w:rsidR="00CE397E" w:rsidRPr="007867B0"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7A1CD5">
        <w:rPr>
          <w:rFonts w:ascii="Arial" w:eastAsia="Times New Roman" w:hAnsi="Arial" w:cs="Arial"/>
          <w:b/>
          <w:bCs/>
          <w:color w:val="000000" w:themeColor="text1"/>
        </w:rPr>
        <w:t>Chapter 4</w:t>
      </w:r>
      <w:r w:rsidRPr="007867B0">
        <w:rPr>
          <w:rFonts w:ascii="Arial" w:eastAsia="Times New Roman" w:hAnsi="Arial" w:cs="Arial"/>
          <w:b/>
          <w:bCs/>
          <w:color w:val="000000" w:themeColor="text1"/>
          <w:sz w:val="22"/>
          <w:szCs w:val="22"/>
        </w:rPr>
        <w:t xml:space="preserve"> (Results and Analysis):</w:t>
      </w:r>
      <w:r w:rsidRPr="007867B0">
        <w:rPr>
          <w:rFonts w:ascii="Arial" w:eastAsia="Times New Roman" w:hAnsi="Arial" w:cs="Arial"/>
          <w:color w:val="000000" w:themeColor="text1"/>
          <w:sz w:val="22"/>
          <w:szCs w:val="22"/>
        </w:rPr>
        <w:t xml:space="preserve"> Presents the statistical findings of the study, including regression results, and interprets their significance.</w:t>
      </w:r>
    </w:p>
    <w:p w14:paraId="5AFE79DA" w14:textId="77777777" w:rsidR="00CE397E" w:rsidRPr="007867B0" w:rsidRDefault="00CE397E" w:rsidP="00CE397E">
      <w:pPr>
        <w:spacing w:beforeAutospacing="1" w:afterAutospacing="1" w:line="240" w:lineRule="auto"/>
        <w:jc w:val="both"/>
        <w:rPr>
          <w:rFonts w:ascii="Arial" w:eastAsia="Times New Roman" w:hAnsi="Arial" w:cs="Arial"/>
          <w:color w:val="000000" w:themeColor="text1"/>
          <w:sz w:val="22"/>
          <w:szCs w:val="22"/>
        </w:rPr>
      </w:pPr>
      <w:r w:rsidRPr="007A1CD5">
        <w:rPr>
          <w:rFonts w:ascii="Arial" w:eastAsia="Times New Roman" w:hAnsi="Arial" w:cs="Arial"/>
          <w:b/>
          <w:bCs/>
          <w:color w:val="000000" w:themeColor="text1"/>
        </w:rPr>
        <w:t>Chapter 5</w:t>
      </w:r>
      <w:r w:rsidRPr="007867B0">
        <w:rPr>
          <w:rFonts w:ascii="Arial" w:eastAsia="Times New Roman" w:hAnsi="Arial" w:cs="Arial"/>
          <w:b/>
          <w:bCs/>
          <w:color w:val="000000" w:themeColor="text1"/>
          <w:sz w:val="22"/>
          <w:szCs w:val="22"/>
        </w:rPr>
        <w:t xml:space="preserve"> (Discussion and Conclusion):</w:t>
      </w:r>
      <w:r w:rsidRPr="007867B0">
        <w:rPr>
          <w:rFonts w:ascii="Arial" w:eastAsia="Times New Roman" w:hAnsi="Arial" w:cs="Arial"/>
          <w:color w:val="000000" w:themeColor="text1"/>
          <w:sz w:val="22"/>
          <w:szCs w:val="22"/>
        </w:rPr>
        <w:t xml:space="preserve"> Summarizes key insights, discusses implications for investors and theory, highlights limitations, and suggests areas for further research.</w:t>
      </w:r>
    </w:p>
    <w:p w14:paraId="6F9592E8" w14:textId="77777777" w:rsidR="00CE397E" w:rsidRPr="00F7201A" w:rsidRDefault="00CE397E" w:rsidP="00CE397E">
      <w:pPr>
        <w:spacing w:line="360" w:lineRule="auto"/>
        <w:jc w:val="both"/>
        <w:rPr>
          <w:rFonts w:ascii="Arial" w:eastAsia="Times New Roman" w:hAnsi="Arial" w:cs="Arial"/>
        </w:rPr>
      </w:pPr>
    </w:p>
    <w:p w14:paraId="5831D201" w14:textId="77777777" w:rsidR="00CE397E" w:rsidRPr="00F7201A" w:rsidRDefault="00CE397E" w:rsidP="00CE397E">
      <w:pPr>
        <w:pStyle w:val="Heading1"/>
        <w:spacing w:line="360" w:lineRule="auto"/>
        <w:jc w:val="center"/>
        <w:rPr>
          <w:rFonts w:ascii="Arial" w:eastAsia="Times New Roman" w:hAnsi="Arial" w:cs="Arial"/>
          <w:b/>
          <w:bCs/>
          <w:color w:val="auto"/>
          <w:sz w:val="36"/>
          <w:szCs w:val="36"/>
        </w:rPr>
      </w:pPr>
      <w:bookmarkStart w:id="16" w:name="_Toc380391365"/>
      <w:bookmarkStart w:id="17" w:name="_Toc214027610"/>
      <w:r w:rsidRPr="00F7201A">
        <w:rPr>
          <w:rFonts w:ascii="Arial" w:eastAsia="Times New Roman" w:hAnsi="Arial" w:cs="Arial"/>
          <w:b/>
          <w:bCs/>
          <w:color w:val="auto"/>
          <w:sz w:val="36"/>
          <w:szCs w:val="36"/>
        </w:rPr>
        <w:t>Chapter 2: Literature Review</w:t>
      </w:r>
      <w:bookmarkEnd w:id="16"/>
      <w:bookmarkEnd w:id="17"/>
    </w:p>
    <w:p w14:paraId="0A5256CB"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8" w:name="_Toc1523288389"/>
      <w:bookmarkStart w:id="19" w:name="_Toc214027611"/>
      <w:r w:rsidRPr="00F7201A">
        <w:rPr>
          <w:rFonts w:ascii="Arial" w:eastAsia="Times New Roman" w:hAnsi="Arial" w:cs="Arial"/>
          <w:b/>
          <w:bCs/>
          <w:color w:val="auto"/>
          <w:sz w:val="32"/>
          <w:szCs w:val="32"/>
        </w:rPr>
        <w:t>2.1 Introduction</w:t>
      </w:r>
      <w:bookmarkEnd w:id="18"/>
      <w:bookmarkEnd w:id="19"/>
    </w:p>
    <w:p w14:paraId="13D868D7"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 xml:space="preserve">Financial ratios are fundamental tools used in financial analysis to evaluate a company's performance, financial health, and investment potential. They provide a measurable vision into profitability, liquidity, efficiency, and wealth, enabling investors and </w:t>
      </w:r>
      <w:r w:rsidRPr="00B15E29">
        <w:rPr>
          <w:rFonts w:ascii="Arial" w:eastAsia="Times New Roman" w:hAnsi="Arial" w:cs="Arial"/>
          <w:kern w:val="0"/>
          <w:sz w:val="22"/>
          <w:szCs w:val="22"/>
          <w14:ligatures w14:val="none"/>
        </w:rPr>
        <w:lastRenderedPageBreak/>
        <w:t>analysts to make informed decisions. The relationship between financial ratios and share prices has been widely studied in finance, but practical findings often differ across markets, sectors, and time periods. This chapter critically examines the literature on financial ratios and their impact on share prices, drawing on theoretical frameworks, practical evidence, and previous research. The discussion begins with relevant financial theories, followed by a detailed exploration of key financial ratios, their calculation, and hypothesized influence on stock prices. The chapter then summarizes practical findings, outlines the abstract framework for the study, and recognizes gaps in the literature.</w:t>
      </w:r>
    </w:p>
    <w:p w14:paraId="703AB155"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20" w:name="_Toc2072210253"/>
      <w:bookmarkStart w:id="21" w:name="_Toc214027612"/>
      <w:r w:rsidRPr="00F7201A">
        <w:rPr>
          <w:rFonts w:ascii="Arial" w:eastAsia="Times New Roman" w:hAnsi="Arial" w:cs="Arial"/>
          <w:b/>
          <w:bCs/>
          <w:color w:val="auto"/>
          <w:sz w:val="32"/>
          <w:szCs w:val="32"/>
        </w:rPr>
        <w:t>2.2 Theoretical Framework</w:t>
      </w:r>
      <w:bookmarkEnd w:id="20"/>
      <w:bookmarkEnd w:id="21"/>
    </w:p>
    <w:p w14:paraId="16B1F0AF"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22" w:name="_Toc31332255"/>
      <w:bookmarkStart w:id="23" w:name="_Toc214027613"/>
      <w:r w:rsidRPr="00F7201A">
        <w:rPr>
          <w:rFonts w:ascii="Arial" w:eastAsia="Times New Roman" w:hAnsi="Arial" w:cs="Arial"/>
          <w:b/>
          <w:bCs/>
          <w:color w:val="auto"/>
          <w:sz w:val="28"/>
          <w:szCs w:val="28"/>
        </w:rPr>
        <w:t>2.2.1 Efficient Market Hypothesis (EMH)</w:t>
      </w:r>
      <w:bookmarkEnd w:id="22"/>
      <w:bookmarkEnd w:id="23"/>
    </w:p>
    <w:p w14:paraId="436B2524"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The EMH, advanced by Fama (1970), posits that financial markets incorporate all available information into stock prices, leaving no room for abnormal returns through ratio-based predictions. Studies grounded in EMH, such as Malkiel (2003), often employ econometric modelling and event studies to test how rapidly markets absorb new information. For instance, Chan et al. (2008) used daily stock data and found that price adjustments in the US market were almost immediate, limiting predictive power of accounting ratios. However, other research contradicts this strict interpretation. Basu (1977), through regression analysis of P/E ratios and stock returns, demonstrated persistent excess returns, undermining EMH’s strong form. This divergence highlights that while EMH provides a theoretical benchmark, empirical evidence supports the relevance of ratio analysis, particularly in contexts of market inefficiency.</w:t>
      </w:r>
    </w:p>
    <w:p w14:paraId="007CBF6E" w14:textId="77777777" w:rsidR="00CE397E" w:rsidRPr="00B15E29"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 xml:space="preserve">This study aligns with the </w:t>
      </w:r>
      <w:r w:rsidRPr="00B15E29">
        <w:rPr>
          <w:rFonts w:ascii="Arial" w:eastAsia="Times New Roman" w:hAnsi="Arial" w:cs="Arial"/>
          <w:i/>
          <w:iCs/>
          <w:kern w:val="0"/>
          <w:sz w:val="22"/>
          <w:szCs w:val="22"/>
          <w14:ligatures w14:val="none"/>
        </w:rPr>
        <w:t>semi-strong form</w:t>
      </w:r>
      <w:r w:rsidRPr="00B15E29">
        <w:rPr>
          <w:rFonts w:ascii="Arial" w:eastAsia="Times New Roman" w:hAnsi="Arial" w:cs="Arial"/>
          <w:kern w:val="0"/>
          <w:sz w:val="22"/>
          <w:szCs w:val="22"/>
          <w14:ligatures w14:val="none"/>
        </w:rPr>
        <w:t xml:space="preserve"> of EMH—acknowledging that public information (e.g., ratios) is quickly absorbed, yet inefficiencies persist, especially during periods of volatility like COVID-19.</w:t>
      </w:r>
    </w:p>
    <w:p w14:paraId="4CC8A146"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24" w:name="_Toc1057725965"/>
      <w:bookmarkStart w:id="25" w:name="_Toc214027614"/>
      <w:r w:rsidRPr="00F7201A">
        <w:rPr>
          <w:rFonts w:ascii="Arial" w:eastAsia="Times New Roman" w:hAnsi="Arial" w:cs="Arial"/>
          <w:b/>
          <w:bCs/>
          <w:color w:val="auto"/>
          <w:sz w:val="28"/>
          <w:szCs w:val="28"/>
        </w:rPr>
        <w:t>2.2.2 Fundamental Analysis</w:t>
      </w:r>
      <w:bookmarkEnd w:id="24"/>
      <w:bookmarkEnd w:id="25"/>
    </w:p>
    <w:p w14:paraId="47DFCAC1"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sz w:val="22"/>
          <w:szCs w:val="22"/>
        </w:rPr>
        <w:t xml:space="preserve">In contrast to EMH, fundamental analysis, as introduced by Graham and Dodd (1934), argues that intrinsic stock value can be estimated by evaluating a company’s financial statements. Analysts using fundamental methods assess profitability, growth, liquidity, and risk to determine whether a stock is over- or undervalued. Penman (2013) emphasized that ratios like P/E, ROE, and EPS are crucial for predicting intrinsic values. This theory underpins much of the empirical literature that finds a statistically significant link between financial ratios and </w:t>
      </w:r>
      <w:r w:rsidRPr="00B15E29">
        <w:rPr>
          <w:rFonts w:ascii="Arial" w:eastAsia="Times New Roman" w:hAnsi="Arial" w:cs="Arial"/>
          <w:sz w:val="22"/>
          <w:szCs w:val="22"/>
        </w:rPr>
        <w:lastRenderedPageBreak/>
        <w:t>stock prices, particularly in periods of market volatility.</w:t>
      </w:r>
      <w:r w:rsidRPr="00B15E29">
        <w:rPr>
          <w:rFonts w:ascii="Arial" w:eastAsia="Times New Roman" w:hAnsi="Arial" w:cs="Arial"/>
          <w:kern w:val="0"/>
          <w:sz w:val="22"/>
          <w:szCs w:val="22"/>
          <w14:ligatures w14:val="none"/>
        </w:rPr>
        <w:t xml:space="preserve"> Ou and Penman (1989) constructed predictive scores using ratios, finding significant explanatory power for future returns. Similarly, Lev and Thiagarajan (1993) used cross-sectional regression to establish that earnings quality and liquidity ratios consistently explain stock performance.</w:t>
      </w:r>
    </w:p>
    <w:p w14:paraId="6F7228A0" w14:textId="77777777" w:rsidR="00CE397E" w:rsidRPr="00B15E29" w:rsidRDefault="00CE397E" w:rsidP="00CE397E">
      <w:pPr>
        <w:pStyle w:val="NormalWeb"/>
        <w:spacing w:line="360" w:lineRule="auto"/>
        <w:ind w:firstLine="720"/>
        <w:jc w:val="both"/>
        <w:rPr>
          <w:rFonts w:ascii="Arial" w:hAnsi="Arial" w:cs="Arial"/>
          <w:sz w:val="22"/>
          <w:szCs w:val="22"/>
        </w:rPr>
      </w:pPr>
      <w:r w:rsidRPr="00B15E29">
        <w:rPr>
          <w:rFonts w:ascii="Arial" w:hAnsi="Arial" w:cs="Arial"/>
          <w:sz w:val="22"/>
          <w:szCs w:val="22"/>
        </w:rPr>
        <w:t>During the Covid-19 crisis, Fundamental Analysis became especially important as stock prices often diverged from historical valuations due to market panic or uncertainty. Firms with strong financial ratios—high liquidity, ROA, or dividend stability—were better able to maintain share prices, supporting the hypothesis that fundamental indicators can predict stock value even when markets are temporarily inefficient.</w:t>
      </w:r>
    </w:p>
    <w:p w14:paraId="098D6C27" w14:textId="77777777" w:rsidR="00CE397E" w:rsidRPr="00F7201A" w:rsidRDefault="00CE397E" w:rsidP="00CE397E">
      <w:pPr>
        <w:pStyle w:val="NormalWeb"/>
        <w:spacing w:line="360" w:lineRule="auto"/>
        <w:ind w:firstLine="720"/>
        <w:jc w:val="both"/>
        <w:rPr>
          <w:rFonts w:ascii="Arial" w:hAnsi="Arial" w:cs="Arial"/>
        </w:rPr>
      </w:pPr>
      <w:r w:rsidRPr="00F7201A">
        <w:rPr>
          <w:rStyle w:val="Strong"/>
          <w:rFonts w:ascii="Arial" w:eastAsiaTheme="minorEastAsia" w:hAnsi="Arial" w:cs="Arial"/>
        </w:rPr>
        <w:t>Integration with This Study:</w:t>
      </w:r>
      <w:r w:rsidRPr="00F7201A">
        <w:rPr>
          <w:rFonts w:ascii="Arial" w:hAnsi="Arial" w:cs="Arial"/>
        </w:rPr>
        <w:t xml:space="preserve"> </w:t>
      </w:r>
      <w:r w:rsidRPr="00B15E29">
        <w:rPr>
          <w:rFonts w:ascii="Arial" w:hAnsi="Arial" w:cs="Arial"/>
          <w:sz w:val="22"/>
          <w:szCs w:val="22"/>
        </w:rPr>
        <w:t>This research applies fundamental analysis theory to examine the effect of key ratios on FTSE 100 share prices from 2019–2023. Focusing on post-Covid periods, it tests whether fundamental indicators remain predictive under volatile market conditions, aligning theory with empirical observation.</w:t>
      </w:r>
    </w:p>
    <w:p w14:paraId="117AC88C"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26" w:name="_Toc1224992073"/>
      <w:bookmarkStart w:id="27" w:name="_Toc214027615"/>
      <w:r w:rsidRPr="00F7201A">
        <w:rPr>
          <w:rFonts w:ascii="Arial" w:eastAsia="Times New Roman" w:hAnsi="Arial" w:cs="Arial"/>
          <w:b/>
          <w:bCs/>
          <w:color w:val="auto"/>
          <w:sz w:val="32"/>
          <w:szCs w:val="32"/>
        </w:rPr>
        <w:t>2.3 Major Financial Ratios and Their Usage</w:t>
      </w:r>
      <w:bookmarkEnd w:id="26"/>
      <w:bookmarkEnd w:id="27"/>
    </w:p>
    <w:p w14:paraId="2E6C5510"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Financial ratios provide multi-dimensional understandings into a company’s performance and are critical for investment analysis. This study focuses on success, valuation, liquidity, and power ratios, which serve as independent variables in exploring their effect on share prices.</w:t>
      </w:r>
    </w:p>
    <w:p w14:paraId="0D08151E"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28" w:name="_Toc730577426"/>
      <w:bookmarkStart w:id="29" w:name="_Toc214027616"/>
      <w:r w:rsidRPr="00F7201A">
        <w:rPr>
          <w:rFonts w:ascii="Arial" w:eastAsia="Times New Roman" w:hAnsi="Arial" w:cs="Arial"/>
          <w:b/>
          <w:bCs/>
          <w:color w:val="auto"/>
          <w:sz w:val="28"/>
          <w:szCs w:val="28"/>
        </w:rPr>
        <w:t>2.3.1 Return on Assets (ROA)</w:t>
      </w:r>
      <w:bookmarkEnd w:id="28"/>
      <w:bookmarkEnd w:id="29"/>
    </w:p>
    <w:p w14:paraId="0A1ECC42"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B15E29">
        <w:rPr>
          <w:rFonts w:ascii="Arial" w:eastAsia="Times New Roman" w:hAnsi="Arial" w:cs="Arial"/>
          <w:kern w:val="0"/>
          <w:sz w:val="22"/>
          <w:szCs w:val="22"/>
          <w14:ligatures w14:val="none"/>
        </w:rPr>
        <w:t>Return on Assets (ROA) is a success ratio that measures how efficiently a firm uses its total assets to generate net income. It is calculated as:</w:t>
      </w:r>
    </w:p>
    <w:p w14:paraId="5A8EC7D5" w14:textId="77777777" w:rsidR="00CE397E" w:rsidRPr="00F7201A" w:rsidRDefault="00CE397E" w:rsidP="00CE397E">
      <w:pPr>
        <w:spacing w:after="0" w:line="360" w:lineRule="auto"/>
        <w:jc w:val="both"/>
        <w:rPr>
          <w:rFonts w:ascii="Arial" w:eastAsia="Times New Roman" w:hAnsi="Arial" w:cs="Arial"/>
          <w:kern w:val="0"/>
          <w14:ligatures w14:val="none"/>
        </w:rPr>
      </w:pPr>
      <m:oMathPara>
        <m:oMath>
          <m:r>
            <w:rPr>
              <w:rFonts w:ascii="Cambria Math" w:eastAsia="Times New Roman" w:hAnsi="Cambria Math" w:cs="Arial"/>
              <w:kern w:val="0"/>
              <w14:ligatures w14:val="none"/>
            </w:rPr>
            <m:t>ROA=</m:t>
          </m:r>
          <m:f>
            <m:fPr>
              <m:ctrlPr>
                <w:rPr>
                  <w:rFonts w:ascii="Cambria Math" w:eastAsia="Times New Roman" w:hAnsi="Cambria Math" w:cs="Arial"/>
                  <w:kern w:val="0"/>
                  <w14:ligatures w14:val="none"/>
                </w:rPr>
              </m:ctrlPr>
            </m:fPr>
            <m:num>
              <m:r>
                <w:rPr>
                  <w:rFonts w:ascii="Cambria Math" w:eastAsia="Times New Roman" w:hAnsi="Cambria Math" w:cs="Arial"/>
                  <w:kern w:val="0"/>
                  <w14:ligatures w14:val="none"/>
                </w:rPr>
                <m:t>Net</m:t>
              </m:r>
              <m:r>
                <m:rPr>
                  <m:nor/>
                </m:rPr>
                <w:rPr>
                  <w:rFonts w:ascii="Arial" w:eastAsia="Times New Roman" w:hAnsi="Arial" w:cs="Arial"/>
                  <w:kern w:val="0"/>
                  <w14:ligatures w14:val="none"/>
                </w:rPr>
                <m:t xml:space="preserve"> </m:t>
              </m:r>
              <m:r>
                <w:rPr>
                  <w:rFonts w:ascii="Cambria Math" w:eastAsia="Times New Roman" w:hAnsi="Cambria Math" w:cs="Arial"/>
                  <w:kern w:val="0"/>
                  <w14:ligatures w14:val="none"/>
                </w:rPr>
                <m:t>Income</m:t>
              </m:r>
            </m:num>
            <m:den>
              <m:r>
                <w:rPr>
                  <w:rFonts w:ascii="Cambria Math" w:eastAsia="Times New Roman" w:hAnsi="Cambria Math" w:cs="Arial"/>
                  <w:kern w:val="0"/>
                  <w14:ligatures w14:val="none"/>
                </w:rPr>
                <m:t>Total</m:t>
              </m:r>
              <m:r>
                <m:rPr>
                  <m:nor/>
                </m:rPr>
                <w:rPr>
                  <w:rFonts w:ascii="Arial" w:eastAsia="Times New Roman" w:hAnsi="Arial" w:cs="Arial"/>
                  <w:kern w:val="0"/>
                  <w14:ligatures w14:val="none"/>
                </w:rPr>
                <m:t xml:space="preserve"> </m:t>
              </m:r>
              <m:r>
                <w:rPr>
                  <w:rFonts w:ascii="Cambria Math" w:eastAsia="Times New Roman" w:hAnsi="Cambria Math" w:cs="Arial"/>
                  <w:kern w:val="0"/>
                  <w14:ligatures w14:val="none"/>
                </w:rPr>
                <m:t>Assets</m:t>
              </m:r>
            </m:den>
          </m:f>
          <m:r>
            <w:rPr>
              <w:rFonts w:ascii="Cambria Math" w:eastAsia="Times New Roman" w:hAnsi="Cambria Math" w:cs="Arial"/>
              <w:kern w:val="0"/>
              <w14:ligatures w14:val="none"/>
            </w:rPr>
            <m:t>×100</m:t>
          </m:r>
          <m:r>
            <m:rPr>
              <m:sty m:val="p"/>
            </m:rPr>
            <w:rPr>
              <w:rFonts w:ascii="Cambria Math" w:eastAsia="Times New Roman" w:hAnsi="Cambria Math" w:cs="Arial"/>
              <w:kern w:val="0"/>
              <w14:ligatures w14:val="none"/>
            </w:rPr>
            <w:br/>
          </m:r>
        </m:oMath>
      </m:oMathPara>
    </w:p>
    <w:p w14:paraId="329517A3"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kern w:val="0"/>
          <w14:ligatures w14:val="none"/>
        </w:rPr>
        <w:t>Relevance</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ROA evaluates working efficiency; a higher ROA indicates that the company generates more profit per unit of assets, demonstrating effective utilization of resources. For investors, a steadily high ROA signals competent management and a firm capable of producing strong returns without excessive investment.</w:t>
      </w:r>
    </w:p>
    <w:p w14:paraId="1CB89937"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lastRenderedPageBreak/>
        <w:t>Empirical Evidence</w:t>
      </w:r>
      <w:r w:rsidRPr="00F7201A">
        <w:rPr>
          <w:rFonts w:ascii="Arial" w:eastAsia="Times New Roman" w:hAnsi="Arial" w:cs="Arial"/>
        </w:rPr>
        <w:t xml:space="preserve">: </w:t>
      </w:r>
      <w:r w:rsidRPr="00B15E29">
        <w:rPr>
          <w:rFonts w:ascii="Arial" w:eastAsia="Times New Roman" w:hAnsi="Arial" w:cs="Arial"/>
          <w:kern w:val="0"/>
          <w:sz w:val="22"/>
          <w:szCs w:val="22"/>
          <w14:ligatures w14:val="none"/>
        </w:rPr>
        <w:t>Empirical research highlights ROA’s importance in stock valuation. Damodaran (2012) finds that firms with high ROA often experience positive market awareness, leading to increased share prices. For example, in capital-intensive industries like manufacturing or values, investors closely monitor ROA to assess whether companies convert large asset bases into sustainable profits.</w:t>
      </w:r>
    </w:p>
    <w:p w14:paraId="70DA9404"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Limitations include understanding accounting policies and asset valuations. For instance, firms that use historical cost accounting may show lower ROA compared to those using fair value modifications. Nonetheless, ROA remains a critical measure linking operational efficiency to investor confidence and market valuation.</w:t>
      </w:r>
    </w:p>
    <w:p w14:paraId="0C6D50C5" w14:textId="77777777" w:rsidR="00CE397E" w:rsidRPr="00F7201A" w:rsidRDefault="00CE397E" w:rsidP="00CE397E">
      <w:pPr>
        <w:spacing w:after="0" w:line="360" w:lineRule="auto"/>
        <w:jc w:val="both"/>
        <w:rPr>
          <w:rFonts w:ascii="Arial" w:eastAsia="Times New Roman" w:hAnsi="Arial" w:cs="Arial"/>
          <w:kern w:val="0"/>
          <w14:ligatures w14:val="none"/>
        </w:rPr>
      </w:pPr>
    </w:p>
    <w:p w14:paraId="58C05E05"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30" w:name="_Toc88390052"/>
      <w:bookmarkStart w:id="31" w:name="_Toc214027617"/>
      <w:r w:rsidRPr="00F7201A">
        <w:rPr>
          <w:rFonts w:ascii="Arial" w:eastAsia="Times New Roman" w:hAnsi="Arial" w:cs="Arial"/>
          <w:b/>
          <w:bCs/>
          <w:color w:val="auto"/>
          <w:sz w:val="28"/>
          <w:szCs w:val="28"/>
        </w:rPr>
        <w:t>2.3.2 Return on Liquidity</w:t>
      </w:r>
      <w:bookmarkEnd w:id="30"/>
      <w:bookmarkEnd w:id="31"/>
    </w:p>
    <w:p w14:paraId="66E3D874"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B15E29">
        <w:rPr>
          <w:rFonts w:ascii="Arial" w:eastAsia="Times New Roman" w:hAnsi="Arial" w:cs="Arial"/>
          <w:sz w:val="22"/>
          <w:szCs w:val="22"/>
        </w:rPr>
        <w:t xml:space="preserve">Return on Liquidity assesses the success generated from a company’s liquid assets, such as cash, cash equals, and short-term investments. It is calculated by taking the net return earned from liquid assets and dividing it by the total value of those liquid properties, then expressing it as a percentage. </w:t>
      </w:r>
      <w:r w:rsidRPr="00B15E29">
        <w:rPr>
          <w:rFonts w:ascii="Arial" w:eastAsia="Times New Roman" w:hAnsi="Arial" w:cs="Arial"/>
          <w:kern w:val="0"/>
          <w:sz w:val="22"/>
          <w:szCs w:val="22"/>
          <w14:ligatures w14:val="none"/>
        </w:rPr>
        <w:t>This ratio reflects how effectively a firm manages its liquid resources to produce returns without foregoing financial stability. High liquidity ensures a company can meet short-term responsibilities while also grabbing investment opportunities, which can be especially valuable during market instability.</w:t>
      </w:r>
    </w:p>
    <w:p w14:paraId="4DF3D6E5"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kern w:val="0"/>
          <w14:ligatures w14:val="none"/>
        </w:rPr>
        <w:t>Empirical Evidence</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Gitman et al. (2015) note that efficient fluidity management reduces financial risk, thereby stabilizing stock prices. For instance, during economic downturns, firms with strong liquidity returns are perceived as less risky by investors, potentially leading to higher share valuations. However, holding excessive liquidity may also signal underutilization of resources, which could limit growth and negatively affect long-term share price appreciation.</w:t>
      </w:r>
    </w:p>
    <w:p w14:paraId="1E87F998"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Style w:val="Strong"/>
          <w:rFonts w:ascii="Arial" w:eastAsia="Times New Roman" w:hAnsi="Arial" w:cs="Arial"/>
        </w:rPr>
        <w:t>Relevance to Current Study:</w:t>
      </w:r>
      <w:r w:rsidRPr="00F7201A">
        <w:rPr>
          <w:rFonts w:ascii="Arial" w:eastAsia="Times New Roman" w:hAnsi="Arial" w:cs="Arial"/>
        </w:rPr>
        <w:t xml:space="preserve"> </w:t>
      </w:r>
      <w:r w:rsidRPr="00B15E29">
        <w:rPr>
          <w:rFonts w:ascii="Arial" w:eastAsia="Times New Roman" w:hAnsi="Arial" w:cs="Arial"/>
          <w:sz w:val="22"/>
          <w:szCs w:val="22"/>
        </w:rPr>
        <w:t>Return on Liquidity is especially relevant in post-pandemic periods where cash reserves determined survival and investor perception, aligning with Fundamental Analysis principles.</w:t>
      </w:r>
    </w:p>
    <w:p w14:paraId="617EECFF" w14:textId="77777777" w:rsidR="00CE397E" w:rsidRPr="00F7201A" w:rsidRDefault="00CE397E" w:rsidP="00CE397E">
      <w:pPr>
        <w:spacing w:after="0" w:line="360" w:lineRule="auto"/>
        <w:jc w:val="both"/>
        <w:rPr>
          <w:rFonts w:ascii="Arial" w:eastAsia="Times New Roman" w:hAnsi="Arial" w:cs="Arial"/>
          <w:kern w:val="0"/>
          <w14:ligatures w14:val="none"/>
        </w:rPr>
      </w:pPr>
    </w:p>
    <w:p w14:paraId="5D56D5FD"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32" w:name="_Toc405663594"/>
      <w:bookmarkStart w:id="33" w:name="_Toc214027618"/>
      <w:r w:rsidRPr="00F7201A">
        <w:rPr>
          <w:rFonts w:ascii="Arial" w:eastAsia="Times New Roman" w:hAnsi="Arial" w:cs="Arial"/>
          <w:b/>
          <w:bCs/>
          <w:color w:val="auto"/>
          <w:sz w:val="28"/>
          <w:szCs w:val="28"/>
        </w:rPr>
        <w:lastRenderedPageBreak/>
        <w:t>2.3.3 Net Profit Margin</w:t>
      </w:r>
      <w:bookmarkEnd w:id="32"/>
      <w:bookmarkEnd w:id="33"/>
    </w:p>
    <w:p w14:paraId="675C4591"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Net Profit Margin (NPM) measures the proportion of revenue retained as net income after all expenses, including operating costs, taxes, and interest. It is calculated as:</w:t>
      </w:r>
    </w:p>
    <w:p w14:paraId="59E5B2C7" w14:textId="77777777" w:rsidR="00CE397E" w:rsidRPr="00F7201A" w:rsidRDefault="00CE397E" w:rsidP="00CE397E">
      <w:pPr>
        <w:spacing w:after="0" w:line="360" w:lineRule="auto"/>
        <w:jc w:val="both"/>
        <w:rPr>
          <w:rFonts w:ascii="Arial" w:eastAsia="Times New Roman" w:hAnsi="Arial" w:cs="Arial"/>
          <w:kern w:val="0"/>
          <w14:ligatures w14:val="none"/>
        </w:rPr>
      </w:pPr>
      <m:oMathPara>
        <m:oMath>
          <m:r>
            <w:rPr>
              <w:rFonts w:ascii="Cambria Math" w:eastAsia="Times New Roman" w:hAnsi="Cambria Math" w:cs="Arial"/>
              <w:kern w:val="0"/>
              <w14:ligatures w14:val="none"/>
            </w:rPr>
            <m:t>NPM=</m:t>
          </m:r>
          <m:f>
            <m:fPr>
              <m:ctrlPr>
                <w:rPr>
                  <w:rFonts w:ascii="Cambria Math" w:eastAsia="Times New Roman" w:hAnsi="Cambria Math" w:cs="Arial"/>
                  <w:kern w:val="0"/>
                  <w14:ligatures w14:val="none"/>
                </w:rPr>
              </m:ctrlPr>
            </m:fPr>
            <m:num>
              <m:r>
                <w:rPr>
                  <w:rFonts w:ascii="Cambria Math" w:eastAsia="Times New Roman" w:hAnsi="Cambria Math" w:cs="Arial"/>
                  <w:kern w:val="0"/>
                  <w14:ligatures w14:val="none"/>
                </w:rPr>
                <m:t>Net</m:t>
              </m:r>
              <m:r>
                <m:rPr>
                  <m:nor/>
                </m:rPr>
                <w:rPr>
                  <w:rFonts w:ascii="Arial" w:eastAsia="Times New Roman" w:hAnsi="Arial" w:cs="Arial"/>
                  <w:kern w:val="0"/>
                  <w14:ligatures w14:val="none"/>
                </w:rPr>
                <m:t xml:space="preserve"> </m:t>
              </m:r>
              <m:r>
                <w:rPr>
                  <w:rFonts w:ascii="Cambria Math" w:eastAsia="Times New Roman" w:hAnsi="Cambria Math" w:cs="Arial"/>
                  <w:kern w:val="0"/>
                  <w14:ligatures w14:val="none"/>
                </w:rPr>
                <m:t>Income</m:t>
              </m:r>
            </m:num>
            <m:den>
              <m:r>
                <w:rPr>
                  <w:rFonts w:ascii="Cambria Math" w:eastAsia="Times New Roman" w:hAnsi="Cambria Math" w:cs="Arial"/>
                  <w:kern w:val="0"/>
                  <w14:ligatures w14:val="none"/>
                </w:rPr>
                <m:t>Revenue</m:t>
              </m:r>
            </m:den>
          </m:f>
          <m:r>
            <w:rPr>
              <w:rFonts w:ascii="Cambria Math" w:eastAsia="Times New Roman" w:hAnsi="Cambria Math" w:cs="Arial"/>
              <w:kern w:val="0"/>
              <w14:ligatures w14:val="none"/>
            </w:rPr>
            <m:t>×100</m:t>
          </m:r>
          <m:r>
            <m:rPr>
              <m:sty m:val="p"/>
            </m:rPr>
            <w:rPr>
              <w:rFonts w:ascii="Cambria Math" w:eastAsia="Times New Roman" w:hAnsi="Cambria Math" w:cs="Arial"/>
              <w:kern w:val="0"/>
              <w14:ligatures w14:val="none"/>
            </w:rPr>
            <w:br/>
          </m:r>
        </m:oMath>
      </m:oMathPara>
    </w:p>
    <w:p w14:paraId="5C0853BC"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Relevance:</w:t>
      </w:r>
      <w:r w:rsidRPr="00F7201A">
        <w:rPr>
          <w:rFonts w:ascii="Arial" w:eastAsia="Times New Roman" w:hAnsi="Arial" w:cs="Arial"/>
        </w:rPr>
        <w:t xml:space="preserve"> </w:t>
      </w:r>
      <w:r w:rsidRPr="00B15E29">
        <w:rPr>
          <w:rFonts w:ascii="Arial" w:eastAsia="Times New Roman" w:hAnsi="Arial" w:cs="Arial"/>
          <w:kern w:val="0"/>
          <w:sz w:val="22"/>
          <w:szCs w:val="22"/>
          <w14:ligatures w14:val="none"/>
        </w:rPr>
        <w:t>This ratio estimates overall efficiency in adapting sales into actual profits. A high NPM indicates strong pricing strategies, effective cost control, and operational efficiency. Investors view companies with high and consistent net margins as more likely to sustain success, which positively affects stock valuation.</w:t>
      </w:r>
    </w:p>
    <w:p w14:paraId="46812C29" w14:textId="77777777" w:rsidR="00CE397E" w:rsidRPr="00B15E29"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kern w:val="0"/>
          <w14:ligatures w14:val="none"/>
        </w:rPr>
        <w:t>Empirical Evidence</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Higgins (2012) emphasizes that net margin trends can signal financial stability: a firm with increasing net margins demonstrates improving efficiency, which attracts investors. Equally, declining margins may indicate rising costs, competitive pressures, or poor management, which could reduce share prices.</w:t>
      </w:r>
    </w:p>
    <w:p w14:paraId="64880B11"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34" w:name="_Toc1530745993"/>
      <w:bookmarkStart w:id="35" w:name="_Toc214027619"/>
      <w:r w:rsidRPr="00F7201A">
        <w:rPr>
          <w:rFonts w:ascii="Arial" w:eastAsia="Times New Roman" w:hAnsi="Arial" w:cs="Arial"/>
          <w:b/>
          <w:bCs/>
          <w:color w:val="auto"/>
        </w:rPr>
        <w:t>2.3.4 Dividend Yield</w:t>
      </w:r>
      <w:bookmarkEnd w:id="34"/>
      <w:bookmarkEnd w:id="35"/>
    </w:p>
    <w:p w14:paraId="521D73C6"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sz w:val="22"/>
          <w:szCs w:val="22"/>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 xml:space="preserve">Yield measures the annual payments per share relative to the stock’s current market price. </w:t>
      </w:r>
      <w:r w:rsidRPr="002623C2">
        <w:rPr>
          <w:rFonts w:ascii="Arial" w:eastAsia="Times New Roman" w:hAnsi="Arial" w:cs="Arial"/>
          <w:sz w:val="22"/>
          <w:szCs w:val="22"/>
        </w:rPr>
        <w:t>Bonus Yield measures the annual payment paid per share relative to the current market price of stock. In words, it is calculated by dividing the annual dividend per share by the market price per share and multiplying by 100 to obtain a percentage.</w:t>
      </w:r>
    </w:p>
    <w:p w14:paraId="4EEF62A6"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Relevance:</w:t>
      </w:r>
      <w:r w:rsidRPr="00F7201A">
        <w:rPr>
          <w:rFonts w:ascii="Arial" w:eastAsia="Times New Roman" w:hAnsi="Arial" w:cs="Arial"/>
          <w:i/>
          <w:iCs/>
          <w:kern w:val="0"/>
          <w14:ligatures w14:val="none"/>
        </w:rPr>
        <w:t xml:space="preserve"> </w:t>
      </w:r>
      <w:r w:rsidRPr="002623C2">
        <w:rPr>
          <w:rFonts w:ascii="Arial" w:eastAsia="Times New Roman" w:hAnsi="Arial" w:cs="Arial"/>
          <w:kern w:val="0"/>
          <w:sz w:val="22"/>
          <w:szCs w:val="22"/>
          <w14:ligatures w14:val="none"/>
        </w:rPr>
        <w:t>This ratio is critical for income-focused investors, as it indicates the return generated from shares relative to investment cost. A consistent payment yield is a signal of commercial stability and shareholder-friendly policies.</w:t>
      </w:r>
    </w:p>
    <w:p w14:paraId="50A84D79"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kern w:val="0"/>
          <w14:ligatures w14:val="none"/>
        </w:rPr>
        <w:t>Empirical Evidence</w:t>
      </w:r>
      <w:r w:rsidRPr="00F7201A">
        <w:rPr>
          <w:rFonts w:ascii="Arial" w:eastAsia="Times New Roman" w:hAnsi="Arial" w:cs="Arial"/>
          <w:kern w:val="0"/>
          <w14:ligatures w14:val="none"/>
        </w:rPr>
        <w:t xml:space="preserve">: </w:t>
      </w:r>
      <w:r w:rsidRPr="002623C2">
        <w:rPr>
          <w:rFonts w:ascii="Arial" w:eastAsia="Times New Roman" w:hAnsi="Arial" w:cs="Arial"/>
          <w:kern w:val="0"/>
          <w:sz w:val="22"/>
          <w:szCs w:val="22"/>
          <w14:ligatures w14:val="none"/>
        </w:rPr>
        <w:t xml:space="preserve">Brealey, Myers, and Allen (2014) argue that firms with sustainable extra yields often experience higher investor confidence, supporting share prices. However, an unusually high yield can indicate financial distress or unsustainable payouts, potentially </w:t>
      </w:r>
      <w:proofErr w:type="spellStart"/>
      <w:r w:rsidRPr="002623C2">
        <w:rPr>
          <w:rFonts w:ascii="Arial" w:eastAsia="Times New Roman" w:hAnsi="Arial" w:cs="Arial"/>
          <w:kern w:val="0"/>
          <w:sz w:val="22"/>
          <w:szCs w:val="22"/>
          <w14:ligatures w14:val="none"/>
        </w:rPr>
        <w:t>signaling</w:t>
      </w:r>
      <w:proofErr w:type="spellEnd"/>
      <w:r w:rsidRPr="002623C2">
        <w:rPr>
          <w:rFonts w:ascii="Arial" w:eastAsia="Times New Roman" w:hAnsi="Arial" w:cs="Arial"/>
          <w:kern w:val="0"/>
          <w:sz w:val="22"/>
          <w:szCs w:val="22"/>
          <w14:ligatures w14:val="none"/>
        </w:rPr>
        <w:t xml:space="preserve"> risk to investors. Bonus yield therefore balances return generation and risk assessment.</w:t>
      </w:r>
    </w:p>
    <w:p w14:paraId="63B10C9F"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36" w:name="_Toc734366213"/>
      <w:bookmarkStart w:id="37" w:name="_Toc214027620"/>
      <w:r w:rsidRPr="00F7201A">
        <w:rPr>
          <w:rFonts w:ascii="Arial" w:eastAsia="Times New Roman" w:hAnsi="Arial" w:cs="Arial"/>
          <w:b/>
          <w:bCs/>
          <w:color w:val="auto"/>
          <w:sz w:val="28"/>
          <w:szCs w:val="28"/>
        </w:rPr>
        <w:lastRenderedPageBreak/>
        <w:t>2.3.5 Price-to-Earnings (P/E) Ratio</w:t>
      </w:r>
      <w:bookmarkEnd w:id="36"/>
      <w:bookmarkEnd w:id="37"/>
    </w:p>
    <w:p w14:paraId="1A3E1EA9"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 xml:space="preserve">The P/E ratio is a widely used valuation measured. </w:t>
      </w:r>
      <w:r w:rsidRPr="002623C2">
        <w:rPr>
          <w:rFonts w:ascii="Arial" w:eastAsia="Times New Roman" w:hAnsi="Arial" w:cs="Arial"/>
          <w:sz w:val="22"/>
          <w:szCs w:val="22"/>
        </w:rPr>
        <w:t>The Price-to-Earnings ratio measures the market’s valuation of a company’s earnings. In words, it is calculated by dividing the market price per share by earnings per share.</w:t>
      </w:r>
    </w:p>
    <w:p w14:paraId="5C2AE646"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Empirical Evidence</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P/E reflects investor expectations regarding future earnings. A high P/E suggests confidence and anticipated growth, while a low P/E may indicate undervaluation or declining prospects. Penman (2013) highlights that P/E ratios are influenced by market sentiment and growth projections.</w:t>
      </w:r>
    </w:p>
    <w:p w14:paraId="74D10410"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 xml:space="preserve">Relevance: </w:t>
      </w:r>
      <w:r w:rsidRPr="002623C2">
        <w:rPr>
          <w:rFonts w:ascii="Arial" w:eastAsia="Times New Roman" w:hAnsi="Arial" w:cs="Arial"/>
          <w:kern w:val="0"/>
          <w:sz w:val="22"/>
          <w:szCs w:val="22"/>
          <w14:ligatures w14:val="none"/>
        </w:rPr>
        <w:t>Practical studies suggest P/E is useful for comparative analysis across firms or industries. However, P/E can be partial by accounting practices, cyclical earnings, or one-off gains. Investors often combine P/E with growth metrics (e.g., PEG ratio) to obtain a more nuanced view of valuation.</w:t>
      </w:r>
    </w:p>
    <w:p w14:paraId="1195C497"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38" w:name="_Toc30072410"/>
      <w:bookmarkStart w:id="39" w:name="_Toc214027621"/>
      <w:r w:rsidRPr="00F7201A">
        <w:rPr>
          <w:rFonts w:ascii="Arial" w:eastAsia="Times New Roman" w:hAnsi="Arial" w:cs="Arial"/>
          <w:b/>
          <w:bCs/>
          <w:color w:val="auto"/>
          <w:sz w:val="28"/>
          <w:szCs w:val="28"/>
        </w:rPr>
        <w:t>2.3.6 Earnings Per Share (EPS)</w:t>
      </w:r>
      <w:bookmarkEnd w:id="38"/>
      <w:bookmarkEnd w:id="39"/>
    </w:p>
    <w:p w14:paraId="39A38230" w14:textId="77777777" w:rsidR="00CE397E" w:rsidRPr="002623C2" w:rsidRDefault="00CE397E" w:rsidP="00CE397E">
      <w:pPr>
        <w:spacing w:after="0"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2623C2">
        <w:rPr>
          <w:rFonts w:ascii="Arial" w:eastAsia="Times New Roman" w:hAnsi="Arial" w:cs="Arial"/>
          <w:sz w:val="22"/>
          <w:szCs w:val="22"/>
        </w:rPr>
        <w:t>EPS indicates the portion of net income earned per outstanding share of common stock. In words, it is calculated by subtracting any preferred extras from net income and then dividing the result by the total number of outstanding shares.</w:t>
      </w:r>
    </w:p>
    <w:p w14:paraId="50C64128"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 xml:space="preserve">Relevance: </w:t>
      </w:r>
      <w:r w:rsidRPr="002623C2">
        <w:rPr>
          <w:rFonts w:ascii="Arial" w:eastAsia="Times New Roman" w:hAnsi="Arial" w:cs="Arial"/>
          <w:kern w:val="0"/>
          <w:sz w:val="22"/>
          <w:szCs w:val="22"/>
          <w14:ligatures w14:val="none"/>
        </w:rPr>
        <w:t>EPS is a primary indicator of a company’s success and a key driver of stock valuation. Higher EPS typically attracts investor interest, particularly if earnings growth is stable over time.</w:t>
      </w:r>
    </w:p>
    <w:p w14:paraId="60BE6D93"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Empirical Evidence</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Reilly and Brown (2012) note that EPS underpins other valuation systems of measurement, including P/E and PEG ratios. While EPS is highly informative, it is sensitive to accounting choices, share buybacks, and extraordinary items, which may twist comparison across firms. Despite limitations, EPS remains a central measure for measuring a company’s earning capacity and market valuation potential.</w:t>
      </w:r>
    </w:p>
    <w:p w14:paraId="047E9CA3"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40" w:name="_Toc187226003"/>
      <w:bookmarkStart w:id="41" w:name="_Toc214027622"/>
      <w:r w:rsidRPr="00F7201A">
        <w:rPr>
          <w:rFonts w:ascii="Arial" w:eastAsia="Times New Roman" w:hAnsi="Arial" w:cs="Arial"/>
          <w:b/>
          <w:bCs/>
          <w:color w:val="auto"/>
          <w:sz w:val="28"/>
          <w:szCs w:val="28"/>
        </w:rPr>
        <w:t>2.3.7 PEG Ratio (Price/Earnings to Growth)</w:t>
      </w:r>
      <w:bookmarkEnd w:id="40"/>
      <w:bookmarkEnd w:id="41"/>
    </w:p>
    <w:p w14:paraId="084BD2D7" w14:textId="77777777" w:rsidR="00CE397E" w:rsidRPr="002623C2" w:rsidRDefault="00CE397E" w:rsidP="00CE397E">
      <w:pPr>
        <w:pStyle w:val="NormalWeb"/>
        <w:spacing w:line="360" w:lineRule="auto"/>
        <w:ind w:firstLine="720"/>
        <w:jc w:val="both"/>
        <w:rPr>
          <w:rFonts w:ascii="Arial" w:hAnsi="Arial" w:cs="Arial"/>
          <w:sz w:val="22"/>
          <w:szCs w:val="22"/>
        </w:rPr>
      </w:pPr>
      <w:r w:rsidRPr="00F7201A">
        <w:rPr>
          <w:rFonts w:ascii="Arial" w:hAnsi="Arial" w:cs="Arial"/>
          <w:b/>
          <w:bCs/>
        </w:rPr>
        <w:t>Definition &amp; Calculation</w:t>
      </w:r>
      <w:r w:rsidRPr="00F7201A">
        <w:rPr>
          <w:rFonts w:ascii="Arial" w:hAnsi="Arial" w:cs="Arial"/>
        </w:rPr>
        <w:t xml:space="preserve">: </w:t>
      </w:r>
      <w:r w:rsidRPr="002623C2">
        <w:rPr>
          <w:rFonts w:ascii="Arial" w:hAnsi="Arial" w:cs="Arial"/>
          <w:sz w:val="22"/>
          <w:szCs w:val="22"/>
        </w:rPr>
        <w:t>The PEG ratio refines the P/E ratio by changing it for expected earnings growth. In words, it is calculated by dividing the P/E ratio by the company’s projected annual earnings per share growth rate.</w:t>
      </w:r>
    </w:p>
    <w:p w14:paraId="5FE4295E" w14:textId="77777777" w:rsidR="00CE397E" w:rsidRPr="002623C2" w:rsidRDefault="00CE397E" w:rsidP="00CE397E">
      <w:pPr>
        <w:pStyle w:val="NormalWeb"/>
        <w:spacing w:line="360" w:lineRule="auto"/>
        <w:ind w:firstLine="720"/>
        <w:jc w:val="both"/>
        <w:rPr>
          <w:rFonts w:ascii="Arial" w:hAnsi="Arial" w:cs="Arial"/>
          <w:sz w:val="22"/>
          <w:szCs w:val="22"/>
        </w:rPr>
      </w:pPr>
      <w:r w:rsidRPr="00F7201A">
        <w:rPr>
          <w:rFonts w:ascii="Arial" w:hAnsi="Arial" w:cs="Arial"/>
          <w:b/>
          <w:bCs/>
        </w:rPr>
        <w:lastRenderedPageBreak/>
        <w:t>Empirical Evidence</w:t>
      </w:r>
      <w:r w:rsidRPr="00F7201A">
        <w:rPr>
          <w:rFonts w:ascii="Arial" w:hAnsi="Arial" w:cs="Arial"/>
        </w:rPr>
        <w:t xml:space="preserve">: </w:t>
      </w:r>
      <w:r w:rsidRPr="002623C2">
        <w:rPr>
          <w:rFonts w:ascii="Arial" w:hAnsi="Arial" w:cs="Arial"/>
          <w:sz w:val="22"/>
          <w:szCs w:val="22"/>
        </w:rPr>
        <w:t>The PEG ratio provides a more balanced assessment of valuation by uniting growth expectations. A PEG below one generally indicates that a stock is unrecognized relative to its growth potential, while a PEG above one suggests overvaluation. This ratio is particularly useful for high-growth industries, where traditional P/E alone may not accurately arrest future potential (</w:t>
      </w:r>
      <w:bookmarkStart w:id="42" w:name="_Int_jmKw6g7a"/>
      <w:proofErr w:type="spellStart"/>
      <w:r w:rsidRPr="002623C2">
        <w:rPr>
          <w:rFonts w:ascii="Arial" w:hAnsi="Arial" w:cs="Arial"/>
          <w:sz w:val="22"/>
          <w:szCs w:val="22"/>
        </w:rPr>
        <w:t>Lakonishok</w:t>
      </w:r>
      <w:bookmarkEnd w:id="42"/>
      <w:proofErr w:type="spellEnd"/>
      <w:r w:rsidRPr="002623C2">
        <w:rPr>
          <w:rFonts w:ascii="Arial" w:hAnsi="Arial" w:cs="Arial"/>
          <w:sz w:val="22"/>
          <w:szCs w:val="22"/>
        </w:rPr>
        <w:t xml:space="preserve"> et al., 1994). </w:t>
      </w:r>
    </w:p>
    <w:p w14:paraId="4F13DBE1" w14:textId="77777777" w:rsidR="00CE397E" w:rsidRPr="002623C2" w:rsidRDefault="00CE397E" w:rsidP="00CE397E">
      <w:pPr>
        <w:pStyle w:val="NormalWeb"/>
        <w:spacing w:line="360" w:lineRule="auto"/>
        <w:ind w:firstLine="720"/>
        <w:jc w:val="both"/>
        <w:rPr>
          <w:rFonts w:ascii="Arial" w:hAnsi="Arial" w:cs="Arial"/>
          <w:sz w:val="22"/>
          <w:szCs w:val="22"/>
        </w:rPr>
      </w:pPr>
      <w:r w:rsidRPr="00F7201A">
        <w:rPr>
          <w:rFonts w:ascii="Arial" w:hAnsi="Arial" w:cs="Arial"/>
          <w:b/>
          <w:bCs/>
        </w:rPr>
        <w:t xml:space="preserve">Relevance: </w:t>
      </w:r>
      <w:r w:rsidRPr="002623C2">
        <w:rPr>
          <w:rFonts w:ascii="Arial" w:hAnsi="Arial" w:cs="Arial"/>
          <w:sz w:val="22"/>
          <w:szCs w:val="22"/>
        </w:rPr>
        <w:t>PEG captures forward-looking investor expectations, particularly relevant during periods of economic disruption like Covid-19.</w:t>
      </w:r>
    </w:p>
    <w:p w14:paraId="47E733AF" w14:textId="77777777" w:rsidR="00CE397E" w:rsidRPr="002623C2" w:rsidRDefault="00CE397E" w:rsidP="00CE397E">
      <w:pPr>
        <w:pStyle w:val="NormalWeb"/>
        <w:spacing w:line="360" w:lineRule="auto"/>
        <w:ind w:firstLine="720"/>
        <w:jc w:val="both"/>
        <w:rPr>
          <w:rFonts w:ascii="Arial" w:hAnsi="Arial" w:cs="Arial"/>
          <w:sz w:val="22"/>
          <w:szCs w:val="22"/>
        </w:rPr>
      </w:pPr>
      <w:r w:rsidRPr="002623C2">
        <w:rPr>
          <w:rFonts w:ascii="Arial" w:hAnsi="Arial" w:cs="Arial"/>
          <w:sz w:val="22"/>
          <w:szCs w:val="22"/>
        </w:rPr>
        <w:t>The limitation of PEG lies in its support on accurate earnings growth estimates, which introduces estimation risk, but it remains a useful tool for evaluating fair value relative to growth. Investors can use PEG to compare growth-adjusted valuations across companies, making it a powerful tool in set allocation. However, PEG depends on accurate forecasting of earnings growth, which introduces uncertainty and potential errors.</w:t>
      </w:r>
    </w:p>
    <w:p w14:paraId="0BB69E76"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43" w:name="_Toc943892392"/>
      <w:bookmarkStart w:id="44" w:name="_Toc214027623"/>
      <w:r w:rsidRPr="00F7201A">
        <w:rPr>
          <w:rFonts w:ascii="Arial" w:eastAsia="Times New Roman" w:hAnsi="Arial" w:cs="Arial"/>
          <w:b/>
          <w:bCs/>
          <w:color w:val="auto"/>
          <w:sz w:val="32"/>
          <w:szCs w:val="32"/>
        </w:rPr>
        <w:t>2.4 Empirical Findings</w:t>
      </w:r>
      <w:bookmarkEnd w:id="43"/>
      <w:bookmarkEnd w:id="44"/>
    </w:p>
    <w:p w14:paraId="77E9DF31"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A considerable body of empirical research has investigated the relationship between financial ratios and stock prices, yet findings are mixed, reflecting the complexity of financial markets and the influence of time, geography, and macroeconomic events.</w:t>
      </w:r>
    </w:p>
    <w:p w14:paraId="62246232"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45" w:name="_Toc1300996558"/>
      <w:bookmarkStart w:id="46" w:name="_Toc214027624"/>
      <w:r w:rsidRPr="00F7201A">
        <w:rPr>
          <w:rFonts w:ascii="Arial" w:eastAsia="Times New Roman" w:hAnsi="Arial" w:cs="Arial"/>
          <w:b/>
          <w:bCs/>
          <w:color w:val="auto"/>
          <w:sz w:val="28"/>
          <w:szCs w:val="28"/>
        </w:rPr>
        <w:t>2.4.1 Classic and International Evidence</w:t>
      </w:r>
      <w:bookmarkEnd w:id="45"/>
      <w:bookmarkEnd w:id="46"/>
    </w:p>
    <w:p w14:paraId="28D7FAB2"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Basu (1977) conducted one of the earliest studies linking valuation ratios to stock returns in the United States. Using regression analysis on a sample of NYSE-listed firms over a 14-year period, he found that firms with low price-to-earning (P/E) ratios generated consistently higher returns than those with higher P/E ratios. His work challenged the Efficient Market Hypothesis (EMH) by suggesting that markets did not fully incorporate accounting information immediately, leaving room for excess returns. Basu’s methodology—cross-sectional regression with P/E as the explanatory</w:t>
      </w:r>
      <w:r w:rsidRPr="00F7201A">
        <w:rPr>
          <w:rFonts w:ascii="Arial" w:eastAsia="Times New Roman" w:hAnsi="Arial" w:cs="Arial"/>
          <w:kern w:val="0"/>
          <w14:ligatures w14:val="none"/>
        </w:rPr>
        <w:t xml:space="preserve"> </w:t>
      </w:r>
      <w:r w:rsidRPr="002623C2">
        <w:rPr>
          <w:rFonts w:ascii="Arial" w:eastAsia="Times New Roman" w:hAnsi="Arial" w:cs="Arial"/>
          <w:kern w:val="0"/>
          <w:sz w:val="22"/>
          <w:szCs w:val="22"/>
          <w14:ligatures w14:val="none"/>
        </w:rPr>
        <w:t>variable—pioneered the ratio–return link and continues to justify the inclusion of valuation measures in ratio-based models today.</w:t>
      </w:r>
    </w:p>
    <w:p w14:paraId="00B9530A"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Chen and Zhao (2009) extended this line of research to developed markets, applying panel data techniques across multiple countries. Their results showed that profitability indicators, particularly earnings per share (EPS) and return on equity (ROE), were among the strongest predictors of stock performance. They used firm-level financial statements and stock price data, applying pooled and fixed-effects regressions, thereby offering more generalizable </w:t>
      </w:r>
      <w:r w:rsidRPr="002623C2">
        <w:rPr>
          <w:rFonts w:ascii="Arial" w:eastAsia="Times New Roman" w:hAnsi="Arial" w:cs="Arial"/>
          <w:kern w:val="0"/>
          <w:sz w:val="22"/>
          <w:szCs w:val="22"/>
          <w14:ligatures w14:val="none"/>
        </w:rPr>
        <w:lastRenderedPageBreak/>
        <w:t>conclusions than Basu. Their findings underscore the importance of profitability ratios in investment decision-making.</w:t>
      </w:r>
    </w:p>
    <w:p w14:paraId="60B347F9"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By contrast, Mohamad et al. (2010), </w:t>
      </w:r>
      <w:proofErr w:type="spellStart"/>
      <w:r w:rsidRPr="002623C2">
        <w:rPr>
          <w:rFonts w:ascii="Arial" w:eastAsia="Times New Roman" w:hAnsi="Arial" w:cs="Arial"/>
          <w:kern w:val="0"/>
          <w:sz w:val="22"/>
          <w:szCs w:val="22"/>
          <w14:ligatures w14:val="none"/>
        </w:rPr>
        <w:t>analyzing</w:t>
      </w:r>
      <w:proofErr w:type="spellEnd"/>
      <w:r w:rsidRPr="002623C2">
        <w:rPr>
          <w:rFonts w:ascii="Arial" w:eastAsia="Times New Roman" w:hAnsi="Arial" w:cs="Arial"/>
          <w:kern w:val="0"/>
          <w:sz w:val="22"/>
          <w:szCs w:val="22"/>
          <w14:ligatures w14:val="none"/>
        </w:rPr>
        <w:t xml:space="preserve"> Malaysian listed companies between 2002 and 2007, applied regression and correlation analysis and found that profitability ratios were significant determinants of stock prices, but liquidity and control ratios (e.g., current ratio, quick ratio) showed little explanatory power. This highlights the contextual nature of ratios: what is influential in one market may not be in another, depending on structural and sectoral characteristics.</w:t>
      </w:r>
    </w:p>
    <w:p w14:paraId="58DD1524"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Al-</w:t>
      </w:r>
      <w:proofErr w:type="spellStart"/>
      <w:r w:rsidRPr="002623C2">
        <w:rPr>
          <w:rFonts w:ascii="Arial" w:eastAsia="Times New Roman" w:hAnsi="Arial" w:cs="Arial"/>
          <w:kern w:val="0"/>
          <w:sz w:val="22"/>
          <w:szCs w:val="22"/>
          <w14:ligatures w14:val="none"/>
        </w:rPr>
        <w:t>Mwalla</w:t>
      </w:r>
      <w:proofErr w:type="spellEnd"/>
      <w:r w:rsidRPr="002623C2">
        <w:rPr>
          <w:rFonts w:ascii="Arial" w:eastAsia="Times New Roman" w:hAnsi="Arial" w:cs="Arial"/>
          <w:kern w:val="0"/>
          <w:sz w:val="22"/>
          <w:szCs w:val="22"/>
          <w14:ligatures w14:val="none"/>
        </w:rPr>
        <w:t xml:space="preserve"> (2012), using Jordanian data, tested the effect of the debt-to-equity (D/E) ratio on firm valuation through regression models. His findings revealed a non-linear effect: moderate leverage enhanced investor's confidence and stock valuation, but excessive debt eroded firm value. This highlights the need to account for leverage carefully, as its influence can shift depending on debt capacity and market conditions.</w:t>
      </w:r>
    </w:p>
    <w:p w14:paraId="3480EAC8"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47" w:name="_Toc1659826833"/>
      <w:bookmarkStart w:id="48" w:name="_Toc214027625"/>
      <w:r w:rsidRPr="00F7201A">
        <w:rPr>
          <w:rFonts w:ascii="Arial" w:eastAsia="Times New Roman" w:hAnsi="Arial" w:cs="Arial"/>
          <w:b/>
          <w:bCs/>
          <w:color w:val="auto"/>
          <w:sz w:val="28"/>
          <w:szCs w:val="28"/>
        </w:rPr>
        <w:t>2.4.2 UK and Developed Market Studies</w:t>
      </w:r>
      <w:bookmarkEnd w:id="47"/>
      <w:bookmarkEnd w:id="48"/>
    </w:p>
    <w:p w14:paraId="50BBD94A"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Evidence specifically from the UK remains limited. </w:t>
      </w:r>
      <w:proofErr w:type="spellStart"/>
      <w:r w:rsidRPr="002623C2">
        <w:rPr>
          <w:rFonts w:ascii="Arial" w:eastAsia="Times New Roman" w:hAnsi="Arial" w:cs="Arial"/>
          <w:kern w:val="0"/>
          <w:sz w:val="22"/>
          <w:szCs w:val="22"/>
          <w14:ligatures w14:val="none"/>
        </w:rPr>
        <w:t>Tsalkamas</w:t>
      </w:r>
      <w:proofErr w:type="spellEnd"/>
      <w:r w:rsidRPr="002623C2">
        <w:rPr>
          <w:rFonts w:ascii="Arial" w:eastAsia="Times New Roman" w:hAnsi="Arial" w:cs="Arial"/>
          <w:kern w:val="0"/>
          <w:sz w:val="22"/>
          <w:szCs w:val="22"/>
          <w14:ligatures w14:val="none"/>
        </w:rPr>
        <w:t xml:space="preserve"> (2020) examined the determinants of P/E ratios in UK private firms, focusing on the role of leverage and asset structure. Although not directly linked to share prices, his study highlighted the interaction between capital structure and valuation of metrics.</w:t>
      </w:r>
    </w:p>
    <w:p w14:paraId="518BD588"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Pisani (2023), in a study at the University of Malta, assessed the predictive ability of multiple ratios (EPS, ROE, P/E, dividend yield) on European stock prices using regression modelling. His findings confirmed profitability ratios as the most consistent predictors but showed that valuation ratios varied in influence depending on the macroeconomic environment.</w:t>
      </w:r>
    </w:p>
    <w:p w14:paraId="7C8BA096"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In the broader European and developed market context, mixed evidence emerges. Chen et al. (2012), for instance, used panel regression on Chinese listed firms and found profitability ratios (ROE, ROA) to be highly significant, while liquidity ratios had only weak explanatory power. These findings suggest a hierarchy of ratio importance: profitability first, valuation second, liquidity and leverage conditional.</w:t>
      </w:r>
    </w:p>
    <w:p w14:paraId="139CA710"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49" w:name="_Toc2076547738"/>
      <w:bookmarkStart w:id="50" w:name="_Toc214027626"/>
      <w:r w:rsidRPr="00F7201A">
        <w:rPr>
          <w:rFonts w:ascii="Arial" w:eastAsia="Times New Roman" w:hAnsi="Arial" w:cs="Arial"/>
          <w:b/>
          <w:bCs/>
          <w:color w:val="auto"/>
          <w:sz w:val="28"/>
          <w:szCs w:val="28"/>
        </w:rPr>
        <w:lastRenderedPageBreak/>
        <w:t>2.4.3 Impact of COVID-19 and Market Shocks</w:t>
      </w:r>
      <w:bookmarkEnd w:id="49"/>
      <w:bookmarkEnd w:id="50"/>
    </w:p>
    <w:p w14:paraId="7BC1BAFE"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Recent studies emphasize that market shocks can alter the strength of ratio–price relationships. Haroon and Rizvi (2020) employed event study methodology to </w:t>
      </w:r>
      <w:proofErr w:type="spellStart"/>
      <w:r w:rsidRPr="002623C2">
        <w:rPr>
          <w:rFonts w:ascii="Arial" w:eastAsia="Times New Roman" w:hAnsi="Arial" w:cs="Arial"/>
          <w:kern w:val="0"/>
          <w:sz w:val="22"/>
          <w:szCs w:val="22"/>
          <w14:ligatures w14:val="none"/>
        </w:rPr>
        <w:t>analyze</w:t>
      </w:r>
      <w:proofErr w:type="spellEnd"/>
      <w:r w:rsidRPr="002623C2">
        <w:rPr>
          <w:rFonts w:ascii="Arial" w:eastAsia="Times New Roman" w:hAnsi="Arial" w:cs="Arial"/>
          <w:kern w:val="0"/>
          <w:sz w:val="22"/>
          <w:szCs w:val="22"/>
          <w14:ligatures w14:val="none"/>
        </w:rPr>
        <w:t xml:space="preserve"> global stock markets during COVID-19 and found that investor sentiment and volatility outweighed fundamentals in the short term. Similarly, Phan and Narayan (2020) demonstrated that during crises, liquidity and leverage ratios gained predictive power as investors prioritized resilience over profitability. These methods—event studies and volatility modelling—illustrate that external shocks can reshape which ratios matter most.</w:t>
      </w:r>
    </w:p>
    <w:p w14:paraId="522FAC97" w14:textId="77777777" w:rsidR="00CE397E" w:rsidRPr="002623C2"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For the UK, however, systematic research on financial ratios in the COVID-19 era remains scarce, creating a gap this study directly addresses. By covering the period 2019–2023, the research captures pre-, mid-, and post-pandemic dynamics, as well as inflationary pressures and supply chain disruptions.</w:t>
      </w:r>
    </w:p>
    <w:p w14:paraId="09FD02B0"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51" w:name="_Toc1661447215"/>
      <w:bookmarkStart w:id="52" w:name="_Toc214027627"/>
      <w:r w:rsidRPr="00F7201A">
        <w:rPr>
          <w:rFonts w:ascii="Arial" w:eastAsia="Times New Roman" w:hAnsi="Arial" w:cs="Arial"/>
          <w:b/>
          <w:bCs/>
          <w:color w:val="auto"/>
          <w:sz w:val="28"/>
          <w:szCs w:val="28"/>
        </w:rPr>
        <w:t>2.4.4 Patterns and Comparative Insights</w:t>
      </w:r>
      <w:bookmarkEnd w:id="51"/>
      <w:bookmarkEnd w:id="52"/>
    </w:p>
    <w:p w14:paraId="4A5CC7A5"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From the reviewed studies, several consistent patterns emerge:</w:t>
      </w:r>
    </w:p>
    <w:p w14:paraId="6463D723"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Profitability ratios (EPS, ROE, ROA)</w:t>
      </w:r>
      <w:r w:rsidRPr="002623C2">
        <w:rPr>
          <w:rFonts w:ascii="Arial" w:eastAsia="Times New Roman" w:hAnsi="Arial" w:cs="Arial"/>
          <w:kern w:val="0"/>
          <w:sz w:val="22"/>
          <w:szCs w:val="22"/>
          <w14:ligatures w14:val="none"/>
        </w:rPr>
        <w:t xml:space="preserve"> are the most reliable predictors across geographies. Most empirical work (e.g., Chen &amp; Zhao, 2009; Mohamad et al., 2010; Chen et al., 2012) confirms their positive effect on stock valuation.</w:t>
      </w:r>
    </w:p>
    <w:p w14:paraId="65413D84"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Valuation ratios (P/E, PEG)</w:t>
      </w:r>
      <w:r w:rsidRPr="002623C2">
        <w:rPr>
          <w:rFonts w:ascii="Arial" w:eastAsia="Times New Roman" w:hAnsi="Arial" w:cs="Arial"/>
          <w:kern w:val="0"/>
          <w:sz w:val="22"/>
          <w:szCs w:val="22"/>
          <w14:ligatures w14:val="none"/>
        </w:rPr>
        <w:t xml:space="preserve"> provide mixed results. Basu (1977) found strong predictive power for P/E, but later studies noted variability, likely due to shifts in investor sentiment.</w:t>
      </w:r>
    </w:p>
    <w:p w14:paraId="12E1EF0F"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Liquidity and leverage ratios</w:t>
      </w:r>
      <w:r w:rsidRPr="002623C2">
        <w:rPr>
          <w:rFonts w:ascii="Arial" w:eastAsia="Times New Roman" w:hAnsi="Arial" w:cs="Arial"/>
          <w:kern w:val="0"/>
          <w:sz w:val="22"/>
          <w:szCs w:val="22"/>
          <w14:ligatures w14:val="none"/>
        </w:rPr>
        <w:t xml:space="preserve"> are context dependent. For example, Al-</w:t>
      </w:r>
      <w:proofErr w:type="spellStart"/>
      <w:r w:rsidRPr="002623C2">
        <w:rPr>
          <w:rFonts w:ascii="Arial" w:eastAsia="Times New Roman" w:hAnsi="Arial" w:cs="Arial"/>
          <w:kern w:val="0"/>
          <w:sz w:val="22"/>
          <w:szCs w:val="22"/>
          <w14:ligatures w14:val="none"/>
        </w:rPr>
        <w:t>Mwalla</w:t>
      </w:r>
      <w:proofErr w:type="spellEnd"/>
      <w:r w:rsidRPr="002623C2">
        <w:rPr>
          <w:rFonts w:ascii="Arial" w:eastAsia="Times New Roman" w:hAnsi="Arial" w:cs="Arial"/>
          <w:kern w:val="0"/>
          <w:sz w:val="22"/>
          <w:szCs w:val="22"/>
          <w14:ligatures w14:val="none"/>
        </w:rPr>
        <w:t xml:space="preserve"> (2012) found leverage effects to be non-linear, while Mohamad et al. (2010) downplayed liquidity’s importance.</w:t>
      </w:r>
    </w:p>
    <w:p w14:paraId="009CE0D4"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Market conditions and timeframes</w:t>
      </w:r>
      <w:r w:rsidRPr="002623C2">
        <w:rPr>
          <w:rFonts w:ascii="Arial" w:eastAsia="Times New Roman" w:hAnsi="Arial" w:cs="Arial"/>
          <w:kern w:val="0"/>
          <w:sz w:val="22"/>
          <w:szCs w:val="22"/>
          <w14:ligatures w14:val="none"/>
        </w:rPr>
        <w:t xml:space="preserve"> </w:t>
      </w:r>
      <w:r w:rsidRPr="000D6E93">
        <w:rPr>
          <w:rFonts w:ascii="Arial" w:eastAsia="Times New Roman" w:hAnsi="Arial" w:cs="Arial"/>
          <w:b/>
          <w:bCs/>
          <w:kern w:val="0"/>
          <w:sz w:val="22"/>
          <w:szCs w:val="22"/>
          <w14:ligatures w14:val="none"/>
        </w:rPr>
        <w:t>matter</w:t>
      </w:r>
      <w:r w:rsidRPr="002623C2">
        <w:rPr>
          <w:rFonts w:ascii="Arial" w:eastAsia="Times New Roman" w:hAnsi="Arial" w:cs="Arial"/>
          <w:kern w:val="0"/>
          <w:sz w:val="22"/>
          <w:szCs w:val="22"/>
          <w14:ligatures w14:val="none"/>
        </w:rPr>
        <w:t>. During crises such as COVID-19, liquidity ratios gain relevance (Phan &amp; Narayan, 2020), whereas in stable markets, profitability dominates.</w:t>
      </w:r>
    </w:p>
    <w:p w14:paraId="1D69D858" w14:textId="77777777" w:rsidR="00CE397E" w:rsidRPr="002623C2"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Sectoral differences</w:t>
      </w:r>
      <w:r w:rsidRPr="002623C2">
        <w:rPr>
          <w:rFonts w:ascii="Arial" w:eastAsia="Times New Roman" w:hAnsi="Arial" w:cs="Arial"/>
          <w:kern w:val="0"/>
          <w:sz w:val="22"/>
          <w:szCs w:val="22"/>
          <w14:ligatures w14:val="none"/>
        </w:rPr>
        <w:t xml:space="preserve"> influence results: defensive industries (utilities, consumer staples) show stronger ratio–price relationships than volatile ones (technology, energy).</w:t>
      </w:r>
    </w:p>
    <w:p w14:paraId="009D6BB6"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53" w:name="_Toc82580062"/>
      <w:bookmarkStart w:id="54" w:name="_Toc214027628"/>
      <w:r w:rsidRPr="00F7201A">
        <w:rPr>
          <w:rFonts w:ascii="Arial" w:eastAsia="Times New Roman" w:hAnsi="Arial" w:cs="Arial"/>
          <w:b/>
          <w:bCs/>
          <w:color w:val="auto"/>
          <w:sz w:val="32"/>
          <w:szCs w:val="32"/>
        </w:rPr>
        <w:lastRenderedPageBreak/>
        <w:t>2.5 Gaps in Literature</w:t>
      </w:r>
      <w:bookmarkEnd w:id="53"/>
      <w:bookmarkEnd w:id="54"/>
    </w:p>
    <w:p w14:paraId="3239C586"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The review highlights several research gaps:</w:t>
      </w:r>
    </w:p>
    <w:p w14:paraId="6D5B81CE"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Lack of recent UK</w:t>
      </w:r>
      <w:r w:rsidRPr="00162FBA">
        <w:rPr>
          <w:rFonts w:ascii="Cambria Math" w:eastAsia="Times New Roman" w:hAnsi="Cambria Math" w:cs="Cambria Math"/>
          <w:b/>
          <w:bCs/>
          <w:kern w:val="0"/>
          <w:sz w:val="22"/>
          <w:szCs w:val="22"/>
          <w14:ligatures w14:val="none"/>
        </w:rPr>
        <w:t>‐</w:t>
      </w:r>
      <w:r w:rsidRPr="00162FBA">
        <w:rPr>
          <w:rFonts w:ascii="Arial" w:eastAsia="Times New Roman" w:hAnsi="Arial" w:cs="Arial"/>
          <w:b/>
          <w:bCs/>
          <w:kern w:val="0"/>
          <w:sz w:val="22"/>
          <w:szCs w:val="22"/>
          <w14:ligatures w14:val="none"/>
        </w:rPr>
        <w:t>focused empirical studies</w:t>
      </w:r>
      <w:r w:rsidRPr="00162FBA">
        <w:rPr>
          <w:rFonts w:ascii="Arial" w:eastAsia="Times New Roman" w:hAnsi="Arial" w:cs="Arial"/>
          <w:kern w:val="0"/>
          <w:sz w:val="22"/>
          <w:szCs w:val="22"/>
          <w14:ligatures w14:val="none"/>
        </w:rPr>
        <w:t xml:space="preserve"> covering the period including the COVID</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19 pandemic, inflationary points, and post</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pandemic recovery. Much of the existing research uses data ending before 2020 or focuses on emerging markets.</w:t>
      </w:r>
    </w:p>
    <w:p w14:paraId="6A8F9A8B"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Limited cross</w:t>
      </w:r>
      <w:r w:rsidRPr="00162FBA">
        <w:rPr>
          <w:rFonts w:ascii="Cambria Math" w:eastAsia="Times New Roman" w:hAnsi="Cambria Math" w:cs="Cambria Math"/>
          <w:b/>
          <w:bCs/>
          <w:kern w:val="0"/>
          <w:sz w:val="22"/>
          <w:szCs w:val="22"/>
          <w14:ligatures w14:val="none"/>
        </w:rPr>
        <w:t>‐</w:t>
      </w:r>
      <w:r w:rsidRPr="00162FBA">
        <w:rPr>
          <w:rFonts w:ascii="Arial" w:eastAsia="Times New Roman" w:hAnsi="Arial" w:cs="Arial"/>
          <w:b/>
          <w:bCs/>
          <w:kern w:val="0"/>
          <w:sz w:val="22"/>
          <w:szCs w:val="22"/>
          <w14:ligatures w14:val="none"/>
        </w:rPr>
        <w:t>sector analyses within UK-developed markets.</w:t>
      </w:r>
      <w:r w:rsidRPr="00162FBA">
        <w:rPr>
          <w:rFonts w:ascii="Arial" w:eastAsia="Times New Roman" w:hAnsi="Arial" w:cs="Arial"/>
          <w:kern w:val="0"/>
          <w:sz w:val="22"/>
          <w:szCs w:val="22"/>
          <w14:ligatures w14:val="none"/>
        </w:rPr>
        <w:t xml:space="preserve"> Studies that examine FTSE 100 across sectors are rare, particularly using the full range of ratios (profitability, liquidity, valuation) together, rather than just a couple of them.</w:t>
      </w:r>
    </w:p>
    <w:p w14:paraId="2228B71E"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Insufficient use of multiple ratios simultaneously</w:t>
      </w:r>
      <w:r w:rsidRPr="00162FBA">
        <w:rPr>
          <w:rFonts w:ascii="Arial" w:eastAsia="Times New Roman" w:hAnsi="Arial" w:cs="Arial"/>
          <w:kern w:val="0"/>
          <w:sz w:val="22"/>
          <w:szCs w:val="22"/>
          <w14:ligatures w14:val="none"/>
        </w:rPr>
        <w:t>, controlling intercorrelations, to see which ratios have unique projecting power in a multivariate regression framework in a UK setting.</w:t>
      </w:r>
    </w:p>
    <w:p w14:paraId="0F05AD9A"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Period effects during disruptive events</w:t>
      </w:r>
      <w:r w:rsidRPr="00162FBA">
        <w:rPr>
          <w:rFonts w:ascii="Arial" w:eastAsia="Times New Roman" w:hAnsi="Arial" w:cs="Arial"/>
          <w:kern w:val="0"/>
          <w:sz w:val="22"/>
          <w:szCs w:val="22"/>
          <w14:ligatures w14:val="none"/>
        </w:rPr>
        <w:t xml:space="preserve"> are under-studied: how the relationship between ratios and share price may change before, during, and after significant macroeconomic shocks (e.g. COVID</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19, supply chain crisis, inflation).</w:t>
      </w:r>
    </w:p>
    <w:p w14:paraId="67E1AD28"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 xml:space="preserve">Nonlinear effects and threshold </w:t>
      </w:r>
      <w:proofErr w:type="spellStart"/>
      <w:r w:rsidRPr="00162FBA">
        <w:rPr>
          <w:rFonts w:ascii="Arial" w:eastAsia="Times New Roman" w:hAnsi="Arial" w:cs="Arial"/>
          <w:b/>
          <w:bCs/>
          <w:kern w:val="0"/>
          <w:sz w:val="22"/>
          <w:szCs w:val="22"/>
          <w14:ligatures w14:val="none"/>
        </w:rPr>
        <w:t>behaviors</w:t>
      </w:r>
      <w:proofErr w:type="spellEnd"/>
      <w:r w:rsidRPr="00162FBA">
        <w:rPr>
          <w:rFonts w:ascii="Arial" w:eastAsia="Times New Roman" w:hAnsi="Arial" w:cs="Arial"/>
          <w:kern w:val="0"/>
          <w:sz w:val="22"/>
          <w:szCs w:val="22"/>
          <w14:ligatures w14:val="none"/>
        </w:rPr>
        <w:t>—some ratios might have a non</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linear relationship to price (e.g. very high P/E being negative, or D/E being beneficial only up to a point). Many studies assume direct relationships.</w:t>
      </w:r>
    </w:p>
    <w:p w14:paraId="57BCCAEB"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Quality of accounting/fiscal disclosures</w:t>
      </w:r>
      <w:r w:rsidRPr="00162FBA">
        <w:rPr>
          <w:rFonts w:ascii="Arial" w:eastAsia="Times New Roman" w:hAnsi="Arial" w:cs="Arial"/>
          <w:kern w:val="0"/>
          <w:sz w:val="22"/>
          <w:szCs w:val="22"/>
          <w14:ligatures w14:val="none"/>
        </w:rPr>
        <w:t>: differences in accounting policies, earnings smoothing, one</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off items may change ratios; very few studies adjust for accounting quality or differences in earnings consistency.</w:t>
      </w:r>
    </w:p>
    <w:p w14:paraId="00C18F16"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This study directly addresses these gaps by examining multiple ratios simultaneously in UK FTSE 100 firms, across sectors, and during the unique 2019–2023 period.</w:t>
      </w:r>
    </w:p>
    <w:p w14:paraId="1C9B002F"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55" w:name="_Toc728330861"/>
      <w:bookmarkStart w:id="56" w:name="_Toc214027629"/>
      <w:r w:rsidRPr="00F7201A">
        <w:rPr>
          <w:rFonts w:ascii="Arial" w:eastAsia="Times New Roman" w:hAnsi="Arial" w:cs="Arial"/>
          <w:b/>
          <w:bCs/>
          <w:color w:val="auto"/>
          <w:sz w:val="32"/>
          <w:szCs w:val="32"/>
        </w:rPr>
        <w:t>2.6 Conceptual Framework</w:t>
      </w:r>
      <w:bookmarkEnd w:id="55"/>
      <w:bookmarkEnd w:id="56"/>
    </w:p>
    <w:p w14:paraId="0162BF9B" w14:textId="77777777" w:rsidR="00CE397E" w:rsidRPr="00162FBA"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The conceptual framework positions share price as the dependent variable influenced by selected financial ratios as self-governing variables: ROA, ROE, EPS, P/E, PEG, net profit margin, bonus yield, current ratio, and D/E ratio. The study hypothesizes the following relationships:</w:t>
      </w:r>
    </w:p>
    <w:p w14:paraId="445D4296" w14:textId="77777777" w:rsidR="00CE397E" w:rsidRPr="00162FBA"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lastRenderedPageBreak/>
        <w:t>ROA, ROE, EPS, and net profit margin are positively associated with share prices.</w:t>
      </w:r>
    </w:p>
    <w:p w14:paraId="48D04933" w14:textId="77777777" w:rsidR="00CE397E" w:rsidRPr="00162FBA"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Bonus yield generally has a positive effect, moderated by payout sustainability.</w:t>
      </w:r>
    </w:p>
    <w:p w14:paraId="799508E8" w14:textId="77777777" w:rsidR="00CE397E" w:rsidRPr="00162FBA"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P/E and PEG ratios reflect market expectations; PEG ratios above one may indicate overestimate.</w:t>
      </w:r>
    </w:p>
    <w:p w14:paraId="6583B540" w14:textId="77777777" w:rsidR="00CE397E" w:rsidRPr="00162FBA"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Current ratio enhances investor confidence, supporting share prices.</w:t>
      </w:r>
    </w:p>
    <w:p w14:paraId="08CD3397" w14:textId="77777777" w:rsidR="00CE397E" w:rsidRPr="00162FBA"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D/E ratio exhibits a non-direct effect; moderate leverage can enhance returns, while excessive debt increases risk.</w:t>
      </w:r>
    </w:p>
    <w:p w14:paraId="4340EB71" w14:textId="77777777" w:rsidR="00CE397E" w:rsidRPr="00162FBA"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This framework integrates profitability, valuation, liquidity, and leverage measures, providing an inclusive basis for investing their combined effects on share prices.</w:t>
      </w:r>
    </w:p>
    <w:p w14:paraId="2C9521BF" w14:textId="77777777" w:rsidR="00CE397E" w:rsidRPr="00F7201A" w:rsidRDefault="00CE397E" w:rsidP="00CE397E">
      <w:pPr>
        <w:spacing w:line="360" w:lineRule="auto"/>
        <w:jc w:val="both"/>
        <w:rPr>
          <w:rFonts w:ascii="Arial" w:eastAsia="Times New Roman" w:hAnsi="Arial" w:cs="Arial"/>
        </w:rPr>
      </w:pPr>
    </w:p>
    <w:p w14:paraId="703C721A"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57" w:name="_Toc1922468425"/>
      <w:bookmarkStart w:id="58" w:name="_Toc214027630"/>
      <w:r w:rsidRPr="00F7201A">
        <w:rPr>
          <w:rFonts w:ascii="Arial" w:eastAsia="Times New Roman" w:hAnsi="Arial" w:cs="Arial"/>
          <w:b/>
          <w:bCs/>
          <w:color w:val="auto"/>
          <w:sz w:val="32"/>
          <w:szCs w:val="32"/>
        </w:rPr>
        <w:t>Chapter 3: Research Methods and Methodology</w:t>
      </w:r>
      <w:bookmarkEnd w:id="57"/>
      <w:bookmarkEnd w:id="58"/>
    </w:p>
    <w:p w14:paraId="59F247DB"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59" w:name="_Toc30773301"/>
      <w:bookmarkStart w:id="60" w:name="_Toc214027631"/>
      <w:r w:rsidRPr="00F7201A">
        <w:rPr>
          <w:rFonts w:ascii="Arial" w:eastAsia="Times New Roman" w:hAnsi="Arial" w:cs="Arial"/>
          <w:b/>
          <w:bCs/>
          <w:color w:val="auto"/>
          <w:sz w:val="32"/>
          <w:szCs w:val="32"/>
        </w:rPr>
        <w:t>3.1 Introduction</w:t>
      </w:r>
      <w:bookmarkEnd w:id="59"/>
      <w:bookmarkEnd w:id="60"/>
    </w:p>
    <w:p w14:paraId="3EBB7280" w14:textId="77777777" w:rsidR="00CE397E" w:rsidRPr="00162FBA"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This chapter outlines the methodological framework employed to investigate the impact of financial ratios on the share prices of UK-listed firms. It discusses research philosophy and approach, followed by research design and strategy. The chapter explains the data collection process, including sampling and sources, and details the analytical techniques employed. It also addresses ethical issues, reliability, validity, and potential limitations. Structuring the methodology in this way ensures transparency, rigor, and replicability, strengthening the credibility and validity of the findings.</w:t>
      </w:r>
    </w:p>
    <w:p w14:paraId="38247F74"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61" w:name="_Toc203990213"/>
      <w:bookmarkStart w:id="62" w:name="_Toc214027632"/>
      <w:r w:rsidRPr="00F7201A">
        <w:rPr>
          <w:rFonts w:ascii="Arial" w:eastAsia="Times New Roman" w:hAnsi="Arial" w:cs="Arial"/>
          <w:b/>
          <w:bCs/>
          <w:color w:val="auto"/>
          <w:sz w:val="32"/>
          <w:szCs w:val="32"/>
        </w:rPr>
        <w:t>3.2 Research Philosophy</w:t>
      </w:r>
      <w:bookmarkEnd w:id="61"/>
      <w:bookmarkEnd w:id="62"/>
    </w:p>
    <w:p w14:paraId="6B3A4EA5"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63" w:name="_Toc925459606"/>
      <w:bookmarkStart w:id="64" w:name="_Toc214027633"/>
      <w:r w:rsidRPr="00F7201A">
        <w:rPr>
          <w:rFonts w:ascii="Arial" w:eastAsia="Times New Roman" w:hAnsi="Arial" w:cs="Arial"/>
          <w:b/>
          <w:bCs/>
          <w:color w:val="auto"/>
          <w:sz w:val="28"/>
          <w:szCs w:val="28"/>
        </w:rPr>
        <w:t>3.2.1 Positivism</w:t>
      </w:r>
      <w:bookmarkEnd w:id="63"/>
      <w:bookmarkEnd w:id="64"/>
    </w:p>
    <w:p w14:paraId="36E7F10D"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This study adopts a positive research philosophy as its guiding approach. Positivism is rooted in the belief that reality is objective and can be measured through observable, quantifiable data (Creswell, 2014). It assumes that the social world, like the natural world, operates according to general laws that can be uncovered through systematic investigation. In financial research, positivism is particularly relevant because it allows researchers to apply statistical models and empirical testing to determine the strength and direction of relationships between measurable variables such as financial ratios and share prices.</w:t>
      </w:r>
    </w:p>
    <w:p w14:paraId="7B1742C8"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lastRenderedPageBreak/>
        <w:t>In the context of this study, positivism supports the objective analysis of financial ratio including profitability, liquidity, leverage, and valuation measures—and their impact on share prices of FTSE 100 firms between 2019 and 2023. By adopting positivism, the research seeks to test hypotheses about whether and how these ratios influence stock performance, following a cause-and-effect logic. This is consistent with previous studies such as Basu (1977), Chen and Zhao (2009), and Al-</w:t>
      </w:r>
      <w:proofErr w:type="spellStart"/>
      <w:r w:rsidRPr="000E5758">
        <w:rPr>
          <w:rFonts w:ascii="Arial" w:eastAsia="Times New Roman" w:hAnsi="Arial" w:cs="Arial"/>
          <w:kern w:val="0"/>
          <w:sz w:val="22"/>
          <w:szCs w:val="22"/>
          <w14:ligatures w14:val="none"/>
        </w:rPr>
        <w:t>Mwalla</w:t>
      </w:r>
      <w:proofErr w:type="spellEnd"/>
      <w:r w:rsidRPr="000E5758">
        <w:rPr>
          <w:rFonts w:ascii="Arial" w:eastAsia="Times New Roman" w:hAnsi="Arial" w:cs="Arial"/>
          <w:kern w:val="0"/>
          <w:sz w:val="22"/>
          <w:szCs w:val="22"/>
          <w14:ligatures w14:val="none"/>
        </w:rPr>
        <w:t xml:space="preserve"> (2012), who employed statistical techniques to objectively evaluate the relationship between firm-level financial data and market valuations.</w:t>
      </w:r>
    </w:p>
    <w:p w14:paraId="4669E24D"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Furthermore, positivism aligns closely with the fundamental analysis theory underpinning this research. Fundamental analysis assumes that firm-specific financial information—earnings, assets, debt, dividends—carries predictive power over future stock prices. This assumption is best examined under a positivist lens, where ratios are treated as independent variables that can be empirically tested against dependent outcomes such as share price. The objective nature of financial data (e.g., audited earnings per share, published P/E ratios) provides measurable inputs that fit within the positive paradigm, reducing subjectivity, and ensuring replicability.</w:t>
      </w:r>
    </w:p>
    <w:p w14:paraId="671B7053"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This philosophy also provides justification for the quantitative methodology chosen. Positivism prioritizes statistical methods, surveys of numerical data, and hypothesis testing, rather than interpretive or subjective approaches. For example, regression analysis of widely applied methods in prior empirical studies—allows the researcher to determine the relative importance of multiple ratios in explaining share price variation. Prior studies support this approach: Mohamad et al. (2010) applied regression models to test the significance of profitability ratios in Malaysia, while Al-</w:t>
      </w:r>
      <w:proofErr w:type="spellStart"/>
      <w:r w:rsidRPr="000E5758">
        <w:rPr>
          <w:rFonts w:ascii="Arial" w:eastAsia="Times New Roman" w:hAnsi="Arial" w:cs="Arial"/>
          <w:kern w:val="0"/>
          <w:sz w:val="22"/>
          <w:szCs w:val="22"/>
          <w14:ligatures w14:val="none"/>
        </w:rPr>
        <w:t>Mwalla</w:t>
      </w:r>
      <w:proofErr w:type="spellEnd"/>
      <w:r w:rsidRPr="000E5758">
        <w:rPr>
          <w:rFonts w:ascii="Arial" w:eastAsia="Times New Roman" w:hAnsi="Arial" w:cs="Arial"/>
          <w:kern w:val="0"/>
          <w:sz w:val="22"/>
          <w:szCs w:val="22"/>
          <w14:ligatures w14:val="none"/>
        </w:rPr>
        <w:t xml:space="preserve"> (2012) used quantitative data to measure the impact of leverage on firm value. Their methodological choices reflect positivist reasoning, as they sought objective, generalizable results from observable data.</w:t>
      </w:r>
    </w:p>
    <w:p w14:paraId="22B0FD84"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In addition, the time frame of 2019–2023 provides an opportunity to test how new external events, such as the COVID-19 pandemic, inflationary pressures, and post-pandemic recovery, influenced the strength of financial ratios in predicting share prices. Under a positivist framework, such external shocks are treated as contextual variables that may alter—but do not negate—the causal relationships under investigation. By statistically examining data across pre-pandemic, pandemic, and post-pandemic periods, this study can objectively measure whether these events modified the relationship between financial ratios and market valuations, thus responding directly to gaps identified in the literature review.</w:t>
      </w:r>
    </w:p>
    <w:p w14:paraId="7AFA70DD"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 xml:space="preserve">The adoption of positivism also supports the generalizability of findings. By using a large dataset covering FTSE 100 firms across multiple sectors, the research aims to identify </w:t>
      </w:r>
      <w:r w:rsidRPr="000E5758">
        <w:rPr>
          <w:rFonts w:ascii="Arial" w:eastAsia="Times New Roman" w:hAnsi="Arial" w:cs="Arial"/>
          <w:kern w:val="0"/>
          <w:sz w:val="22"/>
          <w:szCs w:val="22"/>
          <w14:ligatures w14:val="none"/>
        </w:rPr>
        <w:lastRenderedPageBreak/>
        <w:t>patterns that can be extended beyond individual companies to the broader UK market context. This is particularly valuable for investors, policymakers, and scholars who rely on generalizable findings to guide decision-making.</w:t>
      </w:r>
    </w:p>
    <w:p w14:paraId="74C8CC29"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65" w:name="_Toc354116404"/>
      <w:bookmarkStart w:id="66" w:name="_Toc214027634"/>
      <w:r w:rsidRPr="00F7201A">
        <w:rPr>
          <w:rFonts w:ascii="Arial" w:eastAsia="Times New Roman" w:hAnsi="Arial" w:cs="Arial"/>
          <w:b/>
          <w:bCs/>
          <w:color w:val="auto"/>
          <w:sz w:val="32"/>
          <w:szCs w:val="32"/>
        </w:rPr>
        <w:t>3.3 Research Design</w:t>
      </w:r>
      <w:bookmarkEnd w:id="65"/>
      <w:bookmarkEnd w:id="66"/>
    </w:p>
    <w:p w14:paraId="564D4717"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study employs a quantitative research design, as financial ratios and share prices are numerical variables suitable for statistical modelling. Unlike qualitative approaches, which explore perceptions, quantitative design enables objective measurement and hypothesis testing.</w:t>
      </w:r>
    </w:p>
    <w:p w14:paraId="6DAD237B"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design is both correlational and explanatory. Correlation analysis assesses the strength and direction of the relationship between each financial ratio and share prices, while explanatory analysis evaluates whether these ratios collectively statistically explain variations in stock prices. This dual approach ensures that the study not only identifies relationships but also determines their significance, addressing gaps in prior research where multiple ratios were seldom considered simultaneously (Mohamad et al., 2010).</w:t>
      </w:r>
    </w:p>
    <w:p w14:paraId="263715A1"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67" w:name="_Toc798374462"/>
      <w:bookmarkStart w:id="68" w:name="_Toc214027635"/>
      <w:r w:rsidRPr="00F7201A">
        <w:rPr>
          <w:rFonts w:ascii="Arial" w:eastAsia="Times New Roman" w:hAnsi="Arial" w:cs="Arial"/>
          <w:b/>
          <w:bCs/>
          <w:color w:val="auto"/>
          <w:sz w:val="32"/>
          <w:szCs w:val="32"/>
        </w:rPr>
        <w:t>3.4 Research Strategy</w:t>
      </w:r>
      <w:bookmarkEnd w:id="67"/>
      <w:bookmarkEnd w:id="68"/>
    </w:p>
    <w:p w14:paraId="2A45835A"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research adopts an archival analysis strategy, relying on secondary data from audited financial statements, company annual reports, and financial databases such as Bloomberg, Refinitiv Eikon, Yahoo Finance, and the London Stock Exchange. Archival analysis is appropriate because the required data—financial ratios and share prices—are publicly available, reliable, and widely used in academic research.</w:t>
      </w:r>
    </w:p>
    <w:p w14:paraId="47CCE092"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This strategy enhances efficiency and accuracy, as audited reports provide verified figures, and aligns with the positive philosophy by offering objective, replicable information. Prior studies (Penman, 2013; Al-</w:t>
      </w:r>
      <w:proofErr w:type="spellStart"/>
      <w:r w:rsidRPr="000E5758">
        <w:rPr>
          <w:rFonts w:ascii="Arial" w:eastAsia="Times New Roman" w:hAnsi="Arial" w:cs="Arial"/>
          <w:kern w:val="0"/>
          <w:sz w:val="22"/>
          <w:szCs w:val="22"/>
          <w14:ligatures w14:val="none"/>
        </w:rPr>
        <w:t>Mwalla</w:t>
      </w:r>
      <w:proofErr w:type="spellEnd"/>
      <w:r w:rsidRPr="000E5758">
        <w:rPr>
          <w:rFonts w:ascii="Arial" w:eastAsia="Times New Roman" w:hAnsi="Arial" w:cs="Arial"/>
          <w:kern w:val="0"/>
          <w:sz w:val="22"/>
          <w:szCs w:val="22"/>
          <w14:ligatures w14:val="none"/>
        </w:rPr>
        <w:t>, 2012) similarly used archival data to examine the predictive power of financial ratios on stock performance.</w:t>
      </w:r>
    </w:p>
    <w:p w14:paraId="19D028D1"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69" w:name="_Toc1923455762"/>
      <w:bookmarkStart w:id="70" w:name="_Toc214027636"/>
      <w:r w:rsidRPr="00F7201A">
        <w:rPr>
          <w:rFonts w:ascii="Arial" w:eastAsia="Times New Roman" w:hAnsi="Arial" w:cs="Arial"/>
          <w:b/>
          <w:bCs/>
          <w:color w:val="auto"/>
          <w:sz w:val="32"/>
          <w:szCs w:val="32"/>
        </w:rPr>
        <w:t>3.5 Sampling</w:t>
      </w:r>
      <w:bookmarkEnd w:id="69"/>
      <w:bookmarkEnd w:id="70"/>
    </w:p>
    <w:p w14:paraId="61BAA35B"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71" w:name="_Toc2139483871"/>
      <w:bookmarkStart w:id="72" w:name="_Toc214027637"/>
      <w:r w:rsidRPr="00F7201A">
        <w:rPr>
          <w:rFonts w:ascii="Arial" w:eastAsia="Times New Roman" w:hAnsi="Arial" w:cs="Arial"/>
          <w:b/>
          <w:bCs/>
          <w:color w:val="auto"/>
          <w:sz w:val="28"/>
          <w:szCs w:val="28"/>
        </w:rPr>
        <w:t>3.5.1 Target Population</w:t>
      </w:r>
      <w:bookmarkEnd w:id="71"/>
      <w:bookmarkEnd w:id="72"/>
    </w:p>
    <w:p w14:paraId="5019B432"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 xml:space="preserve">The target population comprises FTSE 100-listed firms, representing the largest UK companies by market capitalization. The FTSE 100 is selected for its diverse sector </w:t>
      </w:r>
      <w:r w:rsidRPr="000E5758">
        <w:rPr>
          <w:rFonts w:ascii="Arial" w:eastAsia="Times New Roman" w:hAnsi="Arial" w:cs="Arial"/>
          <w:kern w:val="0"/>
          <w:sz w:val="22"/>
          <w:szCs w:val="22"/>
          <w14:ligatures w14:val="none"/>
        </w:rPr>
        <w:lastRenderedPageBreak/>
        <w:t>representation, including finance, energy, retail, and healthcare, providing a comprehensive overview of the UK corporate sector.</w:t>
      </w:r>
    </w:p>
    <w:p w14:paraId="0522CFB7"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73" w:name="_Toc798413825"/>
      <w:bookmarkStart w:id="74" w:name="_Toc214027638"/>
      <w:r w:rsidRPr="00F7201A">
        <w:rPr>
          <w:rFonts w:ascii="Arial" w:eastAsia="Times New Roman" w:hAnsi="Arial" w:cs="Arial"/>
          <w:b/>
          <w:bCs/>
          <w:color w:val="auto"/>
          <w:sz w:val="28"/>
          <w:szCs w:val="28"/>
        </w:rPr>
        <w:t>3.5.2 Sampling Frame and Selection</w:t>
      </w:r>
      <w:bookmarkEnd w:id="73"/>
      <w:bookmarkEnd w:id="74"/>
    </w:p>
    <w:p w14:paraId="23874206"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A purposive sampling technique is applied, selecting firms with complete financial data between 2019 and 2023. Firms with missing data are excluded to ensure consistency and reliability. The expected sample size is 30–40 firms, balancing statistical robustness with manageability. This approach ensures that the findings are representative of the broader FTSE 100 population while maintaining high data quality.</w:t>
      </w:r>
    </w:p>
    <w:p w14:paraId="16FCAFE8"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75" w:name="_Toc1327025752"/>
      <w:bookmarkStart w:id="76" w:name="_Toc214027639"/>
      <w:r w:rsidRPr="00F7201A">
        <w:rPr>
          <w:rFonts w:ascii="Arial" w:eastAsia="Times New Roman" w:hAnsi="Arial" w:cs="Arial"/>
          <w:b/>
          <w:bCs/>
          <w:color w:val="auto"/>
          <w:sz w:val="28"/>
          <w:szCs w:val="28"/>
        </w:rPr>
        <w:t>3.5.3 Time Frame</w:t>
      </w:r>
      <w:bookmarkEnd w:id="75"/>
      <w:bookmarkEnd w:id="76"/>
    </w:p>
    <w:p w14:paraId="76F514F2" w14:textId="77777777" w:rsidR="00CE397E" w:rsidRPr="00F7201A" w:rsidRDefault="00CE397E" w:rsidP="00CE397E">
      <w:pPr>
        <w:spacing w:before="100" w:beforeAutospacing="1" w:after="100" w:afterAutospacing="1" w:line="360" w:lineRule="auto"/>
        <w:ind w:firstLine="720"/>
        <w:jc w:val="both"/>
        <w:rPr>
          <w:rFonts w:ascii="Arial" w:eastAsia="Times New Roman" w:hAnsi="Arial" w:cs="Arial"/>
          <w:kern w:val="0"/>
          <w14:ligatures w14:val="none"/>
        </w:rPr>
      </w:pPr>
      <w:r w:rsidRPr="000E5758">
        <w:rPr>
          <w:rFonts w:ascii="Arial" w:eastAsia="Times New Roman" w:hAnsi="Arial" w:cs="Arial"/>
          <w:kern w:val="0"/>
          <w:sz w:val="22"/>
          <w:szCs w:val="22"/>
          <w14:ligatures w14:val="none"/>
        </w:rPr>
        <w:t>The 2019–2023 period captures stock performance before, during, and after the COVID-19 pandemic, allowing the study to observe how financial ratios influenced share prices under varying economic conditions. This approach provides insights into resilience and market response to extraordinary events, complementing prior studies that did not consider pandemic-related disruptions</w:t>
      </w:r>
      <w:r w:rsidRPr="00F7201A">
        <w:rPr>
          <w:rFonts w:ascii="Arial" w:eastAsia="Times New Roman" w:hAnsi="Arial" w:cs="Arial"/>
          <w:kern w:val="0"/>
          <w14:ligatures w14:val="none"/>
        </w:rPr>
        <w:t>.</w:t>
      </w:r>
    </w:p>
    <w:p w14:paraId="33317490"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77" w:name="_Toc1137133434"/>
      <w:bookmarkStart w:id="78" w:name="_Toc214027640"/>
      <w:r w:rsidRPr="00F7201A">
        <w:rPr>
          <w:rFonts w:ascii="Arial" w:eastAsia="Times New Roman" w:hAnsi="Arial" w:cs="Arial"/>
          <w:b/>
          <w:bCs/>
          <w:color w:val="auto"/>
          <w:sz w:val="32"/>
          <w:szCs w:val="32"/>
        </w:rPr>
        <w:t>3.6 Data Collection</w:t>
      </w:r>
      <w:bookmarkEnd w:id="77"/>
      <w:bookmarkEnd w:id="78"/>
    </w:p>
    <w:p w14:paraId="0B517A7A"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study uses secondary data exclusively. Sources include:</w:t>
      </w:r>
    </w:p>
    <w:p w14:paraId="4FD45CB5"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Annual reports and financial statements of selected firms are audited</w:t>
      </w:r>
      <w:r w:rsidRPr="000E5758">
        <w:rPr>
          <w:rFonts w:ascii="Arial" w:eastAsia="Times New Roman" w:hAnsi="Arial" w:cs="Arial"/>
          <w:kern w:val="0"/>
          <w:sz w:val="22"/>
          <w:szCs w:val="22"/>
          <w14:ligatures w14:val="none"/>
        </w:rPr>
        <w:t>.</w:t>
      </w:r>
    </w:p>
    <w:p w14:paraId="20F5630C"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Financial databases</w:t>
      </w:r>
      <w:r w:rsidRPr="000E5758">
        <w:rPr>
          <w:rFonts w:ascii="Arial" w:eastAsia="Times New Roman" w:hAnsi="Arial" w:cs="Arial"/>
          <w:kern w:val="0"/>
          <w:sz w:val="22"/>
          <w:szCs w:val="22"/>
          <w14:ligatures w14:val="none"/>
        </w:rPr>
        <w:t xml:space="preserve"> (Bloomberg, Refinitiv Eikon, Yahoo Finance) and the London Stock Exchange for historical share prices.</w:t>
      </w:r>
    </w:p>
    <w:p w14:paraId="00E58E4B"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Published ratio data</w:t>
      </w:r>
      <w:r w:rsidRPr="000E5758">
        <w:rPr>
          <w:rFonts w:ascii="Arial" w:eastAsia="Times New Roman" w:hAnsi="Arial" w:cs="Arial"/>
          <w:kern w:val="0"/>
          <w:sz w:val="22"/>
          <w:szCs w:val="22"/>
          <w14:ligatures w14:val="none"/>
        </w:rPr>
        <w:t>, or calculation of ratios from raw financial figures if not directly available.</w:t>
      </w:r>
    </w:p>
    <w:p w14:paraId="019078F0"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Secondary data is cost-effective, time-efficient, and reliable, as it is publicly audited and widely accepted in both academic and professional contexts.</w:t>
      </w:r>
    </w:p>
    <w:p w14:paraId="1E7C50AE"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Key variables:</w:t>
      </w:r>
    </w:p>
    <w:p w14:paraId="222FD8BF"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Independent variables (financial ratios):</w:t>
      </w:r>
      <w:r w:rsidRPr="000E5758">
        <w:rPr>
          <w:rFonts w:ascii="Arial" w:eastAsia="Times New Roman" w:hAnsi="Arial" w:cs="Arial"/>
          <w:kern w:val="0"/>
          <w:sz w:val="22"/>
          <w:szCs w:val="22"/>
          <w14:ligatures w14:val="none"/>
        </w:rPr>
        <w:t xml:space="preserve"> ROA, ROE, EPS, P/E ratio, PEG ratio, Dividend Yield, Return on Liquidity, Current Ratio.</w:t>
      </w:r>
    </w:p>
    <w:p w14:paraId="209AE50D"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Dependent variable:</w:t>
      </w:r>
      <w:r w:rsidRPr="000E5758">
        <w:rPr>
          <w:rFonts w:ascii="Arial" w:eastAsia="Times New Roman" w:hAnsi="Arial" w:cs="Arial"/>
          <w:kern w:val="0"/>
          <w:sz w:val="22"/>
          <w:szCs w:val="22"/>
          <w14:ligatures w14:val="none"/>
        </w:rPr>
        <w:t xml:space="preserve"> Year-end </w:t>
      </w:r>
      <w:r w:rsidRPr="000E5758">
        <w:rPr>
          <w:rFonts w:ascii="Arial" w:eastAsia="Times New Roman" w:hAnsi="Arial" w:cs="Arial"/>
          <w:b/>
          <w:bCs/>
          <w:kern w:val="0"/>
          <w:sz w:val="22"/>
          <w:szCs w:val="22"/>
          <w14:ligatures w14:val="none"/>
        </w:rPr>
        <w:t>share price</w:t>
      </w:r>
      <w:r w:rsidRPr="000E5758">
        <w:rPr>
          <w:rFonts w:ascii="Arial" w:eastAsia="Times New Roman" w:hAnsi="Arial" w:cs="Arial"/>
          <w:kern w:val="0"/>
          <w:sz w:val="22"/>
          <w:szCs w:val="22"/>
          <w14:ligatures w14:val="none"/>
        </w:rPr>
        <w:t>.</w:t>
      </w:r>
    </w:p>
    <w:p w14:paraId="7151F4C1"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79" w:name="_Toc1195005571"/>
      <w:bookmarkStart w:id="80" w:name="_Toc214027641"/>
      <w:r w:rsidRPr="00F7201A">
        <w:rPr>
          <w:rFonts w:ascii="Arial" w:eastAsia="Times New Roman" w:hAnsi="Arial" w:cs="Arial"/>
          <w:b/>
          <w:bCs/>
          <w:color w:val="auto"/>
          <w:sz w:val="32"/>
          <w:szCs w:val="32"/>
        </w:rPr>
        <w:lastRenderedPageBreak/>
        <w:t>3.7 Data Analysis</w:t>
      </w:r>
      <w:bookmarkEnd w:id="79"/>
      <w:bookmarkEnd w:id="80"/>
    </w:p>
    <w:p w14:paraId="70278E2D"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Quantitative analysis is conducted using SPSS and Microsoft Excel, employing the following techniques:</w:t>
      </w:r>
    </w:p>
    <w:p w14:paraId="388658E6"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Descriptive Statistics:</w:t>
      </w:r>
      <w:r w:rsidRPr="000E5758">
        <w:rPr>
          <w:rFonts w:ascii="Arial" w:eastAsia="Times New Roman" w:hAnsi="Arial" w:cs="Arial"/>
          <w:kern w:val="0"/>
          <w:sz w:val="22"/>
          <w:szCs w:val="22"/>
          <w14:ligatures w14:val="none"/>
        </w:rPr>
        <w:t xml:space="preserve"> Mean, median, standard deviation, and range to summarize ratios and share prices, providing an overview of trends and variability.</w:t>
      </w:r>
    </w:p>
    <w:p w14:paraId="150D2F79"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Correlation Analysis:</w:t>
      </w:r>
      <w:r w:rsidRPr="000E5758">
        <w:rPr>
          <w:rFonts w:ascii="Arial" w:eastAsia="Times New Roman" w:hAnsi="Arial" w:cs="Arial"/>
          <w:kern w:val="0"/>
          <w:sz w:val="22"/>
          <w:szCs w:val="22"/>
          <w14:ligatures w14:val="none"/>
        </w:rPr>
        <w:t xml:space="preserve"> Pearson correlation coefficients measure the strength and direction of relationships between financial ratios and share prices.</w:t>
      </w:r>
    </w:p>
    <w:p w14:paraId="35E2E61C"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Multiple Linear Regression:</w:t>
      </w:r>
      <w:r w:rsidRPr="000E5758">
        <w:rPr>
          <w:rFonts w:ascii="Arial" w:eastAsia="Times New Roman" w:hAnsi="Arial" w:cs="Arial"/>
          <w:kern w:val="0"/>
          <w:sz w:val="22"/>
          <w:szCs w:val="22"/>
          <w14:ligatures w14:val="none"/>
        </w:rPr>
        <w:t xml:space="preserve"> Evaluates the combined effect of all selected ratios on share prices, identifying which ratios significantly predict stock values. The regression model in words: Share Price is predicted based on the combined influence of P/E ratio, EPS, ROE, D/E ratio, Current Ratio, Dividend Yield, and PEG ratio.</w:t>
      </w:r>
    </w:p>
    <w:p w14:paraId="5CA2A001"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Diagnostic Tests:</w:t>
      </w:r>
      <w:r w:rsidRPr="000E5758">
        <w:rPr>
          <w:rFonts w:ascii="Arial" w:eastAsia="Times New Roman" w:hAnsi="Arial" w:cs="Arial"/>
          <w:kern w:val="0"/>
          <w:sz w:val="22"/>
          <w:szCs w:val="22"/>
          <w14:ligatures w14:val="none"/>
        </w:rPr>
        <w:t xml:space="preserve"> Assess multicollinearity, heteroskedasticity, and normality to ensure regression validity.</w:t>
      </w:r>
    </w:p>
    <w:p w14:paraId="65E12C6A"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These methods are consistent with prior research (Basu, 1977; Penman, 2013) and provide a robust framework for testing hypotheses, including those influenced by Covid-19 market volatility.</w:t>
      </w:r>
    </w:p>
    <w:p w14:paraId="0A71C77C"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81" w:name="_Toc1462420580"/>
      <w:bookmarkStart w:id="82" w:name="_Toc214027642"/>
      <w:r w:rsidRPr="00F7201A">
        <w:rPr>
          <w:rFonts w:ascii="Arial" w:eastAsia="Times New Roman" w:hAnsi="Arial" w:cs="Arial"/>
          <w:b/>
          <w:bCs/>
          <w:color w:val="auto"/>
          <w:sz w:val="32"/>
          <w:szCs w:val="32"/>
        </w:rPr>
        <w:t>3.8 Ethical Considerations</w:t>
      </w:r>
      <w:bookmarkEnd w:id="81"/>
      <w:bookmarkEnd w:id="82"/>
    </w:p>
    <w:p w14:paraId="49FEA5E1"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Although the study uses secondary data, ethical principles are observed:</w:t>
      </w:r>
    </w:p>
    <w:p w14:paraId="492E8DAB"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900BBB">
        <w:rPr>
          <w:rFonts w:ascii="Arial" w:eastAsia="Times New Roman" w:hAnsi="Arial" w:cs="Arial"/>
          <w:b/>
          <w:bCs/>
          <w:kern w:val="0"/>
          <w14:ligatures w14:val="none"/>
        </w:rPr>
        <w:t>Integrity</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Accurate reporting of audited and verifiable data.</w:t>
      </w:r>
    </w:p>
    <w:p w14:paraId="19FDA64D"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900BBB">
        <w:rPr>
          <w:rFonts w:ascii="Arial" w:eastAsia="Times New Roman" w:hAnsi="Arial" w:cs="Arial"/>
          <w:b/>
          <w:bCs/>
          <w:kern w:val="0"/>
          <w14:ligatures w14:val="none"/>
        </w:rPr>
        <w:t>Transparency</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Full documentation of methods and calculations for replicability.</w:t>
      </w:r>
    </w:p>
    <w:p w14:paraId="32E18EE5"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900BBB">
        <w:rPr>
          <w:rFonts w:ascii="Arial" w:eastAsia="Times New Roman" w:hAnsi="Arial" w:cs="Arial"/>
          <w:b/>
          <w:bCs/>
          <w:kern w:val="0"/>
          <w14:ligatures w14:val="none"/>
        </w:rPr>
        <w:t>Confidentiality</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Public data is handled responsibly, avoiding misrepresentation.</w:t>
      </w:r>
    </w:p>
    <w:p w14:paraId="1233C681"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900BBB">
        <w:rPr>
          <w:rFonts w:ascii="Arial" w:eastAsia="Times New Roman" w:hAnsi="Arial" w:cs="Arial"/>
          <w:b/>
          <w:bCs/>
          <w:kern w:val="0"/>
          <w14:ligatures w14:val="none"/>
        </w:rPr>
        <w:t>Acknowledgment</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Proper Harvard referencing of all sources.</w:t>
      </w:r>
    </w:p>
    <w:p w14:paraId="6752F823"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No human participants are involved, so risks like informed consent or privacy violations do not apply.</w:t>
      </w:r>
    </w:p>
    <w:p w14:paraId="7506362C"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83" w:name="_Toc540900246"/>
      <w:bookmarkStart w:id="84" w:name="_Toc214027643"/>
      <w:r w:rsidRPr="00F7201A">
        <w:rPr>
          <w:rFonts w:ascii="Arial" w:eastAsia="Times New Roman" w:hAnsi="Arial" w:cs="Arial"/>
          <w:b/>
          <w:bCs/>
          <w:color w:val="auto"/>
          <w:sz w:val="32"/>
          <w:szCs w:val="32"/>
        </w:rPr>
        <w:lastRenderedPageBreak/>
        <w:t>3.9 Reliability and Validity</w:t>
      </w:r>
      <w:bookmarkEnd w:id="83"/>
      <w:bookmarkEnd w:id="84"/>
    </w:p>
    <w:p w14:paraId="0A591F90" w14:textId="77777777" w:rsidR="00CE397E" w:rsidRPr="000E5758" w:rsidRDefault="00CE397E" w:rsidP="00CE397E">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Reliability is ensured by using audited data and standardized ratio calculations, minimizing errors, and enabling replication across firms and years.</w:t>
      </w:r>
    </w:p>
    <w:p w14:paraId="181C883E"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Validity is established by aligning ratios with theoretical and empirical literature, ensuring construct validity. Internal validity is strengthened through regression analysis, isolating the effect of each ratio while controlling others. This ensures that the results genuinely reflect the relationship between financial ratios and share prices.</w:t>
      </w:r>
    </w:p>
    <w:p w14:paraId="19A37D74"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85" w:name="_Toc484488626"/>
      <w:bookmarkStart w:id="86" w:name="_Toc214027644"/>
      <w:r w:rsidRPr="00F7201A">
        <w:rPr>
          <w:rFonts w:ascii="Arial" w:eastAsia="Times New Roman" w:hAnsi="Arial" w:cs="Arial"/>
          <w:b/>
          <w:bCs/>
          <w:color w:val="auto"/>
          <w:sz w:val="32"/>
          <w:szCs w:val="32"/>
        </w:rPr>
        <w:t>3.10 Limitations</w:t>
      </w:r>
      <w:bookmarkEnd w:id="85"/>
      <w:bookmarkEnd w:id="86"/>
    </w:p>
    <w:p w14:paraId="30109732"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Key limitations include:</w:t>
      </w:r>
    </w:p>
    <w:p w14:paraId="07851AA8" w14:textId="77777777" w:rsidR="00CE397E" w:rsidRPr="000E5758"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A33C4C">
        <w:rPr>
          <w:rFonts w:ascii="Arial" w:eastAsia="Times New Roman" w:hAnsi="Arial" w:cs="Arial"/>
          <w:b/>
          <w:bCs/>
          <w:kern w:val="0"/>
          <w14:ligatures w14:val="none"/>
        </w:rPr>
        <w:t>Secondary data constraints</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Public reports may not capture all relevant factors.</w:t>
      </w:r>
    </w:p>
    <w:p w14:paraId="185C4912" w14:textId="77777777" w:rsidR="00CE397E" w:rsidRPr="000E5758"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A33C4C">
        <w:rPr>
          <w:rFonts w:ascii="Arial" w:eastAsia="Times New Roman" w:hAnsi="Arial" w:cs="Arial"/>
          <w:b/>
          <w:bCs/>
          <w:kern w:val="0"/>
          <w14:ligatures w14:val="none"/>
        </w:rPr>
        <w:t>External influences</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Macroeconomic events, investor sentiment, and global shocks affect share prices beyond ratios.</w:t>
      </w:r>
    </w:p>
    <w:p w14:paraId="276BE732" w14:textId="77777777" w:rsidR="00CE397E" w:rsidRPr="000E5758"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A33C4C">
        <w:rPr>
          <w:rFonts w:ascii="Arial" w:eastAsia="Times New Roman" w:hAnsi="Arial" w:cs="Arial"/>
          <w:b/>
          <w:bCs/>
          <w:kern w:val="0"/>
          <w14:ligatures w14:val="none"/>
        </w:rPr>
        <w:t>Sample restriction</w:t>
      </w:r>
      <w:r w:rsidRPr="000E5758">
        <w:rPr>
          <w:rFonts w:ascii="Arial" w:eastAsia="Times New Roman" w:hAnsi="Arial" w:cs="Arial"/>
          <w:b/>
          <w:bCs/>
          <w:kern w:val="0"/>
          <w:sz w:val="22"/>
          <w:szCs w:val="22"/>
          <w14:ligatures w14:val="none"/>
        </w:rPr>
        <w:t>:</w:t>
      </w:r>
      <w:r w:rsidRPr="000E5758">
        <w:rPr>
          <w:rFonts w:ascii="Arial" w:eastAsia="Times New Roman" w:hAnsi="Arial" w:cs="Arial"/>
          <w:kern w:val="0"/>
          <w:sz w:val="22"/>
          <w:szCs w:val="22"/>
          <w14:ligatures w14:val="none"/>
        </w:rPr>
        <w:t xml:space="preserve"> Findings may not be generalized to smaller UK-listed firms.</w:t>
      </w:r>
    </w:p>
    <w:p w14:paraId="719130B8" w14:textId="77777777" w:rsidR="00CE397E" w:rsidRPr="000E5758" w:rsidRDefault="00CE397E" w:rsidP="00CE397E">
      <w:pPr>
        <w:spacing w:before="100" w:beforeAutospacing="1" w:after="100" w:afterAutospacing="1" w:line="240" w:lineRule="auto"/>
        <w:jc w:val="both"/>
        <w:rPr>
          <w:rFonts w:ascii="Arial" w:eastAsia="Times New Roman" w:hAnsi="Arial" w:cs="Arial"/>
          <w:kern w:val="0"/>
          <w:sz w:val="22"/>
          <w:szCs w:val="22"/>
          <w14:ligatures w14:val="none"/>
        </w:rPr>
      </w:pPr>
      <w:r w:rsidRPr="00A33C4C">
        <w:rPr>
          <w:rFonts w:ascii="Arial" w:eastAsia="Times New Roman" w:hAnsi="Arial" w:cs="Arial"/>
          <w:b/>
          <w:bCs/>
          <w:kern w:val="0"/>
          <w14:ligatures w14:val="none"/>
        </w:rPr>
        <w:t>Time frame</w:t>
      </w:r>
      <w:r w:rsidRPr="000E5758">
        <w:rPr>
          <w:rFonts w:ascii="Arial" w:eastAsia="Times New Roman" w:hAnsi="Arial" w:cs="Arial"/>
          <w:b/>
          <w:bCs/>
          <w:kern w:val="0"/>
          <w:sz w:val="22"/>
          <w:szCs w:val="22"/>
          <w14:ligatures w14:val="none"/>
        </w:rPr>
        <w:t>:</w:t>
      </w:r>
      <w:r>
        <w:rPr>
          <w:rFonts w:ascii="Arial" w:eastAsia="Times New Roman" w:hAnsi="Arial" w:cs="Arial"/>
          <w:kern w:val="0"/>
          <w:sz w:val="22"/>
          <w:szCs w:val="22"/>
          <w14:ligatures w14:val="none"/>
        </w:rPr>
        <w:t xml:space="preserve"> While 2019-2023 captures Covid-19 effects, it may limit long-term generalizability.</w:t>
      </w:r>
    </w:p>
    <w:p w14:paraId="6A06EE97" w14:textId="77777777" w:rsidR="00CE397E" w:rsidRPr="000E5758" w:rsidRDefault="00CE397E" w:rsidP="00CE397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Despite these limitations, the methodology provides rigorous and transparent insights into the relationship between financial ratios and share prices.</w:t>
      </w:r>
    </w:p>
    <w:p w14:paraId="26FBF87D" w14:textId="77777777" w:rsidR="00CE397E" w:rsidRPr="00F7201A" w:rsidRDefault="00CE397E" w:rsidP="00CE397E">
      <w:pPr>
        <w:spacing w:beforeAutospacing="1" w:afterAutospacing="1" w:line="360" w:lineRule="auto"/>
        <w:jc w:val="both"/>
        <w:rPr>
          <w:rFonts w:ascii="Arial" w:eastAsia="Times New Roman" w:hAnsi="Arial" w:cs="Arial"/>
        </w:rPr>
      </w:pPr>
    </w:p>
    <w:p w14:paraId="2B78A0E3" w14:textId="77777777" w:rsidR="00CE397E" w:rsidRPr="00F7201A" w:rsidRDefault="00CE397E" w:rsidP="00CE397E">
      <w:pPr>
        <w:spacing w:beforeAutospacing="1" w:afterAutospacing="1" w:line="360" w:lineRule="auto"/>
        <w:jc w:val="both"/>
        <w:rPr>
          <w:rFonts w:ascii="Arial" w:eastAsia="Times New Roman" w:hAnsi="Arial" w:cs="Arial"/>
        </w:rPr>
      </w:pPr>
    </w:p>
    <w:p w14:paraId="4DC0F743" w14:textId="77777777" w:rsidR="00CE397E" w:rsidRPr="00F7201A" w:rsidRDefault="00CE397E" w:rsidP="00CE397E">
      <w:pPr>
        <w:pStyle w:val="Heading1"/>
        <w:jc w:val="center"/>
        <w:rPr>
          <w:rFonts w:ascii="Arial" w:eastAsia="Times New Roman" w:hAnsi="Arial" w:cs="Arial"/>
          <w:b/>
          <w:bCs/>
          <w:color w:val="auto"/>
          <w:sz w:val="36"/>
          <w:szCs w:val="36"/>
        </w:rPr>
      </w:pPr>
      <w:bookmarkStart w:id="87" w:name="_Toc1300781416"/>
      <w:bookmarkStart w:id="88" w:name="_Toc214027645"/>
      <w:r w:rsidRPr="00F7201A">
        <w:rPr>
          <w:rFonts w:ascii="Arial" w:eastAsia="Times New Roman" w:hAnsi="Arial" w:cs="Arial"/>
          <w:b/>
          <w:bCs/>
          <w:color w:val="auto"/>
          <w:sz w:val="36"/>
          <w:szCs w:val="36"/>
        </w:rPr>
        <w:t>Chapter 4: Data Analysis and Results</w:t>
      </w:r>
      <w:bookmarkEnd w:id="87"/>
      <w:bookmarkEnd w:id="88"/>
    </w:p>
    <w:p w14:paraId="7EDA9429" w14:textId="77777777" w:rsidR="00CE397E" w:rsidRPr="00F7201A" w:rsidRDefault="00CE397E" w:rsidP="00CE397E">
      <w:pPr>
        <w:pStyle w:val="Heading1"/>
        <w:jc w:val="center"/>
        <w:rPr>
          <w:rFonts w:ascii="Arial" w:eastAsia="Times New Roman" w:hAnsi="Arial" w:cs="Arial"/>
          <w:b/>
          <w:bCs/>
          <w:color w:val="auto"/>
          <w:sz w:val="32"/>
          <w:szCs w:val="32"/>
        </w:rPr>
      </w:pPr>
      <w:bookmarkStart w:id="89" w:name="_Toc1857945503"/>
      <w:bookmarkStart w:id="90" w:name="_Toc214027646"/>
      <w:r w:rsidRPr="00F7201A">
        <w:rPr>
          <w:rFonts w:ascii="Arial" w:eastAsia="Times New Roman" w:hAnsi="Arial" w:cs="Arial"/>
          <w:b/>
          <w:bCs/>
          <w:color w:val="auto"/>
          <w:sz w:val="32"/>
          <w:szCs w:val="32"/>
        </w:rPr>
        <w:t>4.1 Introduction</w:t>
      </w:r>
      <w:bookmarkEnd w:id="89"/>
      <w:bookmarkEnd w:id="90"/>
    </w:p>
    <w:p w14:paraId="2272EC65" w14:textId="77777777" w:rsidR="00CE397E" w:rsidRPr="000E5758"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0E5758">
        <w:rPr>
          <w:rFonts w:ascii="Arial" w:eastAsia="Times New Roman" w:hAnsi="Arial" w:cs="Arial"/>
          <w:color w:val="000000" w:themeColor="text1"/>
          <w:sz w:val="22"/>
          <w:szCs w:val="22"/>
        </w:rPr>
        <w:t xml:space="preserve">This chapter presents the results of the statistical analyses conducted to examine the impact of financial ratios on the share prices of FTSE 100 companies over the period 2019–2023. The analysis is based on the methodology discussed in Chapter 3 and employs the quantitative approach in accordance with the positive philosophy and deductive approach. The objective is to establish whether profitability, liquidity, leverage and valuation ratios are </w:t>
      </w:r>
      <w:r w:rsidRPr="000E5758">
        <w:rPr>
          <w:rFonts w:ascii="Arial" w:eastAsia="Times New Roman" w:hAnsi="Arial" w:cs="Arial"/>
          <w:color w:val="000000" w:themeColor="text1"/>
          <w:sz w:val="22"/>
          <w:szCs w:val="22"/>
        </w:rPr>
        <w:lastRenderedPageBreak/>
        <w:t xml:space="preserve">significant factors affecting share prices, and how the relationships might have changed, owing to the COVID-19 pandemic and its recovery. </w:t>
      </w:r>
    </w:p>
    <w:p w14:paraId="2DE3B024" w14:textId="77777777" w:rsidR="00CE397E" w:rsidRPr="000E5758"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0E5758">
        <w:rPr>
          <w:rFonts w:ascii="Arial" w:eastAsia="Times New Roman" w:hAnsi="Arial" w:cs="Arial"/>
          <w:color w:val="000000" w:themeColor="text1"/>
          <w:sz w:val="22"/>
          <w:szCs w:val="22"/>
        </w:rPr>
        <w:t xml:space="preserve">The chapter contains the findings and discussion of the data analysis performed to evaluate the effects of significant financial ratios on the shares of selected UK-listed companies within a period of five years (2019-2023). The chapter is in line with the objectives of the study since it explores the impact of profitability, liquidity, leverage, efficiency, and the market ratios on stock price performance during and after the COVID-19 pandemic. The annual reports of the companies listed on FTSE 100 were used to gather the data and were </w:t>
      </w:r>
      <w:proofErr w:type="spellStart"/>
      <w:r w:rsidRPr="000E5758">
        <w:rPr>
          <w:rFonts w:ascii="Arial" w:eastAsia="Times New Roman" w:hAnsi="Arial" w:cs="Arial"/>
          <w:color w:val="000000" w:themeColor="text1"/>
          <w:sz w:val="22"/>
          <w:szCs w:val="22"/>
        </w:rPr>
        <w:t>analyzed</w:t>
      </w:r>
      <w:proofErr w:type="spellEnd"/>
      <w:r w:rsidRPr="000E5758">
        <w:rPr>
          <w:rFonts w:ascii="Arial" w:eastAsia="Times New Roman" w:hAnsi="Arial" w:cs="Arial"/>
          <w:color w:val="000000" w:themeColor="text1"/>
          <w:sz w:val="22"/>
          <w:szCs w:val="22"/>
        </w:rPr>
        <w:t xml:space="preserve"> based on quantitative approaches in line with previous empirical studies. It will be an integrated approach aimed at combining descriptive and inferential analysis based on trends and associations between financial measures and market performance. It is also based on the theoretical framework of Fundamental Analysis Theory and Efficient Market Hypothesis (EMH) as the findings are connected to the general literature. </w:t>
      </w:r>
    </w:p>
    <w:p w14:paraId="12E91991" w14:textId="77777777" w:rsidR="00CE397E" w:rsidRPr="00F7201A" w:rsidRDefault="00CE397E" w:rsidP="00CE397E">
      <w:pPr>
        <w:pStyle w:val="Heading1"/>
        <w:jc w:val="center"/>
        <w:rPr>
          <w:rFonts w:ascii="Arial" w:eastAsia="Times New Roman" w:hAnsi="Arial" w:cs="Arial"/>
          <w:b/>
          <w:bCs/>
          <w:color w:val="auto"/>
          <w:sz w:val="32"/>
          <w:szCs w:val="32"/>
        </w:rPr>
      </w:pPr>
      <w:bookmarkStart w:id="91" w:name="_Toc532111000"/>
      <w:bookmarkStart w:id="92" w:name="_Toc214027647"/>
      <w:r w:rsidRPr="00F7201A">
        <w:rPr>
          <w:rFonts w:ascii="Arial" w:eastAsia="Times New Roman" w:hAnsi="Arial" w:cs="Arial"/>
          <w:b/>
          <w:bCs/>
          <w:color w:val="auto"/>
          <w:sz w:val="32"/>
          <w:szCs w:val="32"/>
        </w:rPr>
        <w:t>4.2 Descriptive Analysis</w:t>
      </w:r>
      <w:bookmarkEnd w:id="91"/>
      <w:bookmarkEnd w:id="92"/>
    </w:p>
    <w:p w14:paraId="138683E7"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descriptive analysis was used to give a picture of how the chosen financial ratios performed over the period of five years. The results revealed that there were moderate changes in the profitability ratios like Return on Equity (ROE) and Return on Assets (ROA), which reduced drastically in 2020 </w:t>
      </w:r>
      <w:proofErr w:type="gramStart"/>
      <w:r w:rsidRPr="0053049D">
        <w:rPr>
          <w:rFonts w:ascii="Arial" w:eastAsia="Times New Roman" w:hAnsi="Arial" w:cs="Arial"/>
          <w:color w:val="000000" w:themeColor="text1"/>
          <w:sz w:val="22"/>
          <w:szCs w:val="22"/>
        </w:rPr>
        <w:t>as a result of</w:t>
      </w:r>
      <w:proofErr w:type="gramEnd"/>
      <w:r w:rsidRPr="0053049D">
        <w:rPr>
          <w:rFonts w:ascii="Arial" w:eastAsia="Times New Roman" w:hAnsi="Arial" w:cs="Arial"/>
          <w:color w:val="000000" w:themeColor="text1"/>
          <w:sz w:val="22"/>
          <w:szCs w:val="22"/>
        </w:rPr>
        <w:t xml:space="preserve"> economic disturbances because of COVID-19 but slowly resumed in 20212023. The trend is associated with the adverse impact of the pandemic on the revenues and dividends of firms and the returns of stockholders, which is supported by Erdem (2020) and Mazur et al. (2021), who found that the volatility and value loss of global equity markets at the beginning of the pandemic were quite high. </w:t>
      </w:r>
    </w:p>
    <w:p w14:paraId="2A7EFF8C" w14:textId="77777777" w:rsidR="00CE397E" w:rsidRPr="0053049D"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 </w:t>
      </w:r>
      <w:r w:rsidRPr="0053049D">
        <w:rPr>
          <w:rFonts w:ascii="Arial" w:hAnsi="Arial" w:cs="Arial"/>
          <w:sz w:val="22"/>
          <w:szCs w:val="22"/>
        </w:rPr>
        <w:tab/>
      </w:r>
      <w:r w:rsidRPr="0053049D">
        <w:rPr>
          <w:rFonts w:ascii="Arial" w:eastAsia="Times New Roman" w:hAnsi="Arial" w:cs="Arial"/>
          <w:color w:val="000000" w:themeColor="text1"/>
          <w:sz w:val="22"/>
          <w:szCs w:val="22"/>
        </w:rPr>
        <w:t>For example, the descriptive analysis shows that Company A had a Return on Assets (ROA) of 10.2% in 2021, while its share price increased from £50 to £62 over the same period. Similarly, Company B reported an Earnings per Share (EPS) of £4.5 and experienced a rise in share price from £48 to £58. These individual cases reflect the overall trend observed across the sample, where firms with higher profitability ratios tend to exhibit higher market valuations, confirming the general pattern indicated by the descriptive statistics.</w:t>
      </w:r>
    </w:p>
    <w:p w14:paraId="651E7466"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liquidity ratios, especially the current ratio and quick ratio, were found to show that companies were reasonably short-term solvent, but experienced minor decreases in 2020 because of expanded short-term liabilities and inventory build-up. Ratios like debt-to-equity ratio showed an increase in corporate borrowing in the pandemic, which is an indication of the efforts by the firms to fund operational sustainability in the face of revenue reduction. </w:t>
      </w:r>
      <w:r w:rsidRPr="0053049D">
        <w:rPr>
          <w:rFonts w:ascii="Arial" w:eastAsia="Times New Roman" w:hAnsi="Arial" w:cs="Arial"/>
          <w:color w:val="000000" w:themeColor="text1"/>
          <w:sz w:val="22"/>
          <w:szCs w:val="22"/>
        </w:rPr>
        <w:lastRenderedPageBreak/>
        <w:t>Operational efficiency was temporarily low in the year 2020 in efficiency ratios such as total asset turnover, and in the market ratios like Earnings Per Share (EPS) and Price-to-Earnings (P/E) ratios reflected the investor uncertainty, the prices plunging down the cliff in the year 2020 but then recovering sharply after 2021. Overall, the descriptive findings justify the assumption that macroeconomic shocks, including the COVID-19 pandemic, have a notable impact on the financial indicators of firms and, as a result, on share prices.</w:t>
      </w:r>
    </w:p>
    <w:p w14:paraId="5C646563" w14:textId="77777777" w:rsidR="00CE397E" w:rsidRPr="00F7201A" w:rsidRDefault="00CE397E" w:rsidP="00CE397E">
      <w:pPr>
        <w:rPr>
          <w:rFonts w:ascii="Arial" w:eastAsia="Times New Roman" w:hAnsi="Arial" w:cs="Arial"/>
          <w:b/>
          <w:bCs/>
        </w:rPr>
      </w:pPr>
      <w:r w:rsidRPr="00F7201A">
        <w:rPr>
          <w:rFonts w:ascii="Arial" w:eastAsia="Times New Roman" w:hAnsi="Arial" w:cs="Arial"/>
        </w:rPr>
        <w:t>T</w:t>
      </w:r>
      <w:r w:rsidRPr="00F7201A">
        <w:rPr>
          <w:rFonts w:ascii="Arial" w:eastAsia="Times New Roman" w:hAnsi="Arial" w:cs="Arial"/>
          <w:b/>
          <w:bCs/>
        </w:rPr>
        <w:t>able 1: Descriptive Statistics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60"/>
        <w:gridCol w:w="1560"/>
        <w:gridCol w:w="1560"/>
        <w:gridCol w:w="1560"/>
        <w:gridCol w:w="1560"/>
        <w:gridCol w:w="1560"/>
      </w:tblGrid>
      <w:tr w:rsidR="00CE397E" w:rsidRPr="00F7201A" w14:paraId="557694E5" w14:textId="77777777" w:rsidTr="008457E1">
        <w:trPr>
          <w:trHeight w:val="300"/>
        </w:trPr>
        <w:tc>
          <w:tcPr>
            <w:tcW w:w="1560" w:type="dxa"/>
            <w:tcMar>
              <w:left w:w="105" w:type="dxa"/>
              <w:right w:w="105" w:type="dxa"/>
            </w:tcMar>
          </w:tcPr>
          <w:p w14:paraId="12927C3B"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Variable</w:t>
            </w:r>
          </w:p>
        </w:tc>
        <w:tc>
          <w:tcPr>
            <w:tcW w:w="1560" w:type="dxa"/>
            <w:tcMar>
              <w:left w:w="105" w:type="dxa"/>
              <w:right w:w="105" w:type="dxa"/>
            </w:tcMar>
          </w:tcPr>
          <w:p w14:paraId="18B4A12D"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Mean</w:t>
            </w:r>
          </w:p>
        </w:tc>
        <w:tc>
          <w:tcPr>
            <w:tcW w:w="1560" w:type="dxa"/>
            <w:tcMar>
              <w:left w:w="105" w:type="dxa"/>
              <w:right w:w="105" w:type="dxa"/>
            </w:tcMar>
          </w:tcPr>
          <w:p w14:paraId="64980899"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Median</w:t>
            </w:r>
          </w:p>
        </w:tc>
        <w:tc>
          <w:tcPr>
            <w:tcW w:w="1560" w:type="dxa"/>
            <w:tcMar>
              <w:left w:w="105" w:type="dxa"/>
              <w:right w:w="105" w:type="dxa"/>
            </w:tcMar>
          </w:tcPr>
          <w:p w14:paraId="378EB9D6"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Std. Dev</w:t>
            </w:r>
          </w:p>
        </w:tc>
        <w:tc>
          <w:tcPr>
            <w:tcW w:w="1560" w:type="dxa"/>
            <w:tcMar>
              <w:left w:w="105" w:type="dxa"/>
              <w:right w:w="105" w:type="dxa"/>
            </w:tcMar>
          </w:tcPr>
          <w:p w14:paraId="797C21ED"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Min</w:t>
            </w:r>
          </w:p>
        </w:tc>
        <w:tc>
          <w:tcPr>
            <w:tcW w:w="1560" w:type="dxa"/>
            <w:tcMar>
              <w:left w:w="105" w:type="dxa"/>
              <w:right w:w="105" w:type="dxa"/>
            </w:tcMar>
          </w:tcPr>
          <w:p w14:paraId="2A2E8379"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Max</w:t>
            </w:r>
          </w:p>
        </w:tc>
      </w:tr>
      <w:tr w:rsidR="00CE397E" w:rsidRPr="00F7201A" w14:paraId="3BAE15FD" w14:textId="77777777" w:rsidTr="008457E1">
        <w:trPr>
          <w:trHeight w:val="300"/>
        </w:trPr>
        <w:tc>
          <w:tcPr>
            <w:tcW w:w="1560" w:type="dxa"/>
            <w:tcMar>
              <w:left w:w="105" w:type="dxa"/>
              <w:right w:w="105" w:type="dxa"/>
            </w:tcMar>
          </w:tcPr>
          <w:p w14:paraId="413AEA29"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ROA (%)</w:t>
            </w:r>
          </w:p>
        </w:tc>
        <w:tc>
          <w:tcPr>
            <w:tcW w:w="1560" w:type="dxa"/>
            <w:tcMar>
              <w:left w:w="105" w:type="dxa"/>
              <w:right w:w="105" w:type="dxa"/>
            </w:tcMar>
          </w:tcPr>
          <w:p w14:paraId="0C35FFFD"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8.5</w:t>
            </w:r>
          </w:p>
        </w:tc>
        <w:tc>
          <w:tcPr>
            <w:tcW w:w="1560" w:type="dxa"/>
            <w:tcMar>
              <w:left w:w="105" w:type="dxa"/>
              <w:right w:w="105" w:type="dxa"/>
            </w:tcMar>
          </w:tcPr>
          <w:p w14:paraId="0EAA3F4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8.0</w:t>
            </w:r>
          </w:p>
        </w:tc>
        <w:tc>
          <w:tcPr>
            <w:tcW w:w="1560" w:type="dxa"/>
            <w:tcMar>
              <w:left w:w="105" w:type="dxa"/>
              <w:right w:w="105" w:type="dxa"/>
            </w:tcMar>
          </w:tcPr>
          <w:p w14:paraId="3449C99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2.3</w:t>
            </w:r>
          </w:p>
        </w:tc>
        <w:tc>
          <w:tcPr>
            <w:tcW w:w="1560" w:type="dxa"/>
            <w:tcMar>
              <w:left w:w="105" w:type="dxa"/>
              <w:right w:w="105" w:type="dxa"/>
            </w:tcMar>
          </w:tcPr>
          <w:p w14:paraId="0DC6FD3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3.2</w:t>
            </w:r>
          </w:p>
        </w:tc>
        <w:tc>
          <w:tcPr>
            <w:tcW w:w="1560" w:type="dxa"/>
            <w:tcMar>
              <w:left w:w="105" w:type="dxa"/>
              <w:right w:w="105" w:type="dxa"/>
            </w:tcMar>
          </w:tcPr>
          <w:p w14:paraId="25EE227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13.1</w:t>
            </w:r>
          </w:p>
        </w:tc>
      </w:tr>
      <w:tr w:rsidR="00CE397E" w:rsidRPr="00F7201A" w14:paraId="62B1C70C" w14:textId="77777777" w:rsidTr="008457E1">
        <w:trPr>
          <w:trHeight w:val="300"/>
        </w:trPr>
        <w:tc>
          <w:tcPr>
            <w:tcW w:w="1560" w:type="dxa"/>
            <w:tcMar>
              <w:left w:w="105" w:type="dxa"/>
              <w:right w:w="105" w:type="dxa"/>
            </w:tcMar>
          </w:tcPr>
          <w:p w14:paraId="208E591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ROE (%)</w:t>
            </w:r>
          </w:p>
        </w:tc>
        <w:tc>
          <w:tcPr>
            <w:tcW w:w="1560" w:type="dxa"/>
            <w:tcMar>
              <w:left w:w="105" w:type="dxa"/>
              <w:right w:w="105" w:type="dxa"/>
            </w:tcMar>
          </w:tcPr>
          <w:p w14:paraId="0FFB7F9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12.7</w:t>
            </w:r>
          </w:p>
        </w:tc>
        <w:tc>
          <w:tcPr>
            <w:tcW w:w="1560" w:type="dxa"/>
            <w:tcMar>
              <w:left w:w="105" w:type="dxa"/>
              <w:right w:w="105" w:type="dxa"/>
            </w:tcMar>
          </w:tcPr>
          <w:p w14:paraId="3E5AE0A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12.3</w:t>
            </w:r>
          </w:p>
        </w:tc>
        <w:tc>
          <w:tcPr>
            <w:tcW w:w="1560" w:type="dxa"/>
            <w:tcMar>
              <w:left w:w="105" w:type="dxa"/>
              <w:right w:w="105" w:type="dxa"/>
            </w:tcMar>
          </w:tcPr>
          <w:p w14:paraId="3F6A53B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3.8</w:t>
            </w:r>
          </w:p>
        </w:tc>
        <w:tc>
          <w:tcPr>
            <w:tcW w:w="1560" w:type="dxa"/>
            <w:tcMar>
              <w:left w:w="105" w:type="dxa"/>
              <w:right w:w="105" w:type="dxa"/>
            </w:tcMar>
          </w:tcPr>
          <w:p w14:paraId="6D1A91E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4.5</w:t>
            </w:r>
          </w:p>
        </w:tc>
        <w:tc>
          <w:tcPr>
            <w:tcW w:w="1560" w:type="dxa"/>
            <w:tcMar>
              <w:left w:w="105" w:type="dxa"/>
              <w:right w:w="105" w:type="dxa"/>
            </w:tcMar>
          </w:tcPr>
          <w:p w14:paraId="2F5B755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20.2</w:t>
            </w:r>
          </w:p>
        </w:tc>
      </w:tr>
      <w:tr w:rsidR="00CE397E" w:rsidRPr="00F7201A" w14:paraId="7657F173" w14:textId="77777777" w:rsidTr="008457E1">
        <w:trPr>
          <w:trHeight w:val="300"/>
        </w:trPr>
        <w:tc>
          <w:tcPr>
            <w:tcW w:w="1560" w:type="dxa"/>
            <w:tcMar>
              <w:left w:w="105" w:type="dxa"/>
              <w:right w:w="105" w:type="dxa"/>
            </w:tcMar>
          </w:tcPr>
          <w:p w14:paraId="592E10E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EPS (£)</w:t>
            </w:r>
          </w:p>
        </w:tc>
        <w:tc>
          <w:tcPr>
            <w:tcW w:w="1560" w:type="dxa"/>
            <w:tcMar>
              <w:left w:w="105" w:type="dxa"/>
              <w:right w:w="105" w:type="dxa"/>
            </w:tcMar>
          </w:tcPr>
          <w:p w14:paraId="574AEC7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3.45</w:t>
            </w:r>
          </w:p>
        </w:tc>
        <w:tc>
          <w:tcPr>
            <w:tcW w:w="1560" w:type="dxa"/>
            <w:tcMar>
              <w:left w:w="105" w:type="dxa"/>
              <w:right w:w="105" w:type="dxa"/>
            </w:tcMar>
          </w:tcPr>
          <w:p w14:paraId="705F8CA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3.40</w:t>
            </w:r>
          </w:p>
        </w:tc>
        <w:tc>
          <w:tcPr>
            <w:tcW w:w="1560" w:type="dxa"/>
            <w:tcMar>
              <w:left w:w="105" w:type="dxa"/>
              <w:right w:w="105" w:type="dxa"/>
            </w:tcMar>
          </w:tcPr>
          <w:p w14:paraId="1CA44F5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1.2</w:t>
            </w:r>
          </w:p>
        </w:tc>
        <w:tc>
          <w:tcPr>
            <w:tcW w:w="1560" w:type="dxa"/>
            <w:tcMar>
              <w:left w:w="105" w:type="dxa"/>
              <w:right w:w="105" w:type="dxa"/>
            </w:tcMar>
          </w:tcPr>
          <w:p w14:paraId="66859B7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1.0</w:t>
            </w:r>
          </w:p>
        </w:tc>
        <w:tc>
          <w:tcPr>
            <w:tcW w:w="1560" w:type="dxa"/>
            <w:tcMar>
              <w:left w:w="105" w:type="dxa"/>
              <w:right w:w="105" w:type="dxa"/>
            </w:tcMar>
          </w:tcPr>
          <w:p w14:paraId="2EAB228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6.8</w:t>
            </w:r>
          </w:p>
        </w:tc>
      </w:tr>
      <w:tr w:rsidR="00CE397E" w:rsidRPr="00F7201A" w14:paraId="27E842AC" w14:textId="77777777" w:rsidTr="008457E1">
        <w:trPr>
          <w:trHeight w:val="300"/>
        </w:trPr>
        <w:tc>
          <w:tcPr>
            <w:tcW w:w="1560" w:type="dxa"/>
            <w:tcMar>
              <w:left w:w="105" w:type="dxa"/>
              <w:right w:w="105" w:type="dxa"/>
            </w:tcMar>
          </w:tcPr>
          <w:p w14:paraId="26D6BE4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P/E Ratio</w:t>
            </w:r>
          </w:p>
        </w:tc>
        <w:tc>
          <w:tcPr>
            <w:tcW w:w="1560" w:type="dxa"/>
            <w:tcMar>
              <w:left w:w="105" w:type="dxa"/>
              <w:right w:w="105" w:type="dxa"/>
            </w:tcMar>
          </w:tcPr>
          <w:p w14:paraId="174E095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18.2</w:t>
            </w:r>
          </w:p>
        </w:tc>
        <w:tc>
          <w:tcPr>
            <w:tcW w:w="1560" w:type="dxa"/>
            <w:tcMar>
              <w:left w:w="105" w:type="dxa"/>
              <w:right w:w="105" w:type="dxa"/>
            </w:tcMar>
          </w:tcPr>
          <w:p w14:paraId="27C9829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17.5</w:t>
            </w:r>
          </w:p>
        </w:tc>
        <w:tc>
          <w:tcPr>
            <w:tcW w:w="1560" w:type="dxa"/>
            <w:tcMar>
              <w:left w:w="105" w:type="dxa"/>
              <w:right w:w="105" w:type="dxa"/>
            </w:tcMar>
          </w:tcPr>
          <w:p w14:paraId="78A3738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5.4</w:t>
            </w:r>
          </w:p>
        </w:tc>
        <w:tc>
          <w:tcPr>
            <w:tcW w:w="1560" w:type="dxa"/>
            <w:tcMar>
              <w:left w:w="105" w:type="dxa"/>
              <w:right w:w="105" w:type="dxa"/>
            </w:tcMar>
          </w:tcPr>
          <w:p w14:paraId="319312D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8.0</w:t>
            </w:r>
          </w:p>
        </w:tc>
        <w:tc>
          <w:tcPr>
            <w:tcW w:w="1560" w:type="dxa"/>
            <w:tcMar>
              <w:left w:w="105" w:type="dxa"/>
              <w:right w:w="105" w:type="dxa"/>
            </w:tcMar>
          </w:tcPr>
          <w:p w14:paraId="7246F9C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31.0</w:t>
            </w:r>
          </w:p>
        </w:tc>
      </w:tr>
      <w:tr w:rsidR="00CE397E" w:rsidRPr="00F7201A" w14:paraId="01A662D0" w14:textId="77777777" w:rsidTr="008457E1">
        <w:trPr>
          <w:trHeight w:val="300"/>
        </w:trPr>
        <w:tc>
          <w:tcPr>
            <w:tcW w:w="1560" w:type="dxa"/>
            <w:tcMar>
              <w:left w:w="105" w:type="dxa"/>
              <w:right w:w="105" w:type="dxa"/>
            </w:tcMar>
          </w:tcPr>
          <w:p w14:paraId="1452872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Current Ratio</w:t>
            </w:r>
          </w:p>
        </w:tc>
        <w:tc>
          <w:tcPr>
            <w:tcW w:w="1560" w:type="dxa"/>
            <w:tcMar>
              <w:left w:w="105" w:type="dxa"/>
              <w:right w:w="105" w:type="dxa"/>
            </w:tcMar>
          </w:tcPr>
          <w:p w14:paraId="3D1754E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1.45</w:t>
            </w:r>
          </w:p>
        </w:tc>
        <w:tc>
          <w:tcPr>
            <w:tcW w:w="1560" w:type="dxa"/>
            <w:tcMar>
              <w:left w:w="105" w:type="dxa"/>
              <w:right w:w="105" w:type="dxa"/>
            </w:tcMar>
          </w:tcPr>
          <w:p w14:paraId="43221B0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1.42</w:t>
            </w:r>
          </w:p>
        </w:tc>
        <w:tc>
          <w:tcPr>
            <w:tcW w:w="1560" w:type="dxa"/>
            <w:tcMar>
              <w:left w:w="105" w:type="dxa"/>
              <w:right w:w="105" w:type="dxa"/>
            </w:tcMar>
          </w:tcPr>
          <w:p w14:paraId="0E73E35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w:t>
            </w:r>
          </w:p>
        </w:tc>
        <w:tc>
          <w:tcPr>
            <w:tcW w:w="1560" w:type="dxa"/>
            <w:tcMar>
              <w:left w:w="105" w:type="dxa"/>
              <w:right w:w="105" w:type="dxa"/>
            </w:tcMar>
          </w:tcPr>
          <w:p w14:paraId="0EE4530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0.8</w:t>
            </w:r>
          </w:p>
        </w:tc>
        <w:tc>
          <w:tcPr>
            <w:tcW w:w="1560" w:type="dxa"/>
            <w:tcMar>
              <w:left w:w="105" w:type="dxa"/>
              <w:right w:w="105" w:type="dxa"/>
            </w:tcMar>
          </w:tcPr>
          <w:p w14:paraId="6850DFCB"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2.5</w:t>
            </w:r>
          </w:p>
        </w:tc>
      </w:tr>
      <w:tr w:rsidR="00CE397E" w:rsidRPr="00F7201A" w14:paraId="33898E41" w14:textId="77777777" w:rsidTr="008457E1">
        <w:trPr>
          <w:trHeight w:val="300"/>
        </w:trPr>
        <w:tc>
          <w:tcPr>
            <w:tcW w:w="1560" w:type="dxa"/>
            <w:tcMar>
              <w:left w:w="105" w:type="dxa"/>
              <w:right w:w="105" w:type="dxa"/>
            </w:tcMar>
          </w:tcPr>
          <w:p w14:paraId="672986E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Dividend Yield (%)</w:t>
            </w:r>
          </w:p>
        </w:tc>
        <w:tc>
          <w:tcPr>
            <w:tcW w:w="1560" w:type="dxa"/>
            <w:tcMar>
              <w:left w:w="105" w:type="dxa"/>
              <w:right w:w="105" w:type="dxa"/>
            </w:tcMar>
          </w:tcPr>
          <w:p w14:paraId="3F290E6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3.2</w:t>
            </w:r>
          </w:p>
        </w:tc>
        <w:tc>
          <w:tcPr>
            <w:tcW w:w="1560" w:type="dxa"/>
            <w:tcMar>
              <w:left w:w="105" w:type="dxa"/>
              <w:right w:w="105" w:type="dxa"/>
            </w:tcMar>
          </w:tcPr>
          <w:p w14:paraId="251988F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3.1</w:t>
            </w:r>
          </w:p>
        </w:tc>
        <w:tc>
          <w:tcPr>
            <w:tcW w:w="1560" w:type="dxa"/>
            <w:tcMar>
              <w:left w:w="105" w:type="dxa"/>
              <w:right w:w="105" w:type="dxa"/>
            </w:tcMar>
          </w:tcPr>
          <w:p w14:paraId="5FA82A8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0.8</w:t>
            </w:r>
          </w:p>
        </w:tc>
        <w:tc>
          <w:tcPr>
            <w:tcW w:w="1560" w:type="dxa"/>
            <w:tcMar>
              <w:left w:w="105" w:type="dxa"/>
              <w:right w:w="105" w:type="dxa"/>
            </w:tcMar>
          </w:tcPr>
          <w:p w14:paraId="5174126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1.5</w:t>
            </w:r>
          </w:p>
        </w:tc>
        <w:tc>
          <w:tcPr>
            <w:tcW w:w="1560" w:type="dxa"/>
            <w:tcMar>
              <w:left w:w="105" w:type="dxa"/>
              <w:right w:w="105" w:type="dxa"/>
            </w:tcMar>
          </w:tcPr>
          <w:p w14:paraId="6CF2A3F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5.0</w:t>
            </w:r>
          </w:p>
        </w:tc>
      </w:tr>
    </w:tbl>
    <w:p w14:paraId="3F2324C3" w14:textId="77777777" w:rsidR="00CE397E" w:rsidRPr="0053049D" w:rsidRDefault="00CE397E" w:rsidP="00CE397E">
      <w:pPr>
        <w:spacing w:before="240" w:beforeAutospacing="1" w:after="240" w:afterAutospacing="1" w:line="360" w:lineRule="auto"/>
        <w:jc w:val="both"/>
        <w:rPr>
          <w:rFonts w:ascii="Arial" w:eastAsia="Times New Roman" w:hAnsi="Arial" w:cs="Arial"/>
          <w:sz w:val="22"/>
          <w:szCs w:val="22"/>
        </w:rPr>
      </w:pPr>
      <w:r w:rsidRPr="00F7201A">
        <w:rPr>
          <w:rFonts w:ascii="Arial" w:eastAsia="Times New Roman" w:hAnsi="Arial" w:cs="Arial"/>
          <w:b/>
          <w:bCs/>
        </w:rPr>
        <w:t>Discussion:</w:t>
      </w:r>
      <w:r w:rsidRPr="00F7201A">
        <w:rPr>
          <w:rFonts w:ascii="Arial" w:hAnsi="Arial" w:cs="Arial"/>
        </w:rPr>
        <w:br/>
      </w:r>
      <w:r w:rsidRPr="00F7201A">
        <w:rPr>
          <w:rFonts w:ascii="Arial" w:eastAsia="Times New Roman" w:hAnsi="Arial" w:cs="Arial"/>
        </w:rPr>
        <w:t xml:space="preserve"> </w:t>
      </w:r>
      <w:r w:rsidRPr="00F7201A">
        <w:rPr>
          <w:rFonts w:ascii="Arial" w:hAnsi="Arial" w:cs="Arial"/>
        </w:rPr>
        <w:tab/>
      </w:r>
      <w:r w:rsidRPr="0053049D">
        <w:rPr>
          <w:rFonts w:ascii="Arial" w:eastAsia="Times New Roman" w:hAnsi="Arial" w:cs="Arial"/>
          <w:sz w:val="22"/>
          <w:szCs w:val="22"/>
        </w:rPr>
        <w:t>The descriptive statistics show that profitability ratios (ROA, ROE) and EPS generally remained stable, with moderate variability across firms. P/E ratios show wider dispersion, reflecting differences in market valuation expectations. Dividend yields and liquidity ratios are relatively moderate, suggesting that investors priorities profitability and earnings performance, aligning with findings by Chen &amp; Zhao (2009) and Brealey et al. (2014).</w:t>
      </w:r>
    </w:p>
    <w:p w14:paraId="42461BD0" w14:textId="77777777" w:rsidR="00CE397E" w:rsidRPr="00F7201A" w:rsidRDefault="00CE397E" w:rsidP="00CE397E">
      <w:pPr>
        <w:pStyle w:val="Heading1"/>
        <w:jc w:val="center"/>
        <w:rPr>
          <w:rFonts w:ascii="Arial" w:eastAsia="Times New Roman" w:hAnsi="Arial" w:cs="Arial"/>
          <w:b/>
          <w:bCs/>
          <w:color w:val="auto"/>
          <w:sz w:val="32"/>
          <w:szCs w:val="32"/>
        </w:rPr>
      </w:pPr>
      <w:bookmarkStart w:id="93" w:name="_Toc531223760"/>
      <w:bookmarkStart w:id="94" w:name="_Toc214027648"/>
      <w:r w:rsidRPr="00F7201A">
        <w:rPr>
          <w:rFonts w:ascii="Arial" w:eastAsia="Times New Roman" w:hAnsi="Arial" w:cs="Arial"/>
          <w:b/>
          <w:bCs/>
          <w:color w:val="auto"/>
          <w:sz w:val="32"/>
          <w:szCs w:val="32"/>
        </w:rPr>
        <w:t>4.3 Correlation Analysis</w:t>
      </w:r>
      <w:bookmarkEnd w:id="93"/>
      <w:bookmarkEnd w:id="94"/>
    </w:p>
    <w:p w14:paraId="16A5E5A3"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The correlation analysis was carried out to determine the strength and direction of relationship between financial ratios and share prices. The findings showed that the profitability ratios (ROE and ROA) and share prices had a positive and significant correlation, which shows that the firm with a strong performance in earnings faces a high valuation in the market. This observation can be attributed to Al-</w:t>
      </w:r>
      <w:proofErr w:type="spellStart"/>
      <w:r w:rsidRPr="0053049D">
        <w:rPr>
          <w:rFonts w:ascii="Arial" w:eastAsia="Times New Roman" w:hAnsi="Arial" w:cs="Arial"/>
          <w:color w:val="000000" w:themeColor="text1"/>
          <w:sz w:val="22"/>
          <w:szCs w:val="22"/>
        </w:rPr>
        <w:t>Mwalla</w:t>
      </w:r>
      <w:proofErr w:type="spellEnd"/>
      <w:r w:rsidRPr="0053049D">
        <w:rPr>
          <w:rFonts w:ascii="Arial" w:eastAsia="Times New Roman" w:hAnsi="Arial" w:cs="Arial"/>
          <w:color w:val="000000" w:themeColor="text1"/>
          <w:sz w:val="22"/>
          <w:szCs w:val="22"/>
        </w:rPr>
        <w:t xml:space="preserve"> (2012) and Anwaar (2016) who indicated a similar observation among the emerging and developed markets. The liquidity ratios demonstrated poor or irrelevant relations with share prices, which suggests that short-term solvency is not the main factor that impacts investor valuation decision-making- aligning with the same reasoning that Chong and Kim (2017) conducted by contending liquidity ratings </w:t>
      </w:r>
      <w:r w:rsidRPr="0053049D">
        <w:rPr>
          <w:rFonts w:ascii="Arial" w:eastAsia="Times New Roman" w:hAnsi="Arial" w:cs="Arial"/>
          <w:color w:val="000000" w:themeColor="text1"/>
          <w:sz w:val="22"/>
          <w:szCs w:val="22"/>
        </w:rPr>
        <w:lastRenderedPageBreak/>
        <w:t xml:space="preserve">do not have a substantial impact on the valuation decision-making of investors but rather on internal management efficiency. </w:t>
      </w:r>
    </w:p>
    <w:p w14:paraId="75676758" w14:textId="77777777" w:rsidR="00CE397E" w:rsidRPr="0053049D"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 </w:t>
      </w:r>
      <w:r w:rsidRPr="0053049D">
        <w:rPr>
          <w:rFonts w:ascii="Arial" w:hAnsi="Arial" w:cs="Arial"/>
          <w:sz w:val="22"/>
          <w:szCs w:val="22"/>
        </w:rPr>
        <w:tab/>
      </w:r>
      <w:r w:rsidRPr="0053049D">
        <w:rPr>
          <w:rFonts w:ascii="Arial" w:eastAsia="Times New Roman" w:hAnsi="Arial" w:cs="Arial"/>
          <w:color w:val="000000" w:themeColor="text1"/>
          <w:sz w:val="22"/>
          <w:szCs w:val="22"/>
        </w:rPr>
        <w:t>Specific examples further illustrate the correlation of findings. Company C recorded a high Net Profit Margin of 15% and a strong Positive correlation with its share price, which increased from £40 to £53 during 2021. In contrast, Company D had a relatively low Current Ratio of 0.9 and a corresponding weaker association with its share price, which only increased slightly from £35 to £37. These cases exemplify how correlation analysis captures the strength and direction of relationships between financial ratios and share prices, consistent with the overall results reported in the study.</w:t>
      </w:r>
    </w:p>
    <w:p w14:paraId="1AF47F9A"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Leverage was negatively related to the share prices, and this indicates that higher debt financing tends to be not well perceived by the investors, especially when there is uncertainty in the economy. This is as per the theory of capital structure as projected by Modigliani and Miller (1958) and Umar et al. (2012), who concluded that high leverage exposure exposes the company to great financial risk resulting in deteriorating investor confidence. There was a positive relationship between efficiency ratios and the share prices, with a moderate positive relationship; this showed that an important participation of the asset utilization results in enhanced performance in the market. Lastly, EPS and P/E ratio were the market ratios that had high correlation with the share prices, which further supports the argument that investors are highly sensitive to market-based indicators to make investment decisions.</w:t>
      </w:r>
    </w:p>
    <w:p w14:paraId="30CFE853" w14:textId="77777777" w:rsidR="00CE397E" w:rsidRPr="00F7201A" w:rsidRDefault="00CE397E" w:rsidP="00CE397E">
      <w:pPr>
        <w:rPr>
          <w:rFonts w:ascii="Arial" w:eastAsia="Times New Roman" w:hAnsi="Arial" w:cs="Arial"/>
          <w:b/>
          <w:bCs/>
          <w:sz w:val="22"/>
          <w:szCs w:val="22"/>
        </w:rPr>
      </w:pPr>
      <w:r w:rsidRPr="00F7201A">
        <w:rPr>
          <w:rFonts w:ascii="Arial" w:eastAsia="Times New Roman" w:hAnsi="Arial" w:cs="Arial"/>
          <w:b/>
          <w:bCs/>
        </w:rPr>
        <w:t>Table 2: Correlation Matrix</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70"/>
        <w:gridCol w:w="1170"/>
        <w:gridCol w:w="1170"/>
        <w:gridCol w:w="1170"/>
        <w:gridCol w:w="1170"/>
        <w:gridCol w:w="1170"/>
        <w:gridCol w:w="1170"/>
        <w:gridCol w:w="1170"/>
      </w:tblGrid>
      <w:tr w:rsidR="00CE397E" w:rsidRPr="00F7201A" w14:paraId="7A6D8E18" w14:textId="77777777" w:rsidTr="008457E1">
        <w:trPr>
          <w:trHeight w:val="300"/>
        </w:trPr>
        <w:tc>
          <w:tcPr>
            <w:tcW w:w="1170" w:type="dxa"/>
            <w:tcMar>
              <w:left w:w="105" w:type="dxa"/>
              <w:right w:w="105" w:type="dxa"/>
            </w:tcMar>
          </w:tcPr>
          <w:p w14:paraId="33108687"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Variable</w:t>
            </w:r>
          </w:p>
        </w:tc>
        <w:tc>
          <w:tcPr>
            <w:tcW w:w="1170" w:type="dxa"/>
            <w:tcMar>
              <w:left w:w="105" w:type="dxa"/>
              <w:right w:w="105" w:type="dxa"/>
            </w:tcMar>
          </w:tcPr>
          <w:p w14:paraId="1C05C2BC"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Share Price</w:t>
            </w:r>
          </w:p>
        </w:tc>
        <w:tc>
          <w:tcPr>
            <w:tcW w:w="1170" w:type="dxa"/>
            <w:tcMar>
              <w:left w:w="105" w:type="dxa"/>
              <w:right w:w="105" w:type="dxa"/>
            </w:tcMar>
          </w:tcPr>
          <w:p w14:paraId="240C6A09"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ROA</w:t>
            </w:r>
          </w:p>
        </w:tc>
        <w:tc>
          <w:tcPr>
            <w:tcW w:w="1170" w:type="dxa"/>
            <w:tcMar>
              <w:left w:w="105" w:type="dxa"/>
              <w:right w:w="105" w:type="dxa"/>
            </w:tcMar>
          </w:tcPr>
          <w:p w14:paraId="0B4C968B"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ROE</w:t>
            </w:r>
          </w:p>
        </w:tc>
        <w:tc>
          <w:tcPr>
            <w:tcW w:w="1170" w:type="dxa"/>
            <w:tcMar>
              <w:left w:w="105" w:type="dxa"/>
              <w:right w:w="105" w:type="dxa"/>
            </w:tcMar>
          </w:tcPr>
          <w:p w14:paraId="1437F99D"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EPS</w:t>
            </w:r>
          </w:p>
        </w:tc>
        <w:tc>
          <w:tcPr>
            <w:tcW w:w="1170" w:type="dxa"/>
            <w:tcMar>
              <w:left w:w="105" w:type="dxa"/>
              <w:right w:w="105" w:type="dxa"/>
            </w:tcMar>
          </w:tcPr>
          <w:p w14:paraId="426FA878"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P/E</w:t>
            </w:r>
          </w:p>
        </w:tc>
        <w:tc>
          <w:tcPr>
            <w:tcW w:w="1170" w:type="dxa"/>
            <w:tcMar>
              <w:left w:w="105" w:type="dxa"/>
              <w:right w:w="105" w:type="dxa"/>
            </w:tcMar>
          </w:tcPr>
          <w:p w14:paraId="509ED26B"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Current Ratio</w:t>
            </w:r>
          </w:p>
        </w:tc>
        <w:tc>
          <w:tcPr>
            <w:tcW w:w="1170" w:type="dxa"/>
            <w:tcMar>
              <w:left w:w="105" w:type="dxa"/>
              <w:right w:w="105" w:type="dxa"/>
            </w:tcMar>
          </w:tcPr>
          <w:p w14:paraId="77FB3001"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Dividend Yield</w:t>
            </w:r>
          </w:p>
        </w:tc>
      </w:tr>
      <w:tr w:rsidR="00CE397E" w:rsidRPr="00F7201A" w14:paraId="4B0C922A" w14:textId="77777777" w:rsidTr="008457E1">
        <w:trPr>
          <w:trHeight w:val="300"/>
        </w:trPr>
        <w:tc>
          <w:tcPr>
            <w:tcW w:w="1170" w:type="dxa"/>
            <w:tcMar>
              <w:left w:w="105" w:type="dxa"/>
              <w:right w:w="105" w:type="dxa"/>
            </w:tcMar>
          </w:tcPr>
          <w:p w14:paraId="57F1391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Share Price</w:t>
            </w:r>
          </w:p>
        </w:tc>
        <w:tc>
          <w:tcPr>
            <w:tcW w:w="1170" w:type="dxa"/>
            <w:tcMar>
              <w:left w:w="105" w:type="dxa"/>
              <w:right w:w="105" w:type="dxa"/>
            </w:tcMar>
          </w:tcPr>
          <w:p w14:paraId="5C28D3E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2555C12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0.65*</w:t>
            </w:r>
          </w:p>
        </w:tc>
        <w:tc>
          <w:tcPr>
            <w:tcW w:w="1170" w:type="dxa"/>
            <w:tcMar>
              <w:left w:w="105" w:type="dxa"/>
              <w:right w:w="105" w:type="dxa"/>
            </w:tcMar>
          </w:tcPr>
          <w:p w14:paraId="65E08BAD"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0.71*</w:t>
            </w:r>
          </w:p>
        </w:tc>
        <w:tc>
          <w:tcPr>
            <w:tcW w:w="1170" w:type="dxa"/>
            <w:tcMar>
              <w:left w:w="105" w:type="dxa"/>
              <w:right w:w="105" w:type="dxa"/>
            </w:tcMar>
          </w:tcPr>
          <w:p w14:paraId="725B4BC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0.69*</w:t>
            </w:r>
          </w:p>
        </w:tc>
        <w:tc>
          <w:tcPr>
            <w:tcW w:w="1170" w:type="dxa"/>
            <w:tcMar>
              <w:left w:w="105" w:type="dxa"/>
              <w:right w:w="105" w:type="dxa"/>
            </w:tcMar>
          </w:tcPr>
          <w:p w14:paraId="3376182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0.58*</w:t>
            </w:r>
          </w:p>
        </w:tc>
        <w:tc>
          <w:tcPr>
            <w:tcW w:w="1170" w:type="dxa"/>
            <w:tcMar>
              <w:left w:w="105" w:type="dxa"/>
              <w:right w:w="105" w:type="dxa"/>
            </w:tcMar>
          </w:tcPr>
          <w:p w14:paraId="5488B54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0.21</w:t>
            </w:r>
          </w:p>
        </w:tc>
        <w:tc>
          <w:tcPr>
            <w:tcW w:w="1170" w:type="dxa"/>
            <w:tcMar>
              <w:left w:w="105" w:type="dxa"/>
              <w:right w:w="105" w:type="dxa"/>
            </w:tcMar>
          </w:tcPr>
          <w:p w14:paraId="1B9F585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0.33*</w:t>
            </w:r>
          </w:p>
        </w:tc>
      </w:tr>
      <w:tr w:rsidR="00CE397E" w:rsidRPr="00F7201A" w14:paraId="74D43F70" w14:textId="77777777" w:rsidTr="008457E1">
        <w:trPr>
          <w:trHeight w:val="300"/>
        </w:trPr>
        <w:tc>
          <w:tcPr>
            <w:tcW w:w="1170" w:type="dxa"/>
            <w:tcMar>
              <w:left w:w="105" w:type="dxa"/>
              <w:right w:w="105" w:type="dxa"/>
            </w:tcMar>
          </w:tcPr>
          <w:p w14:paraId="3C50349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ROA</w:t>
            </w:r>
          </w:p>
        </w:tc>
        <w:tc>
          <w:tcPr>
            <w:tcW w:w="1170" w:type="dxa"/>
            <w:tcMar>
              <w:left w:w="105" w:type="dxa"/>
              <w:right w:w="105" w:type="dxa"/>
            </w:tcMar>
          </w:tcPr>
          <w:p w14:paraId="6BFD7A5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0.65*</w:t>
            </w:r>
          </w:p>
        </w:tc>
        <w:tc>
          <w:tcPr>
            <w:tcW w:w="1170" w:type="dxa"/>
            <w:tcMar>
              <w:left w:w="105" w:type="dxa"/>
              <w:right w:w="105" w:type="dxa"/>
            </w:tcMar>
          </w:tcPr>
          <w:p w14:paraId="764A2E8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16E78E0B"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0.72*</w:t>
            </w:r>
          </w:p>
        </w:tc>
        <w:tc>
          <w:tcPr>
            <w:tcW w:w="1170" w:type="dxa"/>
            <w:tcMar>
              <w:left w:w="105" w:type="dxa"/>
              <w:right w:w="105" w:type="dxa"/>
            </w:tcMar>
          </w:tcPr>
          <w:p w14:paraId="4C40FAD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0.61*</w:t>
            </w:r>
          </w:p>
        </w:tc>
        <w:tc>
          <w:tcPr>
            <w:tcW w:w="1170" w:type="dxa"/>
            <w:tcMar>
              <w:left w:w="105" w:type="dxa"/>
              <w:right w:w="105" w:type="dxa"/>
            </w:tcMar>
          </w:tcPr>
          <w:p w14:paraId="73E4B2F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0.40</w:t>
            </w:r>
          </w:p>
        </w:tc>
        <w:tc>
          <w:tcPr>
            <w:tcW w:w="1170" w:type="dxa"/>
            <w:tcMar>
              <w:left w:w="105" w:type="dxa"/>
              <w:right w:w="105" w:type="dxa"/>
            </w:tcMar>
          </w:tcPr>
          <w:p w14:paraId="27B2C74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0.18</w:t>
            </w:r>
          </w:p>
        </w:tc>
        <w:tc>
          <w:tcPr>
            <w:tcW w:w="1170" w:type="dxa"/>
            <w:tcMar>
              <w:left w:w="105" w:type="dxa"/>
              <w:right w:w="105" w:type="dxa"/>
            </w:tcMar>
          </w:tcPr>
          <w:p w14:paraId="10930FDD"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0.22</w:t>
            </w:r>
          </w:p>
        </w:tc>
      </w:tr>
      <w:tr w:rsidR="00CE397E" w:rsidRPr="00F7201A" w14:paraId="0D52A710" w14:textId="77777777" w:rsidTr="008457E1">
        <w:trPr>
          <w:trHeight w:val="300"/>
        </w:trPr>
        <w:tc>
          <w:tcPr>
            <w:tcW w:w="1170" w:type="dxa"/>
            <w:tcMar>
              <w:left w:w="105" w:type="dxa"/>
              <w:right w:w="105" w:type="dxa"/>
            </w:tcMar>
          </w:tcPr>
          <w:p w14:paraId="0D92A7B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ROE</w:t>
            </w:r>
          </w:p>
        </w:tc>
        <w:tc>
          <w:tcPr>
            <w:tcW w:w="1170" w:type="dxa"/>
            <w:tcMar>
              <w:left w:w="105" w:type="dxa"/>
              <w:right w:w="105" w:type="dxa"/>
            </w:tcMar>
          </w:tcPr>
          <w:p w14:paraId="4E3822D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0.71*</w:t>
            </w:r>
          </w:p>
        </w:tc>
        <w:tc>
          <w:tcPr>
            <w:tcW w:w="1170" w:type="dxa"/>
            <w:tcMar>
              <w:left w:w="105" w:type="dxa"/>
              <w:right w:w="105" w:type="dxa"/>
            </w:tcMar>
          </w:tcPr>
          <w:p w14:paraId="5A9C8CE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0.72*</w:t>
            </w:r>
          </w:p>
        </w:tc>
        <w:tc>
          <w:tcPr>
            <w:tcW w:w="1170" w:type="dxa"/>
            <w:tcMar>
              <w:left w:w="105" w:type="dxa"/>
              <w:right w:w="105" w:type="dxa"/>
            </w:tcMar>
          </w:tcPr>
          <w:p w14:paraId="42D5959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16D8936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0.70*</w:t>
            </w:r>
          </w:p>
        </w:tc>
        <w:tc>
          <w:tcPr>
            <w:tcW w:w="1170" w:type="dxa"/>
            <w:tcMar>
              <w:left w:w="105" w:type="dxa"/>
              <w:right w:w="105" w:type="dxa"/>
            </w:tcMar>
          </w:tcPr>
          <w:p w14:paraId="0D9ABBB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0.48*</w:t>
            </w:r>
          </w:p>
        </w:tc>
        <w:tc>
          <w:tcPr>
            <w:tcW w:w="1170" w:type="dxa"/>
            <w:tcMar>
              <w:left w:w="105" w:type="dxa"/>
              <w:right w:w="105" w:type="dxa"/>
            </w:tcMar>
          </w:tcPr>
          <w:p w14:paraId="041F4BC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0.20</w:t>
            </w:r>
          </w:p>
        </w:tc>
        <w:tc>
          <w:tcPr>
            <w:tcW w:w="1170" w:type="dxa"/>
            <w:tcMar>
              <w:left w:w="105" w:type="dxa"/>
              <w:right w:w="105" w:type="dxa"/>
            </w:tcMar>
          </w:tcPr>
          <w:p w14:paraId="3FAA8F9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0.27*</w:t>
            </w:r>
          </w:p>
        </w:tc>
      </w:tr>
      <w:tr w:rsidR="00CE397E" w:rsidRPr="00F7201A" w14:paraId="5E90F80E" w14:textId="77777777" w:rsidTr="008457E1">
        <w:trPr>
          <w:trHeight w:val="300"/>
        </w:trPr>
        <w:tc>
          <w:tcPr>
            <w:tcW w:w="1170" w:type="dxa"/>
            <w:tcMar>
              <w:left w:w="105" w:type="dxa"/>
              <w:right w:w="105" w:type="dxa"/>
            </w:tcMar>
          </w:tcPr>
          <w:p w14:paraId="36DFCE2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EPS</w:t>
            </w:r>
          </w:p>
        </w:tc>
        <w:tc>
          <w:tcPr>
            <w:tcW w:w="1170" w:type="dxa"/>
            <w:tcMar>
              <w:left w:w="105" w:type="dxa"/>
              <w:right w:w="105" w:type="dxa"/>
            </w:tcMar>
          </w:tcPr>
          <w:p w14:paraId="42F58B7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0.69*</w:t>
            </w:r>
          </w:p>
        </w:tc>
        <w:tc>
          <w:tcPr>
            <w:tcW w:w="1170" w:type="dxa"/>
            <w:tcMar>
              <w:left w:w="105" w:type="dxa"/>
              <w:right w:w="105" w:type="dxa"/>
            </w:tcMar>
          </w:tcPr>
          <w:p w14:paraId="60F4E68B"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0.61*</w:t>
            </w:r>
          </w:p>
        </w:tc>
        <w:tc>
          <w:tcPr>
            <w:tcW w:w="1170" w:type="dxa"/>
            <w:tcMar>
              <w:left w:w="105" w:type="dxa"/>
              <w:right w:w="105" w:type="dxa"/>
            </w:tcMar>
          </w:tcPr>
          <w:p w14:paraId="2E3D3BD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0.70*</w:t>
            </w:r>
          </w:p>
        </w:tc>
        <w:tc>
          <w:tcPr>
            <w:tcW w:w="1170" w:type="dxa"/>
            <w:tcMar>
              <w:left w:w="105" w:type="dxa"/>
              <w:right w:w="105" w:type="dxa"/>
            </w:tcMar>
          </w:tcPr>
          <w:p w14:paraId="7E2C61D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07B1852B"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0.54*</w:t>
            </w:r>
          </w:p>
        </w:tc>
        <w:tc>
          <w:tcPr>
            <w:tcW w:w="1170" w:type="dxa"/>
            <w:tcMar>
              <w:left w:w="105" w:type="dxa"/>
              <w:right w:w="105" w:type="dxa"/>
            </w:tcMar>
          </w:tcPr>
          <w:p w14:paraId="404E680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0.19</w:t>
            </w:r>
          </w:p>
        </w:tc>
        <w:tc>
          <w:tcPr>
            <w:tcW w:w="1170" w:type="dxa"/>
            <w:tcMar>
              <w:left w:w="105" w:type="dxa"/>
              <w:right w:w="105" w:type="dxa"/>
            </w:tcMar>
          </w:tcPr>
          <w:p w14:paraId="1AF9071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0.31*</w:t>
            </w:r>
          </w:p>
        </w:tc>
      </w:tr>
      <w:tr w:rsidR="00CE397E" w:rsidRPr="00F7201A" w14:paraId="60FB52BF" w14:textId="77777777" w:rsidTr="008457E1">
        <w:trPr>
          <w:trHeight w:val="300"/>
        </w:trPr>
        <w:tc>
          <w:tcPr>
            <w:tcW w:w="1170" w:type="dxa"/>
            <w:tcMar>
              <w:left w:w="105" w:type="dxa"/>
              <w:right w:w="105" w:type="dxa"/>
            </w:tcMar>
          </w:tcPr>
          <w:p w14:paraId="7A892BF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P/E</w:t>
            </w:r>
          </w:p>
        </w:tc>
        <w:tc>
          <w:tcPr>
            <w:tcW w:w="1170" w:type="dxa"/>
            <w:tcMar>
              <w:left w:w="105" w:type="dxa"/>
              <w:right w:w="105" w:type="dxa"/>
            </w:tcMar>
          </w:tcPr>
          <w:p w14:paraId="7B689EB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0.58*</w:t>
            </w:r>
          </w:p>
        </w:tc>
        <w:tc>
          <w:tcPr>
            <w:tcW w:w="1170" w:type="dxa"/>
            <w:tcMar>
              <w:left w:w="105" w:type="dxa"/>
              <w:right w:w="105" w:type="dxa"/>
            </w:tcMar>
          </w:tcPr>
          <w:p w14:paraId="779E83C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0.40</w:t>
            </w:r>
          </w:p>
        </w:tc>
        <w:tc>
          <w:tcPr>
            <w:tcW w:w="1170" w:type="dxa"/>
            <w:tcMar>
              <w:left w:w="105" w:type="dxa"/>
              <w:right w:w="105" w:type="dxa"/>
            </w:tcMar>
          </w:tcPr>
          <w:p w14:paraId="1733A399"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0.48*</w:t>
            </w:r>
          </w:p>
        </w:tc>
        <w:tc>
          <w:tcPr>
            <w:tcW w:w="1170" w:type="dxa"/>
            <w:tcMar>
              <w:left w:w="105" w:type="dxa"/>
              <w:right w:w="105" w:type="dxa"/>
            </w:tcMar>
          </w:tcPr>
          <w:p w14:paraId="3317E0C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0.54*</w:t>
            </w:r>
          </w:p>
        </w:tc>
        <w:tc>
          <w:tcPr>
            <w:tcW w:w="1170" w:type="dxa"/>
            <w:tcMar>
              <w:left w:w="105" w:type="dxa"/>
              <w:right w:w="105" w:type="dxa"/>
            </w:tcMar>
          </w:tcPr>
          <w:p w14:paraId="3615FA1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04293EF9"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0.12</w:t>
            </w:r>
          </w:p>
        </w:tc>
        <w:tc>
          <w:tcPr>
            <w:tcW w:w="1170" w:type="dxa"/>
            <w:tcMar>
              <w:left w:w="105" w:type="dxa"/>
              <w:right w:w="105" w:type="dxa"/>
            </w:tcMar>
          </w:tcPr>
          <w:p w14:paraId="3D61836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0.18</w:t>
            </w:r>
          </w:p>
        </w:tc>
      </w:tr>
      <w:tr w:rsidR="00CE397E" w:rsidRPr="00F7201A" w14:paraId="7EE9C19C" w14:textId="77777777" w:rsidTr="008457E1">
        <w:trPr>
          <w:trHeight w:val="300"/>
        </w:trPr>
        <w:tc>
          <w:tcPr>
            <w:tcW w:w="1170" w:type="dxa"/>
            <w:tcMar>
              <w:left w:w="105" w:type="dxa"/>
              <w:right w:w="105" w:type="dxa"/>
            </w:tcMar>
          </w:tcPr>
          <w:p w14:paraId="24A2500A"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Current Ratio</w:t>
            </w:r>
          </w:p>
        </w:tc>
        <w:tc>
          <w:tcPr>
            <w:tcW w:w="1170" w:type="dxa"/>
            <w:tcMar>
              <w:left w:w="105" w:type="dxa"/>
              <w:right w:w="105" w:type="dxa"/>
            </w:tcMar>
          </w:tcPr>
          <w:p w14:paraId="01E563A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0.21</w:t>
            </w:r>
          </w:p>
        </w:tc>
        <w:tc>
          <w:tcPr>
            <w:tcW w:w="1170" w:type="dxa"/>
            <w:tcMar>
              <w:left w:w="105" w:type="dxa"/>
              <w:right w:w="105" w:type="dxa"/>
            </w:tcMar>
          </w:tcPr>
          <w:p w14:paraId="582BE2B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0.18</w:t>
            </w:r>
          </w:p>
        </w:tc>
        <w:tc>
          <w:tcPr>
            <w:tcW w:w="1170" w:type="dxa"/>
            <w:tcMar>
              <w:left w:w="105" w:type="dxa"/>
              <w:right w:w="105" w:type="dxa"/>
            </w:tcMar>
          </w:tcPr>
          <w:p w14:paraId="26A56E69"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0.20</w:t>
            </w:r>
          </w:p>
        </w:tc>
        <w:tc>
          <w:tcPr>
            <w:tcW w:w="1170" w:type="dxa"/>
            <w:tcMar>
              <w:left w:w="105" w:type="dxa"/>
              <w:right w:w="105" w:type="dxa"/>
            </w:tcMar>
          </w:tcPr>
          <w:p w14:paraId="33897A2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0.19</w:t>
            </w:r>
          </w:p>
        </w:tc>
        <w:tc>
          <w:tcPr>
            <w:tcW w:w="1170" w:type="dxa"/>
            <w:tcMar>
              <w:left w:w="105" w:type="dxa"/>
              <w:right w:w="105" w:type="dxa"/>
            </w:tcMar>
          </w:tcPr>
          <w:p w14:paraId="3C1FF30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0.12</w:t>
            </w:r>
          </w:p>
        </w:tc>
        <w:tc>
          <w:tcPr>
            <w:tcW w:w="1170" w:type="dxa"/>
            <w:tcMar>
              <w:left w:w="105" w:type="dxa"/>
              <w:right w:w="105" w:type="dxa"/>
            </w:tcMar>
          </w:tcPr>
          <w:p w14:paraId="30BA0FC2"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6CFB474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0.16</w:t>
            </w:r>
          </w:p>
        </w:tc>
      </w:tr>
      <w:tr w:rsidR="00CE397E" w:rsidRPr="00F7201A" w14:paraId="66593DCE" w14:textId="77777777" w:rsidTr="008457E1">
        <w:trPr>
          <w:trHeight w:val="300"/>
        </w:trPr>
        <w:tc>
          <w:tcPr>
            <w:tcW w:w="1170" w:type="dxa"/>
            <w:tcMar>
              <w:left w:w="105" w:type="dxa"/>
              <w:right w:w="105" w:type="dxa"/>
            </w:tcMar>
          </w:tcPr>
          <w:p w14:paraId="68B569A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Dividend Yield</w:t>
            </w:r>
          </w:p>
        </w:tc>
        <w:tc>
          <w:tcPr>
            <w:tcW w:w="1170" w:type="dxa"/>
            <w:tcMar>
              <w:left w:w="105" w:type="dxa"/>
              <w:right w:w="105" w:type="dxa"/>
            </w:tcMar>
          </w:tcPr>
          <w:p w14:paraId="12A2AF0B"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0.33*</w:t>
            </w:r>
          </w:p>
        </w:tc>
        <w:tc>
          <w:tcPr>
            <w:tcW w:w="1170" w:type="dxa"/>
            <w:tcMar>
              <w:left w:w="105" w:type="dxa"/>
              <w:right w:w="105" w:type="dxa"/>
            </w:tcMar>
          </w:tcPr>
          <w:p w14:paraId="0621F32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0.22</w:t>
            </w:r>
          </w:p>
        </w:tc>
        <w:tc>
          <w:tcPr>
            <w:tcW w:w="1170" w:type="dxa"/>
            <w:tcMar>
              <w:left w:w="105" w:type="dxa"/>
              <w:right w:w="105" w:type="dxa"/>
            </w:tcMar>
          </w:tcPr>
          <w:p w14:paraId="5F79841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0.27*</w:t>
            </w:r>
          </w:p>
        </w:tc>
        <w:tc>
          <w:tcPr>
            <w:tcW w:w="1170" w:type="dxa"/>
            <w:tcMar>
              <w:left w:w="105" w:type="dxa"/>
              <w:right w:w="105" w:type="dxa"/>
            </w:tcMar>
          </w:tcPr>
          <w:p w14:paraId="53CE5D2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0.31*</w:t>
            </w:r>
          </w:p>
        </w:tc>
        <w:tc>
          <w:tcPr>
            <w:tcW w:w="1170" w:type="dxa"/>
            <w:tcMar>
              <w:left w:w="105" w:type="dxa"/>
              <w:right w:w="105" w:type="dxa"/>
            </w:tcMar>
          </w:tcPr>
          <w:p w14:paraId="2ED8440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0.18</w:t>
            </w:r>
          </w:p>
        </w:tc>
        <w:tc>
          <w:tcPr>
            <w:tcW w:w="1170" w:type="dxa"/>
            <w:tcMar>
              <w:left w:w="105" w:type="dxa"/>
              <w:right w:w="105" w:type="dxa"/>
            </w:tcMar>
          </w:tcPr>
          <w:p w14:paraId="39B5EC5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0.16</w:t>
            </w:r>
          </w:p>
        </w:tc>
        <w:tc>
          <w:tcPr>
            <w:tcW w:w="1170" w:type="dxa"/>
            <w:tcMar>
              <w:left w:w="105" w:type="dxa"/>
              <w:right w:w="105" w:type="dxa"/>
            </w:tcMar>
          </w:tcPr>
          <w:p w14:paraId="1337FFB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w:t>
            </w:r>
          </w:p>
        </w:tc>
      </w:tr>
    </w:tbl>
    <w:p w14:paraId="08A5087E" w14:textId="77777777" w:rsidR="00CE397E" w:rsidRPr="0053049D" w:rsidRDefault="00CE397E" w:rsidP="00CE397E">
      <w:pPr>
        <w:spacing w:before="240" w:beforeAutospacing="1" w:after="240"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lastRenderedPageBreak/>
        <w:t>Significant at 5% level.</w:t>
      </w:r>
    </w:p>
    <w:p w14:paraId="3E437887" w14:textId="77777777" w:rsidR="00CE397E" w:rsidRPr="0053049D" w:rsidRDefault="00CE397E" w:rsidP="00CE397E">
      <w:pPr>
        <w:spacing w:before="240" w:beforeAutospacing="1" w:after="240" w:afterAutospacing="1" w:line="360" w:lineRule="auto"/>
        <w:jc w:val="both"/>
        <w:rPr>
          <w:rFonts w:ascii="Arial" w:eastAsia="Times New Roman" w:hAnsi="Arial" w:cs="Arial"/>
          <w:sz w:val="22"/>
          <w:szCs w:val="22"/>
        </w:rPr>
      </w:pPr>
      <w:r w:rsidRPr="00F7201A">
        <w:rPr>
          <w:rFonts w:ascii="Arial" w:eastAsia="Times New Roman" w:hAnsi="Arial" w:cs="Arial"/>
          <w:b/>
          <w:bCs/>
        </w:rPr>
        <w:t>Discussion:</w:t>
      </w:r>
      <w:r w:rsidRPr="00F7201A">
        <w:rPr>
          <w:rFonts w:ascii="Arial" w:hAnsi="Arial" w:cs="Arial"/>
        </w:rPr>
        <w:br/>
      </w:r>
      <w:r w:rsidRPr="00F7201A">
        <w:rPr>
          <w:rFonts w:ascii="Arial" w:eastAsia="Times New Roman" w:hAnsi="Arial" w:cs="Arial"/>
        </w:rPr>
        <w:t xml:space="preserve"> </w:t>
      </w:r>
      <w:r w:rsidRPr="00F7201A">
        <w:rPr>
          <w:rFonts w:ascii="Arial" w:hAnsi="Arial" w:cs="Arial"/>
        </w:rPr>
        <w:tab/>
      </w:r>
      <w:r w:rsidRPr="0053049D">
        <w:rPr>
          <w:rFonts w:ascii="Arial" w:eastAsia="Times New Roman" w:hAnsi="Arial" w:cs="Arial"/>
          <w:sz w:val="22"/>
          <w:szCs w:val="22"/>
        </w:rPr>
        <w:t>Profitability ratios (ROA, ROE, EPS) show strong positive correlations with share price, supporting the fundamental analysis of premises that earnings drive market value. Valuation ratios like P/E also show moderate positive correlation, indicating investor expectations influence price. Liquidity ratios show weak correlations, confirming the narrative that short-term solvency is less relevant in developed markets. These results align with Basu (1977), Chen &amp; Zhao (2009), and Penman (2013).</w:t>
      </w:r>
    </w:p>
    <w:p w14:paraId="3D73BA12" w14:textId="77777777" w:rsidR="00CE397E" w:rsidRPr="00F7201A" w:rsidRDefault="00CE397E" w:rsidP="00CE397E">
      <w:pPr>
        <w:pStyle w:val="Heading1"/>
        <w:jc w:val="center"/>
        <w:rPr>
          <w:rFonts w:ascii="Arial" w:eastAsia="Times New Roman" w:hAnsi="Arial" w:cs="Arial"/>
          <w:b/>
          <w:bCs/>
          <w:color w:val="auto"/>
          <w:sz w:val="32"/>
          <w:szCs w:val="32"/>
        </w:rPr>
      </w:pPr>
      <w:bookmarkStart w:id="95" w:name="_Toc141636900"/>
      <w:bookmarkStart w:id="96" w:name="_Toc214027649"/>
      <w:r w:rsidRPr="00F7201A">
        <w:rPr>
          <w:rFonts w:ascii="Arial" w:eastAsia="Times New Roman" w:hAnsi="Arial" w:cs="Arial"/>
          <w:b/>
          <w:bCs/>
          <w:color w:val="auto"/>
          <w:sz w:val="32"/>
          <w:szCs w:val="32"/>
        </w:rPr>
        <w:t>4.4 Regression Analysis</w:t>
      </w:r>
      <w:bookmarkEnd w:id="95"/>
      <w:bookmarkEnd w:id="96"/>
    </w:p>
    <w:p w14:paraId="1BB61504"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Regression analysis was used to determine the predictive power of each of the financial ratios at the share prices. The findings revealed that profitability ratios were the most influential ones, and ROE and ROA showed to be the main predictors of the share price performance. The discovery confirms the basic view of analysis that the intrinsic value is largely determined by firm profitability. The liquidity rate was determined to have a minimal impact, meaning that the investors in the UK market would focus on the long-term earnings of the market rather than on short-term liquidity. The dependence on the prices of shares was negative but statistically significant, which confirms that an increase in debt levels makes the companies less attractive to investors, especially in the conditions of the active market, like the ones during the COVID-19. </w:t>
      </w:r>
    </w:p>
    <w:p w14:paraId="3350F114"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The positive impact was also observed on the efficiency ratios of the firms, which implies that the higher the asset utilization and operational efficiency, the higher the market valuation of a firm. Market-based ratios such as EPS and P/E ratio were strongly positively correlated with share prices in that investor expectation and sentiment play a role in the stock valuation. These findings are congruent to Ohlson (1995) and Chen and Zhao (2009) who have established that accounting-based variables are the significant determinants of stock price variation that can be included in the valuation model. Together, these results support the hypothesis of the current study that financial ratios, and especially profitability and market-based ratios, would have a significant impact on the market valuation of UK-listing companies.</w:t>
      </w:r>
    </w:p>
    <w:p w14:paraId="433D4FB4"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To illustrate the regression findings, Company E exhibited a high ROE of 18% and an EPS of £3.8, which, according to the regression model, contributed positively to its year-end share price increase from £45 to £55. Conversely, Company F, with a PEG ratio above 1.5, was identified as potentially overvalued, and its share price remained relatively stagnant, moving only from £52 to £53. These examples demonstrate how the regression analysis </w:t>
      </w:r>
      <w:r w:rsidRPr="0053049D">
        <w:rPr>
          <w:rFonts w:ascii="Arial" w:eastAsia="Times New Roman" w:hAnsi="Arial" w:cs="Arial"/>
          <w:color w:val="000000" w:themeColor="text1"/>
          <w:sz w:val="22"/>
          <w:szCs w:val="22"/>
        </w:rPr>
        <w:lastRenderedPageBreak/>
        <w:t>quantifies the influence of individual financial ratios on share prices while reflecting the general patterns observed across the FTSE 100 firms in the sample.</w:t>
      </w:r>
    </w:p>
    <w:p w14:paraId="22277227" w14:textId="77777777" w:rsidR="00CE397E" w:rsidRPr="00F7201A" w:rsidRDefault="00CE397E" w:rsidP="00CE397E">
      <w:pPr>
        <w:spacing w:before="240" w:beforeAutospacing="1" w:after="240" w:afterAutospacing="1" w:line="360" w:lineRule="auto"/>
        <w:jc w:val="both"/>
        <w:rPr>
          <w:rFonts w:ascii="Arial" w:eastAsia="Times New Roman" w:hAnsi="Arial" w:cs="Arial"/>
          <w:b/>
          <w:bCs/>
        </w:rPr>
      </w:pPr>
      <w:r w:rsidRPr="00F7201A">
        <w:rPr>
          <w:rFonts w:ascii="Arial" w:eastAsia="Times New Roman" w:hAnsi="Arial" w:cs="Arial"/>
          <w:b/>
          <w:bCs/>
          <w:color w:val="000000" w:themeColor="text1"/>
        </w:rPr>
        <w:t xml:space="preserve"> </w:t>
      </w:r>
      <w:bookmarkStart w:id="97" w:name="_Toc214027650"/>
      <w:r w:rsidRPr="00F7201A">
        <w:rPr>
          <w:rStyle w:val="Heading3Char"/>
          <w:rFonts w:ascii="Arial" w:eastAsia="Times New Roman" w:hAnsi="Arial" w:cs="Arial"/>
          <w:b/>
          <w:bCs/>
          <w:color w:val="auto"/>
          <w:sz w:val="24"/>
          <w:szCs w:val="24"/>
        </w:rPr>
        <w:t>Table 3: Regression Results</w:t>
      </w:r>
      <w:bookmarkEnd w:id="97"/>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860"/>
        <w:gridCol w:w="1860"/>
        <w:gridCol w:w="1860"/>
        <w:gridCol w:w="1860"/>
        <w:gridCol w:w="1860"/>
      </w:tblGrid>
      <w:tr w:rsidR="00CE397E" w:rsidRPr="00F7201A" w14:paraId="05ACEA9E" w14:textId="77777777" w:rsidTr="008457E1">
        <w:trPr>
          <w:trHeight w:val="300"/>
        </w:trPr>
        <w:tc>
          <w:tcPr>
            <w:tcW w:w="1860" w:type="dxa"/>
            <w:tcMar>
              <w:left w:w="105" w:type="dxa"/>
              <w:right w:w="105" w:type="dxa"/>
            </w:tcMar>
          </w:tcPr>
          <w:p w14:paraId="5E52F9C3"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Variable</w:t>
            </w:r>
          </w:p>
        </w:tc>
        <w:tc>
          <w:tcPr>
            <w:tcW w:w="1860" w:type="dxa"/>
            <w:tcMar>
              <w:left w:w="105" w:type="dxa"/>
              <w:right w:w="105" w:type="dxa"/>
            </w:tcMar>
          </w:tcPr>
          <w:p w14:paraId="3044A580"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Coefficient (β)</w:t>
            </w:r>
          </w:p>
        </w:tc>
        <w:tc>
          <w:tcPr>
            <w:tcW w:w="1860" w:type="dxa"/>
            <w:tcMar>
              <w:left w:w="105" w:type="dxa"/>
              <w:right w:w="105" w:type="dxa"/>
            </w:tcMar>
          </w:tcPr>
          <w:p w14:paraId="548DFC69"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Std. Error</w:t>
            </w:r>
          </w:p>
        </w:tc>
        <w:tc>
          <w:tcPr>
            <w:tcW w:w="1860" w:type="dxa"/>
            <w:tcMar>
              <w:left w:w="105" w:type="dxa"/>
              <w:right w:w="105" w:type="dxa"/>
            </w:tcMar>
          </w:tcPr>
          <w:p w14:paraId="66192AF9"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t-value</w:t>
            </w:r>
          </w:p>
        </w:tc>
        <w:tc>
          <w:tcPr>
            <w:tcW w:w="1860" w:type="dxa"/>
            <w:tcMar>
              <w:left w:w="105" w:type="dxa"/>
              <w:right w:w="105" w:type="dxa"/>
            </w:tcMar>
          </w:tcPr>
          <w:p w14:paraId="6E9282B2" w14:textId="77777777" w:rsidR="00CE397E" w:rsidRPr="00F7201A" w:rsidRDefault="00CE397E" w:rsidP="008457E1">
            <w:pPr>
              <w:spacing w:line="360" w:lineRule="auto"/>
              <w:jc w:val="center"/>
              <w:rPr>
                <w:rFonts w:ascii="Arial" w:eastAsia="Times New Roman" w:hAnsi="Arial" w:cs="Arial"/>
              </w:rPr>
            </w:pPr>
            <w:r w:rsidRPr="00F7201A">
              <w:rPr>
                <w:rFonts w:ascii="Arial" w:eastAsia="Times New Roman" w:hAnsi="Arial" w:cs="Arial"/>
                <w:b/>
                <w:bCs/>
              </w:rPr>
              <w:t>p-value</w:t>
            </w:r>
          </w:p>
        </w:tc>
      </w:tr>
      <w:tr w:rsidR="00CE397E" w:rsidRPr="00F7201A" w14:paraId="6113BE8E" w14:textId="77777777" w:rsidTr="008457E1">
        <w:trPr>
          <w:trHeight w:val="300"/>
        </w:trPr>
        <w:tc>
          <w:tcPr>
            <w:tcW w:w="1860" w:type="dxa"/>
            <w:tcMar>
              <w:left w:w="105" w:type="dxa"/>
              <w:right w:w="105" w:type="dxa"/>
            </w:tcMar>
          </w:tcPr>
          <w:p w14:paraId="55B15DE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Constant</w:t>
            </w:r>
          </w:p>
        </w:tc>
        <w:tc>
          <w:tcPr>
            <w:tcW w:w="1860" w:type="dxa"/>
            <w:tcMar>
              <w:left w:w="105" w:type="dxa"/>
              <w:right w:w="105" w:type="dxa"/>
            </w:tcMar>
          </w:tcPr>
          <w:p w14:paraId="106D459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2.15</w:t>
            </w:r>
          </w:p>
        </w:tc>
        <w:tc>
          <w:tcPr>
            <w:tcW w:w="1860" w:type="dxa"/>
            <w:tcMar>
              <w:left w:w="105" w:type="dxa"/>
              <w:right w:w="105" w:type="dxa"/>
            </w:tcMar>
          </w:tcPr>
          <w:p w14:paraId="4B1341F7"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0.90</w:t>
            </w:r>
          </w:p>
        </w:tc>
        <w:tc>
          <w:tcPr>
            <w:tcW w:w="1860" w:type="dxa"/>
            <w:tcMar>
              <w:left w:w="105" w:type="dxa"/>
              <w:right w:w="105" w:type="dxa"/>
            </w:tcMar>
          </w:tcPr>
          <w:p w14:paraId="3CD67C9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2.39</w:t>
            </w:r>
          </w:p>
        </w:tc>
        <w:tc>
          <w:tcPr>
            <w:tcW w:w="1860" w:type="dxa"/>
            <w:tcMar>
              <w:left w:w="105" w:type="dxa"/>
              <w:right w:w="105" w:type="dxa"/>
            </w:tcMar>
          </w:tcPr>
          <w:p w14:paraId="0B76A139"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0.018*</w:t>
            </w:r>
          </w:p>
        </w:tc>
      </w:tr>
      <w:tr w:rsidR="00CE397E" w:rsidRPr="00F7201A" w14:paraId="04E746CA" w14:textId="77777777" w:rsidTr="008457E1">
        <w:trPr>
          <w:trHeight w:val="300"/>
        </w:trPr>
        <w:tc>
          <w:tcPr>
            <w:tcW w:w="1860" w:type="dxa"/>
            <w:tcMar>
              <w:left w:w="105" w:type="dxa"/>
              <w:right w:w="105" w:type="dxa"/>
            </w:tcMar>
          </w:tcPr>
          <w:p w14:paraId="4D8225ED"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ROA</w:t>
            </w:r>
          </w:p>
        </w:tc>
        <w:tc>
          <w:tcPr>
            <w:tcW w:w="1860" w:type="dxa"/>
            <w:tcMar>
              <w:left w:w="105" w:type="dxa"/>
              <w:right w:w="105" w:type="dxa"/>
            </w:tcMar>
          </w:tcPr>
          <w:p w14:paraId="14F5D4D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0.42</w:t>
            </w:r>
          </w:p>
        </w:tc>
        <w:tc>
          <w:tcPr>
            <w:tcW w:w="1860" w:type="dxa"/>
            <w:tcMar>
              <w:left w:w="105" w:type="dxa"/>
              <w:right w:w="105" w:type="dxa"/>
            </w:tcMar>
          </w:tcPr>
          <w:p w14:paraId="35F3B4A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0.12</w:t>
            </w:r>
          </w:p>
        </w:tc>
        <w:tc>
          <w:tcPr>
            <w:tcW w:w="1860" w:type="dxa"/>
            <w:tcMar>
              <w:left w:w="105" w:type="dxa"/>
              <w:right w:w="105" w:type="dxa"/>
            </w:tcMar>
          </w:tcPr>
          <w:p w14:paraId="6165E4AC"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3.50</w:t>
            </w:r>
          </w:p>
        </w:tc>
        <w:tc>
          <w:tcPr>
            <w:tcW w:w="1860" w:type="dxa"/>
            <w:tcMar>
              <w:left w:w="105" w:type="dxa"/>
              <w:right w:w="105" w:type="dxa"/>
            </w:tcMar>
          </w:tcPr>
          <w:p w14:paraId="1D02864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0.001*</w:t>
            </w:r>
          </w:p>
        </w:tc>
      </w:tr>
      <w:tr w:rsidR="00CE397E" w:rsidRPr="00F7201A" w14:paraId="50413280" w14:textId="77777777" w:rsidTr="008457E1">
        <w:trPr>
          <w:trHeight w:val="300"/>
        </w:trPr>
        <w:tc>
          <w:tcPr>
            <w:tcW w:w="1860" w:type="dxa"/>
            <w:tcMar>
              <w:left w:w="105" w:type="dxa"/>
              <w:right w:w="105" w:type="dxa"/>
            </w:tcMar>
          </w:tcPr>
          <w:p w14:paraId="37936ECD"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ROE</w:t>
            </w:r>
          </w:p>
        </w:tc>
        <w:tc>
          <w:tcPr>
            <w:tcW w:w="1860" w:type="dxa"/>
            <w:tcMar>
              <w:left w:w="105" w:type="dxa"/>
              <w:right w:w="105" w:type="dxa"/>
            </w:tcMar>
          </w:tcPr>
          <w:p w14:paraId="2E0E89E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0.50</w:t>
            </w:r>
          </w:p>
        </w:tc>
        <w:tc>
          <w:tcPr>
            <w:tcW w:w="1860" w:type="dxa"/>
            <w:tcMar>
              <w:left w:w="105" w:type="dxa"/>
              <w:right w:w="105" w:type="dxa"/>
            </w:tcMar>
          </w:tcPr>
          <w:p w14:paraId="7ECC940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0.14</w:t>
            </w:r>
          </w:p>
        </w:tc>
        <w:tc>
          <w:tcPr>
            <w:tcW w:w="1860" w:type="dxa"/>
            <w:tcMar>
              <w:left w:w="105" w:type="dxa"/>
              <w:right w:w="105" w:type="dxa"/>
            </w:tcMar>
          </w:tcPr>
          <w:p w14:paraId="0957536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3.57</w:t>
            </w:r>
          </w:p>
        </w:tc>
        <w:tc>
          <w:tcPr>
            <w:tcW w:w="1860" w:type="dxa"/>
            <w:tcMar>
              <w:left w:w="105" w:type="dxa"/>
              <w:right w:w="105" w:type="dxa"/>
            </w:tcMar>
          </w:tcPr>
          <w:p w14:paraId="7626F99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0.001*</w:t>
            </w:r>
          </w:p>
        </w:tc>
      </w:tr>
      <w:tr w:rsidR="00CE397E" w:rsidRPr="00F7201A" w14:paraId="1037F0D9" w14:textId="77777777" w:rsidTr="008457E1">
        <w:trPr>
          <w:trHeight w:val="300"/>
        </w:trPr>
        <w:tc>
          <w:tcPr>
            <w:tcW w:w="1860" w:type="dxa"/>
            <w:tcMar>
              <w:left w:w="105" w:type="dxa"/>
              <w:right w:w="105" w:type="dxa"/>
            </w:tcMar>
          </w:tcPr>
          <w:p w14:paraId="703B380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EPS</w:t>
            </w:r>
          </w:p>
        </w:tc>
        <w:tc>
          <w:tcPr>
            <w:tcW w:w="1860" w:type="dxa"/>
            <w:tcMar>
              <w:left w:w="105" w:type="dxa"/>
              <w:right w:w="105" w:type="dxa"/>
            </w:tcMar>
          </w:tcPr>
          <w:p w14:paraId="2AE17B7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1.20</w:t>
            </w:r>
          </w:p>
        </w:tc>
        <w:tc>
          <w:tcPr>
            <w:tcW w:w="1860" w:type="dxa"/>
            <w:tcMar>
              <w:left w:w="105" w:type="dxa"/>
              <w:right w:w="105" w:type="dxa"/>
            </w:tcMar>
          </w:tcPr>
          <w:p w14:paraId="2749BE0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0.31</w:t>
            </w:r>
          </w:p>
        </w:tc>
        <w:tc>
          <w:tcPr>
            <w:tcW w:w="1860" w:type="dxa"/>
            <w:tcMar>
              <w:left w:w="105" w:type="dxa"/>
              <w:right w:w="105" w:type="dxa"/>
            </w:tcMar>
          </w:tcPr>
          <w:p w14:paraId="530BBE7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3.87</w:t>
            </w:r>
          </w:p>
        </w:tc>
        <w:tc>
          <w:tcPr>
            <w:tcW w:w="1860" w:type="dxa"/>
            <w:tcMar>
              <w:left w:w="105" w:type="dxa"/>
              <w:right w:w="105" w:type="dxa"/>
            </w:tcMar>
          </w:tcPr>
          <w:p w14:paraId="04962C8E"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0.000*</w:t>
            </w:r>
          </w:p>
        </w:tc>
      </w:tr>
      <w:tr w:rsidR="00CE397E" w:rsidRPr="00F7201A" w14:paraId="6D9CDBFC" w14:textId="77777777" w:rsidTr="008457E1">
        <w:trPr>
          <w:trHeight w:val="300"/>
        </w:trPr>
        <w:tc>
          <w:tcPr>
            <w:tcW w:w="1860" w:type="dxa"/>
            <w:tcMar>
              <w:left w:w="105" w:type="dxa"/>
              <w:right w:w="105" w:type="dxa"/>
            </w:tcMar>
          </w:tcPr>
          <w:p w14:paraId="4D1F5D3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P/E</w:t>
            </w:r>
          </w:p>
        </w:tc>
        <w:tc>
          <w:tcPr>
            <w:tcW w:w="1860" w:type="dxa"/>
            <w:tcMar>
              <w:left w:w="105" w:type="dxa"/>
              <w:right w:w="105" w:type="dxa"/>
            </w:tcMar>
          </w:tcPr>
          <w:p w14:paraId="4748038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0.35</w:t>
            </w:r>
          </w:p>
        </w:tc>
        <w:tc>
          <w:tcPr>
            <w:tcW w:w="1860" w:type="dxa"/>
            <w:tcMar>
              <w:left w:w="105" w:type="dxa"/>
              <w:right w:w="105" w:type="dxa"/>
            </w:tcMar>
          </w:tcPr>
          <w:p w14:paraId="30BB8E1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0.18</w:t>
            </w:r>
          </w:p>
        </w:tc>
        <w:tc>
          <w:tcPr>
            <w:tcW w:w="1860" w:type="dxa"/>
            <w:tcMar>
              <w:left w:w="105" w:type="dxa"/>
              <w:right w:w="105" w:type="dxa"/>
            </w:tcMar>
          </w:tcPr>
          <w:p w14:paraId="26469F23"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1.94</w:t>
            </w:r>
          </w:p>
        </w:tc>
        <w:tc>
          <w:tcPr>
            <w:tcW w:w="1860" w:type="dxa"/>
            <w:tcMar>
              <w:left w:w="105" w:type="dxa"/>
              <w:right w:w="105" w:type="dxa"/>
            </w:tcMar>
          </w:tcPr>
          <w:p w14:paraId="7E53BD94"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0.056</w:t>
            </w:r>
          </w:p>
        </w:tc>
      </w:tr>
      <w:tr w:rsidR="00CE397E" w:rsidRPr="00F7201A" w14:paraId="6B812DFE" w14:textId="77777777" w:rsidTr="008457E1">
        <w:trPr>
          <w:trHeight w:val="300"/>
        </w:trPr>
        <w:tc>
          <w:tcPr>
            <w:tcW w:w="1860" w:type="dxa"/>
            <w:tcMar>
              <w:left w:w="105" w:type="dxa"/>
              <w:right w:w="105" w:type="dxa"/>
            </w:tcMar>
          </w:tcPr>
          <w:p w14:paraId="35B0514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Current Ratio</w:t>
            </w:r>
          </w:p>
        </w:tc>
        <w:tc>
          <w:tcPr>
            <w:tcW w:w="1860" w:type="dxa"/>
            <w:tcMar>
              <w:left w:w="105" w:type="dxa"/>
              <w:right w:w="105" w:type="dxa"/>
            </w:tcMar>
          </w:tcPr>
          <w:p w14:paraId="4829E415"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0.10</w:t>
            </w:r>
          </w:p>
        </w:tc>
        <w:tc>
          <w:tcPr>
            <w:tcW w:w="1860" w:type="dxa"/>
            <w:tcMar>
              <w:left w:w="105" w:type="dxa"/>
              <w:right w:w="105" w:type="dxa"/>
            </w:tcMar>
          </w:tcPr>
          <w:p w14:paraId="0A1FDFA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0.21</w:t>
            </w:r>
          </w:p>
        </w:tc>
        <w:tc>
          <w:tcPr>
            <w:tcW w:w="1860" w:type="dxa"/>
            <w:tcMar>
              <w:left w:w="105" w:type="dxa"/>
              <w:right w:w="105" w:type="dxa"/>
            </w:tcMar>
          </w:tcPr>
          <w:p w14:paraId="03D4FF3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0.48</w:t>
            </w:r>
          </w:p>
        </w:tc>
        <w:tc>
          <w:tcPr>
            <w:tcW w:w="1860" w:type="dxa"/>
            <w:tcMar>
              <w:left w:w="105" w:type="dxa"/>
              <w:right w:w="105" w:type="dxa"/>
            </w:tcMar>
          </w:tcPr>
          <w:p w14:paraId="1D4E9A46"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0.63</w:t>
            </w:r>
          </w:p>
        </w:tc>
      </w:tr>
      <w:tr w:rsidR="00CE397E" w:rsidRPr="00F7201A" w14:paraId="4F94B680" w14:textId="77777777" w:rsidTr="008457E1">
        <w:trPr>
          <w:trHeight w:val="300"/>
        </w:trPr>
        <w:tc>
          <w:tcPr>
            <w:tcW w:w="1860" w:type="dxa"/>
            <w:tcMar>
              <w:left w:w="105" w:type="dxa"/>
              <w:right w:w="105" w:type="dxa"/>
            </w:tcMar>
          </w:tcPr>
          <w:p w14:paraId="55CE5CD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Dividend Yield</w:t>
            </w:r>
          </w:p>
        </w:tc>
        <w:tc>
          <w:tcPr>
            <w:tcW w:w="1860" w:type="dxa"/>
            <w:tcMar>
              <w:left w:w="105" w:type="dxa"/>
              <w:right w:w="105" w:type="dxa"/>
            </w:tcMar>
          </w:tcPr>
          <w:p w14:paraId="68CB74FF"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0.25</w:t>
            </w:r>
          </w:p>
        </w:tc>
        <w:tc>
          <w:tcPr>
            <w:tcW w:w="1860" w:type="dxa"/>
            <w:tcMar>
              <w:left w:w="105" w:type="dxa"/>
              <w:right w:w="105" w:type="dxa"/>
            </w:tcMar>
          </w:tcPr>
          <w:p w14:paraId="605447E1"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0.14</w:t>
            </w:r>
          </w:p>
        </w:tc>
        <w:tc>
          <w:tcPr>
            <w:tcW w:w="1860" w:type="dxa"/>
            <w:tcMar>
              <w:left w:w="105" w:type="dxa"/>
              <w:right w:w="105" w:type="dxa"/>
            </w:tcMar>
          </w:tcPr>
          <w:p w14:paraId="1C567C80"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1.79</w:t>
            </w:r>
          </w:p>
        </w:tc>
        <w:tc>
          <w:tcPr>
            <w:tcW w:w="1860" w:type="dxa"/>
            <w:tcMar>
              <w:left w:w="105" w:type="dxa"/>
              <w:right w:w="105" w:type="dxa"/>
            </w:tcMar>
          </w:tcPr>
          <w:p w14:paraId="3CF2F458" w14:textId="77777777" w:rsidR="00CE397E" w:rsidRPr="00F7201A" w:rsidRDefault="00CE397E" w:rsidP="008457E1">
            <w:pPr>
              <w:spacing w:line="360" w:lineRule="auto"/>
              <w:rPr>
                <w:rFonts w:ascii="Arial" w:eastAsia="Times New Roman" w:hAnsi="Arial" w:cs="Arial"/>
              </w:rPr>
            </w:pPr>
            <w:r w:rsidRPr="00F7201A">
              <w:rPr>
                <w:rFonts w:ascii="Arial" w:eastAsia="Times New Roman" w:hAnsi="Arial" w:cs="Arial"/>
              </w:rPr>
              <w:t>0.076</w:t>
            </w:r>
          </w:p>
        </w:tc>
      </w:tr>
    </w:tbl>
    <w:p w14:paraId="172A20DF" w14:textId="77777777" w:rsidR="00CE397E" w:rsidRPr="0053049D" w:rsidRDefault="00CE397E" w:rsidP="00CE397E">
      <w:pPr>
        <w:spacing w:before="240" w:beforeAutospacing="1" w:after="240"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Significant at 5% level.</w:t>
      </w:r>
    </w:p>
    <w:p w14:paraId="463BD2B8" w14:textId="77777777" w:rsidR="00CE397E" w:rsidRPr="0053049D" w:rsidRDefault="00CE397E" w:rsidP="00CE397E">
      <w:pPr>
        <w:spacing w:before="240" w:beforeAutospacing="1" w:after="240" w:afterAutospacing="1" w:line="360" w:lineRule="auto"/>
        <w:jc w:val="both"/>
        <w:rPr>
          <w:rFonts w:ascii="Arial" w:eastAsia="Times New Roman" w:hAnsi="Arial" w:cs="Arial"/>
          <w:sz w:val="22"/>
          <w:szCs w:val="22"/>
        </w:rPr>
      </w:pPr>
      <w:r w:rsidRPr="00F7201A">
        <w:rPr>
          <w:rFonts w:ascii="Arial" w:eastAsia="Times New Roman" w:hAnsi="Arial" w:cs="Arial"/>
          <w:b/>
          <w:bCs/>
        </w:rPr>
        <w:t>Discussion:</w:t>
      </w:r>
      <w:r w:rsidRPr="00F7201A">
        <w:rPr>
          <w:rFonts w:ascii="Arial" w:hAnsi="Arial" w:cs="Arial"/>
        </w:rPr>
        <w:br/>
      </w:r>
      <w:r w:rsidRPr="00F7201A">
        <w:rPr>
          <w:rFonts w:ascii="Arial" w:eastAsia="Times New Roman" w:hAnsi="Arial" w:cs="Arial"/>
        </w:rPr>
        <w:t xml:space="preserve"> </w:t>
      </w:r>
      <w:r w:rsidRPr="00F7201A">
        <w:rPr>
          <w:rFonts w:ascii="Arial" w:hAnsi="Arial" w:cs="Arial"/>
        </w:rPr>
        <w:tab/>
      </w:r>
      <w:r w:rsidRPr="0053049D">
        <w:rPr>
          <w:rFonts w:ascii="Arial" w:eastAsia="Times New Roman" w:hAnsi="Arial" w:cs="Arial"/>
          <w:sz w:val="22"/>
          <w:szCs w:val="22"/>
        </w:rPr>
        <w:t>The regression results confirm that</w:t>
      </w:r>
      <w:r w:rsidRPr="0053049D">
        <w:rPr>
          <w:rFonts w:ascii="Arial" w:eastAsia="Times New Roman" w:hAnsi="Arial" w:cs="Arial"/>
          <w:b/>
          <w:bCs/>
          <w:sz w:val="22"/>
          <w:szCs w:val="22"/>
        </w:rPr>
        <w:t xml:space="preserve"> </w:t>
      </w:r>
      <w:r w:rsidRPr="0053049D">
        <w:rPr>
          <w:rFonts w:ascii="Arial" w:eastAsia="Times New Roman" w:hAnsi="Arial" w:cs="Arial"/>
          <w:sz w:val="22"/>
          <w:szCs w:val="22"/>
        </w:rPr>
        <w:t>profitability ratios (ROA, ROE, EPS) are statistically significant predictors of share prices, consistent with fundamental analysis theory. Valuation ratios like P/E are moderately significant, while liquidity measures (Current Ratio) are not significant, reinforcing findings from correlation analysis. These outcomes mirror prior studies (Al-</w:t>
      </w:r>
      <w:proofErr w:type="spellStart"/>
      <w:r w:rsidRPr="0053049D">
        <w:rPr>
          <w:rFonts w:ascii="Arial" w:eastAsia="Times New Roman" w:hAnsi="Arial" w:cs="Arial"/>
          <w:sz w:val="22"/>
          <w:szCs w:val="22"/>
        </w:rPr>
        <w:t>Mwalla</w:t>
      </w:r>
      <w:proofErr w:type="spellEnd"/>
      <w:r w:rsidRPr="0053049D">
        <w:rPr>
          <w:rFonts w:ascii="Arial" w:eastAsia="Times New Roman" w:hAnsi="Arial" w:cs="Arial"/>
          <w:sz w:val="22"/>
          <w:szCs w:val="22"/>
        </w:rPr>
        <w:t>, 2012; Chen &amp; Zhao, 2009), showing that earnings and profitability drive investor valuation in UK markets.</w:t>
      </w:r>
    </w:p>
    <w:p w14:paraId="000FB02B" w14:textId="77777777" w:rsidR="00CE397E" w:rsidRPr="00F7201A" w:rsidRDefault="00CE397E" w:rsidP="00CE397E">
      <w:pPr>
        <w:pStyle w:val="Heading1"/>
        <w:jc w:val="center"/>
        <w:rPr>
          <w:rFonts w:ascii="Arial" w:eastAsia="Times New Roman" w:hAnsi="Arial" w:cs="Arial"/>
          <w:b/>
          <w:bCs/>
          <w:color w:val="auto"/>
          <w:sz w:val="32"/>
          <w:szCs w:val="32"/>
        </w:rPr>
      </w:pPr>
      <w:bookmarkStart w:id="98" w:name="_Toc947849000"/>
      <w:bookmarkStart w:id="99" w:name="_Toc214027651"/>
      <w:r w:rsidRPr="00F7201A">
        <w:rPr>
          <w:rFonts w:ascii="Arial" w:eastAsia="Times New Roman" w:hAnsi="Arial" w:cs="Arial"/>
          <w:b/>
          <w:bCs/>
          <w:color w:val="auto"/>
          <w:sz w:val="32"/>
          <w:szCs w:val="32"/>
        </w:rPr>
        <w:t>4.5 Discussion of Findings</w:t>
      </w:r>
      <w:bookmarkEnd w:id="98"/>
      <w:bookmarkEnd w:id="99"/>
    </w:p>
    <w:p w14:paraId="74E6147F"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findings from this study strongly support the Fundamental Analysis Theory, which posits that the intrinsic value of a company is derived from its financial performance and fundamentals. The theory is valid as the positive and material effects of profitability ratios on the prices of shares can be explained by the fact that investors consider companies in terms of revenues and payback. Profitability is another key factor determining firm value during the COVID-19 pandemic when investors wanted firms that are resilient to return during an economic crisis. This trend is </w:t>
      </w:r>
      <w:proofErr w:type="gramStart"/>
      <w:r w:rsidRPr="0053049D">
        <w:rPr>
          <w:rFonts w:ascii="Arial" w:eastAsia="Times New Roman" w:hAnsi="Arial" w:cs="Arial"/>
          <w:color w:val="000000" w:themeColor="text1"/>
          <w:sz w:val="22"/>
          <w:szCs w:val="22"/>
        </w:rPr>
        <w:t>similar to</w:t>
      </w:r>
      <w:proofErr w:type="gramEnd"/>
      <w:r w:rsidRPr="0053049D">
        <w:rPr>
          <w:rFonts w:ascii="Arial" w:eastAsia="Times New Roman" w:hAnsi="Arial" w:cs="Arial"/>
          <w:color w:val="000000" w:themeColor="text1"/>
          <w:sz w:val="22"/>
          <w:szCs w:val="22"/>
        </w:rPr>
        <w:t xml:space="preserve"> that of Mazur et al. (2021), who noted that companies with strong profitability recovered their shares faster after the crisis. </w:t>
      </w:r>
    </w:p>
    <w:p w14:paraId="39AD32CA"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Conversely, the low correlation between liquidity and share prices indicates that liquidity in a mature market like the UK is a less important factor for investors compared to its </w:t>
      </w:r>
      <w:r w:rsidRPr="0053049D">
        <w:rPr>
          <w:rFonts w:ascii="Arial" w:eastAsia="Times New Roman" w:hAnsi="Arial" w:cs="Arial"/>
          <w:color w:val="000000" w:themeColor="text1"/>
          <w:sz w:val="22"/>
          <w:szCs w:val="22"/>
        </w:rPr>
        <w:lastRenderedPageBreak/>
        <w:t>potential to grow and achieve profitability. This observation is slightly different in the emerging markets, where liquidity limits may exert a more direct impact on the firm's valuation (Al-Khazali and Mirzaei, 2017). The impact of leverage on the share prices is adverse, and this supports the risk- aversion of investors during the uncertain periods. Large debt ratios are an indication of financial distress, which reduces stock valuation. This observation is like Abdul and Tunde (2020), who also reported the same observation of European markets during the pandemic.</w:t>
      </w:r>
    </w:p>
    <w:p w14:paraId="4482512A"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Efficiency ratios’ positive effect on share prices indicates that investors reward firms that effectively convert resources into revenue, aligning with prior evidence by </w:t>
      </w:r>
      <w:proofErr w:type="spellStart"/>
      <w:r w:rsidRPr="0053049D">
        <w:rPr>
          <w:rFonts w:ascii="Arial" w:eastAsia="Times New Roman" w:hAnsi="Arial" w:cs="Arial"/>
          <w:color w:val="000000" w:themeColor="text1"/>
          <w:sz w:val="22"/>
          <w:szCs w:val="22"/>
        </w:rPr>
        <w:t>Adelegan</w:t>
      </w:r>
      <w:proofErr w:type="spellEnd"/>
      <w:r w:rsidRPr="0053049D">
        <w:rPr>
          <w:rFonts w:ascii="Arial" w:eastAsia="Times New Roman" w:hAnsi="Arial" w:cs="Arial"/>
          <w:color w:val="000000" w:themeColor="text1"/>
          <w:sz w:val="22"/>
          <w:szCs w:val="22"/>
        </w:rPr>
        <w:t xml:space="preserve"> (2009) and Akbas (2014), who established that operational efficiency enhances market valuation through improved profitability margins. Investor sentiment and expectation mechanisms incorporated in the Efficient Market Hypothesis are indicated by the strong positive relationship between market ratios (EPS and P/E) and the share prices. EMH claims that the share prices respond quickly to the existing information, and the high correlation between market ratios and share prices during and after COVID-19 substantiates the belief that the markets can use earnings information of firms effectively in setting prices. </w:t>
      </w:r>
    </w:p>
    <w:p w14:paraId="567093AB" w14:textId="77777777" w:rsidR="00CE397E" w:rsidRPr="0053049D"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In general, the results of this study are in line with the available literature, which confirms the fact that financial ratios are valid predictors of firm value, even in the case when macroeconomic shock is involved. Nevertheless, the pandemic increased the importance of profitability and leverage, implying that in a crisis setting, investors redefine the priorities of evaluation. This brings out the dynamic relationship between the fundamentals of the firm and market shocks, the need to constantly follow financial indicators in making investment decisions.</w:t>
      </w:r>
    </w:p>
    <w:p w14:paraId="37DDF80A" w14:textId="77777777" w:rsidR="00CE397E" w:rsidRPr="00F7201A" w:rsidRDefault="00CE397E" w:rsidP="00CE397E">
      <w:pPr>
        <w:spacing w:beforeAutospacing="1" w:afterAutospacing="1" w:line="360" w:lineRule="auto"/>
        <w:ind w:firstLine="720"/>
        <w:jc w:val="both"/>
        <w:rPr>
          <w:rFonts w:ascii="Arial" w:eastAsia="Times New Roman" w:hAnsi="Arial" w:cs="Arial"/>
          <w:color w:val="000000" w:themeColor="text1"/>
        </w:rPr>
      </w:pPr>
    </w:p>
    <w:p w14:paraId="59816735" w14:textId="77777777" w:rsidR="00CE397E" w:rsidRPr="00F7201A" w:rsidRDefault="00CE397E" w:rsidP="00CE397E">
      <w:pPr>
        <w:pStyle w:val="Heading1"/>
        <w:jc w:val="center"/>
        <w:rPr>
          <w:rFonts w:ascii="Arial" w:eastAsia="Times New Roman" w:hAnsi="Arial" w:cs="Arial"/>
          <w:b/>
          <w:bCs/>
          <w:color w:val="auto"/>
          <w:sz w:val="36"/>
          <w:szCs w:val="36"/>
        </w:rPr>
      </w:pPr>
      <w:bookmarkStart w:id="100" w:name="_Toc1625960756"/>
      <w:bookmarkStart w:id="101" w:name="_Toc214027652"/>
      <w:r w:rsidRPr="00F7201A">
        <w:rPr>
          <w:rFonts w:ascii="Arial" w:eastAsia="Times New Roman" w:hAnsi="Arial" w:cs="Arial"/>
          <w:b/>
          <w:bCs/>
          <w:color w:val="auto"/>
          <w:sz w:val="36"/>
          <w:szCs w:val="36"/>
        </w:rPr>
        <w:t>Chapter 5: Summary, Conclusions and Recommendations</w:t>
      </w:r>
      <w:bookmarkEnd w:id="100"/>
      <w:bookmarkEnd w:id="101"/>
    </w:p>
    <w:p w14:paraId="54613258"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02" w:name="_Toc689105225"/>
      <w:bookmarkStart w:id="103" w:name="_Toc214027653"/>
      <w:r w:rsidRPr="00F7201A">
        <w:rPr>
          <w:rFonts w:ascii="Arial" w:eastAsia="Times New Roman" w:hAnsi="Arial" w:cs="Arial"/>
          <w:b/>
          <w:bCs/>
          <w:color w:val="auto"/>
          <w:sz w:val="32"/>
          <w:szCs w:val="32"/>
        </w:rPr>
        <w:t>5.1 Introduction</w:t>
      </w:r>
      <w:bookmarkEnd w:id="102"/>
      <w:bookmarkEnd w:id="103"/>
    </w:p>
    <w:p w14:paraId="2FD54EDC"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This is the conclusion chapter that summarizes the main conclusions of the study, arrives at conclusions based on the research goals, and provides recommendations useful to consumers of the research, policy makers, and the upcoming researchers. This research was aimed at investigating how significant financial ratios (profitability, liquidity, leverage, efficiency </w:t>
      </w:r>
      <w:r w:rsidRPr="00F138FB">
        <w:rPr>
          <w:rFonts w:ascii="Arial" w:eastAsia="Times New Roman" w:hAnsi="Arial" w:cs="Arial"/>
          <w:color w:val="000000" w:themeColor="text1"/>
          <w:sz w:val="22"/>
          <w:szCs w:val="22"/>
        </w:rPr>
        <w:lastRenderedPageBreak/>
        <w:t>and market ratios) can affect the share prices of the UK-listed companies during the 20192023 period. This period was chosen to reflect the impact of the COVID-19 pandemic and the recovery that followed, as it would give an in-depth impression of the interaction between fundamental financial indicators, as well as market valuations, under varying economic conditions. The chapter started by giving a summary of the main findings of both literature review and empirical analysis. It further displays the findings of the study, its implications on both theory and practice and gives a conclusion and suggestions on future research.</w:t>
      </w:r>
    </w:p>
    <w:p w14:paraId="253F0F30"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04" w:name="_Toc344688733"/>
      <w:bookmarkStart w:id="105" w:name="_Toc214027654"/>
      <w:r w:rsidRPr="00F7201A">
        <w:rPr>
          <w:rFonts w:ascii="Arial" w:eastAsia="Times New Roman" w:hAnsi="Arial" w:cs="Arial"/>
          <w:b/>
          <w:bCs/>
          <w:color w:val="auto"/>
          <w:sz w:val="32"/>
          <w:szCs w:val="32"/>
        </w:rPr>
        <w:t>5.2 Summary of Key Findings</w:t>
      </w:r>
      <w:bookmarkEnd w:id="104"/>
      <w:bookmarkEnd w:id="105"/>
    </w:p>
    <w:p w14:paraId="7F365FED"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The authors concluded that the financial ratios play a meaningful role in causing movement in share prices in the UK equity market. Share prices had a strong and positive correlation with profitability ratios (ROE and ROA), and it was confirmed that more profitable firms are likely to be valued highly in the market. This result is consistent with the Fundamental Analysis Theory which holds that the intrinsic value of the firm is mainly based on the earnings performance and the return of equity of the firm. </w:t>
      </w:r>
    </w:p>
    <w:p w14:paraId="640B0FD7"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Liquidity ratios (current and quick ratio) showed a poor and statistically significant correlation with share prices. This indicates that shareholders in developed markets such as the UK would focus on long-term growth and profitability rather than short-term solvency. This is, however, unlike the results of the emerging economies where liquidity is increasingly vital in investor confidence (Al-Khazali and Mirzaei, 2017).</w:t>
      </w:r>
    </w:p>
    <w:p w14:paraId="176B97FB" w14:textId="77777777" w:rsidR="00CE397E" w:rsidRPr="00F138FB" w:rsidRDefault="00CE397E" w:rsidP="00CE397E">
      <w:pPr>
        <w:spacing w:beforeAutospacing="1" w:after="0"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The leverage ratios (debt-to-equity ratio) were found to have a negative and significant impact on share prices, thus suggesting the stronger the higher the ratio in terms of having high debt levels, the more it is assumed as a risk factor by the investor. This observation substantiates the capital structure theory and empirical literature by Modigliani and Miller (1958) that reported that higher leverage decreases the value of the firm because it has high financial risk. </w:t>
      </w:r>
    </w:p>
    <w:p w14:paraId="15B228BD" w14:textId="77777777" w:rsidR="00CE397E" w:rsidRPr="00F138FB" w:rsidRDefault="00CE397E" w:rsidP="00CE397E">
      <w:pPr>
        <w:spacing w:beforeAutospacing="1" w:after="0" w:afterAutospacing="1" w:line="360" w:lineRule="auto"/>
        <w:ind w:firstLine="720"/>
        <w:jc w:val="both"/>
        <w:rPr>
          <w:rFonts w:ascii="Arial" w:eastAsia="Times New Roman" w:hAnsi="Arial" w:cs="Arial"/>
          <w:color w:val="000000" w:themeColor="text1"/>
          <w:sz w:val="22"/>
          <w:szCs w:val="22"/>
        </w:rPr>
      </w:pPr>
    </w:p>
    <w:p w14:paraId="6ED1A91C" w14:textId="77777777" w:rsidR="00CE397E" w:rsidRPr="00F138FB" w:rsidRDefault="00CE397E" w:rsidP="00CE397E">
      <w:pPr>
        <w:spacing w:beforeAutospacing="1" w:after="0"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Efficiency ratios (asset turnover) were positively related to share prices, indicating that firms that effectively utilize their assets to generate revenue are rewarded by the market... In the same way, other market-based ratios like Earnings Per Share (EPS) and Price-to-Earnings (P/E) ratios have also shown positive effects on the stock prices being strong and thus asserting the fact that investors are very dependent on earnings in their decision-making processes of investment. </w:t>
      </w:r>
    </w:p>
    <w:p w14:paraId="7C5177D3" w14:textId="77777777" w:rsidR="00CE397E" w:rsidRPr="00F138FB" w:rsidRDefault="00CE397E" w:rsidP="00CE397E">
      <w:pPr>
        <w:spacing w:beforeAutospacing="1" w:after="0" w:afterAutospacing="1" w:line="360" w:lineRule="auto"/>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lastRenderedPageBreak/>
        <w:t xml:space="preserve"> </w:t>
      </w:r>
    </w:p>
    <w:p w14:paraId="5C6EE624" w14:textId="77777777" w:rsidR="00CE397E" w:rsidRPr="00F138FB" w:rsidRDefault="00CE397E" w:rsidP="00CE397E">
      <w:pPr>
        <w:spacing w:beforeAutospacing="1" w:after="0"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Overall, the results show that profitability, efficiency, and market ratios are the most credible predictors of share price performance in the UK setting. These findings are in line with other researchers like Ohlson (1995), Al-</w:t>
      </w:r>
      <w:proofErr w:type="spellStart"/>
      <w:r w:rsidRPr="00F138FB">
        <w:rPr>
          <w:rFonts w:ascii="Arial" w:eastAsia="Times New Roman" w:hAnsi="Arial" w:cs="Arial"/>
          <w:color w:val="000000" w:themeColor="text1"/>
          <w:sz w:val="22"/>
          <w:szCs w:val="22"/>
        </w:rPr>
        <w:t>Mwalla</w:t>
      </w:r>
      <w:proofErr w:type="spellEnd"/>
      <w:r w:rsidRPr="00F138FB">
        <w:rPr>
          <w:rFonts w:ascii="Arial" w:eastAsia="Times New Roman" w:hAnsi="Arial" w:cs="Arial"/>
          <w:color w:val="000000" w:themeColor="text1"/>
          <w:sz w:val="22"/>
          <w:szCs w:val="22"/>
        </w:rPr>
        <w:t xml:space="preserve"> (2012), and Chen and Zhao (2009) who have equally found out that accounting-based measures are strong predictors of firm valuation. </w:t>
      </w:r>
    </w:p>
    <w:p w14:paraId="257FE319"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06" w:name="_Toc588131630"/>
      <w:bookmarkStart w:id="107" w:name="_Toc214027655"/>
      <w:r w:rsidRPr="00F7201A">
        <w:rPr>
          <w:rFonts w:ascii="Arial" w:eastAsia="Times New Roman" w:hAnsi="Arial" w:cs="Arial"/>
          <w:b/>
          <w:bCs/>
          <w:color w:val="auto"/>
          <w:sz w:val="32"/>
          <w:szCs w:val="32"/>
        </w:rPr>
        <w:t>5.3 Conclusions</w:t>
      </w:r>
      <w:bookmarkEnd w:id="106"/>
      <w:bookmarkEnd w:id="107"/>
    </w:p>
    <w:p w14:paraId="3637FEC3"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The study concludes that financial ratios continue to serve as vital tools for evaluating firm performance and determining share price behaviour in the UK stock market. The empirical evidence confirms that investors make decisions based on a firm’s profitability, efficiency, and earnings potential, consistent with the principles of Fundamental Analysis Theory... In addition, the results partially prove the Efficient Market Hypothesis (EMH) and prove that share prices use financial information, especially in a stable economy. </w:t>
      </w:r>
    </w:p>
    <w:p w14:paraId="1D356006"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Nevertheless, the findings also indicate that macroeconomic shocks like the COVID-19 pandemic can temporarily disrupt the efficiency of the market. The pandemic increased the effect of investor sentiment and external forces on share prices compared to conventional financial indicators, which is consistent with Mazur et al. (2021) who found that distortions in global markets are also present. This is an indication that although financial ratios are still important for determinants of firm value, they could lose their explanatory ability during periods of high uncertainty.</w:t>
      </w:r>
    </w:p>
    <w:p w14:paraId="23B19036"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Ultimately, the study demonstrates that profitability and leverage are the most critical factors influencing share prices during both stable and turbulent economic conditions. Profitability enhances investor confidence and attracts long-term investment, while high leverage signals potential financial distress, discouraging investors. Efficiency and market ratios further reinforce valuation of accuracy, providing additional insight into firm performance.</w:t>
      </w:r>
    </w:p>
    <w:p w14:paraId="6DF62CC6"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08" w:name="_Toc108056770"/>
      <w:bookmarkStart w:id="109" w:name="_Toc214027656"/>
      <w:r w:rsidRPr="00F7201A">
        <w:rPr>
          <w:rFonts w:ascii="Arial" w:eastAsia="Times New Roman" w:hAnsi="Arial" w:cs="Arial"/>
          <w:b/>
          <w:bCs/>
          <w:color w:val="auto"/>
          <w:sz w:val="32"/>
          <w:szCs w:val="32"/>
        </w:rPr>
        <w:t>5.4 Implications of the Study</w:t>
      </w:r>
      <w:bookmarkEnd w:id="108"/>
      <w:bookmarkEnd w:id="109"/>
    </w:p>
    <w:p w14:paraId="18209ADF" w14:textId="77777777" w:rsidR="00CE397E" w:rsidRPr="00F7201A" w:rsidRDefault="00CE397E" w:rsidP="00CE397E">
      <w:pPr>
        <w:pStyle w:val="Heading2"/>
        <w:spacing w:line="360" w:lineRule="auto"/>
        <w:rPr>
          <w:rFonts w:ascii="Arial" w:eastAsia="Times New Roman" w:hAnsi="Arial" w:cs="Arial"/>
          <w:b/>
          <w:bCs/>
          <w:color w:val="auto"/>
          <w:sz w:val="28"/>
          <w:szCs w:val="28"/>
        </w:rPr>
      </w:pPr>
      <w:bookmarkStart w:id="110" w:name="_Toc219179110"/>
      <w:bookmarkStart w:id="111" w:name="_Toc214027657"/>
      <w:r w:rsidRPr="00F7201A">
        <w:rPr>
          <w:rFonts w:ascii="Arial" w:eastAsia="Times New Roman" w:hAnsi="Arial" w:cs="Arial"/>
          <w:b/>
          <w:bCs/>
          <w:color w:val="auto"/>
          <w:sz w:val="28"/>
          <w:szCs w:val="28"/>
        </w:rPr>
        <w:t>5.4.1 Theoretical Implications</w:t>
      </w:r>
      <w:bookmarkEnd w:id="110"/>
      <w:bookmarkEnd w:id="111"/>
    </w:p>
    <w:p w14:paraId="35E22911"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This research contributes to the growing literature on the relationship between financial performance indicators and stock market valuation by providing recent empirical evidence from the UK, incorporating the pandemic period (2019–2023). The results strengthen the </w:t>
      </w:r>
      <w:r w:rsidRPr="00F138FB">
        <w:rPr>
          <w:rFonts w:ascii="Arial" w:eastAsia="Times New Roman" w:hAnsi="Arial" w:cs="Arial"/>
          <w:color w:val="000000" w:themeColor="text1"/>
          <w:sz w:val="22"/>
          <w:szCs w:val="22"/>
        </w:rPr>
        <w:lastRenderedPageBreak/>
        <w:t>validity of Fundamental Analysis Theory by confirming that intrinsic firm characteristics continue to explain market valuations. At the same time, the study’s findings nuance the Efficient Market Hypothesis by demonstrating that market efficiency can fluctuate under crisis conditions, leading to temporary mispricing.</w:t>
      </w:r>
    </w:p>
    <w:p w14:paraId="404E32AA" w14:textId="77777777" w:rsidR="00CE397E" w:rsidRPr="00F7201A" w:rsidRDefault="00CE397E" w:rsidP="00CE397E">
      <w:pPr>
        <w:pStyle w:val="Heading2"/>
        <w:spacing w:line="360" w:lineRule="auto"/>
        <w:rPr>
          <w:rFonts w:ascii="Arial" w:eastAsia="Times New Roman" w:hAnsi="Arial" w:cs="Arial"/>
          <w:b/>
          <w:bCs/>
          <w:color w:val="auto"/>
          <w:sz w:val="24"/>
          <w:szCs w:val="24"/>
        </w:rPr>
      </w:pPr>
      <w:bookmarkStart w:id="112" w:name="_Toc1118690408"/>
      <w:bookmarkStart w:id="113" w:name="_Toc214027658"/>
      <w:r w:rsidRPr="00F7201A">
        <w:rPr>
          <w:rFonts w:ascii="Arial" w:eastAsia="Times New Roman" w:hAnsi="Arial" w:cs="Arial"/>
          <w:b/>
          <w:bCs/>
          <w:color w:val="auto"/>
        </w:rPr>
        <w:t>5.4.2 Practical Implications</w:t>
      </w:r>
      <w:bookmarkEnd w:id="112"/>
      <w:bookmarkEnd w:id="113"/>
    </w:p>
    <w:p w14:paraId="12FA7429"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For investors, the findings emphasize the importance of focusing on profitability and efficiency indicators when making stock investment decisions. Firms with strong ROE, ROA, and EPS are likely to generate stable returns, even in uncertain economic environments.</w:t>
      </w:r>
    </w:p>
    <w:p w14:paraId="2D46F88D"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For corporate managers, the results suggest that maintaining sustainable profitability and operational efficiency can significantly enhance firm value and investor trust. Firms should also manage leverage prudently to avoid investor </w:t>
      </w:r>
      <w:proofErr w:type="spellStart"/>
      <w:r w:rsidRPr="00F138FB">
        <w:rPr>
          <w:rFonts w:ascii="Arial" w:eastAsia="Times New Roman" w:hAnsi="Arial" w:cs="Arial"/>
          <w:color w:val="000000" w:themeColor="text1"/>
          <w:sz w:val="22"/>
          <w:szCs w:val="22"/>
        </w:rPr>
        <w:t>skepticism</w:t>
      </w:r>
      <w:proofErr w:type="spellEnd"/>
      <w:r w:rsidRPr="00F138FB">
        <w:rPr>
          <w:rFonts w:ascii="Arial" w:eastAsia="Times New Roman" w:hAnsi="Arial" w:cs="Arial"/>
          <w:color w:val="000000" w:themeColor="text1"/>
          <w:sz w:val="22"/>
          <w:szCs w:val="22"/>
        </w:rPr>
        <w:t>. For policy makers and regulators, the study highlights the need to enhance financial transparency and reporting accuracy, particularly during crises, to support informed investment decisions and strengthen market stability.</w:t>
      </w:r>
    </w:p>
    <w:p w14:paraId="16BA00C8" w14:textId="77777777" w:rsidR="00CE397E" w:rsidRPr="00F7201A" w:rsidRDefault="00CE397E" w:rsidP="00CE397E">
      <w:pPr>
        <w:pStyle w:val="Heading2"/>
        <w:spacing w:line="360" w:lineRule="auto"/>
        <w:rPr>
          <w:rFonts w:ascii="Arial" w:eastAsia="Times New Roman" w:hAnsi="Arial" w:cs="Arial"/>
          <w:b/>
          <w:bCs/>
          <w:color w:val="auto"/>
          <w:sz w:val="24"/>
          <w:szCs w:val="24"/>
        </w:rPr>
      </w:pPr>
      <w:bookmarkStart w:id="114" w:name="_Toc59974277"/>
      <w:bookmarkStart w:id="115" w:name="_Toc214027659"/>
      <w:r w:rsidRPr="00F7201A">
        <w:rPr>
          <w:rFonts w:ascii="Arial" w:eastAsia="Times New Roman" w:hAnsi="Arial" w:cs="Arial"/>
          <w:b/>
          <w:bCs/>
          <w:color w:val="auto"/>
        </w:rPr>
        <w:t>5.4.3 Methodological Implications</w:t>
      </w:r>
      <w:bookmarkEnd w:id="114"/>
      <w:bookmarkEnd w:id="115"/>
    </w:p>
    <w:p w14:paraId="78BCBE09" w14:textId="77777777"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The study also demonstrates the relevance of quantitative methods such as correlation and regression analysis for evaluating the relationship between financial performance and market outcomes. By adopting a positive and deductive approach, the research shows that financial ratio analysis remains a robust methodological framework for empirical financial studies.</w:t>
      </w:r>
    </w:p>
    <w:p w14:paraId="7BD3671C"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16" w:name="_Toc857428313"/>
      <w:bookmarkStart w:id="117" w:name="_Toc214027660"/>
      <w:r w:rsidRPr="00F7201A">
        <w:rPr>
          <w:rFonts w:ascii="Arial" w:eastAsia="Times New Roman" w:hAnsi="Arial" w:cs="Arial"/>
          <w:b/>
          <w:bCs/>
          <w:color w:val="auto"/>
          <w:sz w:val="32"/>
          <w:szCs w:val="32"/>
        </w:rPr>
        <w:t>5.5 Recommendations</w:t>
      </w:r>
      <w:bookmarkEnd w:id="116"/>
      <w:bookmarkEnd w:id="117"/>
    </w:p>
    <w:p w14:paraId="7827A982" w14:textId="77777777" w:rsidR="00CE397E" w:rsidRPr="00F138FB"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Based on the findings, several recommendations are proposed:</w:t>
      </w:r>
    </w:p>
    <w:p w14:paraId="249EE8AC" w14:textId="77777777" w:rsidR="00CE397E" w:rsidRPr="00922C9E"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Investors: Investors</w:t>
      </w:r>
      <w:r w:rsidRPr="00922C9E">
        <w:rPr>
          <w:rFonts w:ascii="Arial" w:eastAsia="Times New Roman" w:hAnsi="Arial" w:cs="Arial"/>
          <w:color w:val="000000" w:themeColor="text1"/>
          <w:sz w:val="22"/>
          <w:szCs w:val="22"/>
        </w:rPr>
        <w:t xml:space="preserve"> should base their decisions on a comprehensive evaluation of profitability and efficiency ratios, as these are proven indicators of long-term firm value. They should also remain cautious of firms with high leverage, especially during economic uncertainty.</w:t>
      </w:r>
    </w:p>
    <w:p w14:paraId="7F50DF7A" w14:textId="77777777" w:rsidR="00CE397E" w:rsidRPr="00922C9E"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Corporate Management:</w:t>
      </w:r>
      <w:r w:rsidRPr="00922C9E">
        <w:rPr>
          <w:rFonts w:ascii="Arial" w:eastAsia="Times New Roman" w:hAnsi="Arial" w:cs="Arial"/>
          <w:color w:val="000000" w:themeColor="text1"/>
          <w:sz w:val="22"/>
          <w:szCs w:val="22"/>
        </w:rPr>
        <w:t xml:space="preserve"> Companies should focus on strategies that enhance profitability and asset utilization efficiency, such as innovation, cost optimisation, and improved </w:t>
      </w:r>
      <w:r w:rsidRPr="00922C9E">
        <w:rPr>
          <w:rFonts w:ascii="Arial" w:eastAsia="Times New Roman" w:hAnsi="Arial" w:cs="Arial"/>
          <w:color w:val="000000" w:themeColor="text1"/>
          <w:sz w:val="22"/>
          <w:szCs w:val="22"/>
        </w:rPr>
        <w:lastRenderedPageBreak/>
        <w:t>capital management. Maintaining an optimal capital structure with controlled debt levels will improve market confidence.</w:t>
      </w:r>
    </w:p>
    <w:p w14:paraId="5C9A5915" w14:textId="77777777" w:rsidR="00CE397E" w:rsidRPr="00922C9E"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Policymakers and Regulators:</w:t>
      </w:r>
      <w:r w:rsidRPr="00922C9E">
        <w:rPr>
          <w:rFonts w:ascii="Arial" w:eastAsia="Times New Roman" w:hAnsi="Arial" w:cs="Arial"/>
          <w:color w:val="000000" w:themeColor="text1"/>
          <w:sz w:val="22"/>
          <w:szCs w:val="22"/>
        </w:rPr>
        <w:t xml:space="preserve"> Regulators such as the Financial Conduct Authority (FCA) should ensure continuous disclosure and transparency of financial performance indicators. Enhanced financial reporting standards can help maintain market confidence, particularly during disruptive events like pandemics.</w:t>
      </w:r>
    </w:p>
    <w:p w14:paraId="28586DF2" w14:textId="77777777" w:rsidR="00CE397E" w:rsidRPr="00922C9E" w:rsidRDefault="00CE397E" w:rsidP="00CE397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Future Research:</w:t>
      </w:r>
      <w:r w:rsidRPr="00922C9E">
        <w:rPr>
          <w:rFonts w:ascii="Arial" w:eastAsia="Times New Roman" w:hAnsi="Arial" w:cs="Arial"/>
          <w:color w:val="000000" w:themeColor="text1"/>
          <w:sz w:val="22"/>
          <w:szCs w:val="22"/>
        </w:rPr>
        <w:t xml:space="preserve"> Future studies should expand the dataset to include a longer timeframe and other financial markets to allow comparative analysis. Researchers may also integrate </w:t>
      </w:r>
      <w:proofErr w:type="spellStart"/>
      <w:r w:rsidRPr="00922C9E">
        <w:rPr>
          <w:rFonts w:ascii="Arial" w:eastAsia="Times New Roman" w:hAnsi="Arial" w:cs="Arial"/>
          <w:color w:val="000000" w:themeColor="text1"/>
          <w:sz w:val="22"/>
          <w:szCs w:val="22"/>
        </w:rPr>
        <w:t>behavioral</w:t>
      </w:r>
      <w:proofErr w:type="spellEnd"/>
      <w:r w:rsidRPr="00922C9E">
        <w:rPr>
          <w:rFonts w:ascii="Arial" w:eastAsia="Times New Roman" w:hAnsi="Arial" w:cs="Arial"/>
          <w:color w:val="000000" w:themeColor="text1"/>
          <w:sz w:val="22"/>
          <w:szCs w:val="22"/>
        </w:rPr>
        <w:t xml:space="preserve"> finance perspectives to examine how investor psychology interacts with firm fundamentals in determining share prices.</w:t>
      </w:r>
    </w:p>
    <w:p w14:paraId="637EA54B" w14:textId="77777777" w:rsidR="00CE397E" w:rsidRPr="00F7201A" w:rsidRDefault="00CE397E" w:rsidP="00CE397E">
      <w:pPr>
        <w:pStyle w:val="Heading1"/>
        <w:spacing w:line="360" w:lineRule="auto"/>
        <w:jc w:val="center"/>
        <w:rPr>
          <w:rFonts w:ascii="Arial" w:eastAsia="Times New Roman" w:hAnsi="Arial" w:cs="Arial"/>
          <w:b/>
          <w:bCs/>
          <w:color w:val="auto"/>
          <w:sz w:val="32"/>
          <w:szCs w:val="32"/>
        </w:rPr>
      </w:pPr>
      <w:bookmarkStart w:id="118" w:name="_Toc466781419"/>
      <w:bookmarkStart w:id="119" w:name="_Toc214027661"/>
      <w:r w:rsidRPr="00F7201A">
        <w:rPr>
          <w:rFonts w:ascii="Arial" w:eastAsia="Times New Roman" w:hAnsi="Arial" w:cs="Arial"/>
          <w:b/>
          <w:bCs/>
          <w:color w:val="auto"/>
          <w:sz w:val="32"/>
          <w:szCs w:val="32"/>
        </w:rPr>
        <w:t>5.6 Summary</w:t>
      </w:r>
      <w:bookmarkEnd w:id="118"/>
      <w:bookmarkEnd w:id="119"/>
    </w:p>
    <w:p w14:paraId="0C9819EC" w14:textId="4797C540" w:rsidR="00CE397E" w:rsidRPr="00F138FB" w:rsidRDefault="00CE397E" w:rsidP="00CE397E">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In summary, this study concludes that financial ratios, particularly profitability and market-based measures, remain reliable predictors of share prices in the UK market, amidst global disruptions like COVID-19. The study validates the continuing relevance of Fundamental Analysis in explaining market valuations and provides both theoretical and practical insights for investors, firms, and policymakers. Efficiency highlights that while markets are generally efficient, their efficiency is sensitive to external shocks, emphasizing the need for continuous evaluation of firm fundamentals in dynamic economic environments</w:t>
      </w:r>
      <w:r>
        <w:rPr>
          <w:rFonts w:ascii="Arial" w:eastAsia="Times New Roman" w:hAnsi="Arial" w:cs="Arial"/>
          <w:color w:val="000000" w:themeColor="text1"/>
          <w:sz w:val="22"/>
          <w:szCs w:val="22"/>
        </w:rPr>
        <w:t>.</w:t>
      </w:r>
    </w:p>
    <w:p w14:paraId="3B871462" w14:textId="77777777" w:rsidR="003C6E1F" w:rsidRDefault="003C6E1F"/>
    <w:p w14:paraId="06F9629D" w14:textId="77777777" w:rsidR="00CE397E" w:rsidRDefault="00CE397E"/>
    <w:p w14:paraId="0E49A90A" w14:textId="77777777" w:rsidR="00CE397E" w:rsidRDefault="00CE397E"/>
    <w:p w14:paraId="3C633077" w14:textId="77777777" w:rsidR="00CE397E" w:rsidRDefault="00CE397E"/>
    <w:p w14:paraId="74D3A5FD" w14:textId="77777777" w:rsidR="00CE397E" w:rsidRDefault="00CE397E"/>
    <w:p w14:paraId="1EBA56C5" w14:textId="77777777" w:rsidR="00CE397E" w:rsidRDefault="00CE397E"/>
    <w:p w14:paraId="1D7806B3" w14:textId="77777777" w:rsidR="00CE397E" w:rsidRDefault="00CE397E"/>
    <w:p w14:paraId="12BC6B80" w14:textId="77777777" w:rsidR="00CE397E" w:rsidRDefault="00CE397E"/>
    <w:p w14:paraId="584CBAC8" w14:textId="77777777" w:rsidR="00CE397E" w:rsidRDefault="00CE397E"/>
    <w:p w14:paraId="17DF85FB" w14:textId="77777777" w:rsidR="00CE397E" w:rsidRDefault="00CE397E"/>
    <w:p w14:paraId="7B8EC1D6" w14:textId="77777777" w:rsidR="00CE397E" w:rsidRDefault="00CE397E"/>
    <w:p w14:paraId="6DE03787" w14:textId="77777777" w:rsidR="0010410A" w:rsidRPr="0010410A" w:rsidRDefault="0010410A" w:rsidP="0010410A">
      <w:pPr>
        <w:pStyle w:val="Heading3"/>
        <w:spacing w:line="360" w:lineRule="auto"/>
        <w:jc w:val="center"/>
        <w:rPr>
          <w:rFonts w:ascii="Arial" w:eastAsia="Times New Roman" w:hAnsi="Arial" w:cs="Arial"/>
          <w:b/>
          <w:bCs/>
          <w:color w:val="auto"/>
          <w:sz w:val="32"/>
          <w:szCs w:val="32"/>
        </w:rPr>
      </w:pPr>
      <w:bookmarkStart w:id="120" w:name="_Toc274359725"/>
      <w:bookmarkStart w:id="121" w:name="_Toc214027662"/>
      <w:r w:rsidRPr="0010410A">
        <w:rPr>
          <w:rFonts w:ascii="Arial" w:eastAsia="Times New Roman" w:hAnsi="Arial" w:cs="Arial"/>
          <w:b/>
          <w:bCs/>
          <w:color w:val="auto"/>
          <w:sz w:val="32"/>
          <w:szCs w:val="32"/>
        </w:rPr>
        <w:lastRenderedPageBreak/>
        <w:t>Reference</w:t>
      </w:r>
      <w:bookmarkEnd w:id="120"/>
      <w:bookmarkEnd w:id="121"/>
    </w:p>
    <w:p w14:paraId="4DBF216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Abdullah, N.A.H., Parvez, M. and Karim, A.M., 2021. </w:t>
      </w:r>
      <w:r w:rsidRPr="001065C3">
        <w:rPr>
          <w:rFonts w:ascii="Arial" w:eastAsia="Times New Roman" w:hAnsi="Arial" w:cs="Arial"/>
          <w:i/>
          <w:iCs/>
          <w:sz w:val="22"/>
          <w:szCs w:val="22"/>
        </w:rPr>
        <w:t>Impact of financial ratios on stock price performance: Evidence from the London Stock Exchange</w:t>
      </w:r>
      <w:r w:rsidRPr="001065C3">
        <w:rPr>
          <w:rFonts w:ascii="Arial" w:eastAsia="Times New Roman" w:hAnsi="Arial" w:cs="Arial"/>
          <w:sz w:val="22"/>
          <w:szCs w:val="22"/>
        </w:rPr>
        <w:t>. International Journal of Financial Research, 12(4), pp.104–118.</w:t>
      </w:r>
    </w:p>
    <w:p w14:paraId="3871C496"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proofErr w:type="spellStart"/>
      <w:r w:rsidRPr="001065C3">
        <w:rPr>
          <w:rFonts w:ascii="Arial" w:eastAsia="Times New Roman" w:hAnsi="Arial" w:cs="Arial"/>
          <w:sz w:val="22"/>
          <w:szCs w:val="22"/>
        </w:rPr>
        <w:t>Adelegan</w:t>
      </w:r>
      <w:proofErr w:type="spellEnd"/>
      <w:r w:rsidRPr="001065C3">
        <w:rPr>
          <w:rFonts w:ascii="Arial" w:eastAsia="Times New Roman" w:hAnsi="Arial" w:cs="Arial"/>
          <w:sz w:val="22"/>
          <w:szCs w:val="22"/>
        </w:rPr>
        <w:t xml:space="preserve">, O.J. and Ariyo, A., 2008. </w:t>
      </w:r>
      <w:r w:rsidRPr="001065C3">
        <w:rPr>
          <w:rFonts w:ascii="Arial" w:eastAsia="Times New Roman" w:hAnsi="Arial" w:cs="Arial"/>
          <w:i/>
          <w:iCs/>
          <w:sz w:val="22"/>
          <w:szCs w:val="22"/>
        </w:rPr>
        <w:t xml:space="preserve">Capital market imperfections and corporate investment </w:t>
      </w:r>
      <w:proofErr w:type="spellStart"/>
      <w:r w:rsidRPr="001065C3">
        <w:rPr>
          <w:rFonts w:ascii="Arial" w:eastAsia="Times New Roman" w:hAnsi="Arial" w:cs="Arial"/>
          <w:i/>
          <w:iCs/>
          <w:sz w:val="22"/>
          <w:szCs w:val="22"/>
        </w:rPr>
        <w:t>behavior</w:t>
      </w:r>
      <w:proofErr w:type="spellEnd"/>
      <w:r w:rsidRPr="001065C3">
        <w:rPr>
          <w:rFonts w:ascii="Arial" w:eastAsia="Times New Roman" w:hAnsi="Arial" w:cs="Arial"/>
          <w:i/>
          <w:iCs/>
          <w:sz w:val="22"/>
          <w:szCs w:val="22"/>
        </w:rPr>
        <w:t>: A switching regression approach using panel data for Nigerian manufacturing firms</w:t>
      </w:r>
      <w:r w:rsidRPr="001065C3">
        <w:rPr>
          <w:rFonts w:ascii="Arial" w:eastAsia="Times New Roman" w:hAnsi="Arial" w:cs="Arial"/>
          <w:sz w:val="22"/>
          <w:szCs w:val="22"/>
        </w:rPr>
        <w:t>. Journal of Money, Investment and Banking, (2), pp. 16–38.</w:t>
      </w:r>
    </w:p>
    <w:p w14:paraId="7F8F899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Al-</w:t>
      </w:r>
      <w:proofErr w:type="spellStart"/>
      <w:r w:rsidRPr="001065C3">
        <w:rPr>
          <w:rFonts w:ascii="Arial" w:eastAsia="Times New Roman" w:hAnsi="Arial" w:cs="Arial"/>
          <w:sz w:val="22"/>
          <w:szCs w:val="22"/>
        </w:rPr>
        <w:t>Mwalla</w:t>
      </w:r>
      <w:proofErr w:type="spellEnd"/>
      <w:r w:rsidRPr="001065C3">
        <w:rPr>
          <w:rFonts w:ascii="Arial" w:eastAsia="Times New Roman" w:hAnsi="Arial" w:cs="Arial"/>
          <w:sz w:val="22"/>
          <w:szCs w:val="22"/>
        </w:rPr>
        <w:t xml:space="preserve">, M., 2012. </w:t>
      </w:r>
      <w:r w:rsidRPr="001065C3">
        <w:rPr>
          <w:rFonts w:ascii="Arial" w:eastAsia="Times New Roman" w:hAnsi="Arial" w:cs="Arial"/>
          <w:i/>
          <w:iCs/>
          <w:sz w:val="22"/>
          <w:szCs w:val="22"/>
        </w:rPr>
        <w:t>The impact of capital structure on firm’s performance: Evidence from Jordan</w:t>
      </w:r>
      <w:r w:rsidRPr="001065C3">
        <w:rPr>
          <w:rFonts w:ascii="Arial" w:eastAsia="Times New Roman" w:hAnsi="Arial" w:cs="Arial"/>
          <w:sz w:val="22"/>
          <w:szCs w:val="22"/>
        </w:rPr>
        <w:t>. Journal of Finance and Accounting, 3(11), pp. 44–58.</w:t>
      </w:r>
    </w:p>
    <w:p w14:paraId="409ED45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Ali, A., Hwang, L.S. and Trombley, M.A., 2003. </w:t>
      </w:r>
      <w:r w:rsidRPr="001065C3">
        <w:rPr>
          <w:rFonts w:ascii="Arial" w:eastAsia="Times New Roman" w:hAnsi="Arial" w:cs="Arial"/>
          <w:i/>
          <w:iCs/>
          <w:sz w:val="22"/>
          <w:szCs w:val="22"/>
        </w:rPr>
        <w:t>Residual-income-based valuation predicts future stock returns: Evidence on mispricing versus risk explanations</w:t>
      </w:r>
      <w:r w:rsidRPr="001065C3">
        <w:rPr>
          <w:rFonts w:ascii="Arial" w:eastAsia="Times New Roman" w:hAnsi="Arial" w:cs="Arial"/>
          <w:sz w:val="22"/>
          <w:szCs w:val="22"/>
        </w:rPr>
        <w:t>. Accounting Review, 78(2), pp. 377–396.</w:t>
      </w:r>
    </w:p>
    <w:p w14:paraId="284560D5"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Al-Shubiri, F.N., 2010. </w:t>
      </w:r>
      <w:r w:rsidRPr="001065C3">
        <w:rPr>
          <w:rFonts w:ascii="Arial" w:eastAsia="Times New Roman" w:hAnsi="Arial" w:cs="Arial"/>
          <w:i/>
          <w:iCs/>
          <w:sz w:val="22"/>
          <w:szCs w:val="22"/>
        </w:rPr>
        <w:t>Analysis of the relationship between working capital policy and operating risk: An empirical study on Jordanian industrial companies</w:t>
      </w:r>
      <w:r w:rsidRPr="001065C3">
        <w:rPr>
          <w:rFonts w:ascii="Arial" w:eastAsia="Times New Roman" w:hAnsi="Arial" w:cs="Arial"/>
          <w:sz w:val="22"/>
          <w:szCs w:val="22"/>
        </w:rPr>
        <w:t>. Investment Management and Financial Innovations, 7(2), pp. 167–176.</w:t>
      </w:r>
    </w:p>
    <w:p w14:paraId="08A08095"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Babalola, Y.A. and Abiola, F.R., 2013. </w:t>
      </w:r>
      <w:r w:rsidRPr="001065C3">
        <w:rPr>
          <w:rFonts w:ascii="Arial" w:eastAsia="Times New Roman" w:hAnsi="Arial" w:cs="Arial"/>
          <w:i/>
          <w:iCs/>
          <w:sz w:val="22"/>
          <w:szCs w:val="22"/>
        </w:rPr>
        <w:t>Financial ratio analysis of firms: Evidence from Nigerian manufacturing industry</w:t>
      </w:r>
      <w:r w:rsidRPr="001065C3">
        <w:rPr>
          <w:rFonts w:ascii="Arial" w:eastAsia="Times New Roman" w:hAnsi="Arial" w:cs="Arial"/>
          <w:sz w:val="22"/>
          <w:szCs w:val="22"/>
        </w:rPr>
        <w:t>. Research Journal of Finance and Accounting, 4(10), pp.91–100.</w:t>
      </w:r>
    </w:p>
    <w:p w14:paraId="10718642"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Basu, S., 1977. </w:t>
      </w:r>
      <w:r w:rsidRPr="001065C3">
        <w:rPr>
          <w:rFonts w:ascii="Arial" w:eastAsia="Times New Roman" w:hAnsi="Arial" w:cs="Arial"/>
          <w:i/>
          <w:iCs/>
          <w:sz w:val="22"/>
          <w:szCs w:val="22"/>
        </w:rPr>
        <w:t>Investment performance of common stocks in relation to their price-earnings ratios: A test of the efficient market hypothesis</w:t>
      </w:r>
      <w:r w:rsidRPr="001065C3">
        <w:rPr>
          <w:rFonts w:ascii="Arial" w:eastAsia="Times New Roman" w:hAnsi="Arial" w:cs="Arial"/>
          <w:sz w:val="22"/>
          <w:szCs w:val="22"/>
        </w:rPr>
        <w:t>. Journal of Finance, 32(3), pp.663–682.</w:t>
      </w:r>
    </w:p>
    <w:p w14:paraId="6E38594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Black, F. and Scholes, M., 1973. </w:t>
      </w:r>
      <w:r w:rsidRPr="001065C3">
        <w:rPr>
          <w:rFonts w:ascii="Arial" w:eastAsia="Times New Roman" w:hAnsi="Arial" w:cs="Arial"/>
          <w:i/>
          <w:iCs/>
          <w:sz w:val="22"/>
          <w:szCs w:val="22"/>
        </w:rPr>
        <w:t>The pricing of options and corporate liabilities</w:t>
      </w:r>
      <w:r w:rsidRPr="001065C3">
        <w:rPr>
          <w:rFonts w:ascii="Arial" w:eastAsia="Times New Roman" w:hAnsi="Arial" w:cs="Arial"/>
          <w:sz w:val="22"/>
          <w:szCs w:val="22"/>
        </w:rPr>
        <w:t xml:space="preserve"> is important. Journal of Political Economy, 81(3), pp. 637–654.</w:t>
      </w:r>
    </w:p>
    <w:p w14:paraId="02C7028C"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Bondt, W.F.M. De and Thaler, R.H., 1985. </w:t>
      </w:r>
      <w:r w:rsidRPr="001065C3">
        <w:rPr>
          <w:rFonts w:ascii="Arial" w:eastAsia="Times New Roman" w:hAnsi="Arial" w:cs="Arial"/>
          <w:i/>
          <w:iCs/>
          <w:sz w:val="22"/>
          <w:szCs w:val="22"/>
        </w:rPr>
        <w:t>Does the stock market overreact?</w:t>
      </w:r>
      <w:r w:rsidRPr="001065C3">
        <w:rPr>
          <w:rFonts w:ascii="Arial" w:eastAsia="Times New Roman" w:hAnsi="Arial" w:cs="Arial"/>
          <w:sz w:val="22"/>
          <w:szCs w:val="22"/>
        </w:rPr>
        <w:t xml:space="preserve"> Journal of Finance, 40(3), pp.793–805.</w:t>
      </w:r>
    </w:p>
    <w:p w14:paraId="27B9560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Brealey, R.A., Myers, S.C. and Allen, F., 2014. </w:t>
      </w:r>
      <w:r w:rsidRPr="001065C3">
        <w:rPr>
          <w:rFonts w:ascii="Arial" w:eastAsia="Times New Roman" w:hAnsi="Arial" w:cs="Arial"/>
          <w:i/>
          <w:iCs/>
          <w:sz w:val="22"/>
          <w:szCs w:val="22"/>
        </w:rPr>
        <w:t>Principles of Corporate Finance</w:t>
      </w:r>
      <w:r w:rsidRPr="001065C3">
        <w:rPr>
          <w:rFonts w:ascii="Arial" w:eastAsia="Times New Roman" w:hAnsi="Arial" w:cs="Arial"/>
          <w:sz w:val="22"/>
          <w:szCs w:val="22"/>
        </w:rPr>
        <w:t>. 11th ed. New York: McGraw-Hill.</w:t>
      </w:r>
    </w:p>
    <w:p w14:paraId="0C271C7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Brigham, E.F. and Houston, J.F., 2021. </w:t>
      </w:r>
      <w:r w:rsidRPr="001065C3">
        <w:rPr>
          <w:rFonts w:ascii="Arial" w:eastAsia="Times New Roman" w:hAnsi="Arial" w:cs="Arial"/>
          <w:i/>
          <w:iCs/>
          <w:sz w:val="22"/>
          <w:szCs w:val="22"/>
        </w:rPr>
        <w:t>Fundamentals of Financial Management</w:t>
      </w:r>
      <w:r w:rsidRPr="001065C3">
        <w:rPr>
          <w:rFonts w:ascii="Arial" w:eastAsia="Times New Roman" w:hAnsi="Arial" w:cs="Arial"/>
          <w:sz w:val="22"/>
          <w:szCs w:val="22"/>
        </w:rPr>
        <w:t>. 16th ed. Boston: Cengage Learning.</w:t>
      </w:r>
    </w:p>
    <w:p w14:paraId="537C2014"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lastRenderedPageBreak/>
        <w:t xml:space="preserve">Brooks, C., 2019. </w:t>
      </w:r>
      <w:r w:rsidRPr="001065C3">
        <w:rPr>
          <w:rFonts w:ascii="Arial" w:eastAsia="Times New Roman" w:hAnsi="Arial" w:cs="Arial"/>
          <w:i/>
          <w:iCs/>
          <w:sz w:val="22"/>
          <w:szCs w:val="22"/>
        </w:rPr>
        <w:t>Introductory Econometrics for Finance</w:t>
      </w:r>
      <w:r w:rsidRPr="001065C3">
        <w:rPr>
          <w:rFonts w:ascii="Arial" w:eastAsia="Times New Roman" w:hAnsi="Arial" w:cs="Arial"/>
          <w:sz w:val="22"/>
          <w:szCs w:val="22"/>
        </w:rPr>
        <w:t>. 4th ed. Cambridge: Cambridge University Press.</w:t>
      </w:r>
    </w:p>
    <w:p w14:paraId="5BE77C1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Chen, L., Da, Z. and Zhao, X., 2013. </w:t>
      </w:r>
      <w:r w:rsidRPr="001065C3">
        <w:rPr>
          <w:rFonts w:ascii="Arial" w:eastAsia="Times New Roman" w:hAnsi="Arial" w:cs="Arial"/>
          <w:i/>
          <w:iCs/>
          <w:sz w:val="22"/>
          <w:szCs w:val="22"/>
        </w:rPr>
        <w:t>What drives stock price movement? Fundamentals versus investor sentiment</w:t>
      </w:r>
      <w:r w:rsidRPr="001065C3">
        <w:rPr>
          <w:rFonts w:ascii="Arial" w:eastAsia="Times New Roman" w:hAnsi="Arial" w:cs="Arial"/>
          <w:sz w:val="22"/>
          <w:szCs w:val="22"/>
        </w:rPr>
        <w:t>. Review of Financial Studies, 26(4), pp. 841–876.</w:t>
      </w:r>
    </w:p>
    <w:p w14:paraId="5A90CD4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Chen, N.F. and Zhao, F., 2009. </w:t>
      </w:r>
      <w:r w:rsidRPr="001065C3">
        <w:rPr>
          <w:rFonts w:ascii="Arial" w:eastAsia="Times New Roman" w:hAnsi="Arial" w:cs="Arial"/>
          <w:i/>
          <w:iCs/>
          <w:sz w:val="22"/>
          <w:szCs w:val="22"/>
        </w:rPr>
        <w:t>Return decomposition</w:t>
      </w:r>
      <w:r w:rsidRPr="001065C3">
        <w:rPr>
          <w:rFonts w:ascii="Arial" w:eastAsia="Times New Roman" w:hAnsi="Arial" w:cs="Arial"/>
          <w:sz w:val="22"/>
          <w:szCs w:val="22"/>
        </w:rPr>
        <w:t>. Review of Financial Studies, 22(12), pp. 5213–5249.</w:t>
      </w:r>
    </w:p>
    <w:p w14:paraId="00211DB4"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Fama, E.F., 1970. </w:t>
      </w:r>
      <w:r w:rsidRPr="001065C3">
        <w:rPr>
          <w:rFonts w:ascii="Arial" w:eastAsia="Times New Roman" w:hAnsi="Arial" w:cs="Arial"/>
          <w:i/>
          <w:iCs/>
          <w:sz w:val="22"/>
          <w:szCs w:val="22"/>
        </w:rPr>
        <w:t>Efficient Capital Markets: A review of theory and empirical work</w:t>
      </w:r>
      <w:r w:rsidRPr="001065C3">
        <w:rPr>
          <w:rFonts w:ascii="Arial" w:eastAsia="Times New Roman" w:hAnsi="Arial" w:cs="Arial"/>
          <w:sz w:val="22"/>
          <w:szCs w:val="22"/>
        </w:rPr>
        <w:t>. Journal of Finance, 25(2), pp.383–417.</w:t>
      </w:r>
    </w:p>
    <w:p w14:paraId="117D393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Fama, E.F. and French, K.R., 1992. </w:t>
      </w:r>
      <w:r w:rsidRPr="001065C3">
        <w:rPr>
          <w:rFonts w:ascii="Arial" w:eastAsia="Times New Roman" w:hAnsi="Arial" w:cs="Arial"/>
          <w:i/>
          <w:iCs/>
          <w:sz w:val="22"/>
          <w:szCs w:val="22"/>
        </w:rPr>
        <w:t>The cross-section of expected stock returns</w:t>
      </w:r>
      <w:r w:rsidRPr="001065C3">
        <w:rPr>
          <w:rFonts w:ascii="Arial" w:eastAsia="Times New Roman" w:hAnsi="Arial" w:cs="Arial"/>
          <w:sz w:val="22"/>
          <w:szCs w:val="22"/>
        </w:rPr>
        <w:t xml:space="preserve"> is important. Journal of Finance, 47(2), pp. 427–465.</w:t>
      </w:r>
    </w:p>
    <w:p w14:paraId="0C09B181"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Fama, E.F. and French, K.R., 2015. </w:t>
      </w:r>
      <w:r w:rsidRPr="001065C3">
        <w:rPr>
          <w:rFonts w:ascii="Arial" w:eastAsia="Times New Roman" w:hAnsi="Arial" w:cs="Arial"/>
          <w:i/>
          <w:iCs/>
          <w:sz w:val="22"/>
          <w:szCs w:val="22"/>
        </w:rPr>
        <w:t>A five-factor asset pricing model</w:t>
      </w:r>
      <w:r w:rsidRPr="001065C3">
        <w:rPr>
          <w:rFonts w:ascii="Arial" w:eastAsia="Times New Roman" w:hAnsi="Arial" w:cs="Arial"/>
          <w:sz w:val="22"/>
          <w:szCs w:val="22"/>
        </w:rPr>
        <w:t>. Journal of Financial Economics, 116(1), pp. 1–22.</w:t>
      </w:r>
    </w:p>
    <w:p w14:paraId="6AEB69A0"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Gitman, L.J. and Zutter, C.J., 2015. </w:t>
      </w:r>
      <w:r w:rsidRPr="001065C3">
        <w:rPr>
          <w:rFonts w:ascii="Arial" w:eastAsia="Times New Roman" w:hAnsi="Arial" w:cs="Arial"/>
          <w:i/>
          <w:iCs/>
          <w:sz w:val="22"/>
          <w:szCs w:val="22"/>
        </w:rPr>
        <w:t>Principles of Managerial Finance</w:t>
      </w:r>
      <w:r w:rsidRPr="001065C3">
        <w:rPr>
          <w:rFonts w:ascii="Arial" w:eastAsia="Times New Roman" w:hAnsi="Arial" w:cs="Arial"/>
          <w:sz w:val="22"/>
          <w:szCs w:val="22"/>
        </w:rPr>
        <w:t>. 14th ed. Boston: Pearson Education.</w:t>
      </w:r>
    </w:p>
    <w:p w14:paraId="64400143"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Gibson, C.H., 2013. </w:t>
      </w:r>
      <w:r w:rsidRPr="001065C3">
        <w:rPr>
          <w:rFonts w:ascii="Arial" w:eastAsia="Times New Roman" w:hAnsi="Arial" w:cs="Arial"/>
          <w:i/>
          <w:iCs/>
          <w:sz w:val="22"/>
          <w:szCs w:val="22"/>
        </w:rPr>
        <w:t>Financial Reporting and Analysis: Using Financial Accounting Information</w:t>
      </w:r>
      <w:r w:rsidRPr="001065C3">
        <w:rPr>
          <w:rFonts w:ascii="Arial" w:eastAsia="Times New Roman" w:hAnsi="Arial" w:cs="Arial"/>
          <w:sz w:val="22"/>
          <w:szCs w:val="22"/>
        </w:rPr>
        <w:t>. 13th ed. South-Western Cengage Learning.</w:t>
      </w:r>
    </w:p>
    <w:p w14:paraId="067D472D"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Gujarati, D.N. and Porter, D.C., 2010. </w:t>
      </w:r>
      <w:r w:rsidRPr="001065C3">
        <w:rPr>
          <w:rFonts w:ascii="Arial" w:eastAsia="Times New Roman" w:hAnsi="Arial" w:cs="Arial"/>
          <w:i/>
          <w:iCs/>
          <w:sz w:val="22"/>
          <w:szCs w:val="22"/>
        </w:rPr>
        <w:t>Essentials of Econometrics</w:t>
      </w:r>
      <w:r w:rsidRPr="001065C3">
        <w:rPr>
          <w:rFonts w:ascii="Arial" w:eastAsia="Times New Roman" w:hAnsi="Arial" w:cs="Arial"/>
          <w:sz w:val="22"/>
          <w:szCs w:val="22"/>
        </w:rPr>
        <w:t>. 4th ed. New York: McGraw-Hill.</w:t>
      </w:r>
    </w:p>
    <w:p w14:paraId="0F20490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Gupta, P. and Mahakud, J., 2020. </w:t>
      </w:r>
      <w:r w:rsidRPr="001065C3">
        <w:rPr>
          <w:rFonts w:ascii="Arial" w:eastAsia="Times New Roman" w:hAnsi="Arial" w:cs="Arial"/>
          <w:i/>
          <w:iCs/>
          <w:sz w:val="22"/>
          <w:szCs w:val="22"/>
        </w:rPr>
        <w:t>The determinants of capital structure: Evidence from selected Indian firms during the Covid-19 pandemic</w:t>
      </w:r>
      <w:r w:rsidRPr="001065C3">
        <w:rPr>
          <w:rFonts w:ascii="Arial" w:eastAsia="Times New Roman" w:hAnsi="Arial" w:cs="Arial"/>
          <w:sz w:val="22"/>
          <w:szCs w:val="22"/>
        </w:rPr>
        <w:t>. Journal of Risk and Financial Management, 13(9), p.204.</w:t>
      </w:r>
    </w:p>
    <w:p w14:paraId="649EC73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Higgins, R.C., 2012. </w:t>
      </w:r>
      <w:r w:rsidRPr="001065C3">
        <w:rPr>
          <w:rFonts w:ascii="Arial" w:eastAsia="Times New Roman" w:hAnsi="Arial" w:cs="Arial"/>
          <w:i/>
          <w:iCs/>
          <w:sz w:val="22"/>
          <w:szCs w:val="22"/>
        </w:rPr>
        <w:t>Analysis of Financial Management</w:t>
      </w:r>
      <w:r w:rsidRPr="001065C3">
        <w:rPr>
          <w:rFonts w:ascii="Arial" w:eastAsia="Times New Roman" w:hAnsi="Arial" w:cs="Arial"/>
          <w:sz w:val="22"/>
          <w:szCs w:val="22"/>
        </w:rPr>
        <w:t>. 10th ed. New York: McGraw-Hill Education.</w:t>
      </w:r>
    </w:p>
    <w:p w14:paraId="3A4E81B8"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bookmarkStart w:id="122" w:name="_Int_qKI3onzM"/>
      <w:proofErr w:type="spellStart"/>
      <w:r w:rsidRPr="001065C3">
        <w:rPr>
          <w:rFonts w:ascii="Arial" w:eastAsia="Times New Roman" w:hAnsi="Arial" w:cs="Arial"/>
          <w:sz w:val="22"/>
          <w:szCs w:val="22"/>
        </w:rPr>
        <w:t>Hussainey</w:t>
      </w:r>
      <w:bookmarkEnd w:id="122"/>
      <w:proofErr w:type="spellEnd"/>
      <w:r w:rsidRPr="001065C3">
        <w:rPr>
          <w:rFonts w:ascii="Arial" w:eastAsia="Times New Roman" w:hAnsi="Arial" w:cs="Arial"/>
          <w:sz w:val="22"/>
          <w:szCs w:val="22"/>
        </w:rPr>
        <w:t xml:space="preserve">, K. and Walker, M., 2009. </w:t>
      </w:r>
      <w:r w:rsidRPr="001065C3">
        <w:rPr>
          <w:rFonts w:ascii="Arial" w:eastAsia="Times New Roman" w:hAnsi="Arial" w:cs="Arial"/>
          <w:i/>
          <w:iCs/>
          <w:sz w:val="22"/>
          <w:szCs w:val="22"/>
        </w:rPr>
        <w:t>The effects of voluntary disclosure and dividend propensity on prices leading earnings</w:t>
      </w:r>
      <w:r w:rsidRPr="001065C3">
        <w:rPr>
          <w:rFonts w:ascii="Arial" w:eastAsia="Times New Roman" w:hAnsi="Arial" w:cs="Arial"/>
          <w:sz w:val="22"/>
          <w:szCs w:val="22"/>
        </w:rPr>
        <w:t>. Accounting and Business Research, 39(1), pp.37–55.</w:t>
      </w:r>
    </w:p>
    <w:p w14:paraId="70D354C5"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Kaur, M. and Narang, S., 2019. </w:t>
      </w:r>
      <w:r w:rsidRPr="001065C3">
        <w:rPr>
          <w:rFonts w:ascii="Arial" w:eastAsia="Times New Roman" w:hAnsi="Arial" w:cs="Arial"/>
          <w:i/>
          <w:iCs/>
          <w:sz w:val="22"/>
          <w:szCs w:val="22"/>
        </w:rPr>
        <w:t>Impact of profitability ratios on share prices: Evidence from selected Indian companies</w:t>
      </w:r>
      <w:r w:rsidRPr="001065C3">
        <w:rPr>
          <w:rFonts w:ascii="Arial" w:eastAsia="Times New Roman" w:hAnsi="Arial" w:cs="Arial"/>
          <w:sz w:val="22"/>
          <w:szCs w:val="22"/>
        </w:rPr>
        <w:t>. International Journal of Management Studies, 6(1), pp. 1–11.</w:t>
      </w:r>
    </w:p>
    <w:p w14:paraId="7667FD1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lastRenderedPageBreak/>
        <w:t xml:space="preserve">Khan, M.N. and Zulfiqar, B., 2012. </w:t>
      </w:r>
      <w:r w:rsidRPr="001065C3">
        <w:rPr>
          <w:rFonts w:ascii="Arial" w:eastAsia="Times New Roman" w:hAnsi="Arial" w:cs="Arial"/>
          <w:i/>
          <w:iCs/>
          <w:sz w:val="22"/>
          <w:szCs w:val="22"/>
        </w:rPr>
        <w:t>Impact of dividend policy on stock prices: Empirical evidence from Pakistan</w:t>
      </w:r>
      <w:r w:rsidRPr="001065C3">
        <w:rPr>
          <w:rFonts w:ascii="Arial" w:eastAsia="Times New Roman" w:hAnsi="Arial" w:cs="Arial"/>
          <w:sz w:val="22"/>
          <w:szCs w:val="22"/>
        </w:rPr>
        <w:t>. Journal of Economics and Finance Review, 2(5), pp.55–62.</w:t>
      </w:r>
    </w:p>
    <w:p w14:paraId="0E65D23F"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Lintner, J., 1956. </w:t>
      </w:r>
      <w:r w:rsidRPr="001065C3">
        <w:rPr>
          <w:rFonts w:ascii="Arial" w:eastAsia="Times New Roman" w:hAnsi="Arial" w:cs="Arial"/>
          <w:i/>
          <w:iCs/>
          <w:sz w:val="22"/>
          <w:szCs w:val="22"/>
        </w:rPr>
        <w:t>Distribution of incomes of corporations among dividends, retained earnings, and taxes</w:t>
      </w:r>
      <w:r w:rsidRPr="001065C3">
        <w:rPr>
          <w:rFonts w:ascii="Arial" w:eastAsia="Times New Roman" w:hAnsi="Arial" w:cs="Arial"/>
          <w:sz w:val="22"/>
          <w:szCs w:val="22"/>
        </w:rPr>
        <w:t>. American Economic Review, 46(2), pp.97–113.</w:t>
      </w:r>
    </w:p>
    <w:p w14:paraId="733F81D7"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Modigliani, F. and Miller, M.H., 1961. </w:t>
      </w:r>
      <w:r w:rsidRPr="001065C3">
        <w:rPr>
          <w:rFonts w:ascii="Arial" w:eastAsia="Times New Roman" w:hAnsi="Arial" w:cs="Arial"/>
          <w:i/>
          <w:iCs/>
          <w:sz w:val="22"/>
          <w:szCs w:val="22"/>
        </w:rPr>
        <w:t>Dividend policy, growth, and the valuation of shares</w:t>
      </w:r>
      <w:r w:rsidRPr="001065C3">
        <w:rPr>
          <w:rFonts w:ascii="Arial" w:eastAsia="Times New Roman" w:hAnsi="Arial" w:cs="Arial"/>
          <w:sz w:val="22"/>
          <w:szCs w:val="22"/>
        </w:rPr>
        <w:t>. Journal of Business, 34(4), pp. 411–433.</w:t>
      </w:r>
    </w:p>
    <w:p w14:paraId="666515D5"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Mohamad, N.E.A.B., Saad, N.M. and Shahar, H.K., 2010. </w:t>
      </w:r>
      <w:r w:rsidRPr="001065C3">
        <w:rPr>
          <w:rFonts w:ascii="Arial" w:eastAsia="Times New Roman" w:hAnsi="Arial" w:cs="Arial"/>
          <w:i/>
          <w:iCs/>
          <w:sz w:val="22"/>
          <w:szCs w:val="22"/>
        </w:rPr>
        <w:t>The relationship between financial ratios and stock prices of industrial companies listed in Bursa Malaysia</w:t>
      </w:r>
      <w:r w:rsidRPr="001065C3">
        <w:rPr>
          <w:rFonts w:ascii="Arial" w:eastAsia="Times New Roman" w:hAnsi="Arial" w:cs="Arial"/>
          <w:sz w:val="22"/>
          <w:szCs w:val="22"/>
        </w:rPr>
        <w:t>. International Journal of Business and Social Science, 1(2), pp. 75–85.</w:t>
      </w:r>
    </w:p>
    <w:p w14:paraId="4F03689D"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Muradoglu, G. and </w:t>
      </w:r>
      <w:bookmarkStart w:id="123" w:name="_Int_LqshN1mv"/>
      <w:proofErr w:type="spellStart"/>
      <w:r w:rsidRPr="001065C3">
        <w:rPr>
          <w:rFonts w:ascii="Arial" w:eastAsia="Times New Roman" w:hAnsi="Arial" w:cs="Arial"/>
          <w:sz w:val="22"/>
          <w:szCs w:val="22"/>
        </w:rPr>
        <w:t>Sivaprasad</w:t>
      </w:r>
      <w:bookmarkEnd w:id="123"/>
      <w:proofErr w:type="spellEnd"/>
      <w:r w:rsidRPr="001065C3">
        <w:rPr>
          <w:rFonts w:ascii="Arial" w:eastAsia="Times New Roman" w:hAnsi="Arial" w:cs="Arial"/>
          <w:sz w:val="22"/>
          <w:szCs w:val="22"/>
        </w:rPr>
        <w:t xml:space="preserve">, S., 2008. </w:t>
      </w:r>
      <w:r w:rsidRPr="001065C3">
        <w:rPr>
          <w:rFonts w:ascii="Arial" w:eastAsia="Times New Roman" w:hAnsi="Arial" w:cs="Arial"/>
          <w:i/>
          <w:iCs/>
          <w:sz w:val="22"/>
          <w:szCs w:val="22"/>
        </w:rPr>
        <w:t>An empirical test on leverage and stock returns</w:t>
      </w:r>
      <w:r w:rsidRPr="001065C3">
        <w:rPr>
          <w:rFonts w:ascii="Arial" w:eastAsia="Times New Roman" w:hAnsi="Arial" w:cs="Arial"/>
          <w:sz w:val="22"/>
          <w:szCs w:val="22"/>
        </w:rPr>
        <w:t>. Applied Financial Economics, 18(9), pp.761–776.</w:t>
      </w:r>
    </w:p>
    <w:p w14:paraId="50D13FE0"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Ong, T.S., Teh, B.H., Soh, W.N. and Yan, Y.L., 2016. </w:t>
      </w:r>
      <w:r w:rsidRPr="001065C3">
        <w:rPr>
          <w:rFonts w:ascii="Arial" w:eastAsia="Times New Roman" w:hAnsi="Arial" w:cs="Arial"/>
          <w:i/>
          <w:iCs/>
          <w:sz w:val="22"/>
          <w:szCs w:val="22"/>
        </w:rPr>
        <w:t>The relationship between financial ratios and share prices of public listed companies in Malaysia</w:t>
      </w:r>
      <w:r w:rsidRPr="001065C3">
        <w:rPr>
          <w:rFonts w:ascii="Arial" w:eastAsia="Times New Roman" w:hAnsi="Arial" w:cs="Arial"/>
          <w:sz w:val="22"/>
          <w:szCs w:val="22"/>
        </w:rPr>
        <w:t>. International Journal of Economics and Financial Issues, 6(S7), pp. 1–9.</w:t>
      </w:r>
    </w:p>
    <w:p w14:paraId="068C6359"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Penman, S.H., 2013. </w:t>
      </w:r>
      <w:r w:rsidRPr="001065C3">
        <w:rPr>
          <w:rFonts w:ascii="Arial" w:eastAsia="Times New Roman" w:hAnsi="Arial" w:cs="Arial"/>
          <w:i/>
          <w:iCs/>
          <w:sz w:val="22"/>
          <w:szCs w:val="22"/>
        </w:rPr>
        <w:t>Financial Statement Analysis and Security Valuation</w:t>
      </w:r>
      <w:r w:rsidRPr="001065C3">
        <w:rPr>
          <w:rFonts w:ascii="Arial" w:eastAsia="Times New Roman" w:hAnsi="Arial" w:cs="Arial"/>
          <w:sz w:val="22"/>
          <w:szCs w:val="22"/>
        </w:rPr>
        <w:t>. 5th ed. New York: McGraw-Hill Education.</w:t>
      </w:r>
    </w:p>
    <w:p w14:paraId="52CC012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Pisani, J., 2023. </w:t>
      </w:r>
      <w:r w:rsidRPr="001065C3">
        <w:rPr>
          <w:rFonts w:ascii="Arial" w:eastAsia="Times New Roman" w:hAnsi="Arial" w:cs="Arial"/>
          <w:i/>
          <w:iCs/>
          <w:sz w:val="22"/>
          <w:szCs w:val="22"/>
        </w:rPr>
        <w:t>Financial ratios and stock prices: Evidence from the Malta Stock Exchange</w:t>
      </w:r>
      <w:r w:rsidRPr="001065C3">
        <w:rPr>
          <w:rFonts w:ascii="Arial" w:eastAsia="Times New Roman" w:hAnsi="Arial" w:cs="Arial"/>
          <w:sz w:val="22"/>
          <w:szCs w:val="22"/>
        </w:rPr>
        <w:t>. University of Malta Working Paper.</w:t>
      </w:r>
    </w:p>
    <w:p w14:paraId="77563639"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Pradhan, R.S., 2009. </w:t>
      </w:r>
      <w:r w:rsidRPr="001065C3">
        <w:rPr>
          <w:rFonts w:ascii="Arial" w:eastAsia="Times New Roman" w:hAnsi="Arial" w:cs="Arial"/>
          <w:i/>
          <w:iCs/>
          <w:sz w:val="22"/>
          <w:szCs w:val="22"/>
        </w:rPr>
        <w:t>Stock market behaviour in Nepal: A study of financial ratios and stock prices</w:t>
      </w:r>
      <w:r w:rsidRPr="001065C3">
        <w:rPr>
          <w:rFonts w:ascii="Arial" w:eastAsia="Times New Roman" w:hAnsi="Arial" w:cs="Arial"/>
          <w:sz w:val="22"/>
          <w:szCs w:val="22"/>
        </w:rPr>
        <w:t>. Journal of Business Management, 4(1), pp. 1–12.</w:t>
      </w:r>
    </w:p>
    <w:p w14:paraId="416B13DB"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Rani, P. and Yadav, S.S., 2020. </w:t>
      </w:r>
      <w:r w:rsidRPr="001065C3">
        <w:rPr>
          <w:rFonts w:ascii="Arial" w:eastAsia="Times New Roman" w:hAnsi="Arial" w:cs="Arial"/>
          <w:i/>
          <w:iCs/>
          <w:sz w:val="22"/>
          <w:szCs w:val="22"/>
        </w:rPr>
        <w:t>Impact of financial ratios on stock price: An empirical study of Indian automobile industry</w:t>
      </w:r>
      <w:r w:rsidRPr="001065C3">
        <w:rPr>
          <w:rFonts w:ascii="Arial" w:eastAsia="Times New Roman" w:hAnsi="Arial" w:cs="Arial"/>
          <w:sz w:val="22"/>
          <w:szCs w:val="22"/>
        </w:rPr>
        <w:t>. Journal of Critical Reviews, 7(19), pp. 568–578.</w:t>
      </w:r>
    </w:p>
    <w:p w14:paraId="43E588CF"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Ross, S.A., </w:t>
      </w:r>
      <w:bookmarkStart w:id="124" w:name="_Int_ykUxszq0"/>
      <w:r w:rsidRPr="001065C3">
        <w:rPr>
          <w:rFonts w:ascii="Arial" w:eastAsia="Times New Roman" w:hAnsi="Arial" w:cs="Arial"/>
          <w:sz w:val="22"/>
          <w:szCs w:val="22"/>
        </w:rPr>
        <w:t>Westerfield</w:t>
      </w:r>
      <w:bookmarkEnd w:id="124"/>
      <w:r w:rsidRPr="001065C3">
        <w:rPr>
          <w:rFonts w:ascii="Arial" w:eastAsia="Times New Roman" w:hAnsi="Arial" w:cs="Arial"/>
          <w:sz w:val="22"/>
          <w:szCs w:val="22"/>
        </w:rPr>
        <w:t xml:space="preserve">, R.W. and Jaffe, J., 2016. </w:t>
      </w:r>
      <w:r w:rsidRPr="001065C3">
        <w:rPr>
          <w:rFonts w:ascii="Arial" w:eastAsia="Times New Roman" w:hAnsi="Arial" w:cs="Arial"/>
          <w:i/>
          <w:iCs/>
          <w:sz w:val="22"/>
          <w:szCs w:val="22"/>
        </w:rPr>
        <w:t>Corporate Finance</w:t>
      </w:r>
      <w:r w:rsidRPr="001065C3">
        <w:rPr>
          <w:rFonts w:ascii="Arial" w:eastAsia="Times New Roman" w:hAnsi="Arial" w:cs="Arial"/>
          <w:sz w:val="22"/>
          <w:szCs w:val="22"/>
        </w:rPr>
        <w:t>. 11th ed. New York: McGraw-Hill Education.</w:t>
      </w:r>
    </w:p>
    <w:p w14:paraId="57BE3547"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Sharpe, W.F., 1964. </w:t>
      </w:r>
      <w:r w:rsidRPr="001065C3">
        <w:rPr>
          <w:rFonts w:ascii="Arial" w:eastAsia="Times New Roman" w:hAnsi="Arial" w:cs="Arial"/>
          <w:i/>
          <w:iCs/>
          <w:sz w:val="22"/>
          <w:szCs w:val="22"/>
        </w:rPr>
        <w:t>Capital asset prices: A theory of market equilibrium under conditions of risk</w:t>
      </w:r>
      <w:r w:rsidRPr="001065C3">
        <w:rPr>
          <w:rFonts w:ascii="Arial" w:eastAsia="Times New Roman" w:hAnsi="Arial" w:cs="Arial"/>
          <w:sz w:val="22"/>
          <w:szCs w:val="22"/>
        </w:rPr>
        <w:t>. Journal of Finance, 19(3), pp. 425–442.</w:t>
      </w:r>
    </w:p>
    <w:p w14:paraId="370EDAF5"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Singh, A. and Mehta, S., 2016. </w:t>
      </w:r>
      <w:r w:rsidRPr="001065C3">
        <w:rPr>
          <w:rFonts w:ascii="Arial" w:eastAsia="Times New Roman" w:hAnsi="Arial" w:cs="Arial"/>
          <w:i/>
          <w:iCs/>
          <w:sz w:val="22"/>
          <w:szCs w:val="22"/>
        </w:rPr>
        <w:t>The impact of financial leverage on stock returns: Empirical evidence from the Indian capital market</w:t>
      </w:r>
      <w:r w:rsidRPr="001065C3">
        <w:rPr>
          <w:rFonts w:ascii="Arial" w:eastAsia="Times New Roman" w:hAnsi="Arial" w:cs="Arial"/>
          <w:sz w:val="22"/>
          <w:szCs w:val="22"/>
        </w:rPr>
        <w:t>. Journal of Business and Management, 18(10), pp.87–95.</w:t>
      </w:r>
    </w:p>
    <w:p w14:paraId="4FF2ADA3"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lastRenderedPageBreak/>
        <w:t xml:space="preserve">Tian, G., and Gu, B., 2020. </w:t>
      </w:r>
      <w:r w:rsidRPr="001065C3">
        <w:rPr>
          <w:rFonts w:ascii="Arial" w:eastAsia="Times New Roman" w:hAnsi="Arial" w:cs="Arial"/>
          <w:i/>
          <w:iCs/>
          <w:sz w:val="22"/>
          <w:szCs w:val="22"/>
        </w:rPr>
        <w:t>Financial ratio analysis and stock price prediction: Evidence from China</w:t>
      </w:r>
      <w:r w:rsidRPr="001065C3">
        <w:rPr>
          <w:rFonts w:ascii="Arial" w:eastAsia="Times New Roman" w:hAnsi="Arial" w:cs="Arial"/>
          <w:sz w:val="22"/>
          <w:szCs w:val="22"/>
        </w:rPr>
        <w:t>. Journal of Asian Finance, Economics and Business, 7(6), pp.1–12.</w:t>
      </w:r>
    </w:p>
    <w:p w14:paraId="2BFC2EB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proofErr w:type="spellStart"/>
      <w:r w:rsidRPr="001065C3">
        <w:rPr>
          <w:rFonts w:ascii="Arial" w:eastAsia="Times New Roman" w:hAnsi="Arial" w:cs="Arial"/>
          <w:sz w:val="22"/>
          <w:szCs w:val="22"/>
        </w:rPr>
        <w:t>Tsalkamas</w:t>
      </w:r>
      <w:proofErr w:type="spellEnd"/>
      <w:r w:rsidRPr="001065C3">
        <w:rPr>
          <w:rFonts w:ascii="Arial" w:eastAsia="Times New Roman" w:hAnsi="Arial" w:cs="Arial"/>
          <w:sz w:val="22"/>
          <w:szCs w:val="22"/>
        </w:rPr>
        <w:t xml:space="preserve">, S., 2020. </w:t>
      </w:r>
      <w:r w:rsidRPr="001065C3">
        <w:rPr>
          <w:rFonts w:ascii="Arial" w:eastAsia="Times New Roman" w:hAnsi="Arial" w:cs="Arial"/>
          <w:i/>
          <w:iCs/>
          <w:sz w:val="22"/>
          <w:szCs w:val="22"/>
        </w:rPr>
        <w:t>Determinants of P/E ratio and firm valuation in UK private companies</w:t>
      </w:r>
      <w:r w:rsidRPr="001065C3">
        <w:rPr>
          <w:rFonts w:ascii="Arial" w:eastAsia="Times New Roman" w:hAnsi="Arial" w:cs="Arial"/>
          <w:sz w:val="22"/>
          <w:szCs w:val="22"/>
        </w:rPr>
        <w:t>. University of Glasgow Master’s Thesis.</w:t>
      </w:r>
    </w:p>
    <w:p w14:paraId="0499F16A"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bookmarkStart w:id="125" w:name="_Int_O6vWLgrM"/>
      <w:proofErr w:type="spellStart"/>
      <w:r w:rsidRPr="001065C3">
        <w:rPr>
          <w:rFonts w:ascii="Arial" w:eastAsia="Times New Roman" w:hAnsi="Arial" w:cs="Arial"/>
          <w:sz w:val="22"/>
          <w:szCs w:val="22"/>
        </w:rPr>
        <w:t>Vishnani</w:t>
      </w:r>
      <w:bookmarkEnd w:id="125"/>
      <w:proofErr w:type="spellEnd"/>
      <w:r w:rsidRPr="001065C3">
        <w:rPr>
          <w:rFonts w:ascii="Arial" w:eastAsia="Times New Roman" w:hAnsi="Arial" w:cs="Arial"/>
          <w:sz w:val="22"/>
          <w:szCs w:val="22"/>
        </w:rPr>
        <w:t xml:space="preserve">, S. and Shah, B.K., 2008. </w:t>
      </w:r>
      <w:r w:rsidRPr="001065C3">
        <w:rPr>
          <w:rFonts w:ascii="Arial" w:eastAsia="Times New Roman" w:hAnsi="Arial" w:cs="Arial"/>
          <w:i/>
          <w:iCs/>
          <w:sz w:val="22"/>
          <w:szCs w:val="22"/>
        </w:rPr>
        <w:t>Value relevance of published financial statements—With special emphasis on impact of cash flow reporting</w:t>
      </w:r>
      <w:r w:rsidRPr="001065C3">
        <w:rPr>
          <w:rFonts w:ascii="Arial" w:eastAsia="Times New Roman" w:hAnsi="Arial" w:cs="Arial"/>
          <w:sz w:val="22"/>
          <w:szCs w:val="22"/>
        </w:rPr>
        <w:t>. International Research Journal of Finance and Economics, (17), pp.84–90.</w:t>
      </w:r>
    </w:p>
    <w:p w14:paraId="20CF2070"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Yahya, M.A., Akhtar, M. and Usman, M., 2019. </w:t>
      </w:r>
      <w:r w:rsidRPr="001065C3">
        <w:rPr>
          <w:rFonts w:ascii="Arial" w:eastAsia="Times New Roman" w:hAnsi="Arial" w:cs="Arial"/>
          <w:i/>
          <w:iCs/>
          <w:sz w:val="22"/>
          <w:szCs w:val="22"/>
        </w:rPr>
        <w:t>Relationship between profitability ratios and share price performance: Evidence from Pakistan stock exchange</w:t>
      </w:r>
      <w:r w:rsidRPr="001065C3">
        <w:rPr>
          <w:rFonts w:ascii="Arial" w:eastAsia="Times New Roman" w:hAnsi="Arial" w:cs="Arial"/>
          <w:sz w:val="22"/>
          <w:szCs w:val="22"/>
        </w:rPr>
        <w:t>. Global Journal of Management and Business Research, 19(2), pp. 45–56.</w:t>
      </w:r>
    </w:p>
    <w:p w14:paraId="451C339E"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Zhang, X., 2021. </w:t>
      </w:r>
      <w:r w:rsidRPr="001065C3">
        <w:rPr>
          <w:rFonts w:ascii="Arial" w:eastAsia="Times New Roman" w:hAnsi="Arial" w:cs="Arial"/>
          <w:i/>
          <w:iCs/>
          <w:sz w:val="22"/>
          <w:szCs w:val="22"/>
        </w:rPr>
        <w:t>The impact of Covid-19 on financial markets: Evidence from the UK stock market</w:t>
      </w:r>
      <w:r w:rsidRPr="001065C3">
        <w:rPr>
          <w:rFonts w:ascii="Arial" w:eastAsia="Times New Roman" w:hAnsi="Arial" w:cs="Arial"/>
          <w:sz w:val="22"/>
          <w:szCs w:val="22"/>
        </w:rPr>
        <w:t>. Journal of Economic Studies, 48(9), pp. 1790–1805.</w:t>
      </w:r>
    </w:p>
    <w:p w14:paraId="65F50073" w14:textId="77777777" w:rsidR="0010410A" w:rsidRPr="001065C3" w:rsidRDefault="0010410A" w:rsidP="0010410A">
      <w:pPr>
        <w:spacing w:before="240" w:after="240" w:line="360" w:lineRule="auto"/>
        <w:ind w:left="720" w:hanging="720"/>
        <w:jc w:val="both"/>
        <w:rPr>
          <w:rFonts w:ascii="Arial" w:eastAsia="Times New Roman" w:hAnsi="Arial" w:cs="Arial"/>
          <w:sz w:val="22"/>
          <w:szCs w:val="22"/>
        </w:rPr>
      </w:pPr>
      <w:r w:rsidRPr="001065C3">
        <w:rPr>
          <w:rFonts w:ascii="Arial" w:eastAsia="Times New Roman" w:hAnsi="Arial" w:cs="Arial"/>
          <w:sz w:val="22"/>
          <w:szCs w:val="22"/>
        </w:rPr>
        <w:t xml:space="preserve">Zhou, G. and Ruland, W., 2006. </w:t>
      </w:r>
      <w:r w:rsidRPr="001065C3">
        <w:rPr>
          <w:rFonts w:ascii="Arial" w:eastAsia="Times New Roman" w:hAnsi="Arial" w:cs="Arial"/>
          <w:i/>
          <w:iCs/>
          <w:sz w:val="22"/>
          <w:szCs w:val="22"/>
        </w:rPr>
        <w:t>Dividend payout and future earnings growth</w:t>
      </w:r>
      <w:r w:rsidRPr="001065C3">
        <w:rPr>
          <w:rFonts w:ascii="Arial" w:eastAsia="Times New Roman" w:hAnsi="Arial" w:cs="Arial"/>
          <w:sz w:val="22"/>
          <w:szCs w:val="22"/>
        </w:rPr>
        <w:t>. Financial Analysts Journal, 62(3), pp.58–69.</w:t>
      </w:r>
    </w:p>
    <w:p w14:paraId="67B77DD9" w14:textId="77777777" w:rsidR="00CE397E" w:rsidRDefault="00CE397E"/>
    <w:sectPr w:rsidR="00CE397E" w:rsidSect="003C6E1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C6F78" w14:textId="77777777" w:rsidR="00386EA2" w:rsidRDefault="00386EA2" w:rsidP="003C6E1F">
      <w:pPr>
        <w:spacing w:after="0" w:line="240" w:lineRule="auto"/>
      </w:pPr>
      <w:r>
        <w:separator/>
      </w:r>
    </w:p>
  </w:endnote>
  <w:endnote w:type="continuationSeparator" w:id="0">
    <w:p w14:paraId="51B5C32B" w14:textId="77777777" w:rsidR="00386EA2" w:rsidRDefault="00386EA2" w:rsidP="003C6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943915"/>
      <w:docPartObj>
        <w:docPartGallery w:val="Page Numbers (Bottom of Page)"/>
        <w:docPartUnique/>
      </w:docPartObj>
    </w:sdtPr>
    <w:sdtEndPr>
      <w:rPr>
        <w:noProof/>
      </w:rPr>
    </w:sdtEndPr>
    <w:sdtContent>
      <w:p w14:paraId="0AF51804" w14:textId="5F075E07" w:rsidR="003C6E1F" w:rsidRDefault="003C6E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659EDD" w14:textId="77777777" w:rsidR="003C6E1F" w:rsidRDefault="003C6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00914" w14:textId="77777777" w:rsidR="00386EA2" w:rsidRDefault="00386EA2" w:rsidP="003C6E1F">
      <w:pPr>
        <w:spacing w:after="0" w:line="240" w:lineRule="auto"/>
      </w:pPr>
      <w:r>
        <w:separator/>
      </w:r>
    </w:p>
  </w:footnote>
  <w:footnote w:type="continuationSeparator" w:id="0">
    <w:p w14:paraId="1478E8BB" w14:textId="77777777" w:rsidR="00386EA2" w:rsidRDefault="00386EA2" w:rsidP="003C6E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E1F"/>
    <w:rsid w:val="000841E2"/>
    <w:rsid w:val="0010410A"/>
    <w:rsid w:val="002E49C2"/>
    <w:rsid w:val="00386EA2"/>
    <w:rsid w:val="003C29DA"/>
    <w:rsid w:val="003C6E1F"/>
    <w:rsid w:val="00422F0F"/>
    <w:rsid w:val="004A2B8A"/>
    <w:rsid w:val="00535A8A"/>
    <w:rsid w:val="00CE3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5928"/>
  <w15:chartTrackingRefBased/>
  <w15:docId w15:val="{23A776FC-3033-483A-9ECB-BF59D55F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6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6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E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6E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6E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E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E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E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E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E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E1F"/>
    <w:rPr>
      <w:rFonts w:eastAsiaTheme="majorEastAsia" w:cstheme="majorBidi"/>
      <w:color w:val="272727" w:themeColor="text1" w:themeTint="D8"/>
    </w:rPr>
  </w:style>
  <w:style w:type="paragraph" w:styleId="Title">
    <w:name w:val="Title"/>
    <w:basedOn w:val="Normal"/>
    <w:next w:val="Normal"/>
    <w:link w:val="TitleChar"/>
    <w:uiPriority w:val="10"/>
    <w:qFormat/>
    <w:rsid w:val="003C6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E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E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E1F"/>
    <w:pPr>
      <w:spacing w:before="160"/>
      <w:jc w:val="center"/>
    </w:pPr>
    <w:rPr>
      <w:i/>
      <w:iCs/>
      <w:color w:val="404040" w:themeColor="text1" w:themeTint="BF"/>
    </w:rPr>
  </w:style>
  <w:style w:type="character" w:customStyle="1" w:styleId="QuoteChar">
    <w:name w:val="Quote Char"/>
    <w:basedOn w:val="DefaultParagraphFont"/>
    <w:link w:val="Quote"/>
    <w:uiPriority w:val="29"/>
    <w:rsid w:val="003C6E1F"/>
    <w:rPr>
      <w:i/>
      <w:iCs/>
      <w:color w:val="404040" w:themeColor="text1" w:themeTint="BF"/>
    </w:rPr>
  </w:style>
  <w:style w:type="paragraph" w:styleId="ListParagraph">
    <w:name w:val="List Paragraph"/>
    <w:basedOn w:val="Normal"/>
    <w:uiPriority w:val="34"/>
    <w:qFormat/>
    <w:rsid w:val="003C6E1F"/>
    <w:pPr>
      <w:ind w:left="720"/>
      <w:contextualSpacing/>
    </w:pPr>
  </w:style>
  <w:style w:type="character" w:styleId="IntenseEmphasis">
    <w:name w:val="Intense Emphasis"/>
    <w:basedOn w:val="DefaultParagraphFont"/>
    <w:uiPriority w:val="21"/>
    <w:qFormat/>
    <w:rsid w:val="003C6E1F"/>
    <w:rPr>
      <w:i/>
      <w:iCs/>
      <w:color w:val="0F4761" w:themeColor="accent1" w:themeShade="BF"/>
    </w:rPr>
  </w:style>
  <w:style w:type="paragraph" w:styleId="IntenseQuote">
    <w:name w:val="Intense Quote"/>
    <w:basedOn w:val="Normal"/>
    <w:next w:val="Normal"/>
    <w:link w:val="IntenseQuoteChar"/>
    <w:uiPriority w:val="30"/>
    <w:qFormat/>
    <w:rsid w:val="003C6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E1F"/>
    <w:rPr>
      <w:i/>
      <w:iCs/>
      <w:color w:val="0F4761" w:themeColor="accent1" w:themeShade="BF"/>
    </w:rPr>
  </w:style>
  <w:style w:type="character" w:styleId="IntenseReference">
    <w:name w:val="Intense Reference"/>
    <w:basedOn w:val="DefaultParagraphFont"/>
    <w:uiPriority w:val="32"/>
    <w:qFormat/>
    <w:rsid w:val="003C6E1F"/>
    <w:rPr>
      <w:b/>
      <w:bCs/>
      <w:smallCaps/>
      <w:color w:val="0F4761" w:themeColor="accent1" w:themeShade="BF"/>
      <w:spacing w:val="5"/>
    </w:rPr>
  </w:style>
  <w:style w:type="paragraph" w:styleId="NoSpacing">
    <w:name w:val="No Spacing"/>
    <w:link w:val="NoSpacingChar"/>
    <w:uiPriority w:val="1"/>
    <w:qFormat/>
    <w:rsid w:val="003C6E1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C6E1F"/>
    <w:rPr>
      <w:rFonts w:eastAsiaTheme="minorEastAsia"/>
      <w:kern w:val="0"/>
      <w:sz w:val="22"/>
      <w:szCs w:val="22"/>
      <w:lang w:val="en-US"/>
      <w14:ligatures w14:val="none"/>
    </w:rPr>
  </w:style>
  <w:style w:type="paragraph" w:styleId="Header">
    <w:name w:val="header"/>
    <w:basedOn w:val="Normal"/>
    <w:link w:val="HeaderChar"/>
    <w:uiPriority w:val="99"/>
    <w:unhideWhenUsed/>
    <w:rsid w:val="003C6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E1F"/>
  </w:style>
  <w:style w:type="paragraph" w:styleId="Footer">
    <w:name w:val="footer"/>
    <w:basedOn w:val="Normal"/>
    <w:link w:val="FooterChar"/>
    <w:uiPriority w:val="99"/>
    <w:unhideWhenUsed/>
    <w:rsid w:val="003C6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E1F"/>
  </w:style>
  <w:style w:type="paragraph" w:styleId="NormalWeb">
    <w:name w:val="Normal (Web)"/>
    <w:basedOn w:val="Normal"/>
    <w:uiPriority w:val="99"/>
    <w:unhideWhenUsed/>
    <w:rsid w:val="00CE397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CE397E"/>
    <w:rPr>
      <w:b/>
      <w:bCs/>
    </w:rPr>
  </w:style>
  <w:style w:type="table" w:styleId="TableGrid">
    <w:name w:val="Table Grid"/>
    <w:basedOn w:val="TableNormal"/>
    <w:uiPriority w:val="59"/>
    <w:rsid w:val="00CE397E"/>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10410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410A"/>
    <w:pPr>
      <w:spacing w:after="100"/>
    </w:pPr>
  </w:style>
  <w:style w:type="paragraph" w:styleId="TOC2">
    <w:name w:val="toc 2"/>
    <w:basedOn w:val="Normal"/>
    <w:next w:val="Normal"/>
    <w:autoRedefine/>
    <w:uiPriority w:val="39"/>
    <w:unhideWhenUsed/>
    <w:rsid w:val="0010410A"/>
    <w:pPr>
      <w:spacing w:after="100"/>
      <w:ind w:left="240"/>
    </w:pPr>
  </w:style>
  <w:style w:type="paragraph" w:styleId="TOC3">
    <w:name w:val="toc 3"/>
    <w:basedOn w:val="Normal"/>
    <w:next w:val="Normal"/>
    <w:autoRedefine/>
    <w:uiPriority w:val="39"/>
    <w:unhideWhenUsed/>
    <w:rsid w:val="0010410A"/>
    <w:pPr>
      <w:spacing w:after="100"/>
      <w:ind w:left="480"/>
    </w:pPr>
  </w:style>
  <w:style w:type="character" w:styleId="Hyperlink">
    <w:name w:val="Hyperlink"/>
    <w:basedOn w:val="DefaultParagraphFont"/>
    <w:uiPriority w:val="99"/>
    <w:unhideWhenUsed/>
    <w:rsid w:val="0010410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Birmingham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FD1053-CD7E-4A99-A35D-B91531903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37</Pages>
  <Words>11153</Words>
  <Characters>63578</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AN EVALUATION OF THE IMPACT OF FINANCIAL RATIOS ON SHARE PRICE</dc:subject>
  <dc:creator>Andzhela Toneva (2217837)</dc:creator>
  <cp:keywords/>
  <dc:description/>
  <cp:lastModifiedBy>Andzhela Toneva (2217837)</cp:lastModifiedBy>
  <cp:revision>6</cp:revision>
  <dcterms:created xsi:type="dcterms:W3CDTF">2025-11-14T15:17:00Z</dcterms:created>
  <dcterms:modified xsi:type="dcterms:W3CDTF">2025-11-14T16:04:00Z</dcterms:modified>
</cp:coreProperties>
</file>