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E2607" w14:textId="77777777" w:rsidR="00A41CE1" w:rsidRDefault="00A41CE1" w:rsidP="00A41CE1">
      <w:pPr>
        <w:jc w:val="center"/>
        <w:rPr>
          <w:rFonts w:ascii="Times New Roman" w:eastAsia="Times New Roman" w:hAnsi="Times New Roman" w:cs="Times New Roman"/>
          <w:sz w:val="52"/>
          <w:szCs w:val="52"/>
        </w:rPr>
      </w:pPr>
    </w:p>
    <w:p w14:paraId="0A8591D8" w14:textId="3EDA5BF4" w:rsidR="00A41CE1" w:rsidRDefault="00A11B09" w:rsidP="00A41CE1">
      <w:pPr>
        <w:jc w:val="center"/>
        <w:rPr>
          <w:rFonts w:ascii="Times New Roman" w:eastAsia="Times New Roman" w:hAnsi="Times New Roman" w:cs="Times New Roman"/>
          <w:sz w:val="52"/>
          <w:szCs w:val="52"/>
        </w:rPr>
      </w:pPr>
      <w:r w:rsidRPr="00A11B09">
        <w:rPr>
          <w:rFonts w:ascii="Times New Roman" w:eastAsia="Times New Roman" w:hAnsi="Times New Roman" w:cs="Times New Roman"/>
          <w:noProof/>
          <w:sz w:val="32"/>
          <w:szCs w:val="32"/>
        </w:rPr>
        <w:drawing>
          <wp:inline distT="0" distB="0" distL="0" distR="0" wp14:anchorId="5A0670C9" wp14:editId="06A1E84E">
            <wp:extent cx="2540000" cy="2540000"/>
            <wp:effectExtent l="0" t="0" r="0" b="0"/>
            <wp:docPr id="529653305" name="Picture 1" descr="A blue background with a black and yellow shield with yellow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53305" name="Picture 1" descr="A blue background with a black and yellow shield with yellow flowers and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40000" cy="2540000"/>
                    </a:xfrm>
                    <a:prstGeom prst="rect">
                      <a:avLst/>
                    </a:prstGeom>
                    <a:solidFill>
                      <a:schemeClr val="tx1"/>
                    </a:solidFill>
                    <a:ln>
                      <a:noFill/>
                    </a:ln>
                  </pic:spPr>
                </pic:pic>
              </a:graphicData>
            </a:graphic>
          </wp:inline>
        </w:drawing>
      </w:r>
    </w:p>
    <w:p w14:paraId="4138C0E5" w14:textId="69400CE1" w:rsidR="00A41CE1" w:rsidRDefault="00A41CE1" w:rsidP="00A41CE1">
      <w:pPr>
        <w:jc w:val="center"/>
        <w:rPr>
          <w:rFonts w:ascii="Times New Roman" w:eastAsia="Times New Roman" w:hAnsi="Times New Roman" w:cs="Times New Roman"/>
          <w:sz w:val="52"/>
          <w:szCs w:val="52"/>
        </w:rPr>
      </w:pPr>
    </w:p>
    <w:p w14:paraId="394CD839" w14:textId="77777777" w:rsidR="00A41CE1" w:rsidRDefault="00A41CE1" w:rsidP="00A41CE1">
      <w:pPr>
        <w:jc w:val="center"/>
        <w:rPr>
          <w:rFonts w:ascii="Times New Roman" w:eastAsia="Times New Roman" w:hAnsi="Times New Roman" w:cs="Times New Roman"/>
          <w:sz w:val="52"/>
          <w:szCs w:val="52"/>
        </w:rPr>
      </w:pPr>
    </w:p>
    <w:p w14:paraId="361D45D2" w14:textId="77777777" w:rsidR="00A11B09" w:rsidRPr="00A11B09" w:rsidRDefault="00A11B09" w:rsidP="00A11B09">
      <w:pPr>
        <w:jc w:val="center"/>
        <w:rPr>
          <w:rFonts w:ascii="Times New Roman" w:eastAsia="Times New Roman" w:hAnsi="Times New Roman" w:cs="Times New Roman"/>
          <w:sz w:val="32"/>
          <w:szCs w:val="32"/>
        </w:rPr>
      </w:pPr>
      <w:r w:rsidRPr="00A11B09">
        <w:rPr>
          <w:rFonts w:ascii="Times New Roman" w:eastAsia="Times New Roman" w:hAnsi="Times New Roman" w:cs="Times New Roman"/>
          <w:sz w:val="32"/>
          <w:szCs w:val="32"/>
        </w:rPr>
        <w:t xml:space="preserve">INTERNATIONAL FINANCIAL MANAGEMENT </w:t>
      </w:r>
    </w:p>
    <w:p w14:paraId="1C0C48FB" w14:textId="77777777" w:rsidR="00A11B09" w:rsidRPr="00A11B09" w:rsidRDefault="00A11B09" w:rsidP="00A11B09">
      <w:pPr>
        <w:jc w:val="center"/>
        <w:rPr>
          <w:rFonts w:ascii="Times New Roman" w:eastAsia="Times New Roman" w:hAnsi="Times New Roman" w:cs="Times New Roman"/>
          <w:sz w:val="32"/>
          <w:szCs w:val="32"/>
        </w:rPr>
      </w:pPr>
      <w:r w:rsidRPr="00A11B09">
        <w:rPr>
          <w:rFonts w:ascii="Times New Roman" w:eastAsia="Times New Roman" w:hAnsi="Times New Roman" w:cs="Times New Roman"/>
          <w:sz w:val="32"/>
          <w:szCs w:val="32"/>
        </w:rPr>
        <w:t>MODULE CODE:  LCBB6002</w:t>
      </w:r>
    </w:p>
    <w:p w14:paraId="1E5887CC" w14:textId="77777777" w:rsidR="00A11B09" w:rsidRPr="00A11B09" w:rsidRDefault="00A11B09" w:rsidP="00A11B09">
      <w:pPr>
        <w:jc w:val="center"/>
        <w:rPr>
          <w:rFonts w:ascii="Times New Roman" w:eastAsia="Times New Roman" w:hAnsi="Times New Roman" w:cs="Times New Roman"/>
          <w:sz w:val="32"/>
          <w:szCs w:val="32"/>
        </w:rPr>
      </w:pPr>
      <w:r w:rsidRPr="00A11B09">
        <w:rPr>
          <w:rFonts w:ascii="Times New Roman" w:eastAsia="Times New Roman" w:hAnsi="Times New Roman" w:cs="Times New Roman"/>
          <w:sz w:val="32"/>
          <w:szCs w:val="32"/>
        </w:rPr>
        <w:t>LECTURER: DR. ANDRY RAKOTOVOLOLONA</w:t>
      </w:r>
    </w:p>
    <w:p w14:paraId="455E62F1" w14:textId="77777777" w:rsidR="00A11B09" w:rsidRPr="00A11B09" w:rsidRDefault="00A11B09" w:rsidP="00A11B09">
      <w:pPr>
        <w:jc w:val="center"/>
        <w:rPr>
          <w:rFonts w:ascii="Times New Roman" w:eastAsia="Times New Roman" w:hAnsi="Times New Roman" w:cs="Times New Roman"/>
          <w:sz w:val="32"/>
          <w:szCs w:val="32"/>
        </w:rPr>
      </w:pPr>
    </w:p>
    <w:p w14:paraId="51069C7A" w14:textId="77777777" w:rsidR="00A11B09" w:rsidRPr="00A11B09" w:rsidRDefault="00A11B09" w:rsidP="00A11B09">
      <w:pPr>
        <w:jc w:val="center"/>
        <w:rPr>
          <w:rFonts w:ascii="Times New Roman" w:eastAsia="Times New Roman" w:hAnsi="Times New Roman" w:cs="Times New Roman"/>
          <w:sz w:val="32"/>
          <w:szCs w:val="32"/>
        </w:rPr>
      </w:pPr>
      <w:r w:rsidRPr="00A11B09">
        <w:rPr>
          <w:rFonts w:ascii="Times New Roman" w:eastAsia="Times New Roman" w:hAnsi="Times New Roman" w:cs="Times New Roman"/>
          <w:sz w:val="32"/>
          <w:szCs w:val="32"/>
        </w:rPr>
        <w:t>STUDENT NAME: ELENA IVANOVA GORANOVA</w:t>
      </w:r>
    </w:p>
    <w:p w14:paraId="540FE40A" w14:textId="05ADE7DD" w:rsidR="00A41CE1" w:rsidRDefault="00A11B09" w:rsidP="00A11B09">
      <w:pPr>
        <w:jc w:val="center"/>
        <w:rPr>
          <w:rFonts w:ascii="Times New Roman" w:eastAsia="Times New Roman" w:hAnsi="Times New Roman" w:cs="Times New Roman"/>
          <w:sz w:val="52"/>
          <w:szCs w:val="52"/>
        </w:rPr>
      </w:pPr>
      <w:r w:rsidRPr="00A11B09">
        <w:rPr>
          <w:rFonts w:ascii="Times New Roman" w:eastAsia="Times New Roman" w:hAnsi="Times New Roman" w:cs="Times New Roman"/>
          <w:sz w:val="32"/>
          <w:szCs w:val="32"/>
        </w:rPr>
        <w:t>STUDENT NUMBER: 2122365</w:t>
      </w:r>
    </w:p>
    <w:p w14:paraId="00AC2B9A" w14:textId="77777777" w:rsidR="00A41CE1" w:rsidRDefault="00A41CE1" w:rsidP="00A41CE1">
      <w:pPr>
        <w:jc w:val="center"/>
        <w:rPr>
          <w:rFonts w:ascii="Times New Roman" w:eastAsia="Times New Roman" w:hAnsi="Times New Roman" w:cs="Times New Roman"/>
          <w:sz w:val="52"/>
          <w:szCs w:val="52"/>
        </w:rPr>
      </w:pPr>
    </w:p>
    <w:p w14:paraId="68116FDC" w14:textId="77777777" w:rsidR="00A41CE1" w:rsidRDefault="00A41CE1" w:rsidP="00A41CE1">
      <w:pPr>
        <w:jc w:val="center"/>
        <w:rPr>
          <w:rFonts w:ascii="Times New Roman" w:eastAsia="Times New Roman" w:hAnsi="Times New Roman" w:cs="Times New Roman"/>
          <w:sz w:val="52"/>
          <w:szCs w:val="52"/>
        </w:rPr>
      </w:pPr>
    </w:p>
    <w:p w14:paraId="7FFD3E9C" w14:textId="77777777" w:rsidR="00A41CE1" w:rsidRDefault="00A41CE1" w:rsidP="00A41CE1">
      <w:pPr>
        <w:jc w:val="center"/>
        <w:rPr>
          <w:rFonts w:ascii="Times New Roman" w:eastAsia="Times New Roman" w:hAnsi="Times New Roman" w:cs="Times New Roman"/>
          <w:sz w:val="52"/>
          <w:szCs w:val="52"/>
        </w:rPr>
      </w:pPr>
    </w:p>
    <w:p w14:paraId="3157DD5C" w14:textId="6538262C" w:rsidR="00A41CE1" w:rsidRDefault="00A41CE1" w:rsidP="00A11B09">
      <w:pPr>
        <w:jc w:val="center"/>
        <w:rPr>
          <w:rFonts w:ascii="Times New Roman" w:eastAsia="Times New Roman" w:hAnsi="Times New Roman" w:cs="Times New Roman"/>
          <w:sz w:val="52"/>
          <w:szCs w:val="52"/>
        </w:rPr>
      </w:pPr>
    </w:p>
    <w:p w14:paraId="5277B3FF" w14:textId="12633FEE" w:rsidR="00A41CE1" w:rsidRPr="00C24334" w:rsidRDefault="00A41CE1" w:rsidP="00A41CE1">
      <w:pPr>
        <w:jc w:val="center"/>
        <w:rPr>
          <w:rFonts w:ascii="Times New Roman" w:eastAsia="Times New Roman" w:hAnsi="Times New Roman" w:cs="Times New Roman"/>
          <w:sz w:val="36"/>
          <w:szCs w:val="36"/>
        </w:rPr>
      </w:pPr>
      <w:r w:rsidRPr="00C24334">
        <w:rPr>
          <w:rFonts w:ascii="Times New Roman" w:eastAsia="Times New Roman" w:hAnsi="Times New Roman" w:cs="Times New Roman"/>
          <w:sz w:val="36"/>
          <w:szCs w:val="36"/>
        </w:rPr>
        <w:br w:type="page"/>
      </w:r>
    </w:p>
    <w:sdt>
      <w:sdtPr>
        <w:rPr>
          <w:rFonts w:ascii="Arial" w:eastAsia="Arial" w:hAnsi="Arial" w:cs="Arial"/>
          <w:b w:val="0"/>
          <w:bCs w:val="0"/>
          <w:color w:val="auto"/>
          <w:sz w:val="22"/>
          <w:szCs w:val="22"/>
          <w:lang w:val="en" w:eastAsia="en-US"/>
        </w:rPr>
        <w:id w:val="923687867"/>
        <w:docPartObj>
          <w:docPartGallery w:val="Table of Contents"/>
          <w:docPartUnique/>
        </w:docPartObj>
      </w:sdtPr>
      <w:sdtEndPr>
        <w:rPr>
          <w:noProof/>
        </w:rPr>
      </w:sdtEndPr>
      <w:sdtContent>
        <w:p w14:paraId="4F2F4452" w14:textId="07C7EACC" w:rsidR="00A41CE1" w:rsidRPr="00A41CE1" w:rsidRDefault="00A41CE1" w:rsidP="00A41CE1">
          <w:pPr>
            <w:pStyle w:val="TOCHeading"/>
            <w:jc w:val="center"/>
            <w:rPr>
              <w:rFonts w:ascii="Times New Roman" w:hAnsi="Times New Roman" w:cs="Times New Roman"/>
              <w:color w:val="000000" w:themeColor="text1"/>
              <w:sz w:val="24"/>
              <w:szCs w:val="24"/>
            </w:rPr>
          </w:pPr>
          <w:r w:rsidRPr="00A41CE1">
            <w:rPr>
              <w:rFonts w:ascii="Times New Roman" w:hAnsi="Times New Roman" w:cs="Times New Roman"/>
              <w:color w:val="000000" w:themeColor="text1"/>
              <w:sz w:val="24"/>
              <w:szCs w:val="24"/>
            </w:rPr>
            <w:t>Table of Contents</w:t>
          </w:r>
        </w:p>
        <w:p w14:paraId="6BDB852B" w14:textId="77777777" w:rsidR="00A41CE1" w:rsidRPr="00A41CE1" w:rsidRDefault="00A41CE1" w:rsidP="00A41CE1">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61154473" w:history="1">
            <w:r w:rsidRPr="00A41CE1">
              <w:rPr>
                <w:rStyle w:val="Hyperlink"/>
                <w:rFonts w:ascii="Times New Roman" w:hAnsi="Times New Roman" w:cs="Times New Roman"/>
                <w:noProof/>
                <w:sz w:val="24"/>
                <w:szCs w:val="24"/>
              </w:rPr>
              <w:t>1. Introduction.</w:t>
            </w:r>
            <w:r w:rsidRPr="00A41CE1">
              <w:rPr>
                <w:rFonts w:ascii="Times New Roman" w:hAnsi="Times New Roman" w:cs="Times New Roman"/>
                <w:noProof/>
                <w:webHidden/>
                <w:sz w:val="24"/>
                <w:szCs w:val="24"/>
              </w:rPr>
              <w:tab/>
            </w:r>
            <w:r w:rsidRPr="00A41CE1">
              <w:rPr>
                <w:rFonts w:ascii="Times New Roman" w:hAnsi="Times New Roman" w:cs="Times New Roman"/>
                <w:noProof/>
                <w:webHidden/>
                <w:sz w:val="24"/>
                <w:szCs w:val="24"/>
              </w:rPr>
              <w:fldChar w:fldCharType="begin"/>
            </w:r>
            <w:r w:rsidRPr="00A41CE1">
              <w:rPr>
                <w:rFonts w:ascii="Times New Roman" w:hAnsi="Times New Roman" w:cs="Times New Roman"/>
                <w:noProof/>
                <w:webHidden/>
                <w:sz w:val="24"/>
                <w:szCs w:val="24"/>
              </w:rPr>
              <w:instrText xml:space="preserve"> PAGEREF _Toc161154473 \h </w:instrText>
            </w:r>
            <w:r w:rsidRPr="00A41CE1">
              <w:rPr>
                <w:rFonts w:ascii="Times New Roman" w:hAnsi="Times New Roman" w:cs="Times New Roman"/>
                <w:noProof/>
                <w:webHidden/>
                <w:sz w:val="24"/>
                <w:szCs w:val="24"/>
              </w:rPr>
            </w:r>
            <w:r w:rsidRPr="00A41CE1">
              <w:rPr>
                <w:rFonts w:ascii="Times New Roman" w:hAnsi="Times New Roman" w:cs="Times New Roman"/>
                <w:noProof/>
                <w:webHidden/>
                <w:sz w:val="24"/>
                <w:szCs w:val="24"/>
              </w:rPr>
              <w:fldChar w:fldCharType="separate"/>
            </w:r>
            <w:r w:rsidRPr="00A41CE1">
              <w:rPr>
                <w:rFonts w:ascii="Times New Roman" w:hAnsi="Times New Roman" w:cs="Times New Roman"/>
                <w:noProof/>
                <w:webHidden/>
                <w:sz w:val="24"/>
                <w:szCs w:val="24"/>
              </w:rPr>
              <w:t>3</w:t>
            </w:r>
            <w:r w:rsidRPr="00A41CE1">
              <w:rPr>
                <w:rFonts w:ascii="Times New Roman" w:hAnsi="Times New Roman" w:cs="Times New Roman"/>
                <w:noProof/>
                <w:webHidden/>
                <w:sz w:val="24"/>
                <w:szCs w:val="24"/>
              </w:rPr>
              <w:fldChar w:fldCharType="end"/>
            </w:r>
          </w:hyperlink>
        </w:p>
        <w:p w14:paraId="5F90C1EC" w14:textId="77777777" w:rsidR="00A41CE1" w:rsidRPr="00A41CE1" w:rsidRDefault="00000000" w:rsidP="00A41CE1">
          <w:pPr>
            <w:pStyle w:val="TOC1"/>
            <w:tabs>
              <w:tab w:val="right" w:leader="dot" w:pos="9350"/>
            </w:tabs>
            <w:spacing w:line="360" w:lineRule="auto"/>
            <w:rPr>
              <w:rFonts w:ascii="Times New Roman" w:hAnsi="Times New Roman" w:cs="Times New Roman"/>
              <w:noProof/>
              <w:sz w:val="24"/>
              <w:szCs w:val="24"/>
            </w:rPr>
          </w:pPr>
          <w:hyperlink w:anchor="_Toc161154474" w:history="1">
            <w:r w:rsidR="00A41CE1" w:rsidRPr="00A41CE1">
              <w:rPr>
                <w:rStyle w:val="Hyperlink"/>
                <w:rFonts w:ascii="Times New Roman" w:hAnsi="Times New Roman" w:cs="Times New Roman"/>
                <w:noProof/>
                <w:sz w:val="24"/>
                <w:szCs w:val="24"/>
              </w:rPr>
              <w:t>2. Strategies adopted by multinational corporations in managing exposure to foreign exchange risks.</w:t>
            </w:r>
            <w:r w:rsidR="00A41CE1" w:rsidRPr="00A41CE1">
              <w:rPr>
                <w:rFonts w:ascii="Times New Roman" w:hAnsi="Times New Roman" w:cs="Times New Roman"/>
                <w:noProof/>
                <w:webHidden/>
                <w:sz w:val="24"/>
                <w:szCs w:val="24"/>
              </w:rPr>
              <w:tab/>
            </w:r>
            <w:r w:rsidR="00A41CE1" w:rsidRPr="00A41CE1">
              <w:rPr>
                <w:rFonts w:ascii="Times New Roman" w:hAnsi="Times New Roman" w:cs="Times New Roman"/>
                <w:noProof/>
                <w:webHidden/>
                <w:sz w:val="24"/>
                <w:szCs w:val="24"/>
              </w:rPr>
              <w:fldChar w:fldCharType="begin"/>
            </w:r>
            <w:r w:rsidR="00A41CE1" w:rsidRPr="00A41CE1">
              <w:rPr>
                <w:rFonts w:ascii="Times New Roman" w:hAnsi="Times New Roman" w:cs="Times New Roman"/>
                <w:noProof/>
                <w:webHidden/>
                <w:sz w:val="24"/>
                <w:szCs w:val="24"/>
              </w:rPr>
              <w:instrText xml:space="preserve"> PAGEREF _Toc161154474 \h </w:instrText>
            </w:r>
            <w:r w:rsidR="00A41CE1" w:rsidRPr="00A41CE1">
              <w:rPr>
                <w:rFonts w:ascii="Times New Roman" w:hAnsi="Times New Roman" w:cs="Times New Roman"/>
                <w:noProof/>
                <w:webHidden/>
                <w:sz w:val="24"/>
                <w:szCs w:val="24"/>
              </w:rPr>
            </w:r>
            <w:r w:rsidR="00A41CE1" w:rsidRPr="00A41CE1">
              <w:rPr>
                <w:rFonts w:ascii="Times New Roman" w:hAnsi="Times New Roman" w:cs="Times New Roman"/>
                <w:noProof/>
                <w:webHidden/>
                <w:sz w:val="24"/>
                <w:szCs w:val="24"/>
              </w:rPr>
              <w:fldChar w:fldCharType="separate"/>
            </w:r>
            <w:r w:rsidR="00A41CE1" w:rsidRPr="00A41CE1">
              <w:rPr>
                <w:rFonts w:ascii="Times New Roman" w:hAnsi="Times New Roman" w:cs="Times New Roman"/>
                <w:noProof/>
                <w:webHidden/>
                <w:sz w:val="24"/>
                <w:szCs w:val="24"/>
              </w:rPr>
              <w:t>3</w:t>
            </w:r>
            <w:r w:rsidR="00A41CE1" w:rsidRPr="00A41CE1">
              <w:rPr>
                <w:rFonts w:ascii="Times New Roman" w:hAnsi="Times New Roman" w:cs="Times New Roman"/>
                <w:noProof/>
                <w:webHidden/>
                <w:sz w:val="24"/>
                <w:szCs w:val="24"/>
              </w:rPr>
              <w:fldChar w:fldCharType="end"/>
            </w:r>
          </w:hyperlink>
        </w:p>
        <w:p w14:paraId="4F6C6BF3" w14:textId="77777777" w:rsidR="00A41CE1" w:rsidRPr="00A41CE1" w:rsidRDefault="00000000" w:rsidP="00A41CE1">
          <w:pPr>
            <w:pStyle w:val="TOC1"/>
            <w:tabs>
              <w:tab w:val="right" w:leader="dot" w:pos="9350"/>
            </w:tabs>
            <w:spacing w:line="360" w:lineRule="auto"/>
            <w:rPr>
              <w:rFonts w:ascii="Times New Roman" w:hAnsi="Times New Roman" w:cs="Times New Roman"/>
              <w:noProof/>
              <w:sz w:val="24"/>
              <w:szCs w:val="24"/>
            </w:rPr>
          </w:pPr>
          <w:hyperlink w:anchor="_Toc161154475" w:history="1">
            <w:r w:rsidR="00A41CE1" w:rsidRPr="00A41CE1">
              <w:rPr>
                <w:rStyle w:val="Hyperlink"/>
                <w:rFonts w:ascii="Times New Roman" w:hAnsi="Times New Roman" w:cs="Times New Roman"/>
                <w:noProof/>
                <w:sz w:val="24"/>
                <w:szCs w:val="24"/>
              </w:rPr>
              <w:t>3. Critical evaluation of relevant theoretical framework and models of International financial management.</w:t>
            </w:r>
            <w:r w:rsidR="00A41CE1" w:rsidRPr="00A41CE1">
              <w:rPr>
                <w:rFonts w:ascii="Times New Roman" w:hAnsi="Times New Roman" w:cs="Times New Roman"/>
                <w:noProof/>
                <w:webHidden/>
                <w:sz w:val="24"/>
                <w:szCs w:val="24"/>
              </w:rPr>
              <w:tab/>
            </w:r>
            <w:r w:rsidR="00A41CE1" w:rsidRPr="00A41CE1">
              <w:rPr>
                <w:rFonts w:ascii="Times New Roman" w:hAnsi="Times New Roman" w:cs="Times New Roman"/>
                <w:noProof/>
                <w:webHidden/>
                <w:sz w:val="24"/>
                <w:szCs w:val="24"/>
              </w:rPr>
              <w:fldChar w:fldCharType="begin"/>
            </w:r>
            <w:r w:rsidR="00A41CE1" w:rsidRPr="00A41CE1">
              <w:rPr>
                <w:rFonts w:ascii="Times New Roman" w:hAnsi="Times New Roman" w:cs="Times New Roman"/>
                <w:noProof/>
                <w:webHidden/>
                <w:sz w:val="24"/>
                <w:szCs w:val="24"/>
              </w:rPr>
              <w:instrText xml:space="preserve"> PAGEREF _Toc161154475 \h </w:instrText>
            </w:r>
            <w:r w:rsidR="00A41CE1" w:rsidRPr="00A41CE1">
              <w:rPr>
                <w:rFonts w:ascii="Times New Roman" w:hAnsi="Times New Roman" w:cs="Times New Roman"/>
                <w:noProof/>
                <w:webHidden/>
                <w:sz w:val="24"/>
                <w:szCs w:val="24"/>
              </w:rPr>
            </w:r>
            <w:r w:rsidR="00A41CE1" w:rsidRPr="00A41CE1">
              <w:rPr>
                <w:rFonts w:ascii="Times New Roman" w:hAnsi="Times New Roman" w:cs="Times New Roman"/>
                <w:noProof/>
                <w:webHidden/>
                <w:sz w:val="24"/>
                <w:szCs w:val="24"/>
              </w:rPr>
              <w:fldChar w:fldCharType="separate"/>
            </w:r>
            <w:r w:rsidR="00A41CE1" w:rsidRPr="00A41CE1">
              <w:rPr>
                <w:rFonts w:ascii="Times New Roman" w:hAnsi="Times New Roman" w:cs="Times New Roman"/>
                <w:noProof/>
                <w:webHidden/>
                <w:sz w:val="24"/>
                <w:szCs w:val="24"/>
              </w:rPr>
              <w:t>4</w:t>
            </w:r>
            <w:r w:rsidR="00A41CE1" w:rsidRPr="00A41CE1">
              <w:rPr>
                <w:rFonts w:ascii="Times New Roman" w:hAnsi="Times New Roman" w:cs="Times New Roman"/>
                <w:noProof/>
                <w:webHidden/>
                <w:sz w:val="24"/>
                <w:szCs w:val="24"/>
              </w:rPr>
              <w:fldChar w:fldCharType="end"/>
            </w:r>
          </w:hyperlink>
        </w:p>
        <w:p w14:paraId="0D7634BA" w14:textId="77777777" w:rsidR="00A41CE1" w:rsidRPr="00A41CE1" w:rsidRDefault="00000000" w:rsidP="00A41CE1">
          <w:pPr>
            <w:pStyle w:val="TOC1"/>
            <w:tabs>
              <w:tab w:val="right" w:leader="dot" w:pos="9350"/>
            </w:tabs>
            <w:spacing w:line="360" w:lineRule="auto"/>
            <w:rPr>
              <w:rFonts w:ascii="Times New Roman" w:hAnsi="Times New Roman" w:cs="Times New Roman"/>
              <w:noProof/>
              <w:sz w:val="24"/>
              <w:szCs w:val="24"/>
            </w:rPr>
          </w:pPr>
          <w:hyperlink w:anchor="_Toc161154476" w:history="1">
            <w:r w:rsidR="00A41CE1" w:rsidRPr="00A41CE1">
              <w:rPr>
                <w:rStyle w:val="Hyperlink"/>
                <w:rFonts w:ascii="Times New Roman" w:hAnsi="Times New Roman" w:cs="Times New Roman"/>
                <w:noProof/>
                <w:sz w:val="24"/>
                <w:szCs w:val="24"/>
              </w:rPr>
              <w:t>4. Various methods and techniques relating to the financing of an international business.</w:t>
            </w:r>
            <w:r w:rsidR="00A41CE1" w:rsidRPr="00A41CE1">
              <w:rPr>
                <w:rFonts w:ascii="Times New Roman" w:hAnsi="Times New Roman" w:cs="Times New Roman"/>
                <w:noProof/>
                <w:webHidden/>
                <w:sz w:val="24"/>
                <w:szCs w:val="24"/>
              </w:rPr>
              <w:tab/>
            </w:r>
            <w:r w:rsidR="00A41CE1" w:rsidRPr="00A41CE1">
              <w:rPr>
                <w:rFonts w:ascii="Times New Roman" w:hAnsi="Times New Roman" w:cs="Times New Roman"/>
                <w:noProof/>
                <w:webHidden/>
                <w:sz w:val="24"/>
                <w:szCs w:val="24"/>
              </w:rPr>
              <w:fldChar w:fldCharType="begin"/>
            </w:r>
            <w:r w:rsidR="00A41CE1" w:rsidRPr="00A41CE1">
              <w:rPr>
                <w:rFonts w:ascii="Times New Roman" w:hAnsi="Times New Roman" w:cs="Times New Roman"/>
                <w:noProof/>
                <w:webHidden/>
                <w:sz w:val="24"/>
                <w:szCs w:val="24"/>
              </w:rPr>
              <w:instrText xml:space="preserve"> PAGEREF _Toc161154476 \h </w:instrText>
            </w:r>
            <w:r w:rsidR="00A41CE1" w:rsidRPr="00A41CE1">
              <w:rPr>
                <w:rFonts w:ascii="Times New Roman" w:hAnsi="Times New Roman" w:cs="Times New Roman"/>
                <w:noProof/>
                <w:webHidden/>
                <w:sz w:val="24"/>
                <w:szCs w:val="24"/>
              </w:rPr>
            </w:r>
            <w:r w:rsidR="00A41CE1" w:rsidRPr="00A41CE1">
              <w:rPr>
                <w:rFonts w:ascii="Times New Roman" w:hAnsi="Times New Roman" w:cs="Times New Roman"/>
                <w:noProof/>
                <w:webHidden/>
                <w:sz w:val="24"/>
                <w:szCs w:val="24"/>
              </w:rPr>
              <w:fldChar w:fldCharType="separate"/>
            </w:r>
            <w:r w:rsidR="00A41CE1" w:rsidRPr="00A41CE1">
              <w:rPr>
                <w:rFonts w:ascii="Times New Roman" w:hAnsi="Times New Roman" w:cs="Times New Roman"/>
                <w:noProof/>
                <w:webHidden/>
                <w:sz w:val="24"/>
                <w:szCs w:val="24"/>
              </w:rPr>
              <w:t>5</w:t>
            </w:r>
            <w:r w:rsidR="00A41CE1" w:rsidRPr="00A41CE1">
              <w:rPr>
                <w:rFonts w:ascii="Times New Roman" w:hAnsi="Times New Roman" w:cs="Times New Roman"/>
                <w:noProof/>
                <w:webHidden/>
                <w:sz w:val="24"/>
                <w:szCs w:val="24"/>
              </w:rPr>
              <w:fldChar w:fldCharType="end"/>
            </w:r>
          </w:hyperlink>
        </w:p>
        <w:p w14:paraId="0AD1892F" w14:textId="77777777" w:rsidR="00A41CE1" w:rsidRPr="00A41CE1" w:rsidRDefault="00000000" w:rsidP="00A41CE1">
          <w:pPr>
            <w:pStyle w:val="TOC1"/>
            <w:tabs>
              <w:tab w:val="right" w:leader="dot" w:pos="9350"/>
            </w:tabs>
            <w:spacing w:line="360" w:lineRule="auto"/>
            <w:rPr>
              <w:rFonts w:ascii="Times New Roman" w:hAnsi="Times New Roman" w:cs="Times New Roman"/>
              <w:noProof/>
              <w:sz w:val="24"/>
              <w:szCs w:val="24"/>
            </w:rPr>
          </w:pPr>
          <w:hyperlink w:anchor="_Toc161154477" w:history="1">
            <w:r w:rsidR="00A41CE1" w:rsidRPr="00A41CE1">
              <w:rPr>
                <w:rStyle w:val="Hyperlink"/>
                <w:rFonts w:ascii="Times New Roman" w:hAnsi="Times New Roman" w:cs="Times New Roman"/>
                <w:noProof/>
                <w:sz w:val="24"/>
                <w:szCs w:val="24"/>
              </w:rPr>
              <w:t>5. Theoretical models of corporate value, international cost of capital, and financial structure.</w:t>
            </w:r>
            <w:r w:rsidR="00A41CE1" w:rsidRPr="00A41CE1">
              <w:rPr>
                <w:rFonts w:ascii="Times New Roman" w:hAnsi="Times New Roman" w:cs="Times New Roman"/>
                <w:noProof/>
                <w:webHidden/>
                <w:sz w:val="24"/>
                <w:szCs w:val="24"/>
              </w:rPr>
              <w:tab/>
            </w:r>
            <w:r w:rsidR="00A41CE1" w:rsidRPr="00A41CE1">
              <w:rPr>
                <w:rFonts w:ascii="Times New Roman" w:hAnsi="Times New Roman" w:cs="Times New Roman"/>
                <w:noProof/>
                <w:webHidden/>
                <w:sz w:val="24"/>
                <w:szCs w:val="24"/>
              </w:rPr>
              <w:fldChar w:fldCharType="begin"/>
            </w:r>
            <w:r w:rsidR="00A41CE1" w:rsidRPr="00A41CE1">
              <w:rPr>
                <w:rFonts w:ascii="Times New Roman" w:hAnsi="Times New Roman" w:cs="Times New Roman"/>
                <w:noProof/>
                <w:webHidden/>
                <w:sz w:val="24"/>
                <w:szCs w:val="24"/>
              </w:rPr>
              <w:instrText xml:space="preserve"> PAGEREF _Toc161154477 \h </w:instrText>
            </w:r>
            <w:r w:rsidR="00A41CE1" w:rsidRPr="00A41CE1">
              <w:rPr>
                <w:rFonts w:ascii="Times New Roman" w:hAnsi="Times New Roman" w:cs="Times New Roman"/>
                <w:noProof/>
                <w:webHidden/>
                <w:sz w:val="24"/>
                <w:szCs w:val="24"/>
              </w:rPr>
            </w:r>
            <w:r w:rsidR="00A41CE1" w:rsidRPr="00A41CE1">
              <w:rPr>
                <w:rFonts w:ascii="Times New Roman" w:hAnsi="Times New Roman" w:cs="Times New Roman"/>
                <w:noProof/>
                <w:webHidden/>
                <w:sz w:val="24"/>
                <w:szCs w:val="24"/>
              </w:rPr>
              <w:fldChar w:fldCharType="separate"/>
            </w:r>
            <w:r w:rsidR="00A41CE1" w:rsidRPr="00A41CE1">
              <w:rPr>
                <w:rFonts w:ascii="Times New Roman" w:hAnsi="Times New Roman" w:cs="Times New Roman"/>
                <w:noProof/>
                <w:webHidden/>
                <w:sz w:val="24"/>
                <w:szCs w:val="24"/>
              </w:rPr>
              <w:t>6</w:t>
            </w:r>
            <w:r w:rsidR="00A41CE1" w:rsidRPr="00A41CE1">
              <w:rPr>
                <w:rFonts w:ascii="Times New Roman" w:hAnsi="Times New Roman" w:cs="Times New Roman"/>
                <w:noProof/>
                <w:webHidden/>
                <w:sz w:val="24"/>
                <w:szCs w:val="24"/>
              </w:rPr>
              <w:fldChar w:fldCharType="end"/>
            </w:r>
          </w:hyperlink>
        </w:p>
        <w:p w14:paraId="238879BD" w14:textId="77777777" w:rsidR="00A41CE1" w:rsidRPr="00A41CE1" w:rsidRDefault="00000000" w:rsidP="00A41CE1">
          <w:pPr>
            <w:pStyle w:val="TOC1"/>
            <w:tabs>
              <w:tab w:val="right" w:leader="dot" w:pos="9350"/>
            </w:tabs>
            <w:spacing w:line="360" w:lineRule="auto"/>
            <w:rPr>
              <w:rFonts w:ascii="Times New Roman" w:hAnsi="Times New Roman" w:cs="Times New Roman"/>
              <w:noProof/>
              <w:sz w:val="24"/>
              <w:szCs w:val="24"/>
            </w:rPr>
          </w:pPr>
          <w:hyperlink w:anchor="_Toc161154478" w:history="1">
            <w:r w:rsidR="00A41CE1" w:rsidRPr="00A41CE1">
              <w:rPr>
                <w:rStyle w:val="Hyperlink"/>
                <w:rFonts w:ascii="Times New Roman" w:hAnsi="Times New Roman" w:cs="Times New Roman"/>
                <w:noProof/>
                <w:sz w:val="24"/>
                <w:szCs w:val="24"/>
              </w:rPr>
              <w:t>6. Conclusion.</w:t>
            </w:r>
            <w:r w:rsidR="00A41CE1" w:rsidRPr="00A41CE1">
              <w:rPr>
                <w:rFonts w:ascii="Times New Roman" w:hAnsi="Times New Roman" w:cs="Times New Roman"/>
                <w:noProof/>
                <w:webHidden/>
                <w:sz w:val="24"/>
                <w:szCs w:val="24"/>
              </w:rPr>
              <w:tab/>
            </w:r>
            <w:r w:rsidR="00A41CE1" w:rsidRPr="00A41CE1">
              <w:rPr>
                <w:rFonts w:ascii="Times New Roman" w:hAnsi="Times New Roman" w:cs="Times New Roman"/>
                <w:noProof/>
                <w:webHidden/>
                <w:sz w:val="24"/>
                <w:szCs w:val="24"/>
              </w:rPr>
              <w:fldChar w:fldCharType="begin"/>
            </w:r>
            <w:r w:rsidR="00A41CE1" w:rsidRPr="00A41CE1">
              <w:rPr>
                <w:rFonts w:ascii="Times New Roman" w:hAnsi="Times New Roman" w:cs="Times New Roman"/>
                <w:noProof/>
                <w:webHidden/>
                <w:sz w:val="24"/>
                <w:szCs w:val="24"/>
              </w:rPr>
              <w:instrText xml:space="preserve"> PAGEREF _Toc161154478 \h </w:instrText>
            </w:r>
            <w:r w:rsidR="00A41CE1" w:rsidRPr="00A41CE1">
              <w:rPr>
                <w:rFonts w:ascii="Times New Roman" w:hAnsi="Times New Roman" w:cs="Times New Roman"/>
                <w:noProof/>
                <w:webHidden/>
                <w:sz w:val="24"/>
                <w:szCs w:val="24"/>
              </w:rPr>
            </w:r>
            <w:r w:rsidR="00A41CE1" w:rsidRPr="00A41CE1">
              <w:rPr>
                <w:rFonts w:ascii="Times New Roman" w:hAnsi="Times New Roman" w:cs="Times New Roman"/>
                <w:noProof/>
                <w:webHidden/>
                <w:sz w:val="24"/>
                <w:szCs w:val="24"/>
              </w:rPr>
              <w:fldChar w:fldCharType="separate"/>
            </w:r>
            <w:r w:rsidR="00A41CE1" w:rsidRPr="00A41CE1">
              <w:rPr>
                <w:rFonts w:ascii="Times New Roman" w:hAnsi="Times New Roman" w:cs="Times New Roman"/>
                <w:noProof/>
                <w:webHidden/>
                <w:sz w:val="24"/>
                <w:szCs w:val="24"/>
              </w:rPr>
              <w:t>7</w:t>
            </w:r>
            <w:r w:rsidR="00A41CE1" w:rsidRPr="00A41CE1">
              <w:rPr>
                <w:rFonts w:ascii="Times New Roman" w:hAnsi="Times New Roman" w:cs="Times New Roman"/>
                <w:noProof/>
                <w:webHidden/>
                <w:sz w:val="24"/>
                <w:szCs w:val="24"/>
              </w:rPr>
              <w:fldChar w:fldCharType="end"/>
            </w:r>
          </w:hyperlink>
        </w:p>
        <w:p w14:paraId="45B2FAD6" w14:textId="77777777" w:rsidR="00A41CE1" w:rsidRDefault="00000000" w:rsidP="00A41CE1">
          <w:pPr>
            <w:pStyle w:val="TOC1"/>
            <w:tabs>
              <w:tab w:val="right" w:leader="dot" w:pos="9350"/>
            </w:tabs>
            <w:spacing w:line="360" w:lineRule="auto"/>
            <w:rPr>
              <w:noProof/>
            </w:rPr>
          </w:pPr>
          <w:hyperlink w:anchor="_Toc161154479" w:history="1">
            <w:r w:rsidR="00A41CE1" w:rsidRPr="00A41CE1">
              <w:rPr>
                <w:rStyle w:val="Hyperlink"/>
                <w:rFonts w:ascii="Times New Roman" w:hAnsi="Times New Roman" w:cs="Times New Roman"/>
                <w:noProof/>
                <w:sz w:val="24"/>
                <w:szCs w:val="24"/>
              </w:rPr>
              <w:t>References</w:t>
            </w:r>
            <w:r w:rsidR="00A41CE1" w:rsidRPr="00A41CE1">
              <w:rPr>
                <w:rFonts w:ascii="Times New Roman" w:hAnsi="Times New Roman" w:cs="Times New Roman"/>
                <w:noProof/>
                <w:webHidden/>
                <w:sz w:val="24"/>
                <w:szCs w:val="24"/>
              </w:rPr>
              <w:tab/>
            </w:r>
            <w:r w:rsidR="00A41CE1" w:rsidRPr="00A41CE1">
              <w:rPr>
                <w:rFonts w:ascii="Times New Roman" w:hAnsi="Times New Roman" w:cs="Times New Roman"/>
                <w:noProof/>
                <w:webHidden/>
                <w:sz w:val="24"/>
                <w:szCs w:val="24"/>
              </w:rPr>
              <w:fldChar w:fldCharType="begin"/>
            </w:r>
            <w:r w:rsidR="00A41CE1" w:rsidRPr="00A41CE1">
              <w:rPr>
                <w:rFonts w:ascii="Times New Roman" w:hAnsi="Times New Roman" w:cs="Times New Roman"/>
                <w:noProof/>
                <w:webHidden/>
                <w:sz w:val="24"/>
                <w:szCs w:val="24"/>
              </w:rPr>
              <w:instrText xml:space="preserve"> PAGEREF _Toc161154479 \h </w:instrText>
            </w:r>
            <w:r w:rsidR="00A41CE1" w:rsidRPr="00A41CE1">
              <w:rPr>
                <w:rFonts w:ascii="Times New Roman" w:hAnsi="Times New Roman" w:cs="Times New Roman"/>
                <w:noProof/>
                <w:webHidden/>
                <w:sz w:val="24"/>
                <w:szCs w:val="24"/>
              </w:rPr>
            </w:r>
            <w:r w:rsidR="00A41CE1" w:rsidRPr="00A41CE1">
              <w:rPr>
                <w:rFonts w:ascii="Times New Roman" w:hAnsi="Times New Roman" w:cs="Times New Roman"/>
                <w:noProof/>
                <w:webHidden/>
                <w:sz w:val="24"/>
                <w:szCs w:val="24"/>
              </w:rPr>
              <w:fldChar w:fldCharType="separate"/>
            </w:r>
            <w:r w:rsidR="00A41CE1" w:rsidRPr="00A41CE1">
              <w:rPr>
                <w:rFonts w:ascii="Times New Roman" w:hAnsi="Times New Roman" w:cs="Times New Roman"/>
                <w:noProof/>
                <w:webHidden/>
                <w:sz w:val="24"/>
                <w:szCs w:val="24"/>
              </w:rPr>
              <w:t>8</w:t>
            </w:r>
            <w:r w:rsidR="00A41CE1" w:rsidRPr="00A41CE1">
              <w:rPr>
                <w:rFonts w:ascii="Times New Roman" w:hAnsi="Times New Roman" w:cs="Times New Roman"/>
                <w:noProof/>
                <w:webHidden/>
                <w:sz w:val="24"/>
                <w:szCs w:val="24"/>
              </w:rPr>
              <w:fldChar w:fldCharType="end"/>
            </w:r>
          </w:hyperlink>
        </w:p>
        <w:p w14:paraId="635CDB99" w14:textId="7E4DBFE7" w:rsidR="00A41CE1" w:rsidRDefault="00A41CE1">
          <w:r>
            <w:rPr>
              <w:b/>
              <w:bCs/>
              <w:noProof/>
            </w:rPr>
            <w:fldChar w:fldCharType="end"/>
          </w:r>
        </w:p>
      </w:sdtContent>
    </w:sdt>
    <w:p w14:paraId="3EE36156" w14:textId="77777777" w:rsidR="00A41CE1" w:rsidRDefault="00A41CE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554122DD" w:rsidR="006F0757" w:rsidRDefault="0012199E" w:rsidP="00A41CE1">
      <w:pPr>
        <w:pStyle w:val="Heading1"/>
      </w:pPr>
      <w:bookmarkStart w:id="0" w:name="_Toc161154473"/>
      <w:r>
        <w:lastRenderedPageBreak/>
        <w:t>1. Introduction.</w:t>
      </w:r>
      <w:bookmarkEnd w:id="0"/>
    </w:p>
    <w:p w14:paraId="00000002"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Theories of International Financial Management play a vital role for multinational corporations as they have the purpose of providing guidelines for making sense of and working through the intricacies of the global financial arena. The theories are the ones that direct companies of the world on the way to make different strategic decisions on currency risk management, capital structure optimization as well as international investment (Melvin and </w:t>
      </w:r>
      <w:proofErr w:type="spellStart"/>
      <w:r>
        <w:rPr>
          <w:rFonts w:ascii="Times New Roman" w:eastAsia="Times New Roman" w:hAnsi="Times New Roman" w:cs="Times New Roman"/>
          <w:sz w:val="24"/>
          <w:szCs w:val="24"/>
        </w:rPr>
        <w:t>Norrbin</w:t>
      </w:r>
      <w:proofErr w:type="spellEnd"/>
      <w:r>
        <w:rPr>
          <w:rFonts w:ascii="Times New Roman" w:eastAsia="Times New Roman" w:hAnsi="Times New Roman" w:cs="Times New Roman"/>
          <w:sz w:val="24"/>
          <w:szCs w:val="24"/>
        </w:rPr>
        <w:t xml:space="preserve">, 2022). A Multinational corporation may have to deal with the adverse impact of the exchange rates involving foreign currencies, which may affect the profitability, cash flow, and competitiveness of the enterprise. </w:t>
      </w:r>
    </w:p>
    <w:p w14:paraId="00000003"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Strategic operationalization of IFM theories enables Multinational corporations to achieve goals in currency risk mitigation, finance management, and resilience strengthening thereby protecting sustainability and financial stability. The study further focuses on the strategies adopted by multinational corporations in management exposure to foreign exchange risks along with the understanding of important theories and models of international financial risks. </w:t>
      </w:r>
    </w:p>
    <w:p w14:paraId="00000004" w14:textId="77777777" w:rsidR="006F0757" w:rsidRDefault="0012199E" w:rsidP="00A41CE1">
      <w:pPr>
        <w:pStyle w:val="Heading1"/>
      </w:pPr>
      <w:bookmarkStart w:id="1" w:name="_Toc161154474"/>
      <w:r>
        <w:t>2. Strategies adopted by multinational corporations in managing exposure to foreign exchange risks.</w:t>
      </w:r>
      <w:bookmarkEnd w:id="1"/>
      <w:r>
        <w:t xml:space="preserve"> </w:t>
      </w:r>
    </w:p>
    <w:p w14:paraId="00000005"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manage the aspect of exposure to foreign exchange rates multinational corporations in the UK use various kinds of strategies that allow for safeguarding financial stability. These strategies involve: </w:t>
      </w:r>
    </w:p>
    <w:p w14:paraId="00000006"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“Use of financial derivatives”-</w:t>
      </w:r>
      <w:r>
        <w:rPr>
          <w:rFonts w:ascii="Times New Roman" w:eastAsia="Times New Roman" w:hAnsi="Times New Roman" w:cs="Times New Roman"/>
          <w:sz w:val="24"/>
          <w:szCs w:val="24"/>
        </w:rPr>
        <w:t xml:space="preserve"> Multi-national corporations sometimes trade in forward contracts, options, or swaps on currencies that help in hedging against fluctuations in the currency as witnessed with the British drugmaker GlaxoSmithKline which uses forward contracts to manage its foreign currency positions among the many (</w:t>
      </w:r>
      <w:proofErr w:type="spellStart"/>
      <w:r>
        <w:rPr>
          <w:rFonts w:ascii="Times New Roman" w:eastAsia="Times New Roman" w:hAnsi="Times New Roman" w:cs="Times New Roman"/>
          <w:sz w:val="24"/>
          <w:szCs w:val="24"/>
        </w:rPr>
        <w:t>Gujarathi</w:t>
      </w:r>
      <w:proofErr w:type="spellEnd"/>
      <w:r>
        <w:rPr>
          <w:rFonts w:ascii="Times New Roman" w:eastAsia="Times New Roman" w:hAnsi="Times New Roman" w:cs="Times New Roman"/>
          <w:sz w:val="24"/>
          <w:szCs w:val="24"/>
        </w:rPr>
        <w:t>, 2022). By using a mechanism to fix exchange rates at which future transactions will take place, GSK secures immunity against currency fluctuation and stabilizes its revenues and expenses, allowing it to be better prepared for financial challenges.</w:t>
      </w:r>
    </w:p>
    <w:p w14:paraId="00000007"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“Diversifications of products and sales locations”-</w:t>
      </w:r>
      <w:r>
        <w:rPr>
          <w:rFonts w:ascii="Times New Roman" w:eastAsia="Times New Roman" w:hAnsi="Times New Roman" w:cs="Times New Roman"/>
          <w:sz w:val="24"/>
          <w:szCs w:val="24"/>
        </w:rPr>
        <w:t xml:space="preserve"> Multinational corporations diversify the processes of production, and distribution in different countries in order to prevent the inflation risks arising from the specific local currency. The perfect illustration is that of Unilever, a multinational British-Dutch business. Unilever has an extensive global footprint in terms of manufacturing facilities and sales locations in many countries (</w:t>
      </w:r>
      <w:proofErr w:type="spellStart"/>
      <w:r>
        <w:rPr>
          <w:rFonts w:ascii="Times New Roman" w:eastAsia="Times New Roman" w:hAnsi="Times New Roman" w:cs="Times New Roman"/>
          <w:sz w:val="24"/>
          <w:szCs w:val="24"/>
        </w:rPr>
        <w:t>Maljers</w:t>
      </w:r>
      <w:proofErr w:type="spellEnd"/>
      <w:r>
        <w:rPr>
          <w:rFonts w:ascii="Times New Roman" w:eastAsia="Times New Roman" w:hAnsi="Times New Roman" w:cs="Times New Roman"/>
          <w:sz w:val="24"/>
          <w:szCs w:val="24"/>
        </w:rPr>
        <w:t>, 2022). The company by moving its operations internationally reduces the currency which they are in be in dependent on, thus increasing the stability of the exchange rate. Due to the utilization of this strategy, Unilever improves its currency risk appraisal and therefore develops its competitive advantage in foreign markets.</w:t>
      </w:r>
    </w:p>
    <w:p w14:paraId="00000008"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“Natural hedging strategies”-</w:t>
      </w:r>
      <w:r>
        <w:rPr>
          <w:rFonts w:ascii="Times New Roman" w:eastAsia="Times New Roman" w:hAnsi="Times New Roman" w:cs="Times New Roman"/>
          <w:sz w:val="24"/>
          <w:szCs w:val="24"/>
        </w:rPr>
        <w:t xml:space="preserve"> Multinational corporations also use natural hedging means by seeking the matching revenues and costs in the same currency or by forming contracts in the currencies with opposite movements. For example, one of its subsidiaries usually enters into US dollars aircraft contracts and earns a huge part of its revenue in US dollars through transatlantic route tickets (Crabb, 2022). Such a natural hedging approach is indeed very useful to make British Airways insusceptible to the fluctuations of exchange rates when it comes to operating costs and still has stable profits despite currency volatility.</w:t>
      </w:r>
    </w:p>
    <w:p w14:paraId="00000009" w14:textId="77777777" w:rsidR="006F0757" w:rsidRDefault="0012199E" w:rsidP="00A41CE1">
      <w:pPr>
        <w:pStyle w:val="Heading1"/>
      </w:pPr>
      <w:bookmarkStart w:id="2" w:name="_Toc161154475"/>
      <w:r>
        <w:t>3. Critical evaluation of relevant theoretical framework and models of International financial management.</w:t>
      </w:r>
      <w:bookmarkEnd w:id="2"/>
      <w:r>
        <w:t xml:space="preserve"> </w:t>
      </w:r>
    </w:p>
    <w:p w14:paraId="0000000A"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the aspect of relevant theories and models of international financial management involves: </w:t>
      </w:r>
    </w:p>
    <w:p w14:paraId="0000000B"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“Purchasing Power Parity”-</w:t>
      </w:r>
      <w:r>
        <w:rPr>
          <w:rFonts w:ascii="Times New Roman" w:eastAsia="Times New Roman" w:hAnsi="Times New Roman" w:cs="Times New Roman"/>
          <w:sz w:val="24"/>
          <w:szCs w:val="24"/>
        </w:rPr>
        <w:t xml:space="preserve"> The Purchasing Power Parity theory implies the need for exchange rates of two currencies to adjust over time in order to maintain equivalence in the prices for the same goods and services in different countries (Taylor and Taylor, 2022). It follows that PPP theory which is straightforward for forecasting long-term movements of exchange rates based on inflation differentials provides the theoretical framework, in most cases empirical evidence diverges from the expected outcome. Besides, PPP is not of fixed hold in the short run as a result of factors of market imperfections, transport costs, and products that are not tradable. Moreover, the Purchasing Power Parity theory pays no heed to factors that discourage the inflows of capital </w:t>
      </w:r>
      <w:r>
        <w:rPr>
          <w:rFonts w:ascii="Times New Roman" w:eastAsia="Times New Roman" w:hAnsi="Times New Roman" w:cs="Times New Roman"/>
          <w:sz w:val="24"/>
          <w:szCs w:val="24"/>
        </w:rPr>
        <w:lastRenderedPageBreak/>
        <w:t>between nations, such as transaction costs and trade impediments which negatively affect the speed of cross-border price adjustment (Taylor, 2022). Although it is imperfect, the Purchasing Power Parity concept will be always a major consideration in international finance being an important tool by which long-term exchange rate trends are analyzed and decisions are made for multinational corporations.</w:t>
      </w:r>
    </w:p>
    <w:p w14:paraId="0000000C"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“International Fisher Effect”-</w:t>
      </w:r>
      <w:r>
        <w:rPr>
          <w:rFonts w:ascii="Times New Roman" w:eastAsia="Times New Roman" w:hAnsi="Times New Roman" w:cs="Times New Roman"/>
          <w:sz w:val="24"/>
          <w:szCs w:val="24"/>
        </w:rPr>
        <w:t xml:space="preserve"> The international Fisher Effect states that nominal interest rates and inflation differentials positively assert an effect on exchange rate movements. The International Fisher Effect postulates that the value of borrowing and lending amongst countries should match up with anticipated changes in currency valuation due to the differential in inflation rates (</w:t>
      </w:r>
      <w:proofErr w:type="spellStart"/>
      <w:r>
        <w:rPr>
          <w:rFonts w:ascii="Times New Roman" w:eastAsia="Times New Roman" w:hAnsi="Times New Roman" w:cs="Times New Roman"/>
          <w:sz w:val="24"/>
          <w:szCs w:val="24"/>
        </w:rPr>
        <w:t>BenZion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Weinblatt</w:t>
      </w:r>
      <w:proofErr w:type="spellEnd"/>
      <w:r>
        <w:rPr>
          <w:rFonts w:ascii="Times New Roman" w:eastAsia="Times New Roman" w:hAnsi="Times New Roman" w:cs="Times New Roman"/>
          <w:sz w:val="24"/>
          <w:szCs w:val="24"/>
        </w:rPr>
        <w:t>, 2023). Nevertheless, as often as not empirical studies find mixed results regarding the hypothesis. In addition to this, the International Fisher Effect does not take into account the elements of risk premiums, capital controls, and expectations formation which raises interest rate discrepancies and exchange rate movements (DUMAS and SOLNIK, 2022).  The assumption of perfect capital mobility is arbitrary since in the real world it is subject to the costs of transactions and policies attached to the regulation. Even though the International Fisher Effect as a framework for the examination of interest rates and exchange rates in theory is appropriate, in real situations its applicability is limited by the complexities and many distortions of the world market and the existence of numerous frictions.</w:t>
      </w:r>
    </w:p>
    <w:p w14:paraId="0000000D" w14:textId="77777777" w:rsidR="006F0757" w:rsidRDefault="0012199E" w:rsidP="00A41CE1">
      <w:pPr>
        <w:pStyle w:val="Heading1"/>
      </w:pPr>
      <w:bookmarkStart w:id="3" w:name="_Toc161154476"/>
      <w:r>
        <w:t>4. Various methods and techniques relating to the financing of an international business.</w:t>
      </w:r>
      <w:bookmarkEnd w:id="3"/>
    </w:p>
    <w:p w14:paraId="0000000E"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involvement of two key methods and techniques relating to the financing of an international business involves understanding tactics like: </w:t>
      </w:r>
    </w:p>
    <w:p w14:paraId="0000000F"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“Debt Financing”-</w:t>
      </w:r>
      <w:r>
        <w:rPr>
          <w:rFonts w:ascii="Times New Roman" w:eastAsia="Times New Roman" w:hAnsi="Times New Roman" w:cs="Times New Roman"/>
          <w:sz w:val="24"/>
          <w:szCs w:val="24"/>
        </w:rPr>
        <w:t xml:space="preserve"> Debt financing is when an entity raises money by borrowing from creditors, banks, financial institutions, and other bondholders. This involves enhanced and popular techniques such as syndicated lending, which most commercial banks use to provide large-scale finance to multinational enterprises jointly (Bharath et al., 2023). On one side, you have to see debt financing as a tool with certain advantages such as tax deductibility of interest payments and repayment terms flexibility. On the other hand, debt financing can be a risk factor for </w:t>
      </w:r>
      <w:r>
        <w:rPr>
          <w:rFonts w:ascii="Times New Roman" w:eastAsia="Times New Roman" w:hAnsi="Times New Roman" w:cs="Times New Roman"/>
          <w:sz w:val="24"/>
          <w:szCs w:val="24"/>
        </w:rPr>
        <w:lastRenderedPageBreak/>
        <w:t>multinational corporations. For instance, exchange rate movements may result in the higher costs of servicing foreign currency-denominated debt which then may push the businesses into deep financial crises (</w:t>
      </w:r>
      <w:proofErr w:type="spellStart"/>
      <w:r>
        <w:rPr>
          <w:rFonts w:ascii="Times New Roman" w:eastAsia="Times New Roman" w:hAnsi="Times New Roman" w:cs="Times New Roman"/>
          <w:sz w:val="24"/>
          <w:szCs w:val="24"/>
        </w:rPr>
        <w:t>TheFreeDictionary</w:t>
      </w:r>
      <w:proofErr w:type="spellEnd"/>
      <w:r>
        <w:rPr>
          <w:rFonts w:ascii="Times New Roman" w:eastAsia="Times New Roman" w:hAnsi="Times New Roman" w:cs="Times New Roman"/>
          <w:sz w:val="24"/>
          <w:szCs w:val="24"/>
        </w:rPr>
        <w:t>, 2022). In addition, debt financing can exacerbate the effect of economic recessions or unfavorable market conditions. In such a situation, MNCs have to pay the same fixed interest rates, despite their profitability.</w:t>
      </w:r>
    </w:p>
    <w:p w14:paraId="00000010"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“Equity Financing”-</w:t>
      </w:r>
      <w:r>
        <w:rPr>
          <w:rFonts w:ascii="Times New Roman" w:eastAsia="Times New Roman" w:hAnsi="Times New Roman" w:cs="Times New Roman"/>
          <w:sz w:val="24"/>
          <w:szCs w:val="24"/>
        </w:rPr>
        <w:t xml:space="preserve"> Equity financing refers to a manner of raising funds by giving away some part of the company to investors. Multinational corporations may utilize options such as initial public offerings, secondary offerings, and private placements in accessing equity capital (Carpenter and Petersen, 2023). Equity financing comes with a lot of advantages, such as no obligation for periodic interest payments and increased management options for a company's capital structure Also, the capital investors usually carry the risk that the profits and cash flows may fluctuate with the company’s financial leverage, thus reducing the overall exposure to risk of MNCs. Nevertheless, equity finance in itself causes the dilution of the existing shareholders' ownership and even the loss of control rights over the decision-making processes (HBR Store, 2022). Additionally, equity market access, particularly in the international environment, may amount to costs for compliance with regulations and for transparency.</w:t>
      </w:r>
    </w:p>
    <w:p w14:paraId="00000011" w14:textId="77777777" w:rsidR="006F0757" w:rsidRDefault="0012199E" w:rsidP="00A41CE1">
      <w:pPr>
        <w:pStyle w:val="Heading1"/>
      </w:pPr>
      <w:bookmarkStart w:id="4" w:name="_Toc161154477"/>
      <w:r>
        <w:t>5. Theoretical models of corporate value, international cost of capital, and financial structure.</w:t>
      </w:r>
      <w:bookmarkEnd w:id="4"/>
    </w:p>
    <w:p w14:paraId="00000012"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“Discounted Cash Flow”-</w:t>
      </w:r>
      <w:r>
        <w:rPr>
          <w:rFonts w:ascii="Times New Roman" w:eastAsia="Times New Roman" w:hAnsi="Times New Roman" w:cs="Times New Roman"/>
          <w:sz w:val="24"/>
          <w:szCs w:val="24"/>
        </w:rPr>
        <w:t xml:space="preserve"> The discounted cash flow model and the residual income model, as practical methods, are applied to figure out the corporate worth. However, both models deliver significant insights regarding the true value of a company, but these assumptions are also relevant for the domestic context only and may fail in foreign cases (Blundell, 2023). Further, individual example of the discounted cash flow model sticks to one constant discount rate over the years and also to a constant growth rate in cash flow which </w:t>
      </w:r>
      <w:proofErr w:type="spellStart"/>
      <w:r>
        <w:rPr>
          <w:rFonts w:ascii="Times New Roman" w:eastAsia="Times New Roman" w:hAnsi="Times New Roman" w:cs="Times New Roman"/>
          <w:sz w:val="24"/>
          <w:szCs w:val="24"/>
        </w:rPr>
        <w:t>internationalises</w:t>
      </w:r>
      <w:proofErr w:type="spellEnd"/>
      <w:r>
        <w:rPr>
          <w:rFonts w:ascii="Times New Roman" w:eastAsia="Times New Roman" w:hAnsi="Times New Roman" w:cs="Times New Roman"/>
          <w:sz w:val="24"/>
          <w:szCs w:val="24"/>
        </w:rPr>
        <w:t xml:space="preserve"> the operations and overlooks the country-specific risks and uncertainties. Correspondingly, the residual income model takes for granted the fact that the accounting earnings are a true reflection of economic earnings staying clear of the variations that may exist in accounting standards and practices from one country to another (Barth et al., 2021). Furthermore, incorporating these models into a </w:t>
      </w:r>
      <w:r>
        <w:rPr>
          <w:rFonts w:ascii="Times New Roman" w:eastAsia="Times New Roman" w:hAnsi="Times New Roman" w:cs="Times New Roman"/>
          <w:sz w:val="24"/>
          <w:szCs w:val="24"/>
        </w:rPr>
        <w:lastRenderedPageBreak/>
        <w:t>multinational enterprise is a more complex process that comes with currency risk, political instability, and regulatory issues that can lead to large estimation errors.</w:t>
      </w:r>
    </w:p>
    <w:p w14:paraId="00000013" w14:textId="77777777" w:rsidR="006F0757"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“International Cost of Capital models”-</w:t>
      </w:r>
      <w:r>
        <w:rPr>
          <w:rFonts w:ascii="Times New Roman" w:eastAsia="Times New Roman" w:hAnsi="Times New Roman" w:cs="Times New Roman"/>
          <w:sz w:val="24"/>
          <w:szCs w:val="24"/>
        </w:rPr>
        <w:t xml:space="preserve"> A foreign cost of capital is a rate of return on investment in multinational companies operating in different countries that investors expect to gain (Jensen, Fischer Black, and Scholes, 2022). The Capital Asset Pricing Model and the Arbitrage Pricing Theory are widely accepted models for estimating the international cost of capital. Yet, these models have difficulty in fully considering the many risk factors and market dynamics international investment portfolios have to deal with.</w:t>
      </w:r>
    </w:p>
    <w:p w14:paraId="00000014" w14:textId="77777777" w:rsidR="006F0757" w:rsidRDefault="0012199E" w:rsidP="00A41CE1">
      <w:pPr>
        <w:pStyle w:val="Heading1"/>
      </w:pPr>
      <w:bookmarkStart w:id="5" w:name="_Toc161154478"/>
      <w:r>
        <w:t>6. Conclusion.</w:t>
      </w:r>
      <w:bookmarkEnd w:id="5"/>
    </w:p>
    <w:p w14:paraId="00000015" w14:textId="17CD418D" w:rsidR="00A41CE1" w:rsidRDefault="0012199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allows an </w:t>
      </w:r>
      <w:r w:rsidR="00A41CE1">
        <w:rPr>
          <w:rFonts w:ascii="Times New Roman" w:eastAsia="Times New Roman" w:hAnsi="Times New Roman" w:cs="Times New Roman"/>
          <w:sz w:val="24"/>
          <w:szCs w:val="24"/>
        </w:rPr>
        <w:t>understanding</w:t>
      </w:r>
      <w:r>
        <w:rPr>
          <w:rFonts w:ascii="Times New Roman" w:eastAsia="Times New Roman" w:hAnsi="Times New Roman" w:cs="Times New Roman"/>
          <w:sz w:val="24"/>
          <w:szCs w:val="24"/>
        </w:rPr>
        <w:t xml:space="preserve"> of the aspect of multinational corporations that may have to deal with the adverse impact of the exchange rates involving foreign currencies, which may affect the profitability, cash flow, and competitiveness of the enterprise. Further, the study also allows an understanding of the aspect of financial derivatives along with diversifications of products and sales locations. This allows an understanding of key theories and other aspects along with suitable strategies related to the financing of multinational corporations which allows for effective risk management for exposure to foreign exchange rates. Apart from this the study also focuses on the aspect of debt financing and equity financing which allows an </w:t>
      </w:r>
      <w:r w:rsidR="00A41CE1">
        <w:rPr>
          <w:rFonts w:ascii="Times New Roman" w:eastAsia="Times New Roman" w:hAnsi="Times New Roman" w:cs="Times New Roman"/>
          <w:sz w:val="24"/>
          <w:szCs w:val="24"/>
        </w:rPr>
        <w:t>understanding</w:t>
      </w:r>
      <w:r>
        <w:rPr>
          <w:rFonts w:ascii="Times New Roman" w:eastAsia="Times New Roman" w:hAnsi="Times New Roman" w:cs="Times New Roman"/>
          <w:sz w:val="24"/>
          <w:szCs w:val="24"/>
        </w:rPr>
        <w:t xml:space="preserve"> of various methods and techniques relating to the financing of an international business.</w:t>
      </w:r>
    </w:p>
    <w:p w14:paraId="38587406" w14:textId="77777777" w:rsidR="00A41CE1" w:rsidRDefault="00A41CE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DAF43EB" w14:textId="23694B09" w:rsidR="006F0757" w:rsidRPr="00A41CE1" w:rsidRDefault="00A41CE1" w:rsidP="00A41CE1">
      <w:pPr>
        <w:pStyle w:val="Heading1"/>
      </w:pPr>
      <w:bookmarkStart w:id="6" w:name="_Toc161154479"/>
      <w:r w:rsidRPr="00A41CE1">
        <w:lastRenderedPageBreak/>
        <w:t>References</w:t>
      </w:r>
      <w:bookmarkEnd w:id="6"/>
    </w:p>
    <w:p w14:paraId="4FFE9887" w14:textId="77777777" w:rsidR="00A41CE1" w:rsidRDefault="00A41CE1" w:rsidP="00A41CE1">
      <w:pPr>
        <w:pStyle w:val="NormalWeb"/>
        <w:spacing w:before="0" w:beforeAutospacing="0" w:after="240" w:afterAutospacing="0" w:line="360" w:lineRule="auto"/>
      </w:pPr>
      <w:r>
        <w:t xml:space="preserve">Barth, M.E., Beaver, W.H., Hand, J.R.M. and Landsman, W.R. (2021). Accruals, Cash Flows, and Equity Values. </w:t>
      </w:r>
      <w:r>
        <w:rPr>
          <w:i/>
          <w:iCs/>
        </w:rPr>
        <w:t>Review of Accounting Studies</w:t>
      </w:r>
      <w:r>
        <w:t xml:space="preserve">, [online] 4(3/4), pp.205–229. </w:t>
      </w:r>
      <w:proofErr w:type="spellStart"/>
      <w:r>
        <w:t>doi:https</w:t>
      </w:r>
      <w:proofErr w:type="spellEnd"/>
      <w:r>
        <w:t>://doi.org/10.1023/a:1009630100586.</w:t>
      </w:r>
    </w:p>
    <w:p w14:paraId="752E4D1B" w14:textId="77777777" w:rsidR="00A41CE1" w:rsidRDefault="00A41CE1" w:rsidP="00A41CE1">
      <w:pPr>
        <w:pStyle w:val="NormalWeb"/>
        <w:spacing w:before="0" w:beforeAutospacing="0" w:after="240" w:afterAutospacing="0" w:line="360" w:lineRule="auto"/>
      </w:pPr>
      <w:proofErr w:type="spellStart"/>
      <w:r>
        <w:t>BenZion</w:t>
      </w:r>
      <w:proofErr w:type="spellEnd"/>
      <w:r>
        <w:t xml:space="preserve">, U. and </w:t>
      </w:r>
      <w:proofErr w:type="spellStart"/>
      <w:r>
        <w:t>Weinblatt</w:t>
      </w:r>
      <w:proofErr w:type="spellEnd"/>
      <w:r>
        <w:t xml:space="preserve">, J. (2023). Purchasing power, interest rate parities and the modified Fisher effect in presence of tax agreements. </w:t>
      </w:r>
      <w:r>
        <w:rPr>
          <w:i/>
          <w:iCs/>
        </w:rPr>
        <w:t>Journal of International Money and Finance</w:t>
      </w:r>
      <w:r>
        <w:t xml:space="preserve">, 3(1), pp.67–73. </w:t>
      </w:r>
      <w:proofErr w:type="spellStart"/>
      <w:proofErr w:type="gramStart"/>
      <w:r>
        <w:t>doi:https</w:t>
      </w:r>
      <w:proofErr w:type="spellEnd"/>
      <w:r>
        <w:t>://doi.org/10.1016/0261-5606(84)90030-5</w:t>
      </w:r>
      <w:proofErr w:type="gramEnd"/>
      <w:r>
        <w:t>.</w:t>
      </w:r>
    </w:p>
    <w:p w14:paraId="0C50EB64" w14:textId="77777777" w:rsidR="00A41CE1" w:rsidRDefault="00A41CE1" w:rsidP="00A41CE1">
      <w:pPr>
        <w:pStyle w:val="NormalWeb"/>
        <w:spacing w:before="0" w:beforeAutospacing="0" w:after="240" w:afterAutospacing="0" w:line="360" w:lineRule="auto"/>
      </w:pPr>
      <w:r>
        <w:t xml:space="preserve">Bharath, S.T., Dahiya, S., Saunders, A. and Srinivasan, A. (2023). Lending Relationships and Loan Contract Terms. </w:t>
      </w:r>
      <w:r>
        <w:rPr>
          <w:i/>
          <w:iCs/>
        </w:rPr>
        <w:t>Review of Financial Studies</w:t>
      </w:r>
      <w:r>
        <w:t xml:space="preserve">, [online] 24(4), pp.1141–1203. </w:t>
      </w:r>
      <w:proofErr w:type="spellStart"/>
      <w:r>
        <w:t>doi:https</w:t>
      </w:r>
      <w:proofErr w:type="spellEnd"/>
      <w:r>
        <w:t>://doi.org/10.1093/</w:t>
      </w:r>
      <w:proofErr w:type="spellStart"/>
      <w:r>
        <w:t>rfs</w:t>
      </w:r>
      <w:proofErr w:type="spellEnd"/>
      <w:r>
        <w:t>/hhp064.</w:t>
      </w:r>
    </w:p>
    <w:p w14:paraId="17630212" w14:textId="77777777" w:rsidR="00A41CE1" w:rsidRDefault="00A41CE1" w:rsidP="00A41CE1">
      <w:pPr>
        <w:pStyle w:val="NormalWeb"/>
        <w:spacing w:before="0" w:beforeAutospacing="0" w:after="240" w:afterAutospacing="0" w:line="360" w:lineRule="auto"/>
      </w:pPr>
      <w:r>
        <w:t xml:space="preserve">Blundell, T. (2023). Over the fields. </w:t>
      </w:r>
      <w:r>
        <w:rPr>
          <w:i/>
          <w:iCs/>
        </w:rPr>
        <w:t>Nature</w:t>
      </w:r>
      <w:r>
        <w:t xml:space="preserve">, 341(6240), pp.357–357. </w:t>
      </w:r>
      <w:proofErr w:type="spellStart"/>
      <w:r>
        <w:t>doi:https</w:t>
      </w:r>
      <w:proofErr w:type="spellEnd"/>
      <w:r>
        <w:t>://doi.org/10.1038/341357a0.</w:t>
      </w:r>
    </w:p>
    <w:p w14:paraId="4C531C7E" w14:textId="77777777" w:rsidR="00A41CE1" w:rsidRDefault="00A41CE1" w:rsidP="00A41CE1">
      <w:pPr>
        <w:pStyle w:val="NormalWeb"/>
        <w:spacing w:before="0" w:beforeAutospacing="0" w:after="240" w:afterAutospacing="0" w:line="360" w:lineRule="auto"/>
      </w:pPr>
      <w:r>
        <w:t xml:space="preserve">Carpenter, R.E. and Petersen, B.C. (2023). Capital Market Imperfections, High‐Tech Investment, and New Equity Financing. </w:t>
      </w:r>
      <w:r>
        <w:rPr>
          <w:i/>
          <w:iCs/>
        </w:rPr>
        <w:t>The Economic Journal</w:t>
      </w:r>
      <w:r>
        <w:t xml:space="preserve">, 112(477), </w:t>
      </w:r>
      <w:proofErr w:type="gramStart"/>
      <w:r>
        <w:t>pp.F</w:t>
      </w:r>
      <w:proofErr w:type="gramEnd"/>
      <w:r>
        <w:t xml:space="preserve">54–F72. </w:t>
      </w:r>
      <w:proofErr w:type="spellStart"/>
      <w:r>
        <w:t>doi:https</w:t>
      </w:r>
      <w:proofErr w:type="spellEnd"/>
      <w:r>
        <w:t>://doi.org/10.1111/1468-0297.00683.</w:t>
      </w:r>
    </w:p>
    <w:p w14:paraId="2B78F134" w14:textId="77777777" w:rsidR="00A41CE1" w:rsidRDefault="00A41CE1" w:rsidP="00A41CE1">
      <w:pPr>
        <w:pStyle w:val="NormalWeb"/>
        <w:spacing w:before="0" w:beforeAutospacing="0" w:after="240" w:afterAutospacing="0" w:line="360" w:lineRule="auto"/>
      </w:pPr>
      <w:r>
        <w:t xml:space="preserve">Crabb, P.R. (2022). Multinational corporations and hedging exchange rate exposure. </w:t>
      </w:r>
      <w:r>
        <w:rPr>
          <w:i/>
          <w:iCs/>
        </w:rPr>
        <w:t>International Review of Economics &amp; Finance</w:t>
      </w:r>
      <w:r>
        <w:t xml:space="preserve">, 11(3), pp.299–314. </w:t>
      </w:r>
      <w:proofErr w:type="spellStart"/>
      <w:proofErr w:type="gramStart"/>
      <w:r>
        <w:t>doi:https</w:t>
      </w:r>
      <w:proofErr w:type="spellEnd"/>
      <w:r>
        <w:t>://doi.org/10.1016/s1059-0560(02)00110-7</w:t>
      </w:r>
      <w:proofErr w:type="gramEnd"/>
      <w:r>
        <w:t>.</w:t>
      </w:r>
    </w:p>
    <w:p w14:paraId="59CA3327" w14:textId="77777777" w:rsidR="00A41CE1" w:rsidRDefault="00A41CE1" w:rsidP="00A41CE1">
      <w:pPr>
        <w:pStyle w:val="NormalWeb"/>
        <w:spacing w:before="0" w:beforeAutospacing="0" w:after="240" w:afterAutospacing="0" w:line="360" w:lineRule="auto"/>
      </w:pPr>
      <w:r>
        <w:t xml:space="preserve">DUMAS, B. and SOLNIK, B. (2022). The World Price of Foreign Exchange Risk. </w:t>
      </w:r>
      <w:r>
        <w:rPr>
          <w:i/>
          <w:iCs/>
        </w:rPr>
        <w:t>The Journal of Finance</w:t>
      </w:r>
      <w:r>
        <w:t xml:space="preserve">, 50(2), pp.445–479. </w:t>
      </w:r>
      <w:proofErr w:type="spellStart"/>
      <w:r>
        <w:t>doi:https</w:t>
      </w:r>
      <w:proofErr w:type="spellEnd"/>
      <w:r>
        <w:t>://doi.org/10.1111/j.1540-6261.1995.tb04791.x.</w:t>
      </w:r>
    </w:p>
    <w:p w14:paraId="3D194226" w14:textId="77777777" w:rsidR="00A41CE1" w:rsidRDefault="00A41CE1" w:rsidP="00A41CE1">
      <w:pPr>
        <w:pStyle w:val="NormalWeb"/>
        <w:spacing w:before="0" w:beforeAutospacing="0" w:after="240" w:afterAutospacing="0" w:line="360" w:lineRule="auto"/>
      </w:pPr>
      <w:proofErr w:type="spellStart"/>
      <w:r>
        <w:t>Gujarathi</w:t>
      </w:r>
      <w:proofErr w:type="spellEnd"/>
      <w:r>
        <w:t xml:space="preserve">, M.R. (2022). GlaxoSmithKline Plc.: International Transfer Pricing and Taxation. </w:t>
      </w:r>
      <w:r>
        <w:rPr>
          <w:i/>
          <w:iCs/>
        </w:rPr>
        <w:t>Issues in Accounting Education</w:t>
      </w:r>
      <w:r>
        <w:t xml:space="preserve">, 22(4), pp.749–759. </w:t>
      </w:r>
      <w:proofErr w:type="spellStart"/>
      <w:r>
        <w:t>doi:https</w:t>
      </w:r>
      <w:proofErr w:type="spellEnd"/>
      <w:r>
        <w:t>://doi.org/10.2308/iace.2007.22.4.749.</w:t>
      </w:r>
    </w:p>
    <w:p w14:paraId="0D0B83A0" w14:textId="77777777" w:rsidR="00A41CE1" w:rsidRDefault="00A41CE1" w:rsidP="00A41CE1">
      <w:pPr>
        <w:pStyle w:val="NormalWeb"/>
        <w:spacing w:before="0" w:beforeAutospacing="0" w:after="240" w:afterAutospacing="0" w:line="360" w:lineRule="auto"/>
      </w:pPr>
      <w:r>
        <w:t xml:space="preserve">HBR Store. (2022). </w:t>
      </w:r>
      <w:r>
        <w:rPr>
          <w:i/>
          <w:iCs/>
        </w:rPr>
        <w:t>New Venture Financing ^ 802131</w:t>
      </w:r>
      <w:r>
        <w:t>. [online] Available at: https://store.hbr.org/product/new-venture-financing/802131 [Accessed 12 Mar. 2024].</w:t>
      </w:r>
    </w:p>
    <w:p w14:paraId="0DC5401C" w14:textId="77777777" w:rsidR="00A41CE1" w:rsidRDefault="00A41CE1" w:rsidP="00A41CE1">
      <w:pPr>
        <w:pStyle w:val="NormalWeb"/>
        <w:spacing w:before="0" w:beforeAutospacing="0" w:after="240" w:afterAutospacing="0" w:line="360" w:lineRule="auto"/>
      </w:pPr>
      <w:r>
        <w:lastRenderedPageBreak/>
        <w:t xml:space="preserve">Jensen, M.C., Fischer Black and Scholes, M.S. (2022). </w:t>
      </w:r>
      <w:r>
        <w:rPr>
          <w:i/>
          <w:iCs/>
        </w:rPr>
        <w:t>The Capital Asset Pricing Model: Some Empirical Tests</w:t>
      </w:r>
      <w:r>
        <w:t>. [online] Available at: https://www.semanticscholar.org/paper/The-Capital-Asset-Pricing-Model%3A-Some-Empirical-Jensen-Black/ca5c1407b5cf8257a7efbe425e72e9d8e17897c1.</w:t>
      </w:r>
    </w:p>
    <w:p w14:paraId="63392160" w14:textId="77777777" w:rsidR="00A41CE1" w:rsidRDefault="00A41CE1" w:rsidP="00A41CE1">
      <w:pPr>
        <w:pStyle w:val="NormalWeb"/>
        <w:spacing w:before="0" w:beforeAutospacing="0" w:after="240" w:afterAutospacing="0" w:line="360" w:lineRule="auto"/>
      </w:pPr>
      <w:proofErr w:type="spellStart"/>
      <w:r>
        <w:t>Maljers</w:t>
      </w:r>
      <w:proofErr w:type="spellEnd"/>
      <w:r>
        <w:t xml:space="preserve">, F.A. (2022). </w:t>
      </w:r>
      <w:r>
        <w:rPr>
          <w:i/>
          <w:iCs/>
        </w:rPr>
        <w:t>Inside Unilever: The Evolving Transnational Company</w:t>
      </w:r>
      <w:r>
        <w:t>. [online] Harvard Business Review. Available at: https://hbr.org/1992/09/inside-unilever-the-evolving-transnational-company.</w:t>
      </w:r>
    </w:p>
    <w:p w14:paraId="21C24A5A" w14:textId="77777777" w:rsidR="00A41CE1" w:rsidRDefault="00A41CE1" w:rsidP="00A41CE1">
      <w:pPr>
        <w:pStyle w:val="NormalWeb"/>
        <w:spacing w:before="0" w:beforeAutospacing="0" w:after="240" w:afterAutospacing="0" w:line="360" w:lineRule="auto"/>
      </w:pPr>
      <w:r>
        <w:t xml:space="preserve">Melvin, M. and </w:t>
      </w:r>
      <w:proofErr w:type="spellStart"/>
      <w:r>
        <w:t>Norrbin</w:t>
      </w:r>
      <w:proofErr w:type="spellEnd"/>
      <w:r>
        <w:t xml:space="preserve">, S. (2022). </w:t>
      </w:r>
      <w:r>
        <w:rPr>
          <w:i/>
          <w:iCs/>
        </w:rPr>
        <w:t>Chapter 9 - Financial Management of the Multinational Firm</w:t>
      </w:r>
      <w:r>
        <w:t>. [online] ScienceDirect. Available at: https://www.sciencedirect.com/science/article/abs/pii/B9780128041062000095.</w:t>
      </w:r>
    </w:p>
    <w:p w14:paraId="35AB1671" w14:textId="77777777" w:rsidR="00A41CE1" w:rsidRDefault="00A41CE1" w:rsidP="00A41CE1">
      <w:pPr>
        <w:pStyle w:val="NormalWeb"/>
        <w:spacing w:before="0" w:beforeAutospacing="0" w:after="240" w:afterAutospacing="0" w:line="360" w:lineRule="auto"/>
      </w:pPr>
      <w:r>
        <w:t xml:space="preserve">Taylor, A.M. (2022). A Century of Purchasing-Power Parity. </w:t>
      </w:r>
      <w:r>
        <w:rPr>
          <w:i/>
          <w:iCs/>
        </w:rPr>
        <w:t>Review of Economics and Statistics</w:t>
      </w:r>
      <w:r>
        <w:t xml:space="preserve">, 84(1), pp.139–150. </w:t>
      </w:r>
      <w:proofErr w:type="spellStart"/>
      <w:r>
        <w:t>doi:https</w:t>
      </w:r>
      <w:proofErr w:type="spellEnd"/>
      <w:r>
        <w:t>://doi.org/10.1162/003465302317331973.</w:t>
      </w:r>
    </w:p>
    <w:p w14:paraId="7F88CC48" w14:textId="77777777" w:rsidR="00A41CE1" w:rsidRDefault="00A41CE1" w:rsidP="00A41CE1">
      <w:pPr>
        <w:pStyle w:val="NormalWeb"/>
        <w:spacing w:before="0" w:beforeAutospacing="0" w:after="240" w:afterAutospacing="0" w:line="360" w:lineRule="auto"/>
      </w:pPr>
      <w:r>
        <w:t xml:space="preserve">Taylor, A.M. and Taylor, M.P. (2022). The Purchasing Power Parity Debate. </w:t>
      </w:r>
      <w:r>
        <w:rPr>
          <w:i/>
          <w:iCs/>
        </w:rPr>
        <w:t>Journal of Economic Perspectives</w:t>
      </w:r>
      <w:r>
        <w:t xml:space="preserve">, 18(4), pp.135–158. </w:t>
      </w:r>
      <w:proofErr w:type="spellStart"/>
      <w:r>
        <w:t>doi:https</w:t>
      </w:r>
      <w:proofErr w:type="spellEnd"/>
      <w:r>
        <w:t>://doi.org/10.1257/0895330042632744.</w:t>
      </w:r>
    </w:p>
    <w:p w14:paraId="3E11E130" w14:textId="77777777" w:rsidR="00A41CE1" w:rsidRDefault="00A41CE1" w:rsidP="00A41CE1">
      <w:pPr>
        <w:pStyle w:val="NormalWeb"/>
        <w:spacing w:before="0" w:beforeAutospacing="0" w:after="240" w:afterAutospacing="0" w:line="360" w:lineRule="auto"/>
      </w:pPr>
      <w:proofErr w:type="spellStart"/>
      <w:r>
        <w:t>TheFreeDictionary</w:t>
      </w:r>
      <w:proofErr w:type="spellEnd"/>
      <w:r>
        <w:t xml:space="preserve">. (2022). </w:t>
      </w:r>
      <w:r>
        <w:rPr>
          <w:i/>
          <w:iCs/>
        </w:rPr>
        <w:t>loan syndication</w:t>
      </w:r>
      <w:r>
        <w:t>. [online] Available at: https://legal-dictionary.thefreedictionary.com/loan+syndication [Accessed 12 Mar. 2024].</w:t>
      </w:r>
    </w:p>
    <w:p w14:paraId="00000016" w14:textId="77777777" w:rsidR="006F0757" w:rsidRDefault="006F0757">
      <w:pPr>
        <w:spacing w:before="200" w:line="360" w:lineRule="auto"/>
        <w:jc w:val="both"/>
        <w:rPr>
          <w:rFonts w:ascii="Times New Roman" w:eastAsia="Times New Roman" w:hAnsi="Times New Roman" w:cs="Times New Roman"/>
          <w:sz w:val="24"/>
          <w:szCs w:val="24"/>
        </w:rPr>
      </w:pPr>
    </w:p>
    <w:sectPr w:rsidR="006F0757" w:rsidSect="00D46F6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A1F59" w14:textId="77777777" w:rsidR="00D46F69" w:rsidRDefault="00D46F69" w:rsidP="00A41CE1">
      <w:pPr>
        <w:spacing w:line="240" w:lineRule="auto"/>
      </w:pPr>
      <w:r>
        <w:separator/>
      </w:r>
    </w:p>
  </w:endnote>
  <w:endnote w:type="continuationSeparator" w:id="0">
    <w:p w14:paraId="652A04FA" w14:textId="77777777" w:rsidR="00D46F69" w:rsidRDefault="00D46F69" w:rsidP="00A41C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081786"/>
      <w:docPartObj>
        <w:docPartGallery w:val="Page Numbers (Bottom of Page)"/>
        <w:docPartUnique/>
      </w:docPartObj>
    </w:sdtPr>
    <w:sdtEndPr>
      <w:rPr>
        <w:rFonts w:ascii="Times New Roman" w:hAnsi="Times New Roman" w:cs="Times New Roman"/>
        <w:noProof/>
        <w:sz w:val="20"/>
        <w:szCs w:val="20"/>
      </w:rPr>
    </w:sdtEndPr>
    <w:sdtContent>
      <w:p w14:paraId="0274762F" w14:textId="526F7AA1" w:rsidR="00A41CE1" w:rsidRPr="00A41CE1" w:rsidRDefault="00A41CE1">
        <w:pPr>
          <w:pStyle w:val="Footer"/>
          <w:jc w:val="right"/>
          <w:rPr>
            <w:rFonts w:ascii="Times New Roman" w:hAnsi="Times New Roman" w:cs="Times New Roman"/>
            <w:sz w:val="20"/>
            <w:szCs w:val="20"/>
          </w:rPr>
        </w:pPr>
        <w:r w:rsidRPr="00A41CE1">
          <w:rPr>
            <w:rFonts w:ascii="Times New Roman" w:hAnsi="Times New Roman" w:cs="Times New Roman"/>
            <w:sz w:val="20"/>
            <w:szCs w:val="20"/>
          </w:rPr>
          <w:fldChar w:fldCharType="begin"/>
        </w:r>
        <w:r w:rsidRPr="00A41CE1">
          <w:rPr>
            <w:rFonts w:ascii="Times New Roman" w:hAnsi="Times New Roman" w:cs="Times New Roman"/>
            <w:sz w:val="20"/>
            <w:szCs w:val="20"/>
          </w:rPr>
          <w:instrText xml:space="preserve"> PAGE   \* MERGEFORMAT </w:instrText>
        </w:r>
        <w:r w:rsidRPr="00A41CE1">
          <w:rPr>
            <w:rFonts w:ascii="Times New Roman" w:hAnsi="Times New Roman" w:cs="Times New Roman"/>
            <w:sz w:val="20"/>
            <w:szCs w:val="20"/>
          </w:rPr>
          <w:fldChar w:fldCharType="separate"/>
        </w:r>
        <w:r>
          <w:rPr>
            <w:rFonts w:ascii="Times New Roman" w:hAnsi="Times New Roman" w:cs="Times New Roman"/>
            <w:noProof/>
            <w:sz w:val="20"/>
            <w:szCs w:val="20"/>
          </w:rPr>
          <w:t>6</w:t>
        </w:r>
        <w:r w:rsidRPr="00A41CE1">
          <w:rPr>
            <w:rFonts w:ascii="Times New Roman" w:hAnsi="Times New Roman" w:cs="Times New Roman"/>
            <w:noProof/>
            <w:sz w:val="20"/>
            <w:szCs w:val="20"/>
          </w:rPr>
          <w:fldChar w:fldCharType="end"/>
        </w:r>
      </w:p>
    </w:sdtContent>
  </w:sdt>
  <w:p w14:paraId="3DF06CA6" w14:textId="77777777" w:rsidR="00A41CE1" w:rsidRDefault="00A41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6EF37" w14:textId="77777777" w:rsidR="00D46F69" w:rsidRDefault="00D46F69" w:rsidP="00A41CE1">
      <w:pPr>
        <w:spacing w:line="240" w:lineRule="auto"/>
      </w:pPr>
      <w:r>
        <w:separator/>
      </w:r>
    </w:p>
  </w:footnote>
  <w:footnote w:type="continuationSeparator" w:id="0">
    <w:p w14:paraId="0D4E24A6" w14:textId="77777777" w:rsidR="00D46F69" w:rsidRDefault="00D46F69" w:rsidP="00A41C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F0757"/>
    <w:rsid w:val="0012199E"/>
    <w:rsid w:val="006F0757"/>
    <w:rsid w:val="00A11B09"/>
    <w:rsid w:val="00A41CE1"/>
    <w:rsid w:val="00C24334"/>
    <w:rsid w:val="00D4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1AC8F"/>
  <w15:docId w15:val="{596C0314-C751-D044-B1E7-B25E57D9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41CE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41CE1"/>
    <w:pPr>
      <w:tabs>
        <w:tab w:val="center" w:pos="4680"/>
        <w:tab w:val="right" w:pos="9360"/>
      </w:tabs>
      <w:spacing w:line="240" w:lineRule="auto"/>
    </w:pPr>
  </w:style>
  <w:style w:type="character" w:customStyle="1" w:styleId="HeaderChar">
    <w:name w:val="Header Char"/>
    <w:basedOn w:val="DefaultParagraphFont"/>
    <w:link w:val="Header"/>
    <w:uiPriority w:val="99"/>
    <w:rsid w:val="00A41CE1"/>
  </w:style>
  <w:style w:type="paragraph" w:styleId="Footer">
    <w:name w:val="footer"/>
    <w:basedOn w:val="Normal"/>
    <w:link w:val="FooterChar"/>
    <w:uiPriority w:val="99"/>
    <w:unhideWhenUsed/>
    <w:rsid w:val="00A41CE1"/>
    <w:pPr>
      <w:tabs>
        <w:tab w:val="center" w:pos="4680"/>
        <w:tab w:val="right" w:pos="9360"/>
      </w:tabs>
      <w:spacing w:line="240" w:lineRule="auto"/>
    </w:pPr>
  </w:style>
  <w:style w:type="character" w:customStyle="1" w:styleId="FooterChar">
    <w:name w:val="Footer Char"/>
    <w:basedOn w:val="DefaultParagraphFont"/>
    <w:link w:val="Footer"/>
    <w:uiPriority w:val="99"/>
    <w:rsid w:val="00A41CE1"/>
  </w:style>
  <w:style w:type="paragraph" w:styleId="NormalWeb">
    <w:name w:val="Normal (Web)"/>
    <w:basedOn w:val="Normal"/>
    <w:uiPriority w:val="99"/>
    <w:semiHidden/>
    <w:unhideWhenUsed/>
    <w:rsid w:val="00A41CE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A41CE1"/>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A41CE1"/>
    <w:pPr>
      <w:spacing w:after="100"/>
    </w:pPr>
  </w:style>
  <w:style w:type="character" w:styleId="Hyperlink">
    <w:name w:val="Hyperlink"/>
    <w:basedOn w:val="DefaultParagraphFont"/>
    <w:uiPriority w:val="99"/>
    <w:unhideWhenUsed/>
    <w:rsid w:val="00A41CE1"/>
    <w:rPr>
      <w:color w:val="0000FF" w:themeColor="hyperlink"/>
      <w:u w:val="single"/>
    </w:rPr>
  </w:style>
  <w:style w:type="paragraph" w:styleId="BalloonText">
    <w:name w:val="Balloon Text"/>
    <w:basedOn w:val="Normal"/>
    <w:link w:val="BalloonTextChar"/>
    <w:uiPriority w:val="99"/>
    <w:semiHidden/>
    <w:unhideWhenUsed/>
    <w:rsid w:val="00A41C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C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588522">
      <w:bodyDiv w:val="1"/>
      <w:marLeft w:val="0"/>
      <w:marRight w:val="0"/>
      <w:marTop w:val="0"/>
      <w:marBottom w:val="0"/>
      <w:divBdr>
        <w:top w:val="none" w:sz="0" w:space="0" w:color="auto"/>
        <w:left w:val="none" w:sz="0" w:space="0" w:color="auto"/>
        <w:bottom w:val="none" w:sz="0" w:space="0" w:color="auto"/>
        <w:right w:val="none" w:sz="0" w:space="0" w:color="auto"/>
      </w:divBdr>
      <w:divsChild>
        <w:div w:id="19887759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35FE5-2062-4231-8A15-4D6102D8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Stanimir Kolev</cp:lastModifiedBy>
  <cp:revision>3</cp:revision>
  <dcterms:created xsi:type="dcterms:W3CDTF">2024-03-12T11:14:00Z</dcterms:created>
  <dcterms:modified xsi:type="dcterms:W3CDTF">2024-04-01T12:18:00Z</dcterms:modified>
</cp:coreProperties>
</file>