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E49F4" w14:textId="77777777" w:rsidR="00DB05E1" w:rsidRDefault="00DB05E1">
      <w:pPr>
        <w:spacing w:after="200"/>
      </w:pPr>
    </w:p>
    <w:p w14:paraId="04E7C932" w14:textId="77777777" w:rsidR="00DB05E1" w:rsidRDefault="00000000">
      <w:pPr>
        <w:spacing w:after="80"/>
        <w:jc w:val="center"/>
      </w:pPr>
      <w:r>
        <w:rPr>
          <w:rFonts w:ascii="Calibri" w:eastAsia="Calibri" w:hAnsi="Calibri" w:cs="Calibri"/>
          <w:i/>
          <w:iCs/>
          <w:color w:val="80BFCC"/>
        </w:rPr>
        <w:t>LCHS4001 – Academic and Employability Skills</w:t>
      </w:r>
    </w:p>
    <w:p w14:paraId="4B1E3571" w14:textId="77777777" w:rsidR="00DB05E1" w:rsidRDefault="00000000">
      <w:pPr>
        <w:spacing w:after="100"/>
        <w:jc w:val="center"/>
      </w:pPr>
      <w:r>
        <w:rPr>
          <w:rFonts w:ascii="Cambria" w:eastAsia="Cambria" w:hAnsi="Cambria" w:cs="Cambria"/>
          <w:b/>
          <w:bCs/>
          <w:color w:val="1A3C5E"/>
          <w:sz w:val="56"/>
          <w:szCs w:val="56"/>
        </w:rPr>
        <w:t>Task 3: Written Report</w:t>
      </w:r>
    </w:p>
    <w:p w14:paraId="60F50551" w14:textId="77777777" w:rsidR="00DB05E1" w:rsidRDefault="00000000">
      <w:pPr>
        <w:spacing w:after="60"/>
        <w:jc w:val="center"/>
      </w:pPr>
      <w:r>
        <w:rPr>
          <w:rFonts w:ascii="Cambria" w:eastAsia="Cambria" w:hAnsi="Cambria" w:cs="Cambria"/>
          <w:b/>
          <w:bCs/>
          <w:color w:val="028090"/>
          <w:sz w:val="30"/>
          <w:szCs w:val="30"/>
        </w:rPr>
        <w:t>The Role of a Children's Social Worker:</w:t>
      </w:r>
    </w:p>
    <w:p w14:paraId="32D9E964" w14:textId="77777777" w:rsidR="00DB05E1" w:rsidRDefault="00000000">
      <w:pPr>
        <w:spacing w:after="200"/>
        <w:jc w:val="center"/>
      </w:pPr>
      <w:r>
        <w:rPr>
          <w:rFonts w:ascii="Cambria" w:eastAsia="Cambria" w:hAnsi="Cambria" w:cs="Cambria"/>
          <w:b/>
          <w:bCs/>
          <w:color w:val="028090"/>
          <w:sz w:val="30"/>
          <w:szCs w:val="30"/>
        </w:rPr>
        <w:t>Essential Skills and Strategies for Development</w:t>
      </w:r>
    </w:p>
    <w:p w14:paraId="6CDB698E" w14:textId="77777777" w:rsidR="00DB05E1" w:rsidRDefault="00DB05E1">
      <w:pPr>
        <w:pBdr>
          <w:bottom w:val="single" w:sz="4" w:space="0" w:color="C0DDE2"/>
        </w:pBdr>
        <w:spacing w:before="100" w:after="100"/>
      </w:pPr>
    </w:p>
    <w:p w14:paraId="386D70AF" w14:textId="77777777" w:rsidR="00DB05E1" w:rsidRDefault="00DB05E1">
      <w:pPr>
        <w:spacing w:before="120"/>
      </w:pPr>
    </w:p>
    <w:tbl>
      <w:tblPr>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53"/>
        <w:gridCol w:w="5485"/>
      </w:tblGrid>
      <w:tr w:rsidR="00DB05E1" w14:paraId="2992DFFB" w14:textId="77777777">
        <w:tc>
          <w:tcPr>
            <w:tcW w:w="1750" w:type="pct"/>
            <w:shd w:val="clear" w:color="auto" w:fill="E8F5F7"/>
            <w:tcMar>
              <w:top w:w="60" w:type="dxa"/>
              <w:left w:w="120" w:type="dxa"/>
              <w:bottom w:w="60" w:type="dxa"/>
              <w:right w:w="80" w:type="dxa"/>
            </w:tcMar>
          </w:tcPr>
          <w:p w14:paraId="5988CC67" w14:textId="77777777" w:rsidR="00DB05E1" w:rsidRDefault="00000000">
            <w:pPr>
              <w:spacing w:before="60" w:after="60"/>
            </w:pPr>
            <w:r>
              <w:rPr>
                <w:rFonts w:ascii="Calibri" w:eastAsia="Calibri" w:hAnsi="Calibri" w:cs="Calibri"/>
                <w:b/>
                <w:bCs/>
                <w:color w:val="1A3C5E"/>
              </w:rPr>
              <w:t>Student Name:</w:t>
            </w:r>
          </w:p>
        </w:tc>
        <w:tc>
          <w:tcPr>
            <w:tcW w:w="3250" w:type="pct"/>
            <w:tcMar>
              <w:top w:w="60" w:type="dxa"/>
              <w:left w:w="120" w:type="dxa"/>
              <w:bottom w:w="60" w:type="dxa"/>
              <w:right w:w="80" w:type="dxa"/>
            </w:tcMar>
          </w:tcPr>
          <w:p w14:paraId="70167BA8" w14:textId="7F21B4F3" w:rsidR="00DB05E1" w:rsidRPr="00E60EAD" w:rsidRDefault="00E60EAD">
            <w:pPr>
              <w:spacing w:before="60" w:after="60"/>
              <w:rPr>
                <w:lang w:val="en-US"/>
              </w:rPr>
            </w:pPr>
            <w:r w:rsidRPr="00E60EAD">
              <w:rPr>
                <w:rFonts w:ascii="Calibri" w:eastAsia="Calibri" w:hAnsi="Calibri" w:cs="Calibri"/>
                <w:color w:val="1C2B36"/>
              </w:rPr>
              <w:t>Lea Antonio Cotela Imbana</w:t>
            </w:r>
          </w:p>
        </w:tc>
      </w:tr>
      <w:tr w:rsidR="00DB05E1" w14:paraId="4ABC7CCE" w14:textId="77777777">
        <w:tc>
          <w:tcPr>
            <w:tcW w:w="1750" w:type="pct"/>
            <w:shd w:val="clear" w:color="auto" w:fill="E8F5F7"/>
            <w:tcMar>
              <w:top w:w="60" w:type="dxa"/>
              <w:left w:w="120" w:type="dxa"/>
              <w:bottom w:w="60" w:type="dxa"/>
              <w:right w:w="80" w:type="dxa"/>
            </w:tcMar>
          </w:tcPr>
          <w:p w14:paraId="02A77515" w14:textId="77777777" w:rsidR="00DB05E1" w:rsidRDefault="00000000">
            <w:pPr>
              <w:spacing w:before="60" w:after="60"/>
            </w:pPr>
            <w:r>
              <w:rPr>
                <w:rFonts w:ascii="Calibri" w:eastAsia="Calibri" w:hAnsi="Calibri" w:cs="Calibri"/>
                <w:b/>
                <w:bCs/>
                <w:color w:val="1A3C5E"/>
              </w:rPr>
              <w:t>Student ID Number:</w:t>
            </w:r>
          </w:p>
        </w:tc>
        <w:tc>
          <w:tcPr>
            <w:tcW w:w="3250" w:type="pct"/>
            <w:tcMar>
              <w:top w:w="60" w:type="dxa"/>
              <w:left w:w="120" w:type="dxa"/>
              <w:bottom w:w="60" w:type="dxa"/>
              <w:right w:w="80" w:type="dxa"/>
            </w:tcMar>
          </w:tcPr>
          <w:p w14:paraId="6D435262" w14:textId="446BD883" w:rsidR="00DB05E1" w:rsidRPr="00E60EAD" w:rsidRDefault="00E60EAD">
            <w:pPr>
              <w:spacing w:before="60" w:after="60"/>
              <w:rPr>
                <w:lang w:val="en-US"/>
              </w:rPr>
            </w:pPr>
            <w:r>
              <w:rPr>
                <w:rFonts w:ascii="Calibri" w:eastAsia="Calibri" w:hAnsi="Calibri" w:cs="Calibri"/>
                <w:color w:val="1C2B36"/>
                <w:lang w:val="en-US"/>
              </w:rPr>
              <w:t>2527003</w:t>
            </w:r>
          </w:p>
        </w:tc>
      </w:tr>
      <w:tr w:rsidR="00DB05E1" w14:paraId="5A2C112B" w14:textId="77777777">
        <w:tc>
          <w:tcPr>
            <w:tcW w:w="1750" w:type="pct"/>
            <w:shd w:val="clear" w:color="auto" w:fill="E8F5F7"/>
            <w:tcMar>
              <w:top w:w="60" w:type="dxa"/>
              <w:left w:w="120" w:type="dxa"/>
              <w:bottom w:w="60" w:type="dxa"/>
              <w:right w:w="80" w:type="dxa"/>
            </w:tcMar>
          </w:tcPr>
          <w:p w14:paraId="3C0CB757" w14:textId="77777777" w:rsidR="00DB05E1" w:rsidRDefault="00000000">
            <w:pPr>
              <w:spacing w:before="60" w:after="60"/>
            </w:pPr>
            <w:r>
              <w:rPr>
                <w:rFonts w:ascii="Calibri" w:eastAsia="Calibri" w:hAnsi="Calibri" w:cs="Calibri"/>
                <w:b/>
                <w:bCs/>
                <w:color w:val="1A3C5E"/>
              </w:rPr>
              <w:t>Programme:</w:t>
            </w:r>
          </w:p>
        </w:tc>
        <w:tc>
          <w:tcPr>
            <w:tcW w:w="3250" w:type="pct"/>
            <w:tcMar>
              <w:top w:w="60" w:type="dxa"/>
              <w:left w:w="120" w:type="dxa"/>
              <w:bottom w:w="60" w:type="dxa"/>
              <w:right w:w="80" w:type="dxa"/>
            </w:tcMar>
          </w:tcPr>
          <w:p w14:paraId="4EE2498A" w14:textId="77777777" w:rsidR="00DB05E1" w:rsidRDefault="00000000">
            <w:pPr>
              <w:spacing w:before="60" w:after="60"/>
            </w:pPr>
            <w:r>
              <w:rPr>
                <w:rFonts w:ascii="Calibri" w:eastAsia="Calibri" w:hAnsi="Calibri" w:cs="Calibri"/>
                <w:color w:val="1C2B36"/>
              </w:rPr>
              <w:t>Certificate of Higher Education – Skills for Workplace: Health and Social Care</w:t>
            </w:r>
          </w:p>
        </w:tc>
      </w:tr>
      <w:tr w:rsidR="00DB05E1" w14:paraId="19188FD2" w14:textId="77777777">
        <w:tc>
          <w:tcPr>
            <w:tcW w:w="1750" w:type="pct"/>
            <w:shd w:val="clear" w:color="auto" w:fill="E8F5F7"/>
            <w:tcMar>
              <w:top w:w="60" w:type="dxa"/>
              <w:left w:w="120" w:type="dxa"/>
              <w:bottom w:w="60" w:type="dxa"/>
              <w:right w:w="80" w:type="dxa"/>
            </w:tcMar>
          </w:tcPr>
          <w:p w14:paraId="679B76E2" w14:textId="77777777" w:rsidR="00DB05E1" w:rsidRDefault="00000000">
            <w:pPr>
              <w:spacing w:before="60" w:after="60"/>
            </w:pPr>
            <w:r>
              <w:rPr>
                <w:rFonts w:ascii="Calibri" w:eastAsia="Calibri" w:hAnsi="Calibri" w:cs="Calibri"/>
                <w:b/>
                <w:bCs/>
                <w:color w:val="1A3C5E"/>
              </w:rPr>
              <w:t>Module Code:</w:t>
            </w:r>
          </w:p>
        </w:tc>
        <w:tc>
          <w:tcPr>
            <w:tcW w:w="3250" w:type="pct"/>
            <w:tcMar>
              <w:top w:w="60" w:type="dxa"/>
              <w:left w:w="120" w:type="dxa"/>
              <w:bottom w:w="60" w:type="dxa"/>
              <w:right w:w="80" w:type="dxa"/>
            </w:tcMar>
          </w:tcPr>
          <w:p w14:paraId="522CBB41" w14:textId="77777777" w:rsidR="00DB05E1" w:rsidRDefault="00000000">
            <w:pPr>
              <w:spacing w:before="60" w:after="60"/>
            </w:pPr>
            <w:r>
              <w:rPr>
                <w:rFonts w:ascii="Calibri" w:eastAsia="Calibri" w:hAnsi="Calibri" w:cs="Calibri"/>
                <w:color w:val="1C2B36"/>
              </w:rPr>
              <w:t>LCHS4001</w:t>
            </w:r>
          </w:p>
        </w:tc>
      </w:tr>
      <w:tr w:rsidR="00DB05E1" w14:paraId="5A91A536" w14:textId="77777777">
        <w:tc>
          <w:tcPr>
            <w:tcW w:w="1750" w:type="pct"/>
            <w:shd w:val="clear" w:color="auto" w:fill="E8F5F7"/>
            <w:tcMar>
              <w:top w:w="60" w:type="dxa"/>
              <w:left w:w="120" w:type="dxa"/>
              <w:bottom w:w="60" w:type="dxa"/>
              <w:right w:w="80" w:type="dxa"/>
            </w:tcMar>
          </w:tcPr>
          <w:p w14:paraId="5E5231A5" w14:textId="77777777" w:rsidR="00DB05E1" w:rsidRDefault="00000000">
            <w:pPr>
              <w:spacing w:before="60" w:after="60"/>
            </w:pPr>
            <w:r>
              <w:rPr>
                <w:rFonts w:ascii="Calibri" w:eastAsia="Calibri" w:hAnsi="Calibri" w:cs="Calibri"/>
                <w:b/>
                <w:bCs/>
                <w:color w:val="1A3C5E"/>
              </w:rPr>
              <w:t>Module Title:</w:t>
            </w:r>
          </w:p>
        </w:tc>
        <w:tc>
          <w:tcPr>
            <w:tcW w:w="3250" w:type="pct"/>
            <w:tcMar>
              <w:top w:w="60" w:type="dxa"/>
              <w:left w:w="120" w:type="dxa"/>
              <w:bottom w:w="60" w:type="dxa"/>
              <w:right w:w="80" w:type="dxa"/>
            </w:tcMar>
          </w:tcPr>
          <w:p w14:paraId="1247764A" w14:textId="77777777" w:rsidR="00DB05E1" w:rsidRDefault="00000000">
            <w:pPr>
              <w:spacing w:before="60" w:after="60"/>
            </w:pPr>
            <w:r>
              <w:rPr>
                <w:rFonts w:ascii="Calibri" w:eastAsia="Calibri" w:hAnsi="Calibri" w:cs="Calibri"/>
                <w:color w:val="1C2B36"/>
              </w:rPr>
              <w:t>Academic and Employability Skills</w:t>
            </w:r>
          </w:p>
        </w:tc>
      </w:tr>
      <w:tr w:rsidR="00DB05E1" w14:paraId="6FDC3CE1" w14:textId="77777777">
        <w:tc>
          <w:tcPr>
            <w:tcW w:w="1750" w:type="pct"/>
            <w:shd w:val="clear" w:color="auto" w:fill="E8F5F7"/>
            <w:tcMar>
              <w:top w:w="60" w:type="dxa"/>
              <w:left w:w="120" w:type="dxa"/>
              <w:bottom w:w="60" w:type="dxa"/>
              <w:right w:w="80" w:type="dxa"/>
            </w:tcMar>
          </w:tcPr>
          <w:p w14:paraId="207BE887" w14:textId="77777777" w:rsidR="00DB05E1" w:rsidRDefault="00000000">
            <w:pPr>
              <w:spacing w:before="60" w:after="60"/>
            </w:pPr>
            <w:r>
              <w:rPr>
                <w:rFonts w:ascii="Calibri" w:eastAsia="Calibri" w:hAnsi="Calibri" w:cs="Calibri"/>
                <w:b/>
                <w:bCs/>
                <w:color w:val="1A3C5E"/>
              </w:rPr>
              <w:t>Lecturer:</w:t>
            </w:r>
          </w:p>
        </w:tc>
        <w:tc>
          <w:tcPr>
            <w:tcW w:w="3250" w:type="pct"/>
            <w:tcMar>
              <w:top w:w="60" w:type="dxa"/>
              <w:left w:w="120" w:type="dxa"/>
              <w:bottom w:w="60" w:type="dxa"/>
              <w:right w:w="80" w:type="dxa"/>
            </w:tcMar>
          </w:tcPr>
          <w:p w14:paraId="4C9449B3" w14:textId="77777777" w:rsidR="00DB05E1" w:rsidRDefault="00000000">
            <w:pPr>
              <w:spacing w:before="60" w:after="60"/>
            </w:pPr>
            <w:r>
              <w:rPr>
                <w:rFonts w:ascii="Calibri" w:eastAsia="Calibri" w:hAnsi="Calibri" w:cs="Calibri"/>
                <w:color w:val="1C2B36"/>
              </w:rPr>
              <w:t>Oluwadamilola Tayo</w:t>
            </w:r>
          </w:p>
        </w:tc>
      </w:tr>
      <w:tr w:rsidR="00DB05E1" w14:paraId="733E92AF" w14:textId="77777777">
        <w:tc>
          <w:tcPr>
            <w:tcW w:w="1750" w:type="pct"/>
            <w:shd w:val="clear" w:color="auto" w:fill="E8F5F7"/>
            <w:tcMar>
              <w:top w:w="60" w:type="dxa"/>
              <w:left w:w="120" w:type="dxa"/>
              <w:bottom w:w="60" w:type="dxa"/>
              <w:right w:w="80" w:type="dxa"/>
            </w:tcMar>
          </w:tcPr>
          <w:p w14:paraId="6F18704F" w14:textId="77777777" w:rsidR="00DB05E1" w:rsidRDefault="00000000">
            <w:pPr>
              <w:spacing w:before="60" w:after="60"/>
            </w:pPr>
            <w:r>
              <w:rPr>
                <w:rFonts w:ascii="Calibri" w:eastAsia="Calibri" w:hAnsi="Calibri" w:cs="Calibri"/>
                <w:b/>
                <w:bCs/>
                <w:color w:val="1A3C5E"/>
              </w:rPr>
              <w:t>Assignment Title:</w:t>
            </w:r>
          </w:p>
        </w:tc>
        <w:tc>
          <w:tcPr>
            <w:tcW w:w="3250" w:type="pct"/>
            <w:tcMar>
              <w:top w:w="60" w:type="dxa"/>
              <w:left w:w="120" w:type="dxa"/>
              <w:bottom w:w="60" w:type="dxa"/>
              <w:right w:w="80" w:type="dxa"/>
            </w:tcMar>
          </w:tcPr>
          <w:p w14:paraId="1799682F" w14:textId="77777777" w:rsidR="00DB05E1" w:rsidRDefault="00000000">
            <w:pPr>
              <w:spacing w:before="60" w:after="60"/>
            </w:pPr>
            <w:r>
              <w:rPr>
                <w:rFonts w:ascii="Calibri" w:eastAsia="Calibri" w:hAnsi="Calibri" w:cs="Calibri"/>
                <w:color w:val="1C2B36"/>
              </w:rPr>
              <w:t>Task 3: Written Report</w:t>
            </w:r>
          </w:p>
        </w:tc>
      </w:tr>
      <w:tr w:rsidR="00DB05E1" w14:paraId="0805C535" w14:textId="77777777">
        <w:tc>
          <w:tcPr>
            <w:tcW w:w="1750" w:type="pct"/>
            <w:shd w:val="clear" w:color="auto" w:fill="E8F5F7"/>
            <w:tcMar>
              <w:top w:w="60" w:type="dxa"/>
              <w:left w:w="120" w:type="dxa"/>
              <w:bottom w:w="60" w:type="dxa"/>
              <w:right w:w="80" w:type="dxa"/>
            </w:tcMar>
          </w:tcPr>
          <w:p w14:paraId="428E4BF2" w14:textId="77777777" w:rsidR="00DB05E1" w:rsidRDefault="00000000">
            <w:pPr>
              <w:spacing w:before="60" w:after="60"/>
            </w:pPr>
            <w:r>
              <w:rPr>
                <w:rFonts w:ascii="Calibri" w:eastAsia="Calibri" w:hAnsi="Calibri" w:cs="Calibri"/>
                <w:b/>
                <w:bCs/>
                <w:color w:val="1A3C5E"/>
              </w:rPr>
              <w:t>Word Count:</w:t>
            </w:r>
          </w:p>
        </w:tc>
        <w:tc>
          <w:tcPr>
            <w:tcW w:w="3250" w:type="pct"/>
            <w:tcMar>
              <w:top w:w="60" w:type="dxa"/>
              <w:left w:w="120" w:type="dxa"/>
              <w:bottom w:w="60" w:type="dxa"/>
              <w:right w:w="80" w:type="dxa"/>
            </w:tcMar>
          </w:tcPr>
          <w:p w14:paraId="68044CDE" w14:textId="13EC7FBA" w:rsidR="00DB05E1" w:rsidRDefault="00000000">
            <w:pPr>
              <w:spacing w:before="60" w:after="60"/>
            </w:pPr>
            <w:r>
              <w:rPr>
                <w:rFonts w:ascii="Calibri" w:eastAsia="Calibri" w:hAnsi="Calibri" w:cs="Calibri"/>
                <w:color w:val="1C2B36"/>
              </w:rPr>
              <w:t>Approximately 1,</w:t>
            </w:r>
            <w:r w:rsidR="00440B82">
              <w:rPr>
                <w:rFonts w:ascii="Calibri" w:eastAsia="Calibri" w:hAnsi="Calibri" w:cs="Calibri"/>
                <w:color w:val="1C2B36"/>
                <w:lang w:val="en-US"/>
              </w:rPr>
              <w:t>5</w:t>
            </w:r>
            <w:r>
              <w:rPr>
                <w:rFonts w:ascii="Calibri" w:eastAsia="Calibri" w:hAnsi="Calibri" w:cs="Calibri"/>
                <w:color w:val="1C2B36"/>
              </w:rPr>
              <w:t>00 words (excluding references and title page)</w:t>
            </w:r>
          </w:p>
        </w:tc>
      </w:tr>
      <w:tr w:rsidR="00DB05E1" w14:paraId="60A35509" w14:textId="77777777">
        <w:tc>
          <w:tcPr>
            <w:tcW w:w="1750" w:type="pct"/>
            <w:shd w:val="clear" w:color="auto" w:fill="E8F5F7"/>
            <w:tcMar>
              <w:top w:w="60" w:type="dxa"/>
              <w:left w:w="120" w:type="dxa"/>
              <w:bottom w:w="60" w:type="dxa"/>
              <w:right w:w="80" w:type="dxa"/>
            </w:tcMar>
          </w:tcPr>
          <w:p w14:paraId="606B2C96" w14:textId="77777777" w:rsidR="00DB05E1" w:rsidRDefault="00000000">
            <w:pPr>
              <w:spacing w:before="60" w:after="60"/>
            </w:pPr>
            <w:r>
              <w:rPr>
                <w:rFonts w:ascii="Calibri" w:eastAsia="Calibri" w:hAnsi="Calibri" w:cs="Calibri"/>
                <w:b/>
                <w:bCs/>
                <w:color w:val="1A3C5E"/>
              </w:rPr>
              <w:t>Submission Date:</w:t>
            </w:r>
          </w:p>
        </w:tc>
        <w:tc>
          <w:tcPr>
            <w:tcW w:w="3250" w:type="pct"/>
            <w:tcMar>
              <w:top w:w="60" w:type="dxa"/>
              <w:left w:w="120" w:type="dxa"/>
              <w:bottom w:w="60" w:type="dxa"/>
              <w:right w:w="80" w:type="dxa"/>
            </w:tcMar>
          </w:tcPr>
          <w:p w14:paraId="0A9A6863" w14:textId="77777777" w:rsidR="00DB05E1" w:rsidRDefault="00000000">
            <w:pPr>
              <w:spacing w:before="60" w:after="60"/>
            </w:pPr>
            <w:r>
              <w:rPr>
                <w:rFonts w:ascii="Calibri" w:eastAsia="Calibri" w:hAnsi="Calibri" w:cs="Calibri"/>
                <w:color w:val="1C2B36"/>
              </w:rPr>
              <w:t>Friday, 21 August 2026, 10:00am via Turnitin</w:t>
            </w:r>
          </w:p>
        </w:tc>
      </w:tr>
    </w:tbl>
    <w:p w14:paraId="75022783" w14:textId="77777777" w:rsidR="00DB05E1" w:rsidRDefault="00DB05E1">
      <w:pPr>
        <w:spacing w:before="200"/>
      </w:pPr>
    </w:p>
    <w:p w14:paraId="6EB2C659" w14:textId="77777777" w:rsidR="00DB05E1" w:rsidRDefault="00000000">
      <w:pPr>
        <w:spacing w:before="80"/>
        <w:jc w:val="center"/>
      </w:pPr>
      <w:r>
        <w:rPr>
          <w:rFonts w:ascii="Calibri" w:eastAsia="Calibri" w:hAnsi="Calibri" w:cs="Calibri"/>
          <w:i/>
          <w:iCs/>
          <w:color w:val="3D5A6E"/>
        </w:rPr>
        <w:t>University of Wales Trinity Saint David</w:t>
      </w:r>
    </w:p>
    <w:p w14:paraId="5B70249D" w14:textId="77777777" w:rsidR="00DB05E1" w:rsidRDefault="00000000">
      <w:r>
        <w:br w:type="page"/>
      </w:r>
    </w:p>
    <w:p w14:paraId="7839849B" w14:textId="77777777" w:rsidR="00DB05E1" w:rsidRDefault="00000000">
      <w:pPr>
        <w:pBdr>
          <w:bottom w:val="single" w:sz="8" w:space="0" w:color="028090"/>
        </w:pBdr>
        <w:spacing w:before="120" w:after="120"/>
      </w:pPr>
      <w:r>
        <w:rPr>
          <w:rFonts w:ascii="Cambria" w:eastAsia="Cambria" w:hAnsi="Cambria" w:cs="Cambria"/>
          <w:b/>
          <w:bCs/>
          <w:color w:val="1A3C5E"/>
          <w:sz w:val="36"/>
          <w:szCs w:val="36"/>
        </w:rPr>
        <w:lastRenderedPageBreak/>
        <w:t>Table of Contents</w:t>
      </w:r>
    </w:p>
    <w:p w14:paraId="51A12BE3" w14:textId="77777777" w:rsidR="00DB05E1" w:rsidRDefault="00DB05E1">
      <w:pPr>
        <w:spacing w:before="80"/>
      </w:pPr>
    </w:p>
    <w:p w14:paraId="2F1D8DCA" w14:textId="77777777" w:rsidR="00DB05E1" w:rsidRDefault="00000000">
      <w:pPr>
        <w:spacing w:before="80" w:after="80"/>
      </w:pPr>
      <w:r>
        <w:rPr>
          <w:rFonts w:ascii="Calibri" w:eastAsia="Calibri" w:hAnsi="Calibri" w:cs="Calibri"/>
          <w:color w:val="1C2B36"/>
          <w:sz w:val="22"/>
          <w:szCs w:val="22"/>
        </w:rPr>
        <w:t>1.  Introduction</w:t>
      </w:r>
      <w:r>
        <w:rPr>
          <w:rFonts w:ascii="Calibri" w:eastAsia="Calibri" w:hAnsi="Calibri" w:cs="Calibri"/>
          <w:i/>
          <w:iCs/>
          <w:color w:val="3D5A6E"/>
          <w:sz w:val="22"/>
          <w:szCs w:val="22"/>
        </w:rPr>
        <w:t xml:space="preserve">  ......  3</w:t>
      </w:r>
    </w:p>
    <w:p w14:paraId="1BD54E8F" w14:textId="77777777" w:rsidR="00DB05E1" w:rsidRDefault="00000000">
      <w:pPr>
        <w:spacing w:before="80" w:after="80"/>
      </w:pPr>
      <w:r>
        <w:rPr>
          <w:rFonts w:ascii="Calibri" w:eastAsia="Calibri" w:hAnsi="Calibri" w:cs="Calibri"/>
          <w:color w:val="1C2B36"/>
          <w:sz w:val="22"/>
          <w:szCs w:val="22"/>
        </w:rPr>
        <w:t>2.  Role Overview: Children's Social Worker</w:t>
      </w:r>
      <w:r>
        <w:rPr>
          <w:rFonts w:ascii="Calibri" w:eastAsia="Calibri" w:hAnsi="Calibri" w:cs="Calibri"/>
          <w:i/>
          <w:iCs/>
          <w:color w:val="3D5A6E"/>
          <w:sz w:val="22"/>
          <w:szCs w:val="22"/>
        </w:rPr>
        <w:t xml:space="preserve">  ......  3</w:t>
      </w:r>
    </w:p>
    <w:p w14:paraId="6133850F" w14:textId="77777777" w:rsidR="00DB05E1" w:rsidRDefault="00000000">
      <w:pPr>
        <w:spacing w:before="80" w:after="80"/>
      </w:pPr>
      <w:r>
        <w:rPr>
          <w:rFonts w:ascii="Calibri" w:eastAsia="Calibri" w:hAnsi="Calibri" w:cs="Calibri"/>
          <w:color w:val="1C2B36"/>
          <w:sz w:val="22"/>
          <w:szCs w:val="22"/>
        </w:rPr>
        <w:t>3.  Essential Skills</w:t>
      </w:r>
      <w:r>
        <w:rPr>
          <w:rFonts w:ascii="Calibri" w:eastAsia="Calibri" w:hAnsi="Calibri" w:cs="Calibri"/>
          <w:i/>
          <w:iCs/>
          <w:color w:val="3D5A6E"/>
          <w:sz w:val="22"/>
          <w:szCs w:val="22"/>
        </w:rPr>
        <w:t xml:space="preserve">  ......  3</w:t>
      </w:r>
    </w:p>
    <w:p w14:paraId="10848ABC" w14:textId="77777777" w:rsidR="00DB05E1" w:rsidRDefault="00000000">
      <w:pPr>
        <w:spacing w:before="80" w:after="80"/>
      </w:pPr>
      <w:r>
        <w:rPr>
          <w:rFonts w:ascii="Calibri" w:eastAsia="Calibri" w:hAnsi="Calibri" w:cs="Calibri"/>
          <w:color w:val="1C2B36"/>
          <w:sz w:val="22"/>
          <w:szCs w:val="22"/>
        </w:rPr>
        <w:t>3.1  Communication Skills</w:t>
      </w:r>
      <w:r>
        <w:rPr>
          <w:rFonts w:ascii="Calibri" w:eastAsia="Calibri" w:hAnsi="Calibri" w:cs="Calibri"/>
          <w:i/>
          <w:iCs/>
          <w:color w:val="3D5A6E"/>
          <w:sz w:val="22"/>
          <w:szCs w:val="22"/>
        </w:rPr>
        <w:t xml:space="preserve">  ......  3</w:t>
      </w:r>
    </w:p>
    <w:p w14:paraId="47CB128E" w14:textId="77777777" w:rsidR="00DB05E1" w:rsidRDefault="00000000">
      <w:pPr>
        <w:spacing w:before="80" w:after="80"/>
      </w:pPr>
      <w:r>
        <w:rPr>
          <w:rFonts w:ascii="Calibri" w:eastAsia="Calibri" w:hAnsi="Calibri" w:cs="Calibri"/>
          <w:color w:val="1C2B36"/>
          <w:sz w:val="22"/>
          <w:szCs w:val="22"/>
        </w:rPr>
        <w:t>3.2  Assessment Skills</w:t>
      </w:r>
      <w:r>
        <w:rPr>
          <w:rFonts w:ascii="Calibri" w:eastAsia="Calibri" w:hAnsi="Calibri" w:cs="Calibri"/>
          <w:i/>
          <w:iCs/>
          <w:color w:val="3D5A6E"/>
          <w:sz w:val="22"/>
          <w:szCs w:val="22"/>
        </w:rPr>
        <w:t xml:space="preserve">  ......  4</w:t>
      </w:r>
    </w:p>
    <w:p w14:paraId="5493BDA2" w14:textId="77777777" w:rsidR="00DB05E1" w:rsidRDefault="00000000">
      <w:pPr>
        <w:spacing w:before="80" w:after="80"/>
      </w:pPr>
      <w:r>
        <w:rPr>
          <w:rFonts w:ascii="Calibri" w:eastAsia="Calibri" w:hAnsi="Calibri" w:cs="Calibri"/>
          <w:color w:val="1C2B36"/>
          <w:sz w:val="22"/>
          <w:szCs w:val="22"/>
        </w:rPr>
        <w:t>3.3  Empathy</w:t>
      </w:r>
      <w:r>
        <w:rPr>
          <w:rFonts w:ascii="Calibri" w:eastAsia="Calibri" w:hAnsi="Calibri" w:cs="Calibri"/>
          <w:i/>
          <w:iCs/>
          <w:color w:val="3D5A6E"/>
          <w:sz w:val="22"/>
          <w:szCs w:val="22"/>
        </w:rPr>
        <w:t xml:space="preserve">  ......  4</w:t>
      </w:r>
    </w:p>
    <w:p w14:paraId="42DEC6D8" w14:textId="77777777" w:rsidR="00DB05E1" w:rsidRDefault="00000000">
      <w:pPr>
        <w:spacing w:before="80" w:after="80"/>
      </w:pPr>
      <w:r>
        <w:rPr>
          <w:rFonts w:ascii="Calibri" w:eastAsia="Calibri" w:hAnsi="Calibri" w:cs="Calibri"/>
          <w:color w:val="1C2B36"/>
          <w:sz w:val="22"/>
          <w:szCs w:val="22"/>
        </w:rPr>
        <w:t>4.  Strategies to Improve Each Skill</w:t>
      </w:r>
      <w:r>
        <w:rPr>
          <w:rFonts w:ascii="Calibri" w:eastAsia="Calibri" w:hAnsi="Calibri" w:cs="Calibri"/>
          <w:i/>
          <w:iCs/>
          <w:color w:val="3D5A6E"/>
          <w:sz w:val="22"/>
          <w:szCs w:val="22"/>
        </w:rPr>
        <w:t xml:space="preserve">  ......  4</w:t>
      </w:r>
    </w:p>
    <w:p w14:paraId="777F21E2" w14:textId="77777777" w:rsidR="00DB05E1" w:rsidRDefault="00000000">
      <w:pPr>
        <w:spacing w:before="80" w:after="80"/>
      </w:pPr>
      <w:r>
        <w:rPr>
          <w:rFonts w:ascii="Calibri" w:eastAsia="Calibri" w:hAnsi="Calibri" w:cs="Calibri"/>
          <w:color w:val="1C2B36"/>
          <w:sz w:val="22"/>
          <w:szCs w:val="22"/>
        </w:rPr>
        <w:t>4.1  Strategies to Improve Communication Skills</w:t>
      </w:r>
      <w:r>
        <w:rPr>
          <w:rFonts w:ascii="Calibri" w:eastAsia="Calibri" w:hAnsi="Calibri" w:cs="Calibri"/>
          <w:i/>
          <w:iCs/>
          <w:color w:val="3D5A6E"/>
          <w:sz w:val="22"/>
          <w:szCs w:val="22"/>
        </w:rPr>
        <w:t xml:space="preserve">  ......  4</w:t>
      </w:r>
    </w:p>
    <w:p w14:paraId="6343DE00" w14:textId="77777777" w:rsidR="00DB05E1" w:rsidRDefault="00000000">
      <w:pPr>
        <w:spacing w:before="80" w:after="80"/>
      </w:pPr>
      <w:r>
        <w:rPr>
          <w:rFonts w:ascii="Calibri" w:eastAsia="Calibri" w:hAnsi="Calibri" w:cs="Calibri"/>
          <w:color w:val="1C2B36"/>
          <w:sz w:val="22"/>
          <w:szCs w:val="22"/>
        </w:rPr>
        <w:t>4.2  Strategies to Improve Assessment Skills</w:t>
      </w:r>
      <w:r>
        <w:rPr>
          <w:rFonts w:ascii="Calibri" w:eastAsia="Calibri" w:hAnsi="Calibri" w:cs="Calibri"/>
          <w:i/>
          <w:iCs/>
          <w:color w:val="3D5A6E"/>
          <w:sz w:val="22"/>
          <w:szCs w:val="22"/>
        </w:rPr>
        <w:t xml:space="preserve">  ......  5</w:t>
      </w:r>
    </w:p>
    <w:p w14:paraId="3DA88C6D" w14:textId="77777777" w:rsidR="00DB05E1" w:rsidRDefault="00000000">
      <w:pPr>
        <w:spacing w:before="80" w:after="80"/>
      </w:pPr>
      <w:r>
        <w:rPr>
          <w:rFonts w:ascii="Calibri" w:eastAsia="Calibri" w:hAnsi="Calibri" w:cs="Calibri"/>
          <w:color w:val="1C2B36"/>
          <w:sz w:val="22"/>
          <w:szCs w:val="22"/>
        </w:rPr>
        <w:t>4.3  Strategies to Improve Empathy</w:t>
      </w:r>
      <w:r>
        <w:rPr>
          <w:rFonts w:ascii="Calibri" w:eastAsia="Calibri" w:hAnsi="Calibri" w:cs="Calibri"/>
          <w:i/>
          <w:iCs/>
          <w:color w:val="3D5A6E"/>
          <w:sz w:val="22"/>
          <w:szCs w:val="22"/>
        </w:rPr>
        <w:t xml:space="preserve">  ......  5</w:t>
      </w:r>
    </w:p>
    <w:p w14:paraId="0620170E" w14:textId="77777777" w:rsidR="00DB05E1" w:rsidRDefault="00000000">
      <w:pPr>
        <w:spacing w:before="80" w:after="80"/>
      </w:pPr>
      <w:r>
        <w:rPr>
          <w:rFonts w:ascii="Calibri" w:eastAsia="Calibri" w:hAnsi="Calibri" w:cs="Calibri"/>
          <w:color w:val="1C2B36"/>
          <w:sz w:val="22"/>
          <w:szCs w:val="22"/>
        </w:rPr>
        <w:t>5.  Conclusion</w:t>
      </w:r>
      <w:r>
        <w:rPr>
          <w:rFonts w:ascii="Calibri" w:eastAsia="Calibri" w:hAnsi="Calibri" w:cs="Calibri"/>
          <w:i/>
          <w:iCs/>
          <w:color w:val="3D5A6E"/>
          <w:sz w:val="22"/>
          <w:szCs w:val="22"/>
        </w:rPr>
        <w:t xml:space="preserve">  ......  5</w:t>
      </w:r>
    </w:p>
    <w:p w14:paraId="18212551" w14:textId="77777777" w:rsidR="00DB05E1" w:rsidRDefault="00000000">
      <w:pPr>
        <w:spacing w:before="80" w:after="80"/>
      </w:pPr>
      <w:r>
        <w:rPr>
          <w:rFonts w:ascii="Calibri" w:eastAsia="Calibri" w:hAnsi="Calibri" w:cs="Calibri"/>
          <w:color w:val="1C2B36"/>
          <w:sz w:val="22"/>
          <w:szCs w:val="22"/>
        </w:rPr>
        <w:t>6.  References</w:t>
      </w:r>
      <w:r>
        <w:rPr>
          <w:rFonts w:ascii="Calibri" w:eastAsia="Calibri" w:hAnsi="Calibri" w:cs="Calibri"/>
          <w:i/>
          <w:iCs/>
          <w:color w:val="3D5A6E"/>
          <w:sz w:val="22"/>
          <w:szCs w:val="22"/>
        </w:rPr>
        <w:t xml:space="preserve">  ......  6</w:t>
      </w:r>
    </w:p>
    <w:p w14:paraId="4AA154DD" w14:textId="77777777" w:rsidR="00DB05E1" w:rsidRDefault="00000000">
      <w:r>
        <w:br w:type="page"/>
      </w:r>
    </w:p>
    <w:p w14:paraId="2A418438" w14:textId="77777777" w:rsidR="00DB05E1" w:rsidRPr="00FB537D" w:rsidRDefault="00000000" w:rsidP="00FB537D">
      <w:pPr>
        <w:spacing w:before="360" w:after="120"/>
      </w:pPr>
      <w:r w:rsidRPr="00FB537D">
        <w:rPr>
          <w:rFonts w:ascii="Cambria" w:eastAsia="Cambria" w:hAnsi="Cambria" w:cs="Cambria"/>
          <w:b/>
          <w:bCs/>
          <w:sz w:val="32"/>
          <w:szCs w:val="32"/>
        </w:rPr>
        <w:lastRenderedPageBreak/>
        <w:t>1. Introduction</w:t>
      </w:r>
    </w:p>
    <w:p w14:paraId="628CFD47" w14:textId="22817A81" w:rsidR="00FB537D" w:rsidRPr="00FB537D" w:rsidRDefault="00FB537D" w:rsidP="00FB537D">
      <w:pPr>
        <w:spacing w:before="80" w:after="100"/>
        <w:rPr>
          <w:sz w:val="22"/>
          <w:szCs w:val="22"/>
          <w:lang w:val="en-US"/>
        </w:rPr>
      </w:pPr>
      <w:r w:rsidRPr="00FB537D">
        <w:rPr>
          <w:rFonts w:ascii="Calibri" w:eastAsia="Calibri" w:hAnsi="Calibri" w:cs="Calibri"/>
          <w:sz w:val="24"/>
          <w:szCs w:val="24"/>
        </w:rPr>
        <w:t>This report reflects the opinions of a Children's Social Worker who has a significant, statutory duty for child protection in local authority children's work. The report will start with a description of the essentials of the role. It will then focus on, and describe, three key skills that are needed to be effective in this role: communication skills, assessment skills, and empathy. Three strategies will be outlined and assessed on how they could practically contribute to the skill development of each skill. Throughout the report, the examples of how to carry out the roles are included to provide context to the point, and any claims made are backed up by sources (using the Harvard Referencing System).</w:t>
      </w:r>
      <w:r w:rsidRPr="00FB537D">
        <w:rPr>
          <w:rFonts w:ascii="Calibri" w:eastAsia="Calibri" w:hAnsi="Calibri" w:cs="Calibri"/>
          <w:sz w:val="24"/>
          <w:szCs w:val="24"/>
        </w:rPr>
        <w:br/>
      </w:r>
    </w:p>
    <w:p w14:paraId="1D774E31" w14:textId="77777777" w:rsidR="00DB05E1" w:rsidRPr="00FB537D" w:rsidRDefault="00000000" w:rsidP="00FB537D">
      <w:pPr>
        <w:spacing w:before="360" w:after="120"/>
      </w:pPr>
      <w:r w:rsidRPr="00FB537D">
        <w:rPr>
          <w:rFonts w:ascii="Cambria" w:eastAsia="Cambria" w:hAnsi="Cambria" w:cs="Cambria"/>
          <w:b/>
          <w:bCs/>
          <w:sz w:val="32"/>
          <w:szCs w:val="32"/>
        </w:rPr>
        <w:t>2. Role Overview: Children's Social Worker</w:t>
      </w:r>
    </w:p>
    <w:p w14:paraId="24A93FCB" w14:textId="7755704A" w:rsidR="00FB537D" w:rsidRPr="00FB537D" w:rsidRDefault="00FB537D" w:rsidP="00FB537D">
      <w:pPr>
        <w:spacing w:before="80" w:after="100"/>
        <w:rPr>
          <w:sz w:val="22"/>
          <w:szCs w:val="22"/>
          <w:lang w:val="en-US"/>
        </w:rPr>
      </w:pPr>
      <w:r w:rsidRPr="00FB537D">
        <w:rPr>
          <w:rFonts w:ascii="Calibri" w:eastAsia="Calibri" w:hAnsi="Calibri" w:cs="Calibri"/>
          <w:sz w:val="24"/>
          <w:szCs w:val="24"/>
        </w:rPr>
        <w:t>A Children's Social Worker' is someone who has undertaken training to a specific level to look after children when things are difficult (Spencer Clarke Group 2024). In the UK, important legislation provides protection for the role including the Children Act 1989 and statutory guidance like Working Together to Safeguard Children (Gov.UK, 2024). This is a vital and high-pressure role and the number of safeguarding referrals in England alone is widespread – Prospero Health and Social (2026) state that there are about 1,700 safeguarding referrals every single day.</w:t>
      </w:r>
      <w:r w:rsidRPr="00FB537D">
        <w:rPr>
          <w:rFonts w:ascii="Calibri" w:eastAsia="Calibri" w:hAnsi="Calibri" w:cs="Calibri"/>
          <w:sz w:val="24"/>
          <w:szCs w:val="24"/>
        </w:rPr>
        <w:br/>
        <w:t>Children's Social Workers play a vital role by completing child protection assessments and drawing up individual care plans for a child's needs based on concerns raised, making regular home visits, working with multi-agency teams (including police, health professionals and teachers) and speaking on behalf of children in court cases and submitting reports (Gov.uk, 2024). The job requires a wide and complex repertoire; here are three parts being explored.</w:t>
      </w:r>
    </w:p>
    <w:p w14:paraId="1C079887" w14:textId="77777777" w:rsidR="00DB05E1" w:rsidRPr="00FB537D" w:rsidRDefault="00000000" w:rsidP="00FB537D">
      <w:pPr>
        <w:spacing w:before="360" w:after="120"/>
      </w:pPr>
      <w:r w:rsidRPr="00FB537D">
        <w:rPr>
          <w:rFonts w:ascii="Cambria" w:eastAsia="Cambria" w:hAnsi="Cambria" w:cs="Cambria"/>
          <w:b/>
          <w:bCs/>
          <w:sz w:val="32"/>
          <w:szCs w:val="32"/>
        </w:rPr>
        <w:t>3. Essential Skills</w:t>
      </w:r>
    </w:p>
    <w:p w14:paraId="6A73380D" w14:textId="77777777" w:rsidR="00DB05E1" w:rsidRPr="00FB537D" w:rsidRDefault="00000000" w:rsidP="00FB537D">
      <w:pPr>
        <w:spacing w:before="280" w:after="80"/>
      </w:pPr>
      <w:r w:rsidRPr="00FB537D">
        <w:rPr>
          <w:rFonts w:ascii="Cambria" w:eastAsia="Cambria" w:hAnsi="Cambria" w:cs="Cambria"/>
          <w:b/>
          <w:bCs/>
          <w:sz w:val="24"/>
          <w:szCs w:val="24"/>
        </w:rPr>
        <w:t>3.1 Communication Skills</w:t>
      </w:r>
    </w:p>
    <w:p w14:paraId="0DAC9DE0" w14:textId="4C4233E5" w:rsidR="00FB537D" w:rsidRPr="00FB537D" w:rsidRDefault="00FB537D" w:rsidP="00FB537D">
      <w:pPr>
        <w:spacing w:before="80" w:after="100"/>
        <w:rPr>
          <w:sz w:val="22"/>
          <w:szCs w:val="22"/>
          <w:lang w:val="en-US"/>
        </w:rPr>
      </w:pPr>
      <w:r w:rsidRPr="00FB537D">
        <w:rPr>
          <w:rFonts w:ascii="Calibri" w:eastAsia="Calibri" w:hAnsi="Calibri" w:cs="Calibri"/>
          <w:sz w:val="24"/>
          <w:szCs w:val="24"/>
        </w:rPr>
        <w:t>Communication ability is considered one of the key skills needed to be an effective social worker (Reith-Hall and Montgomery 2022). The ability to communicate well is at several levels for a Children's Social Worker – for child; for the parent or carer; with other agencies; in formal legal procedures and processes with courts and other legal systems. Effective verbal and non-verbal communication, such as listening effectively, asking questions and responding empathically, is a critical factor in establishing trust to obtain accurate information about a child's situation (Leaf Care, 2025).</w:t>
      </w:r>
      <w:r w:rsidRPr="00FB537D">
        <w:rPr>
          <w:rFonts w:ascii="Calibri" w:eastAsia="Calibri" w:hAnsi="Calibri" w:cs="Calibri"/>
          <w:sz w:val="24"/>
          <w:szCs w:val="24"/>
        </w:rPr>
        <w:br/>
        <w:t>In reality, this could be what it means to have a social worker comfort an 8 year old as they share information about their living situation to a nonthreatening adult in a child's language. Similarly, the same individual might have to produce a formal Court Document the next day, which demands completely different written communication skills. Therefore, being able to adapt one's communication style to the context is an important skill (Reith-Hall and Montgomery 2022).</w:t>
      </w:r>
    </w:p>
    <w:p w14:paraId="5FE533A5" w14:textId="77777777" w:rsidR="00DB05E1" w:rsidRPr="00FB537D" w:rsidRDefault="00000000" w:rsidP="00FB537D">
      <w:pPr>
        <w:spacing w:before="280" w:after="80"/>
      </w:pPr>
      <w:r w:rsidRPr="00FB537D">
        <w:rPr>
          <w:rFonts w:ascii="Cambria" w:eastAsia="Cambria" w:hAnsi="Cambria" w:cs="Cambria"/>
          <w:b/>
          <w:bCs/>
          <w:sz w:val="24"/>
          <w:szCs w:val="24"/>
        </w:rPr>
        <w:t>3.2 Assessment Skills</w:t>
      </w:r>
    </w:p>
    <w:p w14:paraId="1F53F965" w14:textId="645F5D13" w:rsidR="00FB537D" w:rsidRPr="00FB537D" w:rsidRDefault="00FB537D" w:rsidP="00FB537D">
      <w:pPr>
        <w:spacing w:before="80" w:after="100"/>
        <w:rPr>
          <w:sz w:val="22"/>
          <w:szCs w:val="22"/>
          <w:lang w:val="en-US"/>
        </w:rPr>
      </w:pPr>
      <w:r w:rsidRPr="00FB537D">
        <w:rPr>
          <w:rFonts w:ascii="Calibri" w:eastAsia="Calibri" w:hAnsi="Calibri" w:cs="Calibri"/>
          <w:sz w:val="24"/>
          <w:szCs w:val="24"/>
        </w:rPr>
        <w:t xml:space="preserve">The key part of the Children's Social Worker's task is the assessment itself. In case of receiving any referral about safeguarding, the social worker should conduct an overall examination in </w:t>
      </w:r>
      <w:r w:rsidRPr="00FB537D">
        <w:rPr>
          <w:rFonts w:ascii="Calibri" w:eastAsia="Calibri" w:hAnsi="Calibri" w:cs="Calibri"/>
          <w:sz w:val="24"/>
          <w:szCs w:val="24"/>
        </w:rPr>
        <w:lastRenderedPageBreak/>
        <w:t>order to assess the level of danger and requirements of the family (Gov.uk, 2024). It includes interpreting complex information gathered from a variety of sources, such as the child, family members, school data and medical records, and making clinical decisions, which directly relate to the child's life and safety.</w:t>
      </w:r>
      <w:r w:rsidRPr="00FB537D">
        <w:rPr>
          <w:rFonts w:ascii="Calibri" w:eastAsia="Calibri" w:hAnsi="Calibri" w:cs="Calibri"/>
          <w:sz w:val="24"/>
          <w:szCs w:val="24"/>
        </w:rPr>
        <w:br/>
        <w:t>It is through evidence and adopting a child-centred approach to assessment that this will be realised. For instance, a social worker would consider risk factors for a family, for instance if they had reported domestic abuse, for instance, the behaviour of a man in the family, as well as protective factors, for instance the position of a grandparent. Evaluating the situation properly could result in children staying in unsafe environments or in needless removal of children from the home. The implications of assessment skills thus have direct consequences for the children under service and pose a direct consideration for children at a serious level (Spencer Clarke Group, 2024).</w:t>
      </w:r>
    </w:p>
    <w:p w14:paraId="206E7F61" w14:textId="77777777" w:rsidR="00DB05E1" w:rsidRPr="00FB537D" w:rsidRDefault="00000000" w:rsidP="00FB537D">
      <w:pPr>
        <w:spacing w:before="280" w:after="80"/>
      </w:pPr>
      <w:r w:rsidRPr="00FB537D">
        <w:rPr>
          <w:rFonts w:ascii="Cambria" w:eastAsia="Cambria" w:hAnsi="Cambria" w:cs="Cambria"/>
          <w:b/>
          <w:bCs/>
          <w:sz w:val="24"/>
          <w:szCs w:val="24"/>
        </w:rPr>
        <w:t>3.3 Empathy</w:t>
      </w:r>
    </w:p>
    <w:p w14:paraId="2AA900F4" w14:textId="5CF8D122" w:rsidR="00FB537D" w:rsidRPr="00FB537D" w:rsidRDefault="00FB537D" w:rsidP="00FB537D">
      <w:pPr>
        <w:spacing w:before="80" w:after="100"/>
        <w:rPr>
          <w:sz w:val="22"/>
          <w:szCs w:val="22"/>
          <w:lang w:val="en-US"/>
        </w:rPr>
      </w:pPr>
      <w:r w:rsidRPr="00FB537D">
        <w:rPr>
          <w:rFonts w:ascii="Calibri" w:eastAsia="Calibri" w:hAnsi="Calibri" w:cs="Calibri"/>
          <w:sz w:val="24"/>
          <w:szCs w:val="24"/>
        </w:rPr>
        <w:t>Tripod Partners (2024) say empathy is the component of social work. Empathy is important to outsider values of a Children's Social Worker in order to develop trustful, real relationships with children and families, who might have been suffering from traumatic, abusing or significant adverse experiences. But, without empathy there is little likelihood of a professional relationship successful, and the family is difficult to engage and information needed to fully understand the risk.</w:t>
      </w:r>
      <w:r w:rsidRPr="00FB537D">
        <w:rPr>
          <w:rFonts w:ascii="Calibri" w:eastAsia="Calibri" w:hAnsi="Calibri" w:cs="Calibri"/>
          <w:sz w:val="24"/>
          <w:szCs w:val="24"/>
        </w:rPr>
        <w:br/>
        <w:t>This can be accomplished, for example in work with looked-after children – those taken away from their families and into foster homes. These children may feel frustrated, alienated and untrusting of professionals. It is important that the child should have an empathic social worker that will serve as a safe emotional holding environment for the child where he or she will feel valued and listened to (Leaf Care, 2025).</w:t>
      </w:r>
    </w:p>
    <w:p w14:paraId="769702DC" w14:textId="77777777" w:rsidR="00DB05E1" w:rsidRPr="00FB537D" w:rsidRDefault="00000000" w:rsidP="00FB537D">
      <w:pPr>
        <w:spacing w:before="360" w:after="120"/>
      </w:pPr>
      <w:r w:rsidRPr="00FB537D">
        <w:rPr>
          <w:rFonts w:ascii="Cambria" w:eastAsia="Cambria" w:hAnsi="Cambria" w:cs="Cambria"/>
          <w:b/>
          <w:bCs/>
          <w:sz w:val="32"/>
          <w:szCs w:val="32"/>
        </w:rPr>
        <w:t>4. Strategies to Improve Each Skill</w:t>
      </w:r>
    </w:p>
    <w:p w14:paraId="1A55B1D4" w14:textId="77777777" w:rsidR="00DB05E1" w:rsidRPr="00FB537D" w:rsidRDefault="00000000" w:rsidP="00FB537D">
      <w:pPr>
        <w:spacing w:before="280" w:after="80"/>
      </w:pPr>
      <w:r w:rsidRPr="00FB537D">
        <w:rPr>
          <w:rFonts w:ascii="Cambria" w:eastAsia="Cambria" w:hAnsi="Cambria" w:cs="Cambria"/>
          <w:b/>
          <w:bCs/>
          <w:sz w:val="24"/>
          <w:szCs w:val="24"/>
        </w:rPr>
        <w:t>4.1 Strategies to Improve Communication Skills</w:t>
      </w:r>
    </w:p>
    <w:p w14:paraId="12C0BB12" w14:textId="0197F6A5" w:rsidR="00FB537D" w:rsidRPr="00FB537D" w:rsidRDefault="00FB537D" w:rsidP="00FB537D">
      <w:pPr>
        <w:spacing w:before="80" w:after="100"/>
        <w:rPr>
          <w:sz w:val="22"/>
          <w:szCs w:val="22"/>
          <w:lang w:val="en-US"/>
        </w:rPr>
      </w:pPr>
      <w:r w:rsidRPr="00FB537D">
        <w:rPr>
          <w:rFonts w:ascii="Calibri" w:eastAsia="Calibri" w:hAnsi="Calibri" w:cs="Calibri"/>
          <w:sz w:val="24"/>
          <w:szCs w:val="24"/>
        </w:rPr>
        <w:t>Role play and simulation training is the other intervention that can be suggested for social workers. According to the systematic review conducted by Reith-Hall &amp; Montgomery (2022), there is statistical significance of role play and observations for communication skills and listening skills. The practical experience of conducting an interview of a nervous child portrayed by a classmate, with feedback given to the student's tutor, will definitely assist the acquisition of required communication skills.</w:t>
      </w:r>
      <w:r w:rsidRPr="00FB537D">
        <w:rPr>
          <w:rFonts w:ascii="Calibri" w:eastAsia="Calibri" w:hAnsi="Calibri" w:cs="Calibri"/>
          <w:sz w:val="24"/>
          <w:szCs w:val="24"/>
        </w:rPr>
        <w:br/>
        <w:t>The second strategy is engaging in regular reflective practice. Reflective practice – for instance, understanding what works and what could be improved after a tough phone conversation with a family – can also serve as CPD and can be used to constantly improve your communication skills. This kind of learning could be effective and well-structured if you keep a journal or discuss your reflections during supervision sessions.</w:t>
      </w:r>
      <w:r w:rsidRPr="00FB537D">
        <w:rPr>
          <w:rFonts w:ascii="Calibri" w:eastAsia="Calibri" w:hAnsi="Calibri" w:cs="Calibri"/>
          <w:sz w:val="24"/>
          <w:szCs w:val="24"/>
        </w:rPr>
        <w:br/>
        <w:t>The third strategy is to attend special communication skills training. Many employers and other professional organisations like BASW provide workshops for skills like motivational interviewing, listening with children at various developmental stages and communicating with children. Practitioners are able to gain firsthand experience with the application of these new techniques through such training and develop confidence in their ability to use these techniques in practical settings (Tripod Partners, 2024).</w:t>
      </w:r>
    </w:p>
    <w:p w14:paraId="57BE8D8C" w14:textId="77777777" w:rsidR="00DB05E1" w:rsidRPr="00FB537D" w:rsidRDefault="00000000" w:rsidP="00FB537D">
      <w:pPr>
        <w:spacing w:before="280" w:after="80"/>
      </w:pPr>
      <w:r w:rsidRPr="00FB537D">
        <w:rPr>
          <w:rFonts w:ascii="Cambria" w:eastAsia="Cambria" w:hAnsi="Cambria" w:cs="Cambria"/>
          <w:b/>
          <w:bCs/>
          <w:sz w:val="24"/>
          <w:szCs w:val="24"/>
        </w:rPr>
        <w:lastRenderedPageBreak/>
        <w:t>4.2 Strategies to Improve Assessment Skills</w:t>
      </w:r>
    </w:p>
    <w:p w14:paraId="0526FD51" w14:textId="12C4415C" w:rsidR="00FB537D" w:rsidRPr="00FB537D" w:rsidRDefault="00FB537D" w:rsidP="00FB537D">
      <w:pPr>
        <w:spacing w:before="80" w:after="100"/>
        <w:rPr>
          <w:sz w:val="22"/>
          <w:szCs w:val="22"/>
          <w:lang w:val="en-US"/>
        </w:rPr>
      </w:pPr>
      <w:r w:rsidRPr="00FB537D">
        <w:rPr>
          <w:rFonts w:ascii="Calibri" w:eastAsia="Calibri" w:hAnsi="Calibri" w:cs="Calibri"/>
          <w:sz w:val="24"/>
          <w:szCs w:val="24"/>
        </w:rPr>
        <w:t>First, the strategy for improving the skill of assessment is shadowing of experienced social workers during assessments. The staff at a safeguarding assessment will explain their decisions and how they make risk assessments, alongside the way they balance empathy with professional rigour, while you observe them perform a home visit or safeguarding assessment. This is a kind of observational learning which corresponds with Kolb's (1984) experiential learning model, which consists of 4 stages: observation, thinking, reflecting, and acting.</w:t>
      </w:r>
      <w:r w:rsidRPr="00FB537D">
        <w:rPr>
          <w:rFonts w:ascii="Calibri" w:eastAsia="Calibri" w:hAnsi="Calibri" w:cs="Calibri"/>
          <w:sz w:val="24"/>
          <w:szCs w:val="24"/>
        </w:rPr>
        <w:br/>
        <w:t>The second one is using case study analysis in learning. Complex and real case scenarios will help develop critical thinking and analytical skills as they need to work through more complex scenarios such as child disability contributing to many risk factors that involve the parents use of substances, etc. This equips pupils with the background necessary to be able to make professionally informed evidence-based judgments in the context of the real world.</w:t>
      </w:r>
      <w:r w:rsidRPr="00FB537D">
        <w:rPr>
          <w:rFonts w:ascii="Calibri" w:eastAsia="Calibri" w:hAnsi="Calibri" w:cs="Calibri"/>
          <w:sz w:val="24"/>
          <w:szCs w:val="24"/>
        </w:rPr>
        <w:br/>
        <w:t>The third approach is to undertake formal training or development in recognised frameworks of assessment like the Signs of Safety model or the Assessment Framework detailed in Working Together to Safeguard Children published by the Gov.uk (2024). There is a key takeaway that can be gained from these that reveals the importance of using structured frameworks: that raw information is transferred into a professional judgement, which offers the analytical scaffolding for making consistent, defensible assessments.</w:t>
      </w:r>
    </w:p>
    <w:p w14:paraId="02F6E049" w14:textId="77777777" w:rsidR="00DB05E1" w:rsidRPr="00FB537D" w:rsidRDefault="00000000" w:rsidP="00FB537D">
      <w:pPr>
        <w:spacing w:before="280" w:after="80"/>
      </w:pPr>
      <w:r w:rsidRPr="00FB537D">
        <w:rPr>
          <w:rFonts w:ascii="Cambria" w:eastAsia="Cambria" w:hAnsi="Cambria" w:cs="Cambria"/>
          <w:b/>
          <w:bCs/>
          <w:sz w:val="24"/>
          <w:szCs w:val="24"/>
        </w:rPr>
        <w:t>4.3 Strategies to Improve Empathy</w:t>
      </w:r>
    </w:p>
    <w:p w14:paraId="380225E9" w14:textId="051C6168" w:rsidR="00FB537D" w:rsidRPr="00FB537D" w:rsidRDefault="00FB537D" w:rsidP="00FB537D">
      <w:pPr>
        <w:spacing w:before="80" w:after="100"/>
        <w:rPr>
          <w:sz w:val="22"/>
          <w:szCs w:val="22"/>
          <w:lang w:val="en-US"/>
        </w:rPr>
      </w:pPr>
      <w:r w:rsidRPr="00FB537D">
        <w:rPr>
          <w:rFonts w:ascii="Calibri" w:eastAsia="Calibri" w:hAnsi="Calibri" w:cs="Calibri"/>
          <w:sz w:val="24"/>
          <w:szCs w:val="24"/>
        </w:rPr>
        <w:t>Learning empathy requires one to engage in active listening. As per University at Buffalo (2024), it would be difficult to acquire empathy if we do not have the skill of listening to another person’s point of view and understanding it. Active listening means establishing eye contact, not interrupting anyone while he is talking, and reiterating the same point in our own words which he had put across to us.</w:t>
      </w:r>
      <w:r w:rsidRPr="00FB537D">
        <w:rPr>
          <w:rFonts w:ascii="Calibri" w:eastAsia="Calibri" w:hAnsi="Calibri" w:cs="Calibri"/>
          <w:sz w:val="24"/>
          <w:szCs w:val="24"/>
        </w:rPr>
        <w:br/>
        <w:t>The second is some level of introspection and development of emotional intelligence. Personalization of emotions, for example describing and reflecting on one's emotional response when learning about neglect of a child, helps to increase practitioners' self-awareness and thus to have a constructive emotional response to the situation. It is good practice to reflect in this manner within the context of a safe, professional and well supervised space with a senior social worker (Social Work England, 2024)</w:t>
      </w:r>
      <w:r w:rsidRPr="00FB537D">
        <w:rPr>
          <w:rFonts w:ascii="Calibri" w:eastAsia="Calibri" w:hAnsi="Calibri" w:cs="Calibri"/>
          <w:sz w:val="24"/>
          <w:szCs w:val="24"/>
        </w:rPr>
        <w:br/>
        <w:t>The third approach is to look for personal narratives and accounts of lived experience. The first person accounts of children who have been in care can help social workers appreciate the emotional realities of the people that they serve. This fosters what Barker (2003 cited in University at Buffalo, 2024) refers to as the ‘heart of the work of children's social work' – the core capacity to take on another individual's perspective. A central part of the child-centred definition of high quality children's social work.</w:t>
      </w:r>
    </w:p>
    <w:p w14:paraId="68E77B02" w14:textId="77777777" w:rsidR="00DB05E1" w:rsidRPr="00FB537D" w:rsidRDefault="00000000" w:rsidP="00FB537D">
      <w:pPr>
        <w:spacing w:before="360" w:after="120"/>
      </w:pPr>
      <w:r w:rsidRPr="00FB537D">
        <w:rPr>
          <w:rFonts w:ascii="Cambria" w:eastAsia="Cambria" w:hAnsi="Cambria" w:cs="Cambria"/>
          <w:b/>
          <w:bCs/>
          <w:sz w:val="32"/>
          <w:szCs w:val="32"/>
        </w:rPr>
        <w:t>5. Conclusion</w:t>
      </w:r>
    </w:p>
    <w:p w14:paraId="28C8EEC4" w14:textId="7D341734" w:rsidR="00FB537D" w:rsidRPr="00FB537D" w:rsidRDefault="00FB537D" w:rsidP="00FB537D">
      <w:pPr>
        <w:spacing w:before="80" w:after="100"/>
        <w:rPr>
          <w:sz w:val="22"/>
          <w:szCs w:val="22"/>
          <w:lang w:val="en-US"/>
        </w:rPr>
      </w:pPr>
      <w:r w:rsidRPr="00FB537D">
        <w:rPr>
          <w:rFonts w:ascii="Calibri" w:eastAsia="Calibri" w:hAnsi="Calibri" w:cs="Calibri"/>
          <w:sz w:val="24"/>
          <w:szCs w:val="24"/>
        </w:rPr>
        <w:t xml:space="preserve">To summarise, a Children's Social Worker's role is complex and challenging, necessitating a high level of skills across a range of issues and in multi-agency, legally defined and emotionally challenging environments. Three of the key competencies that form the basis of effective practice have been identified in this report: Communication skills, Assessment skills, Empathy. Three skills have been outlined, one strategy for each, based on evidence: role-play and reflective practice to develop communication skill, shadowing, case study analysis and framework training to develop assessment skill, active listening, self-reflection and engaging </w:t>
      </w:r>
      <w:r w:rsidRPr="00FB537D">
        <w:rPr>
          <w:rFonts w:ascii="Calibri" w:eastAsia="Calibri" w:hAnsi="Calibri" w:cs="Calibri"/>
          <w:sz w:val="24"/>
          <w:szCs w:val="24"/>
        </w:rPr>
        <w:lastRenderedPageBreak/>
        <w:t>with lived experience accounts for empathy. These strategies combine to give a practical and realistic framework for the health and social care sector to develop the skills and knowledge to protect children and help families effectively.</w:t>
      </w:r>
    </w:p>
    <w:p w14:paraId="7009D492" w14:textId="77777777" w:rsidR="00DB05E1" w:rsidRPr="00FB537D" w:rsidRDefault="00000000" w:rsidP="00FB537D">
      <w:pPr>
        <w:rPr>
          <w:sz w:val="22"/>
          <w:szCs w:val="22"/>
        </w:rPr>
      </w:pPr>
      <w:r w:rsidRPr="00FB537D">
        <w:rPr>
          <w:sz w:val="22"/>
          <w:szCs w:val="22"/>
        </w:rPr>
        <w:br w:type="page"/>
      </w:r>
    </w:p>
    <w:p w14:paraId="442CDEB9" w14:textId="77777777" w:rsidR="00DB05E1" w:rsidRPr="00FB537D" w:rsidRDefault="00000000" w:rsidP="00FB537D">
      <w:pPr>
        <w:spacing w:before="360" w:after="120"/>
      </w:pPr>
      <w:r w:rsidRPr="00FB537D">
        <w:rPr>
          <w:rFonts w:ascii="Cambria" w:eastAsia="Cambria" w:hAnsi="Cambria" w:cs="Cambria"/>
          <w:b/>
          <w:bCs/>
          <w:sz w:val="32"/>
          <w:szCs w:val="32"/>
        </w:rPr>
        <w:lastRenderedPageBreak/>
        <w:t>6. References</w:t>
      </w:r>
    </w:p>
    <w:p w14:paraId="08693873" w14:textId="77777777" w:rsidR="00DB05E1" w:rsidRPr="00FB537D" w:rsidRDefault="00000000" w:rsidP="00FB537D">
      <w:pPr>
        <w:spacing w:before="80" w:after="80"/>
        <w:ind w:left="360" w:hanging="360"/>
        <w:rPr>
          <w:sz w:val="22"/>
          <w:szCs w:val="22"/>
        </w:rPr>
      </w:pPr>
      <w:r w:rsidRPr="00FB537D">
        <w:rPr>
          <w:rFonts w:ascii="Calibri" w:eastAsia="Calibri" w:hAnsi="Calibri" w:cs="Calibri"/>
          <w:sz w:val="22"/>
          <w:szCs w:val="22"/>
        </w:rPr>
        <w:t>Gibbs, G. (1988) Learning by doing: a guide to teaching and learning methods. Oxford: Oxford Polytechnic.</w:t>
      </w:r>
    </w:p>
    <w:p w14:paraId="47A75411"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Gov.uk (2024) Child protection and safeguarding – roles and responsibilities [online]. Available at: https://support-for-social-workers.education.gov.uk/explore-areas-of-practice/child-protection-safeguarding [Accessed 1 July 2026].</w:t>
      </w:r>
    </w:p>
    <w:p w14:paraId="7950E42B"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Leaf Care (2025) Safeguarding children: roles and responsibilities of health and social care professionals [online]. Available at: https://leafcare.co.uk/blog/safeguarding-children-roles-and-responsibilities-of-health-and-social-care-professionals/ [Accessed 1 July 2026].</w:t>
      </w:r>
    </w:p>
    <w:p w14:paraId="2F4E3737"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Prospero Health and Social (2026) Children support worker jobs: career guide [online]. Available at: https://www.prosperohealthandsocial.com/blog/2026/02/what-are-children-support-worker-jobs-roles-responsibilities-and-settings-explained [Accessed 2 July 2026].</w:t>
      </w:r>
    </w:p>
    <w:p w14:paraId="66A8FA8A"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Reith-Hall, E. and Montgomery, P. (2022) 'The teaching and learning of communication skills in social work education', Research on Social Work Practice, 32(6), pp. 683–696. Available at: https://doi.org/10.1177/10497315221088285 [Accessed 2 July 2026].</w:t>
      </w:r>
    </w:p>
    <w:p w14:paraId="7BA07DDC"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Social Work England (2024) Peer reflection and CPD [online]. Available at: https://www.socialworkengland.org.uk/cpd/peer-reflection/ [Accessed 2 July 2026].</w:t>
      </w:r>
    </w:p>
    <w:p w14:paraId="5709592E"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Spencer Clarke Group (2024) What is a children's social worker? [online]. Available at: https://www.spencerclarkegroup.co.uk/what-is-a-childrens-social-worker/ [Accessed 1 July 2026].</w:t>
      </w:r>
    </w:p>
    <w:p w14:paraId="1CAF2815"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Tripod Partners (2024) Essential skills for child protection social workers [online]. Available at: https://tripodpartners.com/blog/2024/07/16/essential-skills-for-child-protection-social-workers [Accessed 2 July 2026].</w:t>
      </w:r>
    </w:p>
    <w:p w14:paraId="06A17677" w14:textId="77777777" w:rsidR="00DB05E1" w:rsidRPr="00FB537D" w:rsidRDefault="00000000" w:rsidP="00FB537D">
      <w:pPr>
        <w:spacing w:before="80" w:after="80"/>
        <w:rPr>
          <w:sz w:val="22"/>
          <w:szCs w:val="22"/>
        </w:rPr>
      </w:pPr>
      <w:r w:rsidRPr="00FB537D">
        <w:rPr>
          <w:rFonts w:ascii="Calibri" w:eastAsia="Calibri" w:hAnsi="Calibri" w:cs="Calibri"/>
          <w:sz w:val="22"/>
          <w:szCs w:val="22"/>
        </w:rPr>
        <w:t>University at Buffalo School of Social Work (2024) Essential skills and traits for social workers [online]. Available at: https://socialwork.buffalo.edu/admissions/is-social-work-right-career-for-me/list-of-essential-skills-in-social-work.html [Accessed 2 July 2026].</w:t>
      </w:r>
    </w:p>
    <w:sectPr w:rsidR="00DB05E1" w:rsidRPr="00FB537D">
      <w:headerReference w:type="default" r:id="rId7"/>
      <w:footerReference w:type="default" r:id="rId8"/>
      <w:pgSz w:w="11906" w:h="16838"/>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0C6DE" w14:textId="77777777" w:rsidR="008F1670" w:rsidRDefault="008F1670">
      <w:r>
        <w:separator/>
      </w:r>
    </w:p>
  </w:endnote>
  <w:endnote w:type="continuationSeparator" w:id="0">
    <w:p w14:paraId="1FFA8CD6" w14:textId="77777777" w:rsidR="008F1670" w:rsidRDefault="008F1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6F0A9" w14:textId="77777777" w:rsidR="00DB05E1" w:rsidRDefault="00000000">
    <w:pPr>
      <w:jc w:val="center"/>
    </w:pPr>
    <w:r>
      <w:rPr>
        <w:rFonts w:ascii="Calibri" w:eastAsia="Calibri" w:hAnsi="Calibri" w:cs="Calibri"/>
        <w:color w:val="3D5A6E"/>
        <w:sz w:val="18"/>
        <w:szCs w:val="18"/>
      </w:rPr>
      <w:t>LCHS4001 | Task 3: Written Report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1AAA3" w14:textId="77777777" w:rsidR="008F1670" w:rsidRDefault="008F1670">
      <w:r>
        <w:separator/>
      </w:r>
    </w:p>
  </w:footnote>
  <w:footnote w:type="continuationSeparator" w:id="0">
    <w:p w14:paraId="5E10275E" w14:textId="77777777" w:rsidR="008F1670" w:rsidRDefault="008F1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9A4BA" w14:textId="5A34D522" w:rsidR="00F665CD" w:rsidRDefault="00F665CD">
    <w:pPr>
      <w:pStyle w:val="Header"/>
    </w:pPr>
    <w:r>
      <w:rPr>
        <w:noProof/>
      </w:rPr>
      <w:drawing>
        <wp:inline distT="0" distB="0" distL="0" distR="0" wp14:anchorId="37E152E4" wp14:editId="5A35D0FD">
          <wp:extent cx="1809750" cy="723900"/>
          <wp:effectExtent l="0" t="0" r="0" b="0"/>
          <wp:docPr id="339" name="Picture 339"/>
          <wp:cNvGraphicFramePr/>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1"/>
                  <a:stretch>
                    <a:fillRect/>
                  </a:stretch>
                </pic:blipFill>
                <pic:spPr>
                  <a:xfrm>
                    <a:off x="0" y="0"/>
                    <a:ext cx="180975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37F4"/>
    <w:multiLevelType w:val="hybridMultilevel"/>
    <w:tmpl w:val="C0A4D06C"/>
    <w:lvl w:ilvl="0" w:tplc="7F2E9410">
      <w:start w:val="1"/>
      <w:numFmt w:val="bullet"/>
      <w:lvlText w:val="●"/>
      <w:lvlJc w:val="left"/>
      <w:pPr>
        <w:ind w:left="720" w:hanging="360"/>
      </w:pPr>
    </w:lvl>
    <w:lvl w:ilvl="1" w:tplc="C66A7EF4">
      <w:start w:val="1"/>
      <w:numFmt w:val="bullet"/>
      <w:lvlText w:val="○"/>
      <w:lvlJc w:val="left"/>
      <w:pPr>
        <w:ind w:left="1440" w:hanging="360"/>
      </w:pPr>
    </w:lvl>
    <w:lvl w:ilvl="2" w:tplc="C422D984">
      <w:start w:val="1"/>
      <w:numFmt w:val="bullet"/>
      <w:lvlText w:val="■"/>
      <w:lvlJc w:val="left"/>
      <w:pPr>
        <w:ind w:left="2160" w:hanging="360"/>
      </w:pPr>
    </w:lvl>
    <w:lvl w:ilvl="3" w:tplc="1DAA47A4">
      <w:start w:val="1"/>
      <w:numFmt w:val="bullet"/>
      <w:lvlText w:val="●"/>
      <w:lvlJc w:val="left"/>
      <w:pPr>
        <w:ind w:left="2880" w:hanging="360"/>
      </w:pPr>
    </w:lvl>
    <w:lvl w:ilvl="4" w:tplc="B35E93A4">
      <w:start w:val="1"/>
      <w:numFmt w:val="bullet"/>
      <w:lvlText w:val="○"/>
      <w:lvlJc w:val="left"/>
      <w:pPr>
        <w:ind w:left="3600" w:hanging="360"/>
      </w:pPr>
    </w:lvl>
    <w:lvl w:ilvl="5" w:tplc="5D260DA8">
      <w:start w:val="1"/>
      <w:numFmt w:val="bullet"/>
      <w:lvlText w:val="■"/>
      <w:lvlJc w:val="left"/>
      <w:pPr>
        <w:ind w:left="4320" w:hanging="360"/>
      </w:pPr>
    </w:lvl>
    <w:lvl w:ilvl="6" w:tplc="6B9CB3CC">
      <w:start w:val="1"/>
      <w:numFmt w:val="bullet"/>
      <w:lvlText w:val="●"/>
      <w:lvlJc w:val="left"/>
      <w:pPr>
        <w:ind w:left="5040" w:hanging="360"/>
      </w:pPr>
    </w:lvl>
    <w:lvl w:ilvl="7" w:tplc="3258B30C">
      <w:start w:val="1"/>
      <w:numFmt w:val="bullet"/>
      <w:lvlText w:val="●"/>
      <w:lvlJc w:val="left"/>
      <w:pPr>
        <w:ind w:left="5760" w:hanging="360"/>
      </w:pPr>
    </w:lvl>
    <w:lvl w:ilvl="8" w:tplc="59BC061C">
      <w:start w:val="1"/>
      <w:numFmt w:val="bullet"/>
      <w:lvlText w:val="●"/>
      <w:lvlJc w:val="left"/>
      <w:pPr>
        <w:ind w:left="6480" w:hanging="360"/>
      </w:pPr>
    </w:lvl>
  </w:abstractNum>
  <w:num w:numId="1" w16cid:durableId="12052918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5E1"/>
    <w:rsid w:val="00066D41"/>
    <w:rsid w:val="00420EE7"/>
    <w:rsid w:val="00440B82"/>
    <w:rsid w:val="00782B41"/>
    <w:rsid w:val="008F1670"/>
    <w:rsid w:val="00B20622"/>
    <w:rsid w:val="00D261C4"/>
    <w:rsid w:val="00DB05E1"/>
    <w:rsid w:val="00E60EAD"/>
    <w:rsid w:val="00F665CD"/>
    <w:rsid w:val="00FB537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D20F8"/>
  <w15:docId w15:val="{2B5989D9-AD08-4F28-83A6-2166EB36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665CD"/>
    <w:pPr>
      <w:tabs>
        <w:tab w:val="center" w:pos="4513"/>
        <w:tab w:val="right" w:pos="9026"/>
      </w:tabs>
    </w:pPr>
  </w:style>
  <w:style w:type="character" w:customStyle="1" w:styleId="HeaderChar">
    <w:name w:val="Header Char"/>
    <w:basedOn w:val="DefaultParagraphFont"/>
    <w:link w:val="Header"/>
    <w:uiPriority w:val="99"/>
    <w:rsid w:val="00F665CD"/>
  </w:style>
  <w:style w:type="paragraph" w:styleId="Footer">
    <w:name w:val="footer"/>
    <w:basedOn w:val="Normal"/>
    <w:link w:val="FooterChar"/>
    <w:uiPriority w:val="99"/>
    <w:unhideWhenUsed/>
    <w:rsid w:val="00F665CD"/>
    <w:pPr>
      <w:tabs>
        <w:tab w:val="center" w:pos="4513"/>
        <w:tab w:val="right" w:pos="9026"/>
      </w:tabs>
    </w:pPr>
  </w:style>
  <w:style w:type="character" w:customStyle="1" w:styleId="FooterChar">
    <w:name w:val="Footer Char"/>
    <w:basedOn w:val="DefaultParagraphFont"/>
    <w:link w:val="Footer"/>
    <w:uiPriority w:val="99"/>
    <w:rsid w:val="00F66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2032</Words>
  <Characters>11587</Characters>
  <Application>Microsoft Office Word</Application>
  <DocSecurity>0</DocSecurity>
  <Lines>96</Lines>
  <Paragraphs>27</Paragraphs>
  <ScaleCrop>false</ScaleCrop>
  <Company/>
  <LinksUpToDate>false</LinksUpToDate>
  <CharactersWithSpaces>13592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danyal ellahi</cp:lastModifiedBy>
  <cp:revision>5</cp:revision>
  <dcterms:created xsi:type="dcterms:W3CDTF">2026-07-03T16:22:00Z</dcterms:created>
  <dcterms:modified xsi:type="dcterms:W3CDTF">2026-08-10T15:42:00Z</dcterms:modified>
</cp:coreProperties>
</file>