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D9F40" w14:textId="77777777" w:rsidR="0039270D" w:rsidRPr="0029665F" w:rsidRDefault="0039270D" w:rsidP="00325200">
      <w:pPr>
        <w:spacing w:line="480" w:lineRule="auto"/>
        <w:rPr>
          <w:sz w:val="24"/>
          <w:u w:val="single"/>
        </w:rPr>
      </w:pPr>
      <w:r w:rsidRPr="0029665F">
        <w:rPr>
          <w:sz w:val="24"/>
          <w:u w:val="single"/>
        </w:rPr>
        <w:t xml:space="preserve">Using an example of your choice discuss the issues that arise in the presentation of a site or collection which could be termed ‘difficult heritage’. </w:t>
      </w:r>
    </w:p>
    <w:p w14:paraId="5F7354E8" w14:textId="77777777" w:rsidR="00F27E5E" w:rsidRDefault="00F27E5E" w:rsidP="00325200">
      <w:pPr>
        <w:spacing w:line="480" w:lineRule="auto"/>
      </w:pPr>
    </w:p>
    <w:p w14:paraId="668D2F61" w14:textId="77777777" w:rsidR="000F5205" w:rsidRPr="0029665F" w:rsidRDefault="000F5205" w:rsidP="0029665F">
      <w:pPr>
        <w:spacing w:line="480" w:lineRule="auto"/>
        <w:jc w:val="right"/>
        <w:rPr>
          <w:sz w:val="24"/>
        </w:rPr>
      </w:pPr>
      <w:r w:rsidRPr="0029665F">
        <w:rPr>
          <w:sz w:val="24"/>
        </w:rPr>
        <w:t xml:space="preserve">‘We [the Aboriginal peoples] </w:t>
      </w:r>
      <w:proofErr w:type="gramStart"/>
      <w:r w:rsidRPr="0029665F">
        <w:rPr>
          <w:sz w:val="24"/>
        </w:rPr>
        <w:t>are well aware that</w:t>
      </w:r>
      <w:proofErr w:type="gramEnd"/>
      <w:r w:rsidRPr="0029665F">
        <w:rPr>
          <w:sz w:val="24"/>
        </w:rPr>
        <w:t xml:space="preserve"> many people </w:t>
      </w:r>
      <w:r w:rsidRPr="0029665F">
        <w:rPr>
          <w:sz w:val="24"/>
        </w:rPr>
        <w:br/>
        <w:t>have dedicated their time, careers and their lives sho</w:t>
      </w:r>
      <w:bookmarkStart w:id="0" w:name="_GoBack"/>
      <w:bookmarkEnd w:id="0"/>
      <w:r w:rsidRPr="0029665F">
        <w:rPr>
          <w:sz w:val="24"/>
        </w:rPr>
        <w:t xml:space="preserve">wing </w:t>
      </w:r>
      <w:r w:rsidRPr="0029665F">
        <w:rPr>
          <w:sz w:val="24"/>
        </w:rPr>
        <w:br/>
        <w:t xml:space="preserve">what they believe is an accurate picture of indigenous </w:t>
      </w:r>
      <w:r w:rsidRPr="0029665F">
        <w:rPr>
          <w:sz w:val="24"/>
        </w:rPr>
        <w:br/>
        <w:t xml:space="preserve">peoples. We thank you for that, but we want </w:t>
      </w:r>
      <w:r w:rsidRPr="0029665F">
        <w:rPr>
          <w:sz w:val="24"/>
        </w:rPr>
        <w:br/>
        <w:t>to turn the page…’</w:t>
      </w:r>
      <w:r w:rsidRPr="0029665F">
        <w:rPr>
          <w:sz w:val="24"/>
        </w:rPr>
        <w:br/>
      </w:r>
      <w:r w:rsidRPr="0029665F">
        <w:rPr>
          <w:sz w:val="24"/>
        </w:rPr>
        <w:br/>
        <w:t>- George Erasmus, 1988</w:t>
      </w:r>
    </w:p>
    <w:p w14:paraId="515F9A0B" w14:textId="32F7E5E0" w:rsidR="0016567E" w:rsidRPr="0029665F" w:rsidRDefault="0016567E" w:rsidP="0029665F">
      <w:pPr>
        <w:spacing w:line="480" w:lineRule="auto"/>
        <w:jc w:val="right"/>
        <w:rPr>
          <w:sz w:val="24"/>
        </w:rPr>
      </w:pPr>
    </w:p>
    <w:p w14:paraId="6B3A9551" w14:textId="417F478D" w:rsidR="004F4695" w:rsidRPr="0029665F" w:rsidRDefault="004F4695" w:rsidP="0029665F">
      <w:pPr>
        <w:spacing w:line="480" w:lineRule="auto"/>
        <w:jc w:val="right"/>
        <w:rPr>
          <w:sz w:val="24"/>
        </w:rPr>
      </w:pPr>
    </w:p>
    <w:p w14:paraId="4AE8C144" w14:textId="4F860A9E" w:rsidR="004F4695" w:rsidRPr="0029665F" w:rsidRDefault="00DE1E14" w:rsidP="0029665F">
      <w:pPr>
        <w:spacing w:line="480" w:lineRule="auto"/>
        <w:rPr>
          <w:sz w:val="24"/>
        </w:rPr>
      </w:pPr>
      <w:r w:rsidRPr="0029665F">
        <w:rPr>
          <w:sz w:val="24"/>
        </w:rPr>
        <w:t>Difficult heritage deals with problematic pasts,</w:t>
      </w:r>
      <w:r w:rsidR="003D5483" w:rsidRPr="0029665F">
        <w:rPr>
          <w:sz w:val="24"/>
        </w:rPr>
        <w:t xml:space="preserve"> uncomfortable and contested</w:t>
      </w:r>
      <w:r w:rsidR="00D564FA" w:rsidRPr="0029665F">
        <w:rPr>
          <w:sz w:val="24"/>
        </w:rPr>
        <w:t xml:space="preserve"> histories. When museums wish to present </w:t>
      </w:r>
      <w:r w:rsidR="000476D6" w:rsidRPr="0029665F">
        <w:rPr>
          <w:sz w:val="24"/>
        </w:rPr>
        <w:t>selected histories, they may have to deal with issues such as war, violence, atrocities, coloni</w:t>
      </w:r>
      <w:r w:rsidR="0083125F" w:rsidRPr="0029665F">
        <w:rPr>
          <w:sz w:val="24"/>
        </w:rPr>
        <w:t>sation</w:t>
      </w:r>
      <w:r w:rsidR="000476D6" w:rsidRPr="0029665F">
        <w:rPr>
          <w:sz w:val="24"/>
        </w:rPr>
        <w:t xml:space="preserve"> and oppression. </w:t>
      </w:r>
      <w:r w:rsidR="00D358B1" w:rsidRPr="0029665F">
        <w:rPr>
          <w:sz w:val="24"/>
        </w:rPr>
        <w:t xml:space="preserve">In a workshop </w:t>
      </w:r>
      <w:r w:rsidR="00270C72" w:rsidRPr="0029665F">
        <w:rPr>
          <w:sz w:val="24"/>
        </w:rPr>
        <w:t xml:space="preserve">on </w:t>
      </w:r>
      <w:r w:rsidR="008E23B4" w:rsidRPr="0029665F">
        <w:rPr>
          <w:sz w:val="24"/>
        </w:rPr>
        <w:t>‘</w:t>
      </w:r>
      <w:r w:rsidR="00270C72" w:rsidRPr="0029665F">
        <w:rPr>
          <w:sz w:val="24"/>
        </w:rPr>
        <w:t>Dealing with difficult heritage, educating on history</w:t>
      </w:r>
      <w:r w:rsidR="008E23B4" w:rsidRPr="0029665F">
        <w:rPr>
          <w:sz w:val="24"/>
        </w:rPr>
        <w:t>’</w:t>
      </w:r>
      <w:r w:rsidR="00DA0CC5" w:rsidRPr="0029665F">
        <w:rPr>
          <w:sz w:val="24"/>
        </w:rPr>
        <w:t>,</w:t>
      </w:r>
      <w:r w:rsidR="00270C72" w:rsidRPr="0029665F">
        <w:rPr>
          <w:sz w:val="24"/>
        </w:rPr>
        <w:t xml:space="preserve"> held by UNESCO in 2011 </w:t>
      </w:r>
      <w:r w:rsidR="00933B08" w:rsidRPr="0029665F">
        <w:rPr>
          <w:sz w:val="24"/>
        </w:rPr>
        <w:t xml:space="preserve">the problems in representing difficult heritage were </w:t>
      </w:r>
      <w:r w:rsidR="00DA0CC5" w:rsidRPr="0029665F">
        <w:rPr>
          <w:sz w:val="24"/>
        </w:rPr>
        <w:t xml:space="preserve">highlighted </w:t>
      </w:r>
      <w:r w:rsidR="00EA0C12" w:rsidRPr="0029665F">
        <w:rPr>
          <w:sz w:val="24"/>
        </w:rPr>
        <w:t xml:space="preserve">in </w:t>
      </w:r>
      <w:r w:rsidR="00DA0CC5" w:rsidRPr="0029665F">
        <w:rPr>
          <w:sz w:val="24"/>
        </w:rPr>
        <w:t>this</w:t>
      </w:r>
      <w:r w:rsidR="00933B08" w:rsidRPr="0029665F">
        <w:rPr>
          <w:sz w:val="24"/>
        </w:rPr>
        <w:t xml:space="preserve"> event through the following questions</w:t>
      </w:r>
      <w:r w:rsidR="00D66A62" w:rsidRPr="0029665F">
        <w:rPr>
          <w:sz w:val="24"/>
        </w:rPr>
        <w:t>:</w:t>
      </w:r>
      <w:r w:rsidR="00861A50" w:rsidRPr="0029665F">
        <w:rPr>
          <w:sz w:val="24"/>
        </w:rPr>
        <w:t xml:space="preserve"> </w:t>
      </w:r>
    </w:p>
    <w:p w14:paraId="1711F25E" w14:textId="268BB9EC" w:rsidR="00861A50" w:rsidRPr="0029665F" w:rsidRDefault="00861A50" w:rsidP="0029665F">
      <w:pPr>
        <w:spacing w:line="480" w:lineRule="auto"/>
        <w:rPr>
          <w:sz w:val="24"/>
        </w:rPr>
      </w:pPr>
    </w:p>
    <w:p w14:paraId="596847EF" w14:textId="338DF4EB" w:rsidR="00861A50" w:rsidRPr="0029665F" w:rsidRDefault="00861A50" w:rsidP="0029665F">
      <w:pPr>
        <w:spacing w:line="480" w:lineRule="auto"/>
        <w:ind w:left="1134" w:right="1088"/>
        <w:rPr>
          <w:sz w:val="24"/>
        </w:rPr>
      </w:pPr>
      <w:r w:rsidRPr="0029665F">
        <w:rPr>
          <w:sz w:val="24"/>
        </w:rPr>
        <w:t xml:space="preserve">‘How does a museum and a nation deal with a legacy? How are contemporary </w:t>
      </w:r>
      <w:r w:rsidR="005E5482" w:rsidRPr="0029665F">
        <w:rPr>
          <w:sz w:val="24"/>
        </w:rPr>
        <w:t>identities negotiated</w:t>
      </w:r>
      <w:r w:rsidRPr="0029665F">
        <w:rPr>
          <w:sz w:val="24"/>
        </w:rPr>
        <w:t xml:space="preserve">? How can a history museum bring a national community to examine and seek answers to </w:t>
      </w:r>
      <w:r w:rsidRPr="0029665F">
        <w:rPr>
          <w:sz w:val="24"/>
        </w:rPr>
        <w:lastRenderedPageBreak/>
        <w:t xml:space="preserve">collective questions? </w:t>
      </w:r>
      <w:r w:rsidR="005E5482" w:rsidRPr="0029665F">
        <w:rPr>
          <w:sz w:val="24"/>
        </w:rPr>
        <w:t>Who is included and excluded? Is a history museum a place of reconciliation?’</w:t>
      </w:r>
      <w:r w:rsidR="00547232" w:rsidRPr="0029665F">
        <w:rPr>
          <w:rStyle w:val="FootnoteReference"/>
          <w:sz w:val="24"/>
        </w:rPr>
        <w:footnoteReference w:id="2"/>
      </w:r>
    </w:p>
    <w:p w14:paraId="23C30BBF" w14:textId="55C92425" w:rsidR="00D66A62" w:rsidRPr="0029665F" w:rsidRDefault="00D66A62" w:rsidP="0029665F">
      <w:pPr>
        <w:spacing w:line="480" w:lineRule="auto"/>
        <w:ind w:right="1088"/>
        <w:rPr>
          <w:sz w:val="24"/>
        </w:rPr>
      </w:pPr>
      <w:r w:rsidRPr="0029665F">
        <w:rPr>
          <w:sz w:val="24"/>
        </w:rPr>
        <w:t xml:space="preserve">This </w:t>
      </w:r>
      <w:r w:rsidR="00A65322" w:rsidRPr="0029665F">
        <w:rPr>
          <w:sz w:val="24"/>
        </w:rPr>
        <w:t>workshop</w:t>
      </w:r>
      <w:r w:rsidRPr="0029665F">
        <w:rPr>
          <w:sz w:val="24"/>
        </w:rPr>
        <w:t xml:space="preserve"> </w:t>
      </w:r>
      <w:r w:rsidR="00A65322" w:rsidRPr="0029665F">
        <w:rPr>
          <w:sz w:val="24"/>
        </w:rPr>
        <w:t>aids in</w:t>
      </w:r>
      <w:r w:rsidRPr="0029665F">
        <w:rPr>
          <w:sz w:val="24"/>
        </w:rPr>
        <w:t xml:space="preserve"> explaining the</w:t>
      </w:r>
      <w:r w:rsidR="00A65322" w:rsidRPr="0029665F">
        <w:rPr>
          <w:sz w:val="24"/>
        </w:rPr>
        <w:t xml:space="preserve"> fundamental</w:t>
      </w:r>
      <w:r w:rsidRPr="0029665F">
        <w:rPr>
          <w:sz w:val="24"/>
        </w:rPr>
        <w:t xml:space="preserve"> issues faced by museums and cultural sites in representing difficult heritage</w:t>
      </w:r>
      <w:r w:rsidR="00A65322" w:rsidRPr="0029665F">
        <w:rPr>
          <w:sz w:val="24"/>
        </w:rPr>
        <w:t xml:space="preserve"> in the appropriate manner. </w:t>
      </w:r>
    </w:p>
    <w:p w14:paraId="6CACA550" w14:textId="5158B024" w:rsidR="00933B08" w:rsidRPr="0029665F" w:rsidRDefault="00B11950" w:rsidP="0029665F">
      <w:pPr>
        <w:spacing w:line="480" w:lineRule="auto"/>
        <w:rPr>
          <w:sz w:val="24"/>
        </w:rPr>
      </w:pPr>
      <w:r w:rsidRPr="0029665F">
        <w:rPr>
          <w:sz w:val="24"/>
        </w:rPr>
        <w:t xml:space="preserve">The </w:t>
      </w:r>
      <w:r w:rsidR="00E93586" w:rsidRPr="0029665F">
        <w:rPr>
          <w:sz w:val="24"/>
        </w:rPr>
        <w:t xml:space="preserve">representation of the </w:t>
      </w:r>
      <w:r w:rsidRPr="0029665F">
        <w:rPr>
          <w:sz w:val="24"/>
        </w:rPr>
        <w:t>history of Australian Aboriginal people presents</w:t>
      </w:r>
      <w:r w:rsidR="00E93586" w:rsidRPr="0029665F">
        <w:rPr>
          <w:sz w:val="24"/>
        </w:rPr>
        <w:t xml:space="preserve"> many</w:t>
      </w:r>
      <w:r w:rsidR="00293F6B" w:rsidRPr="0029665F">
        <w:rPr>
          <w:sz w:val="24"/>
        </w:rPr>
        <w:t xml:space="preserve"> problems in terms of their historical legacy</w:t>
      </w:r>
      <w:r w:rsidR="003325B8" w:rsidRPr="0029665F">
        <w:rPr>
          <w:sz w:val="24"/>
        </w:rPr>
        <w:t>;</w:t>
      </w:r>
      <w:r w:rsidR="00293F6B" w:rsidRPr="0029665F">
        <w:rPr>
          <w:sz w:val="24"/>
        </w:rPr>
        <w:t xml:space="preserve"> the way in which their identities have been misrepresented</w:t>
      </w:r>
      <w:r w:rsidR="00E16E6E" w:rsidRPr="0029665F">
        <w:rPr>
          <w:sz w:val="24"/>
        </w:rPr>
        <w:t xml:space="preserve">, how they have been excluded in many </w:t>
      </w:r>
      <w:r w:rsidR="003325B8" w:rsidRPr="0029665F">
        <w:rPr>
          <w:sz w:val="24"/>
        </w:rPr>
        <w:t>forms</w:t>
      </w:r>
      <w:r w:rsidR="00E16E6E" w:rsidRPr="0029665F">
        <w:rPr>
          <w:sz w:val="24"/>
        </w:rPr>
        <w:t xml:space="preserve"> from </w:t>
      </w:r>
      <w:r w:rsidR="00B451D9" w:rsidRPr="0029665F">
        <w:rPr>
          <w:sz w:val="24"/>
        </w:rPr>
        <w:t xml:space="preserve">the national community and </w:t>
      </w:r>
      <w:r w:rsidR="000F7EC4" w:rsidRPr="0029665F">
        <w:rPr>
          <w:sz w:val="24"/>
        </w:rPr>
        <w:t xml:space="preserve">how their voices have been ignored or obscured </w:t>
      </w:r>
      <w:r w:rsidR="0080308F" w:rsidRPr="0029665F">
        <w:rPr>
          <w:sz w:val="24"/>
        </w:rPr>
        <w:t>in</w:t>
      </w:r>
      <w:r w:rsidR="00A920CD" w:rsidRPr="0029665F">
        <w:rPr>
          <w:sz w:val="24"/>
        </w:rPr>
        <w:t xml:space="preserve"> </w:t>
      </w:r>
      <w:proofErr w:type="gramStart"/>
      <w:r w:rsidR="00A920CD" w:rsidRPr="0029665F">
        <w:rPr>
          <w:sz w:val="24"/>
        </w:rPr>
        <w:t>the</w:t>
      </w:r>
      <w:r w:rsidR="0080308F" w:rsidRPr="0029665F">
        <w:rPr>
          <w:sz w:val="24"/>
        </w:rPr>
        <w:t xml:space="preserve"> majority of</w:t>
      </w:r>
      <w:proofErr w:type="gramEnd"/>
      <w:r w:rsidR="0080308F" w:rsidRPr="0029665F">
        <w:rPr>
          <w:sz w:val="24"/>
        </w:rPr>
        <w:t xml:space="preserve"> the representations of Australian</w:t>
      </w:r>
      <w:r w:rsidR="00A920CD" w:rsidRPr="0029665F">
        <w:rPr>
          <w:sz w:val="24"/>
        </w:rPr>
        <w:t xml:space="preserve"> cultural</w:t>
      </w:r>
      <w:r w:rsidR="0080308F" w:rsidRPr="0029665F">
        <w:rPr>
          <w:sz w:val="24"/>
        </w:rPr>
        <w:t xml:space="preserve"> history</w:t>
      </w:r>
      <w:r w:rsidR="003475CF" w:rsidRPr="0029665F">
        <w:rPr>
          <w:sz w:val="24"/>
        </w:rPr>
        <w:t>.</w:t>
      </w:r>
    </w:p>
    <w:p w14:paraId="74E79218" w14:textId="3AA18470" w:rsidR="00EC09CF" w:rsidRPr="0029665F" w:rsidRDefault="007C0BC8" w:rsidP="0029665F">
      <w:pPr>
        <w:spacing w:line="480" w:lineRule="auto"/>
        <w:rPr>
          <w:sz w:val="24"/>
        </w:rPr>
      </w:pPr>
      <w:r w:rsidRPr="0029665F">
        <w:rPr>
          <w:sz w:val="24"/>
        </w:rPr>
        <w:t>Difficult</w:t>
      </w:r>
      <w:r w:rsidR="00EC09CF" w:rsidRPr="0029665F">
        <w:rPr>
          <w:sz w:val="24"/>
        </w:rPr>
        <w:t xml:space="preserve"> heritage</w:t>
      </w:r>
      <w:r w:rsidRPr="0029665F">
        <w:rPr>
          <w:sz w:val="24"/>
        </w:rPr>
        <w:t xml:space="preserve"> is described by Sharon MacDonald </w:t>
      </w:r>
      <w:r w:rsidR="00EC09CF" w:rsidRPr="0029665F">
        <w:rPr>
          <w:sz w:val="24"/>
        </w:rPr>
        <w:t xml:space="preserve">as </w:t>
      </w:r>
      <w:r w:rsidR="00B83D05" w:rsidRPr="0029665F">
        <w:rPr>
          <w:sz w:val="24"/>
        </w:rPr>
        <w:t>that</w:t>
      </w:r>
      <w:r w:rsidR="00EC09CF" w:rsidRPr="0029665F">
        <w:rPr>
          <w:sz w:val="24"/>
        </w:rPr>
        <w:t xml:space="preserve"> which is concerned with the histories and pasts that would not fit easily within the self-identity of a group</w:t>
      </w:r>
      <w:r w:rsidR="00BC01C9" w:rsidRPr="0029665F">
        <w:rPr>
          <w:sz w:val="24"/>
        </w:rPr>
        <w:t xml:space="preserve"> whose histories are represented.</w:t>
      </w:r>
      <w:r w:rsidR="004D6315" w:rsidRPr="0029665F">
        <w:rPr>
          <w:rStyle w:val="FootnoteReference"/>
          <w:sz w:val="24"/>
        </w:rPr>
        <w:footnoteReference w:id="3"/>
      </w:r>
      <w:r w:rsidR="00BC01C9" w:rsidRPr="0029665F">
        <w:rPr>
          <w:sz w:val="24"/>
        </w:rPr>
        <w:t xml:space="preserve"> </w:t>
      </w:r>
      <w:r w:rsidR="00290B5A" w:rsidRPr="0029665F">
        <w:rPr>
          <w:sz w:val="24"/>
        </w:rPr>
        <w:t>The presentation of d</w:t>
      </w:r>
      <w:r w:rsidR="00EC09CF" w:rsidRPr="0029665F">
        <w:rPr>
          <w:sz w:val="24"/>
        </w:rPr>
        <w:t xml:space="preserve">ifficult heritage potentially disrupts the affirming positive self-images which were perceived beforehand, as well as being a threat in which social differences and conflicts </w:t>
      </w:r>
      <w:r w:rsidR="00DE0F4E" w:rsidRPr="0029665F">
        <w:rPr>
          <w:sz w:val="24"/>
        </w:rPr>
        <w:t>may</w:t>
      </w:r>
      <w:r w:rsidR="00EC09CF" w:rsidRPr="0029665F">
        <w:rPr>
          <w:sz w:val="24"/>
        </w:rPr>
        <w:t xml:space="preserve"> </w:t>
      </w:r>
      <w:proofErr w:type="gramStart"/>
      <w:r w:rsidR="0042279A" w:rsidRPr="0029665F">
        <w:rPr>
          <w:sz w:val="24"/>
        </w:rPr>
        <w:t>open</w:t>
      </w:r>
      <w:r w:rsidR="00264D5D" w:rsidRPr="0029665F">
        <w:rPr>
          <w:sz w:val="24"/>
        </w:rPr>
        <w:t xml:space="preserve"> up</w:t>
      </w:r>
      <w:proofErr w:type="gramEnd"/>
      <w:r w:rsidR="00DE0F4E" w:rsidRPr="0029665F">
        <w:rPr>
          <w:sz w:val="24"/>
        </w:rPr>
        <w:t xml:space="preserve">. In Australia, the white Australian national identity </w:t>
      </w:r>
      <w:r w:rsidR="009347E6" w:rsidRPr="0029665F">
        <w:rPr>
          <w:sz w:val="24"/>
        </w:rPr>
        <w:t>could be</w:t>
      </w:r>
      <w:r w:rsidR="00C271C3" w:rsidRPr="0029665F">
        <w:rPr>
          <w:sz w:val="24"/>
        </w:rPr>
        <w:t xml:space="preserve"> damaged or</w:t>
      </w:r>
      <w:r w:rsidR="009347E6" w:rsidRPr="0029665F">
        <w:rPr>
          <w:sz w:val="24"/>
        </w:rPr>
        <w:t xml:space="preserve"> threatened by the acknowledgement </w:t>
      </w:r>
      <w:r w:rsidR="00335966" w:rsidRPr="0029665F">
        <w:rPr>
          <w:sz w:val="24"/>
        </w:rPr>
        <w:t xml:space="preserve">of past atrocities </w:t>
      </w:r>
      <w:r w:rsidR="00C271C3" w:rsidRPr="0029665F">
        <w:rPr>
          <w:sz w:val="24"/>
        </w:rPr>
        <w:t xml:space="preserve">that were performed </w:t>
      </w:r>
      <w:r w:rsidR="00335966" w:rsidRPr="0029665F">
        <w:rPr>
          <w:sz w:val="24"/>
        </w:rPr>
        <w:t xml:space="preserve">against </w:t>
      </w:r>
      <w:r w:rsidR="00C271C3" w:rsidRPr="0029665F">
        <w:rPr>
          <w:sz w:val="24"/>
        </w:rPr>
        <w:t xml:space="preserve">the </w:t>
      </w:r>
      <w:r w:rsidR="00335966" w:rsidRPr="0029665F">
        <w:rPr>
          <w:sz w:val="24"/>
        </w:rPr>
        <w:t>Aboriginal communities</w:t>
      </w:r>
      <w:r w:rsidR="00C271C3" w:rsidRPr="0029665F">
        <w:rPr>
          <w:sz w:val="24"/>
        </w:rPr>
        <w:t xml:space="preserve"> who i</w:t>
      </w:r>
      <w:r w:rsidR="00B569D3" w:rsidRPr="0029665F">
        <w:rPr>
          <w:sz w:val="24"/>
        </w:rPr>
        <w:t>n</w:t>
      </w:r>
      <w:r w:rsidR="00C271C3" w:rsidRPr="0029665F">
        <w:rPr>
          <w:sz w:val="24"/>
        </w:rPr>
        <w:t xml:space="preserve">habited </w:t>
      </w:r>
      <w:r w:rsidR="00B569D3" w:rsidRPr="0029665F">
        <w:rPr>
          <w:sz w:val="24"/>
        </w:rPr>
        <w:t>Australia</w:t>
      </w:r>
      <w:r w:rsidR="00C271C3" w:rsidRPr="0029665F">
        <w:rPr>
          <w:sz w:val="24"/>
        </w:rPr>
        <w:t xml:space="preserve"> before its coloni</w:t>
      </w:r>
      <w:r w:rsidR="00FB19C8" w:rsidRPr="0029665F">
        <w:rPr>
          <w:sz w:val="24"/>
        </w:rPr>
        <w:t>sation</w:t>
      </w:r>
      <w:r w:rsidR="00B569D3" w:rsidRPr="0029665F">
        <w:rPr>
          <w:sz w:val="24"/>
        </w:rPr>
        <w:t xml:space="preserve"> by the British Empire</w:t>
      </w:r>
      <w:r w:rsidR="00FB19C8" w:rsidRPr="0029665F">
        <w:rPr>
          <w:sz w:val="24"/>
        </w:rPr>
        <w:t>. This may in turn</w:t>
      </w:r>
      <w:r w:rsidR="006A62B0" w:rsidRPr="0029665F">
        <w:rPr>
          <w:sz w:val="24"/>
        </w:rPr>
        <w:t xml:space="preserve"> </w:t>
      </w:r>
      <w:r w:rsidR="00FB19C8" w:rsidRPr="0029665F">
        <w:rPr>
          <w:sz w:val="24"/>
        </w:rPr>
        <w:t>cause</w:t>
      </w:r>
      <w:r w:rsidR="006A62B0" w:rsidRPr="0029665F">
        <w:rPr>
          <w:sz w:val="24"/>
        </w:rPr>
        <w:t xml:space="preserve"> </w:t>
      </w:r>
      <w:r w:rsidR="00B569D3" w:rsidRPr="0029665F">
        <w:rPr>
          <w:sz w:val="24"/>
        </w:rPr>
        <w:t>division</w:t>
      </w:r>
      <w:r w:rsidR="006A62B0" w:rsidRPr="0029665F">
        <w:rPr>
          <w:sz w:val="24"/>
        </w:rPr>
        <w:t xml:space="preserve"> rather than to lead to reconciliation</w:t>
      </w:r>
      <w:r w:rsidR="00300220" w:rsidRPr="0029665F">
        <w:rPr>
          <w:sz w:val="24"/>
        </w:rPr>
        <w:t xml:space="preserve"> </w:t>
      </w:r>
      <w:proofErr w:type="gramStart"/>
      <w:r w:rsidR="00300220" w:rsidRPr="0029665F">
        <w:rPr>
          <w:sz w:val="24"/>
        </w:rPr>
        <w:t>due to the fact that</w:t>
      </w:r>
      <w:proofErr w:type="gramEnd"/>
      <w:r w:rsidR="00300220" w:rsidRPr="0029665F">
        <w:rPr>
          <w:sz w:val="24"/>
        </w:rPr>
        <w:t xml:space="preserve"> </w:t>
      </w:r>
      <w:r w:rsidR="00077F68" w:rsidRPr="0029665F">
        <w:rPr>
          <w:sz w:val="24"/>
        </w:rPr>
        <w:t>reconciliation ‘implies that forme</w:t>
      </w:r>
      <w:r w:rsidR="006838D6" w:rsidRPr="0029665F">
        <w:rPr>
          <w:sz w:val="24"/>
        </w:rPr>
        <w:t>r</w:t>
      </w:r>
      <w:r w:rsidR="00077F68" w:rsidRPr="0029665F">
        <w:rPr>
          <w:sz w:val="24"/>
        </w:rPr>
        <w:t xml:space="preserve"> adversaries </w:t>
      </w:r>
      <w:r w:rsidR="00077F68" w:rsidRPr="0029665F">
        <w:rPr>
          <w:sz w:val="24"/>
        </w:rPr>
        <w:lastRenderedPageBreak/>
        <w:t>shall come to terms with each other</w:t>
      </w:r>
      <w:r w:rsidR="00541BAD" w:rsidRPr="0029665F">
        <w:rPr>
          <w:sz w:val="24"/>
        </w:rPr>
        <w:t>’</w:t>
      </w:r>
      <w:r w:rsidR="00541BAD" w:rsidRPr="0029665F">
        <w:rPr>
          <w:rStyle w:val="FootnoteReference"/>
          <w:sz w:val="24"/>
        </w:rPr>
        <w:footnoteReference w:id="4"/>
      </w:r>
      <w:r w:rsidR="00541BAD" w:rsidRPr="0029665F">
        <w:rPr>
          <w:sz w:val="24"/>
        </w:rPr>
        <w:t xml:space="preserve"> </w:t>
      </w:r>
      <w:r w:rsidR="00EC09CF" w:rsidRPr="0029665F">
        <w:rPr>
          <w:sz w:val="24"/>
        </w:rPr>
        <w:t>Difficult heritage ultimately deals with the unsettling histories rather than those which are perceived as heroic</w:t>
      </w:r>
      <w:r w:rsidR="0063660A" w:rsidRPr="0029665F">
        <w:rPr>
          <w:sz w:val="24"/>
        </w:rPr>
        <w:t xml:space="preserve">. </w:t>
      </w:r>
    </w:p>
    <w:p w14:paraId="7017421C" w14:textId="77777777" w:rsidR="00FE3F40" w:rsidRPr="0029665F" w:rsidRDefault="00BC2BCD" w:rsidP="0029665F">
      <w:pPr>
        <w:spacing w:line="480" w:lineRule="auto"/>
        <w:rPr>
          <w:sz w:val="24"/>
        </w:rPr>
      </w:pPr>
      <w:r w:rsidRPr="0029665F">
        <w:rPr>
          <w:sz w:val="24"/>
        </w:rPr>
        <w:t xml:space="preserve">Understandably </w:t>
      </w:r>
      <w:r w:rsidR="00752480" w:rsidRPr="0029665F">
        <w:rPr>
          <w:sz w:val="24"/>
        </w:rPr>
        <w:t xml:space="preserve">when heritage organisations and </w:t>
      </w:r>
      <w:r w:rsidR="00EA78A6" w:rsidRPr="0029665F">
        <w:rPr>
          <w:sz w:val="24"/>
        </w:rPr>
        <w:t>institutions</w:t>
      </w:r>
      <w:r w:rsidR="00752480" w:rsidRPr="0029665F">
        <w:rPr>
          <w:sz w:val="24"/>
        </w:rPr>
        <w:t xml:space="preserve"> attempt to present </w:t>
      </w:r>
      <w:r w:rsidR="00D04616" w:rsidRPr="0029665F">
        <w:rPr>
          <w:sz w:val="24"/>
        </w:rPr>
        <w:t>contested</w:t>
      </w:r>
      <w:r w:rsidR="00752480" w:rsidRPr="0029665F">
        <w:rPr>
          <w:sz w:val="24"/>
        </w:rPr>
        <w:t xml:space="preserve"> histories</w:t>
      </w:r>
      <w:r w:rsidR="006B5217" w:rsidRPr="0029665F">
        <w:rPr>
          <w:sz w:val="24"/>
        </w:rPr>
        <w:t xml:space="preserve">, problematic </w:t>
      </w:r>
      <w:r w:rsidR="00EA78A6" w:rsidRPr="0029665F">
        <w:rPr>
          <w:sz w:val="24"/>
        </w:rPr>
        <w:t>scenarios</w:t>
      </w:r>
      <w:r w:rsidR="006B5217" w:rsidRPr="0029665F">
        <w:rPr>
          <w:sz w:val="24"/>
        </w:rPr>
        <w:t xml:space="preserve"> can arise.</w:t>
      </w:r>
      <w:r w:rsidR="00783555" w:rsidRPr="0029665F">
        <w:rPr>
          <w:sz w:val="24"/>
        </w:rPr>
        <w:t xml:space="preserve"> </w:t>
      </w:r>
      <w:r w:rsidR="00A27961" w:rsidRPr="0029665F">
        <w:rPr>
          <w:sz w:val="24"/>
        </w:rPr>
        <w:t xml:space="preserve">Paul Ashton and Paula Hamilton </w:t>
      </w:r>
      <w:r w:rsidR="00B073E7" w:rsidRPr="0029665F">
        <w:rPr>
          <w:sz w:val="24"/>
        </w:rPr>
        <w:t xml:space="preserve">state that there </w:t>
      </w:r>
      <w:r w:rsidR="0064279B" w:rsidRPr="0029665F">
        <w:rPr>
          <w:sz w:val="24"/>
        </w:rPr>
        <w:t>has</w:t>
      </w:r>
      <w:r w:rsidR="00B073E7" w:rsidRPr="0029665F">
        <w:rPr>
          <w:sz w:val="24"/>
        </w:rPr>
        <w:t xml:space="preserve"> been an increase in renegotiations of histories meaning that </w:t>
      </w:r>
      <w:r w:rsidR="008844C2" w:rsidRPr="0029665F">
        <w:rPr>
          <w:sz w:val="24"/>
        </w:rPr>
        <w:t xml:space="preserve">the categories of victim and </w:t>
      </w:r>
      <w:r w:rsidR="00587971" w:rsidRPr="0029665F">
        <w:rPr>
          <w:sz w:val="24"/>
        </w:rPr>
        <w:t>perpetrator</w:t>
      </w:r>
      <w:r w:rsidR="008844C2" w:rsidRPr="0029665F">
        <w:rPr>
          <w:sz w:val="24"/>
        </w:rPr>
        <w:t xml:space="preserve"> </w:t>
      </w:r>
      <w:r w:rsidR="00587971" w:rsidRPr="0029665F">
        <w:rPr>
          <w:sz w:val="24"/>
        </w:rPr>
        <w:t>can shift in unexpected ways.</w:t>
      </w:r>
      <w:r w:rsidR="0065793C" w:rsidRPr="0029665F">
        <w:rPr>
          <w:rStyle w:val="FootnoteReference"/>
          <w:sz w:val="24"/>
        </w:rPr>
        <w:footnoteReference w:id="5"/>
      </w:r>
      <w:r w:rsidR="00DA7C4B" w:rsidRPr="0029665F">
        <w:rPr>
          <w:sz w:val="24"/>
        </w:rPr>
        <w:t xml:space="preserve"> Ashton and Hamilton highlight and distinguish the differing periods in which Australia</w:t>
      </w:r>
      <w:r w:rsidR="00864F29" w:rsidRPr="0029665F">
        <w:rPr>
          <w:sz w:val="24"/>
        </w:rPr>
        <w:t xml:space="preserve"> has made an effort to mark and interpret its past.</w:t>
      </w:r>
      <w:r w:rsidR="00F54345" w:rsidRPr="0029665F">
        <w:rPr>
          <w:rStyle w:val="FootnoteReference"/>
          <w:sz w:val="24"/>
        </w:rPr>
        <w:footnoteReference w:id="6"/>
      </w:r>
      <w:r w:rsidR="00F54345" w:rsidRPr="0029665F">
        <w:rPr>
          <w:sz w:val="24"/>
        </w:rPr>
        <w:t xml:space="preserve"> This is shown through the fact that</w:t>
      </w:r>
      <w:r w:rsidR="00EA00D8" w:rsidRPr="0029665F">
        <w:rPr>
          <w:sz w:val="24"/>
        </w:rPr>
        <w:t xml:space="preserve"> while</w:t>
      </w:r>
      <w:r w:rsidR="00F54345" w:rsidRPr="0029665F">
        <w:rPr>
          <w:sz w:val="24"/>
        </w:rPr>
        <w:t xml:space="preserve"> Aboriginals wrestled with their legacy of colonial oppression</w:t>
      </w:r>
      <w:r w:rsidR="00EA00D8" w:rsidRPr="0029665F">
        <w:rPr>
          <w:sz w:val="24"/>
        </w:rPr>
        <w:t xml:space="preserve">, </w:t>
      </w:r>
      <w:r w:rsidR="002E38B3" w:rsidRPr="0029665F">
        <w:rPr>
          <w:sz w:val="24"/>
        </w:rPr>
        <w:t>this</w:t>
      </w:r>
      <w:r w:rsidR="00F54345" w:rsidRPr="0029665F">
        <w:rPr>
          <w:sz w:val="24"/>
        </w:rPr>
        <w:t xml:space="preserve"> </w:t>
      </w:r>
      <w:r w:rsidR="00AF2F3B" w:rsidRPr="0029665F">
        <w:rPr>
          <w:sz w:val="24"/>
        </w:rPr>
        <w:t>was obscured in the manufacture and display of a more acceptable state memory</w:t>
      </w:r>
      <w:r w:rsidR="00F90174" w:rsidRPr="0029665F">
        <w:rPr>
          <w:sz w:val="24"/>
        </w:rPr>
        <w:t>.</w:t>
      </w:r>
      <w:r w:rsidR="0019774A" w:rsidRPr="0029665F">
        <w:rPr>
          <w:rStyle w:val="FootnoteReference"/>
          <w:sz w:val="24"/>
        </w:rPr>
        <w:footnoteReference w:id="7"/>
      </w:r>
      <w:r w:rsidR="00E83FFA" w:rsidRPr="0029665F">
        <w:rPr>
          <w:sz w:val="24"/>
        </w:rPr>
        <w:t xml:space="preserve"> </w:t>
      </w:r>
      <w:r w:rsidR="007B7BE9" w:rsidRPr="0029665F">
        <w:rPr>
          <w:sz w:val="24"/>
        </w:rPr>
        <w:t xml:space="preserve"> Ashton and Hamilton believe that despite the ongoing conflicts between the white Australians and the Aboriginal people, </w:t>
      </w:r>
      <w:r w:rsidR="00941B16" w:rsidRPr="0029665F">
        <w:rPr>
          <w:sz w:val="24"/>
        </w:rPr>
        <w:t>the significance of the majority of cultural heritage sites will lie in the creation of space</w:t>
      </w:r>
      <w:r w:rsidR="00A060BF" w:rsidRPr="0029665F">
        <w:rPr>
          <w:sz w:val="24"/>
        </w:rPr>
        <w:t xml:space="preserve"> </w:t>
      </w:r>
      <w:r w:rsidR="00941B16" w:rsidRPr="0029665F">
        <w:rPr>
          <w:sz w:val="24"/>
        </w:rPr>
        <w:t xml:space="preserve">which can </w:t>
      </w:r>
      <w:r w:rsidR="00414120" w:rsidRPr="0029665F">
        <w:rPr>
          <w:sz w:val="24"/>
        </w:rPr>
        <w:t>be used to inform as well as creat</w:t>
      </w:r>
      <w:r w:rsidR="00A060BF" w:rsidRPr="0029665F">
        <w:rPr>
          <w:sz w:val="24"/>
        </w:rPr>
        <w:t>e</w:t>
      </w:r>
      <w:r w:rsidR="00414120" w:rsidRPr="0029665F">
        <w:rPr>
          <w:sz w:val="24"/>
        </w:rPr>
        <w:t xml:space="preserve"> a ‘platform for debate</w:t>
      </w:r>
      <w:r w:rsidR="00401602" w:rsidRPr="0029665F">
        <w:rPr>
          <w:sz w:val="24"/>
        </w:rPr>
        <w:t>.</w:t>
      </w:r>
      <w:r w:rsidR="00414120" w:rsidRPr="0029665F">
        <w:rPr>
          <w:sz w:val="24"/>
        </w:rPr>
        <w:t>’</w:t>
      </w:r>
      <w:r w:rsidR="00C7700D" w:rsidRPr="0029665F">
        <w:rPr>
          <w:rStyle w:val="FootnoteReference"/>
          <w:sz w:val="24"/>
        </w:rPr>
        <w:footnoteReference w:id="8"/>
      </w:r>
      <w:r w:rsidR="00AB1296" w:rsidRPr="0029665F">
        <w:rPr>
          <w:sz w:val="24"/>
        </w:rPr>
        <w:t xml:space="preserve"> </w:t>
      </w:r>
      <w:r w:rsidR="00401602" w:rsidRPr="0029665F">
        <w:rPr>
          <w:sz w:val="24"/>
        </w:rPr>
        <w:t>T</w:t>
      </w:r>
      <w:r w:rsidR="00A700BC" w:rsidRPr="0029665F">
        <w:rPr>
          <w:sz w:val="24"/>
        </w:rPr>
        <w:t>his re</w:t>
      </w:r>
      <w:r w:rsidR="00567992" w:rsidRPr="0029665F">
        <w:rPr>
          <w:sz w:val="24"/>
        </w:rPr>
        <w:t xml:space="preserve">veals the important role of a museum as a place of reconciliation following a contested history. </w:t>
      </w:r>
      <w:proofErr w:type="spellStart"/>
      <w:r w:rsidR="00AB1296" w:rsidRPr="0029665F">
        <w:rPr>
          <w:sz w:val="24"/>
        </w:rPr>
        <w:t>Nugen</w:t>
      </w:r>
      <w:proofErr w:type="spellEnd"/>
      <w:r w:rsidR="003366E7" w:rsidRPr="0029665F">
        <w:rPr>
          <w:sz w:val="24"/>
        </w:rPr>
        <w:t xml:space="preserve">, a historian for indigenous history, </w:t>
      </w:r>
      <w:r w:rsidR="008B7CE7" w:rsidRPr="0029665F">
        <w:rPr>
          <w:sz w:val="24"/>
        </w:rPr>
        <w:t>highlight</w:t>
      </w:r>
      <w:r w:rsidR="00FE0287" w:rsidRPr="0029665F">
        <w:rPr>
          <w:sz w:val="24"/>
        </w:rPr>
        <w:t>s</w:t>
      </w:r>
      <w:r w:rsidR="008B7CE7" w:rsidRPr="0029665F">
        <w:rPr>
          <w:sz w:val="24"/>
        </w:rPr>
        <w:t xml:space="preserve"> how the Aboriginal people had made an effort to ‘limit the power of colonial storytelling to hurt and dehumanise them</w:t>
      </w:r>
      <w:r w:rsidR="00FE0287" w:rsidRPr="0029665F">
        <w:rPr>
          <w:sz w:val="24"/>
        </w:rPr>
        <w:t>.</w:t>
      </w:r>
      <w:r w:rsidR="008B7CE7" w:rsidRPr="0029665F">
        <w:rPr>
          <w:sz w:val="24"/>
        </w:rPr>
        <w:t>’</w:t>
      </w:r>
      <w:r w:rsidR="008F2634" w:rsidRPr="0029665F">
        <w:rPr>
          <w:rStyle w:val="FootnoteReference"/>
          <w:sz w:val="24"/>
        </w:rPr>
        <w:footnoteReference w:id="9"/>
      </w:r>
      <w:r w:rsidR="006664A0" w:rsidRPr="0029665F">
        <w:rPr>
          <w:sz w:val="24"/>
        </w:rPr>
        <w:t xml:space="preserve"> </w:t>
      </w:r>
      <w:r w:rsidR="000B4FB7" w:rsidRPr="0029665F">
        <w:rPr>
          <w:sz w:val="24"/>
        </w:rPr>
        <w:t xml:space="preserve">Heritage representations create and present a narrative of the past, and </w:t>
      </w:r>
      <w:r w:rsidR="00D32CA6" w:rsidRPr="0029665F">
        <w:rPr>
          <w:sz w:val="24"/>
        </w:rPr>
        <w:t xml:space="preserve">it is important that the communities that are being presented are not excluded from the creation and interpretation of their own narrative. </w:t>
      </w:r>
      <w:r w:rsidR="001760D4" w:rsidRPr="0029665F">
        <w:rPr>
          <w:sz w:val="24"/>
        </w:rPr>
        <w:br/>
      </w:r>
      <w:r w:rsidR="006664A0" w:rsidRPr="0029665F">
        <w:rPr>
          <w:sz w:val="24"/>
        </w:rPr>
        <w:t>This essay focus</w:t>
      </w:r>
      <w:r w:rsidR="00A95FD5" w:rsidRPr="0029665F">
        <w:rPr>
          <w:sz w:val="24"/>
        </w:rPr>
        <w:t>es</w:t>
      </w:r>
      <w:r w:rsidR="006664A0" w:rsidRPr="0029665F">
        <w:rPr>
          <w:sz w:val="24"/>
        </w:rPr>
        <w:t xml:space="preserve"> on the way in which the aboriginal histories are remembered within the </w:t>
      </w:r>
      <w:r w:rsidR="006664A0" w:rsidRPr="0029665F">
        <w:rPr>
          <w:sz w:val="24"/>
        </w:rPr>
        <w:lastRenderedPageBreak/>
        <w:t xml:space="preserve">Brambuk National Park and Cultural Centre in Gariwerd, Victoria and the ways in which it manages the issues associated with presenting difficult heritage, </w:t>
      </w:r>
      <w:proofErr w:type="gramStart"/>
      <w:r w:rsidR="006664A0" w:rsidRPr="0029665F">
        <w:rPr>
          <w:sz w:val="24"/>
        </w:rPr>
        <w:t>in particular</w:t>
      </w:r>
      <w:r w:rsidR="00903724" w:rsidRPr="0029665F">
        <w:rPr>
          <w:sz w:val="24"/>
        </w:rPr>
        <w:t xml:space="preserve"> t</w:t>
      </w:r>
      <w:r w:rsidR="006664A0" w:rsidRPr="0029665F">
        <w:rPr>
          <w:sz w:val="24"/>
        </w:rPr>
        <w:t>he</w:t>
      </w:r>
      <w:proofErr w:type="gramEnd"/>
      <w:r w:rsidR="006664A0" w:rsidRPr="0029665F">
        <w:rPr>
          <w:sz w:val="24"/>
        </w:rPr>
        <w:t xml:space="preserve"> ways in which it attempts to reconcile the conflicted history of the nation.</w:t>
      </w:r>
      <w:r w:rsidR="00FE3F40" w:rsidRPr="0029665F">
        <w:rPr>
          <w:sz w:val="24"/>
        </w:rPr>
        <w:t xml:space="preserve"> </w:t>
      </w:r>
    </w:p>
    <w:p w14:paraId="2779AA7A" w14:textId="792753EB" w:rsidR="00A070CF" w:rsidRPr="0029665F" w:rsidRDefault="00FE3F40" w:rsidP="0029665F">
      <w:pPr>
        <w:spacing w:line="480" w:lineRule="auto"/>
        <w:rPr>
          <w:sz w:val="24"/>
        </w:rPr>
      </w:pPr>
      <w:r w:rsidRPr="0029665F">
        <w:rPr>
          <w:sz w:val="24"/>
        </w:rPr>
        <w:t xml:space="preserve">Brambuk is situated in the Gariwerd region, a site where there </w:t>
      </w:r>
      <w:r w:rsidR="00F441DE" w:rsidRPr="0029665F">
        <w:rPr>
          <w:sz w:val="24"/>
        </w:rPr>
        <w:t>is</w:t>
      </w:r>
      <w:r w:rsidRPr="0029665F">
        <w:rPr>
          <w:sz w:val="24"/>
        </w:rPr>
        <w:t xml:space="preserve"> a diversity of interests struggling over the representation of space.</w:t>
      </w:r>
      <w:r w:rsidRPr="0029665F">
        <w:rPr>
          <w:rStyle w:val="FootnoteReference"/>
          <w:sz w:val="24"/>
        </w:rPr>
        <w:footnoteReference w:id="10"/>
      </w:r>
      <w:r w:rsidRPr="0029665F">
        <w:rPr>
          <w:sz w:val="24"/>
        </w:rPr>
        <w:t xml:space="preserve"> </w:t>
      </w:r>
      <w:r w:rsidR="008B12A3" w:rsidRPr="0029665F">
        <w:rPr>
          <w:sz w:val="24"/>
        </w:rPr>
        <w:t>The site of the cultural centre consciously acknowledges th</w:t>
      </w:r>
      <w:r w:rsidR="004503D0" w:rsidRPr="0029665F">
        <w:rPr>
          <w:sz w:val="24"/>
        </w:rPr>
        <w:t>ese diverse interests</w:t>
      </w:r>
      <w:r w:rsidR="00CA0D2D" w:rsidRPr="0029665F">
        <w:rPr>
          <w:sz w:val="24"/>
        </w:rPr>
        <w:t>,</w:t>
      </w:r>
      <w:r w:rsidR="004503D0" w:rsidRPr="0029665F">
        <w:rPr>
          <w:sz w:val="24"/>
        </w:rPr>
        <w:t xml:space="preserve"> </w:t>
      </w:r>
      <w:r w:rsidR="00834556" w:rsidRPr="0029665F">
        <w:rPr>
          <w:sz w:val="24"/>
        </w:rPr>
        <w:t xml:space="preserve">while at the same time demonstrating how the site </w:t>
      </w:r>
      <w:r w:rsidR="00CA0D2D" w:rsidRPr="0029665F">
        <w:rPr>
          <w:sz w:val="24"/>
        </w:rPr>
        <w:t xml:space="preserve">is </w:t>
      </w:r>
      <w:r w:rsidR="00963347" w:rsidRPr="0029665F">
        <w:rPr>
          <w:sz w:val="24"/>
        </w:rPr>
        <w:t xml:space="preserve">Aboriginal. </w:t>
      </w:r>
      <w:r w:rsidRPr="0029665F">
        <w:rPr>
          <w:sz w:val="24"/>
        </w:rPr>
        <w:t>Brambuk is an embodiment of the local Aboriginal people’s relationships with their familial land. The sites position, exhibitions and cultural tours represent an attempt to demonstrate that Gariwerd is an Aboriginal place. Within this, Brambuk is challenging the historically dominant framing of the area as a non-Aboriginal settler space.</w:t>
      </w:r>
      <w:r w:rsidRPr="0029665F">
        <w:rPr>
          <w:rStyle w:val="FootnoteReference"/>
          <w:sz w:val="24"/>
        </w:rPr>
        <w:footnoteReference w:id="11"/>
      </w:r>
      <w:r w:rsidR="00963347" w:rsidRPr="0029665F">
        <w:rPr>
          <w:sz w:val="24"/>
        </w:rPr>
        <w:t xml:space="preserve"> In doing so, </w:t>
      </w:r>
      <w:r w:rsidR="00C16FB7" w:rsidRPr="0029665F">
        <w:rPr>
          <w:sz w:val="24"/>
        </w:rPr>
        <w:t>Brambuk</w:t>
      </w:r>
      <w:r w:rsidR="00963347" w:rsidRPr="0029665F">
        <w:rPr>
          <w:sz w:val="24"/>
        </w:rPr>
        <w:t xml:space="preserve"> consciously </w:t>
      </w:r>
      <w:r w:rsidR="00C16FB7" w:rsidRPr="0029665F">
        <w:rPr>
          <w:sz w:val="24"/>
        </w:rPr>
        <w:t>engage with that debate which is at the heart of Aboriginal cultural representation.</w:t>
      </w:r>
    </w:p>
    <w:p w14:paraId="7B7F49CF" w14:textId="6C393E6C" w:rsidR="00E50341" w:rsidRPr="0029665F" w:rsidRDefault="004E5D4B" w:rsidP="0029665F">
      <w:pPr>
        <w:spacing w:line="480" w:lineRule="auto"/>
        <w:rPr>
          <w:sz w:val="24"/>
        </w:rPr>
      </w:pPr>
      <w:r w:rsidRPr="0029665F">
        <w:rPr>
          <w:sz w:val="24"/>
        </w:rPr>
        <w:t>Brambuk presents itself as a living cultural centre rather than a history museum</w:t>
      </w:r>
      <w:r w:rsidR="00F305F4" w:rsidRPr="0029665F">
        <w:rPr>
          <w:sz w:val="24"/>
        </w:rPr>
        <w:t xml:space="preserve"> and as such, it invites an ongoing conversation about Aboriginal peoples and their place in the modern world. </w:t>
      </w:r>
      <w:r w:rsidR="00F61B85" w:rsidRPr="0029665F">
        <w:rPr>
          <w:sz w:val="24"/>
        </w:rPr>
        <w:t xml:space="preserve">It becomes a place of contact for such debates. </w:t>
      </w:r>
      <w:r w:rsidR="00F71CF4" w:rsidRPr="0029665F">
        <w:rPr>
          <w:sz w:val="24"/>
        </w:rPr>
        <w:t>James C</w:t>
      </w:r>
      <w:r w:rsidR="00A80F1C" w:rsidRPr="0029665F">
        <w:rPr>
          <w:sz w:val="24"/>
        </w:rPr>
        <w:t>lifford</w:t>
      </w:r>
      <w:r w:rsidR="002138B0" w:rsidRPr="0029665F">
        <w:rPr>
          <w:sz w:val="24"/>
        </w:rPr>
        <w:t>, introduces the picture of a museum as a contact zone, defining the zone as related to colonial encounters and contact as ‘an ongoing historical, political and moral relationship, a power-charged set of exchanges of push and pull.’</w:t>
      </w:r>
      <w:r w:rsidR="002D7511" w:rsidRPr="0029665F">
        <w:rPr>
          <w:rStyle w:val="FootnoteReference"/>
          <w:sz w:val="24"/>
        </w:rPr>
        <w:footnoteReference w:id="12"/>
      </w:r>
      <w:r w:rsidR="00F25549" w:rsidRPr="0029665F">
        <w:rPr>
          <w:sz w:val="24"/>
        </w:rPr>
        <w:t xml:space="preserve"> Clifford’s introduction of a museum as a contact zone</w:t>
      </w:r>
      <w:r w:rsidR="008E4109" w:rsidRPr="0029665F">
        <w:rPr>
          <w:sz w:val="24"/>
        </w:rPr>
        <w:t xml:space="preserve"> indicates a change</w:t>
      </w:r>
      <w:r w:rsidR="0004148E" w:rsidRPr="0029665F">
        <w:rPr>
          <w:sz w:val="24"/>
        </w:rPr>
        <w:t xml:space="preserve"> in the way museums are perceived. Previously, they were a place to root people in a stable national narrative</w:t>
      </w:r>
      <w:r w:rsidR="00CF2B18" w:rsidRPr="0029665F">
        <w:rPr>
          <w:sz w:val="24"/>
        </w:rPr>
        <w:t xml:space="preserve">, </w:t>
      </w:r>
      <w:r w:rsidR="00585B95" w:rsidRPr="0029665F">
        <w:rPr>
          <w:sz w:val="24"/>
        </w:rPr>
        <w:t xml:space="preserve">now, </w:t>
      </w:r>
      <w:r w:rsidR="00B91B7A" w:rsidRPr="0029665F">
        <w:rPr>
          <w:sz w:val="24"/>
        </w:rPr>
        <w:t xml:space="preserve">there is the prevailing image that </w:t>
      </w:r>
      <w:r w:rsidR="00E20B16" w:rsidRPr="0029665F">
        <w:rPr>
          <w:sz w:val="24"/>
        </w:rPr>
        <w:t xml:space="preserve">the museum </w:t>
      </w:r>
      <w:r w:rsidR="002F096C" w:rsidRPr="0029665F">
        <w:rPr>
          <w:sz w:val="24"/>
        </w:rPr>
        <w:lastRenderedPageBreak/>
        <w:t xml:space="preserve">works through </w:t>
      </w:r>
      <w:r w:rsidR="00E20B16" w:rsidRPr="0029665F">
        <w:rPr>
          <w:sz w:val="24"/>
        </w:rPr>
        <w:t>fluidity</w:t>
      </w:r>
      <w:r w:rsidR="001E32E4" w:rsidRPr="0029665F">
        <w:rPr>
          <w:sz w:val="24"/>
        </w:rPr>
        <w:t>.</w:t>
      </w:r>
      <w:r w:rsidR="003A50B6" w:rsidRPr="0029665F">
        <w:rPr>
          <w:rStyle w:val="FootnoteReference"/>
          <w:sz w:val="24"/>
        </w:rPr>
        <w:footnoteReference w:id="13"/>
      </w:r>
      <w:r w:rsidR="00E47093" w:rsidRPr="0029665F">
        <w:rPr>
          <w:sz w:val="24"/>
        </w:rPr>
        <w:t xml:space="preserve"> This can be explained with the idea that museums are rarely neutral </w:t>
      </w:r>
      <w:r w:rsidR="00B70843" w:rsidRPr="0029665F">
        <w:rPr>
          <w:sz w:val="24"/>
        </w:rPr>
        <w:t>institutes, they are continuously altering, and intricate political entities formed by the social order in which they are located.</w:t>
      </w:r>
      <w:r w:rsidR="00B70843" w:rsidRPr="0029665F">
        <w:rPr>
          <w:rStyle w:val="FootnoteReference"/>
          <w:sz w:val="24"/>
        </w:rPr>
        <w:footnoteReference w:id="14"/>
      </w:r>
      <w:r w:rsidR="002869EE" w:rsidRPr="0029665F">
        <w:rPr>
          <w:sz w:val="24"/>
        </w:rPr>
        <w:br/>
      </w:r>
      <w:r w:rsidR="00D97812" w:rsidRPr="0029665F">
        <w:rPr>
          <w:sz w:val="24"/>
        </w:rPr>
        <w:t xml:space="preserve">In the past, community-based museums established by immigrant communities have had a tendency to be nostalgic memories of the past. The establishment of a museum can provide a means of recalling what has been lost, alongside attempting to preserve traditional skills and knowledge. </w:t>
      </w:r>
      <w:r w:rsidR="00D97812" w:rsidRPr="0029665F">
        <w:rPr>
          <w:rStyle w:val="FootnoteReference"/>
          <w:sz w:val="24"/>
        </w:rPr>
        <w:footnoteReference w:id="15"/>
      </w:r>
      <w:r w:rsidR="00D97812" w:rsidRPr="0029665F">
        <w:rPr>
          <w:sz w:val="24"/>
        </w:rPr>
        <w:t xml:space="preserve"> </w:t>
      </w:r>
      <w:r w:rsidR="00256ABD" w:rsidRPr="0029665F">
        <w:rPr>
          <w:sz w:val="24"/>
        </w:rPr>
        <w:t xml:space="preserve"> </w:t>
      </w:r>
      <w:r w:rsidR="00D97812" w:rsidRPr="0029665F">
        <w:rPr>
          <w:sz w:val="24"/>
        </w:rPr>
        <w:t xml:space="preserve">In Australia, Aboriginal peoples have started to adopt </w:t>
      </w:r>
      <w:r w:rsidR="00E438E8" w:rsidRPr="0029665F">
        <w:rPr>
          <w:sz w:val="24"/>
        </w:rPr>
        <w:t>and alter t</w:t>
      </w:r>
      <w:r w:rsidR="00D97812" w:rsidRPr="0029665F">
        <w:rPr>
          <w:sz w:val="24"/>
        </w:rPr>
        <w:t xml:space="preserve">he European museum model for their own uses and a substantial number of Aboriginal cultural centres and ‘keeping places’ have been established. </w:t>
      </w:r>
      <w:r w:rsidR="00D97812" w:rsidRPr="0029665F">
        <w:rPr>
          <w:rStyle w:val="FootnoteReference"/>
          <w:sz w:val="24"/>
        </w:rPr>
        <w:footnoteReference w:id="16"/>
      </w:r>
      <w:r w:rsidR="00D97812" w:rsidRPr="0029665F">
        <w:rPr>
          <w:sz w:val="24"/>
        </w:rPr>
        <w:t xml:space="preserve"> In an interview, Geoff Clark specified that a state still holds a moral obligation to provide a museum as controversial as an aboriginal museum, </w:t>
      </w:r>
      <w:proofErr w:type="gramStart"/>
      <w:r w:rsidR="00D97812" w:rsidRPr="0029665F">
        <w:rPr>
          <w:sz w:val="24"/>
        </w:rPr>
        <w:t>due to the fact that</w:t>
      </w:r>
      <w:proofErr w:type="gramEnd"/>
      <w:r w:rsidR="00D97812" w:rsidRPr="0029665F">
        <w:rPr>
          <w:sz w:val="24"/>
        </w:rPr>
        <w:t xml:space="preserve"> it is needed to educate and create awareness.</w:t>
      </w:r>
      <w:r w:rsidR="00D97812" w:rsidRPr="0029665F">
        <w:rPr>
          <w:rStyle w:val="FootnoteReference"/>
          <w:sz w:val="24"/>
        </w:rPr>
        <w:footnoteReference w:id="17"/>
      </w:r>
      <w:r w:rsidR="00A27961" w:rsidRPr="0029665F">
        <w:rPr>
          <w:sz w:val="24"/>
        </w:rPr>
        <w:t xml:space="preserve"> </w:t>
      </w:r>
      <w:r w:rsidR="00BA4640" w:rsidRPr="0029665F">
        <w:rPr>
          <w:sz w:val="24"/>
        </w:rPr>
        <w:t>Althou</w:t>
      </w:r>
      <w:r w:rsidR="00584CEE" w:rsidRPr="0029665F">
        <w:rPr>
          <w:sz w:val="24"/>
        </w:rPr>
        <w:t xml:space="preserve">gh not following the European museum model, </w:t>
      </w:r>
      <w:r w:rsidR="002F0E3D" w:rsidRPr="0029665F">
        <w:rPr>
          <w:sz w:val="24"/>
        </w:rPr>
        <w:t xml:space="preserve">The Brambuk National Park and Cultural Centre is a heritage site dedicated </w:t>
      </w:r>
      <w:r w:rsidR="0061592F" w:rsidRPr="0029665F">
        <w:rPr>
          <w:sz w:val="24"/>
        </w:rPr>
        <w:t>to the culture of Australian Aboriginal peoples. The site is a self</w:t>
      </w:r>
      <w:r w:rsidR="00C40D8A" w:rsidRPr="0029665F">
        <w:rPr>
          <w:sz w:val="24"/>
        </w:rPr>
        <w:t>-</w:t>
      </w:r>
      <w:r w:rsidR="0061592F" w:rsidRPr="0029665F">
        <w:rPr>
          <w:sz w:val="24"/>
        </w:rPr>
        <w:t xml:space="preserve">defining </w:t>
      </w:r>
      <w:r w:rsidR="00C40D8A" w:rsidRPr="0029665F">
        <w:rPr>
          <w:sz w:val="24"/>
        </w:rPr>
        <w:t>response to traditional European cultural interpretations</w:t>
      </w:r>
      <w:r w:rsidR="003B0736" w:rsidRPr="0029665F">
        <w:rPr>
          <w:sz w:val="24"/>
        </w:rPr>
        <w:t>.</w:t>
      </w:r>
      <w:r w:rsidR="006232E0" w:rsidRPr="0029665F">
        <w:rPr>
          <w:sz w:val="24"/>
        </w:rPr>
        <w:t xml:space="preserve"> </w:t>
      </w:r>
      <w:r w:rsidR="00BD7340" w:rsidRPr="0029665F">
        <w:rPr>
          <w:sz w:val="24"/>
        </w:rPr>
        <w:t xml:space="preserve">Traditionally, European </w:t>
      </w:r>
      <w:r w:rsidR="007B56BA" w:rsidRPr="0029665F">
        <w:rPr>
          <w:sz w:val="24"/>
        </w:rPr>
        <w:t>interpretations</w:t>
      </w:r>
      <w:r w:rsidR="00BD7340" w:rsidRPr="0029665F">
        <w:rPr>
          <w:sz w:val="24"/>
        </w:rPr>
        <w:t xml:space="preserve"> of Aboriginal people present them as an ancient culture,</w:t>
      </w:r>
      <w:r w:rsidR="007B56BA" w:rsidRPr="0029665F">
        <w:rPr>
          <w:sz w:val="24"/>
        </w:rPr>
        <w:t xml:space="preserve"> often featuring notions of ‘the noble savage.’</w:t>
      </w:r>
      <w:r w:rsidR="008B2B31" w:rsidRPr="0029665F">
        <w:rPr>
          <w:rStyle w:val="FootnoteReference"/>
          <w:sz w:val="24"/>
        </w:rPr>
        <w:footnoteReference w:id="18"/>
      </w:r>
      <w:r w:rsidR="007B56BA" w:rsidRPr="0029665F">
        <w:rPr>
          <w:sz w:val="24"/>
        </w:rPr>
        <w:br/>
      </w:r>
      <w:r w:rsidR="003B2210" w:rsidRPr="0029665F">
        <w:rPr>
          <w:sz w:val="24"/>
        </w:rPr>
        <w:t>The Brambuk makes clear that Aboriginal people, rather than other</w:t>
      </w:r>
      <w:r w:rsidR="00A45E4F" w:rsidRPr="0029665F">
        <w:rPr>
          <w:sz w:val="24"/>
        </w:rPr>
        <w:t>s</w:t>
      </w:r>
      <w:r w:rsidR="003B2210" w:rsidRPr="0029665F">
        <w:rPr>
          <w:sz w:val="24"/>
        </w:rPr>
        <w:t xml:space="preserve">, should be the ones to present and offer </w:t>
      </w:r>
      <w:r w:rsidR="000F64C0" w:rsidRPr="0029665F">
        <w:rPr>
          <w:sz w:val="24"/>
        </w:rPr>
        <w:t>interpretations</w:t>
      </w:r>
      <w:r w:rsidR="003B2210" w:rsidRPr="0029665F">
        <w:rPr>
          <w:sz w:val="24"/>
        </w:rPr>
        <w:t xml:space="preserve"> of their own cultures.</w:t>
      </w:r>
      <w:r w:rsidR="00584CEE" w:rsidRPr="0029665F">
        <w:rPr>
          <w:sz w:val="24"/>
        </w:rPr>
        <w:t xml:space="preserve"> </w:t>
      </w:r>
      <w:r w:rsidR="00490DFE" w:rsidRPr="0029665F">
        <w:rPr>
          <w:sz w:val="24"/>
        </w:rPr>
        <w:t xml:space="preserve">Post-Colonial </w:t>
      </w:r>
      <w:r w:rsidR="0042217C" w:rsidRPr="0029665F">
        <w:rPr>
          <w:sz w:val="24"/>
        </w:rPr>
        <w:t xml:space="preserve">museums often interpret </w:t>
      </w:r>
      <w:r w:rsidR="00490DFE" w:rsidRPr="0029665F">
        <w:rPr>
          <w:sz w:val="24"/>
        </w:rPr>
        <w:t xml:space="preserve">the </w:t>
      </w:r>
      <w:r w:rsidR="0042217C" w:rsidRPr="0029665F">
        <w:rPr>
          <w:sz w:val="24"/>
        </w:rPr>
        <w:t xml:space="preserve">Aboriginal culture ‘as a dead </w:t>
      </w:r>
      <w:r w:rsidR="00AD1A78" w:rsidRPr="0029665F">
        <w:rPr>
          <w:sz w:val="24"/>
        </w:rPr>
        <w:t xml:space="preserve">culture, an ancient culture… something which </w:t>
      </w:r>
      <w:r w:rsidR="00AD1A78" w:rsidRPr="0029665F">
        <w:rPr>
          <w:sz w:val="24"/>
        </w:rPr>
        <w:lastRenderedPageBreak/>
        <w:t>needs to be protected rather than maintained.’</w:t>
      </w:r>
      <w:r w:rsidR="00912185" w:rsidRPr="0029665F">
        <w:rPr>
          <w:rStyle w:val="FootnoteReference"/>
          <w:sz w:val="24"/>
        </w:rPr>
        <w:footnoteReference w:id="19"/>
      </w:r>
      <w:r w:rsidR="00E67D72" w:rsidRPr="0029665F">
        <w:rPr>
          <w:sz w:val="24"/>
        </w:rPr>
        <w:t xml:space="preserve"> </w:t>
      </w:r>
      <w:r w:rsidR="00841C23" w:rsidRPr="0029665F">
        <w:rPr>
          <w:sz w:val="24"/>
        </w:rPr>
        <w:t xml:space="preserve">This clearly is not the case and the Brambuk makes </w:t>
      </w:r>
      <w:r w:rsidR="001F0880" w:rsidRPr="0029665F">
        <w:rPr>
          <w:sz w:val="24"/>
        </w:rPr>
        <w:t>the living nature</w:t>
      </w:r>
      <w:r w:rsidR="00841C23" w:rsidRPr="0029665F">
        <w:rPr>
          <w:sz w:val="24"/>
        </w:rPr>
        <w:t xml:space="preserve"> aspect of its presentation clear through the </w:t>
      </w:r>
      <w:r w:rsidR="00B56D60" w:rsidRPr="0029665F">
        <w:rPr>
          <w:sz w:val="24"/>
        </w:rPr>
        <w:t>talks and demonstrations given by Aboriginal peoples a</w:t>
      </w:r>
      <w:r w:rsidR="004842CF" w:rsidRPr="0029665F">
        <w:rPr>
          <w:sz w:val="24"/>
        </w:rPr>
        <w:t>bout their culture</w:t>
      </w:r>
      <w:r w:rsidR="00F81CFE" w:rsidRPr="0029665F">
        <w:rPr>
          <w:sz w:val="24"/>
        </w:rPr>
        <w:t>. B</w:t>
      </w:r>
      <w:r w:rsidR="004842CF" w:rsidRPr="0029665F">
        <w:rPr>
          <w:sz w:val="24"/>
        </w:rPr>
        <w:t>ut also</w:t>
      </w:r>
      <w:r w:rsidR="00CA0D2D" w:rsidRPr="0029665F">
        <w:rPr>
          <w:sz w:val="24"/>
        </w:rPr>
        <w:t xml:space="preserve">, </w:t>
      </w:r>
      <w:r w:rsidR="004842CF" w:rsidRPr="0029665F">
        <w:rPr>
          <w:sz w:val="24"/>
        </w:rPr>
        <w:t>through the crafts and products they create and sell on site</w:t>
      </w:r>
      <w:r w:rsidR="00CA0D2D" w:rsidRPr="0029665F">
        <w:rPr>
          <w:sz w:val="24"/>
        </w:rPr>
        <w:t>,</w:t>
      </w:r>
      <w:r w:rsidR="004842CF" w:rsidRPr="0029665F">
        <w:rPr>
          <w:sz w:val="24"/>
        </w:rPr>
        <w:t xml:space="preserve"> alongside the book shop</w:t>
      </w:r>
      <w:r w:rsidR="00CA0D2D" w:rsidRPr="0029665F">
        <w:rPr>
          <w:sz w:val="24"/>
        </w:rPr>
        <w:t>,</w:t>
      </w:r>
      <w:r w:rsidR="004842CF" w:rsidRPr="0029665F">
        <w:rPr>
          <w:sz w:val="24"/>
        </w:rPr>
        <w:t xml:space="preserve"> </w:t>
      </w:r>
      <w:r w:rsidR="006D35F6" w:rsidRPr="0029665F">
        <w:rPr>
          <w:sz w:val="24"/>
        </w:rPr>
        <w:t>which provide</w:t>
      </w:r>
      <w:r w:rsidR="007036BC" w:rsidRPr="0029665F">
        <w:rPr>
          <w:sz w:val="24"/>
        </w:rPr>
        <w:t>s</w:t>
      </w:r>
      <w:r w:rsidR="0054678A" w:rsidRPr="0029665F">
        <w:rPr>
          <w:sz w:val="24"/>
        </w:rPr>
        <w:t xml:space="preserve"> information on their</w:t>
      </w:r>
      <w:r w:rsidR="006D35F6" w:rsidRPr="0029665F">
        <w:rPr>
          <w:sz w:val="24"/>
        </w:rPr>
        <w:t xml:space="preserve"> political issues. Through this, visitors become aware of the fact that the Aboriginal culture is very much alive. </w:t>
      </w:r>
    </w:p>
    <w:p w14:paraId="4A13DE37" w14:textId="667C6BDB" w:rsidR="002F0E3D" w:rsidRPr="0029665F" w:rsidRDefault="00AF24D6" w:rsidP="0029665F">
      <w:pPr>
        <w:spacing w:line="480" w:lineRule="auto"/>
        <w:rPr>
          <w:sz w:val="24"/>
        </w:rPr>
      </w:pPr>
      <w:r w:rsidRPr="0029665F">
        <w:rPr>
          <w:sz w:val="24"/>
        </w:rPr>
        <w:t>There may be</w:t>
      </w:r>
      <w:r w:rsidR="00E67D72" w:rsidRPr="0029665F">
        <w:rPr>
          <w:sz w:val="24"/>
        </w:rPr>
        <w:t xml:space="preserve"> a negative stigmatism around Aboriginal culture when it comes to the </w:t>
      </w:r>
      <w:r w:rsidR="00C34643" w:rsidRPr="0029665F">
        <w:rPr>
          <w:sz w:val="24"/>
        </w:rPr>
        <w:t xml:space="preserve">views of </w:t>
      </w:r>
      <w:r w:rsidR="00E67D72" w:rsidRPr="0029665F">
        <w:rPr>
          <w:sz w:val="24"/>
        </w:rPr>
        <w:t>white Australians, and what they believe to be the truth</w:t>
      </w:r>
      <w:r w:rsidR="00C34643" w:rsidRPr="0029665F">
        <w:rPr>
          <w:sz w:val="24"/>
        </w:rPr>
        <w:t xml:space="preserve">. However, </w:t>
      </w:r>
      <w:r w:rsidR="002B4FA5" w:rsidRPr="0029665F">
        <w:rPr>
          <w:sz w:val="24"/>
        </w:rPr>
        <w:t>the museum is there to show the truth from the views of the Aboriginal peopl</w:t>
      </w:r>
      <w:r w:rsidR="00E438E8" w:rsidRPr="0029665F">
        <w:rPr>
          <w:sz w:val="24"/>
        </w:rPr>
        <w:t xml:space="preserve">e whilst </w:t>
      </w:r>
      <w:r w:rsidR="001114DA" w:rsidRPr="0029665F">
        <w:rPr>
          <w:sz w:val="24"/>
        </w:rPr>
        <w:t xml:space="preserve">providing them with a voice </w:t>
      </w:r>
      <w:r w:rsidR="00CE1661" w:rsidRPr="0029665F">
        <w:rPr>
          <w:sz w:val="24"/>
        </w:rPr>
        <w:t>against historians</w:t>
      </w:r>
      <w:r w:rsidR="00C34643" w:rsidRPr="0029665F">
        <w:rPr>
          <w:sz w:val="24"/>
        </w:rPr>
        <w:t xml:space="preserve">’ </w:t>
      </w:r>
      <w:r w:rsidR="00CE1661" w:rsidRPr="0029665F">
        <w:rPr>
          <w:sz w:val="24"/>
        </w:rPr>
        <w:t>reinterpretation of Australia’s frontier history and the relationships between the coloniser and colonised.</w:t>
      </w:r>
      <w:r w:rsidR="00D9266F" w:rsidRPr="0029665F">
        <w:rPr>
          <w:rStyle w:val="FootnoteReference"/>
          <w:sz w:val="24"/>
        </w:rPr>
        <w:footnoteReference w:id="20"/>
      </w:r>
      <w:r w:rsidR="007C5338" w:rsidRPr="0029665F">
        <w:rPr>
          <w:sz w:val="24"/>
        </w:rPr>
        <w:t xml:space="preserve"> </w:t>
      </w:r>
      <w:r w:rsidR="000A346C" w:rsidRPr="0029665F">
        <w:rPr>
          <w:sz w:val="24"/>
        </w:rPr>
        <w:t xml:space="preserve"> Ashton and Hamilton </w:t>
      </w:r>
      <w:r w:rsidR="00E60EA8" w:rsidRPr="0029665F">
        <w:rPr>
          <w:sz w:val="24"/>
        </w:rPr>
        <w:t>not</w:t>
      </w:r>
      <w:r w:rsidRPr="0029665F">
        <w:rPr>
          <w:sz w:val="24"/>
        </w:rPr>
        <w:t>e</w:t>
      </w:r>
      <w:r w:rsidR="00E60EA8" w:rsidRPr="0029665F">
        <w:rPr>
          <w:sz w:val="24"/>
        </w:rPr>
        <w:t xml:space="preserve"> the irony </w:t>
      </w:r>
      <w:r w:rsidR="00D468B2" w:rsidRPr="0029665F">
        <w:rPr>
          <w:sz w:val="24"/>
        </w:rPr>
        <w:t xml:space="preserve">of the nationalisation of the Aboriginal histories. They believe that by moving it to the </w:t>
      </w:r>
      <w:r w:rsidR="00902004" w:rsidRPr="0029665F">
        <w:rPr>
          <w:sz w:val="24"/>
        </w:rPr>
        <w:t>centre</w:t>
      </w:r>
      <w:r w:rsidR="00D468B2" w:rsidRPr="0029665F">
        <w:rPr>
          <w:sz w:val="24"/>
        </w:rPr>
        <w:t xml:space="preserve"> of the national narrative, they are giving Australia a deeper </w:t>
      </w:r>
      <w:r w:rsidR="00902004" w:rsidRPr="0029665F">
        <w:rPr>
          <w:sz w:val="24"/>
        </w:rPr>
        <w:t>history than it previously showed.</w:t>
      </w:r>
      <w:r w:rsidR="00902004" w:rsidRPr="0029665F">
        <w:rPr>
          <w:rStyle w:val="FootnoteReference"/>
          <w:sz w:val="24"/>
        </w:rPr>
        <w:footnoteReference w:id="21"/>
      </w:r>
      <w:r w:rsidR="00902004" w:rsidRPr="0029665F">
        <w:rPr>
          <w:sz w:val="24"/>
        </w:rPr>
        <w:t xml:space="preserve"> </w:t>
      </w:r>
      <w:r w:rsidR="0086597A" w:rsidRPr="0029665F">
        <w:rPr>
          <w:sz w:val="24"/>
        </w:rPr>
        <w:t xml:space="preserve"> </w:t>
      </w:r>
      <w:r w:rsidR="00AD7CF0" w:rsidRPr="0029665F">
        <w:rPr>
          <w:sz w:val="24"/>
        </w:rPr>
        <w:t>Brambuk has a role to play in the restorative aspect of an inclusive history</w:t>
      </w:r>
      <w:r w:rsidR="00D74F20" w:rsidRPr="0029665F">
        <w:rPr>
          <w:sz w:val="24"/>
        </w:rPr>
        <w:t xml:space="preserve"> within Australia. By </w:t>
      </w:r>
      <w:r w:rsidR="0058752C" w:rsidRPr="0029665F">
        <w:rPr>
          <w:sz w:val="24"/>
        </w:rPr>
        <w:t>o</w:t>
      </w:r>
      <w:r w:rsidR="00D74F20" w:rsidRPr="0029665F">
        <w:rPr>
          <w:sz w:val="24"/>
        </w:rPr>
        <w:t xml:space="preserve">pening the cultural centre, they are expecting a wide variety of </w:t>
      </w:r>
      <w:r w:rsidR="001966C8" w:rsidRPr="0029665F">
        <w:rPr>
          <w:sz w:val="24"/>
        </w:rPr>
        <w:t xml:space="preserve">visitors. The centre </w:t>
      </w:r>
      <w:proofErr w:type="gramStart"/>
      <w:r w:rsidR="001966C8" w:rsidRPr="0029665F">
        <w:rPr>
          <w:sz w:val="24"/>
        </w:rPr>
        <w:t>can be seen as</w:t>
      </w:r>
      <w:proofErr w:type="gramEnd"/>
      <w:r w:rsidR="001966C8" w:rsidRPr="0029665F">
        <w:rPr>
          <w:sz w:val="24"/>
        </w:rPr>
        <w:t xml:space="preserve"> something which enriches rather than threatens. </w:t>
      </w:r>
    </w:p>
    <w:p w14:paraId="6832355D" w14:textId="124542B7" w:rsidR="007834A5" w:rsidRPr="0029665F" w:rsidRDefault="000231E4" w:rsidP="0029665F">
      <w:pPr>
        <w:spacing w:line="480" w:lineRule="auto"/>
        <w:rPr>
          <w:sz w:val="24"/>
        </w:rPr>
      </w:pPr>
      <w:r w:rsidRPr="0029665F">
        <w:rPr>
          <w:sz w:val="24"/>
        </w:rPr>
        <w:t>Traditionally, Aboriginal peoples are prone to preserve ‘Keeping Places’ which are used to store secret and sacred materials within their communities.</w:t>
      </w:r>
      <w:r w:rsidRPr="0029665F">
        <w:rPr>
          <w:rStyle w:val="FootnoteReference"/>
          <w:sz w:val="24"/>
        </w:rPr>
        <w:footnoteReference w:id="22"/>
      </w:r>
      <w:r w:rsidRPr="0029665F">
        <w:rPr>
          <w:sz w:val="24"/>
        </w:rPr>
        <w:t xml:space="preserve"> Simpson states that these </w:t>
      </w:r>
      <w:r w:rsidRPr="0029665F">
        <w:rPr>
          <w:sz w:val="24"/>
        </w:rPr>
        <w:lastRenderedPageBreak/>
        <w:t>items customarily were ‘stored away in caches in caves or rock shelters.’</w:t>
      </w:r>
      <w:r w:rsidRPr="0029665F">
        <w:rPr>
          <w:rStyle w:val="FootnoteReference"/>
          <w:sz w:val="24"/>
        </w:rPr>
        <w:footnoteReference w:id="23"/>
      </w:r>
      <w:r w:rsidRPr="0029665F">
        <w:rPr>
          <w:sz w:val="24"/>
        </w:rPr>
        <w:t xml:space="preserve"> This coincides with the characteristics of Australian Aboriginals, who have been said to be the most unmaterialistic communities in the world, meaning that they are unconcerned with the preservation of cultural materials due to the danger of interfering with the spiritual dimensions of all objects.</w:t>
      </w:r>
      <w:r w:rsidRPr="0029665F">
        <w:rPr>
          <w:rStyle w:val="FootnoteReference"/>
          <w:sz w:val="24"/>
        </w:rPr>
        <w:footnoteReference w:id="24"/>
      </w:r>
      <w:r w:rsidRPr="0029665F">
        <w:rPr>
          <w:sz w:val="24"/>
        </w:rPr>
        <w:t xml:space="preserve"> This leads to the idea that the Aboriginal peoples would be primarily opposed to the notion of creating a museum collection within their culture</w:t>
      </w:r>
      <w:r w:rsidR="00FC36CC" w:rsidRPr="0029665F">
        <w:rPr>
          <w:sz w:val="24"/>
        </w:rPr>
        <w:t xml:space="preserve"> as important cultural items would be sacred and hidden rather than be made public.</w:t>
      </w:r>
      <w:r w:rsidRPr="0029665F">
        <w:rPr>
          <w:sz w:val="24"/>
        </w:rPr>
        <w:br/>
        <w:t>However, Aboriginal people have started to accept the idea of museums and have started to create their own museums and cultural centres</w:t>
      </w:r>
      <w:r w:rsidR="001C72FB" w:rsidRPr="0029665F">
        <w:rPr>
          <w:sz w:val="24"/>
        </w:rPr>
        <w:t xml:space="preserve"> such as the Brambuk</w:t>
      </w:r>
      <w:r w:rsidRPr="0029665F">
        <w:rPr>
          <w:sz w:val="24"/>
        </w:rPr>
        <w:t xml:space="preserve">. These are used as educational facilities in which Aboriginal communities are able to </w:t>
      </w:r>
      <w:r w:rsidR="001C72FB" w:rsidRPr="0029665F">
        <w:rPr>
          <w:sz w:val="24"/>
        </w:rPr>
        <w:t>communicate</w:t>
      </w:r>
      <w:r w:rsidRPr="0029665F">
        <w:rPr>
          <w:sz w:val="24"/>
        </w:rPr>
        <w:t xml:space="preserve"> their cultural history to non-Aboriginal communities.</w:t>
      </w:r>
      <w:r w:rsidRPr="0029665F">
        <w:rPr>
          <w:rStyle w:val="FootnoteReference"/>
          <w:sz w:val="24"/>
        </w:rPr>
        <w:footnoteReference w:id="25"/>
      </w:r>
      <w:r w:rsidRPr="0029665F">
        <w:rPr>
          <w:sz w:val="24"/>
        </w:rPr>
        <w:t xml:space="preserve"> Although centres such as the Brambuk cultural centre have been created, they have been done so for specific reason</w:t>
      </w:r>
      <w:r w:rsidR="00E53048" w:rsidRPr="0029665F">
        <w:rPr>
          <w:sz w:val="24"/>
        </w:rPr>
        <w:t xml:space="preserve">s </w:t>
      </w:r>
      <w:r w:rsidRPr="0029665F">
        <w:rPr>
          <w:sz w:val="24"/>
        </w:rPr>
        <w:t xml:space="preserve">and are generally devoted to the collections from their own communities </w:t>
      </w:r>
      <w:r w:rsidR="00CA0D2D" w:rsidRPr="0029665F">
        <w:rPr>
          <w:sz w:val="24"/>
        </w:rPr>
        <w:t xml:space="preserve">this </w:t>
      </w:r>
      <w:r w:rsidRPr="0029665F">
        <w:rPr>
          <w:sz w:val="24"/>
        </w:rPr>
        <w:t>strongly contrasts</w:t>
      </w:r>
      <w:r w:rsidR="00CA0D2D" w:rsidRPr="0029665F">
        <w:rPr>
          <w:sz w:val="24"/>
        </w:rPr>
        <w:t xml:space="preserve"> with</w:t>
      </w:r>
      <w:r w:rsidRPr="0029665F">
        <w:rPr>
          <w:sz w:val="24"/>
        </w:rPr>
        <w:t xml:space="preserve"> European museums wherein collections often have a wide-ranging nature concerning cultural objects and history from several countries around the world.</w:t>
      </w:r>
      <w:r w:rsidRPr="0029665F">
        <w:rPr>
          <w:rStyle w:val="FootnoteReference"/>
          <w:sz w:val="24"/>
        </w:rPr>
        <w:footnoteReference w:id="26"/>
      </w:r>
      <w:r w:rsidRPr="0029665F">
        <w:rPr>
          <w:sz w:val="24"/>
        </w:rPr>
        <w:t xml:space="preserve"> Another way in which museums created by Aboriginal communities significantly differ from the western museums is due to the fact that the majority of the objects continuously fulfil their original function, and are regularly used</w:t>
      </w:r>
      <w:r w:rsidR="00F63C7B" w:rsidRPr="0029665F">
        <w:rPr>
          <w:sz w:val="24"/>
        </w:rPr>
        <w:t>.</w:t>
      </w:r>
      <w:r w:rsidRPr="0029665F">
        <w:rPr>
          <w:rStyle w:val="FootnoteReference"/>
          <w:sz w:val="24"/>
        </w:rPr>
        <w:footnoteReference w:id="27"/>
      </w:r>
      <w:r w:rsidR="00F63C7B" w:rsidRPr="0029665F">
        <w:rPr>
          <w:sz w:val="24"/>
        </w:rPr>
        <w:t xml:space="preserve"> This again reinforces the message the Brambuk wishes to communicate </w:t>
      </w:r>
      <w:r w:rsidR="007834A5" w:rsidRPr="0029665F">
        <w:rPr>
          <w:sz w:val="24"/>
        </w:rPr>
        <w:t>that the Aboriginal cultures are not dead but living.</w:t>
      </w:r>
    </w:p>
    <w:p w14:paraId="76763459" w14:textId="5F94805A" w:rsidR="00673730" w:rsidRPr="0029665F" w:rsidRDefault="001B6FE4" w:rsidP="0029665F">
      <w:pPr>
        <w:spacing w:line="480" w:lineRule="auto"/>
        <w:rPr>
          <w:sz w:val="24"/>
        </w:rPr>
      </w:pPr>
      <w:r w:rsidRPr="0029665F">
        <w:rPr>
          <w:sz w:val="24"/>
        </w:rPr>
        <w:t xml:space="preserve">Nostalgic representations of the past often deny the ongoing living culture of Aborigines in Australia today, attempting to preserve and fix </w:t>
      </w:r>
      <w:r w:rsidR="00841E27" w:rsidRPr="0029665F">
        <w:rPr>
          <w:sz w:val="24"/>
        </w:rPr>
        <w:t>it</w:t>
      </w:r>
      <w:r w:rsidRPr="0029665F">
        <w:rPr>
          <w:sz w:val="24"/>
        </w:rPr>
        <w:t xml:space="preserve"> in a politically comfortable way. The </w:t>
      </w:r>
      <w:r w:rsidRPr="0029665F">
        <w:rPr>
          <w:sz w:val="24"/>
        </w:rPr>
        <w:lastRenderedPageBreak/>
        <w:t>Brambuk centre was put in place to provide a holistic view, a place to get a glimpse into the Aboriginal lifestyle, philosophy, thinking, tradition, culture and heritage.</w:t>
      </w:r>
      <w:r w:rsidRPr="0029665F">
        <w:rPr>
          <w:rStyle w:val="FootnoteReference"/>
          <w:sz w:val="24"/>
        </w:rPr>
        <w:footnoteReference w:id="28"/>
      </w:r>
      <w:r w:rsidRPr="0029665F">
        <w:rPr>
          <w:sz w:val="24"/>
        </w:rPr>
        <w:t xml:space="preserve"> The ongoing lifestyle up to the present day. Rather than the ‘stone implements that are normally seen in museums.’</w:t>
      </w:r>
      <w:r w:rsidRPr="0029665F">
        <w:rPr>
          <w:rStyle w:val="FootnoteReference"/>
          <w:sz w:val="24"/>
        </w:rPr>
        <w:footnoteReference w:id="29"/>
      </w:r>
      <w:r w:rsidRPr="0029665F">
        <w:rPr>
          <w:sz w:val="24"/>
        </w:rPr>
        <w:t xml:space="preserve"> </w:t>
      </w:r>
      <w:r w:rsidRPr="0029665F">
        <w:rPr>
          <w:sz w:val="24"/>
        </w:rPr>
        <w:br/>
      </w:r>
      <w:r w:rsidR="009C1548" w:rsidRPr="0029665F">
        <w:rPr>
          <w:sz w:val="24"/>
        </w:rPr>
        <w:t xml:space="preserve">Historically, heritage sites in Australia have ignored and hidden the full extent of the injustices suffered by the communities they attempt to represent. The Australian museum website presents the struggles of the aboriginal people as something which was </w:t>
      </w:r>
      <w:r w:rsidR="00FF5357" w:rsidRPr="0029665F">
        <w:rPr>
          <w:sz w:val="24"/>
        </w:rPr>
        <w:t>fleeting,</w:t>
      </w:r>
      <w:r w:rsidR="009C1548" w:rsidRPr="0029665F">
        <w:rPr>
          <w:sz w:val="24"/>
        </w:rPr>
        <w:t xml:space="preserve"> and which is not perceived as a serious injustice against their traditions and ways of life. It states that there was colonialism but avoids the atrocities which came with it.</w:t>
      </w:r>
      <w:r w:rsidR="001A0E29" w:rsidRPr="0029665F">
        <w:rPr>
          <w:rStyle w:val="FootnoteReference"/>
          <w:sz w:val="24"/>
        </w:rPr>
        <w:footnoteReference w:id="30"/>
      </w:r>
      <w:r w:rsidR="00347646" w:rsidRPr="0029665F">
        <w:rPr>
          <w:sz w:val="24"/>
        </w:rPr>
        <w:t xml:space="preserve"> Instead, the museum focuses on the art of the Aboriginal people</w:t>
      </w:r>
      <w:r w:rsidR="00884802" w:rsidRPr="0029665F">
        <w:rPr>
          <w:sz w:val="24"/>
        </w:rPr>
        <w:t>, a topic which can be deemed simple heritage.</w:t>
      </w:r>
      <w:r w:rsidR="009C1548" w:rsidRPr="0029665F">
        <w:rPr>
          <w:sz w:val="24"/>
        </w:rPr>
        <w:t xml:space="preserve"> This is linked heavily with western </w:t>
      </w:r>
      <w:r w:rsidR="008C35AE" w:rsidRPr="0029665F">
        <w:rPr>
          <w:sz w:val="24"/>
        </w:rPr>
        <w:t>ideology</w:t>
      </w:r>
      <w:r w:rsidR="00F43503" w:rsidRPr="0029665F">
        <w:rPr>
          <w:sz w:val="24"/>
        </w:rPr>
        <w:t xml:space="preserve"> when regarding museums</w:t>
      </w:r>
      <w:r w:rsidR="00D11FE4" w:rsidRPr="0029665F">
        <w:rPr>
          <w:sz w:val="24"/>
        </w:rPr>
        <w:t xml:space="preserve">. Simpson suggest that the traditional view believes </w:t>
      </w:r>
      <w:r w:rsidR="00F43503" w:rsidRPr="0029665F">
        <w:rPr>
          <w:sz w:val="24"/>
        </w:rPr>
        <w:t>that a museum should just be a collection of objects which have been removed from their arena of active participation in cultural affairs to a place in which they are put on public display to be preserved for generations.</w:t>
      </w:r>
      <w:r w:rsidR="00385F90" w:rsidRPr="0029665F">
        <w:rPr>
          <w:rStyle w:val="FootnoteReference"/>
          <w:sz w:val="24"/>
        </w:rPr>
        <w:footnoteReference w:id="31"/>
      </w:r>
      <w:r w:rsidR="00F365D2" w:rsidRPr="0029665F">
        <w:rPr>
          <w:sz w:val="24"/>
        </w:rPr>
        <w:t xml:space="preserve"> </w:t>
      </w:r>
      <w:r w:rsidR="00002061" w:rsidRPr="0029665F">
        <w:rPr>
          <w:sz w:val="24"/>
        </w:rPr>
        <w:t xml:space="preserve">An example of this is the </w:t>
      </w:r>
      <w:r w:rsidR="00357342" w:rsidRPr="0029665F">
        <w:rPr>
          <w:sz w:val="24"/>
        </w:rPr>
        <w:t>University</w:t>
      </w:r>
      <w:r w:rsidR="00002061" w:rsidRPr="0029665F">
        <w:rPr>
          <w:sz w:val="24"/>
        </w:rPr>
        <w:t xml:space="preserve"> of Edinburgh, which</w:t>
      </w:r>
      <w:r w:rsidR="00357342" w:rsidRPr="0029665F">
        <w:rPr>
          <w:sz w:val="24"/>
        </w:rPr>
        <w:t xml:space="preserve"> previously</w:t>
      </w:r>
      <w:r w:rsidR="00002061" w:rsidRPr="0029665F">
        <w:rPr>
          <w:sz w:val="24"/>
        </w:rPr>
        <w:t xml:space="preserve"> </w:t>
      </w:r>
      <w:r w:rsidR="00431BD2" w:rsidRPr="0029665F">
        <w:rPr>
          <w:sz w:val="24"/>
        </w:rPr>
        <w:t xml:space="preserve">held the largest </w:t>
      </w:r>
      <w:r w:rsidR="00357342" w:rsidRPr="0029665F">
        <w:rPr>
          <w:sz w:val="24"/>
        </w:rPr>
        <w:t>recognised</w:t>
      </w:r>
      <w:r w:rsidR="00431BD2" w:rsidRPr="0029665F">
        <w:rPr>
          <w:sz w:val="24"/>
        </w:rPr>
        <w:t xml:space="preserve"> collection o</w:t>
      </w:r>
      <w:r w:rsidR="00357342" w:rsidRPr="0029665F">
        <w:rPr>
          <w:sz w:val="24"/>
        </w:rPr>
        <w:t xml:space="preserve">f </w:t>
      </w:r>
      <w:r w:rsidR="00431BD2" w:rsidRPr="0029665F">
        <w:rPr>
          <w:sz w:val="24"/>
        </w:rPr>
        <w:t>Aboriginal remains within the United Kingdom.</w:t>
      </w:r>
      <w:r w:rsidR="00A64674" w:rsidRPr="0029665F">
        <w:rPr>
          <w:rStyle w:val="FootnoteReference"/>
          <w:sz w:val="24"/>
        </w:rPr>
        <w:footnoteReference w:id="32"/>
      </w:r>
      <w:r w:rsidR="00431BD2" w:rsidRPr="0029665F">
        <w:rPr>
          <w:sz w:val="24"/>
        </w:rPr>
        <w:t xml:space="preserve"> However, </w:t>
      </w:r>
      <w:r w:rsidR="00AA73B9" w:rsidRPr="0029665F">
        <w:rPr>
          <w:sz w:val="24"/>
        </w:rPr>
        <w:t xml:space="preserve">by 2000, they returned a large number of remains </w:t>
      </w:r>
      <w:r w:rsidR="00357342" w:rsidRPr="0029665F">
        <w:rPr>
          <w:sz w:val="24"/>
        </w:rPr>
        <w:t>to an Aboriginal Centre.</w:t>
      </w:r>
      <w:r w:rsidR="0025305F" w:rsidRPr="0029665F">
        <w:rPr>
          <w:rStyle w:val="FootnoteReference"/>
          <w:sz w:val="24"/>
        </w:rPr>
        <w:footnoteReference w:id="33"/>
      </w:r>
      <w:r w:rsidR="0092410F" w:rsidRPr="0029665F">
        <w:rPr>
          <w:sz w:val="24"/>
        </w:rPr>
        <w:t xml:space="preserve"> George Erasmus, the former National Chief of the Assembly of the first Nations,</w:t>
      </w:r>
      <w:r w:rsidR="00456E5B" w:rsidRPr="0029665F">
        <w:rPr>
          <w:sz w:val="24"/>
        </w:rPr>
        <w:t xml:space="preserve"> </w:t>
      </w:r>
      <w:r w:rsidR="00B4376E" w:rsidRPr="0029665F">
        <w:rPr>
          <w:sz w:val="24"/>
        </w:rPr>
        <w:t>stated</w:t>
      </w:r>
      <w:r w:rsidR="00456E5B" w:rsidRPr="0029665F">
        <w:rPr>
          <w:sz w:val="24"/>
        </w:rPr>
        <w:t xml:space="preserve"> in 19</w:t>
      </w:r>
      <w:r w:rsidR="002B1655" w:rsidRPr="0029665F">
        <w:rPr>
          <w:sz w:val="24"/>
        </w:rPr>
        <w:t>88 the fact that although it is appreciated that museum specialists dedicate their lives to showing what they believe to be an accurate people of Indigenous peoples</w:t>
      </w:r>
      <w:r w:rsidR="00B4376E" w:rsidRPr="0029665F">
        <w:rPr>
          <w:sz w:val="24"/>
        </w:rPr>
        <w:t>, it should not be</w:t>
      </w:r>
      <w:r w:rsidR="004769F4" w:rsidRPr="0029665F">
        <w:rPr>
          <w:sz w:val="24"/>
        </w:rPr>
        <w:t xml:space="preserve"> for</w:t>
      </w:r>
      <w:r w:rsidR="00B4376E" w:rsidRPr="0029665F">
        <w:rPr>
          <w:sz w:val="24"/>
        </w:rPr>
        <w:t xml:space="preserve"> them to do so. He expressed </w:t>
      </w:r>
      <w:r w:rsidR="00B4376E" w:rsidRPr="0029665F">
        <w:rPr>
          <w:sz w:val="24"/>
        </w:rPr>
        <w:lastRenderedPageBreak/>
        <w:t xml:space="preserve">how Aboriginal people </w:t>
      </w:r>
      <w:r w:rsidR="00D3349A" w:rsidRPr="0029665F">
        <w:rPr>
          <w:sz w:val="24"/>
        </w:rPr>
        <w:t xml:space="preserve">wish to move past exhibitions that are created by non-Aboriginal experts to represent their culture. </w:t>
      </w:r>
      <w:r w:rsidR="00444E2D" w:rsidRPr="0029665F">
        <w:rPr>
          <w:sz w:val="24"/>
        </w:rPr>
        <w:t xml:space="preserve">He shows how it is important and integral that the control of Aboriginal representations should be </w:t>
      </w:r>
      <w:r w:rsidR="000A3C8F" w:rsidRPr="0029665F">
        <w:rPr>
          <w:sz w:val="24"/>
        </w:rPr>
        <w:t>by the hands of the communities which are being represented</w:t>
      </w:r>
      <w:r w:rsidR="008B47A3" w:rsidRPr="0029665F">
        <w:rPr>
          <w:sz w:val="24"/>
        </w:rPr>
        <w:t>.</w:t>
      </w:r>
      <w:r w:rsidR="007A19E4" w:rsidRPr="0029665F">
        <w:rPr>
          <w:rStyle w:val="FootnoteReference"/>
          <w:sz w:val="24"/>
        </w:rPr>
        <w:footnoteReference w:id="34"/>
      </w:r>
      <w:r w:rsidR="001760D4" w:rsidRPr="0029665F">
        <w:rPr>
          <w:sz w:val="24"/>
        </w:rPr>
        <w:br/>
      </w:r>
      <w:r w:rsidR="00F365D2" w:rsidRPr="0029665F">
        <w:rPr>
          <w:sz w:val="24"/>
        </w:rPr>
        <w:t>Th</w:t>
      </w:r>
      <w:r w:rsidR="00397E95" w:rsidRPr="0029665F">
        <w:rPr>
          <w:sz w:val="24"/>
        </w:rPr>
        <w:t xml:space="preserve">e Brambuk </w:t>
      </w:r>
      <w:r w:rsidR="008C35AE" w:rsidRPr="0029665F">
        <w:rPr>
          <w:sz w:val="24"/>
        </w:rPr>
        <w:t>cultural centre</w:t>
      </w:r>
      <w:r w:rsidR="00397E95" w:rsidRPr="0029665F">
        <w:rPr>
          <w:sz w:val="24"/>
        </w:rPr>
        <w:t xml:space="preserve"> </w:t>
      </w:r>
      <w:r w:rsidR="008C35AE" w:rsidRPr="0029665F">
        <w:rPr>
          <w:sz w:val="24"/>
        </w:rPr>
        <w:t xml:space="preserve">goes against the western ideology of museums as they </w:t>
      </w:r>
      <w:r w:rsidR="0021580B" w:rsidRPr="0029665F">
        <w:rPr>
          <w:sz w:val="24"/>
        </w:rPr>
        <w:t xml:space="preserve">make sure to </w:t>
      </w:r>
      <w:r w:rsidR="00856681" w:rsidRPr="0029665F">
        <w:rPr>
          <w:sz w:val="24"/>
        </w:rPr>
        <w:t xml:space="preserve">include the whole of the Aboriginal culture up until the present day without </w:t>
      </w:r>
      <w:r w:rsidR="00995F01" w:rsidRPr="0029665F">
        <w:rPr>
          <w:sz w:val="24"/>
        </w:rPr>
        <w:t>confining themselves to the imag</w:t>
      </w:r>
      <w:r w:rsidR="00246E68" w:rsidRPr="0029665F">
        <w:rPr>
          <w:sz w:val="24"/>
        </w:rPr>
        <w:t xml:space="preserve">e of the </w:t>
      </w:r>
      <w:r w:rsidR="007A49AA" w:rsidRPr="0029665F">
        <w:rPr>
          <w:sz w:val="24"/>
        </w:rPr>
        <w:t>dead culture.</w:t>
      </w:r>
      <w:r w:rsidRPr="0029665F">
        <w:rPr>
          <w:sz w:val="24"/>
        </w:rPr>
        <w:t xml:space="preserve"> </w:t>
      </w:r>
      <w:r w:rsidR="000231E4" w:rsidRPr="0029665F">
        <w:rPr>
          <w:sz w:val="24"/>
        </w:rPr>
        <w:t xml:space="preserve"> Through the creation of the centre, </w:t>
      </w:r>
      <w:r w:rsidR="00143C38" w:rsidRPr="0029665F">
        <w:rPr>
          <w:sz w:val="24"/>
        </w:rPr>
        <w:t xml:space="preserve">it has allowed the Aboriginal community to take control of their own representation whilst creating and improving the cultural representation and awareness amongst wider audiences such as visitors. </w:t>
      </w:r>
    </w:p>
    <w:p w14:paraId="1E73A1ED" w14:textId="127DD338" w:rsidR="001B6FE4" w:rsidRPr="0029665F" w:rsidRDefault="001B6FE4" w:rsidP="0029665F">
      <w:pPr>
        <w:spacing w:line="480" w:lineRule="auto"/>
        <w:rPr>
          <w:sz w:val="24"/>
        </w:rPr>
      </w:pPr>
      <w:r w:rsidRPr="0029665F">
        <w:rPr>
          <w:sz w:val="24"/>
        </w:rPr>
        <w:br/>
        <w:t>The centre seeks to fill the silence and empty spaces that exist in cultural records which in the past have created a skewed perception of history. Too often Aboriginal cultures have been presented and interpreted by non-aboriginals leading to conflicting views of the way they are concealing the past and heritage of the Aboriginal people, rather than embracing them and their history as part of the nations heritage and history. The implementation of this cultural centre provides a way to answer the collective questions surrounding the heritage of Australia</w:t>
      </w:r>
      <w:r w:rsidR="009A3D7B" w:rsidRPr="0029665F">
        <w:rPr>
          <w:sz w:val="24"/>
        </w:rPr>
        <w:t xml:space="preserve"> whilst </w:t>
      </w:r>
      <w:r w:rsidR="00F068DE" w:rsidRPr="0029665F">
        <w:rPr>
          <w:sz w:val="24"/>
        </w:rPr>
        <w:t xml:space="preserve">presenting a ‘rival discourse to the dominant historical narrative – a re-reading of history </w:t>
      </w:r>
      <w:r w:rsidR="00BE342C" w:rsidRPr="0029665F">
        <w:rPr>
          <w:sz w:val="24"/>
        </w:rPr>
        <w:t>from an indigenous perspective’</w:t>
      </w:r>
      <w:r w:rsidR="00BE342C" w:rsidRPr="0029665F">
        <w:rPr>
          <w:rStyle w:val="FootnoteReference"/>
          <w:sz w:val="24"/>
        </w:rPr>
        <w:footnoteReference w:id="35"/>
      </w:r>
      <w:r w:rsidR="00856E82" w:rsidRPr="0029665F">
        <w:rPr>
          <w:sz w:val="24"/>
        </w:rPr>
        <w:t xml:space="preserve"> Through the use of Brambuk, aborigines </w:t>
      </w:r>
      <w:r w:rsidR="003240B9" w:rsidRPr="0029665F">
        <w:rPr>
          <w:sz w:val="24"/>
        </w:rPr>
        <w:t xml:space="preserve">have been able to ‘respond to histories of exclusion and silencing… </w:t>
      </w:r>
      <w:r w:rsidR="00856E82" w:rsidRPr="0029665F">
        <w:rPr>
          <w:sz w:val="24"/>
        </w:rPr>
        <w:t xml:space="preserve"> </w:t>
      </w:r>
      <w:r w:rsidR="003240B9" w:rsidRPr="0029665F">
        <w:rPr>
          <w:sz w:val="24"/>
        </w:rPr>
        <w:t xml:space="preserve">and can </w:t>
      </w:r>
      <w:r w:rsidR="003240B9" w:rsidRPr="0029665F">
        <w:rPr>
          <w:sz w:val="24"/>
        </w:rPr>
        <w:lastRenderedPageBreak/>
        <w:t>provide sites for … “minority” and “tribal articulations” of a discrete culture and history.’</w:t>
      </w:r>
      <w:r w:rsidR="003240B9" w:rsidRPr="0029665F">
        <w:rPr>
          <w:rStyle w:val="FootnoteReference"/>
          <w:sz w:val="24"/>
        </w:rPr>
        <w:footnoteReference w:id="36"/>
      </w:r>
      <w:r w:rsidR="00610C5F" w:rsidRPr="0029665F">
        <w:rPr>
          <w:sz w:val="24"/>
        </w:rPr>
        <w:t xml:space="preserve"> </w:t>
      </w:r>
      <w:r w:rsidR="00E53601" w:rsidRPr="0029665F">
        <w:rPr>
          <w:sz w:val="24"/>
        </w:rPr>
        <w:t xml:space="preserve">This </w:t>
      </w:r>
      <w:r w:rsidR="005011C1" w:rsidRPr="0029665F">
        <w:rPr>
          <w:sz w:val="24"/>
        </w:rPr>
        <w:t>gives an example to how a museum, or cultural centre, is able to bring national communities to examine and seek answer to collective questions</w:t>
      </w:r>
      <w:r w:rsidR="00B25515" w:rsidRPr="0029665F">
        <w:rPr>
          <w:sz w:val="24"/>
        </w:rPr>
        <w:t xml:space="preserve"> surrounding </w:t>
      </w:r>
      <w:r w:rsidR="006A55B6" w:rsidRPr="0029665F">
        <w:rPr>
          <w:sz w:val="24"/>
        </w:rPr>
        <w:t xml:space="preserve">the colonialization of Australia. It is able to offer </w:t>
      </w:r>
      <w:r w:rsidR="00C87958" w:rsidRPr="0029665F">
        <w:rPr>
          <w:sz w:val="24"/>
        </w:rPr>
        <w:t>cultural</w:t>
      </w:r>
      <w:r w:rsidR="006A55B6" w:rsidRPr="0029665F">
        <w:rPr>
          <w:sz w:val="24"/>
        </w:rPr>
        <w:t xml:space="preserve"> reaffirmation to indigenous visitors whilst providing them with a</w:t>
      </w:r>
      <w:r w:rsidR="00C87958" w:rsidRPr="0029665F">
        <w:rPr>
          <w:sz w:val="24"/>
        </w:rPr>
        <w:t xml:space="preserve"> prospect </w:t>
      </w:r>
      <w:r w:rsidR="006A55B6" w:rsidRPr="0029665F">
        <w:rPr>
          <w:sz w:val="24"/>
        </w:rPr>
        <w:t xml:space="preserve">to </w:t>
      </w:r>
      <w:r w:rsidR="00C87958" w:rsidRPr="0029665F">
        <w:rPr>
          <w:sz w:val="24"/>
        </w:rPr>
        <w:t xml:space="preserve">equalise </w:t>
      </w:r>
      <w:r w:rsidR="006A55B6" w:rsidRPr="0029665F">
        <w:rPr>
          <w:sz w:val="24"/>
        </w:rPr>
        <w:t xml:space="preserve">the historical record through the use of indigenous accounts of history during the period </w:t>
      </w:r>
      <w:r w:rsidR="00C87958" w:rsidRPr="0029665F">
        <w:rPr>
          <w:sz w:val="24"/>
        </w:rPr>
        <w:t xml:space="preserve">resulting from a </w:t>
      </w:r>
      <w:r w:rsidR="006A55B6" w:rsidRPr="0029665F">
        <w:rPr>
          <w:sz w:val="24"/>
        </w:rPr>
        <w:t>post-European settlement in Australia.</w:t>
      </w:r>
      <w:r w:rsidR="005C59F2" w:rsidRPr="0029665F">
        <w:rPr>
          <w:rStyle w:val="FootnoteReference"/>
          <w:sz w:val="24"/>
        </w:rPr>
        <w:footnoteReference w:id="37"/>
      </w:r>
      <w:r w:rsidR="003237BE" w:rsidRPr="0029665F">
        <w:rPr>
          <w:sz w:val="24"/>
        </w:rPr>
        <w:t xml:space="preserve"> </w:t>
      </w:r>
      <w:r w:rsidR="005C59F2" w:rsidRPr="0029665F">
        <w:rPr>
          <w:sz w:val="24"/>
        </w:rPr>
        <w:br/>
      </w:r>
      <w:r w:rsidR="006A52D1" w:rsidRPr="0029665F">
        <w:rPr>
          <w:sz w:val="24"/>
        </w:rPr>
        <w:t xml:space="preserve">The Brambuk Cultural Centre presents visitors with the opportunities to read diary entries </w:t>
      </w:r>
      <w:r w:rsidR="0022276E" w:rsidRPr="0029665F">
        <w:rPr>
          <w:sz w:val="24"/>
        </w:rPr>
        <w:t>which contain accounts of the frontier violence</w:t>
      </w:r>
      <w:r w:rsidR="00C70AFF" w:rsidRPr="0029665F">
        <w:rPr>
          <w:sz w:val="24"/>
        </w:rPr>
        <w:t xml:space="preserve"> against the Aboriginal peoples from the settlers to </w:t>
      </w:r>
      <w:r w:rsidR="00B0745F" w:rsidRPr="0029665F">
        <w:rPr>
          <w:sz w:val="24"/>
        </w:rPr>
        <w:t>acquire</w:t>
      </w:r>
      <w:r w:rsidR="00C70AFF" w:rsidRPr="0029665F">
        <w:rPr>
          <w:sz w:val="24"/>
        </w:rPr>
        <w:t xml:space="preserve"> land from them</w:t>
      </w:r>
      <w:r w:rsidR="00B0745F" w:rsidRPr="0029665F">
        <w:rPr>
          <w:sz w:val="24"/>
        </w:rPr>
        <w:t>, this violence included poisoning and shooting communities.</w:t>
      </w:r>
      <w:r w:rsidR="00B0745F" w:rsidRPr="0029665F">
        <w:rPr>
          <w:rStyle w:val="FootnoteReference"/>
          <w:sz w:val="24"/>
        </w:rPr>
        <w:footnoteReference w:id="38"/>
      </w:r>
    </w:p>
    <w:p w14:paraId="754A7027" w14:textId="13A7986E" w:rsidR="00A353E2" w:rsidRPr="0029665F" w:rsidRDefault="004C6500" w:rsidP="0029665F">
      <w:pPr>
        <w:spacing w:line="480" w:lineRule="auto"/>
        <w:rPr>
          <w:sz w:val="24"/>
        </w:rPr>
      </w:pPr>
      <w:r w:rsidRPr="0029665F">
        <w:rPr>
          <w:sz w:val="24"/>
        </w:rPr>
        <w:t xml:space="preserve">Following this, unpalatable aspects of the history of Australia are often criticised by the </w:t>
      </w:r>
      <w:r w:rsidR="00474D0B" w:rsidRPr="0029665F">
        <w:rPr>
          <w:sz w:val="24"/>
        </w:rPr>
        <w:t xml:space="preserve">public visitors, many of which are completely unaware of the true events which followed the European settlement in Australia. The Brambuk museum seemingly refuses to shy away from these aspects which may be deemed difficult </w:t>
      </w:r>
      <w:r w:rsidR="001B6FE4" w:rsidRPr="0029665F">
        <w:rPr>
          <w:sz w:val="24"/>
        </w:rPr>
        <w:t>heritage, and</w:t>
      </w:r>
      <w:r w:rsidR="00474D0B" w:rsidRPr="0029665F">
        <w:rPr>
          <w:sz w:val="24"/>
        </w:rPr>
        <w:t xml:space="preserve"> instead, </w:t>
      </w:r>
      <w:r w:rsidR="002E7F00" w:rsidRPr="0029665F">
        <w:rPr>
          <w:sz w:val="24"/>
        </w:rPr>
        <w:t>highlights the atrocities faced. A</w:t>
      </w:r>
      <w:r w:rsidR="00474D0B" w:rsidRPr="0029665F">
        <w:rPr>
          <w:sz w:val="24"/>
        </w:rPr>
        <w:t xml:space="preserve"> massacre map </w:t>
      </w:r>
      <w:r w:rsidR="002E7F00" w:rsidRPr="0029665F">
        <w:rPr>
          <w:sz w:val="24"/>
        </w:rPr>
        <w:t xml:space="preserve">(image one) </w:t>
      </w:r>
      <w:r w:rsidR="00474D0B" w:rsidRPr="0029665F">
        <w:rPr>
          <w:sz w:val="24"/>
        </w:rPr>
        <w:t xml:space="preserve">highlights all the areas in which aboriginal communities were massacred by the white Australians </w:t>
      </w:r>
      <w:r w:rsidR="00C07AFE" w:rsidRPr="0029665F">
        <w:rPr>
          <w:sz w:val="24"/>
        </w:rPr>
        <w:t xml:space="preserve">during </w:t>
      </w:r>
      <w:r w:rsidR="00D82DEA" w:rsidRPr="0029665F">
        <w:rPr>
          <w:sz w:val="24"/>
        </w:rPr>
        <w:t>1836 and 1853.</w:t>
      </w:r>
      <w:r w:rsidR="00D82DEA" w:rsidRPr="0029665F">
        <w:rPr>
          <w:rStyle w:val="FootnoteReference"/>
          <w:sz w:val="24"/>
        </w:rPr>
        <w:footnoteReference w:id="39"/>
      </w:r>
      <w:r w:rsidR="00474D0B" w:rsidRPr="0029665F">
        <w:rPr>
          <w:sz w:val="24"/>
        </w:rPr>
        <w:t xml:space="preserve"> </w:t>
      </w:r>
      <w:r w:rsidR="001A3C5A" w:rsidRPr="0029665F">
        <w:rPr>
          <w:sz w:val="24"/>
        </w:rPr>
        <w:t xml:space="preserve">The map lists the locations, dates as well as brief details of the incidents which </w:t>
      </w:r>
      <w:r w:rsidR="00F220B2" w:rsidRPr="0029665F">
        <w:rPr>
          <w:sz w:val="24"/>
        </w:rPr>
        <w:t xml:space="preserve">took </w:t>
      </w:r>
      <w:proofErr w:type="gramStart"/>
      <w:r w:rsidR="00F220B2" w:rsidRPr="0029665F">
        <w:rPr>
          <w:sz w:val="24"/>
        </w:rPr>
        <w:t xml:space="preserve">a number </w:t>
      </w:r>
      <w:r w:rsidR="004769F4" w:rsidRPr="0029665F">
        <w:rPr>
          <w:sz w:val="24"/>
        </w:rPr>
        <w:t>of</w:t>
      </w:r>
      <w:proofErr w:type="gramEnd"/>
      <w:r w:rsidR="004769F4" w:rsidRPr="0029665F">
        <w:rPr>
          <w:sz w:val="24"/>
        </w:rPr>
        <w:t xml:space="preserve"> </w:t>
      </w:r>
      <w:r w:rsidR="00500163" w:rsidRPr="0029665F">
        <w:rPr>
          <w:sz w:val="24"/>
        </w:rPr>
        <w:t xml:space="preserve">Aboriginal </w:t>
      </w:r>
      <w:proofErr w:type="spellStart"/>
      <w:r w:rsidR="00500163" w:rsidRPr="0029665F">
        <w:rPr>
          <w:sz w:val="24"/>
        </w:rPr>
        <w:t>peoples</w:t>
      </w:r>
      <w:proofErr w:type="spellEnd"/>
      <w:r w:rsidR="00500163" w:rsidRPr="0029665F">
        <w:rPr>
          <w:sz w:val="24"/>
        </w:rPr>
        <w:t xml:space="preserve"> lives. Several thousand deaths are represented through this map, </w:t>
      </w:r>
      <w:r w:rsidR="00500163" w:rsidRPr="0029665F">
        <w:rPr>
          <w:sz w:val="24"/>
        </w:rPr>
        <w:lastRenderedPageBreak/>
        <w:t xml:space="preserve">however, many </w:t>
      </w:r>
      <w:r w:rsidR="00C6089B" w:rsidRPr="0029665F">
        <w:rPr>
          <w:sz w:val="24"/>
        </w:rPr>
        <w:t>more thousands died and were undocumented.</w:t>
      </w:r>
      <w:r w:rsidR="00C6089B" w:rsidRPr="0029665F">
        <w:rPr>
          <w:rStyle w:val="FootnoteReference"/>
          <w:sz w:val="24"/>
        </w:rPr>
        <w:footnoteReference w:id="40"/>
      </w:r>
      <w:r w:rsidR="00B92723" w:rsidRPr="0029665F">
        <w:rPr>
          <w:sz w:val="24"/>
        </w:rPr>
        <w:t xml:space="preserve"> </w:t>
      </w:r>
      <w:r w:rsidR="001339A5" w:rsidRPr="0029665F">
        <w:rPr>
          <w:sz w:val="24"/>
        </w:rPr>
        <w:t>Brambuk cultural centre spreads their (the Aboriginal peoples) story of survival</w:t>
      </w:r>
      <w:r w:rsidR="009918C8" w:rsidRPr="0029665F">
        <w:rPr>
          <w:sz w:val="24"/>
        </w:rPr>
        <w:t xml:space="preserve">, whilst retelling their history, hiding nothing, instead, </w:t>
      </w:r>
      <w:r w:rsidR="006B6249" w:rsidRPr="0029665F">
        <w:rPr>
          <w:sz w:val="24"/>
        </w:rPr>
        <w:t>reveals</w:t>
      </w:r>
      <w:r w:rsidR="009918C8" w:rsidRPr="0029665F">
        <w:rPr>
          <w:sz w:val="24"/>
        </w:rPr>
        <w:t xml:space="preserve"> the </w:t>
      </w:r>
      <w:r w:rsidR="00A13344" w:rsidRPr="0029665F">
        <w:rPr>
          <w:sz w:val="24"/>
        </w:rPr>
        <w:t>brutal</w:t>
      </w:r>
      <w:r w:rsidR="009918C8" w:rsidRPr="0029665F">
        <w:rPr>
          <w:sz w:val="24"/>
        </w:rPr>
        <w:t xml:space="preserve"> treatment </w:t>
      </w:r>
      <w:r w:rsidR="006B6249" w:rsidRPr="0029665F">
        <w:rPr>
          <w:sz w:val="24"/>
        </w:rPr>
        <w:t xml:space="preserve">they </w:t>
      </w:r>
      <w:r w:rsidR="00A13344" w:rsidRPr="0029665F">
        <w:rPr>
          <w:sz w:val="24"/>
        </w:rPr>
        <w:t xml:space="preserve">encountered </w:t>
      </w:r>
      <w:r w:rsidR="006B6249" w:rsidRPr="0029665F">
        <w:rPr>
          <w:sz w:val="24"/>
        </w:rPr>
        <w:t xml:space="preserve">and the </w:t>
      </w:r>
      <w:r w:rsidR="00501861" w:rsidRPr="0029665F">
        <w:rPr>
          <w:sz w:val="24"/>
        </w:rPr>
        <w:t>discriminations</w:t>
      </w:r>
      <w:r w:rsidR="00A13344" w:rsidRPr="0029665F">
        <w:rPr>
          <w:sz w:val="24"/>
        </w:rPr>
        <w:t xml:space="preserve"> </w:t>
      </w:r>
      <w:r w:rsidR="006B6249" w:rsidRPr="0029665F">
        <w:rPr>
          <w:sz w:val="24"/>
        </w:rPr>
        <w:t>against them.</w:t>
      </w:r>
      <w:r w:rsidR="0076414B" w:rsidRPr="0029665F">
        <w:rPr>
          <w:rStyle w:val="FootnoteReference"/>
          <w:sz w:val="24"/>
        </w:rPr>
        <w:footnoteReference w:id="41"/>
      </w:r>
    </w:p>
    <w:p w14:paraId="410F6105" w14:textId="023D6AC0" w:rsidR="00225D1D" w:rsidRPr="0029665F" w:rsidRDefault="0029665F" w:rsidP="0029665F">
      <w:pPr>
        <w:spacing w:line="480" w:lineRule="auto"/>
        <w:rPr>
          <w:sz w:val="24"/>
        </w:rPr>
      </w:pPr>
      <w:r w:rsidRPr="0029665F">
        <w:rPr>
          <w:noProof/>
          <w:sz w:val="24"/>
          <w:lang w:eastAsia="en-GB"/>
        </w:rPr>
        <w:drawing>
          <wp:anchor distT="0" distB="0" distL="114300" distR="114300" simplePos="0" relativeHeight="251660800" behindDoc="0" locked="0" layoutInCell="1" allowOverlap="1" wp14:anchorId="5C85AE58" wp14:editId="1C714DC2">
            <wp:simplePos x="0" y="0"/>
            <wp:positionH relativeFrom="column">
              <wp:posOffset>932815</wp:posOffset>
            </wp:positionH>
            <wp:positionV relativeFrom="paragraph">
              <wp:posOffset>171450</wp:posOffset>
            </wp:positionV>
            <wp:extent cx="2695575" cy="3973830"/>
            <wp:effectExtent l="0" t="0" r="9525" b="7620"/>
            <wp:wrapThrough wrapText="bothSides">
              <wp:wrapPolygon edited="0">
                <wp:start x="0" y="0"/>
                <wp:lineTo x="0" y="21538"/>
                <wp:lineTo x="21524" y="21538"/>
                <wp:lineTo x="21524" y="0"/>
                <wp:lineTo x="0" y="0"/>
              </wp:wrapPolygon>
            </wp:wrapThrough>
            <wp:docPr id="1" name="Picture 1" descr="Massacr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sacre 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5575" cy="397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833A25" w14:textId="2E976D00" w:rsidR="0029665F" w:rsidRPr="0029665F" w:rsidRDefault="00225D1D" w:rsidP="0029665F">
      <w:pPr>
        <w:spacing w:line="480" w:lineRule="auto"/>
        <w:rPr>
          <w:sz w:val="24"/>
        </w:rPr>
      </w:pPr>
      <w:r w:rsidRPr="0029665F">
        <w:rPr>
          <w:sz w:val="24"/>
        </w:rPr>
        <w:t xml:space="preserve"> </w:t>
      </w:r>
    </w:p>
    <w:p w14:paraId="62A43F9F" w14:textId="77777777" w:rsidR="0029665F" w:rsidRPr="0029665F" w:rsidRDefault="0029665F" w:rsidP="0029665F">
      <w:pPr>
        <w:spacing w:line="480" w:lineRule="auto"/>
        <w:rPr>
          <w:sz w:val="24"/>
        </w:rPr>
      </w:pPr>
    </w:p>
    <w:p w14:paraId="41C9F98C" w14:textId="0ECF436E" w:rsidR="00470327" w:rsidRPr="0029665F" w:rsidRDefault="00470327" w:rsidP="0029665F">
      <w:pPr>
        <w:spacing w:line="480" w:lineRule="auto"/>
        <w:rPr>
          <w:sz w:val="24"/>
        </w:rPr>
      </w:pPr>
    </w:p>
    <w:p w14:paraId="405A7B59" w14:textId="47569D86" w:rsidR="002D0E89" w:rsidRPr="0029665F" w:rsidRDefault="002D0E89" w:rsidP="0029665F">
      <w:pPr>
        <w:spacing w:line="480" w:lineRule="auto"/>
        <w:rPr>
          <w:sz w:val="24"/>
        </w:rPr>
      </w:pPr>
    </w:p>
    <w:p w14:paraId="60E5FC9D" w14:textId="7218F231" w:rsidR="002D0E89" w:rsidRPr="0029665F" w:rsidRDefault="002D0E89" w:rsidP="0029665F">
      <w:pPr>
        <w:spacing w:line="480" w:lineRule="auto"/>
        <w:rPr>
          <w:sz w:val="24"/>
        </w:rPr>
      </w:pPr>
    </w:p>
    <w:p w14:paraId="421035DD" w14:textId="02EF4711" w:rsidR="002D0E89" w:rsidRPr="0029665F" w:rsidRDefault="002D0E89" w:rsidP="0029665F">
      <w:pPr>
        <w:spacing w:line="480" w:lineRule="auto"/>
        <w:rPr>
          <w:sz w:val="24"/>
        </w:rPr>
      </w:pPr>
    </w:p>
    <w:p w14:paraId="3085FA3E" w14:textId="1EDDF6AB" w:rsidR="002D0E89" w:rsidRPr="0029665F" w:rsidRDefault="002D0E89" w:rsidP="0029665F">
      <w:pPr>
        <w:spacing w:line="480" w:lineRule="auto"/>
        <w:rPr>
          <w:sz w:val="24"/>
        </w:rPr>
      </w:pPr>
    </w:p>
    <w:p w14:paraId="444CB5F1" w14:textId="4DECC4C1" w:rsidR="002D0E89" w:rsidRPr="0029665F" w:rsidRDefault="002D0E89" w:rsidP="0029665F">
      <w:pPr>
        <w:spacing w:line="480" w:lineRule="auto"/>
        <w:rPr>
          <w:sz w:val="24"/>
        </w:rPr>
      </w:pPr>
    </w:p>
    <w:p w14:paraId="625C9DEB" w14:textId="2612E8D1" w:rsidR="002D0E89" w:rsidRPr="0029665F" w:rsidRDefault="00B14A8B" w:rsidP="0029665F">
      <w:pPr>
        <w:spacing w:line="480" w:lineRule="auto"/>
        <w:rPr>
          <w:sz w:val="24"/>
        </w:rPr>
      </w:pPr>
      <w:r w:rsidRPr="0029665F">
        <w:rPr>
          <w:sz w:val="24"/>
        </w:rPr>
        <w:t xml:space="preserve">                </w:t>
      </w:r>
      <w:r w:rsidR="002E7F00" w:rsidRPr="0029665F">
        <w:rPr>
          <w:sz w:val="24"/>
        </w:rPr>
        <w:t>(Image one- massacre map</w:t>
      </w:r>
      <w:r w:rsidRPr="0029665F">
        <w:rPr>
          <w:sz w:val="24"/>
        </w:rPr>
        <w:t xml:space="preserve"> taken from Culture Victoria. 2018</w:t>
      </w:r>
      <w:r w:rsidR="002E7F00" w:rsidRPr="0029665F">
        <w:rPr>
          <w:sz w:val="24"/>
        </w:rPr>
        <w:t>)</w:t>
      </w:r>
      <w:r w:rsidRPr="0029665F">
        <w:rPr>
          <w:rStyle w:val="FootnoteReference"/>
          <w:sz w:val="24"/>
        </w:rPr>
        <w:footnoteReference w:id="42"/>
      </w:r>
    </w:p>
    <w:p w14:paraId="602967D1" w14:textId="2F809FC2" w:rsidR="002D0E89" w:rsidRPr="0029665F" w:rsidRDefault="002D0E89" w:rsidP="0029665F">
      <w:pPr>
        <w:spacing w:line="480" w:lineRule="auto"/>
        <w:rPr>
          <w:sz w:val="24"/>
        </w:rPr>
      </w:pPr>
    </w:p>
    <w:p w14:paraId="07B9414C" w14:textId="5D4F0345" w:rsidR="00673730" w:rsidRPr="0029665F" w:rsidRDefault="00673730" w:rsidP="0029665F">
      <w:pPr>
        <w:spacing w:line="480" w:lineRule="auto"/>
        <w:rPr>
          <w:sz w:val="24"/>
        </w:rPr>
      </w:pPr>
      <w:r w:rsidRPr="0029665F">
        <w:rPr>
          <w:sz w:val="24"/>
        </w:rPr>
        <w:t xml:space="preserve">Some visitors may be unprepared for the harsh realities presented to them within the cultural centre. In turn, this presents challenges for the curators of Brambuk. </w:t>
      </w:r>
    </w:p>
    <w:p w14:paraId="1DE8870F" w14:textId="2854BD97" w:rsidR="00BC0215" w:rsidRPr="0029665F" w:rsidRDefault="00441DB9" w:rsidP="0029665F">
      <w:pPr>
        <w:spacing w:line="480" w:lineRule="auto"/>
        <w:rPr>
          <w:sz w:val="24"/>
        </w:rPr>
      </w:pPr>
      <w:r w:rsidRPr="0029665F">
        <w:rPr>
          <w:sz w:val="24"/>
        </w:rPr>
        <w:lastRenderedPageBreak/>
        <w:t xml:space="preserve">When it comes to the representation of histories, especially those deemed difficult heritage, curators need to consider a number of different purposes that museums and cultural centres need to fulfil when presenting difficult heritage. This needs to be a truthful representation, educational whilst also showing an acknowledgement and memorialisation towards the victims of injustice. </w:t>
      </w:r>
      <w:r w:rsidR="00F422EB" w:rsidRPr="0029665F">
        <w:rPr>
          <w:sz w:val="24"/>
        </w:rPr>
        <w:t xml:space="preserve">Jennifer </w:t>
      </w:r>
      <w:proofErr w:type="spellStart"/>
      <w:r w:rsidR="00F422EB" w:rsidRPr="0029665F">
        <w:rPr>
          <w:sz w:val="24"/>
        </w:rPr>
        <w:t>Bonnell</w:t>
      </w:r>
      <w:proofErr w:type="spellEnd"/>
      <w:r w:rsidR="00F422EB" w:rsidRPr="0029665F">
        <w:rPr>
          <w:sz w:val="24"/>
        </w:rPr>
        <w:t xml:space="preserve"> and Roger Simon </w:t>
      </w:r>
      <w:r w:rsidR="0029601F" w:rsidRPr="0029665F">
        <w:rPr>
          <w:sz w:val="24"/>
        </w:rPr>
        <w:t>in their journal article Difficult exhibitions and intimate encounters,</w:t>
      </w:r>
      <w:r w:rsidR="003C1039" w:rsidRPr="0029665F">
        <w:rPr>
          <w:sz w:val="24"/>
        </w:rPr>
        <w:t xml:space="preserve"> </w:t>
      </w:r>
      <w:r w:rsidR="00081D5F" w:rsidRPr="0029665F">
        <w:rPr>
          <w:sz w:val="24"/>
        </w:rPr>
        <w:t>state</w:t>
      </w:r>
      <w:r w:rsidR="003C1039" w:rsidRPr="0029665F">
        <w:rPr>
          <w:sz w:val="24"/>
        </w:rPr>
        <w:t xml:space="preserve"> that difficult exhibitions can be, at times, a ‘burdensome gift’</w:t>
      </w:r>
      <w:r w:rsidR="003C1039" w:rsidRPr="0029665F">
        <w:rPr>
          <w:rStyle w:val="FootnoteReference"/>
          <w:sz w:val="24"/>
        </w:rPr>
        <w:footnoteReference w:id="43"/>
      </w:r>
      <w:r w:rsidR="00081D5F" w:rsidRPr="0029665F">
        <w:rPr>
          <w:sz w:val="24"/>
        </w:rPr>
        <w:t xml:space="preserve"> they believe that </w:t>
      </w:r>
      <w:r w:rsidR="008A078F" w:rsidRPr="0029665F">
        <w:rPr>
          <w:sz w:val="24"/>
        </w:rPr>
        <w:t xml:space="preserve">it contains an expectation of empathetic responses from visitors, whilst </w:t>
      </w:r>
      <w:r w:rsidR="00002B25" w:rsidRPr="0029665F">
        <w:rPr>
          <w:sz w:val="24"/>
        </w:rPr>
        <w:t>presenting an intimate encounter</w:t>
      </w:r>
      <w:r w:rsidR="00DF68DE" w:rsidRPr="0029665F">
        <w:rPr>
          <w:sz w:val="24"/>
        </w:rPr>
        <w:t xml:space="preserve"> which </w:t>
      </w:r>
      <w:r w:rsidR="00760373" w:rsidRPr="0029665F">
        <w:rPr>
          <w:sz w:val="24"/>
        </w:rPr>
        <w:t>offers the visitor</w:t>
      </w:r>
      <w:r w:rsidR="00FD7739" w:rsidRPr="0029665F">
        <w:rPr>
          <w:sz w:val="24"/>
        </w:rPr>
        <w:t xml:space="preserve"> a way of relating with the world around them.</w:t>
      </w:r>
      <w:r w:rsidR="00B24E18" w:rsidRPr="0029665F">
        <w:rPr>
          <w:rStyle w:val="FootnoteReference"/>
          <w:sz w:val="24"/>
        </w:rPr>
        <w:footnoteReference w:id="44"/>
      </w:r>
      <w:r w:rsidR="0017588A" w:rsidRPr="0029665F">
        <w:rPr>
          <w:sz w:val="24"/>
        </w:rPr>
        <w:t xml:space="preserve"> </w:t>
      </w:r>
      <w:r w:rsidR="0017588A" w:rsidRPr="0029665F">
        <w:rPr>
          <w:sz w:val="24"/>
        </w:rPr>
        <w:br/>
      </w:r>
      <w:r w:rsidR="00A60202" w:rsidRPr="0029665F">
        <w:rPr>
          <w:sz w:val="24"/>
        </w:rPr>
        <w:t xml:space="preserve">Although </w:t>
      </w:r>
      <w:r w:rsidR="00135C89" w:rsidRPr="0029665F">
        <w:rPr>
          <w:sz w:val="24"/>
        </w:rPr>
        <w:t xml:space="preserve">exhibits in the museum can be deemed difficult and upsetting for visitors, it also provides </w:t>
      </w:r>
      <w:r w:rsidR="00A17BCF" w:rsidRPr="0029665F">
        <w:rPr>
          <w:sz w:val="24"/>
        </w:rPr>
        <w:t xml:space="preserve">a way for </w:t>
      </w:r>
      <w:r w:rsidR="00173FAA" w:rsidRPr="0029665F">
        <w:rPr>
          <w:sz w:val="24"/>
        </w:rPr>
        <w:t>Indigenous</w:t>
      </w:r>
      <w:r w:rsidR="00A17BCF" w:rsidRPr="0029665F">
        <w:rPr>
          <w:sz w:val="24"/>
        </w:rPr>
        <w:t xml:space="preserve"> Australians with a way to reaffirm their cultural </w:t>
      </w:r>
      <w:r w:rsidR="00173FAA" w:rsidRPr="0029665F">
        <w:rPr>
          <w:sz w:val="24"/>
        </w:rPr>
        <w:t>identity</w:t>
      </w:r>
      <w:r w:rsidR="007E4351" w:rsidRPr="0029665F">
        <w:rPr>
          <w:sz w:val="24"/>
        </w:rPr>
        <w:t xml:space="preserve">. Following the European settlement, many </w:t>
      </w:r>
      <w:r w:rsidR="00173FAA" w:rsidRPr="0029665F">
        <w:rPr>
          <w:sz w:val="24"/>
        </w:rPr>
        <w:t>I</w:t>
      </w:r>
      <w:r w:rsidR="007E4351" w:rsidRPr="0029665F">
        <w:rPr>
          <w:sz w:val="24"/>
        </w:rPr>
        <w:t>ndigenous Australians suffered with post-contact trauma as well as</w:t>
      </w:r>
      <w:r w:rsidR="00173FAA" w:rsidRPr="0029665F">
        <w:rPr>
          <w:sz w:val="24"/>
        </w:rPr>
        <w:t xml:space="preserve"> experiencing dislocation from lands and communities that resulted from resettlement or forced removals.</w:t>
      </w:r>
      <w:r w:rsidR="00173FAA" w:rsidRPr="0029665F">
        <w:rPr>
          <w:rStyle w:val="FootnoteReference"/>
          <w:sz w:val="24"/>
        </w:rPr>
        <w:footnoteReference w:id="45"/>
      </w:r>
      <w:r w:rsidR="00087768" w:rsidRPr="0029665F">
        <w:rPr>
          <w:sz w:val="24"/>
        </w:rPr>
        <w:t xml:space="preserve"> </w:t>
      </w:r>
      <w:r w:rsidR="004B3539" w:rsidRPr="0029665F">
        <w:rPr>
          <w:sz w:val="24"/>
        </w:rPr>
        <w:t xml:space="preserve">Showing how </w:t>
      </w:r>
      <w:r w:rsidR="00C51CBD" w:rsidRPr="0029665F">
        <w:rPr>
          <w:sz w:val="24"/>
        </w:rPr>
        <w:t xml:space="preserve">Brambuk could </w:t>
      </w:r>
      <w:proofErr w:type="gramStart"/>
      <w:r w:rsidR="00C51CBD" w:rsidRPr="0029665F">
        <w:rPr>
          <w:sz w:val="24"/>
        </w:rPr>
        <w:t>be seen as</w:t>
      </w:r>
      <w:proofErr w:type="gramEnd"/>
      <w:r w:rsidR="00C51CBD" w:rsidRPr="0029665F">
        <w:rPr>
          <w:sz w:val="24"/>
        </w:rPr>
        <w:t xml:space="preserve"> a place for reconciliation of the past and present.</w:t>
      </w:r>
      <w:r w:rsidR="00FD1E45" w:rsidRPr="0029665F">
        <w:rPr>
          <w:sz w:val="24"/>
        </w:rPr>
        <w:t xml:space="preserve"> </w:t>
      </w:r>
      <w:r w:rsidR="002641EF" w:rsidRPr="0029665F">
        <w:rPr>
          <w:sz w:val="24"/>
        </w:rPr>
        <w:t xml:space="preserve">An exhibit in the cultural centre which has been deemed one of the most dramatic parts, is a section dedicated specifically to </w:t>
      </w:r>
      <w:r w:rsidR="004F43C9" w:rsidRPr="0029665F">
        <w:rPr>
          <w:sz w:val="24"/>
        </w:rPr>
        <w:t xml:space="preserve">the deaths of the Aboriginal people through the means of visualisation. The centre has created;  </w:t>
      </w:r>
    </w:p>
    <w:p w14:paraId="55FA12C2" w14:textId="1D102AF9" w:rsidR="004F43C9" w:rsidRPr="0029665F" w:rsidRDefault="004F43C9" w:rsidP="0029665F">
      <w:pPr>
        <w:spacing w:line="480" w:lineRule="auto"/>
        <w:ind w:left="709" w:right="946" w:hanging="709"/>
        <w:rPr>
          <w:sz w:val="24"/>
        </w:rPr>
      </w:pPr>
      <w:r w:rsidRPr="0029665F">
        <w:rPr>
          <w:sz w:val="24"/>
        </w:rPr>
        <w:tab/>
        <w:t xml:space="preserve">‘a ‘forest’ of poles </w:t>
      </w:r>
      <w:r w:rsidR="00170E94" w:rsidRPr="0029665F">
        <w:rPr>
          <w:sz w:val="24"/>
        </w:rPr>
        <w:t xml:space="preserve">in a dimly lit corner of the gallery… creates </w:t>
      </w:r>
      <w:r w:rsidR="008108DD" w:rsidRPr="0029665F">
        <w:rPr>
          <w:sz w:val="24"/>
        </w:rPr>
        <w:t xml:space="preserve">an impression of woodland. White text panels are pinned to the wooden poles like public notices pinned to trees. On each one is a quotation taken from the journals of white settlers and travellers in the period 1836-1843 </w:t>
      </w:r>
      <w:r w:rsidR="008108DD" w:rsidRPr="0029665F">
        <w:rPr>
          <w:sz w:val="24"/>
        </w:rPr>
        <w:lastRenderedPageBreak/>
        <w:t>describing the killing of Aboriginal peoples as part of the efforts employed by some whites to obtain land for themselves and exterminate the Aboriginal population.’</w:t>
      </w:r>
      <w:r w:rsidR="008108DD" w:rsidRPr="0029665F">
        <w:rPr>
          <w:rStyle w:val="FootnoteReference"/>
          <w:sz w:val="24"/>
        </w:rPr>
        <w:footnoteReference w:id="46"/>
      </w:r>
    </w:p>
    <w:p w14:paraId="441F4879" w14:textId="71313270" w:rsidR="008B6358" w:rsidRPr="0029665F" w:rsidRDefault="00D66936" w:rsidP="0029665F">
      <w:pPr>
        <w:spacing w:line="480" w:lineRule="auto"/>
        <w:rPr>
          <w:sz w:val="24"/>
        </w:rPr>
      </w:pPr>
      <w:r w:rsidRPr="0029665F">
        <w:rPr>
          <w:sz w:val="24"/>
        </w:rPr>
        <w:t xml:space="preserve">The imagery of a forest </w:t>
      </w:r>
      <w:r w:rsidR="005E7028" w:rsidRPr="0029665F">
        <w:rPr>
          <w:sz w:val="24"/>
        </w:rPr>
        <w:t xml:space="preserve">represents the Aboriginal </w:t>
      </w:r>
      <w:r w:rsidR="00F45904" w:rsidRPr="0029665F">
        <w:rPr>
          <w:sz w:val="24"/>
        </w:rPr>
        <w:t>communities’</w:t>
      </w:r>
      <w:r w:rsidR="005E7028" w:rsidRPr="0029665F">
        <w:rPr>
          <w:sz w:val="24"/>
        </w:rPr>
        <w:t xml:space="preserve"> way of life, how they </w:t>
      </w:r>
      <w:r w:rsidR="00F32705" w:rsidRPr="0029665F">
        <w:rPr>
          <w:sz w:val="24"/>
        </w:rPr>
        <w:t xml:space="preserve">are people of the land. </w:t>
      </w:r>
      <w:r w:rsidR="00E77761" w:rsidRPr="0029665F">
        <w:rPr>
          <w:sz w:val="24"/>
        </w:rPr>
        <w:t xml:space="preserve"> Langton highlights the importance of land to Indigenous people</w:t>
      </w:r>
      <w:r w:rsidR="001E6205" w:rsidRPr="0029665F">
        <w:rPr>
          <w:sz w:val="24"/>
        </w:rPr>
        <w:t>, describing them as being of such close relations to the land, they are easily rendered ‘part of the fauna’</w:t>
      </w:r>
      <w:r w:rsidR="001E6205" w:rsidRPr="0029665F">
        <w:rPr>
          <w:rStyle w:val="FootnoteReference"/>
          <w:sz w:val="24"/>
        </w:rPr>
        <w:footnoteReference w:id="47"/>
      </w:r>
      <w:r w:rsidR="00F45904" w:rsidRPr="0029665F">
        <w:rPr>
          <w:sz w:val="24"/>
        </w:rPr>
        <w:t xml:space="preserve"> </w:t>
      </w:r>
      <w:r w:rsidR="008B6358" w:rsidRPr="0029665F">
        <w:rPr>
          <w:sz w:val="24"/>
        </w:rPr>
        <w:t xml:space="preserve">The way in which the centre has </w:t>
      </w:r>
      <w:r w:rsidR="004B53ED" w:rsidRPr="0029665F">
        <w:rPr>
          <w:sz w:val="24"/>
        </w:rPr>
        <w:t>used the nature aspect alongside the more modern</w:t>
      </w:r>
      <w:r w:rsidR="004B373A" w:rsidRPr="0029665F">
        <w:rPr>
          <w:sz w:val="24"/>
        </w:rPr>
        <w:t xml:space="preserve"> public notices,</w:t>
      </w:r>
      <w:r w:rsidR="004B53ED" w:rsidRPr="0029665F">
        <w:rPr>
          <w:sz w:val="24"/>
        </w:rPr>
        <w:t xml:space="preserve"> </w:t>
      </w:r>
      <w:r w:rsidR="008B6358" w:rsidRPr="0029665F">
        <w:rPr>
          <w:sz w:val="24"/>
        </w:rPr>
        <w:t>enables us to examine it as a contested site of power between Europeans and Aborigines</w:t>
      </w:r>
      <w:r w:rsidR="004B373A" w:rsidRPr="0029665F">
        <w:rPr>
          <w:rStyle w:val="FootnoteReference"/>
          <w:sz w:val="24"/>
        </w:rPr>
        <w:footnoteReference w:id="48"/>
      </w:r>
      <w:r w:rsidR="00F45904" w:rsidRPr="0029665F">
        <w:rPr>
          <w:sz w:val="24"/>
        </w:rPr>
        <w:t xml:space="preserve"> </w:t>
      </w:r>
      <w:r w:rsidR="004B373A" w:rsidRPr="0029665F">
        <w:rPr>
          <w:sz w:val="24"/>
        </w:rPr>
        <w:t>highlighting the fate of the Aborigines</w:t>
      </w:r>
      <w:r w:rsidR="00972BDD" w:rsidRPr="0029665F">
        <w:rPr>
          <w:sz w:val="24"/>
        </w:rPr>
        <w:t xml:space="preserve"> at the hands of the settlers. Alongside this, the </w:t>
      </w:r>
      <w:r w:rsidR="00735A04" w:rsidRPr="0029665F">
        <w:rPr>
          <w:sz w:val="24"/>
        </w:rPr>
        <w:t xml:space="preserve">poles </w:t>
      </w:r>
      <w:proofErr w:type="gramStart"/>
      <w:r w:rsidR="00735A04" w:rsidRPr="0029665F">
        <w:rPr>
          <w:sz w:val="24"/>
        </w:rPr>
        <w:t>can be seen as</w:t>
      </w:r>
      <w:proofErr w:type="gramEnd"/>
      <w:r w:rsidR="00735A04" w:rsidRPr="0029665F">
        <w:rPr>
          <w:sz w:val="24"/>
        </w:rPr>
        <w:t xml:space="preserve"> highlighting the ways in which the Indigenous people have had to navigate between the ‘poles of tradition and modernity’</w:t>
      </w:r>
      <w:r w:rsidR="0008581C" w:rsidRPr="0029665F">
        <w:rPr>
          <w:rStyle w:val="FootnoteReference"/>
          <w:sz w:val="24"/>
        </w:rPr>
        <w:footnoteReference w:id="49"/>
      </w:r>
    </w:p>
    <w:p w14:paraId="34C664B0" w14:textId="6EE96B0F" w:rsidR="00CB1CA3" w:rsidRPr="0029665F" w:rsidRDefault="000124C0" w:rsidP="0029665F">
      <w:pPr>
        <w:spacing w:line="480" w:lineRule="auto"/>
        <w:rPr>
          <w:sz w:val="24"/>
        </w:rPr>
      </w:pPr>
      <w:r w:rsidRPr="0029665F">
        <w:rPr>
          <w:sz w:val="24"/>
        </w:rPr>
        <w:br/>
        <w:t xml:space="preserve">The Brambuk cultural centre presents many exhibits that would prompt </w:t>
      </w:r>
      <w:r w:rsidR="007D23F1" w:rsidRPr="0029665F">
        <w:rPr>
          <w:sz w:val="24"/>
        </w:rPr>
        <w:t>an empathetic response from visitors</w:t>
      </w:r>
      <w:r w:rsidR="005E3550" w:rsidRPr="0029665F">
        <w:rPr>
          <w:sz w:val="24"/>
        </w:rPr>
        <w:t>. Their aim is to articulate controversial subject-matters or tragic episodes in their communities’ histories. This includes t</w:t>
      </w:r>
      <w:r w:rsidR="003563BA" w:rsidRPr="0029665F">
        <w:rPr>
          <w:sz w:val="24"/>
        </w:rPr>
        <w:t xml:space="preserve">heir </w:t>
      </w:r>
      <w:r w:rsidR="00A23A71" w:rsidRPr="0029665F">
        <w:rPr>
          <w:sz w:val="24"/>
        </w:rPr>
        <w:t xml:space="preserve">exhibit on the Aboriginals during the Second World War. </w:t>
      </w:r>
      <w:r w:rsidR="005E3550" w:rsidRPr="0029665F">
        <w:rPr>
          <w:sz w:val="24"/>
        </w:rPr>
        <w:t>Brambuk</w:t>
      </w:r>
      <w:r w:rsidR="006957F4" w:rsidRPr="0029665F">
        <w:rPr>
          <w:sz w:val="24"/>
        </w:rPr>
        <w:t xml:space="preserve"> present</w:t>
      </w:r>
      <w:r w:rsidR="005E3550" w:rsidRPr="0029665F">
        <w:rPr>
          <w:sz w:val="24"/>
        </w:rPr>
        <w:t>s</w:t>
      </w:r>
      <w:r w:rsidR="006957F4" w:rsidRPr="0029665F">
        <w:rPr>
          <w:sz w:val="24"/>
        </w:rPr>
        <w:t xml:space="preserve"> </w:t>
      </w:r>
      <w:r w:rsidR="005E3550" w:rsidRPr="0029665F">
        <w:rPr>
          <w:sz w:val="24"/>
        </w:rPr>
        <w:t>the ways in which the communities faced</w:t>
      </w:r>
      <w:r w:rsidR="0028493A" w:rsidRPr="0029665F">
        <w:rPr>
          <w:sz w:val="24"/>
        </w:rPr>
        <w:t xml:space="preserve"> ‘coercion into missions, psychological trauma resulting </w:t>
      </w:r>
      <w:r w:rsidR="005E3550" w:rsidRPr="0029665F">
        <w:rPr>
          <w:sz w:val="24"/>
        </w:rPr>
        <w:t>from the “stolen generation”.’</w:t>
      </w:r>
      <w:r w:rsidR="005E3550" w:rsidRPr="0029665F">
        <w:rPr>
          <w:rStyle w:val="FootnoteReference"/>
          <w:sz w:val="24"/>
        </w:rPr>
        <w:footnoteReference w:id="50"/>
      </w:r>
      <w:r w:rsidR="00FC5595" w:rsidRPr="0029665F">
        <w:rPr>
          <w:sz w:val="24"/>
        </w:rPr>
        <w:t xml:space="preserve"> Alongside this, </w:t>
      </w:r>
      <w:r w:rsidR="00F10F68" w:rsidRPr="0029665F">
        <w:rPr>
          <w:sz w:val="24"/>
        </w:rPr>
        <w:t>it addresses the legacy of land ownership; following the Second World War</w:t>
      </w:r>
      <w:r w:rsidR="000E40E2" w:rsidRPr="0029665F">
        <w:rPr>
          <w:sz w:val="24"/>
        </w:rPr>
        <w:t xml:space="preserve">, unlike other </w:t>
      </w:r>
      <w:r w:rsidR="000B07F8" w:rsidRPr="0029665F">
        <w:rPr>
          <w:sz w:val="24"/>
        </w:rPr>
        <w:t xml:space="preserve">returning </w:t>
      </w:r>
      <w:r w:rsidR="000E40E2" w:rsidRPr="0029665F">
        <w:rPr>
          <w:sz w:val="24"/>
        </w:rPr>
        <w:t xml:space="preserve">soldiers, the land allocated to </w:t>
      </w:r>
      <w:r w:rsidR="000B07F8" w:rsidRPr="0029665F">
        <w:rPr>
          <w:sz w:val="24"/>
        </w:rPr>
        <w:t>them was not assigned to the Aboriginal soldiers.</w:t>
      </w:r>
      <w:r w:rsidR="00343065" w:rsidRPr="0029665F">
        <w:rPr>
          <w:sz w:val="24"/>
        </w:rPr>
        <w:t xml:space="preserve"> These issues are all displayed in the exhibit</w:t>
      </w:r>
      <w:r w:rsidR="00EF6C97" w:rsidRPr="0029665F">
        <w:rPr>
          <w:sz w:val="24"/>
        </w:rPr>
        <w:t xml:space="preserve"> summed up with displays of </w:t>
      </w:r>
      <w:r w:rsidR="00EF6C97" w:rsidRPr="0029665F">
        <w:rPr>
          <w:sz w:val="24"/>
        </w:rPr>
        <w:lastRenderedPageBreak/>
        <w:t>the Indigenous voice “we became the innocent victims of an attempt to bring about cultural genocide.</w:t>
      </w:r>
      <w:r w:rsidR="005222F3" w:rsidRPr="0029665F">
        <w:rPr>
          <w:sz w:val="24"/>
        </w:rPr>
        <w:t xml:space="preserve">” </w:t>
      </w:r>
      <w:r w:rsidR="00CA26CF" w:rsidRPr="0029665F">
        <w:rPr>
          <w:rStyle w:val="FootnoteReference"/>
          <w:sz w:val="24"/>
        </w:rPr>
        <w:footnoteReference w:id="51"/>
      </w:r>
      <w:r w:rsidR="00223AD9" w:rsidRPr="0029665F">
        <w:rPr>
          <w:sz w:val="24"/>
        </w:rPr>
        <w:t xml:space="preserve"> </w:t>
      </w:r>
      <w:r w:rsidR="003F46A3" w:rsidRPr="0029665F">
        <w:rPr>
          <w:sz w:val="24"/>
        </w:rPr>
        <w:t xml:space="preserve">The centre highlights </w:t>
      </w:r>
      <w:r w:rsidR="003332FB" w:rsidRPr="0029665F">
        <w:rPr>
          <w:sz w:val="24"/>
        </w:rPr>
        <w:t xml:space="preserve">the injustices faced after the war; whereas non-aboriginal people </w:t>
      </w:r>
      <w:r w:rsidR="00397780" w:rsidRPr="0029665F">
        <w:rPr>
          <w:sz w:val="24"/>
        </w:rPr>
        <w:t>gained their promised land under the Soldier Settlement Scheme, the aboriginals did not</w:t>
      </w:r>
      <w:r w:rsidR="00397780" w:rsidRPr="0029665F">
        <w:rPr>
          <w:rStyle w:val="FootnoteReference"/>
          <w:sz w:val="24"/>
        </w:rPr>
        <w:footnoteReference w:id="52"/>
      </w:r>
      <w:r w:rsidR="00397780" w:rsidRPr="0029665F">
        <w:rPr>
          <w:sz w:val="24"/>
        </w:rPr>
        <w:t xml:space="preserve">, showing how the extent </w:t>
      </w:r>
      <w:r w:rsidR="0011158F" w:rsidRPr="0029665F">
        <w:rPr>
          <w:sz w:val="24"/>
        </w:rPr>
        <w:t>in which,</w:t>
      </w:r>
      <w:r w:rsidR="00397780" w:rsidRPr="0029665F">
        <w:rPr>
          <w:sz w:val="24"/>
        </w:rPr>
        <w:t xml:space="preserve"> the communities could be even more mistrustful of the white-Australians. </w:t>
      </w:r>
      <w:r w:rsidR="0011158F" w:rsidRPr="0029665F">
        <w:rPr>
          <w:sz w:val="24"/>
        </w:rPr>
        <w:t xml:space="preserve">Exhibits such as this are deemed difficult heritage </w:t>
      </w:r>
      <w:proofErr w:type="gramStart"/>
      <w:r w:rsidR="0011158F" w:rsidRPr="0029665F">
        <w:rPr>
          <w:sz w:val="24"/>
        </w:rPr>
        <w:t>due to the fact that</w:t>
      </w:r>
      <w:proofErr w:type="gramEnd"/>
      <w:r w:rsidR="0011158F" w:rsidRPr="0029665F">
        <w:rPr>
          <w:sz w:val="24"/>
        </w:rPr>
        <w:t xml:space="preserve"> they have gained criticisms from visitors who are apprehensive of these events, perhaps due to a lack of knowledge of the unpalatable aspects of Australian history.</w:t>
      </w:r>
      <w:r w:rsidR="00BB3973" w:rsidRPr="0029665F">
        <w:rPr>
          <w:rStyle w:val="FootnoteReference"/>
          <w:sz w:val="24"/>
        </w:rPr>
        <w:footnoteReference w:id="53"/>
      </w:r>
      <w:r w:rsidR="00712CCD" w:rsidRPr="0029665F">
        <w:rPr>
          <w:sz w:val="24"/>
        </w:rPr>
        <w:t xml:space="preserve"> </w:t>
      </w:r>
      <w:r w:rsidR="00497A3F" w:rsidRPr="0029665F">
        <w:rPr>
          <w:sz w:val="24"/>
        </w:rPr>
        <w:t>Regarding this, the centre has</w:t>
      </w:r>
      <w:r w:rsidR="001870F4" w:rsidRPr="0029665F">
        <w:rPr>
          <w:sz w:val="24"/>
        </w:rPr>
        <w:t xml:space="preserve"> </w:t>
      </w:r>
      <w:r w:rsidR="00497A3F" w:rsidRPr="0029665F">
        <w:rPr>
          <w:sz w:val="24"/>
        </w:rPr>
        <w:t>to take into consideration the guilt-factor visitors may face when visiting the site</w:t>
      </w:r>
      <w:r w:rsidR="00DF2E09" w:rsidRPr="0029665F">
        <w:rPr>
          <w:sz w:val="24"/>
        </w:rPr>
        <w:t>.</w:t>
      </w:r>
      <w:r w:rsidR="00497A3F" w:rsidRPr="0029665F">
        <w:rPr>
          <w:sz w:val="24"/>
        </w:rPr>
        <w:t xml:space="preserve"> </w:t>
      </w:r>
      <w:r w:rsidR="00DF2E09" w:rsidRPr="0029665F">
        <w:rPr>
          <w:sz w:val="24"/>
        </w:rPr>
        <w:t>T</w:t>
      </w:r>
      <w:r w:rsidR="001870F4" w:rsidRPr="0029665F">
        <w:rPr>
          <w:sz w:val="24"/>
        </w:rPr>
        <w:t>he centre has had to find the balance</w:t>
      </w:r>
      <w:r w:rsidR="007F24E0" w:rsidRPr="0029665F">
        <w:rPr>
          <w:sz w:val="24"/>
        </w:rPr>
        <w:t xml:space="preserve"> between exposing the real history of </w:t>
      </w:r>
      <w:r w:rsidR="00DF2E09" w:rsidRPr="0029665F">
        <w:rPr>
          <w:sz w:val="24"/>
        </w:rPr>
        <w:t>Australia and trying to please visitors</w:t>
      </w:r>
      <w:r w:rsidR="0028662C" w:rsidRPr="0029665F">
        <w:rPr>
          <w:sz w:val="24"/>
        </w:rPr>
        <w:t xml:space="preserve"> </w:t>
      </w:r>
      <w:r w:rsidR="00580093" w:rsidRPr="0029665F">
        <w:rPr>
          <w:sz w:val="24"/>
        </w:rPr>
        <w:t>‘</w:t>
      </w:r>
      <w:r w:rsidR="0028662C" w:rsidRPr="0029665F">
        <w:rPr>
          <w:sz w:val="24"/>
        </w:rPr>
        <w:t>whilst trying to tell the history for its brutality</w:t>
      </w:r>
      <w:r w:rsidR="00580093" w:rsidRPr="0029665F">
        <w:rPr>
          <w:sz w:val="24"/>
        </w:rPr>
        <w:t>’</w:t>
      </w:r>
      <w:r w:rsidR="0028662C" w:rsidRPr="0029665F">
        <w:rPr>
          <w:sz w:val="24"/>
        </w:rPr>
        <w:t>.</w:t>
      </w:r>
      <w:r w:rsidR="00580093" w:rsidRPr="0029665F">
        <w:rPr>
          <w:rStyle w:val="FootnoteReference"/>
          <w:sz w:val="24"/>
        </w:rPr>
        <w:footnoteReference w:id="54"/>
      </w:r>
      <w:r w:rsidR="004D7C1F" w:rsidRPr="0029665F">
        <w:rPr>
          <w:sz w:val="24"/>
        </w:rPr>
        <w:t xml:space="preserve"> </w:t>
      </w:r>
    </w:p>
    <w:p w14:paraId="0BBD2147" w14:textId="1F16C1E2" w:rsidR="007A2B6C" w:rsidRPr="0029665F" w:rsidRDefault="007A2B6C" w:rsidP="0029665F">
      <w:pPr>
        <w:spacing w:line="480" w:lineRule="auto"/>
        <w:rPr>
          <w:sz w:val="24"/>
        </w:rPr>
      </w:pPr>
    </w:p>
    <w:p w14:paraId="59A27252" w14:textId="68771A6E" w:rsidR="00853FD5" w:rsidRPr="0029665F" w:rsidRDefault="00853FD5" w:rsidP="0029665F">
      <w:pPr>
        <w:spacing w:line="480" w:lineRule="auto"/>
        <w:rPr>
          <w:sz w:val="24"/>
        </w:rPr>
      </w:pPr>
      <w:r w:rsidRPr="0029665F">
        <w:rPr>
          <w:sz w:val="24"/>
        </w:rPr>
        <w:t>Overall, the Brambuk cultural centre faces many issues in the</w:t>
      </w:r>
      <w:r w:rsidR="00015FDB" w:rsidRPr="0029665F">
        <w:rPr>
          <w:sz w:val="24"/>
        </w:rPr>
        <w:t xml:space="preserve"> </w:t>
      </w:r>
      <w:r w:rsidRPr="0029665F">
        <w:rPr>
          <w:sz w:val="24"/>
        </w:rPr>
        <w:t xml:space="preserve">presentation of their exhibits due to difficult </w:t>
      </w:r>
      <w:r w:rsidR="00015FDB" w:rsidRPr="0029665F">
        <w:rPr>
          <w:sz w:val="24"/>
        </w:rPr>
        <w:t xml:space="preserve">nature of the </w:t>
      </w:r>
      <w:r w:rsidRPr="0029665F">
        <w:rPr>
          <w:sz w:val="24"/>
        </w:rPr>
        <w:t>heritage. As stated in the UNESCO workshop, the cultural centre would have had to think about many different questions;</w:t>
      </w:r>
      <w:r w:rsidRPr="0029665F">
        <w:rPr>
          <w:sz w:val="24"/>
        </w:rPr>
        <w:br/>
        <w:t xml:space="preserve">Firstly, </w:t>
      </w:r>
      <w:r w:rsidRPr="0029665F">
        <w:rPr>
          <w:i/>
          <w:sz w:val="24"/>
        </w:rPr>
        <w:t>how does a museum and a nation deal with a legacy?</w:t>
      </w:r>
      <w:r w:rsidRPr="0029665F">
        <w:rPr>
          <w:sz w:val="24"/>
        </w:rPr>
        <w:t xml:space="preserve"> The Brambuk centre deals with their communities’ legacies </w:t>
      </w:r>
      <w:proofErr w:type="gramStart"/>
      <w:r w:rsidRPr="0029665F">
        <w:rPr>
          <w:sz w:val="24"/>
        </w:rPr>
        <w:t>through the use of</w:t>
      </w:r>
      <w:proofErr w:type="gramEnd"/>
      <w:r w:rsidRPr="0029665F">
        <w:rPr>
          <w:sz w:val="24"/>
        </w:rPr>
        <w:t xml:space="preserve"> their art, stories and music. They highlight all the issues that the aboriginal people faced following the settlers of Europeans, refusing to conceal the brutalities faced.</w:t>
      </w:r>
      <w:r w:rsidR="00A409E2" w:rsidRPr="0029665F">
        <w:rPr>
          <w:sz w:val="24"/>
        </w:rPr>
        <w:t xml:space="preserve"> Rather than hide the contentions, they raise them.</w:t>
      </w:r>
      <w:r w:rsidRPr="0029665F">
        <w:rPr>
          <w:sz w:val="24"/>
        </w:rPr>
        <w:br/>
      </w:r>
      <w:r w:rsidRPr="0029665F">
        <w:rPr>
          <w:i/>
          <w:sz w:val="24"/>
        </w:rPr>
        <w:t xml:space="preserve">How are contemporary identities negotiated? </w:t>
      </w:r>
      <w:r w:rsidRPr="0029665F">
        <w:rPr>
          <w:sz w:val="24"/>
        </w:rPr>
        <w:t xml:space="preserve">The centre tries to paint an honest picture of the events surrounding the settlers and the aboriginals, refusing to conceal the past and </w:t>
      </w:r>
      <w:r w:rsidRPr="0029665F">
        <w:rPr>
          <w:sz w:val="24"/>
        </w:rPr>
        <w:lastRenderedPageBreak/>
        <w:t>showing a clear picture of their communities and the identities linked to them.</w:t>
      </w:r>
      <w:r w:rsidR="007E678D" w:rsidRPr="0029665F">
        <w:rPr>
          <w:sz w:val="24"/>
        </w:rPr>
        <w:t xml:space="preserve"> They </w:t>
      </w:r>
      <w:r w:rsidR="00922C34" w:rsidRPr="0029665F">
        <w:rPr>
          <w:sz w:val="24"/>
        </w:rPr>
        <w:t xml:space="preserve">argue against the notion of Aboriginals as noble savages and ancient, lost peoples of Australia and instead, presents </w:t>
      </w:r>
      <w:r w:rsidR="0094344C" w:rsidRPr="0029665F">
        <w:rPr>
          <w:sz w:val="24"/>
        </w:rPr>
        <w:t>the living culture of modern Aboriginal peoples.</w:t>
      </w:r>
      <w:r w:rsidRPr="0029665F">
        <w:rPr>
          <w:sz w:val="24"/>
        </w:rPr>
        <w:br/>
      </w:r>
      <w:r w:rsidRPr="0029665F">
        <w:rPr>
          <w:i/>
          <w:sz w:val="24"/>
        </w:rPr>
        <w:t>How can a history museum bring a national community to examine and seek answers to collective questions?</w:t>
      </w:r>
      <w:r w:rsidRPr="0029665F">
        <w:rPr>
          <w:sz w:val="24"/>
        </w:rPr>
        <w:t xml:space="preserve"> The centre uses a range of exhibits to present the ways in which the Aboriginal communities lived from the start of their time to the present day. Brambuk answers the questions on who the Aboriginal people are and what their lives were like. The centre also answers the questions of what they faced from the time of the colonialization</w:t>
      </w:r>
      <w:r w:rsidR="00D136F9" w:rsidRPr="0029665F">
        <w:rPr>
          <w:sz w:val="24"/>
        </w:rPr>
        <w:t xml:space="preserve"> and memorialises victims of atrocities</w:t>
      </w:r>
      <w:r w:rsidR="00B535C7" w:rsidRPr="0029665F">
        <w:rPr>
          <w:sz w:val="24"/>
        </w:rPr>
        <w:t>.</w:t>
      </w:r>
      <w:r w:rsidRPr="0029665F">
        <w:rPr>
          <w:sz w:val="24"/>
        </w:rPr>
        <w:br/>
      </w:r>
      <w:r w:rsidRPr="0029665F">
        <w:rPr>
          <w:i/>
          <w:sz w:val="24"/>
        </w:rPr>
        <w:t>Who is included and excluded?</w:t>
      </w:r>
      <w:r w:rsidRPr="0029665F">
        <w:rPr>
          <w:sz w:val="24"/>
        </w:rPr>
        <w:t xml:space="preserve"> The museum has shown a constant need to include the Aboriginal communities whilst also discussing the white-Australians who settled in the country and the impact they had. They do not shy away from the positive or negative aspects. Instead, attempt to create a whole picture. </w:t>
      </w:r>
      <w:r w:rsidR="00366BA5" w:rsidRPr="0029665F">
        <w:rPr>
          <w:sz w:val="24"/>
        </w:rPr>
        <w:t xml:space="preserve">The Brambuk attempts to rebalance Australian history and invites visitors from all cultures to </w:t>
      </w:r>
      <w:r w:rsidR="00245526" w:rsidRPr="0029665F">
        <w:rPr>
          <w:sz w:val="24"/>
        </w:rPr>
        <w:t>join the discussion.</w:t>
      </w:r>
      <w:r w:rsidRPr="0029665F">
        <w:rPr>
          <w:sz w:val="24"/>
        </w:rPr>
        <w:br/>
      </w:r>
      <w:r w:rsidRPr="0029665F">
        <w:rPr>
          <w:i/>
          <w:sz w:val="24"/>
        </w:rPr>
        <w:t>Is a history museum a place of reconciliation?</w:t>
      </w:r>
      <w:r w:rsidRPr="0029665F">
        <w:rPr>
          <w:sz w:val="24"/>
        </w:rPr>
        <w:t xml:space="preserve"> Brambuk can be perceived as a place of reconciliation. They wish for the centre to be a place which provides a holistic view of the Aboriginal culture, a place in which the Aboriginal people can reaffirm their cultural heritage in Australia whilst also reconciling the views of the visitors when they enter the centre, to the subject matters the centre produces. </w:t>
      </w:r>
      <w:r w:rsidRPr="0029665F">
        <w:rPr>
          <w:sz w:val="24"/>
        </w:rPr>
        <w:br/>
        <w:t xml:space="preserve">Brambuk, as an Aboriginal run centre, can be deemed difficult </w:t>
      </w:r>
      <w:proofErr w:type="gramStart"/>
      <w:r w:rsidRPr="0029665F">
        <w:rPr>
          <w:sz w:val="24"/>
        </w:rPr>
        <w:t>heritage in itself</w:t>
      </w:r>
      <w:proofErr w:type="gramEnd"/>
      <w:r w:rsidR="00C4079C" w:rsidRPr="0029665F">
        <w:rPr>
          <w:sz w:val="24"/>
        </w:rPr>
        <w:t>. T</w:t>
      </w:r>
      <w:r w:rsidRPr="0029665F">
        <w:rPr>
          <w:sz w:val="24"/>
        </w:rPr>
        <w:t xml:space="preserve">he </w:t>
      </w:r>
      <w:r w:rsidR="00C4079C" w:rsidRPr="0029665F">
        <w:rPr>
          <w:sz w:val="24"/>
        </w:rPr>
        <w:t xml:space="preserve">representation of the </w:t>
      </w:r>
      <w:r w:rsidRPr="0029665F">
        <w:rPr>
          <w:sz w:val="24"/>
        </w:rPr>
        <w:t xml:space="preserve">history of Australian Aboriginal people </w:t>
      </w:r>
      <w:r w:rsidR="00C4079C" w:rsidRPr="0029665F">
        <w:rPr>
          <w:sz w:val="24"/>
        </w:rPr>
        <w:t>has certainly</w:t>
      </w:r>
      <w:r w:rsidRPr="0029665F">
        <w:rPr>
          <w:sz w:val="24"/>
        </w:rPr>
        <w:t xml:space="preserve"> been problematic</w:t>
      </w:r>
      <w:r w:rsidR="00C4079C" w:rsidRPr="0029665F">
        <w:rPr>
          <w:sz w:val="24"/>
        </w:rPr>
        <w:t xml:space="preserve">. </w:t>
      </w:r>
      <w:r w:rsidR="006156DD" w:rsidRPr="0029665F">
        <w:rPr>
          <w:sz w:val="24"/>
        </w:rPr>
        <w:t xml:space="preserve">Modern Aboriginals have inherited an </w:t>
      </w:r>
      <w:r w:rsidRPr="0029665F">
        <w:rPr>
          <w:sz w:val="24"/>
        </w:rPr>
        <w:t xml:space="preserve">historical </w:t>
      </w:r>
      <w:r w:rsidR="004041B9" w:rsidRPr="0029665F">
        <w:rPr>
          <w:sz w:val="24"/>
        </w:rPr>
        <w:t>legacy of</w:t>
      </w:r>
      <w:r w:rsidR="006156DD" w:rsidRPr="0029665F">
        <w:rPr>
          <w:sz w:val="24"/>
        </w:rPr>
        <w:t xml:space="preserve"> misrepresentation and omission within </w:t>
      </w:r>
      <w:r w:rsidRPr="0029665F">
        <w:rPr>
          <w:sz w:val="24"/>
        </w:rPr>
        <w:t>Australian history. The area that the centre is situated is problematic as Brambuk ha</w:t>
      </w:r>
      <w:r w:rsidR="004041B9" w:rsidRPr="0029665F">
        <w:rPr>
          <w:sz w:val="24"/>
        </w:rPr>
        <w:t>s</w:t>
      </w:r>
      <w:r w:rsidRPr="0029665F">
        <w:rPr>
          <w:sz w:val="24"/>
        </w:rPr>
        <w:t xml:space="preserve"> challenged the historical argument of Gariwerd being a non-Aboriginal area. </w:t>
      </w:r>
      <w:r w:rsidRPr="0029665F">
        <w:rPr>
          <w:sz w:val="24"/>
        </w:rPr>
        <w:br/>
      </w:r>
      <w:r w:rsidRPr="0029665F">
        <w:rPr>
          <w:sz w:val="24"/>
        </w:rPr>
        <w:lastRenderedPageBreak/>
        <w:t xml:space="preserve">Another issue that arises when discussing the cultural centre is the fact that Aboriginal communities are usually linked to the idea that they are unmaterialistic and that preserving cultural materials is considered an interference with spirituality, this presents the idea that the communities would be opposed to a museum collection. This is remedied by the fact that the Aboriginal communities use these places, like Brambuk, as educational facilities and way in which they </w:t>
      </w:r>
      <w:proofErr w:type="gramStart"/>
      <w:r w:rsidRPr="0029665F">
        <w:rPr>
          <w:sz w:val="24"/>
        </w:rPr>
        <w:t>are able to</w:t>
      </w:r>
      <w:proofErr w:type="gramEnd"/>
      <w:r w:rsidRPr="0029665F">
        <w:rPr>
          <w:sz w:val="24"/>
        </w:rPr>
        <w:t xml:space="preserve"> present their cultural histories.</w:t>
      </w:r>
      <w:r w:rsidRPr="0029665F">
        <w:rPr>
          <w:sz w:val="24"/>
        </w:rPr>
        <w:br/>
        <w:t xml:space="preserve">A major contribution to Brambuk which is deemed difficult heritage is the ways in which they respond to the histories in which they were </w:t>
      </w:r>
      <w:r w:rsidR="00E1328B" w:rsidRPr="0029665F">
        <w:rPr>
          <w:sz w:val="24"/>
        </w:rPr>
        <w:t xml:space="preserve">previously </w:t>
      </w:r>
      <w:r w:rsidRPr="0029665F">
        <w:rPr>
          <w:sz w:val="24"/>
        </w:rPr>
        <w:t>silenced. They seek to provide reaffirmation to their communities whilst presenting the harsh realities of their ancestors during the time of the European settlers in Australia. A key presentation of this is the Massacre map, and the forest of poles with the journal quotations from the white settlers who killed the Aboriginal people. The ways in which the centre presents this difficult heritage is through the use of imagery between the Aboriginals links to land and nature – represented in the tree poles, and the seemingly modern public notices which highlight the cultural changes.</w:t>
      </w:r>
      <w:r w:rsidRPr="0029665F">
        <w:rPr>
          <w:sz w:val="24"/>
        </w:rPr>
        <w:br/>
        <w:t>The main subject matter for the issues surrounding the Brambuk Cultural Centre is how they go about presenting the exposure of the brutal histories whilst making sure that visitors do not experience a guilt factor when faced with the atrocities the Aboriginal communities faced post-colonialization</w:t>
      </w:r>
      <w:r w:rsidR="00325200" w:rsidRPr="0029665F">
        <w:rPr>
          <w:sz w:val="24"/>
        </w:rPr>
        <w:t>.</w:t>
      </w:r>
      <w:r w:rsidR="00AA1DAD" w:rsidRPr="0029665F">
        <w:rPr>
          <w:sz w:val="24"/>
        </w:rPr>
        <w:t xml:space="preserve"> </w:t>
      </w:r>
      <w:r w:rsidR="00A45DBD" w:rsidRPr="0029665F">
        <w:rPr>
          <w:sz w:val="24"/>
        </w:rPr>
        <w:t xml:space="preserve">Overall, </w:t>
      </w:r>
      <w:r w:rsidR="001215BA" w:rsidRPr="0029665F">
        <w:rPr>
          <w:sz w:val="24"/>
        </w:rPr>
        <w:t xml:space="preserve">the cultural centre has </w:t>
      </w:r>
      <w:r w:rsidR="004E2C69" w:rsidRPr="0029665F">
        <w:rPr>
          <w:sz w:val="24"/>
        </w:rPr>
        <w:t>met</w:t>
      </w:r>
      <w:r w:rsidR="001215BA" w:rsidRPr="0029665F">
        <w:rPr>
          <w:sz w:val="24"/>
        </w:rPr>
        <w:t xml:space="preserve"> </w:t>
      </w:r>
      <w:r w:rsidR="00F847E4" w:rsidRPr="0029665F">
        <w:rPr>
          <w:sz w:val="24"/>
        </w:rPr>
        <w:t xml:space="preserve">the need for a deeper, honest, history of Australia whilst </w:t>
      </w:r>
      <w:r w:rsidR="0093410C" w:rsidRPr="0029665F">
        <w:rPr>
          <w:sz w:val="24"/>
        </w:rPr>
        <w:t>presenting the history of racial conflict and division</w:t>
      </w:r>
      <w:r w:rsidR="00947FEB" w:rsidRPr="0029665F">
        <w:rPr>
          <w:sz w:val="24"/>
        </w:rPr>
        <w:t xml:space="preserve"> through a way to reconcile with the past</w:t>
      </w:r>
      <w:r w:rsidR="00CA4C73" w:rsidRPr="0029665F">
        <w:rPr>
          <w:sz w:val="24"/>
        </w:rPr>
        <w:t xml:space="preserve">. </w:t>
      </w:r>
    </w:p>
    <w:p w14:paraId="4718AE21" w14:textId="77777777" w:rsidR="00853FD5" w:rsidRDefault="00853FD5" w:rsidP="0026696F"/>
    <w:p w14:paraId="76048102" w14:textId="5190C67E" w:rsidR="00CB1CA3" w:rsidRDefault="00E05B9C" w:rsidP="0016567E">
      <w:r>
        <w:t>Word Count; 3</w:t>
      </w:r>
      <w:r w:rsidR="00433215">
        <w:t>84</w:t>
      </w:r>
      <w:r w:rsidR="0029665F">
        <w:t>3</w:t>
      </w:r>
    </w:p>
    <w:p w14:paraId="1B635063" w14:textId="4C0FAF8B" w:rsidR="00E05B9C" w:rsidRDefault="00E05B9C" w:rsidP="0016567E"/>
    <w:p w14:paraId="0AA008CC" w14:textId="1DBD04E4" w:rsidR="00E05B9C" w:rsidRPr="0029665F" w:rsidRDefault="00E05B9C" w:rsidP="0029665F">
      <w:pPr>
        <w:spacing w:line="360" w:lineRule="auto"/>
        <w:rPr>
          <w:sz w:val="24"/>
        </w:rPr>
      </w:pPr>
      <w:r w:rsidRPr="0029665F">
        <w:rPr>
          <w:sz w:val="24"/>
        </w:rPr>
        <w:lastRenderedPageBreak/>
        <w:t>Bibliography;</w:t>
      </w:r>
    </w:p>
    <w:p w14:paraId="777165A2" w14:textId="77777777" w:rsidR="00E05B9C" w:rsidRPr="0029665F" w:rsidRDefault="00E05B9C" w:rsidP="0029665F">
      <w:pPr>
        <w:spacing w:line="360" w:lineRule="auto"/>
        <w:rPr>
          <w:sz w:val="24"/>
        </w:rPr>
      </w:pPr>
    </w:p>
    <w:p w14:paraId="0C146531" w14:textId="77777777" w:rsidR="00385F90" w:rsidRPr="0029665F" w:rsidRDefault="00E05B9C" w:rsidP="0029665F">
      <w:pPr>
        <w:pStyle w:val="Bibliography"/>
        <w:spacing w:line="360" w:lineRule="auto"/>
        <w:rPr>
          <w:rFonts w:ascii="Calibri" w:hAnsi="Calibri" w:cs="Calibri"/>
          <w:sz w:val="24"/>
        </w:rPr>
      </w:pPr>
      <w:r w:rsidRPr="0029665F">
        <w:rPr>
          <w:sz w:val="24"/>
        </w:rPr>
        <w:fldChar w:fldCharType="begin"/>
      </w:r>
      <w:r w:rsidRPr="0029665F">
        <w:rPr>
          <w:sz w:val="24"/>
        </w:rPr>
        <w:instrText xml:space="preserve"> ADDIN ZOTERO_BIBL {"uncited":[],"omitted":[],"custom":[]} CSL_BIBLIOGRAPHY </w:instrText>
      </w:r>
      <w:r w:rsidRPr="0029665F">
        <w:rPr>
          <w:sz w:val="24"/>
        </w:rPr>
        <w:fldChar w:fldCharType="separate"/>
      </w:r>
      <w:r w:rsidR="00385F90" w:rsidRPr="0029665F">
        <w:rPr>
          <w:rFonts w:ascii="Calibri" w:hAnsi="Calibri" w:cs="Calibri"/>
          <w:sz w:val="24"/>
        </w:rPr>
        <w:t xml:space="preserve">Annette B. Fromm editor, Vivien Golding editor, and Per B. Rekdal editor, </w:t>
      </w:r>
      <w:r w:rsidR="00385F90" w:rsidRPr="0029665F">
        <w:rPr>
          <w:rFonts w:ascii="Calibri" w:hAnsi="Calibri" w:cs="Calibri"/>
          <w:i/>
          <w:iCs/>
          <w:sz w:val="24"/>
        </w:rPr>
        <w:t>Museums and Truth</w:t>
      </w:r>
      <w:r w:rsidR="00385F90" w:rsidRPr="0029665F">
        <w:rPr>
          <w:rFonts w:ascii="Calibri" w:hAnsi="Calibri" w:cs="Calibri"/>
          <w:sz w:val="24"/>
        </w:rPr>
        <w:t xml:space="preserve"> (Newcastle upon Tyne, UK: Cambridge Scholars Publishing, 2014)</w:t>
      </w:r>
    </w:p>
    <w:p w14:paraId="057AB5E9"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Bonnell, J., and R. Simon, ‘Difficult Exhibitions and Intimate Encounters’, </w:t>
      </w:r>
      <w:r w:rsidRPr="0029665F">
        <w:rPr>
          <w:rFonts w:ascii="Calibri" w:hAnsi="Calibri" w:cs="Calibri"/>
          <w:i/>
          <w:iCs/>
          <w:sz w:val="24"/>
        </w:rPr>
        <w:t>Museum and Society</w:t>
      </w:r>
      <w:r w:rsidRPr="0029665F">
        <w:rPr>
          <w:rFonts w:ascii="Calibri" w:hAnsi="Calibri" w:cs="Calibri"/>
          <w:sz w:val="24"/>
        </w:rPr>
        <w:t>, 5 (2007), 65–85</w:t>
      </w:r>
    </w:p>
    <w:p w14:paraId="4FA16C75"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Clark, Geoff, Interview with Geoff Clark, Chairman of the Framlingham Aboriginal Land Trust, 1993</w:t>
      </w:r>
    </w:p>
    <w:p w14:paraId="7ECAA2E9"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Clifford, James, </w:t>
      </w:r>
      <w:r w:rsidRPr="0029665F">
        <w:rPr>
          <w:rFonts w:ascii="Calibri" w:hAnsi="Calibri" w:cs="Calibri"/>
          <w:i/>
          <w:iCs/>
          <w:sz w:val="24"/>
        </w:rPr>
        <w:t>Routes: Travel and Translation in the Late Twentieth Century</w:t>
      </w:r>
      <w:r w:rsidRPr="0029665F">
        <w:rPr>
          <w:rFonts w:ascii="Calibri" w:hAnsi="Calibri" w:cs="Calibri"/>
          <w:sz w:val="24"/>
        </w:rPr>
        <w:t xml:space="preserve"> (Harvard University Press, 1997)</w:t>
      </w:r>
    </w:p>
    <w:p w14:paraId="3ED8BFC1"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‘Dealing with Difficult Heritage, Educating on History in South-East Europe | United Nations Educational, Scientific and Cultural Organization’ &lt;http://www.unesco.org/new/en/venice/about-this-office/single-view/news/dealing_with_difficult_heritage_educating_on_history_in_sou/&gt; [accessed 29 April 2018]</w:t>
      </w:r>
    </w:p>
    <w:p w14:paraId="1C411360"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‘Introduction to Indigenous Australia - Australian Museum’ &lt;https://australianmuseum.net.au/indigenous-australia-introduction&gt; [accessed 29 April 2018]</w:t>
      </w:r>
    </w:p>
    <w:p w14:paraId="07910F90"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Knell, Simon J., Suzanne Macleod, and Sheila E. R. Watson, </w:t>
      </w:r>
      <w:r w:rsidRPr="0029665F">
        <w:rPr>
          <w:rFonts w:ascii="Calibri" w:hAnsi="Calibri" w:cs="Calibri"/>
          <w:i/>
          <w:iCs/>
          <w:sz w:val="24"/>
        </w:rPr>
        <w:t>Museum Revolutions: How Museums Change and Are Changed</w:t>
      </w:r>
      <w:r w:rsidRPr="0029665F">
        <w:rPr>
          <w:rFonts w:ascii="Calibri" w:hAnsi="Calibri" w:cs="Calibri"/>
          <w:sz w:val="24"/>
        </w:rPr>
        <w:t xml:space="preserve"> (London ; New York: Routledge, 2007)</w:t>
      </w:r>
    </w:p>
    <w:p w14:paraId="630EB7F0"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Kreps, Christina F., </w:t>
      </w:r>
      <w:r w:rsidRPr="0029665F">
        <w:rPr>
          <w:rFonts w:ascii="Calibri" w:hAnsi="Calibri" w:cs="Calibri"/>
          <w:i/>
          <w:iCs/>
          <w:sz w:val="24"/>
        </w:rPr>
        <w:t>Liberating Culture: Cross-Cultural Perspectives on Museums, Curation, and Heritage Preservation</w:t>
      </w:r>
      <w:r w:rsidRPr="0029665F">
        <w:rPr>
          <w:rFonts w:ascii="Calibri" w:hAnsi="Calibri" w:cs="Calibri"/>
          <w:sz w:val="24"/>
        </w:rPr>
        <w:t>, Museum Meanings (London: Routledge, 2003)</w:t>
      </w:r>
    </w:p>
    <w:p w14:paraId="46B36DF8"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Langton, Marcia, ‘What Do We Mean by Wilderness?: Wilderness and Terra Nullius in Australian Art [Address to The Sydney Institute on 12 October 1995.]’, </w:t>
      </w:r>
      <w:r w:rsidRPr="0029665F">
        <w:rPr>
          <w:rFonts w:ascii="Calibri" w:hAnsi="Calibri" w:cs="Calibri"/>
          <w:i/>
          <w:iCs/>
          <w:sz w:val="24"/>
        </w:rPr>
        <w:t>Sydney Papers, The</w:t>
      </w:r>
      <w:r w:rsidRPr="0029665F">
        <w:rPr>
          <w:rFonts w:ascii="Calibri" w:hAnsi="Calibri" w:cs="Calibri"/>
          <w:sz w:val="24"/>
        </w:rPr>
        <w:t>, 8 (1996), 10</w:t>
      </w:r>
    </w:p>
    <w:p w14:paraId="6C8E9FA1"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Macdonald, Sharon, </w:t>
      </w:r>
      <w:r w:rsidRPr="0029665F">
        <w:rPr>
          <w:rFonts w:ascii="Calibri" w:hAnsi="Calibri" w:cs="Calibri"/>
          <w:i/>
          <w:iCs/>
          <w:sz w:val="24"/>
        </w:rPr>
        <w:t>Difficult Heritage: Negotiating the Nazi Past in Nuremberg and Beyond</w:t>
      </w:r>
      <w:r w:rsidRPr="0029665F">
        <w:rPr>
          <w:rFonts w:ascii="Calibri" w:hAnsi="Calibri" w:cs="Calibri"/>
          <w:sz w:val="24"/>
        </w:rPr>
        <w:t xml:space="preserve"> (Routledge, 2010)</w:t>
      </w:r>
    </w:p>
    <w:p w14:paraId="368EC9D7"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lastRenderedPageBreak/>
        <w:t xml:space="preserve">‘Massacre Map - Indigenous Stories about War and Invasion’, </w:t>
      </w:r>
      <w:r w:rsidRPr="0029665F">
        <w:rPr>
          <w:rFonts w:ascii="Calibri" w:hAnsi="Calibri" w:cs="Calibri"/>
          <w:i/>
          <w:iCs/>
          <w:sz w:val="24"/>
        </w:rPr>
        <w:t>Culture Victoria</w:t>
      </w:r>
      <w:r w:rsidRPr="0029665F">
        <w:rPr>
          <w:rFonts w:ascii="Calibri" w:hAnsi="Calibri" w:cs="Calibri"/>
          <w:sz w:val="24"/>
        </w:rPr>
        <w:t xml:space="preserve"> &lt;http://www.cv.vic.gov.au/stories/aboriginal-culture/indigenous-stories-about-war-and-invasion/massacre-map/&gt; [accessed 29 April 2018]</w:t>
      </w:r>
    </w:p>
    <w:p w14:paraId="1EE21BBE"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Nugent, Maria, </w:t>
      </w:r>
      <w:r w:rsidRPr="0029665F">
        <w:rPr>
          <w:rFonts w:ascii="Calibri" w:hAnsi="Calibri" w:cs="Calibri"/>
          <w:i/>
          <w:iCs/>
          <w:sz w:val="24"/>
        </w:rPr>
        <w:t>Botany Bay: Where Histories Meet</w:t>
      </w:r>
      <w:r w:rsidRPr="0029665F">
        <w:rPr>
          <w:rFonts w:ascii="Calibri" w:hAnsi="Calibri" w:cs="Calibri"/>
          <w:sz w:val="24"/>
        </w:rPr>
        <w:t xml:space="preserve"> (Allen &amp; Unwin, 2005)</w:t>
      </w:r>
    </w:p>
    <w:p w14:paraId="634F0B4F"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Porter, Libby, </w:t>
      </w:r>
      <w:r w:rsidRPr="0029665F">
        <w:rPr>
          <w:rFonts w:ascii="Calibri" w:hAnsi="Calibri" w:cs="Calibri"/>
          <w:i/>
          <w:iCs/>
          <w:sz w:val="24"/>
        </w:rPr>
        <w:t>Unlearning the Colonial Cultures of Planning</w:t>
      </w:r>
      <w:r w:rsidRPr="0029665F">
        <w:rPr>
          <w:rFonts w:ascii="Calibri" w:hAnsi="Calibri" w:cs="Calibri"/>
          <w:sz w:val="24"/>
        </w:rPr>
        <w:t xml:space="preserve"> (Routledge, 2016)</w:t>
      </w:r>
    </w:p>
    <w:p w14:paraId="6A71B3E2"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Simpson, Moira G., </w:t>
      </w:r>
      <w:r w:rsidRPr="0029665F">
        <w:rPr>
          <w:rFonts w:ascii="Calibri" w:hAnsi="Calibri" w:cs="Calibri"/>
          <w:i/>
          <w:iCs/>
          <w:sz w:val="24"/>
        </w:rPr>
        <w:t>Making Representations: Museums in the Post-Colonial Era</w:t>
      </w:r>
      <w:r w:rsidRPr="0029665F">
        <w:rPr>
          <w:rFonts w:ascii="Calibri" w:hAnsi="Calibri" w:cs="Calibri"/>
          <w:sz w:val="24"/>
        </w:rPr>
        <w:t>, The Heritage, Revised ed. (London: Routledge, 2001)</w:t>
      </w:r>
    </w:p>
    <w:p w14:paraId="270ECB4E"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Spark, Ceridwen, ‘Brambuk Living Cultural Centre: Indigenous Culture and the Production of Place’, </w:t>
      </w:r>
      <w:r w:rsidRPr="0029665F">
        <w:rPr>
          <w:rFonts w:ascii="Calibri" w:hAnsi="Calibri" w:cs="Calibri"/>
          <w:i/>
          <w:iCs/>
          <w:sz w:val="24"/>
        </w:rPr>
        <w:t>Tourist Studies</w:t>
      </w:r>
      <w:r w:rsidRPr="0029665F">
        <w:rPr>
          <w:rFonts w:ascii="Calibri" w:hAnsi="Calibri" w:cs="Calibri"/>
          <w:sz w:val="24"/>
        </w:rPr>
        <w:t>, 2 (2002), 23–42 &lt;https://doi.org/10.1177/1468797602002001095&gt;</w:t>
      </w:r>
    </w:p>
    <w:p w14:paraId="7D9A3FE1"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Thomas, Roie, </w:t>
      </w:r>
      <w:r w:rsidRPr="0029665F">
        <w:rPr>
          <w:rFonts w:ascii="Calibri" w:hAnsi="Calibri" w:cs="Calibri"/>
          <w:i/>
          <w:iCs/>
          <w:sz w:val="24"/>
        </w:rPr>
        <w:t>Bushmen in the Tourist Imaginary</w:t>
      </w:r>
      <w:r w:rsidRPr="0029665F">
        <w:rPr>
          <w:rFonts w:ascii="Calibri" w:hAnsi="Calibri" w:cs="Calibri"/>
          <w:sz w:val="24"/>
        </w:rPr>
        <w:t xml:space="preserve"> (Cambridge Scholars Publishing, 2016)</w:t>
      </w:r>
    </w:p>
    <w:p w14:paraId="2191A50F"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Timpson, Annis May, </w:t>
      </w:r>
      <w:r w:rsidRPr="0029665F">
        <w:rPr>
          <w:rFonts w:ascii="Calibri" w:hAnsi="Calibri" w:cs="Calibri"/>
          <w:i/>
          <w:iCs/>
          <w:sz w:val="24"/>
        </w:rPr>
        <w:t>First Nations, First Thoughts: The Impact of Indigenous Thought in Canada</w:t>
      </w:r>
      <w:r w:rsidRPr="0029665F">
        <w:rPr>
          <w:rFonts w:ascii="Calibri" w:hAnsi="Calibri" w:cs="Calibri"/>
          <w:sz w:val="24"/>
        </w:rPr>
        <w:t xml:space="preserve"> (UBC Press, 2010)</w:t>
      </w:r>
    </w:p>
    <w:p w14:paraId="6B75EFE9"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Tinning, Katrine, ‘The Ambivalent Potentiality of Vulnerability: Museum Pedagogy in Exhibitions on Difficult Matters and Its Ethical Implications’, 2017 &lt;http://portal.research.lu.se/ws/files/34452788/The_Ambivalent_Potentiality_of_Vulnerability._Katrine_TInning.pdf&gt; [accessed 29 April 2018]</w:t>
      </w:r>
    </w:p>
    <w:p w14:paraId="2681B814"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Walkowitz, Daniel, and Lisa Maya Knauer, </w:t>
      </w:r>
      <w:r w:rsidRPr="0029665F">
        <w:rPr>
          <w:rFonts w:ascii="Calibri" w:hAnsi="Calibri" w:cs="Calibri"/>
          <w:i/>
          <w:iCs/>
          <w:sz w:val="24"/>
        </w:rPr>
        <w:t>Contested Histories in Public Space: Memory, Race, and Nation</w:t>
      </w:r>
      <w:r w:rsidRPr="0029665F">
        <w:rPr>
          <w:rFonts w:ascii="Calibri" w:hAnsi="Calibri" w:cs="Calibri"/>
          <w:sz w:val="24"/>
        </w:rPr>
        <w:t xml:space="preserve"> (Duke University Press, 2008)</w:t>
      </w:r>
    </w:p>
    <w:p w14:paraId="597FA99C" w14:textId="77777777" w:rsidR="00385F90" w:rsidRPr="0029665F" w:rsidRDefault="00385F90" w:rsidP="0029665F">
      <w:pPr>
        <w:pStyle w:val="Bibliography"/>
        <w:spacing w:line="360" w:lineRule="auto"/>
        <w:rPr>
          <w:rFonts w:ascii="Calibri" w:hAnsi="Calibri" w:cs="Calibri"/>
          <w:sz w:val="24"/>
        </w:rPr>
      </w:pPr>
      <w:r w:rsidRPr="0029665F">
        <w:rPr>
          <w:rFonts w:ascii="Calibri" w:hAnsi="Calibri" w:cs="Calibri"/>
          <w:sz w:val="24"/>
        </w:rPr>
        <w:t xml:space="preserve">ZHU, YUNXIA, and FRANCESCA BARGIELA-CHIAPPINI, ‘Balancing Emic and Etic: Situated Learning and Ethnography of Communication in Cross-Cultural Management Education.’, </w:t>
      </w:r>
      <w:r w:rsidRPr="0029665F">
        <w:rPr>
          <w:rFonts w:ascii="Calibri" w:hAnsi="Calibri" w:cs="Calibri"/>
          <w:i/>
          <w:iCs/>
          <w:sz w:val="24"/>
        </w:rPr>
        <w:t>Academy of Management Learning &amp; Education</w:t>
      </w:r>
      <w:r w:rsidRPr="0029665F">
        <w:rPr>
          <w:rFonts w:ascii="Calibri" w:hAnsi="Calibri" w:cs="Calibri"/>
          <w:sz w:val="24"/>
        </w:rPr>
        <w:t>, 12 (2013), 380–396 &lt;https://doi.org/10.5465/amle.2012.0221&gt;</w:t>
      </w:r>
    </w:p>
    <w:p w14:paraId="2F2C11B1" w14:textId="119AB76B" w:rsidR="00E05B9C" w:rsidRPr="0029665F" w:rsidRDefault="00E05B9C" w:rsidP="0029665F">
      <w:pPr>
        <w:spacing w:line="360" w:lineRule="auto"/>
        <w:rPr>
          <w:sz w:val="24"/>
        </w:rPr>
      </w:pPr>
      <w:r w:rsidRPr="0029665F">
        <w:rPr>
          <w:sz w:val="24"/>
        </w:rPr>
        <w:fldChar w:fldCharType="end"/>
      </w:r>
    </w:p>
    <w:sectPr w:rsidR="00E05B9C" w:rsidRPr="0029665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775378" w14:textId="77777777" w:rsidR="00580521" w:rsidRDefault="00580521" w:rsidP="00D97812">
      <w:pPr>
        <w:spacing w:after="0" w:line="240" w:lineRule="auto"/>
      </w:pPr>
      <w:r>
        <w:separator/>
      </w:r>
    </w:p>
  </w:endnote>
  <w:endnote w:type="continuationSeparator" w:id="0">
    <w:p w14:paraId="2E5C31B7" w14:textId="77777777" w:rsidR="00580521" w:rsidRDefault="00580521" w:rsidP="00D97812">
      <w:pPr>
        <w:spacing w:after="0" w:line="240" w:lineRule="auto"/>
      </w:pPr>
      <w:r>
        <w:continuationSeparator/>
      </w:r>
    </w:p>
  </w:endnote>
  <w:endnote w:type="continuationNotice" w:id="1">
    <w:p w14:paraId="76FBF5FC" w14:textId="77777777" w:rsidR="00580521" w:rsidRDefault="005805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6ED0E" w14:textId="77777777" w:rsidR="00580521" w:rsidRDefault="00580521" w:rsidP="00D97812">
      <w:pPr>
        <w:spacing w:after="0" w:line="240" w:lineRule="auto"/>
      </w:pPr>
      <w:r>
        <w:separator/>
      </w:r>
    </w:p>
  </w:footnote>
  <w:footnote w:type="continuationSeparator" w:id="0">
    <w:p w14:paraId="0EC14C8D" w14:textId="77777777" w:rsidR="00580521" w:rsidRDefault="00580521" w:rsidP="00D97812">
      <w:pPr>
        <w:spacing w:after="0" w:line="240" w:lineRule="auto"/>
      </w:pPr>
      <w:r>
        <w:continuationSeparator/>
      </w:r>
    </w:p>
  </w:footnote>
  <w:footnote w:type="continuationNotice" w:id="1">
    <w:p w14:paraId="7E200E49" w14:textId="77777777" w:rsidR="00580521" w:rsidRDefault="00580521">
      <w:pPr>
        <w:spacing w:after="0" w:line="240" w:lineRule="auto"/>
      </w:pPr>
    </w:p>
  </w:footnote>
  <w:footnote w:id="2">
    <w:p w14:paraId="49D583A0" w14:textId="4E8FB79E" w:rsidR="00547232" w:rsidRDefault="00547232">
      <w:pPr>
        <w:pStyle w:val="FootnoteText"/>
      </w:pPr>
      <w:r>
        <w:rPr>
          <w:rStyle w:val="FootnoteReference"/>
        </w:rPr>
        <w:footnoteRef/>
      </w:r>
      <w:r>
        <w:t xml:space="preserve"> </w:t>
      </w:r>
      <w:r>
        <w:fldChar w:fldCharType="begin"/>
      </w:r>
      <w:r>
        <w:instrText xml:space="preserve"> ADDIN ZOTERO_ITEM CSL_CITATION {"citationID":"GC82jlKU","properties":{"formattedCitation":"\\uc0\\u8216{}Dealing with Difficult Heritage, Educating on History in South-East Europe | United Nations Educational, Scientific and Cultural Organization\\uc0\\u8217{} &lt;http://www.unesco.org/new/en/venice/about-this-office/single-view/news/dealing_with_difficult_heritage_educating_on_history_in_sou/&gt; [accessed 29 April 2018].","plainCitation":"‘Dealing with Difficult Heritage, Educating on History in South-East Europe | United Nations Educational, Scientific and Cultural Organization’ &lt;http://www.unesco.org/new/en/venice/about-this-office/single-view/news/dealing_with_difficult_heritage_educating_on_history_in_sou/&gt; [accessed 29 April 2018].","noteIndex":1},"citationItems":[{"id":329,"uris":["http://zotero.org/users/local/wNuioCXQ/items/HVLNZGEV"],"uri":["http://zotero.org/users/local/wNuioCXQ/items/HVLNZGEV"],"itemData":{"id":329,"type":"webpage","title":"Dealing with difficult heritage, educating on history in South-East Europe | United Nations Educational, Scientific and Cultural Organization","URL":"http://www.unesco.org/new/en/venice/about-this-office/single-view/news/dealing_with_difficult_heritage_educating_on_history_in_sou/","accessed":{"date-parts":[["2018",4,29]]}}}],"schema":"https://github.com/citation-style-language/schema/raw/master/csl-citation.json"} </w:instrText>
      </w:r>
      <w:r>
        <w:fldChar w:fldCharType="separate"/>
      </w:r>
      <w:r w:rsidRPr="00547232">
        <w:rPr>
          <w:rFonts w:ascii="Calibri" w:hAnsi="Calibri" w:cs="Calibri"/>
          <w:szCs w:val="24"/>
        </w:rPr>
        <w:t>‘Dealing with Difficult Heritage, Educating on History in South-East Europe | United Nations Educational, Scientific and Cultural Organization’ &lt;http://www.unesco.org/new/en/venice/about-this-office/single-view/news/dealing_with_difficult_heritage_educating_on_history_in_sou/&gt; [accessed 29 April 2018].</w:t>
      </w:r>
      <w:r>
        <w:fldChar w:fldCharType="end"/>
      </w:r>
    </w:p>
  </w:footnote>
  <w:footnote w:id="3">
    <w:p w14:paraId="629ED660" w14:textId="015B3814" w:rsidR="004D6315" w:rsidRDefault="004D6315">
      <w:pPr>
        <w:pStyle w:val="FootnoteText"/>
      </w:pPr>
      <w:r>
        <w:rPr>
          <w:rStyle w:val="FootnoteReference"/>
        </w:rPr>
        <w:footnoteRef/>
      </w:r>
      <w:r>
        <w:t xml:space="preserve"> </w:t>
      </w:r>
      <w:r>
        <w:fldChar w:fldCharType="begin"/>
      </w:r>
      <w:r>
        <w:instrText xml:space="preserve"> ADDIN ZOTERO_ITEM CSL_CITATION {"citationID":"v6SVYwI3","properties":{"formattedCitation":"Sharon Macdonald, {\\i{}Difficult Heritage: Negotiating the Nazi Past in Nuremberg and Beyond} (Routledge, 2010).","plainCitation":"Sharon Macdonald, Difficult Heritage: Negotiating the Nazi Past in Nuremberg and Beyond (Routledge, 2010).","noteIndex":2},"citationItems":[{"id":331,"uris":["http://zotero.org/users/local/wNuioCXQ/items/2CPTSJ6D"],"uri":["http://zotero.org/users/local/wNuioCXQ/items/2CPTSJ6D"],"itemData":{"id":331,"type":"book","title":"Difficult Heritage: Negotiating the Nazi Past in Nuremberg and Beyond","publisher":"Routledge","number-of-pages":"240","source":"Google Books","abstract":"How does a city and a nation deal with a legacy of perpetrating atrocity? How are contemporary identities negotiated and shaped in the face of concrete reminders of a past that most wish they did not have?  Difficult Heritage focuses on the case of Nuremberg – a city whose name is indelibly linked with Nazism – to explore these questions and their implications. Using an original in-depth research, using archival, interview and ethnographic sources, it provides not only fascinating new material and perspectives, but also more general original theorizing of the relationship between heritage, identity and material culture.  The book looks at how Nuremberg has dealt with its Nazi past post-1945. It focuses especially, but not exclusively, on the city’s architectural heritage, in particular, the former Nazi party rally grounds, on which the Nuremburg rallies were staged. The book draws on original sources, such as city council debates and interviews, to chart a lively picture of debate, action and inaction in relation to this site and significant others, in Nuremberg and elsewhere. In doing so, Difficult Heritage seeks to highlight changes over time in the ways in which the Nazi past has been dealt with in Germany, and the underlying cultural assumptions, motivations and sources of friction involved.  Whilst referencing wider debates and giving examples of what was happening elsewhere in Germany and beyond, Difficult Heritage provides a rich in-depth account of this most fascinating of cases. It also engages in comparative reflection on developments underway elsewhere in order to contextualize what was happening in Nuremberg and to show similarities to and differences from the ways in which other ‘difficult heritages’ have been dealt with elsewhere. By doing so, the author offers an informed perspective on ways of dealing with difficult heritage, today and in the future, discussing innovative museological, educational and artistic practice.","ISBN":"978-1-134-11106-0","note":"Google-Books-ID: aqd8AgAAQBAJ","shortTitle":"Difficult Heritage","language":"en","author":[{"family":"Macdonald","given":"Sharon"}],"issued":{"date-parts":[["2010",10,4]]}}}],"schema":"https://github.com/citation-style-language/schema/raw/master/csl-citation.json"} </w:instrText>
      </w:r>
      <w:r>
        <w:fldChar w:fldCharType="separate"/>
      </w:r>
      <w:r w:rsidRPr="004D6315">
        <w:rPr>
          <w:rFonts w:ascii="Calibri" w:hAnsi="Calibri" w:cs="Calibri"/>
          <w:szCs w:val="24"/>
        </w:rPr>
        <w:t xml:space="preserve">Sharon Macdonald, </w:t>
      </w:r>
      <w:r w:rsidRPr="004D6315">
        <w:rPr>
          <w:rFonts w:ascii="Calibri" w:hAnsi="Calibri" w:cs="Calibri"/>
          <w:i/>
          <w:iCs/>
          <w:szCs w:val="24"/>
        </w:rPr>
        <w:t>Difficult Heritage: Negotiating the Nazi Past in Nuremberg and Beyond</w:t>
      </w:r>
      <w:r w:rsidRPr="004D6315">
        <w:rPr>
          <w:rFonts w:ascii="Calibri" w:hAnsi="Calibri" w:cs="Calibri"/>
          <w:szCs w:val="24"/>
        </w:rPr>
        <w:t xml:space="preserve"> (Routledge, 2010).</w:t>
      </w:r>
      <w:r>
        <w:fldChar w:fldCharType="end"/>
      </w:r>
    </w:p>
  </w:footnote>
  <w:footnote w:id="4">
    <w:p w14:paraId="0435EBA3" w14:textId="4B846C4C" w:rsidR="00541BAD" w:rsidRDefault="00541BAD">
      <w:pPr>
        <w:pStyle w:val="FootnoteText"/>
      </w:pPr>
      <w:r>
        <w:rPr>
          <w:rStyle w:val="FootnoteReference"/>
        </w:rPr>
        <w:footnoteRef/>
      </w:r>
      <w:r>
        <w:t xml:space="preserve"> </w:t>
      </w:r>
      <w:r>
        <w:fldChar w:fldCharType="begin"/>
      </w:r>
      <w:r>
        <w:instrText xml:space="preserve"> ADDIN ZOTERO_ITEM CSL_CITATION {"citationID":"uElTFBl4","properties":{"formattedCitation":"Annette B. Fromm editor, Vivien Golding editor, and Per B. Rekdal editor, {\\i{}Museums and Truth} (Newcastle upon Tyne, UK: Cambridge Scholars Publishing, 2014).","plainCitation":"Annette B. Fromm editor, Vivien Golding editor, and Per B. Rekdal editor, Museums and Truth (Newcastle upon Tyne, UK: Cambridge Scholars Publishing, 2014).","noteIndex":3},"citationItems":[{"id":341,"uris":["http://zotero.org/users/local/wNuioCXQ/items/5UIXASZX"],"uri":["http://zotero.org/users/local/wNuioCXQ/items/5UIXASZX"],"itemData":{"id":341,"type":"book","title":"Museums and truth","publisher":"Cambridge Scholars Publishing","publisher-place":"Newcastle upon Tyne, UK","source":"librarycatalogue.uwtsd.ac.uk","event-place":"Newcastle upon Tyne, UK","ISBN":"978-1-4438-5449-8","call-number":"069 MUS","language":"eng","author":[{"literal":"Annette B. Fromm editor"},{"literal":"Vivien Golding editor"},{"literal":"Per B. Rekdal editor"}],"issued":{"date-parts":[["2014"]]}}}],"schema":"https://github.com/citation-style-language/schema/raw/master/csl-citation.json"} </w:instrText>
      </w:r>
      <w:r>
        <w:fldChar w:fldCharType="separate"/>
      </w:r>
      <w:r w:rsidRPr="00541BAD">
        <w:rPr>
          <w:rFonts w:ascii="Calibri" w:hAnsi="Calibri" w:cs="Calibri"/>
          <w:szCs w:val="24"/>
        </w:rPr>
        <w:t xml:space="preserve">Annette B. Fromm editor, Vivien Golding editor, and Per B. Rekdal editor, </w:t>
      </w:r>
      <w:r w:rsidRPr="00541BAD">
        <w:rPr>
          <w:rFonts w:ascii="Calibri" w:hAnsi="Calibri" w:cs="Calibri"/>
          <w:i/>
          <w:iCs/>
          <w:szCs w:val="24"/>
        </w:rPr>
        <w:t>Museums and Truth</w:t>
      </w:r>
      <w:r w:rsidRPr="00541BAD">
        <w:rPr>
          <w:rFonts w:ascii="Calibri" w:hAnsi="Calibri" w:cs="Calibri"/>
          <w:szCs w:val="24"/>
        </w:rPr>
        <w:t xml:space="preserve"> (Newcastle upon Tyne, UK: Cambridge Scholars Publishing, 2014).</w:t>
      </w:r>
      <w:r>
        <w:fldChar w:fldCharType="end"/>
      </w:r>
      <w:r w:rsidR="00ED30C7">
        <w:t>p.26</w:t>
      </w:r>
    </w:p>
  </w:footnote>
  <w:footnote w:id="5">
    <w:p w14:paraId="07B12275" w14:textId="16ABDEA7" w:rsidR="0065793C" w:rsidRDefault="0065793C">
      <w:pPr>
        <w:pStyle w:val="FootnoteText"/>
      </w:pPr>
      <w:r>
        <w:rPr>
          <w:rStyle w:val="FootnoteReference"/>
        </w:rPr>
        <w:footnoteRef/>
      </w:r>
      <w:r>
        <w:t xml:space="preserve"> </w:t>
      </w:r>
      <w:r>
        <w:fldChar w:fldCharType="begin"/>
      </w:r>
      <w:r w:rsidR="00541BAD">
        <w:instrText xml:space="preserve"> ADDIN ZOTERO_ITEM CSL_CITATION {"citationID":"DsaiOk2F","properties":{"formattedCitation":"Daniel Walkowitz and Lisa Maya Knauer, {\\i{}Contested Histories in Public Space: Memory, Race, and Nation} (Duke University Press, 2008).","plainCitation":"Daniel Walkowitz and Lisa Maya Knauer, Contested Histories in Public Space: Memory, Race, and Nation (Duke University Press, 2008).","noteIndex":4},"citationItems":[{"id":322,"uris":["http://zotero.org/users/local/wNuioCXQ/items/TZBXZ4E9"],"uri":["http://zotero.org/users/local/wNuioCXQ/items/TZBXZ4E9"],"itemData":{"id":322,"type":"book","title":"Contested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0064279B" w:rsidRPr="0064279B">
        <w:rPr>
          <w:rFonts w:ascii="Calibri" w:hAnsi="Calibri" w:cs="Calibri"/>
          <w:szCs w:val="24"/>
        </w:rPr>
        <w:t xml:space="preserve">Daniel Walkowitz and Lisa Maya Knauer, </w:t>
      </w:r>
      <w:r w:rsidR="0064279B" w:rsidRPr="0064279B">
        <w:rPr>
          <w:rFonts w:ascii="Calibri" w:hAnsi="Calibri" w:cs="Calibri"/>
          <w:i/>
          <w:iCs/>
          <w:szCs w:val="24"/>
        </w:rPr>
        <w:t>Contested Histories in Public Space: Memory, Race, and Nation</w:t>
      </w:r>
      <w:r w:rsidR="0064279B" w:rsidRPr="0064279B">
        <w:rPr>
          <w:rFonts w:ascii="Calibri" w:hAnsi="Calibri" w:cs="Calibri"/>
          <w:szCs w:val="24"/>
        </w:rPr>
        <w:t xml:space="preserve"> (Duke University Press, 2008).</w:t>
      </w:r>
      <w:r>
        <w:fldChar w:fldCharType="end"/>
      </w:r>
      <w:r w:rsidR="0064279B">
        <w:t>p.13</w:t>
      </w:r>
    </w:p>
  </w:footnote>
  <w:footnote w:id="6">
    <w:p w14:paraId="39C7BAE3" w14:textId="4D324A60" w:rsidR="00F54345" w:rsidRDefault="00F54345">
      <w:pPr>
        <w:pStyle w:val="FootnoteText"/>
      </w:pPr>
      <w:r>
        <w:rPr>
          <w:rStyle w:val="FootnoteReference"/>
        </w:rPr>
        <w:footnoteRef/>
      </w:r>
      <w:r>
        <w:t xml:space="preserve"> </w:t>
      </w:r>
      <w:r>
        <w:fldChar w:fldCharType="begin"/>
      </w:r>
      <w:r w:rsidR="00541BAD">
        <w:instrText xml:space="preserve"> ADDIN ZOTERO_ITEM CSL_CITATION {"citationID":"r9M1W8zL","properties":{"formattedCitation":"Walkowitz and Knauer.","plainCitation":"Walkowitz and Knauer.","noteIndex":5},"citationItems":[{"id":322,"uris":["http://zotero.org/users/local/wNuioCXQ/items/TZBXZ4E9"],"uri":["http://zotero.org/users/local/wNuioCXQ/items/TZBXZ4E9"],"itemData":{"id":322,"type":"book","title":"Contested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Pr="00F54345">
        <w:rPr>
          <w:rFonts w:ascii="Calibri" w:hAnsi="Calibri" w:cs="Calibri"/>
        </w:rPr>
        <w:t>Walkowitz and Knauer.</w:t>
      </w:r>
      <w:r>
        <w:fldChar w:fldCharType="end"/>
      </w:r>
    </w:p>
  </w:footnote>
  <w:footnote w:id="7">
    <w:p w14:paraId="5AB41A37" w14:textId="61CE2EE0" w:rsidR="0019774A" w:rsidRDefault="0019774A">
      <w:pPr>
        <w:pStyle w:val="FootnoteText"/>
      </w:pPr>
      <w:r>
        <w:rPr>
          <w:rStyle w:val="FootnoteReference"/>
        </w:rPr>
        <w:footnoteRef/>
      </w:r>
      <w:r>
        <w:t xml:space="preserve"> </w:t>
      </w:r>
      <w:r>
        <w:fldChar w:fldCharType="begin"/>
      </w:r>
      <w:r w:rsidR="00541BAD">
        <w:instrText xml:space="preserve"> ADDIN ZOTERO_ITEM CSL_CITATION {"citationID":"vuJxtZxk","properties":{"formattedCitation":"Walkowitz and Knauer.","plainCitation":"Walkowitz and Knauer.","noteIndex":6},"citationItems":[{"id":322,"uris":["http://zotero.org/users/local/wNuioCXQ/items/TZBXZ4E9"],"uri":["http://zotero.org/users/local/wNuioCXQ/items/TZBXZ4E9"],"itemData":{"id":322,"type":"book","title":"Contested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Pr="0019774A">
        <w:rPr>
          <w:rFonts w:ascii="Calibri" w:hAnsi="Calibri" w:cs="Calibri"/>
        </w:rPr>
        <w:t>Walkowitz and Knauer.</w:t>
      </w:r>
      <w:r>
        <w:fldChar w:fldCharType="end"/>
      </w:r>
    </w:p>
  </w:footnote>
  <w:footnote w:id="8">
    <w:p w14:paraId="3274371D" w14:textId="12C0F316" w:rsidR="00C7700D" w:rsidRDefault="00C7700D">
      <w:pPr>
        <w:pStyle w:val="FootnoteText"/>
      </w:pPr>
      <w:r>
        <w:rPr>
          <w:rStyle w:val="FootnoteReference"/>
        </w:rPr>
        <w:footnoteRef/>
      </w:r>
      <w:r>
        <w:t xml:space="preserve"> </w:t>
      </w:r>
      <w:r>
        <w:fldChar w:fldCharType="begin"/>
      </w:r>
      <w:r w:rsidR="00541BAD">
        <w:instrText xml:space="preserve"> ADDIN ZOTERO_ITEM CSL_CITATION {"citationID":"bFrrYLSQ","properties":{"formattedCitation":"Walkowitz and Knauer.","plainCitation":"Walkowitz and Knauer.","noteIndex":7},"citationItems":[{"id":322,"uris":["http://zotero.org/users/local/wNuioCXQ/items/TZBXZ4E9"],"uri":["http://zotero.org/users/local/wNuioCXQ/items/TZBXZ4E9"],"itemData":{"id":322,"type":"book","title":"Contested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Pr="00C7700D">
        <w:rPr>
          <w:rFonts w:ascii="Calibri" w:hAnsi="Calibri" w:cs="Calibri"/>
        </w:rPr>
        <w:t>Walkowitz and Knauer.</w:t>
      </w:r>
      <w:r>
        <w:fldChar w:fldCharType="end"/>
      </w:r>
      <w:r>
        <w:t>p.87</w:t>
      </w:r>
    </w:p>
  </w:footnote>
  <w:footnote w:id="9">
    <w:p w14:paraId="3C59E794" w14:textId="3F579CC3" w:rsidR="008F2634" w:rsidRDefault="008F2634">
      <w:pPr>
        <w:pStyle w:val="FootnoteText"/>
      </w:pPr>
      <w:r>
        <w:rPr>
          <w:rStyle w:val="FootnoteReference"/>
        </w:rPr>
        <w:footnoteRef/>
      </w:r>
      <w:r>
        <w:t xml:space="preserve"> </w:t>
      </w:r>
      <w:r>
        <w:fldChar w:fldCharType="begin"/>
      </w:r>
      <w:r w:rsidR="00541BAD">
        <w:instrText xml:space="preserve"> ADDIN ZOTERO_ITEM CSL_CITATION {"citationID":"gxxV5fB2","properties":{"formattedCitation":"Maria Nugent, {\\i{}Botany Bay: Where Histories Meet} (Allen &amp; Unwin, 2005).","plainCitation":"Maria Nugent, Botany Bay: Where Histories Meet (Allen &amp; Unwin, 2005).","noteIndex":8},"citationItems":[{"id":324,"uris":["http://zotero.org/users/local/wNuioCXQ/items/648QHLXA"],"uri":["http://zotero.org/users/local/wNuioCXQ/items/648QHLXA"],"itemData":{"id":324,"type":"book","title":"Botany Bay: Where histories meet","publisher":"Allen &amp; Unwin","number-of-pages":"273","abstract":"Botany Bay is renowned as the site of Captain Cook&amp;#39;s first landing on the east coast of New Holland in 1770, infamous as the place chosen by the British as a dumping ground for convicts, and celebrated as the birthplace of Australia. In this remarkable history, Maria Nugent takes her readers on a journey to find what lies behind, beneath and beyond these familiar associations. Drawing on stories, objects, images, memories and the landscape itself, she collects the threads of other pasts to weave a rich, compelling and often surprising account. Local meanings jostle with national mythologies, Aboriginal remembrance disturbs white forgetting, the natural environment struggles for survival amid the smokestacks. In the process, Botany Bay becomes a site for meditating on questions of history, myth, memory and politics in Australia.Botany Bay: where histories meet explores the role both Aboriginal and non-Aboriginal history-making plays in creating and sustaining local and national communities.","ISBN":"978-1-74115-488-7","shortTitle":"Botany Bay","language":"en","author":[{"family":"Nugent","given":"Maria"}],"issued":{"date-parts":[["2005",7,1]]}}}],"schema":"https://github.com/citation-style-language/schema/raw/master/csl-citation.json"} </w:instrText>
      </w:r>
      <w:r>
        <w:fldChar w:fldCharType="separate"/>
      </w:r>
      <w:r w:rsidRPr="008F2634">
        <w:rPr>
          <w:rFonts w:ascii="Calibri" w:hAnsi="Calibri" w:cs="Calibri"/>
          <w:szCs w:val="24"/>
        </w:rPr>
        <w:t xml:space="preserve">Maria Nugent, </w:t>
      </w:r>
      <w:r w:rsidRPr="008F2634">
        <w:rPr>
          <w:rFonts w:ascii="Calibri" w:hAnsi="Calibri" w:cs="Calibri"/>
          <w:i/>
          <w:iCs/>
          <w:szCs w:val="24"/>
        </w:rPr>
        <w:t>Botany Bay: Where Histories Meet</w:t>
      </w:r>
      <w:r w:rsidRPr="008F2634">
        <w:rPr>
          <w:rFonts w:ascii="Calibri" w:hAnsi="Calibri" w:cs="Calibri"/>
          <w:szCs w:val="24"/>
        </w:rPr>
        <w:t xml:space="preserve"> (Allen &amp; Unwin, 2005).</w:t>
      </w:r>
      <w:r>
        <w:fldChar w:fldCharType="end"/>
      </w:r>
    </w:p>
  </w:footnote>
  <w:footnote w:id="10">
    <w:p w14:paraId="59516D4B" w14:textId="77777777" w:rsidR="00FE3F40" w:rsidRDefault="00FE3F40" w:rsidP="00FE3F40">
      <w:pPr>
        <w:pStyle w:val="FootnoteText"/>
      </w:pPr>
      <w:r>
        <w:rPr>
          <w:rStyle w:val="FootnoteReference"/>
        </w:rPr>
        <w:footnoteRef/>
      </w:r>
      <w:r>
        <w:t xml:space="preserve"> </w:t>
      </w:r>
      <w:r>
        <w:fldChar w:fldCharType="begin"/>
      </w:r>
      <w:r>
        <w:instrText xml:space="preserve"> ADDIN ZOTERO_ITEM CSL_CITATION {"citationID":"IBD2lThx","properties":{"formattedCitation":"Ceridwen Spark, \\uc0\\u8216{}Brambuk Living Cultural Centre: Indigenous Culture and the Production of Place\\uc0\\u8217{}, {\\i{}Tourist Studies}, 2.1 (2002), 23\\uc0\\u8211{}42 &lt;https://doi.org/10.1177/1468797602002001095&gt;.","plainCitation":"Ceridwen Spark, ‘Brambuk Living Cultural Centre: Indigenous Culture and the Production of Place’, Tourist Studies, 2.1 (2002), 23–42 &lt;https://doi.org/10.1177/1468797602002001095&gt;.","noteIndex":16},"citationItems":[{"id":326,"uris":["http://zotero.org/users/local/wNuioCXQ/items/NPY875CQ"],"uri":["http://zotero.org/users/local/wNuioCXQ/items/NPY875CQ"],"itemData":{"id":326,"type":"article-journal","title":"Brambuk living cultural centre: Indigenous culture and the production of place","container-title":"Tourist Studies","page":"23-42","volume":"2","issue":"1","source":"SAGE Journals","abstract":"The article examines the production of tourist space in relation to Brambuk, an Aboriginal cultural centre in Victoria, Australia. In doing so, it draws on Tim Edensor’s discussion of heterogeneous and enclavic spaces, and the narratives of staff and visitors at the cultural centre. The article demonstrates the positive outcomes of heterogeneous space and the limitations of enclavic space for indigenous people seeking to represent themselves within the tourist domain. This exploration produces critical commentary about a range of subjects, including Aboriginal involvement in cultural tourism and visitor responses to Aboriginal cultural centres, both of which are underresearched fields of inquiry. In addition, the significance of indigenous ownership to the representation of Aboriginality in the tourist domain is noted.","DOI":"10.1177/1468797602002001095","ISSN":"1468-7976","shortTitle":"Brambuk living cultural centre","journalAbbreviation":"Tourist Studies","language":"en","author":[{"family":"Spark","given":"Ceridwen"}],"issued":{"date-parts":[["2002",4,1]]}}}],"schema":"https://github.com/citation-style-language/schema/raw/master/csl-citation.json"} </w:instrText>
      </w:r>
      <w:r>
        <w:fldChar w:fldCharType="separate"/>
      </w:r>
      <w:r w:rsidRPr="005D7498">
        <w:rPr>
          <w:rFonts w:ascii="Calibri" w:hAnsi="Calibri" w:cs="Calibri"/>
          <w:szCs w:val="24"/>
        </w:rPr>
        <w:t xml:space="preserve">Ceridwen Spark, ‘Brambuk Living Cultural Centre: Indigenous Culture and the Production of Place’, </w:t>
      </w:r>
      <w:r w:rsidRPr="005D7498">
        <w:rPr>
          <w:rFonts w:ascii="Calibri" w:hAnsi="Calibri" w:cs="Calibri"/>
          <w:i/>
          <w:iCs/>
          <w:szCs w:val="24"/>
        </w:rPr>
        <w:t>Tourist Studies</w:t>
      </w:r>
      <w:r w:rsidRPr="005D7498">
        <w:rPr>
          <w:rFonts w:ascii="Calibri" w:hAnsi="Calibri" w:cs="Calibri"/>
          <w:szCs w:val="24"/>
        </w:rPr>
        <w:t>, 2.1 (2002), 23–42 &lt;https://doi.org/10.1177/1468797602002001095&gt;.</w:t>
      </w:r>
      <w:r>
        <w:fldChar w:fldCharType="end"/>
      </w:r>
    </w:p>
  </w:footnote>
  <w:footnote w:id="11">
    <w:p w14:paraId="23DAB256" w14:textId="77777777" w:rsidR="00FE3F40" w:rsidRDefault="00FE3F40" w:rsidP="00FE3F40">
      <w:pPr>
        <w:pStyle w:val="FootnoteText"/>
      </w:pPr>
      <w:r>
        <w:rPr>
          <w:rStyle w:val="FootnoteReference"/>
        </w:rPr>
        <w:footnoteRef/>
      </w:r>
      <w:r>
        <w:t xml:space="preserve"> </w:t>
      </w:r>
      <w:r>
        <w:fldChar w:fldCharType="begin"/>
      </w:r>
      <w:r>
        <w:instrText xml:space="preserve"> ADDIN ZOTERO_ITEM CSL_CITATION {"citationID":"Xa32eRgY","properties":{"formattedCitation":"Spark.","plainCitation":"Spark.","noteIndex":17},"citationItems":[{"id":326,"uris":["http://zotero.org/users/local/wNuioCXQ/items/NPY875CQ"],"uri":["http://zotero.org/users/local/wNuioCXQ/items/NPY875CQ"],"itemData":{"id":326,"type":"article-journal","title":"Brambuk living cultural centre: Indigenous culture and the production of place","container-title":"Tourist Studies","page":"23-42","volume":"2","issue":"1","source":"SAGE Journals","abstract":"The article examines the production of tourist space in relation to Brambuk, an Aboriginal cultural centre in Victoria, Australia. In doing so, it draws on Tim Edensor’s discussion of heterogeneous and enclavic spaces, and the narratives of staff and visitors at the cultural centre. The article demonstrates the positive outcomes of heterogeneous space and the limitations of enclavic space for indigenous people seeking to represent themselves within the tourist domain. This exploration produces critical commentary about a range of subjects, including Aboriginal involvement in cultural tourism and visitor responses to Aboriginal cultural centres, both of which are underresearched fields of inquiry. In addition, the significance of indigenous ownership to the representation of Aboriginality in the tourist domain is noted.","DOI":"10.1177/1468797602002001095","ISSN":"1468-7976","shortTitle":"Brambuk living cultural centre","journalAbbreviation":"Tourist Studies","language":"en","author":[{"family":"Spark","given":"Ceridwen"}],"issued":{"date-parts":[["2002",4,1]]}}}],"schema":"https://github.com/citation-style-language/schema/raw/master/csl-citation.json"} </w:instrText>
      </w:r>
      <w:r>
        <w:fldChar w:fldCharType="separate"/>
      </w:r>
      <w:r w:rsidRPr="00EF0C48">
        <w:rPr>
          <w:rFonts w:ascii="Calibri" w:hAnsi="Calibri" w:cs="Calibri"/>
        </w:rPr>
        <w:t>Spark.</w:t>
      </w:r>
      <w:r>
        <w:fldChar w:fldCharType="end"/>
      </w:r>
      <w:r>
        <w:t>p.24</w:t>
      </w:r>
    </w:p>
  </w:footnote>
  <w:footnote w:id="12">
    <w:p w14:paraId="290E8C0B" w14:textId="77A82E41" w:rsidR="002D7511" w:rsidRDefault="002D7511">
      <w:pPr>
        <w:pStyle w:val="FootnoteText"/>
      </w:pPr>
      <w:r>
        <w:rPr>
          <w:rStyle w:val="FootnoteReference"/>
        </w:rPr>
        <w:footnoteRef/>
      </w:r>
      <w:r>
        <w:t xml:space="preserve"> </w:t>
      </w:r>
      <w:r>
        <w:fldChar w:fldCharType="begin"/>
      </w:r>
      <w:r>
        <w:instrText xml:space="preserve"> ADDIN ZOTERO_ITEM CSL_CITATION {"citationID":"fChSsbwO","properties":{"formattedCitation":"James Clifford, {\\i{}Routes: Travel and Translation in the Late Twentieth Century} (Harvard University Press, 1997).","plainCitation":"James Clifford, Routes: Travel and Translation in the Late Twentieth Century (Harvard University Press, 1997).","noteIndex":9},"citationItems":[{"id":350,"uris":["http://zotero.org/users/local/wNuioCXQ/items/SPUZ48R5"],"uri":["http://zotero.org/users/local/wNuioCXQ/items/SPUZ48R5"],"itemData":{"id":350,"type":"book","title":"Routes: Travel and Translation in the Late Twentieth Century","publisher":"Harvard University Press","number-of-pages":"424","source":"Google Books","abstract":"When culture makes itself at home in motion, where does an anthropologist stand? In a follow-up to The Predicament of Culture, one of the defining books for anthropology in the last decade, James Clifford takes the proper measure: a moving picture of a world that doesn't stand still, that reveals itself en route, in the airport lounge and the parking lot as much as in the marketplace and the museum.In this collage of essays, meditations, poems, and travel reports, Clifford takes travel and its difficult companion, translation, as openings into a complex modernity. He contemplates a world ever more connected yet not homogeneous, a global history proceeding from the fraught legacies of exploration, colonization, capitalist expansion, immigration, labor mobility, and tourism. Ranging from Highland New Guinea to northern California, from Vancouver to London, he probes current approaches to the interpretation and display of non-Western arts and cultures. Wherever people and things cross paths and where institutional forces work to discipline unruly encounters, Clifford's concern is with struggles to displace stereotypes, to recognize divergent histories, to sustain \"postcolonial\" and \"tribal\" identities in contexts of domination and globalization.Travel, diaspora, border crossing, self-location, the making of homes away from home: these are transcultural predicaments for the late twentieth century. The map that might account for them, the history of an entangled modernity, emerges here as an unfinished series of paths and negotiations, leading in many directions while returning again and again to the struggles and arts of cultural encounter, the impossible, inescapable tasks of translation.","ISBN":"978-0-674-77960-0","note":"Google-Books-ID: EDOVAT808fUC","shortTitle":"Routes","language":"en","author":[{"family":"Clifford","given":"James"}],"issued":{"date-parts":[["1997"]]}}}],"schema":"https://github.com/citation-style-language/schema/raw/master/csl-citation.json"} </w:instrText>
      </w:r>
      <w:r>
        <w:fldChar w:fldCharType="separate"/>
      </w:r>
      <w:r w:rsidRPr="002D7511">
        <w:rPr>
          <w:rFonts w:ascii="Calibri" w:hAnsi="Calibri" w:cs="Calibri"/>
          <w:szCs w:val="24"/>
        </w:rPr>
        <w:t xml:space="preserve">James Clifford, </w:t>
      </w:r>
      <w:r w:rsidRPr="002D7511">
        <w:rPr>
          <w:rFonts w:ascii="Calibri" w:hAnsi="Calibri" w:cs="Calibri"/>
          <w:i/>
          <w:iCs/>
          <w:szCs w:val="24"/>
        </w:rPr>
        <w:t>Routes: Travel and Translation in the Late Twentieth Century</w:t>
      </w:r>
      <w:r w:rsidRPr="002D7511">
        <w:rPr>
          <w:rFonts w:ascii="Calibri" w:hAnsi="Calibri" w:cs="Calibri"/>
          <w:szCs w:val="24"/>
        </w:rPr>
        <w:t xml:space="preserve"> (Harvard University Press, 1997).</w:t>
      </w:r>
      <w:r>
        <w:fldChar w:fldCharType="end"/>
      </w:r>
      <w:r>
        <w:t>p.192</w:t>
      </w:r>
    </w:p>
  </w:footnote>
  <w:footnote w:id="13">
    <w:p w14:paraId="5C2719E1" w14:textId="288CB9AE" w:rsidR="003A50B6" w:rsidRDefault="003A50B6">
      <w:pPr>
        <w:pStyle w:val="FootnoteText"/>
      </w:pPr>
      <w:r>
        <w:rPr>
          <w:rStyle w:val="FootnoteReference"/>
        </w:rPr>
        <w:footnoteRef/>
      </w:r>
      <w:r>
        <w:t xml:space="preserve"> </w:t>
      </w:r>
      <w:r>
        <w:fldChar w:fldCharType="begin"/>
      </w:r>
      <w:r>
        <w:instrText xml:space="preserve"> ADDIN ZOTERO_ITEM CSL_CITATION {"citationID":"WYAmSBEQ","properties":{"formattedCitation":"Katrine Tinning, \\uc0\\u8216{}The Ambivalent Potentiality of Vulnerability: Museum Pedagogy in Exhibitions on Difficult Matters and Its Ethical Implications\\uc0\\u8217{}, 2017 &lt;http://portal.research.lu.se/ws/files/34452788/The_Ambivalent_Potentiality_of_Vulnerability._Katrine_TInning.pdf&gt; [accessed 29 April 2018].","plainCitation":"Katrine Tinning, ‘The Ambivalent Potentiality of Vulnerability: Museum Pedagogy in Exhibitions on Difficult Matters and Its Ethical Implications’, 2017 &lt;http://portal.research.lu.se/ws/files/34452788/The_Ambivalent_Potentiality_of_Vulnerability._Katrine_TInning.pdf&gt; [accessed 29 April 2018].","noteIndex":10},"citationItems":[{"id":349,"uris":["http://zotero.org/users/local/wNuioCXQ/items/I3VUZKMQ"],"uri":["http://zotero.org/users/local/wNuioCXQ/items/I3VUZKMQ"],"itemData":{"id":349,"type":"thesis","title":"The Ambivalent Potentiality of Vulnerability: Museum Pedagogy in Exhibitions on Difficult Matters and its Ethical Implications","source":"librarycatalogue.uwtsd.ac.uk","abstract":"The aim of this dissertation is to critically investigate and problematize how museum exhibitions on Difficult Matters, like war and sexual violence, can be designed in order to contribute to teaching-learning relations between museum and visitor, which may transform existing perceptions of self, others, and the world and evoke a deepened sense of responsibility in the viewers, i.e. an ethical transformation.Based on a hermeneutic phenomenological approach the study takes three paths to shed light on the above. 1) Investigating literature on museum studies on New Museology and Difficult Matters on the basis of which the research maps out current problems of understanding the pedagogical and ethical potentials. 2) From conducting case studies of two specific exhibitions to make an in-depth examination of designing exhibitions on Difficult Matters and how these are related to contextual conditions. 3) Investigating pedagogical theoretical literature inspired by the philosopher Emmanuel Levinas and literature in feminist philosophy on ethics of vulnerability all closely linked to the case studies, the study develops a conceptual basis for understanding the practice of designing exhibitions on Difficult Matters. A main finding is that designing exhibitions on Difficult Matters is related to the condition of vulnerability and this demands a pedagogical perspective sensitive to the ethical implications of exhibition making. This is because evoking ethical transformation is conditioned by a teaching-learning relation, which inspires openness on the part of the visitor to an encounter with the other and her/his life-story as being different from existing perceptions - an openness which is defined by vulnerability. As a result, vulnerability is at the heart of exhibitions on Difficult Matters.The overall conclusion to be drawn from the study is that vulnerability is a key concept in museum pedagogy and that vulnerability is an ambivalent potentiality which must be addressed from a double perspective on vulnerability as being inherent to the human condition and dependent on the particular situation. Consequently, vulnerability calls for pedagogical considerations and ethical attention from museum professionals, when designing exhibitions on Difficult Matters.","URL":"http://portal.research.lu.se/ws/files/34452788/The_Ambivalent_Potentiality_of_Vulnerability._Katrine_TInning.pdf","shortTitle":"The Ambivalent Potentiality of Vulnerability","language":"eng","author":[{"family":"Tinning","given":"Katrine"}],"issued":{"date-parts":[["2017"]]},"accessed":{"date-parts":[["2018",4,29]]}}}],"schema":"https://github.com/citation-style-language/schema/raw/master/csl-citation.json"} </w:instrText>
      </w:r>
      <w:r>
        <w:fldChar w:fldCharType="separate"/>
      </w:r>
      <w:r w:rsidRPr="003A50B6">
        <w:rPr>
          <w:rFonts w:ascii="Calibri" w:hAnsi="Calibri" w:cs="Calibri"/>
          <w:szCs w:val="24"/>
        </w:rPr>
        <w:t>Katrine Tinning, ‘The Ambivalent Potentiality of Vulnerability: Museum Pedagogy in Exhibitions on Difficult Matters and Its Ethical Implications’, 2017 &lt;http://portal.research.lu.se/ws/files/34452788/The_Ambivalent_Potentiality_of_Vulnerability._Katrine_TInning.pdf&gt; [accessed 29 April 2018].</w:t>
      </w:r>
      <w:r>
        <w:fldChar w:fldCharType="end"/>
      </w:r>
      <w:r w:rsidR="00E47093">
        <w:t xml:space="preserve"> P.28</w:t>
      </w:r>
    </w:p>
  </w:footnote>
  <w:footnote w:id="14">
    <w:p w14:paraId="06524ED3" w14:textId="18557D65" w:rsidR="00B70843" w:rsidRDefault="00B70843">
      <w:pPr>
        <w:pStyle w:val="FootnoteText"/>
      </w:pPr>
      <w:r>
        <w:rPr>
          <w:rStyle w:val="FootnoteReference"/>
        </w:rPr>
        <w:footnoteRef/>
      </w:r>
      <w:r>
        <w:t xml:space="preserve"> </w:t>
      </w:r>
      <w:r>
        <w:fldChar w:fldCharType="begin"/>
      </w:r>
      <w:r>
        <w:instrText xml:space="preserve"> ADDIN ZOTERO_ITEM CSL_CITATION {"citationID":"1jYqcQIN","properties":{"formattedCitation":"Tinning.","plainCitation":"Tinning.","noteIndex":11},"citationItems":[{"id":349,"uris":["http://zotero.org/users/local/wNuioCXQ/items/I3VUZKMQ"],"uri":["http://zotero.org/users/local/wNuioCXQ/items/I3VUZKMQ"],"itemData":{"id":349,"type":"thesis","title":"The Ambivalent Potentiality of Vulnerability: Museum Pedagogy in Exhibitions on Difficult Matters and its Ethical Implications","source":"librarycatalogue.uwtsd.ac.uk","abstract":"The aim of this dissertation is to critically investigate and problematize how museum exhibitions on Difficult Matters, like war and sexual violence, can be designed in order to contribute to teaching-learning relations between museum and visitor, which may transform existing perceptions of self, others, and the world and evoke a deepened sense of responsibility in the viewers, i.e. an ethical transformation.Based on a hermeneutic phenomenological approach the study takes three paths to shed light on the above. 1) Investigating literature on museum studies on New Museology and Difficult Matters on the basis of which the research maps out current problems of understanding the pedagogical and ethical potentials. 2) From conducting case studies of two specific exhibitions to make an in-depth examination of designing exhibitions on Difficult Matters and how these are related to contextual conditions. 3) Investigating pedagogical theoretical literature inspired by the philosopher Emmanuel Levinas and literature in feminist philosophy on ethics of vulnerability all closely linked to the case studies, the study develops a conceptual basis for understanding the practice of designing exhibitions on Difficult Matters. A main finding is that designing exhibitions on Difficult Matters is related to the condition of vulnerability and this demands a pedagogical perspective sensitive to the ethical implications of exhibition making. This is because evoking ethical transformation is conditioned by a teaching-learning relation, which inspires openness on the part of the visitor to an encounter with the other and her/his life-story as being different from existing perceptions - an openness which is defined by vulnerability. As a result, vulnerability is at the heart of exhibitions on Difficult Matters.The overall conclusion to be drawn from the study is that vulnerability is a key concept in museum pedagogy and that vulnerability is an ambivalent potentiality which must be addressed from a double perspective on vulnerability as being inherent to the human condition and dependent on the particular situation. Consequently, vulnerability calls for pedagogical considerations and ethical attention from museum professionals, when designing exhibitions on Difficult Matters.","URL":"http://portal.research.lu.se/ws/files/34452788/The_Ambivalent_Potentiality_of_Vulnerability._Katrine_TInning.pdf","shortTitle":"The Ambivalent Potentiality of Vulnerability","language":"eng","author":[{"family":"Tinning","given":"Katrine"}],"issued":{"date-parts":[["2017"]]},"accessed":{"date-parts":[["2018",4,29]]}}}],"schema":"https://github.com/citation-style-language/schema/raw/master/csl-citation.json"} </w:instrText>
      </w:r>
      <w:r>
        <w:fldChar w:fldCharType="separate"/>
      </w:r>
      <w:r w:rsidRPr="00B70843">
        <w:rPr>
          <w:rFonts w:ascii="Calibri" w:hAnsi="Calibri" w:cs="Calibri"/>
        </w:rPr>
        <w:t>Tinning.</w:t>
      </w:r>
      <w:r>
        <w:fldChar w:fldCharType="end"/>
      </w:r>
      <w:r w:rsidR="00685403">
        <w:t>p.28</w:t>
      </w:r>
    </w:p>
  </w:footnote>
  <w:footnote w:id="15">
    <w:p w14:paraId="634AAB88" w14:textId="4BD059ED" w:rsidR="00D97812" w:rsidRDefault="00D97812">
      <w:pPr>
        <w:pStyle w:val="FootnoteText"/>
      </w:pPr>
      <w:r>
        <w:rPr>
          <w:rStyle w:val="FootnoteReference"/>
        </w:rPr>
        <w:footnoteRef/>
      </w:r>
      <w:r>
        <w:t xml:space="preserve"> </w:t>
      </w:r>
      <w:r>
        <w:fldChar w:fldCharType="begin"/>
      </w:r>
      <w:r w:rsidR="00B70843">
        <w:instrText xml:space="preserve"> ADDIN ZOTERO_ITEM CSL_CITATION {"citationID":"8sZP4d7s","properties":{"formattedCitation":"Moira G. Simpson, {\\i{}Making Representations: Museums in the Post-Colonial Era}, The Heritage, Revised ed. (London: Routledge, 2001).","plainCitation":"Moira G. Simpson, Making Representations: Museums in the Post-Colonial Era, The Heritage, Revised ed. (London: Routledge, 2001).","noteIndex":12},"citationItems":[{"id":320,"uris":["http://zotero.org/users/local/wNuioCXQ/items/9B98ZBV4"],"uri":["http://zotero.org/users/local/wNuioCXQ/items/9B98ZBV4"],"itemData":{"id":320,"type":"book","title":"Making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D97812">
        <w:rPr>
          <w:rFonts w:ascii="Calibri" w:hAnsi="Calibri" w:cs="Calibri"/>
          <w:szCs w:val="24"/>
        </w:rPr>
        <w:t xml:space="preserve">Moira G. Simpson, </w:t>
      </w:r>
      <w:r w:rsidRPr="00D97812">
        <w:rPr>
          <w:rFonts w:ascii="Calibri" w:hAnsi="Calibri" w:cs="Calibri"/>
          <w:i/>
          <w:iCs/>
          <w:szCs w:val="24"/>
        </w:rPr>
        <w:t>Making Representations: Museums in the Post-Colonial Era</w:t>
      </w:r>
      <w:r w:rsidRPr="00D97812">
        <w:rPr>
          <w:rFonts w:ascii="Calibri" w:hAnsi="Calibri" w:cs="Calibri"/>
          <w:szCs w:val="24"/>
        </w:rPr>
        <w:t>, The Heritage, Revised ed. (London: Routledge, 2001).</w:t>
      </w:r>
      <w:r>
        <w:fldChar w:fldCharType="end"/>
      </w:r>
      <w:r>
        <w:t>p.107</w:t>
      </w:r>
    </w:p>
  </w:footnote>
  <w:footnote w:id="16">
    <w:p w14:paraId="33FCC686" w14:textId="77F2A2E0" w:rsidR="00D97812" w:rsidRDefault="00D97812">
      <w:pPr>
        <w:pStyle w:val="FootnoteText"/>
      </w:pPr>
      <w:r>
        <w:rPr>
          <w:rStyle w:val="FootnoteReference"/>
        </w:rPr>
        <w:footnoteRef/>
      </w:r>
      <w:r>
        <w:t xml:space="preserve"> </w:t>
      </w:r>
      <w:r>
        <w:fldChar w:fldCharType="begin"/>
      </w:r>
      <w:r w:rsidR="00B70843">
        <w:instrText xml:space="preserve"> ADDIN ZOTERO_ITEM CSL_CITATION {"citationID":"IfHlbmdl","properties":{"formattedCitation":"Simpson.","plainCitation":"Simpson.","noteIndex":13},"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D97812">
        <w:rPr>
          <w:rFonts w:ascii="Calibri" w:hAnsi="Calibri" w:cs="Calibri"/>
        </w:rPr>
        <w:t>Simpson.</w:t>
      </w:r>
      <w:r>
        <w:fldChar w:fldCharType="end"/>
      </w:r>
      <w:r w:rsidR="00E33E86">
        <w:t>p.23</w:t>
      </w:r>
    </w:p>
  </w:footnote>
  <w:footnote w:id="17">
    <w:p w14:paraId="73E7676B" w14:textId="3205E3F7" w:rsidR="00D97812" w:rsidRDefault="00D97812">
      <w:pPr>
        <w:pStyle w:val="FootnoteText"/>
      </w:pPr>
      <w:r>
        <w:rPr>
          <w:rStyle w:val="FootnoteReference"/>
        </w:rPr>
        <w:footnoteRef/>
      </w:r>
      <w:r>
        <w:t xml:space="preserve"> </w:t>
      </w:r>
      <w:r>
        <w:fldChar w:fldCharType="begin"/>
      </w:r>
      <w:r w:rsidR="00385F90">
        <w:instrText xml:space="preserve"> ADDIN ZOTERO_ITEM CSL_CITATION {"citationID":"dOX8vZZ6","properties":{"formattedCitation":"Geoff Clark, Interview with Geoff Clark, Chairman of the Framlingham Aboriginal Land Trust, 1993.","plainCitation":"Geoff Clark, Interview with Geoff Clark, Chairman of the Framlingham Aboriginal Land Trust, 1993.","noteIndex":16},"citationItems":[{"id":321,"uris":["http://zotero.org/users/local/wNuioCXQ/items/Y25F9K9E"],"uri":["http://zotero.org/users/local/wNuioCXQ/items/Y25F9K9E"],"itemData":{"id":321,"type":"interview","title":"Interview with Geoff Clark, Chairman of the Framlingham Aboriginal Land Trust","author":[{"family":"Clark","given":"Geoff"}],"issued":{"date-parts":[["1993",7]]}}}],"schema":"https://github.com/citation-style-language/schema/raw/master/csl-citation.json"} </w:instrText>
      </w:r>
      <w:r>
        <w:fldChar w:fldCharType="separate"/>
      </w:r>
      <w:r w:rsidRPr="00D97812">
        <w:rPr>
          <w:rFonts w:ascii="Calibri" w:hAnsi="Calibri" w:cs="Calibri"/>
        </w:rPr>
        <w:t>Geoff Clark, Interview with Geoff Clark, Chairman of the Framlingham Aboriginal Land Trust, 1993.</w:t>
      </w:r>
      <w:r>
        <w:fldChar w:fldCharType="end"/>
      </w:r>
    </w:p>
  </w:footnote>
  <w:footnote w:id="18">
    <w:p w14:paraId="2FB6E9B5" w14:textId="6E9A307D" w:rsidR="008B2B31" w:rsidRDefault="008B2B31">
      <w:pPr>
        <w:pStyle w:val="FootnoteText"/>
      </w:pPr>
      <w:r>
        <w:rPr>
          <w:rStyle w:val="FootnoteReference"/>
        </w:rPr>
        <w:footnoteRef/>
      </w:r>
      <w:r>
        <w:t xml:space="preserve"> </w:t>
      </w:r>
      <w:r>
        <w:fldChar w:fldCharType="begin"/>
      </w:r>
      <w:r w:rsidR="00B70843">
        <w:instrText xml:space="preserve"> ADDIN ZOTERO_ITEM CSL_CITATION {"citationID":"UPQxR9fP","properties":{"formattedCitation":"Simpson.","plainCitation":"Simpson.","noteIndex":15},"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8B2B31">
        <w:rPr>
          <w:rFonts w:ascii="Calibri" w:hAnsi="Calibri" w:cs="Calibri"/>
        </w:rPr>
        <w:t>Simpson.</w:t>
      </w:r>
      <w:r>
        <w:fldChar w:fldCharType="end"/>
      </w:r>
      <w:r w:rsidR="007E4D4B">
        <w:t>p.128</w:t>
      </w:r>
    </w:p>
  </w:footnote>
  <w:footnote w:id="19">
    <w:p w14:paraId="2259A266" w14:textId="5D128D1C" w:rsidR="00912185" w:rsidRDefault="00912185">
      <w:pPr>
        <w:pStyle w:val="FootnoteText"/>
      </w:pPr>
      <w:r>
        <w:rPr>
          <w:rStyle w:val="FootnoteReference"/>
        </w:rPr>
        <w:footnoteRef/>
      </w:r>
      <w:r>
        <w:t xml:space="preserve"> </w:t>
      </w:r>
      <w:r>
        <w:fldChar w:fldCharType="begin"/>
      </w:r>
      <w:r w:rsidR="00B70843">
        <w:instrText xml:space="preserve"> ADDIN ZOTERO_ITEM CSL_CITATION {"citationID":"fcxNgto0","properties":{"formattedCitation":"Simpson.","plainCitation":"Simpson.","noteIndex":18},"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912185">
        <w:rPr>
          <w:rFonts w:ascii="Calibri" w:hAnsi="Calibri" w:cs="Calibri"/>
        </w:rPr>
        <w:t>Simpson.</w:t>
      </w:r>
      <w:r>
        <w:fldChar w:fldCharType="end"/>
      </w:r>
      <w:r>
        <w:t>p126</w:t>
      </w:r>
    </w:p>
  </w:footnote>
  <w:footnote w:id="20">
    <w:p w14:paraId="387C7B6E" w14:textId="29A257A8" w:rsidR="00D9266F" w:rsidRDefault="00D9266F">
      <w:pPr>
        <w:pStyle w:val="FootnoteText"/>
      </w:pPr>
      <w:r>
        <w:rPr>
          <w:rStyle w:val="FootnoteReference"/>
        </w:rPr>
        <w:footnoteRef/>
      </w:r>
      <w:r>
        <w:t xml:space="preserve"> </w:t>
      </w:r>
      <w:r>
        <w:fldChar w:fldCharType="begin"/>
      </w:r>
      <w:r w:rsidR="00B70843">
        <w:instrText xml:space="preserve"> ADDIN ZOTERO_ITEM CSL_CITATION {"citationID":"976rXPh8","properties":{"formattedCitation":"YUNXIA ZHU and FRANCESCA BARGIELA-CHIAPPINI, \\uc0\\u8216{}Balancing Emic and Etic: Situated Learning and Ethnography of Communication in Cross-Cultural Management Education.\\uc0\\u8217{}, {\\i{}Academy of Management Learning &amp; Education}, 12.3 (2013), 380\\uc0\\u8211{}396 &lt;https://doi.org/10.5465/amle.2012.0221&gt;; Simon J. Knell, Suzanne Macleod, and Sheila E. R. Watson, {\\i{}Museum Revolutions: How Museums Change and Are Changed} (London\\uc0\\u8239{}; New York: Routledge, 2007).","plainCitation":"YUNXIA ZHU and FRANCESCA BARGIELA-CHIAPPINI, ‘Balancing Emic and Etic: Situated Learning and Ethnography of Communication in Cross-Cultural Management Education.’, Academy of Management Learning &amp; Education, 12.3 (2013), 380–396 &lt;https://doi.org/10.5465/amle.2012.0221&gt;; Simon J. Knell, Suzanne Macleod, and Sheila E. R. Watson, Museum Revolutions: How Museums Change and Are Changed (London ; New York: Routledge, 2007).","noteIndex":19},"citationItems":[{"id":344,"uris":["http://zotero.org/users/local/wNuioCXQ/items/TNB2FI6C"],"uri":["http://zotero.org/users/local/wNuioCXQ/items/TNB2FI6C"],"itemData":{"id":344,"type":"article-journal","title":"Balancing Emic and Etic: Situated Learning and Ethnography of Communication in Cross-Cultural Management Education.","container-title":"Academy of Management Learning &amp; Education","page":"380–396","volume":"12","issue":"3","source":"librarycatalogue.uwtsd.ac.uk","abstract":"We interrogate current approaches to cross-cultural management teaching and learning, which have been criticized for delivering a curriculum modeled on \"cultural patterns.\" Such approaches could be described as etic or culture-general. We argue for re-centering cross-cultural management teaching and learning around a stronger emic or culturespecific component, balancing the current etic emphasis. This we call the \"situated cultural learning approach\" (SiCuLA), which focuses on the active role that the learner plays in the specific cultural contexts of learning. First, we propose to look at emic-etic as a continuum, as others have argued, rather than an opposition. Second, we reconceptualize cross-cultural management learning as situated learning and, third, we put forward ethnography of communication (EoC) as a learning epistemology that bridges the gap between situated learning and the classroom and workplace as learning contexts. More important, we propose a novel \"situated curriculum\" based on practical ideas to train students as culture learners. Last, we discuss some implications for developing an ethnography of communication-based curriculum for future cross-cultural management education","DOI":"10.5465/amle.2012.0221","ISSN":"1537-260X","shortTitle":"Balancing Emic and Etic","language":"eng","author":[{"family":"ZHU","given":"YUNXIA"},{"family":"BARGIELA-CHIAPPINI","given":"FRANCESCA"}],"issued":{"date-parts":[["2013",9,1]]}}},{"id":343,"uris":["http://zotero.org/users/local/wNuioCXQ/items/6XJF8WNL"],"uri":["http://zotero.org/users/local/wNuioCXQ/items/6XJF8WNL"],"itemData":{"id":343,"type":"book","title":"Museum revolutions: how museums change and are changed","publisher":"Routledge","publisher-place":"London ; New York","number-of-pages":"xxvi+385","source":"librarycatalogue.uwtsd.ac.uk","event-place":"London ; New York","abstract":"Establishing the paradigmatic museum : Georges Cuvier's cabinet d'anatomie compared in Paris / William Bullock : inventing a visual language of objects / Museums, fossils and the cultural revolution of science : mapping change in the politics of knowledge in early nineteenth-century Britain / Establishing the manifesto : art histories in the nineteenth-century museum / Economic logic versus enlightenment rationality : evolution of the museum-zoo-garden complex and the modern Indian city, 1843-1900 /","ISBN":"978-0-415-44466-8","call-number":"069 MUS","shortTitle":"Museum revolutions","language":"eng","author":[{"family":"Knell","given":"Simon J."},{"family":"Macleod","given":"Suzanne"},{"family":"Watson","given":"Sheila E. R."}],"issued":{"date-parts":[["2007"]]}}}],"schema":"https://github.com/citation-style-language/schema/raw/master/csl-citation.json"} </w:instrText>
      </w:r>
      <w:r>
        <w:fldChar w:fldCharType="separate"/>
      </w:r>
      <w:r w:rsidRPr="00D9266F">
        <w:rPr>
          <w:rFonts w:ascii="Calibri" w:hAnsi="Calibri" w:cs="Calibri"/>
          <w:szCs w:val="24"/>
        </w:rPr>
        <w:t xml:space="preserve">YUNXIA ZHU and FRANCESCA BARGIELA-CHIAPPINI, ‘Balancing Emic and Etic: Situated Learning and Ethnography of Communication in Cross-Cultural Management Education.’, </w:t>
      </w:r>
      <w:r w:rsidRPr="00D9266F">
        <w:rPr>
          <w:rFonts w:ascii="Calibri" w:hAnsi="Calibri" w:cs="Calibri"/>
          <w:i/>
          <w:iCs/>
          <w:szCs w:val="24"/>
        </w:rPr>
        <w:t>Academy of Management Learning &amp; Education</w:t>
      </w:r>
      <w:r w:rsidRPr="00D9266F">
        <w:rPr>
          <w:rFonts w:ascii="Calibri" w:hAnsi="Calibri" w:cs="Calibri"/>
          <w:szCs w:val="24"/>
        </w:rPr>
        <w:t xml:space="preserve">, 12.3 (2013), 380–396 &lt;https://doi.org/10.5465/amle.2012.0221&gt;; Simon J. Knell, Suzanne Macleod, and Sheila E. R. Watson, </w:t>
      </w:r>
      <w:r w:rsidRPr="00D9266F">
        <w:rPr>
          <w:rFonts w:ascii="Calibri" w:hAnsi="Calibri" w:cs="Calibri"/>
          <w:i/>
          <w:iCs/>
          <w:szCs w:val="24"/>
        </w:rPr>
        <w:t>Museum Revolutions: How Museums Change and Are Changed</w:t>
      </w:r>
      <w:r w:rsidRPr="00D9266F">
        <w:rPr>
          <w:rFonts w:ascii="Calibri" w:hAnsi="Calibri" w:cs="Calibri"/>
          <w:szCs w:val="24"/>
        </w:rPr>
        <w:t xml:space="preserve"> (London ; New York: Routledge, 2007).</w:t>
      </w:r>
      <w:r>
        <w:fldChar w:fldCharType="end"/>
      </w:r>
    </w:p>
  </w:footnote>
  <w:footnote w:id="21">
    <w:p w14:paraId="095DC562" w14:textId="1325B6B7" w:rsidR="00902004" w:rsidRDefault="00902004">
      <w:pPr>
        <w:pStyle w:val="FootnoteText"/>
      </w:pPr>
      <w:r>
        <w:rPr>
          <w:rStyle w:val="FootnoteReference"/>
        </w:rPr>
        <w:footnoteRef/>
      </w:r>
      <w:r>
        <w:t xml:space="preserve"> </w:t>
      </w:r>
      <w:r>
        <w:fldChar w:fldCharType="begin"/>
      </w:r>
      <w:r>
        <w:instrText xml:space="preserve"> ADDIN ZOTERO_ITEM CSL_CITATION {"citationID":"1rME5mKV","properties":{"formattedCitation":"Walkowitz and Knauer.","plainCitation":"Walkowitz and Knauer.","noteIndex":20},"citationItems":[{"id":322,"uris":["http://zotero.org/users/local/wNuioCXQ/items/TZBXZ4E9"],"uri":["http://zotero.org/users/local/wNuioCXQ/items/TZBXZ4E9"],"itemData":{"id":322,"type":"book","title":"Contested Histories in Public Space: Memory, Race, and Nation","publisher":"Duke University Press","number-of-pages":"376","abstract":"Contested Histories in Public Space brings multiple perspectives to bear on historical narratives presented to the public in museums, monuments, texts, and festivals around the world, from Paris to Kathmandu, from the Mexican state of Oaxaca to the waterfront of Wellington, New Zealand. Paying particular attention to how race and empire are implicated in the creation and display of national narratives, the contributing historians, anthropologists, and other scholars delve into representations of contested histories at such “sites” as a British Library exhibition on the East India Company, a Rio de Janeiro shantytown known as “the cradle of samba,” the Ellis Island immigration museum, and high-school history textbooks in Ecuador.Several contributors examine how the experiences of indigenous groups and the imperial past are incorporated into public histories in British Commonwealth nations: in Te Papa, New Zealand’s national museum; in the First Peoples’ Hall at the Canadian Museum of Civilization; and, more broadly, in late-twentieth-century Australian culture. Still others focus on the role of governments in mediating contested racialized histories: for example, the post-apartheid history of South Africa’s Voortrekker Monument, originally designed as a tribute to the Voortrekkers who colonized the country’s interior. Among several essays describing how national narratives have been challenged are pieces on a dispute over how to represent Nepali history and identity, on representations of Afrocuban religions in contemporary Cuba, and on the installation in the French Pantheon in Paris of a plaque honoring Louis Delgrès, a leader of Guadeloupean resistance to French colonialism.Contributors. Paul Amar, Paul Ashton, O. Hugo Benavides, Laurent Dubois, Richard Flores, Durba Ghosh, Albert Grundlingh, Paula Hamilton, Lisa Maya Knauer, Charlotte Macdonald, Mark Salber Phillips, Ruth B. Phillips, Deborah Poole, Anne M. Rademacher, Daniel J. Walkowitz","ISBN":"978-0-8223-9142-5","shortTitle":"Contested Histories in Public Space","language":"en","author":[{"family":"Walkowitz","given":"Daniel"},{"family":"Knauer","given":"Lisa Maya"}],"issued":{"date-parts":[["2008",12,26]]}}}],"schema":"https://github.com/citation-style-language/schema/raw/master/csl-citation.json"} </w:instrText>
      </w:r>
      <w:r>
        <w:fldChar w:fldCharType="separate"/>
      </w:r>
      <w:r w:rsidRPr="00902004">
        <w:rPr>
          <w:rFonts w:ascii="Calibri" w:hAnsi="Calibri" w:cs="Calibri"/>
        </w:rPr>
        <w:t>Walkowitz and Knauer.</w:t>
      </w:r>
      <w:r>
        <w:fldChar w:fldCharType="end"/>
      </w:r>
      <w:r w:rsidR="00C01F3C">
        <w:t>p.13</w:t>
      </w:r>
    </w:p>
  </w:footnote>
  <w:footnote w:id="22">
    <w:p w14:paraId="72AA04FB" w14:textId="6957394E" w:rsidR="000231E4" w:rsidRDefault="000231E4" w:rsidP="000231E4">
      <w:pPr>
        <w:pStyle w:val="FootnoteText"/>
      </w:pPr>
      <w:r>
        <w:rPr>
          <w:rStyle w:val="FootnoteReference"/>
        </w:rPr>
        <w:footnoteRef/>
      </w:r>
      <w:r>
        <w:t xml:space="preserve"> </w:t>
      </w:r>
      <w:r>
        <w:fldChar w:fldCharType="begin"/>
      </w:r>
      <w:r w:rsidR="00902004">
        <w:instrText xml:space="preserve"> ADDIN ZOTERO_ITEM CSL_CITATION {"citationID":"Ag9dgWLC","properties":{"formattedCitation":"Christina F. Kreps, {\\i{}Liberating Culture: Cross-Cultural Perspectives on Museums, Curation, and Heritage Preservation}, Museum Meanings (London: Routledge, 2003).","plainCitation":"Christina F. Kreps, Liberating Culture: Cross-Cultural Perspectives on Museums, Curation, and Heritage Preservation, Museum Meanings (London: Routledge, 2003).","noteIndex":21},"citationItems":[{"id":342,"uris":["http://zotero.org/users/local/wNuioCXQ/items/28EPPLER"],"uri":["http://zotero.org/users/local/wNuioCXQ/items/28EPPLER"],"itemData":{"id":342,"type":"book","title":"Liberating culture: cross-cultural perspectives on museums, curation, and heritage preservation","collection-title":"Museum meanings","publisher":"Routledge","publisher-place":"London","number-of-pages":"xvii+185","source":"librarycatalogue.uwtsd.ac.uk","event-place":"London","ISBN":"978-0-415-25025-2","call-number":"069 KRE","shortTitle":"Liberating culture","language":"eng","author":[{"family":"Kreps","given":"Christina F."}],"issued":{"date-parts":[["2003"]]}}}],"schema":"https://github.com/citation-style-language/schema/raw/master/csl-citation.json"} </w:instrText>
      </w:r>
      <w:r>
        <w:fldChar w:fldCharType="separate"/>
      </w:r>
      <w:r w:rsidRPr="007E1819">
        <w:rPr>
          <w:rFonts w:ascii="Calibri" w:hAnsi="Calibri" w:cs="Calibri"/>
          <w:szCs w:val="24"/>
        </w:rPr>
        <w:t xml:space="preserve">Christina F. Kreps, </w:t>
      </w:r>
      <w:r w:rsidRPr="007E1819">
        <w:rPr>
          <w:rFonts w:ascii="Calibri" w:hAnsi="Calibri" w:cs="Calibri"/>
          <w:i/>
          <w:iCs/>
          <w:szCs w:val="24"/>
        </w:rPr>
        <w:t>Liberating Culture: Cross-Cultural Perspectives on Museums, Curation, and Heritage Preservation</w:t>
      </w:r>
      <w:r w:rsidRPr="007E1819">
        <w:rPr>
          <w:rFonts w:ascii="Calibri" w:hAnsi="Calibri" w:cs="Calibri"/>
          <w:szCs w:val="24"/>
        </w:rPr>
        <w:t>, Museum Meanings (London: Routledge, 2003).</w:t>
      </w:r>
      <w:r>
        <w:fldChar w:fldCharType="end"/>
      </w:r>
      <w:r>
        <w:t>p.67</w:t>
      </w:r>
    </w:p>
  </w:footnote>
  <w:footnote w:id="23">
    <w:p w14:paraId="7F8DFF1A" w14:textId="3213C5E4" w:rsidR="000231E4" w:rsidRDefault="000231E4" w:rsidP="000231E4">
      <w:pPr>
        <w:pStyle w:val="FootnoteText"/>
      </w:pPr>
      <w:r>
        <w:rPr>
          <w:rStyle w:val="FootnoteReference"/>
        </w:rPr>
        <w:footnoteRef/>
      </w:r>
      <w:r>
        <w:t xml:space="preserve"> </w:t>
      </w:r>
      <w:r>
        <w:fldChar w:fldCharType="begin"/>
      </w:r>
      <w:r w:rsidR="00B70843">
        <w:instrText xml:space="preserve"> ADDIN ZOTERO_ITEM CSL_CITATION {"citationID":"sqen5HvF","properties":{"formattedCitation":"Simpson.","plainCitation":"Simpson.","noteIndex":21},"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1D4B0D">
        <w:rPr>
          <w:rFonts w:ascii="Calibri" w:hAnsi="Calibri" w:cs="Calibri"/>
        </w:rPr>
        <w:t>Simpson.</w:t>
      </w:r>
      <w:r>
        <w:fldChar w:fldCharType="end"/>
      </w:r>
      <w:r>
        <w:t xml:space="preserve"> p108</w:t>
      </w:r>
    </w:p>
  </w:footnote>
  <w:footnote w:id="24">
    <w:p w14:paraId="05807445" w14:textId="50AFCE4F" w:rsidR="000231E4" w:rsidRDefault="000231E4" w:rsidP="000231E4">
      <w:pPr>
        <w:pStyle w:val="FootnoteText"/>
      </w:pPr>
      <w:r>
        <w:rPr>
          <w:rStyle w:val="FootnoteReference"/>
        </w:rPr>
        <w:footnoteRef/>
      </w:r>
      <w:r>
        <w:t xml:space="preserve"> </w:t>
      </w:r>
      <w:r>
        <w:fldChar w:fldCharType="begin"/>
      </w:r>
      <w:r w:rsidR="00902004">
        <w:instrText xml:space="preserve"> ADDIN ZOTERO_ITEM CSL_CITATION {"citationID":"p9CuXzBN","properties":{"formattedCitation":"Kreps.","plainCitation":"Kreps.","noteIndex":23},"citationItems":[{"id":342,"uris":["http://zotero.org/users/local/wNuioCXQ/items/28EPPLER"],"uri":["http://zotero.org/users/local/wNuioCXQ/items/28EPPLER"],"itemData":{"id":342,"type":"book","title":"Liberating culture: cross-cultural perspectives on museums, curation, and heritage preservation","collection-title":"Museum meanings","publisher":"Routledge","publisher-place":"London","number-of-pages":"xvii+185","source":"librarycatalogue.uwtsd.ac.uk","event-place":"London","ISBN":"978-0-415-25025-2","call-number":"069 KRE","shortTitle":"Liberating culture","language":"eng","author":[{"family":"Kreps","given":"Christina F."}],"issued":{"date-parts":[["2003"]]}}}],"schema":"https://github.com/citation-style-language/schema/raw/master/csl-citation.json"} </w:instrText>
      </w:r>
      <w:r>
        <w:fldChar w:fldCharType="separate"/>
      </w:r>
      <w:r w:rsidRPr="004266D5">
        <w:rPr>
          <w:rFonts w:ascii="Calibri" w:hAnsi="Calibri" w:cs="Calibri"/>
        </w:rPr>
        <w:t>Kreps.</w:t>
      </w:r>
      <w:r>
        <w:fldChar w:fldCharType="end"/>
      </w:r>
      <w:r>
        <w:t>p.67</w:t>
      </w:r>
    </w:p>
  </w:footnote>
  <w:footnote w:id="25">
    <w:p w14:paraId="2BF93D3B" w14:textId="0DD72316" w:rsidR="000231E4" w:rsidRDefault="000231E4" w:rsidP="000231E4">
      <w:pPr>
        <w:pStyle w:val="FootnoteText"/>
      </w:pPr>
      <w:r>
        <w:rPr>
          <w:rStyle w:val="FootnoteReference"/>
        </w:rPr>
        <w:footnoteRef/>
      </w:r>
      <w:r>
        <w:t xml:space="preserve"> </w:t>
      </w:r>
      <w:r>
        <w:fldChar w:fldCharType="begin"/>
      </w:r>
      <w:r w:rsidR="00902004">
        <w:instrText xml:space="preserve"> ADDIN ZOTERO_ITEM CSL_CITATION {"citationID":"MEQhrAUv","properties":{"formattedCitation":"Kreps.","plainCitation":"Kreps.","noteIndex":24},"citationItems":[{"id":342,"uris":["http://zotero.org/users/local/wNuioCXQ/items/28EPPLER"],"uri":["http://zotero.org/users/local/wNuioCXQ/items/28EPPLER"],"itemData":{"id":342,"type":"book","title":"Liberating culture: cross-cultural perspectives on museums, curation, and heritage preservation","collection-title":"Museum meanings","publisher":"Routledge","publisher-place":"London","number-of-pages":"xvii+185","source":"librarycatalogue.uwtsd.ac.uk","event-place":"London","ISBN":"978-0-415-25025-2","call-number":"069 KRE","shortTitle":"Liberating culture","language":"eng","author":[{"family":"Kreps","given":"Christina F."}],"issued":{"date-parts":[["2003"]]}}}],"schema":"https://github.com/citation-style-language/schema/raw/master/csl-citation.json"} </w:instrText>
      </w:r>
      <w:r>
        <w:fldChar w:fldCharType="separate"/>
      </w:r>
      <w:r w:rsidRPr="009B3090">
        <w:rPr>
          <w:rFonts w:ascii="Calibri" w:hAnsi="Calibri" w:cs="Calibri"/>
        </w:rPr>
        <w:t>Kreps.</w:t>
      </w:r>
      <w:r>
        <w:fldChar w:fldCharType="end"/>
      </w:r>
      <w:r>
        <w:t>p.67</w:t>
      </w:r>
    </w:p>
  </w:footnote>
  <w:footnote w:id="26">
    <w:p w14:paraId="13AEC2D3" w14:textId="0A59253A" w:rsidR="000231E4" w:rsidRDefault="000231E4" w:rsidP="000231E4">
      <w:pPr>
        <w:pStyle w:val="FootnoteText"/>
      </w:pPr>
      <w:r>
        <w:rPr>
          <w:rStyle w:val="FootnoteReference"/>
        </w:rPr>
        <w:footnoteRef/>
      </w:r>
      <w:r>
        <w:t xml:space="preserve"> </w:t>
      </w:r>
      <w:r>
        <w:fldChar w:fldCharType="begin"/>
      </w:r>
      <w:r w:rsidR="00902004">
        <w:instrText xml:space="preserve"> ADDIN ZOTERO_ITEM CSL_CITATION {"citationID":"ul6jKDOJ","properties":{"formattedCitation":"Kreps.","plainCitation":"Kreps.","noteIndex":25},"citationItems":[{"id":342,"uris":["http://zotero.org/users/local/wNuioCXQ/items/28EPPLER"],"uri":["http://zotero.org/users/local/wNuioCXQ/items/28EPPLER"],"itemData":{"id":342,"type":"book","title":"Liberating culture: cross-cultural perspectives on museums, curation, and heritage preservation","collection-title":"Museum meanings","publisher":"Routledge","publisher-place":"London","number-of-pages":"xvii+185","source":"librarycatalogue.uwtsd.ac.uk","event-place":"London","ISBN":"978-0-415-25025-2","call-number":"069 KRE","shortTitle":"Liberating culture","language":"eng","author":[{"family":"Kreps","given":"Christina F."}],"issued":{"date-parts":[["2003"]]}}}],"schema":"https://github.com/citation-style-language/schema/raw/master/csl-citation.json"} </w:instrText>
      </w:r>
      <w:r>
        <w:fldChar w:fldCharType="separate"/>
      </w:r>
      <w:r w:rsidRPr="00891676">
        <w:rPr>
          <w:rFonts w:ascii="Calibri" w:hAnsi="Calibri" w:cs="Calibri"/>
        </w:rPr>
        <w:t>Kreps.</w:t>
      </w:r>
      <w:r>
        <w:fldChar w:fldCharType="end"/>
      </w:r>
      <w:r>
        <w:t>p.67</w:t>
      </w:r>
    </w:p>
  </w:footnote>
  <w:footnote w:id="27">
    <w:p w14:paraId="3274C995" w14:textId="31CAB5F0" w:rsidR="000231E4" w:rsidRDefault="000231E4" w:rsidP="000231E4">
      <w:pPr>
        <w:pStyle w:val="FootnoteText"/>
      </w:pPr>
      <w:r>
        <w:rPr>
          <w:rStyle w:val="FootnoteReference"/>
        </w:rPr>
        <w:footnoteRef/>
      </w:r>
      <w:r>
        <w:t xml:space="preserve"> </w:t>
      </w:r>
      <w:r>
        <w:fldChar w:fldCharType="begin"/>
      </w:r>
      <w:r w:rsidR="00B70843">
        <w:instrText xml:space="preserve"> ADDIN ZOTERO_ITEM CSL_CITATION {"citationID":"rFGCWE1z","properties":{"formattedCitation":"Simpson.","plainCitation":"Simpson.","noteIndex":25},"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FA19FF">
        <w:rPr>
          <w:rFonts w:ascii="Calibri" w:hAnsi="Calibri" w:cs="Calibri"/>
        </w:rPr>
        <w:t>Simpson.</w:t>
      </w:r>
      <w:r>
        <w:fldChar w:fldCharType="end"/>
      </w:r>
      <w:r>
        <w:t>p.113</w:t>
      </w:r>
    </w:p>
  </w:footnote>
  <w:footnote w:id="28">
    <w:p w14:paraId="1B709750" w14:textId="603EAE3D" w:rsidR="001B6FE4" w:rsidRDefault="001B6FE4" w:rsidP="001B6FE4">
      <w:pPr>
        <w:pStyle w:val="FootnoteText"/>
      </w:pPr>
      <w:r>
        <w:rPr>
          <w:rStyle w:val="FootnoteReference"/>
        </w:rPr>
        <w:footnoteRef/>
      </w:r>
      <w:r>
        <w:t xml:space="preserve"> </w:t>
      </w:r>
      <w:r>
        <w:fldChar w:fldCharType="begin"/>
      </w:r>
      <w:r w:rsidR="00B70843">
        <w:instrText xml:space="preserve"> ADDIN ZOTERO_ITEM CSL_CITATION {"citationID":"aeMsRamj","properties":{"formattedCitation":"Simpson.","plainCitation":"Simpson.","noteIndex":26},"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CD0288">
        <w:rPr>
          <w:rFonts w:ascii="Calibri" w:hAnsi="Calibri" w:cs="Calibri"/>
        </w:rPr>
        <w:t>Simpson.</w:t>
      </w:r>
      <w:r>
        <w:fldChar w:fldCharType="end"/>
      </w:r>
      <w:r>
        <w:t>p128</w:t>
      </w:r>
    </w:p>
  </w:footnote>
  <w:footnote w:id="29">
    <w:p w14:paraId="4969A6BD" w14:textId="4C3035D9" w:rsidR="001B6FE4" w:rsidRDefault="001B6FE4" w:rsidP="001B6FE4">
      <w:pPr>
        <w:pStyle w:val="FootnoteText"/>
      </w:pPr>
      <w:r>
        <w:rPr>
          <w:rStyle w:val="FootnoteReference"/>
        </w:rPr>
        <w:footnoteRef/>
      </w:r>
      <w:r>
        <w:t xml:space="preserve"> </w:t>
      </w:r>
      <w:r>
        <w:fldChar w:fldCharType="begin"/>
      </w:r>
      <w:r w:rsidR="00B70843">
        <w:instrText xml:space="preserve"> ADDIN ZOTERO_ITEM CSL_CITATION {"citationID":"Ud1lix0C","properties":{"formattedCitation":"Simpson.","plainCitation":"Simpson.","noteIndex":27},"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CD0288">
        <w:rPr>
          <w:rFonts w:ascii="Calibri" w:hAnsi="Calibri" w:cs="Calibri"/>
        </w:rPr>
        <w:t>Simpson.</w:t>
      </w:r>
      <w:r>
        <w:fldChar w:fldCharType="end"/>
      </w:r>
      <w:r>
        <w:t>p128</w:t>
      </w:r>
    </w:p>
  </w:footnote>
  <w:footnote w:id="30">
    <w:p w14:paraId="75C7AFC7" w14:textId="48BD0277" w:rsidR="001A0E29" w:rsidRDefault="001A0E29">
      <w:pPr>
        <w:pStyle w:val="FootnoteText"/>
      </w:pPr>
      <w:r>
        <w:rPr>
          <w:rStyle w:val="FootnoteReference"/>
        </w:rPr>
        <w:footnoteRef/>
      </w:r>
      <w:r>
        <w:t xml:space="preserve"> </w:t>
      </w:r>
      <w:r>
        <w:fldChar w:fldCharType="begin"/>
      </w:r>
      <w:r w:rsidR="00902004">
        <w:instrText xml:space="preserve"> ADDIN ZOTERO_ITEM CSL_CITATION {"citationID":"dVHgsVHY","properties":{"formattedCitation":"\\uc0\\u8216{}Introduction to Indigenous Australia - Australian Museum\\uc0\\u8217{} &lt;https://australianmuseum.net.au/indigenous-australia-introduction&gt; [accessed 29 April 2018].","plainCitation":"‘Introduction to Indigenous Australia - Australian Museum’ &lt;https://australianmuseum.net.au/indigenous-australia-introduction&gt; [accessed 29 April 2018].","noteIndex":29},"citationItems":[{"id":333,"uris":["http://zotero.org/users/local/wNuioCXQ/items/T25XEE6H"],"uri":["http://zotero.org/users/local/wNuioCXQ/items/T25XEE6H"],"itemData":{"id":333,"type":"webpage","title":"Introduction to Indigenous Australia - Australian Museum","URL":"https://australianmuseum.net.au/indigenous-australia-introduction","accessed":{"date-parts":[["2018",4,29]]}}}],"schema":"https://github.com/citation-style-language/schema/raw/master/csl-citation.json"} </w:instrText>
      </w:r>
      <w:r>
        <w:fldChar w:fldCharType="separate"/>
      </w:r>
      <w:r w:rsidRPr="001A0E29">
        <w:rPr>
          <w:rFonts w:ascii="Calibri" w:hAnsi="Calibri" w:cs="Calibri"/>
          <w:szCs w:val="24"/>
        </w:rPr>
        <w:t>‘Introduction to Indigenous Australia - Australian Museum’ &lt;https://australianmuseum.net.au/indigenous-australia-introduction&gt; [accessed 29 April 2018].</w:t>
      </w:r>
      <w:r>
        <w:fldChar w:fldCharType="end"/>
      </w:r>
    </w:p>
  </w:footnote>
  <w:footnote w:id="31">
    <w:p w14:paraId="157E120F" w14:textId="35A5949D" w:rsidR="00385F90" w:rsidRDefault="00385F90">
      <w:pPr>
        <w:pStyle w:val="FootnoteText"/>
      </w:pPr>
      <w:r>
        <w:rPr>
          <w:rStyle w:val="FootnoteReference"/>
        </w:rPr>
        <w:footnoteRef/>
      </w:r>
      <w:r>
        <w:t xml:space="preserve"> </w:t>
      </w:r>
      <w:r>
        <w:fldChar w:fldCharType="begin"/>
      </w:r>
      <w:r>
        <w:instrText xml:space="preserve"> ADDIN ZOTERO_ITEM CSL_CITATION {"citationID":"mU2Aewt5","properties":{"formattedCitation":"Simpson.","plainCitation":"Simpson.","noteIndex":30},"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385F90">
        <w:rPr>
          <w:rFonts w:ascii="Calibri" w:hAnsi="Calibri" w:cs="Calibri"/>
        </w:rPr>
        <w:t>Simpson.</w:t>
      </w:r>
      <w:r>
        <w:fldChar w:fldCharType="end"/>
      </w:r>
      <w:r w:rsidR="00015C3D">
        <w:t>p.282</w:t>
      </w:r>
    </w:p>
  </w:footnote>
  <w:footnote w:id="32">
    <w:p w14:paraId="3E3B3E01" w14:textId="39FC2046" w:rsidR="00A64674" w:rsidRDefault="00A64674">
      <w:pPr>
        <w:pStyle w:val="FootnoteText"/>
      </w:pPr>
      <w:r>
        <w:rPr>
          <w:rStyle w:val="FootnoteReference"/>
        </w:rPr>
        <w:footnoteRef/>
      </w:r>
      <w:r>
        <w:t xml:space="preserve"> </w:t>
      </w:r>
      <w:r>
        <w:fldChar w:fldCharType="begin"/>
      </w:r>
      <w:r w:rsidR="00385F90">
        <w:instrText xml:space="preserve"> ADDIN ZOTERO_ITEM CSL_CITATION {"citationID":"wvLNioQq","properties":{"formattedCitation":"Simpson.","plainCitation":"Simpson.","noteIndex":31},"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A64674">
        <w:rPr>
          <w:rFonts w:ascii="Calibri" w:hAnsi="Calibri" w:cs="Calibri"/>
        </w:rPr>
        <w:t>Simpson.</w:t>
      </w:r>
      <w:r>
        <w:fldChar w:fldCharType="end"/>
      </w:r>
      <w:r>
        <w:t>p.283</w:t>
      </w:r>
    </w:p>
  </w:footnote>
  <w:footnote w:id="33">
    <w:p w14:paraId="05C92409" w14:textId="0A600CF1" w:rsidR="0025305F" w:rsidRDefault="0025305F">
      <w:pPr>
        <w:pStyle w:val="FootnoteText"/>
      </w:pPr>
      <w:r>
        <w:rPr>
          <w:rStyle w:val="FootnoteReference"/>
        </w:rPr>
        <w:footnoteRef/>
      </w:r>
      <w:r>
        <w:t xml:space="preserve"> </w:t>
      </w:r>
      <w:r>
        <w:fldChar w:fldCharType="begin"/>
      </w:r>
      <w:r w:rsidR="00B70843">
        <w:instrText xml:space="preserve"> ADDIN ZOTERO_ITEM CSL_CITATION {"citationID":"DnV4nxGg","properties":{"formattedCitation":"Simpson.","plainCitation":"Simpson.","noteIndex":30},"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25305F">
        <w:rPr>
          <w:rFonts w:ascii="Calibri" w:hAnsi="Calibri" w:cs="Calibri"/>
        </w:rPr>
        <w:t>Simpson.</w:t>
      </w:r>
      <w:r>
        <w:fldChar w:fldCharType="end"/>
      </w:r>
      <w:r w:rsidR="001760D4">
        <w:t>p.284</w:t>
      </w:r>
    </w:p>
  </w:footnote>
  <w:footnote w:id="34">
    <w:p w14:paraId="28717E65" w14:textId="0D7C48FD" w:rsidR="007A19E4" w:rsidRDefault="007A19E4">
      <w:pPr>
        <w:pStyle w:val="FootnoteText"/>
      </w:pPr>
      <w:r>
        <w:rPr>
          <w:rStyle w:val="FootnoteReference"/>
        </w:rPr>
        <w:footnoteRef/>
      </w:r>
      <w:r>
        <w:t xml:space="preserve"> </w:t>
      </w:r>
      <w:r>
        <w:fldChar w:fldCharType="begin"/>
      </w:r>
      <w:r w:rsidR="00385F90">
        <w:instrText xml:space="preserve"> ADDIN ZOTERO_ITEM CSL_CITATION {"citationID":"IAaOH751","properties":{"formattedCitation":"Annis May Timpson, {\\i{}First Nations, First Thoughts: The Impact of Indigenous Thought in Canada} (UBC Press, 2010).","plainCitation":"Annis May Timpson, First Nations, First Thoughts: The Impact of Indigenous Thought in Canada (UBC Press, 2010).","noteIndex":33},"citationItems":[{"id":355,"uris":["http://zotero.org/users/local/wNuioCXQ/items/3T5QQ69B"],"uri":["http://zotero.org/users/local/wNuioCXQ/items/3T5QQ69B"],"itemData":{"id":355,"type":"book","title":"First Nations, First Thoughts: The Impact of Indigenous Thought in Canada","publisher":"UBC Press","number-of-pages":"337","source":"Google Books","abstract":"Countless books and articles have traced the impact of colonialism and public policy on Canada's First Nations, but few have explored the impact of Aboriginal thought on public discourse and policy development in Canada. First Nations, First Thoughts brings together Aboriginal and non-Aboriginal scholars who cut through the prevailing orthodoxy to reveal Indigenous thinkers and activists as a pervasive presence in diverse political, constitutional, and cultural debates and arenas, including urban spaces, historical texts, public policy, and cultural heritage preservation. This innovative, thought-provoking collection contributes to the decolonization process by encouraging us to imagine a stronger, fairer Canada in which Aboriginal self-government and expression can be fully realized.","ISBN":"978-0-7748-5881-6","note":"Google-Books-ID: 0V9yjh6RYHoC","shortTitle":"First Nations, First Thoughts","language":"en","author":[{"family":"Timpson","given":"Annis May"}],"issued":{"date-parts":[["2010",1,1]]}}}],"schema":"https://github.com/citation-style-language/schema/raw/master/csl-citation.json"} </w:instrText>
      </w:r>
      <w:r>
        <w:fldChar w:fldCharType="separate"/>
      </w:r>
      <w:r w:rsidRPr="007A19E4">
        <w:rPr>
          <w:rFonts w:ascii="Calibri" w:hAnsi="Calibri" w:cs="Calibri"/>
          <w:szCs w:val="24"/>
        </w:rPr>
        <w:t xml:space="preserve">Annis May Timpson, </w:t>
      </w:r>
      <w:r w:rsidRPr="007A19E4">
        <w:rPr>
          <w:rFonts w:ascii="Calibri" w:hAnsi="Calibri" w:cs="Calibri"/>
          <w:i/>
          <w:iCs/>
          <w:szCs w:val="24"/>
        </w:rPr>
        <w:t>First Nations, First Thoughts: The Impact of Indigenous Thought in Canada</w:t>
      </w:r>
      <w:r w:rsidRPr="007A19E4">
        <w:rPr>
          <w:rFonts w:ascii="Calibri" w:hAnsi="Calibri" w:cs="Calibri"/>
          <w:szCs w:val="24"/>
        </w:rPr>
        <w:t xml:space="preserve"> (UBC Press, 2010).</w:t>
      </w:r>
      <w:r>
        <w:fldChar w:fldCharType="end"/>
      </w:r>
      <w:r w:rsidR="00967832">
        <w:t xml:space="preserve"> P.148</w:t>
      </w:r>
    </w:p>
  </w:footnote>
  <w:footnote w:id="35">
    <w:p w14:paraId="602BE70C" w14:textId="57375CE1" w:rsidR="00BE342C" w:rsidRDefault="00BE342C">
      <w:pPr>
        <w:pStyle w:val="FootnoteText"/>
      </w:pPr>
      <w:r>
        <w:rPr>
          <w:rStyle w:val="FootnoteReference"/>
        </w:rPr>
        <w:footnoteRef/>
      </w:r>
      <w:r>
        <w:t xml:space="preserve"> </w:t>
      </w:r>
      <w:r>
        <w:fldChar w:fldCharType="begin"/>
      </w:r>
      <w:r w:rsidR="00385F90">
        <w:instrText xml:space="preserve"> ADDIN ZOTERO_ITEM CSL_CITATION {"citationID":"HUJWdhXp","properties":{"formattedCitation":"Knell, Macleod, and Watson.","plainCitation":"Knell, Macleod, and Watson.","noteIndex":34},"citationItems":[{"id":343,"uris":["http://zotero.org/users/local/wNuioCXQ/items/6XJF8WNL"],"uri":["http://zotero.org/users/local/wNuioCXQ/items/6XJF8WNL"],"itemData":{"id":343,"type":"book","title":"Museum revolutions: how museums change and are changed","publisher":"Routledge","publisher-place":"London ; New York","number-of-pages":"xxvi+385","source":"librarycatalogue.uwtsd.ac.uk","event-place":"London ; New York","abstract":"Establishing the paradigmatic museum : Georges Cuvier's cabinet d'anatomie compared in Paris / William Bullock : inventing a visual language of objects / Museums, fossils and the cultural revolution of science : mapping change in the politics of knowledge in early nineteenth-century Britain / Establishing the manifesto : art histories in the nineteenth-century museum / Economic logic versus enlightenment rationality : evolution of the museum-zoo-garden complex and the modern Indian city, 1843-1900 /","ISBN":"978-0-415-44466-8","call-number":"069 MUS","shortTitle":"Museum revolutions","language":"eng","author":[{"family":"Knell","given":"Simon J."},{"family":"Macleod","given":"Suzanne"},{"family":"Watson","given":"Sheila E. R."}],"issued":{"date-parts":[["2007"]]}}}],"schema":"https://github.com/citation-style-language/schema/raw/master/csl-citation.json"} </w:instrText>
      </w:r>
      <w:r>
        <w:fldChar w:fldCharType="separate"/>
      </w:r>
      <w:r w:rsidR="00D9266F" w:rsidRPr="00D9266F">
        <w:rPr>
          <w:rFonts w:ascii="Calibri" w:hAnsi="Calibri" w:cs="Calibri"/>
        </w:rPr>
        <w:t>Knell, Macleod, and Watson.</w:t>
      </w:r>
      <w:r>
        <w:fldChar w:fldCharType="end"/>
      </w:r>
      <w:r>
        <w:t>p.240</w:t>
      </w:r>
    </w:p>
  </w:footnote>
  <w:footnote w:id="36">
    <w:p w14:paraId="1088316C" w14:textId="36774B88" w:rsidR="003240B9" w:rsidRDefault="003240B9">
      <w:pPr>
        <w:pStyle w:val="FootnoteText"/>
      </w:pPr>
      <w:r>
        <w:rPr>
          <w:rStyle w:val="FootnoteReference"/>
        </w:rPr>
        <w:footnoteRef/>
      </w:r>
      <w:r>
        <w:t xml:space="preserve"> </w:t>
      </w:r>
      <w:r>
        <w:fldChar w:fldCharType="begin"/>
      </w:r>
      <w:r w:rsidR="00385F90">
        <w:instrText xml:space="preserve"> ADDIN ZOTERO_ITEM CSL_CITATION {"citationID":"lt4pvlAB","properties":{"formattedCitation":"Knell, Macleod, and Watson.","plainCitation":"Knell, Macleod, and Watson.","noteIndex":35},"citationItems":[{"id":343,"uris":["http://zotero.org/users/local/wNuioCXQ/items/6XJF8WNL"],"uri":["http://zotero.org/users/local/wNuioCXQ/items/6XJF8WNL"],"itemData":{"id":343,"type":"book","title":"Museum revolutions: how museums change and are changed","publisher":"Routledge","publisher-place":"London ; New York","number-of-pages":"xxvi+385","source":"librarycatalogue.uwtsd.ac.uk","event-place":"London ; New York","abstract":"Establishing the paradigmatic museum : Georges Cuvier's cabinet d'anatomie compared in Paris / William Bullock : inventing a visual language of objects / Museums, fossils and the cultural revolution of science : mapping change in the politics of knowledge in early nineteenth-century Britain / Establishing the manifesto : art histories in the nineteenth-century museum / Economic logic versus enlightenment rationality : evolution of the museum-zoo-garden complex and the modern Indian city, 1843-1900 /","ISBN":"978-0-415-44466-8","call-number":"069 MUS","shortTitle":"Museum revolutions","language":"eng","author":[{"family":"Knell","given":"Simon J."},{"family":"Macleod","given":"Suzanne"},{"family":"Watson","given":"Sheila E. R."}],"issued":{"date-parts":[["2007"]]}}}],"schema":"https://github.com/citation-style-language/schema/raw/master/csl-citation.json"} </w:instrText>
      </w:r>
      <w:r>
        <w:fldChar w:fldCharType="separate"/>
      </w:r>
      <w:r w:rsidRPr="003240B9">
        <w:rPr>
          <w:rFonts w:ascii="Calibri" w:hAnsi="Calibri" w:cs="Calibri"/>
        </w:rPr>
        <w:t>Knell, Macleod, and Watson.</w:t>
      </w:r>
      <w:r>
        <w:fldChar w:fldCharType="end"/>
      </w:r>
      <w:r w:rsidR="00AD386F">
        <w:t>p.240</w:t>
      </w:r>
    </w:p>
  </w:footnote>
  <w:footnote w:id="37">
    <w:p w14:paraId="41B19D6E" w14:textId="713C5000" w:rsidR="005C59F2" w:rsidRDefault="005C59F2">
      <w:pPr>
        <w:pStyle w:val="FootnoteText"/>
      </w:pPr>
      <w:r>
        <w:rPr>
          <w:rStyle w:val="FootnoteReference"/>
        </w:rPr>
        <w:footnoteRef/>
      </w:r>
      <w:r>
        <w:t xml:space="preserve"> </w:t>
      </w:r>
      <w:r>
        <w:fldChar w:fldCharType="begin"/>
      </w:r>
      <w:r w:rsidR="00385F90">
        <w:instrText xml:space="preserve"> ADDIN ZOTERO_ITEM CSL_CITATION {"citationID":"hLo7a7eu","properties":{"formattedCitation":"Knell, Macleod, and Watson.","plainCitation":"Knell, Macleod, and Watson.","noteIndex":36},"citationItems":[{"id":343,"uris":["http://zotero.org/users/local/wNuioCXQ/items/6XJF8WNL"],"uri":["http://zotero.org/users/local/wNuioCXQ/items/6XJF8WNL"],"itemData":{"id":343,"type":"book","title":"Museum revolutions: how museums change and are changed","publisher":"Routledge","publisher-place":"London ; New York","number-of-pages":"xxvi+385","source":"librarycatalogue.uwtsd.ac.uk","event-place":"London ; New York","abstract":"Establishing the paradigmatic museum : Georges Cuvier's cabinet d'anatomie compared in Paris / William Bullock : inventing a visual language of objects / Museums, fossils and the cultural revolution of science : mapping change in the politics of knowledge in early nineteenth-century Britain / Establishing the manifesto : art histories in the nineteenth-century museum / Economic logic versus enlightenment rationality : evolution of the museum-zoo-garden complex and the modern Indian city, 1843-1900 /","ISBN":"978-0-415-44466-8","call-number":"069 MUS","shortTitle":"Museum revolutions","language":"eng","author":[{"family":"Knell","given":"Simon J."},{"family":"Macleod","given":"Suzanne"},{"family":"Watson","given":"Sheila E. R."}],"issued":{"date-parts":[["2007"]]}}}],"schema":"https://github.com/citation-style-language/schema/raw/master/csl-citation.json"} </w:instrText>
      </w:r>
      <w:r>
        <w:fldChar w:fldCharType="separate"/>
      </w:r>
      <w:r w:rsidRPr="005C59F2">
        <w:rPr>
          <w:rFonts w:ascii="Calibri" w:hAnsi="Calibri" w:cs="Calibri"/>
        </w:rPr>
        <w:t>Knell, Macleod, and Watson.</w:t>
      </w:r>
      <w:r>
        <w:fldChar w:fldCharType="end"/>
      </w:r>
      <w:r>
        <w:t>p.240</w:t>
      </w:r>
    </w:p>
  </w:footnote>
  <w:footnote w:id="38">
    <w:p w14:paraId="4DEFA9EC" w14:textId="45283D30" w:rsidR="00B0745F" w:rsidRDefault="00B0745F">
      <w:pPr>
        <w:pStyle w:val="FootnoteText"/>
      </w:pPr>
      <w:r>
        <w:rPr>
          <w:rStyle w:val="FootnoteReference"/>
        </w:rPr>
        <w:footnoteRef/>
      </w:r>
      <w:r>
        <w:t xml:space="preserve"> </w:t>
      </w:r>
      <w:r>
        <w:fldChar w:fldCharType="begin"/>
      </w:r>
      <w:r w:rsidR="00902004">
        <w:instrText xml:space="preserve"> ADDIN ZOTERO_ITEM CSL_CITATION {"citationID":"Uv0L15P8","properties":{"formattedCitation":"Kreps.","plainCitation":"Kreps.","noteIndex":36},"citationItems":[{"id":342,"uris":["http://zotero.org/users/local/wNuioCXQ/items/28EPPLER"],"uri":["http://zotero.org/users/local/wNuioCXQ/items/28EPPLER"],"itemData":{"id":342,"type":"book","title":"Liberating culture: cross-cultural perspectives on museums, curation, and heritage preservation","collection-title":"Museum meanings","publisher":"Routledge","publisher-place":"London","number-of-pages":"xvii+185","source":"librarycatalogue.uwtsd.ac.uk","event-place":"London","ISBN":"978-0-415-25025-2","call-number":"069 KRE","shortTitle":"Liberating culture","language":"eng","author":[{"family":"Kreps","given":"Christina F."}],"issued":{"date-parts":[["2003"]]}}}],"schema":"https://github.com/citation-style-language/schema/raw/master/csl-citation.json"} </w:instrText>
      </w:r>
      <w:r>
        <w:fldChar w:fldCharType="separate"/>
      </w:r>
      <w:r w:rsidRPr="00B0745F">
        <w:rPr>
          <w:rFonts w:ascii="Calibri" w:hAnsi="Calibri" w:cs="Calibri"/>
        </w:rPr>
        <w:t>Kreps.</w:t>
      </w:r>
      <w:r>
        <w:fldChar w:fldCharType="end"/>
      </w:r>
    </w:p>
  </w:footnote>
  <w:footnote w:id="39">
    <w:p w14:paraId="4D56BF18" w14:textId="2E827237" w:rsidR="00D82DEA" w:rsidRDefault="00D82DEA">
      <w:pPr>
        <w:pStyle w:val="FootnoteText"/>
      </w:pPr>
      <w:r>
        <w:rPr>
          <w:rStyle w:val="FootnoteReference"/>
        </w:rPr>
        <w:footnoteRef/>
      </w:r>
      <w:r>
        <w:t xml:space="preserve"> </w:t>
      </w:r>
      <w:r>
        <w:fldChar w:fldCharType="begin"/>
      </w:r>
      <w:r w:rsidR="007A19E4">
        <w:instrText xml:space="preserve"> ADDIN ZOTERO_ITEM CSL_CITATION {"citationID":"Cq5Hcrb3","properties":{"formattedCitation":"Simpson.","plainCitation":"Simpson.","noteIndex":36},"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D82DEA">
        <w:rPr>
          <w:rFonts w:ascii="Calibri" w:hAnsi="Calibri" w:cs="Calibri"/>
        </w:rPr>
        <w:t>Simpson.</w:t>
      </w:r>
      <w:r>
        <w:fldChar w:fldCharType="end"/>
      </w:r>
      <w:r>
        <w:t>p.131</w:t>
      </w:r>
    </w:p>
  </w:footnote>
  <w:footnote w:id="40">
    <w:p w14:paraId="7233CD11" w14:textId="01905F39" w:rsidR="00C6089B" w:rsidRDefault="00C6089B">
      <w:pPr>
        <w:pStyle w:val="FootnoteText"/>
      </w:pPr>
      <w:r>
        <w:rPr>
          <w:rStyle w:val="FootnoteReference"/>
        </w:rPr>
        <w:footnoteRef/>
      </w:r>
      <w:r>
        <w:t xml:space="preserve"> </w:t>
      </w:r>
      <w:r>
        <w:fldChar w:fldCharType="begin"/>
      </w:r>
      <w:r w:rsidR="00385F90">
        <w:instrText xml:space="preserve"> ADDIN ZOTERO_ITEM CSL_CITATION {"citationID":"GCJopkIY","properties":{"formattedCitation":"\\uc0\\u8216{}Massacre Map - Indigenous Stories about War and Invasion\\uc0\\u8217{}, {\\i{}Culture Victoria} &lt;http://www.cv.vic.gov.au/stories/aboriginal-culture/indigenous-stories-about-war-and-invasion/massacre-map/&gt; [accessed 29 April 2018].","plainCitation":"‘Massacre Map - Indigenous Stories about War and Invasion’, Culture Victoria &lt;http://www.cv.vic.gov.au/stories/aboriginal-culture/indigenous-stories-about-war-and-invasion/massacre-map/&gt; [accessed 29 April 2018].","noteIndex":39},"citationItems":[{"id":335,"uris":["http://zotero.org/users/local/wNuioCXQ/items/8HER7EKB"],"uri":["http://zotero.org/users/local/wNuioCXQ/items/8HER7EKB"],"itemData":{"id":335,"type":"webpage","title":"Massacre map - Indigenous Stories about War and Invasion","container-title":"Culture Victoria","abstract":"This map shows the locations of known killings of Aborigines by Europeans for the 18 years between 1&amp;hellip;","URL":"http://www.cv.vic.gov.au/stories/aboriginal-culture/indigenous-stories-about-war-and-invasion/massacre-map/","language":"en","accessed":{"date-parts":[["2018",4,29]]}}}],"schema":"https://github.com/citation-style-language/schema/raw/master/csl-citation.json"} </w:instrText>
      </w:r>
      <w:r>
        <w:fldChar w:fldCharType="separate"/>
      </w:r>
      <w:r w:rsidRPr="00C6089B">
        <w:rPr>
          <w:rFonts w:ascii="Calibri" w:hAnsi="Calibri" w:cs="Calibri"/>
          <w:szCs w:val="24"/>
        </w:rPr>
        <w:t xml:space="preserve">‘Massacre Map - Indigenous Stories about War and Invasion’, </w:t>
      </w:r>
      <w:r w:rsidRPr="00C6089B">
        <w:rPr>
          <w:rFonts w:ascii="Calibri" w:hAnsi="Calibri" w:cs="Calibri"/>
          <w:i/>
          <w:iCs/>
          <w:szCs w:val="24"/>
        </w:rPr>
        <w:t>Culture Victoria</w:t>
      </w:r>
      <w:r w:rsidRPr="00C6089B">
        <w:rPr>
          <w:rFonts w:ascii="Calibri" w:hAnsi="Calibri" w:cs="Calibri"/>
          <w:szCs w:val="24"/>
        </w:rPr>
        <w:t xml:space="preserve"> &lt;http://www.cv.vic.gov.au/stories/aboriginal-culture/indigenous-stories-about-war-and-invasion/massacre-map/&gt; [accessed 29 April 2018].</w:t>
      </w:r>
      <w:r>
        <w:fldChar w:fldCharType="end"/>
      </w:r>
    </w:p>
  </w:footnote>
  <w:footnote w:id="41">
    <w:p w14:paraId="0BA7031B" w14:textId="3BEA7489" w:rsidR="0076414B" w:rsidRDefault="0076414B">
      <w:pPr>
        <w:pStyle w:val="FootnoteText"/>
      </w:pPr>
      <w:r>
        <w:rPr>
          <w:rStyle w:val="FootnoteReference"/>
        </w:rPr>
        <w:footnoteRef/>
      </w:r>
      <w:r>
        <w:t xml:space="preserve"> </w:t>
      </w:r>
      <w:r>
        <w:fldChar w:fldCharType="begin"/>
      </w:r>
      <w:r w:rsidR="00B70843">
        <w:instrText xml:space="preserve"> ADDIN ZOTERO_ITEM CSL_CITATION {"citationID":"XrcXReYs","properties":{"formattedCitation":"Simpson.","plainCitation":"Simpson.","noteIndex":37},"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76414B">
        <w:rPr>
          <w:rFonts w:ascii="Calibri" w:hAnsi="Calibri" w:cs="Calibri"/>
        </w:rPr>
        <w:t>Simpson.</w:t>
      </w:r>
      <w:r>
        <w:fldChar w:fldCharType="end"/>
      </w:r>
      <w:r w:rsidR="00DC7B63">
        <w:t>p.131</w:t>
      </w:r>
    </w:p>
  </w:footnote>
  <w:footnote w:id="42">
    <w:p w14:paraId="4FED591D" w14:textId="050CFCCB" w:rsidR="00B14A8B" w:rsidRDefault="00B14A8B">
      <w:pPr>
        <w:pStyle w:val="FootnoteText"/>
      </w:pPr>
      <w:r>
        <w:rPr>
          <w:rStyle w:val="FootnoteReference"/>
        </w:rPr>
        <w:footnoteRef/>
      </w:r>
      <w:r>
        <w:t xml:space="preserve"> </w:t>
      </w:r>
      <w:r>
        <w:fldChar w:fldCharType="begin"/>
      </w:r>
      <w:r w:rsidR="00385F90">
        <w:instrText xml:space="preserve"> ADDIN ZOTERO_ITEM CSL_CITATION {"citationID":"kit6s4Vf","properties":{"formattedCitation":"\\uc0\\u8216{}Massacre Map - Indigenous Stories about War and Invasion\\uc0\\u8217{}.","plainCitation":"‘Massacre Map - Indigenous Stories about War and Invasion’.","noteIndex":41},"citationItems":[{"id":335,"uris":["http://zotero.org/users/local/wNuioCXQ/items/8HER7EKB"],"uri":["http://zotero.org/users/local/wNuioCXQ/items/8HER7EKB"],"itemData":{"id":335,"type":"webpage","title":"Massacre map - Indigenous Stories about War and Invasion","container-title":"Culture Victoria","abstract":"This map shows the locations of known killings of Aborigines by Europeans for the 18 years between 1&amp;hellip;","URL":"http://www.cv.vic.gov.au/stories/aboriginal-culture/indigenous-stories-about-war-and-invasion/massacre-map/","language":"en","accessed":{"date-parts":[["2018",4,29]]}}}],"schema":"https://github.com/citation-style-language/schema/raw/master/csl-citation.json"} </w:instrText>
      </w:r>
      <w:r>
        <w:fldChar w:fldCharType="separate"/>
      </w:r>
      <w:r w:rsidR="00C6089B" w:rsidRPr="00C6089B">
        <w:rPr>
          <w:rFonts w:ascii="Calibri" w:hAnsi="Calibri" w:cs="Calibri"/>
          <w:szCs w:val="24"/>
        </w:rPr>
        <w:t>‘Massacre Map - Indigenous Stories about War and Invasion’.</w:t>
      </w:r>
      <w:r>
        <w:fldChar w:fldCharType="end"/>
      </w:r>
    </w:p>
  </w:footnote>
  <w:footnote w:id="43">
    <w:p w14:paraId="53F5541E" w14:textId="009F9A0E" w:rsidR="003C1039" w:rsidRDefault="003C1039">
      <w:pPr>
        <w:pStyle w:val="FootnoteText"/>
      </w:pPr>
      <w:r>
        <w:rPr>
          <w:rStyle w:val="FootnoteReference"/>
        </w:rPr>
        <w:footnoteRef/>
      </w:r>
      <w:r>
        <w:t xml:space="preserve"> </w:t>
      </w:r>
      <w:r>
        <w:fldChar w:fldCharType="begin"/>
      </w:r>
      <w:r w:rsidR="00385F90">
        <w:instrText xml:space="preserve"> ADDIN ZOTERO_ITEM CSL_CITATION {"citationID":"DjUdLbMn","properties":{"formattedCitation":"J. Bonnell and R. Simon, \\uc0\\u8216{}Difficult Exhibitions and Intimate Encounters\\uc0\\u8217{}, {\\i{}Museum and Society}, 5.2 (2007), 65\\uc0\\u8211{}85.","plainCitation":"J. Bonnell and R. Simon, ‘Difficult Exhibitions and Intimate Encounters’, Museum and Society, 5.2 (2007), 65–85.","noteIndex":42},"citationItems":[{"id":337,"uris":["http://zotero.org/users/local/wNuioCXQ/items/NBHLM8YD"],"uri":["http://zotero.org/users/local/wNuioCXQ/items/NBHLM8YD"],"itemData":{"id":337,"type":"article-journal","title":"Difficult Exhibitions and Intimate Encounters","container-title":"Museum and Society","page":"65-85","volume":"5","issue":"2","source":"Talis Aspire","ISSN":"14798360","author":[{"family":"Bonnell","given":"J."},{"family":"Simon","given":"R."}],"issued":{"date-parts":[["2007"]]}}}],"schema":"https://github.com/citation-style-language/schema/raw/master/csl-citation.json"} </w:instrText>
      </w:r>
      <w:r>
        <w:fldChar w:fldCharType="separate"/>
      </w:r>
      <w:r w:rsidRPr="003C1039">
        <w:rPr>
          <w:rFonts w:ascii="Calibri" w:hAnsi="Calibri" w:cs="Calibri"/>
          <w:szCs w:val="24"/>
        </w:rPr>
        <w:t xml:space="preserve">J. Bonnell and R. Simon, ‘Difficult Exhibitions and Intimate Encounters’, </w:t>
      </w:r>
      <w:r w:rsidRPr="003C1039">
        <w:rPr>
          <w:rFonts w:ascii="Calibri" w:hAnsi="Calibri" w:cs="Calibri"/>
          <w:i/>
          <w:iCs/>
          <w:szCs w:val="24"/>
        </w:rPr>
        <w:t>Museum and Society</w:t>
      </w:r>
      <w:r w:rsidRPr="003C1039">
        <w:rPr>
          <w:rFonts w:ascii="Calibri" w:hAnsi="Calibri" w:cs="Calibri"/>
          <w:szCs w:val="24"/>
        </w:rPr>
        <w:t>, 5.2 (2007), 65–85.</w:t>
      </w:r>
      <w:r>
        <w:fldChar w:fldCharType="end"/>
      </w:r>
      <w:r w:rsidR="00081D5F">
        <w:t>p.66</w:t>
      </w:r>
    </w:p>
  </w:footnote>
  <w:footnote w:id="44">
    <w:p w14:paraId="2E7D2BC7" w14:textId="281A6C5B" w:rsidR="00B24E18" w:rsidRDefault="00B24E18">
      <w:pPr>
        <w:pStyle w:val="FootnoteText"/>
      </w:pPr>
      <w:r>
        <w:rPr>
          <w:rStyle w:val="FootnoteReference"/>
        </w:rPr>
        <w:footnoteRef/>
      </w:r>
      <w:r>
        <w:t xml:space="preserve"> </w:t>
      </w:r>
      <w:r>
        <w:fldChar w:fldCharType="begin"/>
      </w:r>
      <w:r w:rsidR="00385F90">
        <w:instrText xml:space="preserve"> ADDIN ZOTERO_ITEM CSL_CITATION {"citationID":"dWIqx2bJ","properties":{"formattedCitation":"Bonnell and Simon.","plainCitation":"Bonnell and Simon.","noteIndex":43},"citationItems":[{"id":337,"uris":["http://zotero.org/users/local/wNuioCXQ/items/NBHLM8YD"],"uri":["http://zotero.org/users/local/wNuioCXQ/items/NBHLM8YD"],"itemData":{"id":337,"type":"article-journal","title":"Difficult Exhibitions and Intimate Encounters","container-title":"Museum and Society","page":"65-85","volume":"5","issue":"2","source":"Talis Aspire","ISSN":"14798360","author":[{"family":"Bonnell","given":"J."},{"family":"Simon","given":"R."}],"issued":{"date-parts":[["2007"]]}}}],"schema":"https://github.com/citation-style-language/schema/raw/master/csl-citation.json"} </w:instrText>
      </w:r>
      <w:r>
        <w:fldChar w:fldCharType="separate"/>
      </w:r>
      <w:r w:rsidRPr="00B24E18">
        <w:rPr>
          <w:rFonts w:ascii="Calibri" w:hAnsi="Calibri" w:cs="Calibri"/>
        </w:rPr>
        <w:t>Bonnell and Simon.</w:t>
      </w:r>
      <w:r>
        <w:fldChar w:fldCharType="end"/>
      </w:r>
      <w:r w:rsidR="002F7AA1">
        <w:t>p.66</w:t>
      </w:r>
    </w:p>
  </w:footnote>
  <w:footnote w:id="45">
    <w:p w14:paraId="5DC826D6" w14:textId="1442B5EC" w:rsidR="00173FAA" w:rsidRDefault="00173FAA">
      <w:pPr>
        <w:pStyle w:val="FootnoteText"/>
      </w:pPr>
      <w:r>
        <w:rPr>
          <w:rStyle w:val="FootnoteReference"/>
        </w:rPr>
        <w:footnoteRef/>
      </w:r>
      <w:r>
        <w:t xml:space="preserve"> </w:t>
      </w:r>
      <w:r>
        <w:fldChar w:fldCharType="begin"/>
      </w:r>
      <w:r w:rsidR="00385F90">
        <w:instrText xml:space="preserve"> ADDIN ZOTERO_ITEM CSL_CITATION {"citationID":"ZELMR4cO","properties":{"formattedCitation":"Knell, Macleod, and Watson.","plainCitation":"Knell, Macleod, and Watson.","noteIndex":44},"citationItems":[{"id":343,"uris":["http://zotero.org/users/local/wNuioCXQ/items/6XJF8WNL"],"uri":["http://zotero.org/users/local/wNuioCXQ/items/6XJF8WNL"],"itemData":{"id":343,"type":"book","title":"Museum revolutions: how museums change and are changed","publisher":"Routledge","publisher-place":"London ; New York","number-of-pages":"xxvi+385","source":"librarycatalogue.uwtsd.ac.uk","event-place":"London ; New York","abstract":"Establishing the paradigmatic museum : Georges Cuvier's cabinet d'anatomie compared in Paris / William Bullock : inventing a visual language of objects / Museums, fossils and the cultural revolution of science : mapping change in the politics of knowledge in early nineteenth-century Britain / Establishing the manifesto : art histories in the nineteenth-century museum / Economic logic versus enlightenment rationality : evolution of the museum-zoo-garden complex and the modern Indian city, 1843-1900 /","ISBN":"978-0-415-44466-8","call-number":"069 MUS","shortTitle":"Museum revolutions","language":"eng","author":[{"family":"Knell","given":"Simon J."},{"family":"Macleod","given":"Suzanne"},{"family":"Watson","given":"Sheila E. R."}],"issued":{"date-parts":[["2007"]]}}}],"schema":"https://github.com/citation-style-language/schema/raw/master/csl-citation.json"} </w:instrText>
      </w:r>
      <w:r>
        <w:fldChar w:fldCharType="separate"/>
      </w:r>
      <w:r w:rsidRPr="00173FAA">
        <w:rPr>
          <w:rFonts w:ascii="Calibri" w:hAnsi="Calibri" w:cs="Calibri"/>
        </w:rPr>
        <w:t>Knell, Macleod, and Watson.</w:t>
      </w:r>
      <w:r>
        <w:fldChar w:fldCharType="end"/>
      </w:r>
    </w:p>
  </w:footnote>
  <w:footnote w:id="46">
    <w:p w14:paraId="104D646F" w14:textId="2139AAEC" w:rsidR="008108DD" w:rsidRDefault="008108DD">
      <w:pPr>
        <w:pStyle w:val="FootnoteText"/>
      </w:pPr>
      <w:r>
        <w:rPr>
          <w:rStyle w:val="FootnoteReference"/>
        </w:rPr>
        <w:footnoteRef/>
      </w:r>
      <w:r>
        <w:t xml:space="preserve"> </w:t>
      </w:r>
      <w:r>
        <w:fldChar w:fldCharType="begin"/>
      </w:r>
      <w:r w:rsidR="00B70843">
        <w:instrText xml:space="preserve"> ADDIN ZOTERO_ITEM CSL_CITATION {"citationID":"zjvLzPRQ","properties":{"formattedCitation":"Simpson.","plainCitation":"Simpson.","noteIndex":42},"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8108DD">
        <w:rPr>
          <w:rFonts w:ascii="Calibri" w:hAnsi="Calibri" w:cs="Calibri"/>
        </w:rPr>
        <w:t>Simpson.</w:t>
      </w:r>
      <w:r>
        <w:fldChar w:fldCharType="end"/>
      </w:r>
      <w:r w:rsidR="00AA4952">
        <w:t>p.127</w:t>
      </w:r>
    </w:p>
  </w:footnote>
  <w:footnote w:id="47">
    <w:p w14:paraId="366F589D" w14:textId="52F23FAF" w:rsidR="001E6205" w:rsidRDefault="001E6205">
      <w:pPr>
        <w:pStyle w:val="FootnoteText"/>
      </w:pPr>
      <w:r>
        <w:rPr>
          <w:rStyle w:val="FootnoteReference"/>
        </w:rPr>
        <w:footnoteRef/>
      </w:r>
      <w:r>
        <w:t xml:space="preserve"> </w:t>
      </w:r>
      <w:r>
        <w:fldChar w:fldCharType="begin"/>
      </w:r>
      <w:r w:rsidR="00385F90">
        <w:instrText xml:space="preserve"> ADDIN ZOTERO_ITEM CSL_CITATION {"citationID":"vK9NWIEc","properties":{"formattedCitation":"Marcia Langton, \\uc0\\u8216{}What Do We Mean by Wilderness?: Wilderness and Terra Nullius in Australian Art [Address to The Sydney Institute on 12 October 1995.]\\uc0\\u8217{}, {\\i{}Sydney Papers, The}, 8.1 (1996), 10.","plainCitation":"Marcia Langton, ‘What Do We Mean by Wilderness?: Wilderness and Terra Nullius in Australian Art [Address to The Sydney Institute on 12 October 1995.]’, Sydney Papers, The, 8.1 (1996), 10.","noteIndex":46},"citationItems":[{"id":345,"uris":["http://zotero.org/users/local/wNuioCXQ/items/EPWMAKVB"],"uri":["http://zotero.org/users/local/wNuioCXQ/items/EPWMAKVB"],"itemData":{"id":345,"type":"article-journal","title":"What do we mean by wilderness?: wilderness and terra nullius in Australian art [Address to The Sydney Institute on 12 October 1995.]","container-title":"Sydney Papers, The","page":"10","volume":"8","issue":"1","source":"search.informit.com.au","abstract":"Informit is an online service offering a wide range of database and full content publication products that deliver the vast majority of Australasian scholarly research to the education, research and business sectors. Informit encompasses online products: Informit Indexes, Informit Plus Text and Informit Collections.","shortTitle":"What do we mean by wilderness?","language":"EN","author":[{"family":"Langton","given":"Marcia"}],"issued":{"date-parts":[["1996"]],"season":"Summer"}}}],"schema":"https://github.com/citation-style-language/schema/raw/master/csl-citation.json"} </w:instrText>
      </w:r>
      <w:r>
        <w:fldChar w:fldCharType="separate"/>
      </w:r>
      <w:r w:rsidRPr="001E6205">
        <w:rPr>
          <w:rFonts w:ascii="Calibri" w:hAnsi="Calibri" w:cs="Calibri"/>
          <w:szCs w:val="24"/>
        </w:rPr>
        <w:t xml:space="preserve">Marcia Langton, ‘What Do We Mean by Wilderness?: Wilderness and Terra Nullius in Australian Art [Address to The Sydney Institute on 12 October 1995.]’, </w:t>
      </w:r>
      <w:r w:rsidRPr="001E6205">
        <w:rPr>
          <w:rFonts w:ascii="Calibri" w:hAnsi="Calibri" w:cs="Calibri"/>
          <w:i/>
          <w:iCs/>
          <w:szCs w:val="24"/>
        </w:rPr>
        <w:t>Sydney Papers, The</w:t>
      </w:r>
      <w:r w:rsidRPr="001E6205">
        <w:rPr>
          <w:rFonts w:ascii="Calibri" w:hAnsi="Calibri" w:cs="Calibri"/>
          <w:szCs w:val="24"/>
        </w:rPr>
        <w:t>, 8.1 (1996), 10.</w:t>
      </w:r>
      <w:r>
        <w:fldChar w:fldCharType="end"/>
      </w:r>
      <w:r w:rsidR="008B6358">
        <w:t>p.18</w:t>
      </w:r>
    </w:p>
  </w:footnote>
  <w:footnote w:id="48">
    <w:p w14:paraId="73C328B2" w14:textId="282C3E0E" w:rsidR="004B373A" w:rsidRDefault="004B373A">
      <w:pPr>
        <w:pStyle w:val="FootnoteText"/>
      </w:pPr>
      <w:r>
        <w:rPr>
          <w:rStyle w:val="FootnoteReference"/>
        </w:rPr>
        <w:footnoteRef/>
      </w:r>
      <w:r>
        <w:t xml:space="preserve"> </w:t>
      </w:r>
      <w:r>
        <w:fldChar w:fldCharType="begin"/>
      </w:r>
      <w:r w:rsidR="00385F90">
        <w:instrText xml:space="preserve"> ADDIN ZOTERO_ITEM CSL_CITATION {"citationID":"9vcliTTN","properties":{"formattedCitation":"Langton.","plainCitation":"Langton.","noteIndex":47},"citationItems":[{"id":345,"uris":["http://zotero.org/users/local/wNuioCXQ/items/EPWMAKVB"],"uri":["http://zotero.org/users/local/wNuioCXQ/items/EPWMAKVB"],"itemData":{"id":345,"type":"article-journal","title":"What do we mean by wilderness?: wilderness and terra nullius in Australian art [Address to The Sydney Institute on 12 October 1995.]","container-title":"Sydney Papers, The","page":"10","volume":"8","issue":"1","source":"search.informit.com.au","abstract":"Informit is an online service offering a wide range of database and full content publication products that deliver the vast majority of Australasian scholarly research to the education, research and business sectors. Informit encompasses online products: Informit Indexes, Informit Plus Text and Informit Collections.","shortTitle":"What do we mean by wilderness?","language":"EN","author":[{"family":"Langton","given":"Marcia"}],"issued":{"date-parts":[["1996"]],"season":"Summer"}}}],"schema":"https://github.com/citation-style-language/schema/raw/master/csl-citation.json"} </w:instrText>
      </w:r>
      <w:r>
        <w:fldChar w:fldCharType="separate"/>
      </w:r>
      <w:r w:rsidRPr="004B373A">
        <w:rPr>
          <w:rFonts w:ascii="Calibri" w:hAnsi="Calibri" w:cs="Calibri"/>
        </w:rPr>
        <w:t>Langton.</w:t>
      </w:r>
      <w:r>
        <w:fldChar w:fldCharType="end"/>
      </w:r>
      <w:r w:rsidR="00F45904">
        <w:t>p.19</w:t>
      </w:r>
    </w:p>
  </w:footnote>
  <w:footnote w:id="49">
    <w:p w14:paraId="0768F837" w14:textId="53F25F87" w:rsidR="0008581C" w:rsidRDefault="0008581C">
      <w:pPr>
        <w:pStyle w:val="FootnoteText"/>
      </w:pPr>
      <w:r>
        <w:rPr>
          <w:rStyle w:val="FootnoteReference"/>
        </w:rPr>
        <w:footnoteRef/>
      </w:r>
      <w:r>
        <w:t xml:space="preserve"> </w:t>
      </w:r>
      <w:r>
        <w:fldChar w:fldCharType="begin"/>
      </w:r>
      <w:r w:rsidR="00385F90">
        <w:instrText xml:space="preserve"> ADDIN ZOTERO_ITEM CSL_CITATION {"citationID":"gaPUjMmg","properties":{"formattedCitation":"Libby Porter, {\\i{}Unlearning the Colonial Cultures of Planning} (Routledge, 2016).","plainCitation":"Libby Porter, Unlearning the Colonial Cultures of Planning (Routledge, 2016).","noteIndex":48},"citationItems":[{"id":347,"uris":["http://zotero.org/users/local/wNuioCXQ/items/73RT4UUL"],"uri":["http://zotero.org/users/local/wNuioCXQ/items/73RT4UUL"],"itemData":{"id":347,"type":"book","title":"Unlearning the Colonial Cultures of Planning","publisher":"Routledge","number-of-pages":"193","source":"Google Books","abstract":"Colonialization has never failed to provoke discussion and debate over its territorial, economic and political projects, and their ongoing consequences. This work argues that the state-based activity of planning was integral to these projects in conceptualizing, shaping and managing place in settler societies. Planning was used to appropriate and then produce territory for management by the state and in doing so, became central to the colonial invasion of settler states. Moreover, the book demonstrates how the colonial roots of planning endure in complex (post)colonial societies and how such roots, manifest in everyday planning practice, continue to shape land use contests between indigenous people and planning systems in contemporary (post)colonial states.","ISBN":"978-1-317-00427-1","note":"Google-Books-ID: uP6fCwAAQBAJ","language":"en","author":[{"family":"Porter","given":"Libby"}],"issued":{"date-parts":[["2016",2,24]]}}}],"schema":"https://github.com/citation-style-language/schema/raw/master/csl-citation.json"} </w:instrText>
      </w:r>
      <w:r>
        <w:fldChar w:fldCharType="separate"/>
      </w:r>
      <w:r w:rsidRPr="0008581C">
        <w:rPr>
          <w:rFonts w:ascii="Calibri" w:hAnsi="Calibri" w:cs="Calibri"/>
          <w:szCs w:val="24"/>
        </w:rPr>
        <w:t xml:space="preserve">Libby Porter, </w:t>
      </w:r>
      <w:r w:rsidRPr="0008581C">
        <w:rPr>
          <w:rFonts w:ascii="Calibri" w:hAnsi="Calibri" w:cs="Calibri"/>
          <w:i/>
          <w:iCs/>
          <w:szCs w:val="24"/>
        </w:rPr>
        <w:t>Unlearning the Colonial Cultures of Planning</w:t>
      </w:r>
      <w:r w:rsidRPr="0008581C">
        <w:rPr>
          <w:rFonts w:ascii="Calibri" w:hAnsi="Calibri" w:cs="Calibri"/>
          <w:szCs w:val="24"/>
        </w:rPr>
        <w:t xml:space="preserve"> (Routledge, 2016).</w:t>
      </w:r>
      <w:r>
        <w:fldChar w:fldCharType="end"/>
      </w:r>
      <w:r w:rsidR="006527D6">
        <w:t>p.39</w:t>
      </w:r>
    </w:p>
  </w:footnote>
  <w:footnote w:id="50">
    <w:p w14:paraId="7C9A03FF" w14:textId="37FA2E88" w:rsidR="005E3550" w:rsidRDefault="005E3550">
      <w:pPr>
        <w:pStyle w:val="FootnoteText"/>
      </w:pPr>
      <w:r>
        <w:rPr>
          <w:rStyle w:val="FootnoteReference"/>
        </w:rPr>
        <w:footnoteRef/>
      </w:r>
      <w:r>
        <w:t xml:space="preserve"> </w:t>
      </w:r>
      <w:r>
        <w:fldChar w:fldCharType="begin"/>
      </w:r>
      <w:r w:rsidR="00385F90">
        <w:instrText xml:space="preserve"> ADDIN ZOTERO_ITEM CSL_CITATION {"citationID":"lpBb2jiU","properties":{"formattedCitation":"Roie Thomas, {\\i{}Bushmen in the Tourist Imaginary} (Cambridge Scholars Publishing, 2016).","plainCitation":"Roie Thomas, Bushmen in the Tourist Imaginary (Cambridge Scholars Publishing, 2016).","noteIndex":49},"citationItems":[{"id":339,"uris":["http://zotero.org/users/local/wNuioCXQ/items/TFKMY9ZX"],"uri":["http://zotero.org/users/local/wNuioCXQ/items/TFKMY9ZX"],"itemData":{"id":339,"type":"book","title":"Bushmen in the Tourist Imaginary","publisher":"Cambridge Scholars Publishing","number-of-pages":"274","source":"Google Books","abstract":"This book is a semantic and semiotic analysis of tourism texts that represent specific groups of San (or Bushmen) in modern Botswana, and is framed by postcolonial theory, post-tourism and resistance theories. Critically, the book demonstrates the power that both written and visual language can have upon consumers of texts. It provides a case-study of neo-colonial exploitation and, conversely, reveals the efficacy of self-representation for tourist consumption, with an increasing number of San offering alternatives to an entrenched ethnic hegemony, effecting gradual political and social recognition and autonomy. As such, the book is written in a spirit of optimism for the burgeoning self-determination of a long-marginalised group.","ISBN":"978-1-4438-4880-0","note":"Google-Books-ID: dui2DQAAQBAJ","language":"en","author":[{"family":"Thomas","given":"Roie"}],"issued":{"date-parts":[["2016",12,14]]}}}],"schema":"https://github.com/citation-style-language/schema/raw/master/csl-citation.json"} </w:instrText>
      </w:r>
      <w:r>
        <w:fldChar w:fldCharType="separate"/>
      </w:r>
      <w:r w:rsidRPr="005E3550">
        <w:rPr>
          <w:rFonts w:ascii="Calibri" w:hAnsi="Calibri" w:cs="Calibri"/>
          <w:szCs w:val="24"/>
        </w:rPr>
        <w:t xml:space="preserve">Roie Thomas, </w:t>
      </w:r>
      <w:r w:rsidRPr="005E3550">
        <w:rPr>
          <w:rFonts w:ascii="Calibri" w:hAnsi="Calibri" w:cs="Calibri"/>
          <w:i/>
          <w:iCs/>
          <w:szCs w:val="24"/>
        </w:rPr>
        <w:t>Bushmen in the Tourist Imaginary</w:t>
      </w:r>
      <w:r w:rsidRPr="005E3550">
        <w:rPr>
          <w:rFonts w:ascii="Calibri" w:hAnsi="Calibri" w:cs="Calibri"/>
          <w:szCs w:val="24"/>
        </w:rPr>
        <w:t xml:space="preserve"> (Cambridge Scholars Publishing, 2016).</w:t>
      </w:r>
      <w:r>
        <w:fldChar w:fldCharType="end"/>
      </w:r>
      <w:r w:rsidR="00FC5595">
        <w:t>p.193</w:t>
      </w:r>
    </w:p>
  </w:footnote>
  <w:footnote w:id="51">
    <w:p w14:paraId="2D49450C" w14:textId="319AEE88" w:rsidR="00CA26CF" w:rsidRDefault="00CA26CF">
      <w:pPr>
        <w:pStyle w:val="FootnoteText"/>
      </w:pPr>
      <w:r>
        <w:rPr>
          <w:rStyle w:val="FootnoteReference"/>
        </w:rPr>
        <w:footnoteRef/>
      </w:r>
      <w:r>
        <w:t xml:space="preserve"> </w:t>
      </w:r>
      <w:r>
        <w:fldChar w:fldCharType="begin"/>
      </w:r>
      <w:r w:rsidR="00385F90">
        <w:instrText xml:space="preserve"> ADDIN ZOTERO_ITEM CSL_CITATION {"citationID":"lCPbaFCz","properties":{"formattedCitation":"Thomas.","plainCitation":"Thomas.","noteIndex":50},"citationItems":[{"id":339,"uris":["http://zotero.org/users/local/wNuioCXQ/items/TFKMY9ZX"],"uri":["http://zotero.org/users/local/wNuioCXQ/items/TFKMY9ZX"],"itemData":{"id":339,"type":"book","title":"Bushmen in the Tourist Imaginary","publisher":"Cambridge Scholars Publishing","number-of-pages":"274","source":"Google Books","abstract":"This book is a semantic and semiotic analysis of tourism texts that represent specific groups of San (or Bushmen) in modern Botswana, and is framed by postcolonial theory, post-tourism and resistance theories. Critically, the book demonstrates the power that both written and visual language can have upon consumers of texts. It provides a case-study of neo-colonial exploitation and, conversely, reveals the efficacy of self-representation for tourist consumption, with an increasing number of San offering alternatives to an entrenched ethnic hegemony, effecting gradual political and social recognition and autonomy. As such, the book is written in a spirit of optimism for the burgeoning self-determination of a long-marginalised group.","ISBN":"978-1-4438-4880-0","note":"Google-Books-ID: dui2DQAAQBAJ","language":"en","author":[{"family":"Thomas","given":"Roie"}],"issued":{"date-parts":[["2016",12,14]]}}}],"schema":"https://github.com/citation-style-language/schema/raw/master/csl-citation.json"} </w:instrText>
      </w:r>
      <w:r>
        <w:fldChar w:fldCharType="separate"/>
      </w:r>
      <w:r w:rsidRPr="00CA26CF">
        <w:rPr>
          <w:rFonts w:ascii="Calibri" w:hAnsi="Calibri" w:cs="Calibri"/>
        </w:rPr>
        <w:t>Thomas.</w:t>
      </w:r>
      <w:r>
        <w:fldChar w:fldCharType="end"/>
      </w:r>
      <w:r>
        <w:t>p.193</w:t>
      </w:r>
    </w:p>
  </w:footnote>
  <w:footnote w:id="52">
    <w:p w14:paraId="2CE7C046" w14:textId="16BF96AE" w:rsidR="00397780" w:rsidRDefault="00397780">
      <w:pPr>
        <w:pStyle w:val="FootnoteText"/>
      </w:pPr>
      <w:r>
        <w:rPr>
          <w:rStyle w:val="FootnoteReference"/>
        </w:rPr>
        <w:footnoteRef/>
      </w:r>
      <w:r>
        <w:t xml:space="preserve"> </w:t>
      </w:r>
      <w:r>
        <w:fldChar w:fldCharType="begin"/>
      </w:r>
      <w:r w:rsidR="00B70843">
        <w:instrText xml:space="preserve"> ADDIN ZOTERO_ITEM CSL_CITATION {"citationID":"DcjliMbM","properties":{"formattedCitation":"Simpson.","plainCitation":"Simpson.","noteIndex":48},"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397780">
        <w:rPr>
          <w:rFonts w:ascii="Calibri" w:hAnsi="Calibri" w:cs="Calibri"/>
        </w:rPr>
        <w:t>Simpson.</w:t>
      </w:r>
      <w:r>
        <w:fldChar w:fldCharType="end"/>
      </w:r>
      <w:r w:rsidR="00FC6AC5">
        <w:t>p.126</w:t>
      </w:r>
    </w:p>
  </w:footnote>
  <w:footnote w:id="53">
    <w:p w14:paraId="1E2C2D12" w14:textId="33651EF7" w:rsidR="00BB3973" w:rsidRDefault="00BB3973">
      <w:pPr>
        <w:pStyle w:val="FootnoteText"/>
      </w:pPr>
      <w:r>
        <w:rPr>
          <w:rStyle w:val="FootnoteReference"/>
        </w:rPr>
        <w:footnoteRef/>
      </w:r>
      <w:r>
        <w:t xml:space="preserve"> </w:t>
      </w:r>
      <w:r>
        <w:fldChar w:fldCharType="begin"/>
      </w:r>
      <w:r w:rsidR="00B70843">
        <w:instrText xml:space="preserve"> ADDIN ZOTERO_ITEM CSL_CITATION {"citationID":"s7R6s2R4","properties":{"formattedCitation":"Simpson.","plainCitation":"Simpson.","noteIndex":49},"citationItems":[{"id":320,"uris":["http://zotero.org/users/local/wNuioCXQ/items/9B98ZBV4"],"uri":["http://zotero.org/users/local/wNuioCXQ/items/9B98ZBV4"],"itemData":{"id":320,"type":"book","title":"Making representations: museums in the post-colonial era","collection-title":"The Heritage","publisher":"Routledge","publisher-place":"London","number-of-pages":"xi+336","edition":"Revised ed.","source":"librarycatalogue.uwtsd.ac.uk","event-place":"London","ISBN":"978-0-415-06786-7","call-number":"069 SIM","shortTitle":"Making representations","language":"eng","author":[{"family":"Simpson","given":"Moira G."}],"issued":{"date-parts":[["2001"]]}}}],"schema":"https://github.com/citation-style-language/schema/raw/master/csl-citation.json"} </w:instrText>
      </w:r>
      <w:r>
        <w:fldChar w:fldCharType="separate"/>
      </w:r>
      <w:r w:rsidRPr="00BB3973">
        <w:rPr>
          <w:rFonts w:ascii="Calibri" w:hAnsi="Calibri" w:cs="Calibri"/>
        </w:rPr>
        <w:t>Simpson.</w:t>
      </w:r>
      <w:r>
        <w:fldChar w:fldCharType="end"/>
      </w:r>
      <w:r>
        <w:t>p.127</w:t>
      </w:r>
    </w:p>
  </w:footnote>
  <w:footnote w:id="54">
    <w:p w14:paraId="610463EC" w14:textId="195110B1" w:rsidR="00580093" w:rsidRDefault="00580093">
      <w:pPr>
        <w:pStyle w:val="FootnoteText"/>
      </w:pPr>
      <w:r>
        <w:rPr>
          <w:rStyle w:val="FootnoteReference"/>
        </w:rPr>
        <w:footnoteRef/>
      </w:r>
      <w:r>
        <w:t xml:space="preserve"> </w:t>
      </w:r>
      <w:r>
        <w:fldChar w:fldCharType="begin"/>
      </w:r>
      <w:r w:rsidR="00385F90">
        <w:instrText xml:space="preserve"> ADDIN ZOTERO_ITEM CSL_CITATION {"citationID":"MP4KxgaD","properties":{"formattedCitation":"Clark.","plainCitation":"Clark.","noteIndex":53},"citationItems":[{"id":321,"uris":["http://zotero.org/users/local/wNuioCXQ/items/Y25F9K9E"],"uri":["http://zotero.org/users/local/wNuioCXQ/items/Y25F9K9E"],"itemData":{"id":321,"type":"interview","title":"Interview with Geoff Clark, Chairman of the Framlingham Aboriginal Land Trust","author":[{"family":"Clark","given":"Geoff"}],"issued":{"date-parts":[["1993",7]]}}}],"schema":"https://github.com/citation-style-language/schema/raw/master/csl-citation.json"} </w:instrText>
      </w:r>
      <w:r>
        <w:fldChar w:fldCharType="separate"/>
      </w:r>
      <w:r w:rsidRPr="00580093">
        <w:rPr>
          <w:rFonts w:ascii="Calibri" w:hAnsi="Calibri" w:cs="Calibri"/>
        </w:rPr>
        <w:t>Clark.</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9482637"/>
      <w:docPartObj>
        <w:docPartGallery w:val="Page Numbers (Top of Page)"/>
        <w:docPartUnique/>
      </w:docPartObj>
    </w:sdtPr>
    <w:sdtEndPr>
      <w:rPr>
        <w:noProof/>
      </w:rPr>
    </w:sdtEndPr>
    <w:sdtContent>
      <w:p w14:paraId="44128977" w14:textId="5D2399BA" w:rsidR="00C618DE" w:rsidRDefault="00C618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F60DEE" w14:textId="77777777" w:rsidR="00C618DE" w:rsidRDefault="00C618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 w15:restartNumberingAfterBreak="0">
    <w:nsid w:val="52A007ED"/>
    <w:multiLevelType w:val="hybridMultilevel"/>
    <w:tmpl w:val="BA7CA772"/>
    <w:lvl w:ilvl="0" w:tplc="827654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270D"/>
    <w:rsid w:val="00002061"/>
    <w:rsid w:val="00002B25"/>
    <w:rsid w:val="000124C0"/>
    <w:rsid w:val="00015C3D"/>
    <w:rsid w:val="00015FDB"/>
    <w:rsid w:val="000231E4"/>
    <w:rsid w:val="0004148E"/>
    <w:rsid w:val="000476D6"/>
    <w:rsid w:val="00077F68"/>
    <w:rsid w:val="00081D5F"/>
    <w:rsid w:val="0008581C"/>
    <w:rsid w:val="00087768"/>
    <w:rsid w:val="00090315"/>
    <w:rsid w:val="000A346C"/>
    <w:rsid w:val="000A3C8F"/>
    <w:rsid w:val="000A55DA"/>
    <w:rsid w:val="000B07F8"/>
    <w:rsid w:val="000B4FB7"/>
    <w:rsid w:val="000E40E2"/>
    <w:rsid w:val="000F5205"/>
    <w:rsid w:val="000F64C0"/>
    <w:rsid w:val="000F7EC4"/>
    <w:rsid w:val="001114DA"/>
    <w:rsid w:val="0011158F"/>
    <w:rsid w:val="001215BA"/>
    <w:rsid w:val="00131673"/>
    <w:rsid w:val="001339A5"/>
    <w:rsid w:val="00135C89"/>
    <w:rsid w:val="00137AC4"/>
    <w:rsid w:val="00143C38"/>
    <w:rsid w:val="0014697C"/>
    <w:rsid w:val="00153490"/>
    <w:rsid w:val="001544F6"/>
    <w:rsid w:val="00164CD4"/>
    <w:rsid w:val="0016567E"/>
    <w:rsid w:val="00170E94"/>
    <w:rsid w:val="00173FAA"/>
    <w:rsid w:val="0017588A"/>
    <w:rsid w:val="001760D4"/>
    <w:rsid w:val="00182AA0"/>
    <w:rsid w:val="001870F4"/>
    <w:rsid w:val="001922A6"/>
    <w:rsid w:val="001966C8"/>
    <w:rsid w:val="0019774A"/>
    <w:rsid w:val="001A0E29"/>
    <w:rsid w:val="001A3C5A"/>
    <w:rsid w:val="001B6FE4"/>
    <w:rsid w:val="001C72FB"/>
    <w:rsid w:val="001D4B0D"/>
    <w:rsid w:val="001E32E4"/>
    <w:rsid w:val="001E6205"/>
    <w:rsid w:val="001F0880"/>
    <w:rsid w:val="002033B3"/>
    <w:rsid w:val="002138B0"/>
    <w:rsid w:val="0021580B"/>
    <w:rsid w:val="0022276E"/>
    <w:rsid w:val="00223AD9"/>
    <w:rsid w:val="00225D1D"/>
    <w:rsid w:val="00231571"/>
    <w:rsid w:val="00245526"/>
    <w:rsid w:val="00246E68"/>
    <w:rsid w:val="00247ABB"/>
    <w:rsid w:val="0025305F"/>
    <w:rsid w:val="00256ABD"/>
    <w:rsid w:val="002630D6"/>
    <w:rsid w:val="002641EF"/>
    <w:rsid w:val="00264D5D"/>
    <w:rsid w:val="0026696F"/>
    <w:rsid w:val="002673A7"/>
    <w:rsid w:val="00270C72"/>
    <w:rsid w:val="00271FE0"/>
    <w:rsid w:val="00281B65"/>
    <w:rsid w:val="0028493A"/>
    <w:rsid w:val="0028662C"/>
    <w:rsid w:val="002869EE"/>
    <w:rsid w:val="00290B5A"/>
    <w:rsid w:val="00293F6B"/>
    <w:rsid w:val="0029601F"/>
    <w:rsid w:val="0029665F"/>
    <w:rsid w:val="002A5BA2"/>
    <w:rsid w:val="002B1655"/>
    <w:rsid w:val="002B4FA5"/>
    <w:rsid w:val="002D0E89"/>
    <w:rsid w:val="002D7511"/>
    <w:rsid w:val="002E38B3"/>
    <w:rsid w:val="002E674F"/>
    <w:rsid w:val="002E7F00"/>
    <w:rsid w:val="002F096C"/>
    <w:rsid w:val="002F0D3E"/>
    <w:rsid w:val="002F0E3D"/>
    <w:rsid w:val="002F4FCD"/>
    <w:rsid w:val="002F7AA1"/>
    <w:rsid w:val="00300220"/>
    <w:rsid w:val="003237BE"/>
    <w:rsid w:val="003240B9"/>
    <w:rsid w:val="00325200"/>
    <w:rsid w:val="003325B8"/>
    <w:rsid w:val="003332FB"/>
    <w:rsid w:val="00335966"/>
    <w:rsid w:val="003366E7"/>
    <w:rsid w:val="00343065"/>
    <w:rsid w:val="003440F2"/>
    <w:rsid w:val="00345A6E"/>
    <w:rsid w:val="003475CF"/>
    <w:rsid w:val="00347646"/>
    <w:rsid w:val="00354C16"/>
    <w:rsid w:val="003563BA"/>
    <w:rsid w:val="00357342"/>
    <w:rsid w:val="00366BA5"/>
    <w:rsid w:val="00367D9A"/>
    <w:rsid w:val="003725CD"/>
    <w:rsid w:val="00380504"/>
    <w:rsid w:val="00385F90"/>
    <w:rsid w:val="0039270D"/>
    <w:rsid w:val="00394065"/>
    <w:rsid w:val="00397780"/>
    <w:rsid w:val="00397E95"/>
    <w:rsid w:val="003A50B6"/>
    <w:rsid w:val="003B0736"/>
    <w:rsid w:val="003B2210"/>
    <w:rsid w:val="003C1039"/>
    <w:rsid w:val="003D5483"/>
    <w:rsid w:val="003F46A3"/>
    <w:rsid w:val="00401602"/>
    <w:rsid w:val="004041B9"/>
    <w:rsid w:val="00413E09"/>
    <w:rsid w:val="00414120"/>
    <w:rsid w:val="0042217C"/>
    <w:rsid w:val="00422445"/>
    <w:rsid w:val="0042279A"/>
    <w:rsid w:val="004266D5"/>
    <w:rsid w:val="00431BD2"/>
    <w:rsid w:val="00433215"/>
    <w:rsid w:val="00441DB9"/>
    <w:rsid w:val="00444E2D"/>
    <w:rsid w:val="004503D0"/>
    <w:rsid w:val="00456E5B"/>
    <w:rsid w:val="00464CE5"/>
    <w:rsid w:val="00470327"/>
    <w:rsid w:val="00471A1A"/>
    <w:rsid w:val="00474D0B"/>
    <w:rsid w:val="004769F4"/>
    <w:rsid w:val="004842CF"/>
    <w:rsid w:val="004871DC"/>
    <w:rsid w:val="00490DFE"/>
    <w:rsid w:val="00497268"/>
    <w:rsid w:val="00497A3F"/>
    <w:rsid w:val="004A16FE"/>
    <w:rsid w:val="004A73AF"/>
    <w:rsid w:val="004B3539"/>
    <w:rsid w:val="004B373A"/>
    <w:rsid w:val="004B53ED"/>
    <w:rsid w:val="004C3A8F"/>
    <w:rsid w:val="004C6500"/>
    <w:rsid w:val="004C724A"/>
    <w:rsid w:val="004D57F4"/>
    <w:rsid w:val="004D6315"/>
    <w:rsid w:val="004D7C1F"/>
    <w:rsid w:val="004E1FC2"/>
    <w:rsid w:val="004E2C69"/>
    <w:rsid w:val="004E5D4B"/>
    <w:rsid w:val="004E6423"/>
    <w:rsid w:val="004E69B6"/>
    <w:rsid w:val="004F43C9"/>
    <w:rsid w:val="004F4695"/>
    <w:rsid w:val="00500163"/>
    <w:rsid w:val="005011C1"/>
    <w:rsid w:val="00501861"/>
    <w:rsid w:val="005222F3"/>
    <w:rsid w:val="00531033"/>
    <w:rsid w:val="00532A62"/>
    <w:rsid w:val="00541BAD"/>
    <w:rsid w:val="0054678A"/>
    <w:rsid w:val="00547232"/>
    <w:rsid w:val="00567992"/>
    <w:rsid w:val="00580093"/>
    <w:rsid w:val="00580521"/>
    <w:rsid w:val="0058395D"/>
    <w:rsid w:val="00584CEE"/>
    <w:rsid w:val="00585B95"/>
    <w:rsid w:val="0058752C"/>
    <w:rsid w:val="00587971"/>
    <w:rsid w:val="00595A09"/>
    <w:rsid w:val="005B3B8F"/>
    <w:rsid w:val="005C47C1"/>
    <w:rsid w:val="005C53E1"/>
    <w:rsid w:val="005C59F2"/>
    <w:rsid w:val="005C6E2D"/>
    <w:rsid w:val="005D2501"/>
    <w:rsid w:val="005D7498"/>
    <w:rsid w:val="005E0C3B"/>
    <w:rsid w:val="005E3550"/>
    <w:rsid w:val="005E5482"/>
    <w:rsid w:val="005E7028"/>
    <w:rsid w:val="005F3350"/>
    <w:rsid w:val="00610C5F"/>
    <w:rsid w:val="006156DD"/>
    <w:rsid w:val="0061592F"/>
    <w:rsid w:val="00616A60"/>
    <w:rsid w:val="00620B00"/>
    <w:rsid w:val="00622AE8"/>
    <w:rsid w:val="006232E0"/>
    <w:rsid w:val="0063660A"/>
    <w:rsid w:val="0064279B"/>
    <w:rsid w:val="00650608"/>
    <w:rsid w:val="006527D6"/>
    <w:rsid w:val="0065793C"/>
    <w:rsid w:val="006664A0"/>
    <w:rsid w:val="00672D6F"/>
    <w:rsid w:val="00673730"/>
    <w:rsid w:val="006838D6"/>
    <w:rsid w:val="00685403"/>
    <w:rsid w:val="006957F4"/>
    <w:rsid w:val="0069652B"/>
    <w:rsid w:val="006A52D1"/>
    <w:rsid w:val="006A5421"/>
    <w:rsid w:val="006A55B6"/>
    <w:rsid w:val="006A62B0"/>
    <w:rsid w:val="006B5217"/>
    <w:rsid w:val="006B6249"/>
    <w:rsid w:val="006D35F6"/>
    <w:rsid w:val="006D7FEB"/>
    <w:rsid w:val="006E45FC"/>
    <w:rsid w:val="007036BC"/>
    <w:rsid w:val="00712CCD"/>
    <w:rsid w:val="00713B9D"/>
    <w:rsid w:val="00716E35"/>
    <w:rsid w:val="00725E65"/>
    <w:rsid w:val="00735A04"/>
    <w:rsid w:val="00747992"/>
    <w:rsid w:val="00752480"/>
    <w:rsid w:val="007602DE"/>
    <w:rsid w:val="00760373"/>
    <w:rsid w:val="0076414B"/>
    <w:rsid w:val="007834A5"/>
    <w:rsid w:val="00783555"/>
    <w:rsid w:val="00786E6E"/>
    <w:rsid w:val="00795091"/>
    <w:rsid w:val="007A19E4"/>
    <w:rsid w:val="007A2B6C"/>
    <w:rsid w:val="007A49AA"/>
    <w:rsid w:val="007A7E17"/>
    <w:rsid w:val="007B56BA"/>
    <w:rsid w:val="007B7BE9"/>
    <w:rsid w:val="007C0BC8"/>
    <w:rsid w:val="007C5338"/>
    <w:rsid w:val="007D23F1"/>
    <w:rsid w:val="007E1819"/>
    <w:rsid w:val="007E4351"/>
    <w:rsid w:val="007E4D4B"/>
    <w:rsid w:val="007E678D"/>
    <w:rsid w:val="007F0798"/>
    <w:rsid w:val="007F24E0"/>
    <w:rsid w:val="007F2EB7"/>
    <w:rsid w:val="007F7AE6"/>
    <w:rsid w:val="008000DC"/>
    <w:rsid w:val="0080308F"/>
    <w:rsid w:val="008108DD"/>
    <w:rsid w:val="008146BC"/>
    <w:rsid w:val="00825914"/>
    <w:rsid w:val="0083125F"/>
    <w:rsid w:val="00833093"/>
    <w:rsid w:val="00834556"/>
    <w:rsid w:val="00841C23"/>
    <w:rsid w:val="00841E27"/>
    <w:rsid w:val="008443B3"/>
    <w:rsid w:val="00851689"/>
    <w:rsid w:val="00853FD5"/>
    <w:rsid w:val="00856681"/>
    <w:rsid w:val="00856E82"/>
    <w:rsid w:val="00861A50"/>
    <w:rsid w:val="00864F29"/>
    <w:rsid w:val="0086597A"/>
    <w:rsid w:val="00877160"/>
    <w:rsid w:val="008844C2"/>
    <w:rsid w:val="00884802"/>
    <w:rsid w:val="00891676"/>
    <w:rsid w:val="008A078F"/>
    <w:rsid w:val="008A44B2"/>
    <w:rsid w:val="008B12A3"/>
    <w:rsid w:val="008B2B31"/>
    <w:rsid w:val="008B47A3"/>
    <w:rsid w:val="008B6358"/>
    <w:rsid w:val="008B7CE7"/>
    <w:rsid w:val="008C35AE"/>
    <w:rsid w:val="008C4EC1"/>
    <w:rsid w:val="008D2A02"/>
    <w:rsid w:val="008E23B4"/>
    <w:rsid w:val="008E4109"/>
    <w:rsid w:val="008E6CFE"/>
    <w:rsid w:val="008F2634"/>
    <w:rsid w:val="00902004"/>
    <w:rsid w:val="00903724"/>
    <w:rsid w:val="00912185"/>
    <w:rsid w:val="009138B7"/>
    <w:rsid w:val="00922C34"/>
    <w:rsid w:val="0092410F"/>
    <w:rsid w:val="00933B08"/>
    <w:rsid w:val="0093410C"/>
    <w:rsid w:val="009347E6"/>
    <w:rsid w:val="00941B16"/>
    <w:rsid w:val="0094344C"/>
    <w:rsid w:val="00947FEB"/>
    <w:rsid w:val="00963347"/>
    <w:rsid w:val="00964DC3"/>
    <w:rsid w:val="00967832"/>
    <w:rsid w:val="00972BDD"/>
    <w:rsid w:val="00986171"/>
    <w:rsid w:val="009918C8"/>
    <w:rsid w:val="00995F01"/>
    <w:rsid w:val="009A3152"/>
    <w:rsid w:val="009A3D7B"/>
    <w:rsid w:val="009B3090"/>
    <w:rsid w:val="009C1548"/>
    <w:rsid w:val="009D2C31"/>
    <w:rsid w:val="009D473F"/>
    <w:rsid w:val="00A044E7"/>
    <w:rsid w:val="00A05F3D"/>
    <w:rsid w:val="00A060BF"/>
    <w:rsid w:val="00A070CF"/>
    <w:rsid w:val="00A13344"/>
    <w:rsid w:val="00A16C1F"/>
    <w:rsid w:val="00A17BCF"/>
    <w:rsid w:val="00A23A71"/>
    <w:rsid w:val="00A2646B"/>
    <w:rsid w:val="00A27961"/>
    <w:rsid w:val="00A31A20"/>
    <w:rsid w:val="00A353E2"/>
    <w:rsid w:val="00A409E2"/>
    <w:rsid w:val="00A45DBD"/>
    <w:rsid w:val="00A45E4F"/>
    <w:rsid w:val="00A60202"/>
    <w:rsid w:val="00A64674"/>
    <w:rsid w:val="00A65322"/>
    <w:rsid w:val="00A700BC"/>
    <w:rsid w:val="00A80F1C"/>
    <w:rsid w:val="00A920CD"/>
    <w:rsid w:val="00A95FD5"/>
    <w:rsid w:val="00A97C86"/>
    <w:rsid w:val="00AA1DAD"/>
    <w:rsid w:val="00AA4952"/>
    <w:rsid w:val="00AA73B9"/>
    <w:rsid w:val="00AB1296"/>
    <w:rsid w:val="00AD1167"/>
    <w:rsid w:val="00AD1A78"/>
    <w:rsid w:val="00AD386F"/>
    <w:rsid w:val="00AD7CF0"/>
    <w:rsid w:val="00AF24D6"/>
    <w:rsid w:val="00AF2F3B"/>
    <w:rsid w:val="00B073E7"/>
    <w:rsid w:val="00B0745F"/>
    <w:rsid w:val="00B11950"/>
    <w:rsid w:val="00B14A8B"/>
    <w:rsid w:val="00B14E75"/>
    <w:rsid w:val="00B232A0"/>
    <w:rsid w:val="00B24E18"/>
    <w:rsid w:val="00B25515"/>
    <w:rsid w:val="00B27F43"/>
    <w:rsid w:val="00B31F86"/>
    <w:rsid w:val="00B4376E"/>
    <w:rsid w:val="00B451D9"/>
    <w:rsid w:val="00B535C7"/>
    <w:rsid w:val="00B569D3"/>
    <w:rsid w:val="00B56D60"/>
    <w:rsid w:val="00B70843"/>
    <w:rsid w:val="00B73201"/>
    <w:rsid w:val="00B83D05"/>
    <w:rsid w:val="00B91B7A"/>
    <w:rsid w:val="00B92723"/>
    <w:rsid w:val="00BA0B2E"/>
    <w:rsid w:val="00BA4640"/>
    <w:rsid w:val="00BB3973"/>
    <w:rsid w:val="00BB6A7B"/>
    <w:rsid w:val="00BC01C9"/>
    <w:rsid w:val="00BC0215"/>
    <w:rsid w:val="00BC2BCD"/>
    <w:rsid w:val="00BC5229"/>
    <w:rsid w:val="00BD7340"/>
    <w:rsid w:val="00BE342C"/>
    <w:rsid w:val="00BF3E2A"/>
    <w:rsid w:val="00C01F3C"/>
    <w:rsid w:val="00C07AFE"/>
    <w:rsid w:val="00C10064"/>
    <w:rsid w:val="00C16FB7"/>
    <w:rsid w:val="00C271C3"/>
    <w:rsid w:val="00C34643"/>
    <w:rsid w:val="00C4079C"/>
    <w:rsid w:val="00C40D8A"/>
    <w:rsid w:val="00C516FB"/>
    <w:rsid w:val="00C51CBD"/>
    <w:rsid w:val="00C57C2C"/>
    <w:rsid w:val="00C6089B"/>
    <w:rsid w:val="00C618DE"/>
    <w:rsid w:val="00C63B17"/>
    <w:rsid w:val="00C70AFF"/>
    <w:rsid w:val="00C7700D"/>
    <w:rsid w:val="00C87958"/>
    <w:rsid w:val="00C9174F"/>
    <w:rsid w:val="00C941A4"/>
    <w:rsid w:val="00C968D8"/>
    <w:rsid w:val="00CA0D2D"/>
    <w:rsid w:val="00CA26CF"/>
    <w:rsid w:val="00CA4C73"/>
    <w:rsid w:val="00CB1CA3"/>
    <w:rsid w:val="00CB65F5"/>
    <w:rsid w:val="00CB78A6"/>
    <w:rsid w:val="00CD0288"/>
    <w:rsid w:val="00CD5114"/>
    <w:rsid w:val="00CE1661"/>
    <w:rsid w:val="00CF2B18"/>
    <w:rsid w:val="00D04616"/>
    <w:rsid w:val="00D11FE4"/>
    <w:rsid w:val="00D136F9"/>
    <w:rsid w:val="00D2005E"/>
    <w:rsid w:val="00D237AE"/>
    <w:rsid w:val="00D32CA6"/>
    <w:rsid w:val="00D3349A"/>
    <w:rsid w:val="00D358B1"/>
    <w:rsid w:val="00D45048"/>
    <w:rsid w:val="00D468B2"/>
    <w:rsid w:val="00D564FA"/>
    <w:rsid w:val="00D66936"/>
    <w:rsid w:val="00D66A62"/>
    <w:rsid w:val="00D74F20"/>
    <w:rsid w:val="00D82DEA"/>
    <w:rsid w:val="00D901D5"/>
    <w:rsid w:val="00D90B7D"/>
    <w:rsid w:val="00D9266F"/>
    <w:rsid w:val="00D92BCD"/>
    <w:rsid w:val="00D97812"/>
    <w:rsid w:val="00DA0CC5"/>
    <w:rsid w:val="00DA7C4B"/>
    <w:rsid w:val="00DB14B6"/>
    <w:rsid w:val="00DB1AA8"/>
    <w:rsid w:val="00DC07ED"/>
    <w:rsid w:val="00DC7406"/>
    <w:rsid w:val="00DC7B63"/>
    <w:rsid w:val="00DD6DD2"/>
    <w:rsid w:val="00DE0F4E"/>
    <w:rsid w:val="00DE1E14"/>
    <w:rsid w:val="00DF2E09"/>
    <w:rsid w:val="00DF68DE"/>
    <w:rsid w:val="00E0358E"/>
    <w:rsid w:val="00E0566D"/>
    <w:rsid w:val="00E05B9C"/>
    <w:rsid w:val="00E1328B"/>
    <w:rsid w:val="00E16E6E"/>
    <w:rsid w:val="00E20B16"/>
    <w:rsid w:val="00E272F4"/>
    <w:rsid w:val="00E33E86"/>
    <w:rsid w:val="00E35D66"/>
    <w:rsid w:val="00E438E8"/>
    <w:rsid w:val="00E44212"/>
    <w:rsid w:val="00E46962"/>
    <w:rsid w:val="00E47093"/>
    <w:rsid w:val="00E50341"/>
    <w:rsid w:val="00E53048"/>
    <w:rsid w:val="00E53601"/>
    <w:rsid w:val="00E54B57"/>
    <w:rsid w:val="00E564FB"/>
    <w:rsid w:val="00E60EA8"/>
    <w:rsid w:val="00E67D72"/>
    <w:rsid w:val="00E77761"/>
    <w:rsid w:val="00E83FFA"/>
    <w:rsid w:val="00E93586"/>
    <w:rsid w:val="00EA00D8"/>
    <w:rsid w:val="00EA0C12"/>
    <w:rsid w:val="00EA78A6"/>
    <w:rsid w:val="00EC09CF"/>
    <w:rsid w:val="00ED30C7"/>
    <w:rsid w:val="00ED3ECB"/>
    <w:rsid w:val="00EF0C48"/>
    <w:rsid w:val="00EF603D"/>
    <w:rsid w:val="00EF6C97"/>
    <w:rsid w:val="00F056B4"/>
    <w:rsid w:val="00F068DE"/>
    <w:rsid w:val="00F10F68"/>
    <w:rsid w:val="00F11BD6"/>
    <w:rsid w:val="00F220B2"/>
    <w:rsid w:val="00F25549"/>
    <w:rsid w:val="00F25F90"/>
    <w:rsid w:val="00F27E5E"/>
    <w:rsid w:val="00F305F4"/>
    <w:rsid w:val="00F32705"/>
    <w:rsid w:val="00F365D2"/>
    <w:rsid w:val="00F422EB"/>
    <w:rsid w:val="00F43503"/>
    <w:rsid w:val="00F43A6F"/>
    <w:rsid w:val="00F441DE"/>
    <w:rsid w:val="00F45904"/>
    <w:rsid w:val="00F50965"/>
    <w:rsid w:val="00F54345"/>
    <w:rsid w:val="00F609AD"/>
    <w:rsid w:val="00F61B85"/>
    <w:rsid w:val="00F63C7B"/>
    <w:rsid w:val="00F71CF4"/>
    <w:rsid w:val="00F74FAC"/>
    <w:rsid w:val="00F76097"/>
    <w:rsid w:val="00F81CFE"/>
    <w:rsid w:val="00F838D9"/>
    <w:rsid w:val="00F847E4"/>
    <w:rsid w:val="00F90174"/>
    <w:rsid w:val="00FA19FF"/>
    <w:rsid w:val="00FA65D8"/>
    <w:rsid w:val="00FB19C8"/>
    <w:rsid w:val="00FC36CC"/>
    <w:rsid w:val="00FC5595"/>
    <w:rsid w:val="00FC6AC5"/>
    <w:rsid w:val="00FD1E45"/>
    <w:rsid w:val="00FD7739"/>
    <w:rsid w:val="00FE0287"/>
    <w:rsid w:val="00FE3F40"/>
    <w:rsid w:val="00FF32B9"/>
    <w:rsid w:val="00FF5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DFAE06"/>
  <w15:docId w15:val="{04D974F6-9840-4E67-9CB8-604E8CB2E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39270D"/>
    <w:pPr>
      <w:spacing w:after="0" w:line="240" w:lineRule="atLeast"/>
      <w:ind w:left="720"/>
      <w:contextualSpacing/>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D978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7812"/>
    <w:rPr>
      <w:sz w:val="20"/>
      <w:szCs w:val="20"/>
    </w:rPr>
  </w:style>
  <w:style w:type="character" w:styleId="FootnoteReference">
    <w:name w:val="footnote reference"/>
    <w:basedOn w:val="DefaultParagraphFont"/>
    <w:uiPriority w:val="99"/>
    <w:semiHidden/>
    <w:unhideWhenUsed/>
    <w:rsid w:val="00D97812"/>
    <w:rPr>
      <w:vertAlign w:val="superscript"/>
    </w:rPr>
  </w:style>
  <w:style w:type="paragraph" w:styleId="Header">
    <w:name w:val="header"/>
    <w:basedOn w:val="Normal"/>
    <w:link w:val="HeaderChar"/>
    <w:uiPriority w:val="99"/>
    <w:unhideWhenUsed/>
    <w:rsid w:val="00DB1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AA8"/>
  </w:style>
  <w:style w:type="paragraph" w:styleId="Footer">
    <w:name w:val="footer"/>
    <w:basedOn w:val="Normal"/>
    <w:link w:val="FooterChar"/>
    <w:uiPriority w:val="99"/>
    <w:unhideWhenUsed/>
    <w:rsid w:val="00DB1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AA8"/>
  </w:style>
  <w:style w:type="paragraph" w:styleId="Bibliography">
    <w:name w:val="Bibliography"/>
    <w:basedOn w:val="Normal"/>
    <w:next w:val="Normal"/>
    <w:uiPriority w:val="37"/>
    <w:unhideWhenUsed/>
    <w:rsid w:val="00286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537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78106-7693-4CBD-80CE-0FE81FD14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4208</Words>
  <Characters>23989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Laura-Cait Driscoll (1500941)</cp:lastModifiedBy>
  <cp:revision>4</cp:revision>
  <dcterms:created xsi:type="dcterms:W3CDTF">2018-04-30T22:24:00Z</dcterms:created>
  <dcterms:modified xsi:type="dcterms:W3CDTF">2018-04-30T22:26:00Z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zotero-version="5.0.45"&gt;&lt;session id="RNFRC9xk"/&gt;&lt;style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