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6654A" w14:textId="041964F0" w:rsidR="008321FA" w:rsidRPr="008C3A08" w:rsidRDefault="008C3A08" w:rsidP="008C3A08">
      <w:pPr>
        <w:jc w:val="center"/>
        <w:rPr>
          <w:sz w:val="36"/>
          <w:szCs w:val="36"/>
        </w:rPr>
      </w:pPr>
      <w:r w:rsidRPr="008C3A08">
        <w:rPr>
          <w:b/>
          <w:bCs/>
          <w:sz w:val="36"/>
          <w:szCs w:val="36"/>
        </w:rPr>
        <w:t>Programme:</w:t>
      </w:r>
      <w:r w:rsidRPr="008C3A08">
        <w:rPr>
          <w:sz w:val="36"/>
          <w:szCs w:val="36"/>
        </w:rPr>
        <w:t xml:space="preserve"> BA (Hons) Leadership and Management Skills for the Workplace</w:t>
      </w:r>
    </w:p>
    <w:p w14:paraId="46582280" w14:textId="527E2625" w:rsidR="008C3A08" w:rsidRPr="008C3A08" w:rsidRDefault="008C3A08" w:rsidP="008C3A08">
      <w:pPr>
        <w:jc w:val="center"/>
        <w:rPr>
          <w:sz w:val="36"/>
          <w:szCs w:val="36"/>
        </w:rPr>
      </w:pPr>
      <w:r w:rsidRPr="008C3A08">
        <w:rPr>
          <w:b/>
          <w:bCs/>
          <w:sz w:val="36"/>
          <w:szCs w:val="36"/>
        </w:rPr>
        <w:t>Module:</w:t>
      </w:r>
      <w:r w:rsidRPr="008C3A08">
        <w:rPr>
          <w:sz w:val="36"/>
          <w:szCs w:val="36"/>
        </w:rPr>
        <w:t xml:space="preserve"> Organisational Culture</w:t>
      </w:r>
    </w:p>
    <w:p w14:paraId="6D066104" w14:textId="479150DF" w:rsidR="008C3A08" w:rsidRPr="008C3A08" w:rsidRDefault="008C3A08" w:rsidP="008C3A08">
      <w:pPr>
        <w:jc w:val="center"/>
        <w:rPr>
          <w:sz w:val="36"/>
          <w:szCs w:val="36"/>
        </w:rPr>
      </w:pPr>
      <w:r w:rsidRPr="008C3A08">
        <w:rPr>
          <w:b/>
          <w:bCs/>
          <w:sz w:val="36"/>
          <w:szCs w:val="36"/>
        </w:rPr>
        <w:t>Module Code:</w:t>
      </w:r>
      <w:r w:rsidRPr="008C3A08">
        <w:rPr>
          <w:sz w:val="36"/>
          <w:szCs w:val="36"/>
        </w:rPr>
        <w:t xml:space="preserve"> LCLM 5005</w:t>
      </w:r>
    </w:p>
    <w:p w14:paraId="71585F07" w14:textId="3B4C2CA9" w:rsidR="00566060" w:rsidRDefault="008C3A08" w:rsidP="00566060">
      <w:pPr>
        <w:jc w:val="center"/>
        <w:rPr>
          <w:sz w:val="36"/>
          <w:szCs w:val="36"/>
        </w:rPr>
      </w:pPr>
      <w:r w:rsidRPr="008C3A08">
        <w:rPr>
          <w:b/>
          <w:bCs/>
          <w:sz w:val="36"/>
          <w:szCs w:val="36"/>
        </w:rPr>
        <w:t>Assignment Title:</w:t>
      </w:r>
      <w:r w:rsidRPr="008C3A08">
        <w:rPr>
          <w:sz w:val="36"/>
          <w:szCs w:val="36"/>
        </w:rPr>
        <w:t xml:space="preserve"> Component 1 Organisational Culture: Individual Report</w:t>
      </w:r>
    </w:p>
    <w:p w14:paraId="3F3513C4" w14:textId="57C98773" w:rsidR="00566060" w:rsidRPr="00566060" w:rsidRDefault="00566060" w:rsidP="00566060">
      <w:pPr>
        <w:jc w:val="center"/>
        <w:rPr>
          <w:sz w:val="36"/>
          <w:szCs w:val="36"/>
        </w:rPr>
      </w:pPr>
      <w:r w:rsidRPr="00566060">
        <w:rPr>
          <w:b/>
          <w:sz w:val="36"/>
          <w:szCs w:val="36"/>
        </w:rPr>
        <w:t>Module Leader</w:t>
      </w:r>
    </w:p>
    <w:p w14:paraId="5CD1A2D9" w14:textId="02E0C749" w:rsidR="00566060" w:rsidRPr="008C3A08" w:rsidRDefault="00566060" w:rsidP="00566060">
      <w:pPr>
        <w:tabs>
          <w:tab w:val="center" w:pos="4680"/>
          <w:tab w:val="left" w:pos="6868"/>
        </w:tabs>
        <w:jc w:val="left"/>
        <w:rPr>
          <w:sz w:val="36"/>
          <w:szCs w:val="36"/>
        </w:rPr>
      </w:pPr>
      <w:r>
        <w:rPr>
          <w:b/>
          <w:sz w:val="36"/>
          <w:szCs w:val="36"/>
        </w:rPr>
        <w:tab/>
      </w:r>
      <w:r w:rsidRPr="00566060">
        <w:rPr>
          <w:b/>
          <w:sz w:val="36"/>
          <w:szCs w:val="36"/>
        </w:rPr>
        <w:t>David Oyebisi</w:t>
      </w:r>
      <w:r>
        <w:rPr>
          <w:b/>
          <w:sz w:val="36"/>
          <w:szCs w:val="36"/>
        </w:rPr>
        <w:tab/>
      </w:r>
    </w:p>
    <w:p w14:paraId="2C259BDA" w14:textId="3660A83F" w:rsidR="008C3A08" w:rsidRPr="008C3A08" w:rsidRDefault="008C3A08" w:rsidP="008C3A08">
      <w:pPr>
        <w:jc w:val="center"/>
        <w:rPr>
          <w:b/>
          <w:bCs/>
          <w:sz w:val="36"/>
          <w:szCs w:val="36"/>
        </w:rPr>
      </w:pPr>
      <w:r w:rsidRPr="008C3A08">
        <w:rPr>
          <w:b/>
          <w:bCs/>
          <w:sz w:val="36"/>
          <w:szCs w:val="36"/>
        </w:rPr>
        <w:t>Student Name:</w:t>
      </w:r>
      <w:r w:rsidR="00DD301B">
        <w:rPr>
          <w:b/>
          <w:bCs/>
          <w:sz w:val="36"/>
          <w:szCs w:val="36"/>
        </w:rPr>
        <w:t xml:space="preserve"> Musa Touray</w:t>
      </w:r>
    </w:p>
    <w:p w14:paraId="2EC831A0" w14:textId="64B512F0" w:rsidR="008C3A08" w:rsidRPr="008C3A08" w:rsidRDefault="008C3A08" w:rsidP="008C3A08">
      <w:pPr>
        <w:jc w:val="center"/>
        <w:rPr>
          <w:b/>
          <w:bCs/>
          <w:sz w:val="36"/>
          <w:szCs w:val="36"/>
        </w:rPr>
      </w:pPr>
      <w:r w:rsidRPr="008C3A08">
        <w:rPr>
          <w:b/>
          <w:bCs/>
          <w:sz w:val="36"/>
          <w:szCs w:val="36"/>
        </w:rPr>
        <w:t>Student ID:</w:t>
      </w:r>
      <w:r w:rsidR="00DD301B">
        <w:rPr>
          <w:b/>
          <w:bCs/>
          <w:sz w:val="36"/>
          <w:szCs w:val="36"/>
        </w:rPr>
        <w:t>2</w:t>
      </w:r>
      <w:r w:rsidR="008872F9">
        <w:rPr>
          <w:b/>
          <w:bCs/>
          <w:sz w:val="36"/>
          <w:szCs w:val="36"/>
        </w:rPr>
        <w:t>0</w:t>
      </w:r>
      <w:r w:rsidR="00DD301B">
        <w:rPr>
          <w:b/>
          <w:bCs/>
          <w:sz w:val="36"/>
          <w:szCs w:val="36"/>
        </w:rPr>
        <w:t>11</w:t>
      </w:r>
    </w:p>
    <w:p w14:paraId="14F25646" w14:textId="34C78138" w:rsidR="008C3A08" w:rsidRPr="008C3A08" w:rsidRDefault="008C3A08" w:rsidP="008C3A08">
      <w:pPr>
        <w:jc w:val="center"/>
        <w:rPr>
          <w:b/>
          <w:bCs/>
          <w:sz w:val="36"/>
          <w:szCs w:val="36"/>
        </w:rPr>
      </w:pPr>
      <w:r w:rsidRPr="008C3A08">
        <w:rPr>
          <w:b/>
          <w:bCs/>
          <w:sz w:val="36"/>
          <w:szCs w:val="36"/>
        </w:rPr>
        <w:t>Submission Date:</w:t>
      </w:r>
      <w:r w:rsidR="008872F9">
        <w:rPr>
          <w:b/>
          <w:bCs/>
          <w:sz w:val="36"/>
          <w:szCs w:val="36"/>
        </w:rPr>
        <w:t>09</w:t>
      </w:r>
      <w:r w:rsidR="00DD301B">
        <w:rPr>
          <w:b/>
          <w:bCs/>
          <w:sz w:val="36"/>
          <w:szCs w:val="36"/>
        </w:rPr>
        <w:t>/</w:t>
      </w:r>
      <w:r w:rsidR="008872F9">
        <w:rPr>
          <w:b/>
          <w:bCs/>
          <w:sz w:val="36"/>
          <w:szCs w:val="36"/>
        </w:rPr>
        <w:t>11</w:t>
      </w:r>
      <w:r w:rsidR="00DD301B">
        <w:rPr>
          <w:b/>
          <w:bCs/>
          <w:sz w:val="36"/>
          <w:szCs w:val="36"/>
        </w:rPr>
        <w:t>/</w:t>
      </w:r>
      <w:r w:rsidR="000344DA">
        <w:rPr>
          <w:b/>
          <w:bCs/>
          <w:sz w:val="36"/>
          <w:szCs w:val="36"/>
        </w:rPr>
        <w:t>2025</w:t>
      </w:r>
    </w:p>
    <w:p w14:paraId="2BCF4F6B" w14:textId="77777777" w:rsidR="008C3A08" w:rsidRPr="008C3A08" w:rsidRDefault="008C3A08" w:rsidP="008C3A08">
      <w:pPr>
        <w:rPr>
          <w:b/>
          <w:bCs/>
        </w:rPr>
      </w:pPr>
    </w:p>
    <w:p w14:paraId="7BA3B8E7" w14:textId="77777777" w:rsidR="008C3A08" w:rsidRPr="008C3A08" w:rsidRDefault="008C3A08" w:rsidP="008C3A08"/>
    <w:p w14:paraId="0255361C" w14:textId="77777777" w:rsidR="008321FA" w:rsidRDefault="008321FA" w:rsidP="008C3A08"/>
    <w:p w14:paraId="79880EED" w14:textId="77777777" w:rsidR="008321FA" w:rsidRDefault="008321FA" w:rsidP="008C3A08"/>
    <w:p w14:paraId="014C08AF" w14:textId="77777777" w:rsidR="008321FA" w:rsidRPr="008321FA" w:rsidRDefault="008321FA" w:rsidP="008C3A08">
      <w:pPr>
        <w:sectPr w:rsidR="008321FA" w:rsidRPr="008321FA" w:rsidSect="00D777E7">
          <w:footerReference w:type="even" r:id="rId7"/>
          <w:footerReference w:type="default" r:id="rId8"/>
          <w:footerReference w:type="first" r:id="rId9"/>
          <w:pgSz w:w="12240" w:h="15840"/>
          <w:pgMar w:top="1440" w:right="1440" w:bottom="1440" w:left="1440" w:header="720" w:footer="720" w:gutter="0"/>
          <w:cols w:space="720"/>
          <w:docGrid w:linePitch="360"/>
        </w:sectPr>
      </w:pPr>
    </w:p>
    <w:sdt>
      <w:sdtPr>
        <w:rPr>
          <w:rFonts w:ascii="Times New Roman" w:eastAsia="Calibri" w:hAnsi="Times New Roman" w:cs="Times New Roman"/>
          <w:color w:val="auto"/>
          <w:sz w:val="24"/>
          <w:szCs w:val="24"/>
        </w:rPr>
        <w:id w:val="-350798084"/>
        <w:docPartObj>
          <w:docPartGallery w:val="Table of Contents"/>
          <w:docPartUnique/>
        </w:docPartObj>
      </w:sdtPr>
      <w:sdtEndPr>
        <w:rPr>
          <w:rFonts w:cs="Calibri"/>
          <w:b/>
          <w:bCs/>
        </w:rPr>
      </w:sdtEndPr>
      <w:sdtContent>
        <w:p w14:paraId="7FBED3E2" w14:textId="0A518C9E" w:rsidR="008321FA" w:rsidRPr="008321FA" w:rsidRDefault="008321FA" w:rsidP="008C3A08">
          <w:pPr>
            <w:pStyle w:val="TOCHeading"/>
            <w:spacing w:line="360" w:lineRule="auto"/>
            <w:rPr>
              <w:rFonts w:ascii="Times New Roman" w:hAnsi="Times New Roman" w:cs="Times New Roman"/>
            </w:rPr>
          </w:pPr>
          <w:r w:rsidRPr="008321FA">
            <w:rPr>
              <w:rFonts w:ascii="Times New Roman" w:hAnsi="Times New Roman" w:cs="Times New Roman"/>
            </w:rPr>
            <w:t>Table of Contents</w:t>
          </w:r>
        </w:p>
        <w:p w14:paraId="2DD4C7A5" w14:textId="10DA6255" w:rsidR="008321FA" w:rsidRDefault="008321FA" w:rsidP="008C3A08">
          <w:pPr>
            <w:pStyle w:val="TOC1"/>
            <w:tabs>
              <w:tab w:val="right" w:leader="dot" w:pos="9350"/>
            </w:tabs>
            <w:rPr>
              <w:noProof/>
            </w:rPr>
          </w:pPr>
          <w:r>
            <w:fldChar w:fldCharType="begin"/>
          </w:r>
          <w:r>
            <w:instrText xml:space="preserve"> TOC \o "1-3" \h \z \u </w:instrText>
          </w:r>
          <w:r>
            <w:fldChar w:fldCharType="separate"/>
          </w:r>
          <w:hyperlink w:anchor="_Toc210666149" w:history="1">
            <w:r w:rsidRPr="002F61EB">
              <w:rPr>
                <w:rStyle w:val="Hyperlink"/>
                <w:noProof/>
              </w:rPr>
              <w:t>Introduction</w:t>
            </w:r>
            <w:r>
              <w:rPr>
                <w:noProof/>
                <w:webHidden/>
              </w:rPr>
              <w:tab/>
            </w:r>
            <w:r>
              <w:rPr>
                <w:noProof/>
                <w:webHidden/>
              </w:rPr>
              <w:fldChar w:fldCharType="begin"/>
            </w:r>
            <w:r>
              <w:rPr>
                <w:noProof/>
                <w:webHidden/>
              </w:rPr>
              <w:instrText xml:space="preserve"> PAGEREF _Toc210666149 \h </w:instrText>
            </w:r>
            <w:r>
              <w:rPr>
                <w:noProof/>
                <w:webHidden/>
              </w:rPr>
            </w:r>
            <w:r>
              <w:rPr>
                <w:noProof/>
                <w:webHidden/>
              </w:rPr>
              <w:fldChar w:fldCharType="separate"/>
            </w:r>
            <w:r>
              <w:rPr>
                <w:noProof/>
                <w:webHidden/>
              </w:rPr>
              <w:t>1</w:t>
            </w:r>
            <w:r>
              <w:rPr>
                <w:noProof/>
                <w:webHidden/>
              </w:rPr>
              <w:fldChar w:fldCharType="end"/>
            </w:r>
          </w:hyperlink>
        </w:p>
        <w:p w14:paraId="56FBD99C" w14:textId="5080B76F" w:rsidR="008321FA" w:rsidRDefault="008321FA" w:rsidP="008C3A08">
          <w:pPr>
            <w:pStyle w:val="TOC1"/>
            <w:tabs>
              <w:tab w:val="right" w:leader="dot" w:pos="9350"/>
            </w:tabs>
            <w:rPr>
              <w:noProof/>
            </w:rPr>
          </w:pPr>
          <w:hyperlink w:anchor="_Toc210666150" w:history="1">
            <w:r w:rsidRPr="002F61EB">
              <w:rPr>
                <w:rStyle w:val="Hyperlink"/>
                <w:noProof/>
              </w:rPr>
              <w:t>Organisational Culture Shaping Toyota’s Structure and Decision-Making</w:t>
            </w:r>
            <w:r>
              <w:rPr>
                <w:noProof/>
                <w:webHidden/>
              </w:rPr>
              <w:tab/>
            </w:r>
            <w:r>
              <w:rPr>
                <w:noProof/>
                <w:webHidden/>
              </w:rPr>
              <w:fldChar w:fldCharType="begin"/>
            </w:r>
            <w:r>
              <w:rPr>
                <w:noProof/>
                <w:webHidden/>
              </w:rPr>
              <w:instrText xml:space="preserve"> PAGEREF _Toc210666150 \h </w:instrText>
            </w:r>
            <w:r>
              <w:rPr>
                <w:noProof/>
                <w:webHidden/>
              </w:rPr>
            </w:r>
            <w:r>
              <w:rPr>
                <w:noProof/>
                <w:webHidden/>
              </w:rPr>
              <w:fldChar w:fldCharType="separate"/>
            </w:r>
            <w:r>
              <w:rPr>
                <w:noProof/>
                <w:webHidden/>
              </w:rPr>
              <w:t>1</w:t>
            </w:r>
            <w:r>
              <w:rPr>
                <w:noProof/>
                <w:webHidden/>
              </w:rPr>
              <w:fldChar w:fldCharType="end"/>
            </w:r>
          </w:hyperlink>
        </w:p>
        <w:p w14:paraId="16D81941" w14:textId="1A505873" w:rsidR="008321FA" w:rsidRDefault="008321FA" w:rsidP="008C3A08">
          <w:pPr>
            <w:pStyle w:val="TOC2"/>
            <w:tabs>
              <w:tab w:val="right" w:leader="dot" w:pos="9350"/>
            </w:tabs>
            <w:rPr>
              <w:noProof/>
            </w:rPr>
          </w:pPr>
          <w:hyperlink w:anchor="_Toc210666151" w:history="1">
            <w:r w:rsidRPr="002F61EB">
              <w:rPr>
                <w:rStyle w:val="Hyperlink"/>
                <w:noProof/>
              </w:rPr>
              <w:t>Shaping Organisational Structure</w:t>
            </w:r>
            <w:r>
              <w:rPr>
                <w:noProof/>
                <w:webHidden/>
              </w:rPr>
              <w:tab/>
            </w:r>
            <w:r>
              <w:rPr>
                <w:noProof/>
                <w:webHidden/>
              </w:rPr>
              <w:fldChar w:fldCharType="begin"/>
            </w:r>
            <w:r>
              <w:rPr>
                <w:noProof/>
                <w:webHidden/>
              </w:rPr>
              <w:instrText xml:space="preserve"> PAGEREF _Toc210666151 \h </w:instrText>
            </w:r>
            <w:r>
              <w:rPr>
                <w:noProof/>
                <w:webHidden/>
              </w:rPr>
            </w:r>
            <w:r>
              <w:rPr>
                <w:noProof/>
                <w:webHidden/>
              </w:rPr>
              <w:fldChar w:fldCharType="separate"/>
            </w:r>
            <w:r>
              <w:rPr>
                <w:noProof/>
                <w:webHidden/>
              </w:rPr>
              <w:t>1</w:t>
            </w:r>
            <w:r>
              <w:rPr>
                <w:noProof/>
                <w:webHidden/>
              </w:rPr>
              <w:fldChar w:fldCharType="end"/>
            </w:r>
          </w:hyperlink>
        </w:p>
        <w:p w14:paraId="7B4D9572" w14:textId="0AEA5E5B" w:rsidR="008321FA" w:rsidRDefault="008321FA" w:rsidP="008C3A08">
          <w:pPr>
            <w:pStyle w:val="TOC2"/>
            <w:tabs>
              <w:tab w:val="right" w:leader="dot" w:pos="9350"/>
            </w:tabs>
            <w:rPr>
              <w:noProof/>
            </w:rPr>
          </w:pPr>
          <w:hyperlink w:anchor="_Toc210666152" w:history="1">
            <w:r w:rsidRPr="002F61EB">
              <w:rPr>
                <w:rStyle w:val="Hyperlink"/>
                <w:noProof/>
              </w:rPr>
              <w:t>Shaping Organisational Decision-Making</w:t>
            </w:r>
            <w:r>
              <w:rPr>
                <w:noProof/>
                <w:webHidden/>
              </w:rPr>
              <w:tab/>
            </w:r>
            <w:r>
              <w:rPr>
                <w:noProof/>
                <w:webHidden/>
              </w:rPr>
              <w:fldChar w:fldCharType="begin"/>
            </w:r>
            <w:r>
              <w:rPr>
                <w:noProof/>
                <w:webHidden/>
              </w:rPr>
              <w:instrText xml:space="preserve"> PAGEREF _Toc210666152 \h </w:instrText>
            </w:r>
            <w:r>
              <w:rPr>
                <w:noProof/>
                <w:webHidden/>
              </w:rPr>
            </w:r>
            <w:r>
              <w:rPr>
                <w:noProof/>
                <w:webHidden/>
              </w:rPr>
              <w:fldChar w:fldCharType="separate"/>
            </w:r>
            <w:r>
              <w:rPr>
                <w:noProof/>
                <w:webHidden/>
              </w:rPr>
              <w:t>2</w:t>
            </w:r>
            <w:r>
              <w:rPr>
                <w:noProof/>
                <w:webHidden/>
              </w:rPr>
              <w:fldChar w:fldCharType="end"/>
            </w:r>
          </w:hyperlink>
        </w:p>
        <w:p w14:paraId="6A6B3783" w14:textId="16A433AC" w:rsidR="008321FA" w:rsidRDefault="008321FA" w:rsidP="008C3A08">
          <w:pPr>
            <w:pStyle w:val="TOC1"/>
            <w:tabs>
              <w:tab w:val="right" w:leader="dot" w:pos="9350"/>
            </w:tabs>
            <w:rPr>
              <w:noProof/>
            </w:rPr>
          </w:pPr>
          <w:hyperlink w:anchor="_Toc210666153" w:history="1">
            <w:r w:rsidRPr="002F61EB">
              <w:rPr>
                <w:rStyle w:val="Hyperlink"/>
                <w:noProof/>
              </w:rPr>
              <w:t>Various Types of Culture in Toyota Using Handy’s Cultural Types</w:t>
            </w:r>
            <w:r>
              <w:rPr>
                <w:noProof/>
                <w:webHidden/>
              </w:rPr>
              <w:tab/>
            </w:r>
            <w:r>
              <w:rPr>
                <w:noProof/>
                <w:webHidden/>
              </w:rPr>
              <w:fldChar w:fldCharType="begin"/>
            </w:r>
            <w:r>
              <w:rPr>
                <w:noProof/>
                <w:webHidden/>
              </w:rPr>
              <w:instrText xml:space="preserve"> PAGEREF _Toc210666153 \h </w:instrText>
            </w:r>
            <w:r>
              <w:rPr>
                <w:noProof/>
                <w:webHidden/>
              </w:rPr>
            </w:r>
            <w:r>
              <w:rPr>
                <w:noProof/>
                <w:webHidden/>
              </w:rPr>
              <w:fldChar w:fldCharType="separate"/>
            </w:r>
            <w:r>
              <w:rPr>
                <w:noProof/>
                <w:webHidden/>
              </w:rPr>
              <w:t>3</w:t>
            </w:r>
            <w:r>
              <w:rPr>
                <w:noProof/>
                <w:webHidden/>
              </w:rPr>
              <w:fldChar w:fldCharType="end"/>
            </w:r>
          </w:hyperlink>
        </w:p>
        <w:p w14:paraId="2E3D9B98" w14:textId="3A953BF9" w:rsidR="008321FA" w:rsidRDefault="008321FA" w:rsidP="008C3A08">
          <w:pPr>
            <w:pStyle w:val="TOC1"/>
            <w:tabs>
              <w:tab w:val="right" w:leader="dot" w:pos="9350"/>
            </w:tabs>
            <w:rPr>
              <w:noProof/>
            </w:rPr>
          </w:pPr>
          <w:hyperlink w:anchor="_Toc210666154" w:history="1">
            <w:r w:rsidRPr="002F61EB">
              <w:rPr>
                <w:rStyle w:val="Hyperlink"/>
                <w:noProof/>
              </w:rPr>
              <w:t>Influence of Organisational Culture on Adaptation to External Environment</w:t>
            </w:r>
            <w:r>
              <w:rPr>
                <w:noProof/>
                <w:webHidden/>
              </w:rPr>
              <w:tab/>
            </w:r>
            <w:r>
              <w:rPr>
                <w:noProof/>
                <w:webHidden/>
              </w:rPr>
              <w:fldChar w:fldCharType="begin"/>
            </w:r>
            <w:r>
              <w:rPr>
                <w:noProof/>
                <w:webHidden/>
              </w:rPr>
              <w:instrText xml:space="preserve"> PAGEREF _Toc210666154 \h </w:instrText>
            </w:r>
            <w:r>
              <w:rPr>
                <w:noProof/>
                <w:webHidden/>
              </w:rPr>
            </w:r>
            <w:r>
              <w:rPr>
                <w:noProof/>
                <w:webHidden/>
              </w:rPr>
              <w:fldChar w:fldCharType="separate"/>
            </w:r>
            <w:r>
              <w:rPr>
                <w:noProof/>
                <w:webHidden/>
              </w:rPr>
              <w:t>5</w:t>
            </w:r>
            <w:r>
              <w:rPr>
                <w:noProof/>
                <w:webHidden/>
              </w:rPr>
              <w:fldChar w:fldCharType="end"/>
            </w:r>
          </w:hyperlink>
        </w:p>
        <w:p w14:paraId="0C86EB7E" w14:textId="1DBB1C21" w:rsidR="008321FA" w:rsidRDefault="008321FA" w:rsidP="008C3A08">
          <w:pPr>
            <w:pStyle w:val="TOC1"/>
            <w:tabs>
              <w:tab w:val="right" w:leader="dot" w:pos="9350"/>
            </w:tabs>
            <w:rPr>
              <w:noProof/>
            </w:rPr>
          </w:pPr>
          <w:hyperlink w:anchor="_Toc210666155" w:history="1">
            <w:r w:rsidRPr="002F61EB">
              <w:rPr>
                <w:rStyle w:val="Hyperlink"/>
                <w:noProof/>
              </w:rPr>
              <w:t>Organisational Culture of Toyota is not a Barrier to Effective Functioning</w:t>
            </w:r>
            <w:r>
              <w:rPr>
                <w:noProof/>
                <w:webHidden/>
              </w:rPr>
              <w:tab/>
            </w:r>
            <w:r>
              <w:rPr>
                <w:noProof/>
                <w:webHidden/>
              </w:rPr>
              <w:fldChar w:fldCharType="begin"/>
            </w:r>
            <w:r>
              <w:rPr>
                <w:noProof/>
                <w:webHidden/>
              </w:rPr>
              <w:instrText xml:space="preserve"> PAGEREF _Toc210666155 \h </w:instrText>
            </w:r>
            <w:r>
              <w:rPr>
                <w:noProof/>
                <w:webHidden/>
              </w:rPr>
            </w:r>
            <w:r>
              <w:rPr>
                <w:noProof/>
                <w:webHidden/>
              </w:rPr>
              <w:fldChar w:fldCharType="separate"/>
            </w:r>
            <w:r>
              <w:rPr>
                <w:noProof/>
                <w:webHidden/>
              </w:rPr>
              <w:t>6</w:t>
            </w:r>
            <w:r>
              <w:rPr>
                <w:noProof/>
                <w:webHidden/>
              </w:rPr>
              <w:fldChar w:fldCharType="end"/>
            </w:r>
          </w:hyperlink>
        </w:p>
        <w:p w14:paraId="2F04E903" w14:textId="73465E1A" w:rsidR="008321FA" w:rsidRDefault="008321FA" w:rsidP="008C3A08">
          <w:pPr>
            <w:pStyle w:val="TOC1"/>
            <w:tabs>
              <w:tab w:val="right" w:leader="dot" w:pos="9350"/>
            </w:tabs>
            <w:rPr>
              <w:noProof/>
            </w:rPr>
          </w:pPr>
          <w:hyperlink w:anchor="_Toc210666156" w:history="1">
            <w:r w:rsidRPr="002F61EB">
              <w:rPr>
                <w:rStyle w:val="Hyperlink"/>
                <w:noProof/>
              </w:rPr>
              <w:t>Impact of Organisational Culture on Organisational Performance</w:t>
            </w:r>
            <w:r>
              <w:rPr>
                <w:noProof/>
                <w:webHidden/>
              </w:rPr>
              <w:tab/>
            </w:r>
            <w:r>
              <w:rPr>
                <w:noProof/>
                <w:webHidden/>
              </w:rPr>
              <w:fldChar w:fldCharType="begin"/>
            </w:r>
            <w:r>
              <w:rPr>
                <w:noProof/>
                <w:webHidden/>
              </w:rPr>
              <w:instrText xml:space="preserve"> PAGEREF _Toc210666156 \h </w:instrText>
            </w:r>
            <w:r>
              <w:rPr>
                <w:noProof/>
                <w:webHidden/>
              </w:rPr>
            </w:r>
            <w:r>
              <w:rPr>
                <w:noProof/>
                <w:webHidden/>
              </w:rPr>
              <w:fldChar w:fldCharType="separate"/>
            </w:r>
            <w:r>
              <w:rPr>
                <w:noProof/>
                <w:webHidden/>
              </w:rPr>
              <w:t>7</w:t>
            </w:r>
            <w:r>
              <w:rPr>
                <w:noProof/>
                <w:webHidden/>
              </w:rPr>
              <w:fldChar w:fldCharType="end"/>
            </w:r>
          </w:hyperlink>
        </w:p>
        <w:p w14:paraId="6A6BE052" w14:textId="05E79F5B" w:rsidR="008321FA" w:rsidRDefault="008321FA" w:rsidP="008C3A08">
          <w:pPr>
            <w:pStyle w:val="TOC2"/>
            <w:tabs>
              <w:tab w:val="right" w:leader="dot" w:pos="9350"/>
            </w:tabs>
            <w:rPr>
              <w:noProof/>
            </w:rPr>
          </w:pPr>
          <w:hyperlink w:anchor="_Toc210666157" w:history="1">
            <w:r w:rsidRPr="002F61EB">
              <w:rPr>
                <w:rStyle w:val="Hyperlink"/>
                <w:noProof/>
              </w:rPr>
              <w:t>Recommendations</w:t>
            </w:r>
            <w:r>
              <w:rPr>
                <w:noProof/>
                <w:webHidden/>
              </w:rPr>
              <w:tab/>
            </w:r>
            <w:r>
              <w:rPr>
                <w:noProof/>
                <w:webHidden/>
              </w:rPr>
              <w:fldChar w:fldCharType="begin"/>
            </w:r>
            <w:r>
              <w:rPr>
                <w:noProof/>
                <w:webHidden/>
              </w:rPr>
              <w:instrText xml:space="preserve"> PAGEREF _Toc210666157 \h </w:instrText>
            </w:r>
            <w:r>
              <w:rPr>
                <w:noProof/>
                <w:webHidden/>
              </w:rPr>
            </w:r>
            <w:r>
              <w:rPr>
                <w:noProof/>
                <w:webHidden/>
              </w:rPr>
              <w:fldChar w:fldCharType="separate"/>
            </w:r>
            <w:r>
              <w:rPr>
                <w:noProof/>
                <w:webHidden/>
              </w:rPr>
              <w:t>9</w:t>
            </w:r>
            <w:r>
              <w:rPr>
                <w:noProof/>
                <w:webHidden/>
              </w:rPr>
              <w:fldChar w:fldCharType="end"/>
            </w:r>
          </w:hyperlink>
        </w:p>
        <w:p w14:paraId="47898786" w14:textId="1E934704" w:rsidR="008321FA" w:rsidRDefault="008321FA" w:rsidP="008C3A08">
          <w:pPr>
            <w:pStyle w:val="TOC1"/>
            <w:tabs>
              <w:tab w:val="right" w:leader="dot" w:pos="9350"/>
            </w:tabs>
            <w:rPr>
              <w:noProof/>
            </w:rPr>
          </w:pPr>
          <w:hyperlink w:anchor="_Toc210666158" w:history="1">
            <w:r w:rsidRPr="002F61EB">
              <w:rPr>
                <w:rStyle w:val="Hyperlink"/>
                <w:noProof/>
              </w:rPr>
              <w:t>Conclusion</w:t>
            </w:r>
            <w:r>
              <w:rPr>
                <w:noProof/>
                <w:webHidden/>
              </w:rPr>
              <w:tab/>
            </w:r>
            <w:r>
              <w:rPr>
                <w:noProof/>
                <w:webHidden/>
              </w:rPr>
              <w:fldChar w:fldCharType="begin"/>
            </w:r>
            <w:r>
              <w:rPr>
                <w:noProof/>
                <w:webHidden/>
              </w:rPr>
              <w:instrText xml:space="preserve"> PAGEREF _Toc210666158 \h </w:instrText>
            </w:r>
            <w:r>
              <w:rPr>
                <w:noProof/>
                <w:webHidden/>
              </w:rPr>
            </w:r>
            <w:r>
              <w:rPr>
                <w:noProof/>
                <w:webHidden/>
              </w:rPr>
              <w:fldChar w:fldCharType="separate"/>
            </w:r>
            <w:r>
              <w:rPr>
                <w:noProof/>
                <w:webHidden/>
              </w:rPr>
              <w:t>9</w:t>
            </w:r>
            <w:r>
              <w:rPr>
                <w:noProof/>
                <w:webHidden/>
              </w:rPr>
              <w:fldChar w:fldCharType="end"/>
            </w:r>
          </w:hyperlink>
        </w:p>
        <w:p w14:paraId="02210270" w14:textId="20A53CC1" w:rsidR="008321FA" w:rsidRDefault="008321FA" w:rsidP="008C3A08">
          <w:pPr>
            <w:pStyle w:val="TOC1"/>
            <w:tabs>
              <w:tab w:val="right" w:leader="dot" w:pos="9350"/>
            </w:tabs>
            <w:rPr>
              <w:noProof/>
            </w:rPr>
          </w:pPr>
          <w:hyperlink w:anchor="_Toc210666159" w:history="1">
            <w:r w:rsidRPr="002F61EB">
              <w:rPr>
                <w:rStyle w:val="Hyperlink"/>
                <w:noProof/>
              </w:rPr>
              <w:t>References</w:t>
            </w:r>
            <w:r>
              <w:rPr>
                <w:noProof/>
                <w:webHidden/>
              </w:rPr>
              <w:tab/>
            </w:r>
            <w:r>
              <w:rPr>
                <w:noProof/>
                <w:webHidden/>
              </w:rPr>
              <w:fldChar w:fldCharType="begin"/>
            </w:r>
            <w:r>
              <w:rPr>
                <w:noProof/>
                <w:webHidden/>
              </w:rPr>
              <w:instrText xml:space="preserve"> PAGEREF _Toc210666159 \h </w:instrText>
            </w:r>
            <w:r>
              <w:rPr>
                <w:noProof/>
                <w:webHidden/>
              </w:rPr>
            </w:r>
            <w:r>
              <w:rPr>
                <w:noProof/>
                <w:webHidden/>
              </w:rPr>
              <w:fldChar w:fldCharType="separate"/>
            </w:r>
            <w:r>
              <w:rPr>
                <w:noProof/>
                <w:webHidden/>
              </w:rPr>
              <w:t>10</w:t>
            </w:r>
            <w:r>
              <w:rPr>
                <w:noProof/>
                <w:webHidden/>
              </w:rPr>
              <w:fldChar w:fldCharType="end"/>
            </w:r>
          </w:hyperlink>
        </w:p>
        <w:p w14:paraId="56D377E4" w14:textId="7E186E6F" w:rsidR="008321FA" w:rsidRDefault="008321FA" w:rsidP="008C3A08">
          <w:r>
            <w:rPr>
              <w:b/>
              <w:bCs/>
            </w:rPr>
            <w:fldChar w:fldCharType="end"/>
          </w:r>
        </w:p>
      </w:sdtContent>
    </w:sdt>
    <w:p w14:paraId="0280BDD5" w14:textId="77777777" w:rsidR="008321FA" w:rsidRDefault="008321FA" w:rsidP="008C3A08"/>
    <w:p w14:paraId="5CF5D952" w14:textId="77777777" w:rsidR="008321FA" w:rsidRPr="008321FA" w:rsidRDefault="008321FA" w:rsidP="008C3A08">
      <w:pPr>
        <w:sectPr w:rsidR="008321FA" w:rsidRPr="008321FA" w:rsidSect="00D777E7">
          <w:pgSz w:w="12240" w:h="15840"/>
          <w:pgMar w:top="1440" w:right="1440" w:bottom="1440" w:left="1440" w:header="720" w:footer="720" w:gutter="0"/>
          <w:cols w:space="720"/>
          <w:docGrid w:linePitch="360"/>
        </w:sectPr>
      </w:pPr>
    </w:p>
    <w:p w14:paraId="3A9C875D" w14:textId="3AE2F0B0" w:rsidR="00C73A74" w:rsidRDefault="007343DD" w:rsidP="008C3A08">
      <w:pPr>
        <w:pStyle w:val="Heading1"/>
      </w:pPr>
      <w:bookmarkStart w:id="0" w:name="_Toc210666149"/>
      <w:r>
        <w:lastRenderedPageBreak/>
        <w:t>Introduction</w:t>
      </w:r>
      <w:bookmarkEnd w:id="0"/>
    </w:p>
    <w:p w14:paraId="5D456029" w14:textId="411C4381" w:rsidR="007343DD" w:rsidRDefault="007343DD" w:rsidP="008C3A08">
      <w:r>
        <w:t>Organisational culture is a significant aspect of an organisation</w:t>
      </w:r>
      <w:r w:rsidR="009F2F74">
        <w:t xml:space="preserve">. Organisational culture refers to the shared values, behaviours, and beliefs within an organisation that shape how staff work and interact with one another </w:t>
      </w:r>
      <w:r w:rsidR="00E56FFD" w:rsidRPr="00E56FFD">
        <w:t>(Elsmore, 2020)</w:t>
      </w:r>
      <w:r w:rsidR="009F2F74">
        <w:t xml:space="preserve">. So, this report is going to provide an assessment of the ways organisational culture assists in shaping the structure and decision-making from the context of Toyota. </w:t>
      </w:r>
      <w:r w:rsidR="00E75204">
        <w:t>Besides, using Handy’s cultural types framework, the organisational culture of Toyota will be identified</w:t>
      </w:r>
      <w:r w:rsidR="009C4AAE">
        <w:t>, along with the influence of organisational culture in terms of adapting to the external environment. Moreover, the justification of whether the culture is a barrier or not will be illustrated, along with the impact of culture on the performance of Toyota.</w:t>
      </w:r>
    </w:p>
    <w:p w14:paraId="36A62849" w14:textId="05A927BC" w:rsidR="009C4AAE" w:rsidRDefault="005102B1" w:rsidP="008C3A08">
      <w:pPr>
        <w:pStyle w:val="Heading1"/>
      </w:pPr>
      <w:bookmarkStart w:id="1" w:name="_Toc210666150"/>
      <w:r>
        <w:t>Organisational Culture Shaping Toyota’s Structure and Decision-Making</w:t>
      </w:r>
      <w:bookmarkEnd w:id="1"/>
    </w:p>
    <w:p w14:paraId="23C1D7FD" w14:textId="2286359F" w:rsidR="005102B1" w:rsidRDefault="00A717E7" w:rsidP="008C3A08">
      <w:pPr>
        <w:pStyle w:val="Heading2"/>
      </w:pPr>
      <w:bookmarkStart w:id="2" w:name="_Toc210666151"/>
      <w:r>
        <w:t xml:space="preserve">Shaping </w:t>
      </w:r>
      <w:r w:rsidR="005102B1">
        <w:t>Organisational Structure</w:t>
      </w:r>
      <w:bookmarkEnd w:id="2"/>
    </w:p>
    <w:p w14:paraId="1361C0F2" w14:textId="1F18BF56" w:rsidR="005102B1" w:rsidRDefault="005102B1" w:rsidP="008C3A08">
      <w:r>
        <w:t xml:space="preserve">The organisational structure of Toyota reflects a </w:t>
      </w:r>
      <w:r w:rsidRPr="005102B1">
        <w:rPr>
          <w:b/>
          <w:bCs/>
        </w:rPr>
        <w:t>hybrid of decentralisation and hierarchy</w:t>
      </w:r>
      <w:r>
        <w:t xml:space="preserve">, which allows the company </w:t>
      </w:r>
      <w:r w:rsidR="00EF1690">
        <w:t>to maintain authority and decision-making flow both laterally and vertically. The company also follows a culture of “go and see for yourself”</w:t>
      </w:r>
      <w:r w:rsidR="00D76660">
        <w:t>, which has been encouraging the staff at various levels to base their decisions on data instead of abstract reports</w:t>
      </w:r>
      <w:r w:rsidR="00393760">
        <w:t xml:space="preserve"> </w:t>
      </w:r>
      <w:r w:rsidR="00393760" w:rsidRPr="00393760">
        <w:t>(Adamik and Lisowski, 2025)</w:t>
      </w:r>
      <w:r w:rsidR="00D76660">
        <w:t xml:space="preserve">. </w:t>
      </w:r>
      <w:r w:rsidR="009F1E0B">
        <w:t xml:space="preserve">This alignment has allowed the Toyota Production System to become an international benchmark in lean manufacturing, where </w:t>
      </w:r>
      <w:r w:rsidR="00311E2E">
        <w:t xml:space="preserve">cultural values that are shared shape the structural practices, such as cross-functional teams and quality circles. For example, </w:t>
      </w:r>
      <w:r w:rsidR="0001594B">
        <w:t xml:space="preserve">based on the sustainability report of </w:t>
      </w:r>
      <w:r w:rsidR="0001594B" w:rsidRPr="0001594B">
        <w:t>Toyota (2024)</w:t>
      </w:r>
      <w:r w:rsidR="0001594B">
        <w:t xml:space="preserve">, </w:t>
      </w:r>
      <w:r w:rsidR="00436E3C">
        <w:t>it has been highlighted that more than 90% of its global manufacturing plants operate within the TPS guideline framework, illustrating the cultural uniformity across various geographies.</w:t>
      </w:r>
    </w:p>
    <w:p w14:paraId="48197773" w14:textId="1A69547C" w:rsidR="00734848" w:rsidRDefault="00734848" w:rsidP="008C3A08">
      <w:r>
        <w:t xml:space="preserve">From a positive aspect, this culture-driven structure increases </w:t>
      </w:r>
      <w:r w:rsidRPr="00734848">
        <w:rPr>
          <w:b/>
          <w:bCs/>
        </w:rPr>
        <w:t>employee empowerment and collaboration</w:t>
      </w:r>
      <w:r>
        <w:t xml:space="preserve">. </w:t>
      </w:r>
      <w:r w:rsidR="00BC01CA">
        <w:t>Following the Kaizen philosophy (continuous improvement)</w:t>
      </w:r>
      <w:r w:rsidR="00A92572">
        <w:t xml:space="preserve"> encourages communication from the bottom, which allows the workers in the assembly line to stop manufacturing to correct defects, which is a structural reflection of shared accountability and cultural trust</w:t>
      </w:r>
      <w:r w:rsidR="001959AF">
        <w:t xml:space="preserve"> </w:t>
      </w:r>
      <w:r w:rsidR="001959AF" w:rsidRPr="001959AF">
        <w:t>(Guo et al., 2023)</w:t>
      </w:r>
      <w:r w:rsidR="00A92572">
        <w:t>. This leads the company to high efficiency and reliability, which contributes to the long-term profitability of Toyota.</w:t>
      </w:r>
    </w:p>
    <w:p w14:paraId="726E8905" w14:textId="35B39419" w:rsidR="00A92572" w:rsidRDefault="00A92572" w:rsidP="008C3A08">
      <w:r>
        <w:t xml:space="preserve">However, this same </w:t>
      </w:r>
      <w:r w:rsidR="00C15D6B">
        <w:t xml:space="preserve">culture can </w:t>
      </w:r>
      <w:r w:rsidR="00C15D6B">
        <w:rPr>
          <w:b/>
          <w:bCs/>
        </w:rPr>
        <w:t>slow down structural adaptation and reinforce rigidity</w:t>
      </w:r>
      <w:r w:rsidR="00C15D6B">
        <w:t xml:space="preserve">. The emphasis on seniority and consensus often results in delayed </w:t>
      </w:r>
      <w:r w:rsidR="004D6C10">
        <w:t xml:space="preserve">risk-averse decision-making and </w:t>
      </w:r>
      <w:r w:rsidR="00C15D6B">
        <w:lastRenderedPageBreak/>
        <w:t>structural reforms</w:t>
      </w:r>
      <w:r w:rsidR="001959AF">
        <w:t xml:space="preserve"> </w:t>
      </w:r>
      <w:r w:rsidR="001959AF" w:rsidRPr="001959AF">
        <w:t>(Fu, 2023)</w:t>
      </w:r>
      <w:r w:rsidR="004D6C10">
        <w:t xml:space="preserve">. </w:t>
      </w:r>
      <w:r w:rsidR="003D72D4">
        <w:t xml:space="preserve">For instance, during the </w:t>
      </w:r>
      <w:r w:rsidR="00AD157C">
        <w:t>recall crisis in 2010, the hierarchical communication channels of Toyota hindered the swift responses to safety issues, which exposed cultural inflexibility</w:t>
      </w:r>
      <w:r w:rsidR="004A7C46">
        <w:t xml:space="preserve"> </w:t>
      </w:r>
      <w:r w:rsidR="004A7C46" w:rsidRPr="004A7C46">
        <w:t>(Sekar, 2024)</w:t>
      </w:r>
      <w:r w:rsidR="004A7C46">
        <w:t>.</w:t>
      </w:r>
    </w:p>
    <w:p w14:paraId="37FAB3DA" w14:textId="53137F9F" w:rsidR="00CD7100" w:rsidRDefault="00A717E7" w:rsidP="008C3A08">
      <w:pPr>
        <w:pStyle w:val="Heading2"/>
      </w:pPr>
      <w:bookmarkStart w:id="3" w:name="_Toc210666152"/>
      <w:r>
        <w:t>Shaping Organisational Decision-Making</w:t>
      </w:r>
      <w:bookmarkEnd w:id="3"/>
    </w:p>
    <w:p w14:paraId="1ECBBF00" w14:textId="5D9763F1" w:rsidR="00A717E7" w:rsidRDefault="00660ECD" w:rsidP="008C3A08">
      <w:r>
        <w:t xml:space="preserve">The organisational culture of Toyota also shapes the decision-making process, which </w:t>
      </w:r>
      <w:r w:rsidR="00AF080C">
        <w:t>is</w:t>
      </w:r>
      <w:r>
        <w:t xml:space="preserve"> also guided by the values of continuous improvement and </w:t>
      </w:r>
      <w:r w:rsidR="00AF080C">
        <w:t xml:space="preserve">the </w:t>
      </w:r>
      <w:r>
        <w:t xml:space="preserve">“go and see for yourself” motto, and </w:t>
      </w:r>
      <w:r w:rsidR="00CA519D">
        <w:t xml:space="preserve">consensus-building. These principles seem to promote </w:t>
      </w:r>
      <w:r w:rsidR="00AF080C">
        <w:t xml:space="preserve">an </w:t>
      </w:r>
      <w:r w:rsidR="00CA519D">
        <w:t>inclusive, evidence-based, and improvement-oriented decision-making process</w:t>
      </w:r>
      <w:r w:rsidR="0098453D">
        <w:t xml:space="preserve"> </w:t>
      </w:r>
      <w:r w:rsidR="0098453D" w:rsidRPr="0098453D">
        <w:t>(Ferreira et al., 2022)</w:t>
      </w:r>
      <w:r w:rsidR="00CA519D">
        <w:t xml:space="preserve">. Toyota’s managers are also expected to </w:t>
      </w:r>
      <w:r w:rsidR="007015D3">
        <w:t xml:space="preserve">investigate various issues personally before ensuring accuracy and accountability. </w:t>
      </w:r>
      <w:r w:rsidR="00AF080C">
        <w:t>So, this approach seems to support the reputation of Toyota for maintaining product reliability and operational precision, which is reflected in Toyota’s global vehicle quality</w:t>
      </w:r>
      <w:r w:rsidR="006044B4">
        <w:t xml:space="preserve"> reputation across the world.</w:t>
      </w:r>
    </w:p>
    <w:p w14:paraId="48FB28DA" w14:textId="20C45515" w:rsidR="006044B4" w:rsidRDefault="006044B4" w:rsidP="008C3A08">
      <w:r>
        <w:t xml:space="preserve">From a positive aspect, this organisational culture of Toyota fosters informed decisions, along with the involvement of employees. </w:t>
      </w:r>
      <w:r w:rsidR="00C32E4D">
        <w:t xml:space="preserve">The Kaizen principle </w:t>
      </w:r>
      <w:r w:rsidR="00925113">
        <w:t>empowers all employees to propose improvement</w:t>
      </w:r>
      <w:r w:rsidR="00411239">
        <w:t xml:space="preserve">s, integrating the decision-making </w:t>
      </w:r>
      <w:r w:rsidR="00D2001F">
        <w:t>at</w:t>
      </w:r>
      <w:r w:rsidR="00411239">
        <w:t xml:space="preserve"> various leve</w:t>
      </w:r>
      <w:r w:rsidR="00D2001F">
        <w:t xml:space="preserve">ls. Based on the report of the </w:t>
      </w:r>
      <w:r w:rsidR="00D2001F" w:rsidRPr="00D2001F">
        <w:t>Talent Management Institute (2024)</w:t>
      </w:r>
      <w:r w:rsidR="00D2001F">
        <w:t xml:space="preserve">, the reports of Toyota illustrated that more than a million improvement suggestions were applied annually, which demonstrated a continuous engagement culture and shared ownership. So, this shows </w:t>
      </w:r>
      <w:r w:rsidR="008F2986">
        <w:t>that participatory decision-making helps in strengthening innovation, motivation, and long-term sustainability.</w:t>
      </w:r>
    </w:p>
    <w:p w14:paraId="630FE28C" w14:textId="2291EF43" w:rsidR="008F2986" w:rsidRDefault="008F2986" w:rsidP="008C3A08">
      <w:r>
        <w:t xml:space="preserve">However, </w:t>
      </w:r>
      <w:r w:rsidR="000C79DE">
        <w:t xml:space="preserve">the </w:t>
      </w:r>
      <w:r w:rsidR="000C79DE">
        <w:rPr>
          <w:b/>
          <w:bCs/>
        </w:rPr>
        <w:t>consensus-based model</w:t>
      </w:r>
      <w:r w:rsidR="000C79DE">
        <w:t xml:space="preserve"> </w:t>
      </w:r>
      <w:r w:rsidR="000C79DE">
        <w:rPr>
          <w:b/>
          <w:bCs/>
        </w:rPr>
        <w:t>can hinder the agility</w:t>
      </w:r>
      <w:r w:rsidR="000C79DE">
        <w:t xml:space="preserve"> of Toyota. The consensus-based practice of Toyota</w:t>
      </w:r>
      <w:r w:rsidR="00702BB4">
        <w:t xml:space="preserve"> needs extensive consultation, which often seems to delay the strategic actions. This cultural trait became a hindrance, which was seen during the recall crisis in 2010, when the slow and cautious decision-making of Toyota led to a temporary sales decline of around 16% in North America, with damage to the reputation</w:t>
      </w:r>
      <w:r w:rsidR="00D11C1E">
        <w:t xml:space="preserve"> </w:t>
      </w:r>
      <w:r w:rsidR="00D11C1E" w:rsidRPr="00D11C1E">
        <w:t>(Faraj and Milod, 2024)</w:t>
      </w:r>
      <w:r w:rsidR="00D11C1E">
        <w:t>. Furthermore, the avoidance of conformation and deference to hierarchy can suppress dissenting opinions and limit innovation, along with responsiveness in the fast-paced automotive market.</w:t>
      </w:r>
    </w:p>
    <w:p w14:paraId="339F135E" w14:textId="68915B3C" w:rsidR="00D11C1E" w:rsidRDefault="00AF7F0E" w:rsidP="008C3A08">
      <w:pPr>
        <w:pStyle w:val="Heading1"/>
      </w:pPr>
      <w:bookmarkStart w:id="4" w:name="_Toc210666153"/>
      <w:r>
        <w:lastRenderedPageBreak/>
        <w:t>Various Types of Culture in Toyota Using Handy’s Cultural Types</w:t>
      </w:r>
      <w:bookmarkEnd w:id="4"/>
    </w:p>
    <w:p w14:paraId="00114419" w14:textId="3124709C" w:rsidR="00AF7F0E" w:rsidRDefault="00583BC4" w:rsidP="008C3A08">
      <w:pPr>
        <w:jc w:val="center"/>
      </w:pPr>
      <w:r w:rsidRPr="00583BC4">
        <w:rPr>
          <w:noProof/>
        </w:rPr>
        <w:drawing>
          <wp:inline distT="0" distB="0" distL="0" distR="0" wp14:anchorId="10C9CDA9" wp14:editId="6A94D8C5">
            <wp:extent cx="4330512" cy="2654290"/>
            <wp:effectExtent l="0" t="0" r="0" b="0"/>
            <wp:docPr id="1474436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36141" name=""/>
                    <pic:cNvPicPr/>
                  </pic:nvPicPr>
                  <pic:blipFill>
                    <a:blip r:embed="rId10"/>
                    <a:stretch>
                      <a:fillRect/>
                    </a:stretch>
                  </pic:blipFill>
                  <pic:spPr>
                    <a:xfrm>
                      <a:off x="0" y="0"/>
                      <a:ext cx="4333528" cy="2656138"/>
                    </a:xfrm>
                    <a:prstGeom prst="rect">
                      <a:avLst/>
                    </a:prstGeom>
                  </pic:spPr>
                </pic:pic>
              </a:graphicData>
            </a:graphic>
          </wp:inline>
        </w:drawing>
      </w:r>
    </w:p>
    <w:p w14:paraId="698A4AC5" w14:textId="45EB4147" w:rsidR="004832DE" w:rsidRDefault="004832DE" w:rsidP="008C3A08">
      <w:pPr>
        <w:jc w:val="center"/>
      </w:pPr>
      <w:r>
        <w:t>Figure: Handy Model of Organisational Culture.</w:t>
      </w:r>
    </w:p>
    <w:p w14:paraId="02701038" w14:textId="7D75F427" w:rsidR="004832DE" w:rsidRDefault="004832DE" w:rsidP="008C3A08">
      <w:pPr>
        <w:jc w:val="center"/>
      </w:pPr>
      <w:r>
        <w:t xml:space="preserve">Source: </w:t>
      </w:r>
      <w:r w:rsidRPr="004832DE">
        <w:t>(Mulder, 2023)</w:t>
      </w:r>
      <w:r>
        <w:t>.</w:t>
      </w:r>
    </w:p>
    <w:p w14:paraId="4842EC07" w14:textId="479C1C3E" w:rsidR="004832DE" w:rsidRDefault="00856562" w:rsidP="008C3A08">
      <w:r>
        <w:rPr>
          <w:b/>
          <w:bCs/>
        </w:rPr>
        <w:t>Power Culture:</w:t>
      </w:r>
      <w:r>
        <w:t xml:space="preserve"> In this culture type, the centralised authority is seen in which control is kept in the hands of senior leaders. During the early years of Toyota,</w:t>
      </w:r>
      <w:r w:rsidR="00857182">
        <w:t xml:space="preserve"> with the leadership of Kiichiro Toyoda, this culture was seen in the company</w:t>
      </w:r>
      <w:r w:rsidR="0098453D">
        <w:t xml:space="preserve"> </w:t>
      </w:r>
      <w:r w:rsidR="0098453D" w:rsidRPr="0098453D">
        <w:t>(Morgan and Liker, 2020)</w:t>
      </w:r>
      <w:r w:rsidR="00857182">
        <w:t xml:space="preserve">. At that time, the strategic decision about the manufacturing approaches, such as the development of the Toyota Production System, was influenced by the vision of the top management. </w:t>
      </w:r>
      <w:r w:rsidR="002F158C">
        <w:t xml:space="preserve">Besides, the Japanese corporate traditional nature is to respect the seniors and the decisions of the top management. </w:t>
      </w:r>
      <w:r w:rsidR="003464FE">
        <w:t xml:space="preserve">However, even in </w:t>
      </w:r>
      <w:r w:rsidR="00D777CF">
        <w:t xml:space="preserve">the </w:t>
      </w:r>
      <w:r w:rsidR="003464FE">
        <w:t xml:space="preserve">current time, major strategic decisions </w:t>
      </w:r>
      <w:r w:rsidR="00D777CF">
        <w:t xml:space="preserve">are being made, </w:t>
      </w:r>
      <w:r w:rsidR="003464FE">
        <w:t>like the shifts</w:t>
      </w:r>
      <w:r w:rsidR="00D777CF">
        <w:t xml:space="preserve"> towards hydrogen and electric vehicles</w:t>
      </w:r>
      <w:r w:rsidR="0098453D">
        <w:t xml:space="preserve"> </w:t>
      </w:r>
      <w:r w:rsidR="0098453D" w:rsidRPr="0098453D">
        <w:t>(Elsmore, 2020)</w:t>
      </w:r>
      <w:r w:rsidR="00D777CF">
        <w:t xml:space="preserve">. </w:t>
      </w:r>
      <w:r w:rsidR="006444DD">
        <w:t>These are approved by the higher management. Even though th</w:t>
      </w:r>
      <w:r w:rsidR="002B36F2">
        <w:t xml:space="preserve">is </w:t>
      </w:r>
      <w:r w:rsidR="006444DD">
        <w:t>structur</w:t>
      </w:r>
      <w:r w:rsidR="002B36F2">
        <w:t xml:space="preserve">e </w:t>
      </w:r>
      <w:r w:rsidR="006444DD">
        <w:t>ensure</w:t>
      </w:r>
      <w:r w:rsidR="002B36F2">
        <w:t>s</w:t>
      </w:r>
      <w:r w:rsidR="006444DD">
        <w:t xml:space="preserve"> unified direction and consistency, it can often limit </w:t>
      </w:r>
      <w:r w:rsidR="002B36F2">
        <w:t>instant decision-making at the regional levels and delay the innovation process.</w:t>
      </w:r>
    </w:p>
    <w:p w14:paraId="147BB23A" w14:textId="6F5B09A1" w:rsidR="002B36F2" w:rsidRDefault="002B36F2" w:rsidP="008C3A08">
      <w:r>
        <w:rPr>
          <w:b/>
          <w:bCs/>
        </w:rPr>
        <w:t>Role Culture:</w:t>
      </w:r>
      <w:r>
        <w:t xml:space="preserve"> </w:t>
      </w:r>
      <w:r w:rsidR="00705069">
        <w:t xml:space="preserve">This culture type is defined by clearly stated responsibilities, bureaucracy, and structured processes, which </w:t>
      </w:r>
      <w:r w:rsidR="005C4D89">
        <w:t>are</w:t>
      </w:r>
      <w:r w:rsidR="00705069">
        <w:t xml:space="preserve"> also evident in Toyota</w:t>
      </w:r>
      <w:r w:rsidR="00931077">
        <w:t>.</w:t>
      </w:r>
      <w:r w:rsidR="005C4D89">
        <w:t xml:space="preserve"> Besides, the TPS system itself seems to institutionalise the processes, </w:t>
      </w:r>
      <w:r w:rsidR="008F536F">
        <w:t xml:space="preserve">such as automation with human touch, Just-in-Time production, and </w:t>
      </w:r>
      <w:r w:rsidR="00A65FEB">
        <w:t xml:space="preserve">a </w:t>
      </w:r>
      <w:r w:rsidR="008F536F">
        <w:t>continuous improvement cycle. These approaches and systems rely on accountability and clear job roles within a hierarchical structure</w:t>
      </w:r>
      <w:r w:rsidR="007C4382">
        <w:t xml:space="preserve"> </w:t>
      </w:r>
      <w:r w:rsidR="007C4382" w:rsidRPr="007C4382">
        <w:t>(Morgan and Liker, 2020)</w:t>
      </w:r>
      <w:r w:rsidR="008F536F">
        <w:t xml:space="preserve">. </w:t>
      </w:r>
      <w:r w:rsidR="00063F2F">
        <w:t xml:space="preserve">Furthermore, this cultural aspect helps in supporting the commitment of Toyota in terms of operational excellence and quality by reducing ambiguity. For instance, </w:t>
      </w:r>
      <w:r w:rsidR="00A925FC">
        <w:t xml:space="preserve">every employee in the company understands their </w:t>
      </w:r>
      <w:r w:rsidR="00A925FC">
        <w:lastRenderedPageBreak/>
        <w:t xml:space="preserve">specific role during quality control, and any </w:t>
      </w:r>
      <w:r w:rsidR="00BB61FE">
        <w:t>deviation</w:t>
      </w:r>
      <w:r w:rsidR="00A925FC">
        <w:t xml:space="preserve"> from the standard process is corrected instantly. </w:t>
      </w:r>
      <w:r w:rsidR="00BB61FE">
        <w:t>However, the formalism structure also creates rigidity</w:t>
      </w:r>
      <w:r w:rsidR="00AB1CBA">
        <w:t>, which was seen during the initial struggle of Toyota to decentralise the decision-making process at the time of global expansion.</w:t>
      </w:r>
    </w:p>
    <w:p w14:paraId="0F078BF3" w14:textId="4C2C2E65" w:rsidR="00AB1CBA" w:rsidRDefault="00AB1CBA" w:rsidP="008C3A08">
      <w:r>
        <w:rPr>
          <w:b/>
          <w:bCs/>
        </w:rPr>
        <w:t>Task Culture:</w:t>
      </w:r>
      <w:r>
        <w:t xml:space="preserve"> This organisational culture type focuses on project collaboration and teamwork, which is also seen in Toyota’s operations. </w:t>
      </w:r>
      <w:r w:rsidR="00274D57">
        <w:t xml:space="preserve">The philosophy of the company of continuous improvement reflects a task-oriented method in which cross-functional teams work together to solve </w:t>
      </w:r>
      <w:r w:rsidR="00322917">
        <w:t>various problems and drive process improvements</w:t>
      </w:r>
      <w:r w:rsidR="0098453D">
        <w:t xml:space="preserve"> </w:t>
      </w:r>
      <w:r w:rsidR="0098453D" w:rsidRPr="0098453D">
        <w:t>(Sharp, Dawes and Victory, 2024)</w:t>
      </w:r>
      <w:r w:rsidR="00322917">
        <w:t>. This culture type also encourages problem-solving and innovation with the assistance of quality circles</w:t>
      </w:r>
      <w:r w:rsidR="00180756">
        <w:t xml:space="preserve"> to discuss improvements. For example, at the time of launching hybrid technology for the Prius model, Toyota integrated marketers, engineers, and suppliers in a collaborative structure</w:t>
      </w:r>
      <w:r w:rsidR="00DA34F2">
        <w:t>, which showed a task culture. So, this cross-departmental collaboration led the company to achieve a leadership position in hybrid vehicles, with more than 20 million sales of hybrid cars recorded by 2023</w:t>
      </w:r>
      <w:r w:rsidR="00E33EC4">
        <w:t xml:space="preserve"> </w:t>
      </w:r>
      <w:r w:rsidR="007D7558" w:rsidRPr="007D7558">
        <w:t>(Toyota, 2024)</w:t>
      </w:r>
      <w:r w:rsidR="00E33EC4">
        <w:t>.</w:t>
      </w:r>
    </w:p>
    <w:p w14:paraId="2405FC8B" w14:textId="00A07158" w:rsidR="001D14D4" w:rsidRDefault="001D14D4" w:rsidP="008C3A08">
      <w:r>
        <w:rPr>
          <w:b/>
          <w:bCs/>
        </w:rPr>
        <w:t>Person Culture:</w:t>
      </w:r>
      <w:r>
        <w:t xml:space="preserve"> Person culture in Toyota is less dominant, but can be observed in the approach to employee respect and providing opportunities for individual development. The organisation also </w:t>
      </w:r>
      <w:r w:rsidR="00481BE9">
        <w:t>invests in the training and development of employees and values long-term employment for people. This is because the company knows that employees are the assets instead of replaceable resources</w:t>
      </w:r>
      <w:r w:rsidR="007D7558">
        <w:t xml:space="preserve"> </w:t>
      </w:r>
      <w:r w:rsidR="007D7558" w:rsidRPr="007D7558">
        <w:t>(</w:t>
      </w:r>
      <w:proofErr w:type="spellStart"/>
      <w:r w:rsidR="007D7558" w:rsidRPr="007D7558">
        <w:t>Jakhongir</w:t>
      </w:r>
      <w:proofErr w:type="spellEnd"/>
      <w:r w:rsidR="007D7558" w:rsidRPr="007D7558">
        <w:t>, 2025)</w:t>
      </w:r>
      <w:r w:rsidR="00481BE9">
        <w:t xml:space="preserve">. </w:t>
      </w:r>
      <w:r w:rsidR="00903F33">
        <w:t>So, the company has taken various initiatives, such as the leadership development programs that help in empowering people to take ownership of their overall work and align with their personal growth with the objectives of the organisation.</w:t>
      </w:r>
    </w:p>
    <w:p w14:paraId="7E3F5E0A" w14:textId="6C733DCD" w:rsidR="00903F33" w:rsidRDefault="003D7367" w:rsidP="008C3A08">
      <w:r>
        <w:t xml:space="preserve">Toyota’s dominant organisational culture currently shows a hybrid approach of </w:t>
      </w:r>
      <w:r w:rsidRPr="003D7367">
        <w:rPr>
          <w:b/>
          <w:bCs/>
        </w:rPr>
        <w:t>task and role cultures</w:t>
      </w:r>
      <w:r w:rsidR="008B3E4A">
        <w:t xml:space="preserve">, matching collaboration with discipline. The framework called </w:t>
      </w:r>
      <w:r w:rsidR="00B32666">
        <w:t xml:space="preserve">“Toyota Way 2020” focuses on continuous improvement and respect for senior management, which shows the embeddedness of </w:t>
      </w:r>
      <w:r w:rsidR="008259E2">
        <w:t>structured processes and</w:t>
      </w:r>
      <w:r w:rsidR="00C94D04">
        <w:t>,</w:t>
      </w:r>
      <w:r w:rsidR="008259E2">
        <w:t xml:space="preserve"> at the same time, </w:t>
      </w:r>
      <w:r w:rsidR="00C94D04">
        <w:t>empowers</w:t>
      </w:r>
      <w:r w:rsidR="008259E2">
        <w:t xml:space="preserve"> local problem-solving and teamwork</w:t>
      </w:r>
      <w:r w:rsidR="007D7558">
        <w:t xml:space="preserve"> </w:t>
      </w:r>
      <w:r w:rsidR="007D7558" w:rsidRPr="007D7558">
        <w:t>(Toyota, 2023)</w:t>
      </w:r>
      <w:r w:rsidR="008259E2">
        <w:t xml:space="preserve">. </w:t>
      </w:r>
      <w:r w:rsidR="00C94D04">
        <w:t>This dual culture also supports global consistency yet enables adaptability across various regions</w:t>
      </w:r>
      <w:r w:rsidR="00C946C6">
        <w:t xml:space="preserve">, which makes Toyota an innovative and resilient company in the competitive automobile market. </w:t>
      </w:r>
      <w:r w:rsidR="00C37E39">
        <w:t>However, since sustainability trends and globalisation have increased, Toyota has been facing challe</w:t>
      </w:r>
      <w:r w:rsidR="00230484">
        <w:t>nge</w:t>
      </w:r>
      <w:r w:rsidR="006C678E">
        <w:t xml:space="preserve">s like maintaining a process-driven and disciplined culture </w:t>
      </w:r>
      <w:r w:rsidR="00093441">
        <w:t>in terms of fostering creativity, flexibility, and cultural inclusivity</w:t>
      </w:r>
      <w:r w:rsidR="00223322">
        <w:t xml:space="preserve"> across the international workforce.</w:t>
      </w:r>
    </w:p>
    <w:p w14:paraId="6C4393F7" w14:textId="0F8AE7BF" w:rsidR="00223322" w:rsidRDefault="00A65FEB" w:rsidP="008C3A08">
      <w:pPr>
        <w:pStyle w:val="Heading1"/>
      </w:pPr>
      <w:bookmarkStart w:id="5" w:name="_Toc210666154"/>
      <w:r>
        <w:lastRenderedPageBreak/>
        <w:t>Influence of Organisational Culture on Adaptation to External Environment</w:t>
      </w:r>
      <w:bookmarkEnd w:id="5"/>
    </w:p>
    <w:p w14:paraId="17CBFA52" w14:textId="677CB741" w:rsidR="00A65FEB" w:rsidRDefault="00A65FEB" w:rsidP="008C3A08">
      <w:r>
        <w:rPr>
          <w:b/>
          <w:bCs/>
        </w:rPr>
        <w:t>Advancements in Technology:</w:t>
      </w:r>
      <w:r>
        <w:t xml:space="preserve"> </w:t>
      </w:r>
      <w:r w:rsidR="007761FB">
        <w:t>The organisational culture of Toyota, which is centred on continuous improvement and a hybrid of role and task cultures, enables the company to adapt effectively to the rapid changes of technologies in the global automobile industry</w:t>
      </w:r>
      <w:r w:rsidR="007D7558">
        <w:t xml:space="preserve"> </w:t>
      </w:r>
      <w:r w:rsidR="007D7558" w:rsidRPr="007D7558">
        <w:t>(Sharp, Dawes and Victory, 2024)</w:t>
      </w:r>
      <w:r w:rsidR="007761FB">
        <w:t xml:space="preserve">. These cultural aspects of the company </w:t>
      </w:r>
      <w:r w:rsidR="00762DEE">
        <w:t xml:space="preserve">inspire innovation with the assistance of learning and cross-functional collaboration, which seems to support the leadership of Toyota in leaning towards hydrogen and hybrid technologies. For instance, </w:t>
      </w:r>
      <w:r w:rsidR="00536648">
        <w:t xml:space="preserve">the “Woven Planet Holdings” and “Toyota Research Institute” drive </w:t>
      </w:r>
      <w:r w:rsidR="0045356F">
        <w:t>the research and development in autonomous driving, AI implementation, and mobility, which align with the innovation-oriented culture of Toyota</w:t>
      </w:r>
      <w:r w:rsidR="00B70BB5">
        <w:t xml:space="preserve"> </w:t>
      </w:r>
      <w:r w:rsidR="00B70BB5" w:rsidRPr="00B70BB5">
        <w:t>(Toyota, 2024)</w:t>
      </w:r>
      <w:r w:rsidR="0045356F">
        <w:t xml:space="preserve">. Besides, this culture of the company has led to </w:t>
      </w:r>
      <w:r w:rsidR="00235081">
        <w:t>the production of</w:t>
      </w:r>
      <w:r w:rsidR="0045356F">
        <w:t xml:space="preserve"> over 2,500 patents related to hydrogen fuel cells by 2024</w:t>
      </w:r>
      <w:r w:rsidR="00235081">
        <w:t>, supporting its adaptability to technology-driven shifts in the market toward low-emission vehicles</w:t>
      </w:r>
      <w:r w:rsidR="00B70BB5">
        <w:t xml:space="preserve"> </w:t>
      </w:r>
      <w:r w:rsidR="00B70BB5" w:rsidRPr="00B70BB5">
        <w:t>(Toyota, 2025)</w:t>
      </w:r>
      <w:r w:rsidR="00B70BB5">
        <w:t>.</w:t>
      </w:r>
    </w:p>
    <w:p w14:paraId="589AAB01" w14:textId="2A69E7C0" w:rsidR="00B70BB5" w:rsidRDefault="00B70BB5" w:rsidP="008C3A08">
      <w:r>
        <w:rPr>
          <w:b/>
          <w:bCs/>
        </w:rPr>
        <w:t>Market and Economic Pressure:</w:t>
      </w:r>
      <w:r>
        <w:t xml:space="preserve"> Besides, the lean management culture of Toyota </w:t>
      </w:r>
      <w:r w:rsidR="0072705E">
        <w:t xml:space="preserve">provides resilience in various fluctuating economic conditions. The TPS system of Toyota ensures the effective usage of various resources with the assistance of the Just-in-Time principle, which </w:t>
      </w:r>
      <w:r w:rsidR="00952927">
        <w:t>allows</w:t>
      </w:r>
      <w:r w:rsidR="0072705E">
        <w:t xml:space="preserve"> the company to maintain its profitability during economic downturn</w:t>
      </w:r>
      <w:r w:rsidR="007D7558">
        <w:t xml:space="preserve"> </w:t>
      </w:r>
      <w:r w:rsidR="007D7558" w:rsidRPr="007D7558">
        <w:t>(Toyota, 2023)</w:t>
      </w:r>
      <w:r w:rsidR="0072705E">
        <w:t xml:space="preserve">. </w:t>
      </w:r>
      <w:r w:rsidR="00952927">
        <w:t>During the pandemic, the disciplined culture of Toyota, along with the task culture, allowed the company a rapidly restructure of supply chain</w:t>
      </w:r>
      <w:r w:rsidR="00B6318A">
        <w:t xml:space="preserve">, which has helped in minimising production delays and inventory waste </w:t>
      </w:r>
      <w:r w:rsidR="00B6318A" w:rsidRPr="00B6318A">
        <w:t>(Fu, 2023)</w:t>
      </w:r>
      <w:r w:rsidR="00B6318A">
        <w:t xml:space="preserve">. </w:t>
      </w:r>
      <w:r w:rsidR="00FE1E8A">
        <w:t>Furthermore, the collaborative decision-making and fiscal discipline have helped the company in achieving a 10% operating margin during 2023</w:t>
      </w:r>
      <w:r w:rsidR="00DA197E">
        <w:t xml:space="preserve"> by outperforming many competitors in the industry (</w:t>
      </w:r>
      <w:r w:rsidR="00DA197E" w:rsidRPr="00DA197E">
        <w:t>Sharp, Dawes and Victory</w:t>
      </w:r>
      <w:r w:rsidR="00DA197E">
        <w:t xml:space="preserve">, </w:t>
      </w:r>
      <w:r w:rsidR="00DA197E" w:rsidRPr="00DA197E">
        <w:t>2024)</w:t>
      </w:r>
      <w:r w:rsidR="00DA197E">
        <w:t>. However, the emphasis of the same culture on long-term sustainability results in cautious investment decisions, which have delayed the aggressive expansion in EVs compared to other electric vehicle manufacturing companies.</w:t>
      </w:r>
    </w:p>
    <w:p w14:paraId="01E3FE8D" w14:textId="54F37F59" w:rsidR="00DA197E" w:rsidRDefault="00DA197E" w:rsidP="008C3A08">
      <w:r>
        <w:rPr>
          <w:b/>
          <w:bCs/>
        </w:rPr>
        <w:t>Environmental Sustainability:</w:t>
      </w:r>
      <w:r>
        <w:t xml:space="preserve"> </w:t>
      </w:r>
      <w:r w:rsidR="00811B02">
        <w:t xml:space="preserve">The person culture aspects of Toyota extend to environmental stewardship. </w:t>
      </w:r>
      <w:r w:rsidR="00CA3520">
        <w:t xml:space="preserve">Toyota’s initiative of “Toyota Environmental Challenge 2050” </w:t>
      </w:r>
      <w:r w:rsidR="006F6D44">
        <w:t xml:space="preserve">is </w:t>
      </w:r>
      <w:r w:rsidR="00CA3520">
        <w:t xml:space="preserve">to achieve carbon neutrality across vehicles and </w:t>
      </w:r>
      <w:r w:rsidR="006F6D44">
        <w:t>operations</w:t>
      </w:r>
      <w:r w:rsidR="00C27E6D">
        <w:t xml:space="preserve"> </w:t>
      </w:r>
      <w:r w:rsidR="00C27E6D" w:rsidRPr="00C27E6D">
        <w:t>(Toyota, 2023)</w:t>
      </w:r>
      <w:r w:rsidR="006F6D44">
        <w:t xml:space="preserve">. Furthermore, the culture of continuous improvement inspires incremental innovation in the environment, which has led the company to continuous reductions in emissions and waste. </w:t>
      </w:r>
      <w:r w:rsidR="00814987">
        <w:t xml:space="preserve">The hybrid technology of Toyota, which was first </w:t>
      </w:r>
      <w:r w:rsidR="00814987">
        <w:lastRenderedPageBreak/>
        <w:t xml:space="preserve">introduced in the Prius, shows the company’s commitment to culture and sustainable progress instead of radical disruption. </w:t>
      </w:r>
      <w:r w:rsidR="005223B9">
        <w:t xml:space="preserve">According to the sustainability report of </w:t>
      </w:r>
      <w:r w:rsidR="005223B9" w:rsidRPr="005223B9">
        <w:t>Toyota (2024)</w:t>
      </w:r>
      <w:r w:rsidR="005223B9">
        <w:t>, the company sold more than 23 million hybrid vehicles, decreasing around 160 million tons of CO2 emissions, demonstrating how the value-driven and person culture integrates with environmental responsiveness into manufacturing and product design.</w:t>
      </w:r>
    </w:p>
    <w:p w14:paraId="7D6B3D91" w14:textId="3CA8F9EF" w:rsidR="00CF1E3E" w:rsidRDefault="00A14BE6" w:rsidP="008C3A08">
      <w:r>
        <w:rPr>
          <w:b/>
          <w:bCs/>
        </w:rPr>
        <w:t>Cultural Diversity and Globalisation:</w:t>
      </w:r>
      <w:r>
        <w:t xml:space="preserve"> Teamwork and respect </w:t>
      </w:r>
      <w:r w:rsidR="00DD6ACB">
        <w:t xml:space="preserve">for the </w:t>
      </w:r>
      <w:r>
        <w:t xml:space="preserve">culture of Toyota </w:t>
      </w:r>
      <w:r w:rsidR="00DD6ACB">
        <w:t xml:space="preserve">facilitate adaptation to various international markets. The company implements the Toyota Way Principles universally, but allows local adaptation with the assistance of </w:t>
      </w:r>
      <w:r w:rsidR="0099777F">
        <w:t>policy deployment. For example, in North America and the UK, the company encourages local leadership to embed Western management styles with Japanese operational discipline</w:t>
      </w:r>
      <w:r w:rsidR="007D7558">
        <w:t xml:space="preserve"> </w:t>
      </w:r>
      <w:r w:rsidR="007D7558" w:rsidRPr="007D7558">
        <w:t>(Toyota Europe, 2023)</w:t>
      </w:r>
      <w:r w:rsidR="0099777F">
        <w:t xml:space="preserve">. This balance assists in maintaining global consistency while respecting local cultural norms at the same time to support harmonious multinational collaboration. </w:t>
      </w:r>
      <w:r w:rsidR="00B15C69">
        <w:t xml:space="preserve">However, the company’s hierarchical communication and limited global executive </w:t>
      </w:r>
      <w:r w:rsidR="00027FC9">
        <w:t xml:space="preserve">team </w:t>
      </w:r>
      <w:r w:rsidR="00B15C69">
        <w:t xml:space="preserve">remain a challenge. </w:t>
      </w:r>
      <w:r w:rsidR="00027FC9">
        <w:t xml:space="preserve">According to the study conducted by </w:t>
      </w:r>
      <w:r w:rsidR="00027FC9" w:rsidRPr="00027FC9">
        <w:t xml:space="preserve">Oshin, </w:t>
      </w:r>
      <w:proofErr w:type="spellStart"/>
      <w:r w:rsidR="00027FC9" w:rsidRPr="00027FC9">
        <w:t>Ayanleke</w:t>
      </w:r>
      <w:proofErr w:type="spellEnd"/>
      <w:r w:rsidR="00027FC9" w:rsidRPr="00027FC9">
        <w:t xml:space="preserve"> and Gazal (2023)</w:t>
      </w:r>
      <w:r w:rsidR="00027FC9">
        <w:t>, over 80% of senior executives at Toyota are Japanese, showing a barrier in the culture to a wider global inclusivity and decision-making perspective.</w:t>
      </w:r>
    </w:p>
    <w:p w14:paraId="33BEF0A6" w14:textId="368A8216" w:rsidR="00027FC9" w:rsidRDefault="006045D5" w:rsidP="008C3A08">
      <w:pPr>
        <w:pStyle w:val="Heading1"/>
      </w:pPr>
      <w:bookmarkStart w:id="6" w:name="_Toc210666155"/>
      <w:r>
        <w:t>Organisational Culture of Toyota is not a Barrier to Effective Functioning</w:t>
      </w:r>
      <w:bookmarkEnd w:id="6"/>
    </w:p>
    <w:p w14:paraId="71D6BF2A" w14:textId="66CD8E35" w:rsidR="006045D5" w:rsidRDefault="006045D5" w:rsidP="008C3A08">
      <w:r>
        <w:t xml:space="preserve">Toyota’s organisational culture is not a barrier to its effective functioning; instead, it serves as the enabler that helps in sustaining innovation, competitiveness, and efficiency. </w:t>
      </w:r>
      <w:r w:rsidR="00102FA3">
        <w:t>Even though certain cultural aspects, such as consensus-based decision-making and hierarchy, may slow down responsiveness, the overall impact of culture is positive, fostering adaptability, engagemen</w:t>
      </w:r>
      <w:r w:rsidR="00F22C99">
        <w:t>t, and operational excellence to various global challenges</w:t>
      </w:r>
      <w:r w:rsidR="007D7558">
        <w:t xml:space="preserve"> </w:t>
      </w:r>
      <w:r w:rsidR="007D7558" w:rsidRPr="007D7558">
        <w:t>(Sekar, 2024)</w:t>
      </w:r>
      <w:r w:rsidR="00F22C99">
        <w:t xml:space="preserve">. Toyota’s culture, which is rooted </w:t>
      </w:r>
      <w:r w:rsidR="00620D9B">
        <w:t xml:space="preserve">in the continuous improvement principles and a hybrid of task and role culture, provides a strong foundation for quality and efficiency. Furthermore, these values drive the TPS, which focuses </w:t>
      </w:r>
      <w:r w:rsidR="004F2FA8">
        <w:t xml:space="preserve">on </w:t>
      </w:r>
      <w:r w:rsidR="00620D9B">
        <w:t xml:space="preserve">JIT production and </w:t>
      </w:r>
      <w:r w:rsidR="00BF022E">
        <w:t>automation with a human touch, ensuring that problems are systematically and immediately addressed</w:t>
      </w:r>
      <w:r w:rsidR="0092301B">
        <w:t xml:space="preserve"> and decreasing defects and waste. The cultural emphasis on </w:t>
      </w:r>
      <w:r w:rsidR="003C3745">
        <w:t>continuous improvement has helped the company maintain an operating margin of 10%, which is more than major global competitors in the automobile industry</w:t>
      </w:r>
      <w:r w:rsidR="007D7558">
        <w:t xml:space="preserve"> </w:t>
      </w:r>
      <w:r w:rsidR="007D7558" w:rsidRPr="007D7558">
        <w:t xml:space="preserve">(Oshin, </w:t>
      </w:r>
      <w:proofErr w:type="spellStart"/>
      <w:r w:rsidR="007D7558" w:rsidRPr="007D7558">
        <w:t>Ayanleke</w:t>
      </w:r>
      <w:proofErr w:type="spellEnd"/>
      <w:r w:rsidR="007D7558" w:rsidRPr="007D7558">
        <w:t xml:space="preserve"> </w:t>
      </w:r>
      <w:r w:rsidR="007D7558" w:rsidRPr="007D7558">
        <w:lastRenderedPageBreak/>
        <w:t>and Gazal, 2023)</w:t>
      </w:r>
      <w:r w:rsidR="003C3745">
        <w:t>. So, this financial performance is directly connected to a culture that promotes accountability, discipline</w:t>
      </w:r>
      <w:r w:rsidR="00FE707D">
        <w:t>,</w:t>
      </w:r>
      <w:r w:rsidR="003C3745">
        <w:t xml:space="preserve"> and innovation.</w:t>
      </w:r>
    </w:p>
    <w:p w14:paraId="5773582A" w14:textId="715C8B7F" w:rsidR="003C3745" w:rsidRDefault="00C326C4" w:rsidP="008C3A08">
      <w:r>
        <w:t xml:space="preserve">Furthermore, the culture of Toyota also encourages collective problem-solving and employee empowerment. The continuous improvement philosophy allows every staff </w:t>
      </w:r>
      <w:r w:rsidR="00526AE3">
        <w:t>member</w:t>
      </w:r>
      <w:r w:rsidR="008321FA">
        <w:t>,</w:t>
      </w:r>
      <w:r w:rsidR="00526AE3">
        <w:t xml:space="preserve"> </w:t>
      </w:r>
      <w:r>
        <w:t>from the assembly line to senior managers</w:t>
      </w:r>
      <w:r w:rsidR="007D7558">
        <w:t>,</w:t>
      </w:r>
      <w:r>
        <w:t xml:space="preserve"> to contribute ideas </w:t>
      </w:r>
      <w:r w:rsidR="00526AE3">
        <w:t xml:space="preserve">for improvement. According to the reports of </w:t>
      </w:r>
      <w:r w:rsidR="007D4372" w:rsidRPr="007D4372">
        <w:t>Sharp, Dawes and Victory (2024)</w:t>
      </w:r>
      <w:r w:rsidR="007D4372">
        <w:t xml:space="preserve">, more than 1 million suggestions from employees are implemented annually, which reflects a participatory environment that increases creativity and motivation. So, </w:t>
      </w:r>
      <w:r w:rsidR="005A2460">
        <w:t>this inclusive culture ensures that decisions in the operational aspect are informed by experience, which minimises inefficiencies and fosters continuous learning.</w:t>
      </w:r>
    </w:p>
    <w:p w14:paraId="7750E95E" w14:textId="59C030C7" w:rsidR="00066131" w:rsidRDefault="00066131" w:rsidP="008C3A08">
      <w:r>
        <w:t>Toyota has also demonstrated a strong adaptability to the external environment. The “go and see for yourself” cultural principle ensures decisions are made based on data and real-world conditions. This has allowed Toyota to respond efficiently</w:t>
      </w:r>
      <w:r w:rsidR="002B1468">
        <w:t xml:space="preserve"> to global sustainability and technological trends. Based on the reports of </w:t>
      </w:r>
      <w:r w:rsidR="002B1468" w:rsidRPr="002B1468">
        <w:t>Toyota (2024)</w:t>
      </w:r>
      <w:r w:rsidR="002B1468">
        <w:t xml:space="preserve">, the company sold more than 23 million </w:t>
      </w:r>
      <w:r w:rsidR="00723B5F">
        <w:t xml:space="preserve">hybrid vehicles worldwide, which has reduced global CO2 emissions and shown leadership in sustainable vehicles. These achievements </w:t>
      </w:r>
      <w:r w:rsidR="00086A25">
        <w:t>outline how the culture of Toyota actively drives effective functioning in response to market and environmental pressures.</w:t>
      </w:r>
    </w:p>
    <w:p w14:paraId="2725376D" w14:textId="1C2BD18C" w:rsidR="003A030F" w:rsidRDefault="00086A25" w:rsidP="008C3A08">
      <w:r>
        <w:t xml:space="preserve">Apart from that, the global operation of Toyota </w:t>
      </w:r>
      <w:r w:rsidR="00DA53B3">
        <w:t xml:space="preserve">shows how the culture of Toyota fosters cultural cohesion instead of acting as a barrier. The framework called “Toyota Way 2020” allows the local subsidiaries to adapt international principles in the regional aspects to align with </w:t>
      </w:r>
      <w:r w:rsidR="00940245">
        <w:t>culture without ignoring diversity</w:t>
      </w:r>
      <w:r w:rsidR="007D7558">
        <w:t xml:space="preserve"> </w:t>
      </w:r>
      <w:r w:rsidR="007D7558" w:rsidRPr="007D7558">
        <w:t>(Toyota, 2024)</w:t>
      </w:r>
      <w:r w:rsidR="00940245">
        <w:t xml:space="preserve">. For example, </w:t>
      </w:r>
      <w:r w:rsidR="003A030F">
        <w:t>Toyota Motor Europe has integrated the EU sustainability initiatives within the wider philosophy of Toyota, which ensures both local relevance and global consistency.</w:t>
      </w:r>
      <w:r w:rsidR="00076991">
        <w:t xml:space="preserve"> Therefore, the organisational culture of Toyota is a strategic asset rather than a barrier because it nurtures operational excellence, employee engagement, long-term competitiveness, and ethical responsibility. Even though challenges like </w:t>
      </w:r>
      <w:r w:rsidR="00E76316">
        <w:t>hierarchical communication persist, the adaptability and cultural resilience of Toyota assist in efficient functioning across dynamic global automobile markets</w:t>
      </w:r>
      <w:r w:rsidR="007D7558">
        <w:t xml:space="preserve"> </w:t>
      </w:r>
      <w:r w:rsidR="007D7558" w:rsidRPr="007D7558">
        <w:t>(Sekar, 2024)</w:t>
      </w:r>
      <w:r w:rsidR="00E76316">
        <w:t xml:space="preserve">. The company’s continued leadership, strong reputation, and innovation capability show that </w:t>
      </w:r>
      <w:r w:rsidR="00B91157">
        <w:t>culture remains one of the greatest competitive advantages instead of a barrier.</w:t>
      </w:r>
    </w:p>
    <w:p w14:paraId="48061601" w14:textId="13132CF6" w:rsidR="00B91157" w:rsidRDefault="00A43537" w:rsidP="008C3A08">
      <w:pPr>
        <w:pStyle w:val="Heading1"/>
      </w:pPr>
      <w:bookmarkStart w:id="7" w:name="_Toc210666156"/>
      <w:r>
        <w:t>Impact of Organisational Culture on Organisational Performance</w:t>
      </w:r>
      <w:bookmarkEnd w:id="7"/>
    </w:p>
    <w:p w14:paraId="5F7793F4" w14:textId="5FAB8DB8" w:rsidR="00A43537" w:rsidRDefault="00B84DFB" w:rsidP="008C3A08">
      <w:r>
        <w:rPr>
          <w:b/>
          <w:bCs/>
        </w:rPr>
        <w:t>Increase in Sales:</w:t>
      </w:r>
      <w:r>
        <w:t xml:space="preserve"> The culture of Toyota has been seen to positively increase operational performance through the TPS system, which shows the focus of the company on standardisation, </w:t>
      </w:r>
      <w:r>
        <w:lastRenderedPageBreak/>
        <w:t>effectiveness, and precision</w:t>
      </w:r>
      <w:r w:rsidR="00557B22">
        <w:t xml:space="preserve"> </w:t>
      </w:r>
      <w:r w:rsidR="00557B22" w:rsidRPr="00557B22">
        <w:t>(</w:t>
      </w:r>
      <w:proofErr w:type="spellStart"/>
      <w:r w:rsidR="00557B22" w:rsidRPr="00557B22">
        <w:t>Jakhongir</w:t>
      </w:r>
      <w:proofErr w:type="spellEnd"/>
      <w:r w:rsidR="00557B22" w:rsidRPr="00557B22">
        <w:t>, 2025)</w:t>
      </w:r>
      <w:r>
        <w:t xml:space="preserve">. </w:t>
      </w:r>
      <w:r w:rsidR="00C85139">
        <w:t>Besides, the continuous improvement cultural principle across various levels inspires workers to recognise inefficiencies and provide solutions. This participatory approach of Toyota ha</w:t>
      </w:r>
      <w:r w:rsidR="00002CCA">
        <w:t xml:space="preserve">s led the company to receive employee suggestions annually regarding the refinement of </w:t>
      </w:r>
      <w:r w:rsidR="00A7026A">
        <w:t xml:space="preserve">the </w:t>
      </w:r>
      <w:r w:rsidR="00002CCA">
        <w:t xml:space="preserve">production process. </w:t>
      </w:r>
      <w:r w:rsidR="00A7026A">
        <w:t xml:space="preserve">The result of </w:t>
      </w:r>
      <w:r w:rsidR="00D81370">
        <w:t xml:space="preserve">this culture is to achieve manufacturing efficiency and </w:t>
      </w:r>
      <w:r w:rsidR="00864D92">
        <w:t xml:space="preserve">a </w:t>
      </w:r>
      <w:r w:rsidR="00D81370">
        <w:t xml:space="preserve">low-defect rate, which has allowed </w:t>
      </w:r>
      <w:r w:rsidR="00864D92">
        <w:t>the company to maintain its reputation for making high-quality vehicles</w:t>
      </w:r>
      <w:r w:rsidR="00557B22">
        <w:t xml:space="preserve"> </w:t>
      </w:r>
      <w:r w:rsidR="00557B22" w:rsidRPr="00557B22">
        <w:t>(Guo et al., 2023)</w:t>
      </w:r>
      <w:r w:rsidR="00864D92">
        <w:t>.</w:t>
      </w:r>
    </w:p>
    <w:p w14:paraId="55A9DFC3" w14:textId="7B93F27F" w:rsidR="003E5D75" w:rsidRDefault="003E5D75" w:rsidP="008C3A08">
      <w:r>
        <w:rPr>
          <w:b/>
          <w:bCs/>
        </w:rPr>
        <w:t>Stability and Loyalty:</w:t>
      </w:r>
      <w:r>
        <w:t xml:space="preserve"> Toyota also promotes long-term loyalty and stability, which increases retention and workforce commitment. Employees of Toyota are also encouraged to consider themselves as contributor to the organisation, which increases engagement and decreases turnover. </w:t>
      </w:r>
      <w:r w:rsidR="00321E64">
        <w:t>The company’s following of people culture philosophy</w:t>
      </w:r>
      <w:r w:rsidR="00E77D50">
        <w:t xml:space="preserve"> positively impacts the organisation in supporting mutual trust, collaboration, and safety, which creates a strong accountability culture</w:t>
      </w:r>
      <w:r w:rsidR="00557B22">
        <w:t xml:space="preserve"> </w:t>
      </w:r>
      <w:r w:rsidR="00557B22" w:rsidRPr="00557B22">
        <w:t>(Nesheim, 2025)</w:t>
      </w:r>
      <w:r w:rsidR="00E77D50">
        <w:t>. This human-centred management commitment of Toyota directly correlates with a high level of productivity and strong brand loyalty among customers and employees.</w:t>
      </w:r>
    </w:p>
    <w:p w14:paraId="687483E1" w14:textId="1CAE9EEA" w:rsidR="00E77D50" w:rsidRDefault="00E77D50" w:rsidP="008C3A08">
      <w:r>
        <w:rPr>
          <w:b/>
          <w:bCs/>
        </w:rPr>
        <w:t>Adaptability and Innovation:</w:t>
      </w:r>
      <w:r>
        <w:t xml:space="preserve"> </w:t>
      </w:r>
      <w:r w:rsidR="007B5DBE">
        <w:t>Toyota’s culture fosters adaptability and innovation within structured aspects. The “go and see for yourself” culture of Toyota ensures that managers make informed decisions based on data and observation</w:t>
      </w:r>
      <w:r w:rsidR="00B319C4">
        <w:t xml:space="preserve"> </w:t>
      </w:r>
      <w:r w:rsidR="00B319C4" w:rsidRPr="00B319C4">
        <w:t>(Faraj and Milod, 2024)</w:t>
      </w:r>
      <w:r w:rsidR="007B5DBE">
        <w:t>. This cultural pr</w:t>
      </w:r>
      <w:r w:rsidR="007360F8">
        <w:t xml:space="preserve">actice helps in supporting effective problem-solving and has guided the evolution of Toyota towards becoming a sustainable brand. For instance, the company’s hybrid technology emerged from </w:t>
      </w:r>
      <w:r w:rsidR="009B13F5">
        <w:t xml:space="preserve">cultural dedication to environmental responsibility and dedication to improvement. This has positively impacted the company in selling more than 23 million hybrid vehicles, which reduced </w:t>
      </w:r>
      <w:r w:rsidR="007D0486">
        <w:t xml:space="preserve">160 million tonnes of carbon emissions globally </w:t>
      </w:r>
      <w:r w:rsidR="007D0486" w:rsidRPr="007D0486">
        <w:t>(Toyota, 2024)</w:t>
      </w:r>
      <w:r w:rsidR="007D0486">
        <w:t>. This achievement shows how culture-driven innovation increases both corporate reputation and performance.</w:t>
      </w:r>
    </w:p>
    <w:p w14:paraId="066A0196" w14:textId="550EF1E1" w:rsidR="007D0486" w:rsidRDefault="00007841" w:rsidP="008C3A08">
      <w:r w:rsidRPr="00007841">
        <w:rPr>
          <w:b/>
          <w:bCs/>
        </w:rPr>
        <w:t>Hindering Agility:</w:t>
      </w:r>
      <w:r>
        <w:t xml:space="preserve"> The emphasis of Toyota on hierarchy and consensus can limit responsiveness and agility in crisis situations. </w:t>
      </w:r>
      <w:r w:rsidR="00920C14">
        <w:t xml:space="preserve">The culture of extensive consultation before decision-making </w:t>
      </w:r>
      <w:r w:rsidR="0043654C">
        <w:t>ensures</w:t>
      </w:r>
      <w:r w:rsidR="00920C14">
        <w:t xml:space="preserve"> inclusivity b</w:t>
      </w:r>
      <w:r w:rsidR="0043654C">
        <w:t xml:space="preserve">ut delays action. This was evident during the 2010 global recall crisis, when </w:t>
      </w:r>
      <w:r w:rsidR="00262273">
        <w:t>Toyota's</w:t>
      </w:r>
      <w:r w:rsidR="0043654C">
        <w:t xml:space="preserve"> </w:t>
      </w:r>
      <w:r w:rsidR="00262273">
        <w:t>slow responsiveness regarding safety concerns damaged its reputation and led the company to financial losses</w:t>
      </w:r>
      <w:r w:rsidR="00B319C4">
        <w:t xml:space="preserve"> </w:t>
      </w:r>
      <w:r w:rsidR="00B319C4" w:rsidRPr="00B319C4">
        <w:t>(Adamik and Lisowski, 2025)</w:t>
      </w:r>
      <w:r w:rsidR="00262273">
        <w:t xml:space="preserve">. </w:t>
      </w:r>
      <w:r w:rsidR="005F2FE3">
        <w:t xml:space="preserve">This has been attributed to the delay in cultural reluctance to challenge </w:t>
      </w:r>
      <w:r w:rsidR="00C71122">
        <w:t>authority.</w:t>
      </w:r>
    </w:p>
    <w:p w14:paraId="48B8D799" w14:textId="7CF16A18" w:rsidR="00C71122" w:rsidRDefault="00C71122" w:rsidP="008C3A08">
      <w:r w:rsidRPr="00C71122">
        <w:rPr>
          <w:b/>
          <w:bCs/>
        </w:rPr>
        <w:t>Lack of Diversity:</w:t>
      </w:r>
      <w:r>
        <w:t xml:space="preserve"> Following the Japanese-centric culture also negatively impacts Toyota in terms of reducing diversity and creativity. </w:t>
      </w:r>
      <w:r w:rsidR="003F715D">
        <w:t xml:space="preserve">More than 80% of top leadership positions in Toyota have been held by Japanese, which raises concerns regarding limited cultural perspectives in global </w:t>
      </w:r>
      <w:r w:rsidR="003F715D">
        <w:lastRenderedPageBreak/>
        <w:t>strategy</w:t>
      </w:r>
      <w:r w:rsidR="00B319C4">
        <w:t xml:space="preserve"> </w:t>
      </w:r>
      <w:r w:rsidR="00B319C4" w:rsidRPr="00B319C4">
        <w:t>(Toyota, 2025)</w:t>
      </w:r>
      <w:r w:rsidR="003F715D">
        <w:t xml:space="preserve">. Besides, this homogeneity also hinders innovation in various markets </w:t>
      </w:r>
      <w:r w:rsidR="00342FBF">
        <w:t>that significantly value rapid experimentation and autonomy.</w:t>
      </w:r>
    </w:p>
    <w:p w14:paraId="5F624871" w14:textId="42E7258C" w:rsidR="00342FBF" w:rsidRDefault="00342FBF" w:rsidP="008C3A08">
      <w:pPr>
        <w:pStyle w:val="Heading2"/>
      </w:pPr>
      <w:bookmarkStart w:id="8" w:name="_Toc210666157"/>
      <w:r>
        <w:t>Recommendations</w:t>
      </w:r>
      <w:bookmarkEnd w:id="8"/>
    </w:p>
    <w:p w14:paraId="43A2C21D" w14:textId="0A651EFC" w:rsidR="00342FBF" w:rsidRDefault="00342FBF" w:rsidP="008C3A08">
      <w:r>
        <w:t xml:space="preserve">Toyota should maintain agility by streamlining the decision-making process to complement </w:t>
      </w:r>
      <w:r w:rsidR="00384C70">
        <w:t xml:space="preserve">faster execution during crisis situations. The company should also encourage diversity </w:t>
      </w:r>
      <w:r w:rsidR="00B87089">
        <w:t>in leadership and empower the regional management, which will increase innovation and global responsiveness</w:t>
      </w:r>
      <w:r w:rsidR="00B319C4">
        <w:t xml:space="preserve"> </w:t>
      </w:r>
      <w:r w:rsidR="00B319C4" w:rsidRPr="00B319C4">
        <w:t>(Nesheim, 2025)</w:t>
      </w:r>
      <w:r w:rsidR="00B87089">
        <w:t>. The organisation should also integrate digital agility with a continuous improvement framework</w:t>
      </w:r>
      <w:r w:rsidR="003C27DC">
        <w:t>. In addition, the company should also foster a culture that tolerates risk-taking and open communication. This is because it will strengthen adaptability without undermining the disciplined foundations</w:t>
      </w:r>
      <w:r w:rsidR="00B319C4">
        <w:t xml:space="preserve"> </w:t>
      </w:r>
      <w:r w:rsidR="00B319C4" w:rsidRPr="00B319C4">
        <w:t>(</w:t>
      </w:r>
      <w:proofErr w:type="spellStart"/>
      <w:r w:rsidR="00B319C4" w:rsidRPr="00B319C4">
        <w:t>Jakhongir</w:t>
      </w:r>
      <w:proofErr w:type="spellEnd"/>
      <w:r w:rsidR="00B319C4" w:rsidRPr="00B319C4">
        <w:t>, 2025)</w:t>
      </w:r>
      <w:r w:rsidR="003C27DC">
        <w:t>.</w:t>
      </w:r>
    </w:p>
    <w:p w14:paraId="2E95C585" w14:textId="1B79F9E4" w:rsidR="00E415AE" w:rsidRDefault="00E415AE" w:rsidP="008C3A08">
      <w:pPr>
        <w:pStyle w:val="Heading1"/>
      </w:pPr>
      <w:bookmarkStart w:id="9" w:name="_Toc210666158"/>
      <w:r>
        <w:t>Conclusion</w:t>
      </w:r>
      <w:bookmarkEnd w:id="9"/>
    </w:p>
    <w:p w14:paraId="2F57910C" w14:textId="38112DE2" w:rsidR="00E415AE" w:rsidRDefault="004B2323" w:rsidP="008C3A08">
      <w:r>
        <w:t xml:space="preserve">The organisational culture of Toyota remains one of the strongest strategic assets, driving innovation, continuous improvement, and global competitiveness. </w:t>
      </w:r>
      <w:r w:rsidR="00326EEB">
        <w:t>With the assistance of various principles, such as the hybrid of role and task culture, continuous improvement culture, and others, the organisation has been seen to sustain employee engagement, operational excellence, and long-term sustainability. However, hierarchical decision-making and consensus-driven cultural processes hinder agility and diversity. Despite these challenging situations, the company</w:t>
      </w:r>
      <w:r w:rsidR="00D23583">
        <w:t>’s human-centred, quality-focused</w:t>
      </w:r>
      <w:r w:rsidR="00A94AB3">
        <w:t>, and adaptable culture allows it to maintain efficiency in leadership, customer satisfaction, and sustainability.</w:t>
      </w:r>
    </w:p>
    <w:p w14:paraId="158DCDD5" w14:textId="77777777" w:rsidR="00B319C4" w:rsidRDefault="00B319C4" w:rsidP="008C3A08">
      <w:pPr>
        <w:sectPr w:rsidR="00B319C4" w:rsidSect="008321FA">
          <w:footerReference w:type="default" r:id="rId11"/>
          <w:pgSz w:w="12240" w:h="15840"/>
          <w:pgMar w:top="1440" w:right="1440" w:bottom="1440" w:left="1440" w:header="720" w:footer="720" w:gutter="0"/>
          <w:pgNumType w:start="1"/>
          <w:cols w:space="720"/>
          <w:docGrid w:linePitch="360"/>
        </w:sectPr>
      </w:pPr>
    </w:p>
    <w:p w14:paraId="36894B9D" w14:textId="0478C017" w:rsidR="00B319C4" w:rsidRDefault="00B319C4" w:rsidP="008C3A08">
      <w:pPr>
        <w:pStyle w:val="Heading1"/>
        <w:rPr>
          <w:rFonts w:cs="Times New Roman"/>
        </w:rPr>
      </w:pPr>
      <w:bookmarkStart w:id="10" w:name="_Toc210666159"/>
      <w:r>
        <w:lastRenderedPageBreak/>
        <w:t>References</w:t>
      </w:r>
      <w:bookmarkEnd w:id="10"/>
    </w:p>
    <w:p w14:paraId="4C26A86A" w14:textId="77777777" w:rsidR="00B319C4" w:rsidRDefault="00B319C4" w:rsidP="008C3A08">
      <w:pPr>
        <w:ind w:left="720" w:hanging="720"/>
      </w:pPr>
      <w:r>
        <w:t xml:space="preserve">Adamik, A. and Lisowski, B. (2025). Competitive Advantage Based on Technology in Times of Technological Breakthroughs and Global Crises: BMW Group and Toyota Motor Corporation. </w:t>
      </w:r>
      <w:r>
        <w:rPr>
          <w:i/>
          <w:iCs/>
        </w:rPr>
        <w:t>Edward Elgar Publishing eBooks</w:t>
      </w:r>
      <w:r>
        <w:t>, pp.167–191.</w:t>
      </w:r>
    </w:p>
    <w:p w14:paraId="0217D74F" w14:textId="77777777" w:rsidR="00B319C4" w:rsidRDefault="00B319C4" w:rsidP="008C3A08">
      <w:pPr>
        <w:ind w:left="720" w:hanging="720"/>
      </w:pPr>
      <w:r>
        <w:t xml:space="preserve">Elsmore, P. (2020). </w:t>
      </w:r>
      <w:r>
        <w:rPr>
          <w:i/>
          <w:iCs/>
        </w:rPr>
        <w:t>Organisational Culture: Organisational Change?</w:t>
      </w:r>
      <w:r>
        <w:t xml:space="preserve"> London: Routledge.</w:t>
      </w:r>
    </w:p>
    <w:p w14:paraId="67AB9B48" w14:textId="12FA4344" w:rsidR="00B319C4" w:rsidRDefault="00B319C4" w:rsidP="008C3A08">
      <w:pPr>
        <w:ind w:left="720" w:hanging="720"/>
      </w:pPr>
      <w:r>
        <w:t xml:space="preserve">Faraj, O. and Milod, T. (2024). Case Study Analysis of the Toyota Company and Make Time to Market. </w:t>
      </w:r>
      <w:r>
        <w:rPr>
          <w:i/>
          <w:iCs/>
        </w:rPr>
        <w:t>ResearchGate</w:t>
      </w:r>
      <w:r>
        <w:t>.</w:t>
      </w:r>
    </w:p>
    <w:p w14:paraId="3D711218" w14:textId="77777777" w:rsidR="00B319C4" w:rsidRDefault="00B319C4" w:rsidP="008C3A08">
      <w:pPr>
        <w:ind w:left="720" w:hanging="720"/>
      </w:pPr>
      <w:r>
        <w:t xml:space="preserve">Ferreira, W. de P., Armellini, F., Santa-Eulalia, L.A. de and </w:t>
      </w:r>
      <w:proofErr w:type="spellStart"/>
      <w:r>
        <w:t>Thomasset</w:t>
      </w:r>
      <w:proofErr w:type="spellEnd"/>
      <w:r>
        <w:t xml:space="preserve">-Laperriere, V. (2022). Extending the Lean Value Stream Mapping to the Context of Industry 4.0: An Agent-Based Technology Approach. </w:t>
      </w:r>
      <w:r>
        <w:rPr>
          <w:i/>
          <w:iCs/>
        </w:rPr>
        <w:t>Journal of Manufacturing Systems</w:t>
      </w:r>
      <w:r>
        <w:t>, 63, pp.1–14.</w:t>
      </w:r>
    </w:p>
    <w:p w14:paraId="35CFF3A4" w14:textId="77777777" w:rsidR="00B319C4" w:rsidRDefault="00B319C4" w:rsidP="008C3A08">
      <w:pPr>
        <w:ind w:left="720" w:hanging="720"/>
      </w:pPr>
      <w:r>
        <w:t xml:space="preserve">Fu, H. (2023). Analysis of Toyota’s Operations to Maintain Its Brand Position during the COVID-19 Pandemic. </w:t>
      </w:r>
      <w:r>
        <w:rPr>
          <w:i/>
          <w:iCs/>
        </w:rPr>
        <w:t>BCP Business &amp; Management</w:t>
      </w:r>
      <w:r>
        <w:t>, 37, pp.388–393.</w:t>
      </w:r>
    </w:p>
    <w:p w14:paraId="05C2BB04" w14:textId="77777777" w:rsidR="00B319C4" w:rsidRDefault="00B319C4" w:rsidP="008C3A08">
      <w:pPr>
        <w:ind w:left="720" w:hanging="720"/>
      </w:pPr>
      <w:r>
        <w:t xml:space="preserve">Guo, J., Wang, J., Qing, X., Wang, B. and Li, K. (2023). Deep Reinforcement Learning-based Hierarchical Energy Control Strategy of a Platoon of Connected Hybrid Electric Vehicles through Cloud Platform. </w:t>
      </w:r>
      <w:r>
        <w:rPr>
          <w:i/>
          <w:iCs/>
        </w:rPr>
        <w:t>IEEE Transactions on Transportation Electrification</w:t>
      </w:r>
      <w:r>
        <w:t>, pp.1–1.</w:t>
      </w:r>
    </w:p>
    <w:p w14:paraId="1A8D332A" w14:textId="2AF34083" w:rsidR="00B319C4" w:rsidRDefault="00B319C4" w:rsidP="008C3A08">
      <w:pPr>
        <w:ind w:left="720" w:hanging="720"/>
      </w:pPr>
      <w:proofErr w:type="spellStart"/>
      <w:r>
        <w:t>Jakhongir</w:t>
      </w:r>
      <w:proofErr w:type="spellEnd"/>
      <w:r>
        <w:t xml:space="preserve">, D. (2025). The Evolution of Management Theory: A Literature Review: </w:t>
      </w:r>
      <w:r>
        <w:rPr>
          <w:i/>
          <w:iCs/>
        </w:rPr>
        <w:t>Academia Open</w:t>
      </w:r>
      <w:r>
        <w:t>, 10(1).</w:t>
      </w:r>
    </w:p>
    <w:p w14:paraId="35F09A44" w14:textId="5EF2FD7B" w:rsidR="00B319C4" w:rsidRDefault="00B319C4" w:rsidP="008C3A08">
      <w:pPr>
        <w:ind w:left="720" w:hanging="720"/>
      </w:pPr>
      <w:r>
        <w:t xml:space="preserve">Morgan, J.M. and Liker, J.K. (2020). </w:t>
      </w:r>
      <w:r>
        <w:rPr>
          <w:i/>
          <w:iCs/>
        </w:rPr>
        <w:t>The Toyota Product Development System</w:t>
      </w:r>
      <w:r>
        <w:t>. Productivity Press.</w:t>
      </w:r>
    </w:p>
    <w:p w14:paraId="6A5AEB88" w14:textId="77777777" w:rsidR="00B319C4" w:rsidRDefault="00B319C4" w:rsidP="008C3A08">
      <w:pPr>
        <w:ind w:left="720" w:hanging="720"/>
      </w:pPr>
      <w:r>
        <w:t xml:space="preserve">Mulder, P. (2023). </w:t>
      </w:r>
      <w:r>
        <w:rPr>
          <w:i/>
          <w:iCs/>
        </w:rPr>
        <w:t xml:space="preserve">Handy Model of Organisational Culture, a Management Model | </w:t>
      </w:r>
      <w:proofErr w:type="spellStart"/>
      <w:r>
        <w:rPr>
          <w:i/>
          <w:iCs/>
        </w:rPr>
        <w:t>ToolsHero</w:t>
      </w:r>
      <w:proofErr w:type="spellEnd"/>
      <w:r>
        <w:t xml:space="preserve">. [online] </w:t>
      </w:r>
      <w:proofErr w:type="spellStart"/>
      <w:r>
        <w:t>ToolsHero</w:t>
      </w:r>
      <w:proofErr w:type="spellEnd"/>
      <w:r>
        <w:t>. Available at: https://www.toolshero.com/management/handy-model/ [Accessed 2025].</w:t>
      </w:r>
    </w:p>
    <w:p w14:paraId="3D0AAF87" w14:textId="545D4ADB" w:rsidR="00B319C4" w:rsidRDefault="00B319C4" w:rsidP="008C3A08">
      <w:pPr>
        <w:ind w:left="720" w:hanging="720"/>
      </w:pPr>
      <w:r>
        <w:t xml:space="preserve">Nesheim, T. (2025). Between Hierarchy and Matrix: Human Resource Allocation in Flexible </w:t>
      </w:r>
      <w:r w:rsidR="008321FA">
        <w:t>Organisations</w:t>
      </w:r>
      <w:r>
        <w:t xml:space="preserve">. </w:t>
      </w:r>
      <w:r>
        <w:rPr>
          <w:i/>
          <w:iCs/>
        </w:rPr>
        <w:t>SAGE Open</w:t>
      </w:r>
      <w:r>
        <w:t>, 15(2).</w:t>
      </w:r>
    </w:p>
    <w:p w14:paraId="5DFC8FD4" w14:textId="221BF517" w:rsidR="00B319C4" w:rsidRDefault="00B319C4" w:rsidP="008C3A08">
      <w:pPr>
        <w:ind w:left="720" w:hanging="720"/>
      </w:pPr>
      <w:r>
        <w:t xml:space="preserve">Oshin, I.I., </w:t>
      </w:r>
      <w:proofErr w:type="spellStart"/>
      <w:r>
        <w:t>Ayanleke</w:t>
      </w:r>
      <w:proofErr w:type="spellEnd"/>
      <w:r>
        <w:t xml:space="preserve">, A.O. and Gazal, H.O. (2023). The Workforce Diversity on Employee Performance in Toyota of Bowie, United States of America. </w:t>
      </w:r>
      <w:r w:rsidR="008321FA">
        <w:rPr>
          <w:i/>
          <w:iCs/>
        </w:rPr>
        <w:t>Organisation</w:t>
      </w:r>
      <w:r>
        <w:rPr>
          <w:i/>
          <w:iCs/>
        </w:rPr>
        <w:t xml:space="preserve"> and Human Capital Development</w:t>
      </w:r>
      <w:r>
        <w:t>, 2(1), pp.28–40.</w:t>
      </w:r>
    </w:p>
    <w:p w14:paraId="3D26A44A" w14:textId="77777777" w:rsidR="00B319C4" w:rsidRDefault="00B319C4" w:rsidP="008C3A08">
      <w:pPr>
        <w:ind w:left="720" w:hanging="720"/>
      </w:pPr>
      <w:r>
        <w:t xml:space="preserve">Sekar, N. (2024). </w:t>
      </w:r>
      <w:r>
        <w:rPr>
          <w:i/>
          <w:iCs/>
        </w:rPr>
        <w:t>Toyota’s 2010 Recall Crisis: Problem-Solving and Decision-Making</w:t>
      </w:r>
      <w:r>
        <w:t>. [online] Medium. Available at: https://medium.com/@nareshnavinash/toyotas-2010-recall-crisis-problem-solving-and-decision-making-1d0fcd7b0940.</w:t>
      </w:r>
    </w:p>
    <w:p w14:paraId="0E79706B" w14:textId="77777777" w:rsidR="00B319C4" w:rsidRDefault="00B319C4" w:rsidP="008C3A08">
      <w:pPr>
        <w:ind w:left="720" w:hanging="720"/>
      </w:pPr>
      <w:r>
        <w:t xml:space="preserve">Sharp, B., Dawes, J. and Victory, K. (2024). The market-based Assets Theory of Brand Competition. </w:t>
      </w:r>
      <w:r>
        <w:rPr>
          <w:i/>
          <w:iCs/>
        </w:rPr>
        <w:t>Journal of Retailing and Consumer Services</w:t>
      </w:r>
      <w:r>
        <w:t>, 76(5), pp.103566–103566.</w:t>
      </w:r>
    </w:p>
    <w:p w14:paraId="63DA81ED" w14:textId="77777777" w:rsidR="00B319C4" w:rsidRDefault="00B319C4" w:rsidP="008C3A08">
      <w:pPr>
        <w:ind w:left="720" w:hanging="720"/>
      </w:pPr>
      <w:r>
        <w:lastRenderedPageBreak/>
        <w:t xml:space="preserve">Talent Management Institute (2024). </w:t>
      </w:r>
      <w:r>
        <w:rPr>
          <w:i/>
          <w:iCs/>
        </w:rPr>
        <w:t>Toyota’s Winning Formula for Employee Engagement</w:t>
      </w:r>
      <w:r>
        <w:t>. [online] Tmi.org. Available at: https://www.tmi.org/blogs/toyotas-winning-formula-for-employee-engagement.</w:t>
      </w:r>
    </w:p>
    <w:p w14:paraId="50B73EC2" w14:textId="77777777" w:rsidR="00B319C4" w:rsidRDefault="00B319C4" w:rsidP="008C3A08">
      <w:pPr>
        <w:ind w:left="720" w:hanging="720"/>
      </w:pPr>
      <w:r>
        <w:t xml:space="preserve">Toyota (2023a). </w:t>
      </w:r>
      <w:r>
        <w:rPr>
          <w:i/>
          <w:iCs/>
        </w:rPr>
        <w:t>Goals &amp; Targets</w:t>
      </w:r>
      <w:r>
        <w:t>. [online] Toyota. Available at: https://www.toyota.com/usa/environmentalsustainability/goals-and-targets.</w:t>
      </w:r>
    </w:p>
    <w:p w14:paraId="20EF7444" w14:textId="77777777" w:rsidR="00B319C4" w:rsidRDefault="00B319C4" w:rsidP="008C3A08">
      <w:pPr>
        <w:ind w:left="720" w:hanging="720"/>
      </w:pPr>
      <w:r>
        <w:t xml:space="preserve">Toyota (2023b). </w:t>
      </w:r>
      <w:r>
        <w:rPr>
          <w:i/>
          <w:iCs/>
        </w:rPr>
        <w:t>Journey of Innovation: Toyota’s AI-Powered Drive</w:t>
      </w:r>
      <w:r>
        <w:t>. [online] Toyota EU. Available at: https://www.toyota-europe.com/news/2023/journey-of-innovation.</w:t>
      </w:r>
    </w:p>
    <w:p w14:paraId="1D4C1BBD" w14:textId="77777777" w:rsidR="00B319C4" w:rsidRDefault="00B319C4" w:rsidP="008C3A08">
      <w:pPr>
        <w:ind w:left="720" w:hanging="720"/>
      </w:pPr>
      <w:r>
        <w:t xml:space="preserve">Toyota (2024a). </w:t>
      </w:r>
      <w:r>
        <w:rPr>
          <w:i/>
          <w:iCs/>
        </w:rPr>
        <w:t>Our Sustainability Approach</w:t>
      </w:r>
      <w:r>
        <w:t>. [online] Toyota Material Handling Europe. Available at: https://toyota-forklifts.eu/about-toyota/sustainability/.</w:t>
      </w:r>
    </w:p>
    <w:p w14:paraId="0BD0DCA2" w14:textId="77777777" w:rsidR="00B319C4" w:rsidRDefault="00B319C4" w:rsidP="008C3A08">
      <w:pPr>
        <w:ind w:left="720" w:hanging="720"/>
      </w:pPr>
      <w:r>
        <w:t xml:space="preserve">Toyota (2024b). </w:t>
      </w:r>
      <w:r>
        <w:rPr>
          <w:i/>
          <w:iCs/>
        </w:rPr>
        <w:t>Sustainability | Toyota Industries Corporation</w:t>
      </w:r>
      <w:r>
        <w:t>. [online] www.toyota-industries.com. Available at: https://www.toyota-industries.com/sustainability/.</w:t>
      </w:r>
    </w:p>
    <w:p w14:paraId="66ACE474" w14:textId="77777777" w:rsidR="00B319C4" w:rsidRDefault="00B319C4" w:rsidP="008C3A08">
      <w:pPr>
        <w:ind w:left="720" w:hanging="720"/>
      </w:pPr>
      <w:r>
        <w:t xml:space="preserve">Toyota (2025). </w:t>
      </w:r>
      <w:r>
        <w:rPr>
          <w:i/>
          <w:iCs/>
        </w:rPr>
        <w:t>Toyota Develops New Fuel Cell System</w:t>
      </w:r>
      <w:r>
        <w:t>. [online] Toyota Europe Newsroom. Available at: https://newsroom.toyota.eu/toyota-develops-new-fuel-cell-system/.</w:t>
      </w:r>
    </w:p>
    <w:p w14:paraId="11C5196C" w14:textId="77777777" w:rsidR="00B319C4" w:rsidRDefault="00B319C4" w:rsidP="008C3A08">
      <w:pPr>
        <w:ind w:left="720" w:hanging="720"/>
      </w:pPr>
      <w:r>
        <w:t xml:space="preserve">Toyota Europe (2023). </w:t>
      </w:r>
      <w:r>
        <w:rPr>
          <w:i/>
          <w:iCs/>
        </w:rPr>
        <w:t>Sustainability at Toyota | Toyota Europe</w:t>
      </w:r>
      <w:r>
        <w:t>. [online] Toyota EU. Available at: https://www.toyota-europe.com/sustainability.</w:t>
      </w:r>
    </w:p>
    <w:p w14:paraId="2F8B7ED7" w14:textId="77777777" w:rsidR="00B319C4" w:rsidRPr="00E415AE" w:rsidRDefault="00B319C4" w:rsidP="008C3A08"/>
    <w:sectPr w:rsidR="00B319C4" w:rsidRPr="00E415AE" w:rsidSect="00D777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F7CF48" w14:textId="77777777" w:rsidR="006E7C94" w:rsidRDefault="006E7C94" w:rsidP="008321FA">
      <w:pPr>
        <w:spacing w:line="240" w:lineRule="auto"/>
      </w:pPr>
      <w:r>
        <w:separator/>
      </w:r>
    </w:p>
  </w:endnote>
  <w:endnote w:type="continuationSeparator" w:id="0">
    <w:p w14:paraId="5C7CDC09" w14:textId="77777777" w:rsidR="006E7C94" w:rsidRDefault="006E7C94" w:rsidP="008321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AEFA18" w14:textId="34DB04BC" w:rsidR="00DD301B" w:rsidRDefault="00DD301B">
    <w:pPr>
      <w:pStyle w:val="Footer"/>
    </w:pPr>
    <w:r>
      <w:rPr>
        <w:noProof/>
        <w14:ligatures w14:val="standardContextual"/>
      </w:rPr>
      <mc:AlternateContent>
        <mc:Choice Requires="wps">
          <w:drawing>
            <wp:anchor distT="0" distB="0" distL="0" distR="0" simplePos="0" relativeHeight="251659264" behindDoc="0" locked="0" layoutInCell="1" allowOverlap="1" wp14:anchorId="5151714B" wp14:editId="32D1FBCB">
              <wp:simplePos x="635" y="635"/>
              <wp:positionH relativeFrom="page">
                <wp:align>center</wp:align>
              </wp:positionH>
              <wp:positionV relativeFrom="page">
                <wp:align>bottom</wp:align>
              </wp:positionV>
              <wp:extent cx="459740" cy="422910"/>
              <wp:effectExtent l="0" t="0" r="16510" b="0"/>
              <wp:wrapNone/>
              <wp:docPr id="1905309658" name="Text Box 2"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422910"/>
                      </a:xfrm>
                      <a:prstGeom prst="rect">
                        <a:avLst/>
                      </a:prstGeom>
                      <a:noFill/>
                      <a:ln>
                        <a:noFill/>
                      </a:ln>
                    </wps:spPr>
                    <wps:txbx>
                      <w:txbxContent>
                        <w:p w14:paraId="5DDBFE5B" w14:textId="5BB9D4BB" w:rsidR="00DD301B" w:rsidRPr="00DD301B" w:rsidRDefault="00DD301B" w:rsidP="00DD301B">
                          <w:pPr>
                            <w:rPr>
                              <w:rFonts w:ascii="Calibri" w:hAnsi="Calibri"/>
                              <w:noProof/>
                              <w:color w:val="000000"/>
                              <w:sz w:val="20"/>
                              <w:szCs w:val="20"/>
                            </w:rPr>
                          </w:pPr>
                          <w:r w:rsidRPr="00DD301B">
                            <w:rPr>
                              <w:rFonts w:ascii="Calibri" w:hAnsi="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151714B" id="_x0000_t202" coordsize="21600,21600" o:spt="202" path="m,l,21600r21600,l21600,xe">
              <v:stroke joinstyle="miter"/>
              <v:path gradientshapeok="t" o:connecttype="rect"/>
            </v:shapetype>
            <v:shape id="Text Box 2" o:spid="_x0000_s1026" type="#_x0000_t202" alt="OFFICIAL" style="position:absolute;left:0;text-align:left;margin-left:0;margin-top:0;width:36.2pt;height:33.3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" filled="f" stroked="f">
              <v:textbox style="mso-fit-shape-to-text:t" inset="0,0,0,15pt">
                <w:txbxContent>
                  <w:p w14:paraId="5DDBFE5B" w14:textId="5BB9D4BB" w:rsidR="00DD301B" w:rsidRPr="00DD301B" w:rsidRDefault="00DD301B" w:rsidP="00DD301B">
                    <w:pPr>
                      <w:rPr>
                        <w:rFonts w:ascii="Calibri" w:hAnsi="Calibri"/>
                        <w:noProof/>
                        <w:color w:val="000000"/>
                        <w:sz w:val="20"/>
                        <w:szCs w:val="20"/>
                      </w:rPr>
                    </w:pPr>
                    <w:r w:rsidRPr="00DD301B">
                      <w:rPr>
                        <w:rFonts w:ascii="Calibri" w:hAnsi="Calibri"/>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245B8F" w14:textId="1627289C" w:rsidR="008321FA" w:rsidRDefault="00DD301B">
    <w:pPr>
      <w:pStyle w:val="Footer"/>
      <w:jc w:val="right"/>
    </w:pPr>
    <w:r>
      <w:rPr>
        <w:noProof/>
        <w14:ligatures w14:val="standardContextual"/>
      </w:rPr>
      <mc:AlternateContent>
        <mc:Choice Requires="wps">
          <w:drawing>
            <wp:anchor distT="0" distB="0" distL="0" distR="0" simplePos="0" relativeHeight="251660288" behindDoc="0" locked="0" layoutInCell="1" allowOverlap="1" wp14:anchorId="774DA74F" wp14:editId="79D632F2">
              <wp:simplePos x="914400" y="9251950"/>
              <wp:positionH relativeFrom="page">
                <wp:align>center</wp:align>
              </wp:positionH>
              <wp:positionV relativeFrom="page">
                <wp:align>bottom</wp:align>
              </wp:positionV>
              <wp:extent cx="459740" cy="422910"/>
              <wp:effectExtent l="0" t="0" r="16510" b="0"/>
              <wp:wrapNone/>
              <wp:docPr id="987256617" name="Text Box 3"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422910"/>
                      </a:xfrm>
                      <a:prstGeom prst="rect">
                        <a:avLst/>
                      </a:prstGeom>
                      <a:noFill/>
                      <a:ln>
                        <a:noFill/>
                      </a:ln>
                    </wps:spPr>
                    <wps:txbx>
                      <w:txbxContent>
                        <w:p w14:paraId="336E8680" w14:textId="322AB777" w:rsidR="00DD301B" w:rsidRPr="00DD301B" w:rsidRDefault="00DD301B" w:rsidP="00DD301B">
                          <w:pPr>
                            <w:rPr>
                              <w:rFonts w:ascii="Calibri" w:hAnsi="Calibri"/>
                              <w:noProof/>
                              <w:color w:val="000000"/>
                              <w:sz w:val="20"/>
                              <w:szCs w:val="20"/>
                            </w:rPr>
                          </w:pPr>
                          <w:r w:rsidRPr="00DD301B">
                            <w:rPr>
                              <w:rFonts w:ascii="Calibri" w:hAnsi="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74DA74F" id="_x0000_t202" coordsize="21600,21600" o:spt="202" path="m,l,21600r21600,l21600,xe">
              <v:stroke joinstyle="miter"/>
              <v:path gradientshapeok="t" o:connecttype="rect"/>
            </v:shapetype>
            <v:shape id="Text Box 3" o:spid="_x0000_s1027" type="#_x0000_t202" alt="OFFICIAL" style="position:absolute;left:0;text-align:left;margin-left:0;margin-top:0;width:36.2pt;height:33.3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" filled="f" stroked="f">
              <v:textbox style="mso-fit-shape-to-text:t" inset="0,0,0,15pt">
                <w:txbxContent>
                  <w:p w14:paraId="336E8680" w14:textId="322AB777" w:rsidR="00DD301B" w:rsidRPr="00DD301B" w:rsidRDefault="00DD301B" w:rsidP="00DD301B">
                    <w:pPr>
                      <w:rPr>
                        <w:rFonts w:ascii="Calibri" w:hAnsi="Calibri"/>
                        <w:noProof/>
                        <w:color w:val="000000"/>
                        <w:sz w:val="20"/>
                        <w:szCs w:val="20"/>
                      </w:rPr>
                    </w:pPr>
                    <w:r w:rsidRPr="00DD301B">
                      <w:rPr>
                        <w:rFonts w:ascii="Calibri" w:hAnsi="Calibri"/>
                        <w:noProof/>
                        <w:color w:val="000000"/>
                        <w:sz w:val="20"/>
                        <w:szCs w:val="20"/>
                      </w:rPr>
                      <w:t>OFFICIAL</w:t>
                    </w:r>
                  </w:p>
                </w:txbxContent>
              </v:textbox>
              <w10:wrap anchorx="page" anchory="page"/>
            </v:shape>
          </w:pict>
        </mc:Fallback>
      </mc:AlternateContent>
    </w:r>
  </w:p>
  <w:p w14:paraId="522DA93B" w14:textId="77777777" w:rsidR="008321FA" w:rsidRDefault="008321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BA04D" w14:textId="001D79FB" w:rsidR="00DD301B" w:rsidRDefault="00DD301B">
    <w:pPr>
      <w:pStyle w:val="Footer"/>
    </w:pPr>
    <w:r>
      <w:rPr>
        <w:noProof/>
        <w14:ligatures w14:val="standardContextual"/>
      </w:rPr>
      <mc:AlternateContent>
        <mc:Choice Requires="wps">
          <w:drawing>
            <wp:anchor distT="0" distB="0" distL="0" distR="0" simplePos="0" relativeHeight="251658240" behindDoc="0" locked="0" layoutInCell="1" allowOverlap="1" wp14:anchorId="05DD534D" wp14:editId="1748E913">
              <wp:simplePos x="635" y="635"/>
              <wp:positionH relativeFrom="page">
                <wp:align>center</wp:align>
              </wp:positionH>
              <wp:positionV relativeFrom="page">
                <wp:align>bottom</wp:align>
              </wp:positionV>
              <wp:extent cx="459740" cy="422910"/>
              <wp:effectExtent l="0" t="0" r="16510" b="0"/>
              <wp:wrapNone/>
              <wp:docPr id="1209395225" name="Text Box 1"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422910"/>
                      </a:xfrm>
                      <a:prstGeom prst="rect">
                        <a:avLst/>
                      </a:prstGeom>
                      <a:noFill/>
                      <a:ln>
                        <a:noFill/>
                      </a:ln>
                    </wps:spPr>
                    <wps:txbx>
                      <w:txbxContent>
                        <w:p w14:paraId="029F01FF" w14:textId="291C531A" w:rsidR="00DD301B" w:rsidRPr="00DD301B" w:rsidRDefault="00DD301B" w:rsidP="00DD301B">
                          <w:pPr>
                            <w:rPr>
                              <w:rFonts w:ascii="Calibri" w:hAnsi="Calibri"/>
                              <w:noProof/>
                              <w:color w:val="000000"/>
                              <w:sz w:val="20"/>
                              <w:szCs w:val="20"/>
                            </w:rPr>
                          </w:pPr>
                          <w:r w:rsidRPr="00DD301B">
                            <w:rPr>
                              <w:rFonts w:ascii="Calibri" w:hAnsi="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5DD534D" id="_x0000_t202" coordsize="21600,21600" o:spt="202" path="m,l,21600r21600,l21600,xe">
              <v:stroke joinstyle="miter"/>
              <v:path gradientshapeok="t" o:connecttype="rect"/>
            </v:shapetype>
            <v:shape id="Text Box 1" o:spid="_x0000_s1028" type="#_x0000_t202" alt="OFFICIAL" style="position:absolute;left:0;text-align:left;margin-left:0;margin-top:0;width:36.2pt;height:33.3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" filled="f" stroked="f">
              <v:textbox style="mso-fit-shape-to-text:t" inset="0,0,0,15pt">
                <w:txbxContent>
                  <w:p w14:paraId="029F01FF" w14:textId="291C531A" w:rsidR="00DD301B" w:rsidRPr="00DD301B" w:rsidRDefault="00DD301B" w:rsidP="00DD301B">
                    <w:pPr>
                      <w:rPr>
                        <w:rFonts w:ascii="Calibri" w:hAnsi="Calibri"/>
                        <w:noProof/>
                        <w:color w:val="000000"/>
                        <w:sz w:val="20"/>
                        <w:szCs w:val="20"/>
                      </w:rPr>
                    </w:pPr>
                    <w:r w:rsidRPr="00DD301B">
                      <w:rPr>
                        <w:rFonts w:ascii="Calibri" w:hAnsi="Calibri"/>
                        <w:noProof/>
                        <w:color w:val="000000"/>
                        <w:sz w:val="20"/>
                        <w:szCs w:val="20"/>
                      </w:rPr>
                      <w:t>OFFICIAL</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D73B90" w14:textId="6615076B" w:rsidR="008321FA" w:rsidRDefault="00DD301B">
    <w:pPr>
      <w:pStyle w:val="Footer"/>
      <w:jc w:val="right"/>
    </w:pPr>
    <w:r>
      <w:rPr>
        <w:noProof/>
        <w14:ligatures w14:val="standardContextual"/>
      </w:rPr>
      <mc:AlternateContent>
        <mc:Choice Requires="wps">
          <w:drawing>
            <wp:anchor distT="0" distB="0" distL="0" distR="0" simplePos="0" relativeHeight="251661312" behindDoc="0" locked="0" layoutInCell="1" allowOverlap="1" wp14:anchorId="4FCA8CF4" wp14:editId="5096C833">
              <wp:simplePos x="635" y="635"/>
              <wp:positionH relativeFrom="page">
                <wp:align>center</wp:align>
              </wp:positionH>
              <wp:positionV relativeFrom="page">
                <wp:align>bottom</wp:align>
              </wp:positionV>
              <wp:extent cx="459740" cy="422910"/>
              <wp:effectExtent l="0" t="0" r="16510" b="0"/>
              <wp:wrapNone/>
              <wp:docPr id="1167231066" name="Text Box 4"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422910"/>
                      </a:xfrm>
                      <a:prstGeom prst="rect">
                        <a:avLst/>
                      </a:prstGeom>
                      <a:noFill/>
                      <a:ln>
                        <a:noFill/>
                      </a:ln>
                    </wps:spPr>
                    <wps:txbx>
                      <w:txbxContent>
                        <w:p w14:paraId="5F2834B5" w14:textId="247AEB3B" w:rsidR="00DD301B" w:rsidRPr="00DD301B" w:rsidRDefault="00DD301B" w:rsidP="00DD301B">
                          <w:pPr>
                            <w:rPr>
                              <w:rFonts w:ascii="Calibri" w:hAnsi="Calibri"/>
                              <w:noProof/>
                              <w:color w:val="000000"/>
                              <w:sz w:val="20"/>
                              <w:szCs w:val="20"/>
                            </w:rPr>
                          </w:pPr>
                          <w:r w:rsidRPr="00DD301B">
                            <w:rPr>
                              <w:rFonts w:ascii="Calibri" w:hAnsi="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FCA8CF4" id="_x0000_t202" coordsize="21600,21600" o:spt="202" path="m,l,21600r21600,l21600,xe">
              <v:stroke joinstyle="miter"/>
              <v:path gradientshapeok="t" o:connecttype="rect"/>
            </v:shapetype>
            <v:shape id="Text Box 4" o:spid="_x0000_s1029" type="#_x0000_t202" alt="OFFICIAL" style="position:absolute;left:0;text-align:left;margin-left:0;margin-top:0;width:36.2pt;height:33.3pt;z-index:25166131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" filled="f" stroked="f">
              <v:textbox style="mso-fit-shape-to-text:t" inset="0,0,0,15pt">
                <w:txbxContent>
                  <w:p w14:paraId="5F2834B5" w14:textId="247AEB3B" w:rsidR="00DD301B" w:rsidRPr="00DD301B" w:rsidRDefault="00DD301B" w:rsidP="00DD301B">
                    <w:pPr>
                      <w:rPr>
                        <w:rFonts w:ascii="Calibri" w:hAnsi="Calibri"/>
                        <w:noProof/>
                        <w:color w:val="000000"/>
                        <w:sz w:val="20"/>
                        <w:szCs w:val="20"/>
                      </w:rPr>
                    </w:pPr>
                    <w:r w:rsidRPr="00DD301B">
                      <w:rPr>
                        <w:rFonts w:ascii="Calibri" w:hAnsi="Calibri"/>
                        <w:noProof/>
                        <w:color w:val="000000"/>
                        <w:sz w:val="20"/>
                        <w:szCs w:val="20"/>
                      </w:rPr>
                      <w:t>OFFICIAL</w:t>
                    </w:r>
                  </w:p>
                </w:txbxContent>
              </v:textbox>
              <w10:wrap anchorx="page" anchory="page"/>
            </v:shape>
          </w:pict>
        </mc:Fallback>
      </mc:AlternateContent>
    </w:r>
    <w:sdt>
      <w:sdtPr>
        <w:id w:val="1156103310"/>
        <w:docPartObj>
          <w:docPartGallery w:val="Page Numbers (Bottom of Page)"/>
          <w:docPartUnique/>
        </w:docPartObj>
      </w:sdtPr>
      <w:sdtContent>
        <w:r w:rsidR="008321FA">
          <w:fldChar w:fldCharType="begin"/>
        </w:r>
        <w:r w:rsidR="008321FA">
          <w:instrText>PAGE   \* MERGEFORMAT</w:instrText>
        </w:r>
        <w:r w:rsidR="008321FA">
          <w:fldChar w:fldCharType="separate"/>
        </w:r>
        <w:r w:rsidR="008321FA">
          <w:t>2</w:t>
        </w:r>
        <w:r w:rsidR="008321FA">
          <w:fldChar w:fldCharType="end"/>
        </w:r>
      </w:sdtContent>
    </w:sdt>
  </w:p>
  <w:p w14:paraId="2314FD86" w14:textId="77777777" w:rsidR="008321FA" w:rsidRDefault="00832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25DB8" w14:textId="77777777" w:rsidR="006E7C94" w:rsidRDefault="006E7C94" w:rsidP="008321FA">
      <w:pPr>
        <w:spacing w:line="240" w:lineRule="auto"/>
      </w:pPr>
      <w:r>
        <w:separator/>
      </w:r>
    </w:p>
  </w:footnote>
  <w:footnote w:type="continuationSeparator" w:id="0">
    <w:p w14:paraId="60641426" w14:textId="77777777" w:rsidR="006E7C94" w:rsidRDefault="006E7C94" w:rsidP="008321F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yMDAwMjY1MzU3tTRU0lEKTi0uzszPAykwqgUA+qJDkiwAAAA="/>
  </w:docVars>
  <w:rsids>
    <w:rsidRoot w:val="00013CA7"/>
    <w:rsid w:val="00002CCA"/>
    <w:rsid w:val="00007841"/>
    <w:rsid w:val="00013CA7"/>
    <w:rsid w:val="0001594B"/>
    <w:rsid w:val="00027FC9"/>
    <w:rsid w:val="000344DA"/>
    <w:rsid w:val="00063F2F"/>
    <w:rsid w:val="00066131"/>
    <w:rsid w:val="00076991"/>
    <w:rsid w:val="00086A25"/>
    <w:rsid w:val="00093441"/>
    <w:rsid w:val="000C79DE"/>
    <w:rsid w:val="00102FA3"/>
    <w:rsid w:val="00163CDA"/>
    <w:rsid w:val="00180756"/>
    <w:rsid w:val="001959AF"/>
    <w:rsid w:val="001B63C7"/>
    <w:rsid w:val="001C6198"/>
    <w:rsid w:val="001D14D4"/>
    <w:rsid w:val="00221DC6"/>
    <w:rsid w:val="00223322"/>
    <w:rsid w:val="00230484"/>
    <w:rsid w:val="002338FD"/>
    <w:rsid w:val="00235081"/>
    <w:rsid w:val="00252D0B"/>
    <w:rsid w:val="00262273"/>
    <w:rsid w:val="00272D2F"/>
    <w:rsid w:val="00274D57"/>
    <w:rsid w:val="00275888"/>
    <w:rsid w:val="00286B63"/>
    <w:rsid w:val="002A2A8F"/>
    <w:rsid w:val="002B1468"/>
    <w:rsid w:val="002B36F2"/>
    <w:rsid w:val="002F158C"/>
    <w:rsid w:val="002F5035"/>
    <w:rsid w:val="00311E2E"/>
    <w:rsid w:val="00321E64"/>
    <w:rsid w:val="00322917"/>
    <w:rsid w:val="00326EEB"/>
    <w:rsid w:val="00342FBF"/>
    <w:rsid w:val="003464FE"/>
    <w:rsid w:val="00360307"/>
    <w:rsid w:val="00384C70"/>
    <w:rsid w:val="00393760"/>
    <w:rsid w:val="003A030F"/>
    <w:rsid w:val="003A2C90"/>
    <w:rsid w:val="003C27DC"/>
    <w:rsid w:val="003C3745"/>
    <w:rsid w:val="003C3998"/>
    <w:rsid w:val="003D72D4"/>
    <w:rsid w:val="003D7367"/>
    <w:rsid w:val="003E4511"/>
    <w:rsid w:val="003E5D75"/>
    <w:rsid w:val="003F715D"/>
    <w:rsid w:val="00411239"/>
    <w:rsid w:val="00412FE6"/>
    <w:rsid w:val="0043654C"/>
    <w:rsid w:val="00436E3C"/>
    <w:rsid w:val="00440089"/>
    <w:rsid w:val="0045356F"/>
    <w:rsid w:val="00457095"/>
    <w:rsid w:val="00472385"/>
    <w:rsid w:val="00481BE9"/>
    <w:rsid w:val="004832DE"/>
    <w:rsid w:val="00497AF6"/>
    <w:rsid w:val="004A7C46"/>
    <w:rsid w:val="004B1746"/>
    <w:rsid w:val="004B2323"/>
    <w:rsid w:val="004D6C10"/>
    <w:rsid w:val="004F2FA8"/>
    <w:rsid w:val="005102B1"/>
    <w:rsid w:val="005223B9"/>
    <w:rsid w:val="00526AE3"/>
    <w:rsid w:val="00536648"/>
    <w:rsid w:val="00557B22"/>
    <w:rsid w:val="00566060"/>
    <w:rsid w:val="00583BC4"/>
    <w:rsid w:val="005A2460"/>
    <w:rsid w:val="005C0EE6"/>
    <w:rsid w:val="005C4D89"/>
    <w:rsid w:val="005F2FE3"/>
    <w:rsid w:val="006044B4"/>
    <w:rsid w:val="006045D5"/>
    <w:rsid w:val="00604E43"/>
    <w:rsid w:val="00620D9B"/>
    <w:rsid w:val="006444DD"/>
    <w:rsid w:val="006569BD"/>
    <w:rsid w:val="00660ECD"/>
    <w:rsid w:val="006C3833"/>
    <w:rsid w:val="006C678E"/>
    <w:rsid w:val="006E7C94"/>
    <w:rsid w:val="006F612C"/>
    <w:rsid w:val="006F6D44"/>
    <w:rsid w:val="007015D3"/>
    <w:rsid w:val="00702BB4"/>
    <w:rsid w:val="00705069"/>
    <w:rsid w:val="00723B5F"/>
    <w:rsid w:val="0072705E"/>
    <w:rsid w:val="00731C3B"/>
    <w:rsid w:val="00733253"/>
    <w:rsid w:val="007343DD"/>
    <w:rsid w:val="00734848"/>
    <w:rsid w:val="007360F8"/>
    <w:rsid w:val="00762DEE"/>
    <w:rsid w:val="007761FB"/>
    <w:rsid w:val="00792C16"/>
    <w:rsid w:val="007A3455"/>
    <w:rsid w:val="007A5CA5"/>
    <w:rsid w:val="007B5DBE"/>
    <w:rsid w:val="007C4382"/>
    <w:rsid w:val="007D0486"/>
    <w:rsid w:val="007D4372"/>
    <w:rsid w:val="007D7558"/>
    <w:rsid w:val="007F173A"/>
    <w:rsid w:val="007F3E0C"/>
    <w:rsid w:val="00811B02"/>
    <w:rsid w:val="00814987"/>
    <w:rsid w:val="008259E2"/>
    <w:rsid w:val="008321FA"/>
    <w:rsid w:val="00856562"/>
    <w:rsid w:val="00857182"/>
    <w:rsid w:val="00864D92"/>
    <w:rsid w:val="008872F9"/>
    <w:rsid w:val="00891862"/>
    <w:rsid w:val="008A5975"/>
    <w:rsid w:val="008B3E4A"/>
    <w:rsid w:val="008C3A08"/>
    <w:rsid w:val="008F0302"/>
    <w:rsid w:val="008F2986"/>
    <w:rsid w:val="008F536F"/>
    <w:rsid w:val="00903F33"/>
    <w:rsid w:val="00920C14"/>
    <w:rsid w:val="0092301B"/>
    <w:rsid w:val="00925113"/>
    <w:rsid w:val="00931077"/>
    <w:rsid w:val="0093745E"/>
    <w:rsid w:val="00940245"/>
    <w:rsid w:val="00950202"/>
    <w:rsid w:val="00952927"/>
    <w:rsid w:val="00953A0F"/>
    <w:rsid w:val="0097309E"/>
    <w:rsid w:val="00976A96"/>
    <w:rsid w:val="00980C09"/>
    <w:rsid w:val="0098453D"/>
    <w:rsid w:val="0099777F"/>
    <w:rsid w:val="009A7142"/>
    <w:rsid w:val="009B13F5"/>
    <w:rsid w:val="009C4AAE"/>
    <w:rsid w:val="009C5BF3"/>
    <w:rsid w:val="009D143A"/>
    <w:rsid w:val="009E4149"/>
    <w:rsid w:val="009F1E0B"/>
    <w:rsid w:val="009F2F74"/>
    <w:rsid w:val="00A14BE6"/>
    <w:rsid w:val="00A25748"/>
    <w:rsid w:val="00A4002E"/>
    <w:rsid w:val="00A43537"/>
    <w:rsid w:val="00A43FFB"/>
    <w:rsid w:val="00A65FEB"/>
    <w:rsid w:val="00A6619E"/>
    <w:rsid w:val="00A7026A"/>
    <w:rsid w:val="00A717E7"/>
    <w:rsid w:val="00A92572"/>
    <w:rsid w:val="00A925FC"/>
    <w:rsid w:val="00A94AB3"/>
    <w:rsid w:val="00AB1CBA"/>
    <w:rsid w:val="00AB32D9"/>
    <w:rsid w:val="00AC5A2D"/>
    <w:rsid w:val="00AD157C"/>
    <w:rsid w:val="00AF080C"/>
    <w:rsid w:val="00AF7F0E"/>
    <w:rsid w:val="00B035B3"/>
    <w:rsid w:val="00B15C69"/>
    <w:rsid w:val="00B256E4"/>
    <w:rsid w:val="00B319C4"/>
    <w:rsid w:val="00B32666"/>
    <w:rsid w:val="00B6318A"/>
    <w:rsid w:val="00B70BB5"/>
    <w:rsid w:val="00B84DFB"/>
    <w:rsid w:val="00B87089"/>
    <w:rsid w:val="00B91157"/>
    <w:rsid w:val="00BA334B"/>
    <w:rsid w:val="00BB61FE"/>
    <w:rsid w:val="00BC01CA"/>
    <w:rsid w:val="00BE1E0D"/>
    <w:rsid w:val="00BF022E"/>
    <w:rsid w:val="00C15D6B"/>
    <w:rsid w:val="00C278CB"/>
    <w:rsid w:val="00C27E6D"/>
    <w:rsid w:val="00C326C4"/>
    <w:rsid w:val="00C32E4D"/>
    <w:rsid w:val="00C37E39"/>
    <w:rsid w:val="00C524ED"/>
    <w:rsid w:val="00C71122"/>
    <w:rsid w:val="00C73A74"/>
    <w:rsid w:val="00C85139"/>
    <w:rsid w:val="00C946C6"/>
    <w:rsid w:val="00C94D04"/>
    <w:rsid w:val="00CA3520"/>
    <w:rsid w:val="00CA519D"/>
    <w:rsid w:val="00CD7100"/>
    <w:rsid w:val="00CF1E3E"/>
    <w:rsid w:val="00D11C1E"/>
    <w:rsid w:val="00D2001F"/>
    <w:rsid w:val="00D23583"/>
    <w:rsid w:val="00D54737"/>
    <w:rsid w:val="00D56117"/>
    <w:rsid w:val="00D76660"/>
    <w:rsid w:val="00D777CF"/>
    <w:rsid w:val="00D777E7"/>
    <w:rsid w:val="00D80165"/>
    <w:rsid w:val="00D81370"/>
    <w:rsid w:val="00D826F6"/>
    <w:rsid w:val="00DA197E"/>
    <w:rsid w:val="00DA34F2"/>
    <w:rsid w:val="00DA53B3"/>
    <w:rsid w:val="00DA785C"/>
    <w:rsid w:val="00DD301B"/>
    <w:rsid w:val="00DD6ACB"/>
    <w:rsid w:val="00E33EC4"/>
    <w:rsid w:val="00E415AE"/>
    <w:rsid w:val="00E544B6"/>
    <w:rsid w:val="00E56FFD"/>
    <w:rsid w:val="00E75204"/>
    <w:rsid w:val="00E76316"/>
    <w:rsid w:val="00E768C8"/>
    <w:rsid w:val="00E77D50"/>
    <w:rsid w:val="00EF1690"/>
    <w:rsid w:val="00F068FF"/>
    <w:rsid w:val="00F22C99"/>
    <w:rsid w:val="00F44556"/>
    <w:rsid w:val="00F67CC6"/>
    <w:rsid w:val="00FC4638"/>
    <w:rsid w:val="00FE1E8A"/>
    <w:rsid w:val="00FE707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586147"/>
  <w15:chartTrackingRefBased/>
  <w15:docId w15:val="{14C75709-58EE-4A0F-B3C7-1A264A705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A8F"/>
    <w:pPr>
      <w:spacing w:after="0" w:line="360" w:lineRule="auto"/>
      <w:jc w:val="both"/>
    </w:pPr>
    <w:rPr>
      <w:rFonts w:ascii="Times New Roman" w:hAnsi="Times New Roman" w:cs="Calibri"/>
      <w:kern w:val="0"/>
      <w:sz w:val="24"/>
      <w:szCs w:val="24"/>
      <w:lang w:eastAsia="en-GB"/>
      <w14:ligatures w14:val="none"/>
    </w:rPr>
  </w:style>
  <w:style w:type="paragraph" w:styleId="Heading1">
    <w:name w:val="heading 1"/>
    <w:basedOn w:val="Normal"/>
    <w:next w:val="Normal"/>
    <w:link w:val="Heading1Char"/>
    <w:uiPriority w:val="9"/>
    <w:qFormat/>
    <w:rsid w:val="00457095"/>
    <w:pPr>
      <w:keepNext/>
      <w:keepLines/>
      <w:outlineLvl w:val="0"/>
    </w:pPr>
    <w:rPr>
      <w:rFonts w:eastAsiaTheme="majorEastAsia" w:cstheme="majorBidi"/>
      <w:b/>
      <w:color w:val="2F5496" w:themeColor="accent1" w:themeShade="BF"/>
      <w:sz w:val="32"/>
      <w:szCs w:val="32"/>
    </w:rPr>
  </w:style>
  <w:style w:type="paragraph" w:styleId="Heading2">
    <w:name w:val="heading 2"/>
    <w:basedOn w:val="Normal"/>
    <w:link w:val="Heading2Char"/>
    <w:uiPriority w:val="9"/>
    <w:qFormat/>
    <w:rsid w:val="00457095"/>
    <w:pPr>
      <w:outlineLvl w:val="1"/>
    </w:pPr>
    <w:rPr>
      <w:rFonts w:eastAsia="Times New Roman" w:cs="Times New Roman"/>
      <w:bCs/>
      <w:color w:val="2F5496" w:themeColor="accent1" w:themeShade="BF"/>
      <w:sz w:val="28"/>
      <w:szCs w:val="36"/>
    </w:rPr>
  </w:style>
  <w:style w:type="paragraph" w:styleId="Heading3">
    <w:name w:val="heading 3"/>
    <w:basedOn w:val="Normal"/>
    <w:next w:val="Normal"/>
    <w:link w:val="Heading3Char"/>
    <w:uiPriority w:val="9"/>
    <w:semiHidden/>
    <w:unhideWhenUsed/>
    <w:qFormat/>
    <w:rsid w:val="00457095"/>
    <w:pPr>
      <w:keepNext/>
      <w:keepLines/>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2338FD"/>
    <w:pPr>
      <w:keepNext/>
      <w:keepLines/>
      <w:spacing w:before="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3CA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13CA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3CA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3CA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3CA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7095"/>
    <w:rPr>
      <w:rFonts w:ascii="Times New Roman" w:eastAsia="Times New Roman" w:hAnsi="Times New Roman" w:cs="Times New Roman"/>
      <w:bCs/>
      <w:color w:val="2F5496" w:themeColor="accent1" w:themeShade="BF"/>
      <w:sz w:val="28"/>
      <w:szCs w:val="36"/>
      <w:lang w:bidi="bn-IN"/>
    </w:rPr>
  </w:style>
  <w:style w:type="paragraph" w:customStyle="1" w:styleId="Style1">
    <w:name w:val="Style1"/>
    <w:basedOn w:val="Normal"/>
    <w:rsid w:val="00D56117"/>
    <w:pPr>
      <w:jc w:val="center"/>
    </w:pPr>
    <w:rPr>
      <w:rFonts w:asciiTheme="majorHAnsi" w:hAnsiTheme="majorHAnsi" w:cstheme="majorHAnsi"/>
      <w:sz w:val="32"/>
      <w:szCs w:val="32"/>
    </w:rPr>
  </w:style>
  <w:style w:type="character" w:customStyle="1" w:styleId="Heading1Char">
    <w:name w:val="Heading 1 Char"/>
    <w:basedOn w:val="DefaultParagraphFont"/>
    <w:link w:val="Heading1"/>
    <w:uiPriority w:val="9"/>
    <w:rsid w:val="00457095"/>
    <w:rPr>
      <w:rFonts w:ascii="Times New Roman" w:eastAsiaTheme="majorEastAsia" w:hAnsi="Times New Roman" w:cstheme="majorBidi"/>
      <w:b/>
      <w:color w:val="2F5496" w:themeColor="accent1" w:themeShade="BF"/>
      <w:sz w:val="32"/>
      <w:szCs w:val="32"/>
      <w:lang w:bidi="bn-IN"/>
    </w:rPr>
  </w:style>
  <w:style w:type="character" w:customStyle="1" w:styleId="Heading3Char">
    <w:name w:val="Heading 3 Char"/>
    <w:basedOn w:val="DefaultParagraphFont"/>
    <w:link w:val="Heading3"/>
    <w:uiPriority w:val="9"/>
    <w:semiHidden/>
    <w:rsid w:val="00457095"/>
    <w:rPr>
      <w:rFonts w:ascii="Times New Roman" w:eastAsiaTheme="majorEastAsia" w:hAnsi="Times New Roman" w:cstheme="majorBidi"/>
      <w:color w:val="1F3763" w:themeColor="accent1" w:themeShade="7F"/>
      <w:sz w:val="24"/>
      <w:szCs w:val="30"/>
      <w:lang w:bidi="bn-IN"/>
    </w:rPr>
  </w:style>
  <w:style w:type="character" w:customStyle="1" w:styleId="Heading4Char">
    <w:name w:val="Heading 4 Char"/>
    <w:basedOn w:val="DefaultParagraphFont"/>
    <w:link w:val="Heading4"/>
    <w:uiPriority w:val="9"/>
    <w:rsid w:val="002338FD"/>
    <w:rPr>
      <w:rFonts w:ascii="Times New Roman" w:eastAsiaTheme="majorEastAsia" w:hAnsi="Times New Roman" w:cstheme="majorBidi"/>
      <w:i/>
      <w:iCs/>
      <w:color w:val="2F5496" w:themeColor="accent1" w:themeShade="BF"/>
      <w:kern w:val="0"/>
      <w:sz w:val="24"/>
      <w:szCs w:val="24"/>
      <w14:ligatures w14:val="none"/>
    </w:rPr>
  </w:style>
  <w:style w:type="character" w:customStyle="1" w:styleId="Heading5Char">
    <w:name w:val="Heading 5 Char"/>
    <w:basedOn w:val="DefaultParagraphFont"/>
    <w:link w:val="Heading5"/>
    <w:uiPriority w:val="9"/>
    <w:semiHidden/>
    <w:rsid w:val="00013CA7"/>
    <w:rPr>
      <w:rFonts w:eastAsiaTheme="majorEastAsia" w:cstheme="majorBidi"/>
      <w:color w:val="2F5496" w:themeColor="accent1" w:themeShade="BF"/>
      <w:kern w:val="0"/>
      <w:sz w:val="24"/>
      <w:szCs w:val="24"/>
      <w:lang w:eastAsia="en-GB"/>
      <w14:ligatures w14:val="none"/>
    </w:rPr>
  </w:style>
  <w:style w:type="character" w:customStyle="1" w:styleId="Heading6Char">
    <w:name w:val="Heading 6 Char"/>
    <w:basedOn w:val="DefaultParagraphFont"/>
    <w:link w:val="Heading6"/>
    <w:uiPriority w:val="9"/>
    <w:semiHidden/>
    <w:rsid w:val="00013CA7"/>
    <w:rPr>
      <w:rFonts w:eastAsiaTheme="majorEastAsia" w:cstheme="majorBidi"/>
      <w:i/>
      <w:iCs/>
      <w:color w:val="595959" w:themeColor="text1" w:themeTint="A6"/>
      <w:kern w:val="0"/>
      <w:sz w:val="24"/>
      <w:szCs w:val="24"/>
      <w:lang w:eastAsia="en-GB"/>
      <w14:ligatures w14:val="none"/>
    </w:rPr>
  </w:style>
  <w:style w:type="character" w:customStyle="1" w:styleId="Heading7Char">
    <w:name w:val="Heading 7 Char"/>
    <w:basedOn w:val="DefaultParagraphFont"/>
    <w:link w:val="Heading7"/>
    <w:uiPriority w:val="9"/>
    <w:semiHidden/>
    <w:rsid w:val="00013CA7"/>
    <w:rPr>
      <w:rFonts w:eastAsiaTheme="majorEastAsia" w:cstheme="majorBidi"/>
      <w:color w:val="595959" w:themeColor="text1" w:themeTint="A6"/>
      <w:kern w:val="0"/>
      <w:sz w:val="24"/>
      <w:szCs w:val="24"/>
      <w:lang w:eastAsia="en-GB"/>
      <w14:ligatures w14:val="none"/>
    </w:rPr>
  </w:style>
  <w:style w:type="character" w:customStyle="1" w:styleId="Heading8Char">
    <w:name w:val="Heading 8 Char"/>
    <w:basedOn w:val="DefaultParagraphFont"/>
    <w:link w:val="Heading8"/>
    <w:uiPriority w:val="9"/>
    <w:semiHidden/>
    <w:rsid w:val="00013CA7"/>
    <w:rPr>
      <w:rFonts w:eastAsiaTheme="majorEastAsia" w:cstheme="majorBidi"/>
      <w:i/>
      <w:iCs/>
      <w:color w:val="272727" w:themeColor="text1" w:themeTint="D8"/>
      <w:kern w:val="0"/>
      <w:sz w:val="24"/>
      <w:szCs w:val="24"/>
      <w:lang w:eastAsia="en-GB"/>
      <w14:ligatures w14:val="none"/>
    </w:rPr>
  </w:style>
  <w:style w:type="character" w:customStyle="1" w:styleId="Heading9Char">
    <w:name w:val="Heading 9 Char"/>
    <w:basedOn w:val="DefaultParagraphFont"/>
    <w:link w:val="Heading9"/>
    <w:uiPriority w:val="9"/>
    <w:semiHidden/>
    <w:rsid w:val="00013CA7"/>
    <w:rPr>
      <w:rFonts w:eastAsiaTheme="majorEastAsia" w:cstheme="majorBidi"/>
      <w:color w:val="272727" w:themeColor="text1" w:themeTint="D8"/>
      <w:kern w:val="0"/>
      <w:sz w:val="24"/>
      <w:szCs w:val="24"/>
      <w:lang w:eastAsia="en-GB"/>
      <w14:ligatures w14:val="none"/>
    </w:rPr>
  </w:style>
  <w:style w:type="paragraph" w:styleId="Title">
    <w:name w:val="Title"/>
    <w:basedOn w:val="Normal"/>
    <w:next w:val="Normal"/>
    <w:link w:val="TitleChar"/>
    <w:uiPriority w:val="10"/>
    <w:qFormat/>
    <w:rsid w:val="00013C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CA7"/>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013CA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CA7"/>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013C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3CA7"/>
    <w:rPr>
      <w:rFonts w:ascii="Times New Roman" w:hAnsi="Times New Roman" w:cs="Calibri"/>
      <w:i/>
      <w:iCs/>
      <w:color w:val="404040" w:themeColor="text1" w:themeTint="BF"/>
      <w:kern w:val="0"/>
      <w:sz w:val="24"/>
      <w:szCs w:val="24"/>
      <w:lang w:eastAsia="en-GB"/>
      <w14:ligatures w14:val="none"/>
    </w:rPr>
  </w:style>
  <w:style w:type="paragraph" w:styleId="ListParagraph">
    <w:name w:val="List Paragraph"/>
    <w:basedOn w:val="Normal"/>
    <w:uiPriority w:val="34"/>
    <w:qFormat/>
    <w:rsid w:val="00013CA7"/>
    <w:pPr>
      <w:ind w:left="720"/>
      <w:contextualSpacing/>
    </w:pPr>
  </w:style>
  <w:style w:type="character" w:styleId="IntenseEmphasis">
    <w:name w:val="Intense Emphasis"/>
    <w:basedOn w:val="DefaultParagraphFont"/>
    <w:uiPriority w:val="21"/>
    <w:qFormat/>
    <w:rsid w:val="00013CA7"/>
    <w:rPr>
      <w:i/>
      <w:iCs/>
      <w:color w:val="2F5496" w:themeColor="accent1" w:themeShade="BF"/>
    </w:rPr>
  </w:style>
  <w:style w:type="paragraph" w:styleId="IntenseQuote">
    <w:name w:val="Intense Quote"/>
    <w:basedOn w:val="Normal"/>
    <w:next w:val="Normal"/>
    <w:link w:val="IntenseQuoteChar"/>
    <w:uiPriority w:val="30"/>
    <w:qFormat/>
    <w:rsid w:val="00013C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3CA7"/>
    <w:rPr>
      <w:rFonts w:ascii="Times New Roman" w:hAnsi="Times New Roman" w:cs="Calibri"/>
      <w:i/>
      <w:iCs/>
      <w:color w:val="2F5496" w:themeColor="accent1" w:themeShade="BF"/>
      <w:kern w:val="0"/>
      <w:sz w:val="24"/>
      <w:szCs w:val="24"/>
      <w:lang w:eastAsia="en-GB"/>
      <w14:ligatures w14:val="none"/>
    </w:rPr>
  </w:style>
  <w:style w:type="character" w:styleId="IntenseReference">
    <w:name w:val="Intense Reference"/>
    <w:basedOn w:val="DefaultParagraphFont"/>
    <w:uiPriority w:val="32"/>
    <w:qFormat/>
    <w:rsid w:val="00013CA7"/>
    <w:rPr>
      <w:b/>
      <w:bCs/>
      <w:smallCaps/>
      <w:color w:val="2F5496" w:themeColor="accent1" w:themeShade="BF"/>
      <w:spacing w:val="5"/>
    </w:rPr>
  </w:style>
  <w:style w:type="paragraph" w:styleId="NormalWeb">
    <w:name w:val="Normal (Web)"/>
    <w:basedOn w:val="Normal"/>
    <w:uiPriority w:val="99"/>
    <w:semiHidden/>
    <w:unhideWhenUsed/>
    <w:rsid w:val="00B319C4"/>
    <w:pPr>
      <w:spacing w:before="100" w:beforeAutospacing="1" w:after="100" w:afterAutospacing="1" w:line="240" w:lineRule="auto"/>
      <w:jc w:val="left"/>
    </w:pPr>
    <w:rPr>
      <w:rFonts w:eastAsia="Times New Roman" w:cs="Times New Roman"/>
    </w:rPr>
  </w:style>
  <w:style w:type="paragraph" w:styleId="Header">
    <w:name w:val="header"/>
    <w:basedOn w:val="Normal"/>
    <w:link w:val="HeaderChar"/>
    <w:uiPriority w:val="99"/>
    <w:unhideWhenUsed/>
    <w:rsid w:val="008321FA"/>
    <w:pPr>
      <w:tabs>
        <w:tab w:val="center" w:pos="4513"/>
        <w:tab w:val="right" w:pos="9026"/>
      </w:tabs>
      <w:spacing w:line="240" w:lineRule="auto"/>
    </w:pPr>
  </w:style>
  <w:style w:type="character" w:customStyle="1" w:styleId="HeaderChar">
    <w:name w:val="Header Char"/>
    <w:basedOn w:val="DefaultParagraphFont"/>
    <w:link w:val="Header"/>
    <w:uiPriority w:val="99"/>
    <w:rsid w:val="008321FA"/>
    <w:rPr>
      <w:rFonts w:ascii="Times New Roman" w:hAnsi="Times New Roman" w:cs="Calibri"/>
      <w:kern w:val="0"/>
      <w:sz w:val="24"/>
      <w:szCs w:val="24"/>
      <w:lang w:eastAsia="en-GB"/>
      <w14:ligatures w14:val="none"/>
    </w:rPr>
  </w:style>
  <w:style w:type="paragraph" w:styleId="Footer">
    <w:name w:val="footer"/>
    <w:basedOn w:val="Normal"/>
    <w:link w:val="FooterChar"/>
    <w:uiPriority w:val="99"/>
    <w:unhideWhenUsed/>
    <w:rsid w:val="008321FA"/>
    <w:pPr>
      <w:tabs>
        <w:tab w:val="center" w:pos="4513"/>
        <w:tab w:val="right" w:pos="9026"/>
      </w:tabs>
      <w:spacing w:line="240" w:lineRule="auto"/>
    </w:pPr>
  </w:style>
  <w:style w:type="character" w:customStyle="1" w:styleId="FooterChar">
    <w:name w:val="Footer Char"/>
    <w:basedOn w:val="DefaultParagraphFont"/>
    <w:link w:val="Footer"/>
    <w:uiPriority w:val="99"/>
    <w:rsid w:val="008321FA"/>
    <w:rPr>
      <w:rFonts w:ascii="Times New Roman" w:hAnsi="Times New Roman" w:cs="Calibri"/>
      <w:kern w:val="0"/>
      <w:sz w:val="24"/>
      <w:szCs w:val="24"/>
      <w:lang w:eastAsia="en-GB"/>
      <w14:ligatures w14:val="none"/>
    </w:rPr>
  </w:style>
  <w:style w:type="paragraph" w:styleId="TOCHeading">
    <w:name w:val="TOC Heading"/>
    <w:basedOn w:val="Heading1"/>
    <w:next w:val="Normal"/>
    <w:uiPriority w:val="39"/>
    <w:unhideWhenUsed/>
    <w:qFormat/>
    <w:rsid w:val="008321FA"/>
    <w:pPr>
      <w:spacing w:before="24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321FA"/>
    <w:pPr>
      <w:spacing w:after="100"/>
    </w:pPr>
  </w:style>
  <w:style w:type="paragraph" w:styleId="TOC2">
    <w:name w:val="toc 2"/>
    <w:basedOn w:val="Normal"/>
    <w:next w:val="Normal"/>
    <w:autoRedefine/>
    <w:uiPriority w:val="39"/>
    <w:unhideWhenUsed/>
    <w:rsid w:val="008321FA"/>
    <w:pPr>
      <w:spacing w:after="100"/>
      <w:ind w:left="240"/>
    </w:pPr>
  </w:style>
  <w:style w:type="character" w:styleId="Hyperlink">
    <w:name w:val="Hyperlink"/>
    <w:basedOn w:val="DefaultParagraphFont"/>
    <w:uiPriority w:val="99"/>
    <w:unhideWhenUsed/>
    <w:rsid w:val="008321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4269948">
      <w:bodyDiv w:val="1"/>
      <w:marLeft w:val="0"/>
      <w:marRight w:val="0"/>
      <w:marTop w:val="0"/>
      <w:marBottom w:val="0"/>
      <w:divBdr>
        <w:top w:val="none" w:sz="0" w:space="0" w:color="auto"/>
        <w:left w:val="none" w:sz="0" w:space="0" w:color="auto"/>
        <w:bottom w:val="none" w:sz="0" w:space="0" w:color="auto"/>
        <w:right w:val="none" w:sz="0" w:space="0" w:color="auto"/>
      </w:divBdr>
    </w:div>
    <w:div w:id="888417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100B4-7D8A-4761-B958-06243F128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3508</Words>
  <Characters>22527</Characters>
  <Application>Microsoft Office Word</Application>
  <DocSecurity>0</DocSecurity>
  <Lines>336</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Mousa Touray</cp:lastModifiedBy>
  <cp:revision>2</cp:revision>
  <dcterms:created xsi:type="dcterms:W3CDTF">2025-10-26T10:00:00Z</dcterms:created>
  <dcterms:modified xsi:type="dcterms:W3CDTF">2025-10-26T10:00:00Z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95b71c67-d471-41c8-b985-d79c6b5ffefb</vt:lpwstr>
  </property>
  <property fmtid="{D5CDD505-2E9C-101B-9397-08002B2CF9AE}" pid="3" name="ClassificationContentMarkingFooterShapeIds">
    <vt:lpwstr>4815e819,7190b7da,3ad85729,4592885a</vt:lpwstr>
  </property>
  <property fmtid="{D5CDD505-2E9C-101B-9397-08002B2CF9AE}" pid="4" name="ClassificationContentMarkingFooterFontProps">
    <vt:lpwstr>#000000,10,Calibri</vt:lpwstr>
  </property>
  <property fmtid="{D5CDD505-2E9C-101B-9397-08002B2CF9AE}" pid="5" name="ClassificationContentMarkingFooterText">
    <vt:lpwstr>OFFICIAL</vt:lpwstr>
  </property>
  <property fmtid="{D5CDD505-2E9C-101B-9397-08002B2CF9AE}" pid="6" name="MSIP_Label_a17471b1-27ab-4640-9264-e69a67407ca3_Enabled">
    <vt:lpwstr>true</vt:lpwstr>
  </property>
  <property fmtid="{D5CDD505-2E9C-101B-9397-08002B2CF9AE}" pid="7" name="MSIP_Label_a17471b1-27ab-4640-9264-e69a67407ca3_SetDate">
    <vt:lpwstr>2025-10-18T15:23:38Z</vt:lpwstr>
  </property>
  <property fmtid="{D5CDD505-2E9C-101B-9397-08002B2CF9AE}" pid="8" name="MSIP_Label_a17471b1-27ab-4640-9264-e69a67407ca3_Method">
    <vt:lpwstr>Standard</vt:lpwstr>
  </property>
  <property fmtid="{D5CDD505-2E9C-101B-9397-08002B2CF9AE}" pid="9" name="MSIP_Label_a17471b1-27ab-4640-9264-e69a67407ca3_Name">
    <vt:lpwstr>BCC - OFFICIAL</vt:lpwstr>
  </property>
  <property fmtid="{D5CDD505-2E9C-101B-9397-08002B2CF9AE}" pid="10" name="MSIP_Label_a17471b1-27ab-4640-9264-e69a67407ca3_SiteId">
    <vt:lpwstr>699ace67-d2e4-4bcd-b303-d2bbe2b9bbf1</vt:lpwstr>
  </property>
  <property fmtid="{D5CDD505-2E9C-101B-9397-08002B2CF9AE}" pid="11" name="MSIP_Label_a17471b1-27ab-4640-9264-e69a67407ca3_ActionId">
    <vt:lpwstr>0c283628-6ae6-455d-a4b0-0c954fdc1f50</vt:lpwstr>
  </property>
  <property fmtid="{D5CDD505-2E9C-101B-9397-08002B2CF9AE}" pid="12" name="MSIP_Label_a17471b1-27ab-4640-9264-e69a67407ca3_ContentBits">
    <vt:lpwstr>2</vt:lpwstr>
  </property>
  <property fmtid="{D5CDD505-2E9C-101B-9397-08002B2CF9AE}" pid="13" name="MSIP_Label_a17471b1-27ab-4640-9264-e69a67407ca3_Tag">
    <vt:lpwstr>10, 3, 0, 1</vt:lpwstr>
  </property>
</Properties>
</file>