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6ED3C8" w14:textId="77777777" w:rsidR="00862A2F" w:rsidRPr="00E57ACD" w:rsidRDefault="00862A2F">
      <w:pPr>
        <w:rPr>
          <w:rFonts w:ascii="Times New Roman" w:hAnsi="Times New Roman" w:cs="Times New Roman"/>
          <w:sz w:val="24"/>
          <w:szCs w:val="24"/>
        </w:rPr>
      </w:pPr>
    </w:p>
    <w:p w14:paraId="22BF82DD" w14:textId="77777777" w:rsidR="00862A2F" w:rsidRPr="00E57ACD" w:rsidRDefault="00862A2F">
      <w:pPr>
        <w:rPr>
          <w:rFonts w:ascii="Times New Roman" w:hAnsi="Times New Roman" w:cs="Times New Roman"/>
          <w:sz w:val="24"/>
          <w:szCs w:val="24"/>
        </w:rPr>
      </w:pPr>
    </w:p>
    <w:p w14:paraId="280C1EA5" w14:textId="77777777" w:rsidR="00862A2F" w:rsidRPr="00E57ACD" w:rsidRDefault="00862A2F">
      <w:pPr>
        <w:rPr>
          <w:rFonts w:ascii="Times New Roman" w:hAnsi="Times New Roman" w:cs="Times New Roman"/>
          <w:sz w:val="24"/>
          <w:szCs w:val="24"/>
        </w:rPr>
      </w:pPr>
    </w:p>
    <w:p w14:paraId="740068EB" w14:textId="77777777" w:rsidR="00862A2F" w:rsidRPr="00E57ACD" w:rsidRDefault="00862A2F">
      <w:pPr>
        <w:rPr>
          <w:rFonts w:ascii="Times New Roman" w:hAnsi="Times New Roman" w:cs="Times New Roman"/>
          <w:sz w:val="24"/>
          <w:szCs w:val="24"/>
        </w:rPr>
      </w:pPr>
    </w:p>
    <w:p w14:paraId="4EC5FC6D" w14:textId="77777777" w:rsidR="00862A2F" w:rsidRPr="00E57ACD" w:rsidRDefault="00862A2F">
      <w:pPr>
        <w:rPr>
          <w:rFonts w:ascii="Times New Roman" w:hAnsi="Times New Roman" w:cs="Times New Roman"/>
          <w:sz w:val="24"/>
          <w:szCs w:val="24"/>
        </w:rPr>
      </w:pPr>
    </w:p>
    <w:p w14:paraId="1C71C195" w14:textId="77777777" w:rsidR="00862A2F" w:rsidRPr="00E57ACD" w:rsidRDefault="00862A2F">
      <w:pPr>
        <w:rPr>
          <w:rFonts w:ascii="Times New Roman" w:hAnsi="Times New Roman" w:cs="Times New Roman"/>
          <w:sz w:val="24"/>
          <w:szCs w:val="24"/>
        </w:rPr>
      </w:pPr>
    </w:p>
    <w:p w14:paraId="531C3EC1" w14:textId="77E73E2F" w:rsidR="00862A2F" w:rsidRDefault="00FD5358">
      <w:pPr>
        <w:rPr>
          <w:rFonts w:ascii="Times New Roman" w:hAnsi="Times New Roman" w:cs="Times New Roman"/>
          <w:sz w:val="24"/>
          <w:szCs w:val="24"/>
        </w:rPr>
      </w:pPr>
      <w:r>
        <w:rPr>
          <w:rFonts w:ascii="Times New Roman" w:hAnsi="Times New Roman" w:cs="Times New Roman"/>
          <w:sz w:val="24"/>
          <w:szCs w:val="24"/>
        </w:rPr>
        <w:t>STUDENT NAME: ANCUTA CHIRITA</w:t>
      </w:r>
    </w:p>
    <w:p w14:paraId="7D4993F8" w14:textId="3FAE969D" w:rsidR="00FD5358" w:rsidRDefault="00FD5358">
      <w:pPr>
        <w:rPr>
          <w:rFonts w:ascii="Times New Roman" w:hAnsi="Times New Roman" w:cs="Times New Roman"/>
          <w:sz w:val="24"/>
          <w:szCs w:val="24"/>
        </w:rPr>
      </w:pPr>
      <w:r>
        <w:rPr>
          <w:rFonts w:ascii="Times New Roman" w:hAnsi="Times New Roman" w:cs="Times New Roman"/>
          <w:sz w:val="24"/>
          <w:szCs w:val="24"/>
        </w:rPr>
        <w:t>STUDENT ID NUMBER: 1605755</w:t>
      </w:r>
    </w:p>
    <w:p w14:paraId="27D4E59F" w14:textId="3316EA78" w:rsidR="00FD5358" w:rsidRDefault="00FD5358">
      <w:pPr>
        <w:rPr>
          <w:rFonts w:ascii="Times New Roman" w:hAnsi="Times New Roman" w:cs="Times New Roman"/>
          <w:sz w:val="24"/>
          <w:szCs w:val="24"/>
        </w:rPr>
      </w:pPr>
      <w:r>
        <w:rPr>
          <w:rFonts w:ascii="Times New Roman" w:hAnsi="Times New Roman" w:cs="Times New Roman"/>
          <w:sz w:val="24"/>
          <w:szCs w:val="24"/>
        </w:rPr>
        <w:t>MODULE NAME: MANAGEMENT FINANCIAR</w:t>
      </w:r>
    </w:p>
    <w:p w14:paraId="112DDA82" w14:textId="1F83981E" w:rsidR="00FD5358" w:rsidRPr="00E57ACD" w:rsidRDefault="00FD5358">
      <w:pPr>
        <w:rPr>
          <w:rFonts w:ascii="Times New Roman" w:hAnsi="Times New Roman" w:cs="Times New Roman"/>
          <w:sz w:val="24"/>
          <w:szCs w:val="24"/>
        </w:rPr>
      </w:pPr>
      <w:r>
        <w:rPr>
          <w:rFonts w:ascii="Times New Roman" w:hAnsi="Times New Roman" w:cs="Times New Roman"/>
          <w:sz w:val="24"/>
          <w:szCs w:val="24"/>
        </w:rPr>
        <w:t>MODULE CODE: LCMB7002</w:t>
      </w:r>
    </w:p>
    <w:p w14:paraId="7DA052D8" w14:textId="77777777" w:rsidR="00862A2F" w:rsidRPr="00E57ACD" w:rsidRDefault="00862A2F">
      <w:pPr>
        <w:rPr>
          <w:rFonts w:ascii="Times New Roman" w:hAnsi="Times New Roman" w:cs="Times New Roman"/>
          <w:sz w:val="24"/>
          <w:szCs w:val="24"/>
        </w:rPr>
      </w:pPr>
    </w:p>
    <w:p w14:paraId="0A97156B" w14:textId="77777777" w:rsidR="00862A2F" w:rsidRPr="00E57ACD" w:rsidRDefault="00862A2F">
      <w:pPr>
        <w:rPr>
          <w:rFonts w:ascii="Times New Roman" w:hAnsi="Times New Roman" w:cs="Times New Roman"/>
          <w:sz w:val="24"/>
          <w:szCs w:val="24"/>
        </w:rPr>
      </w:pPr>
    </w:p>
    <w:p w14:paraId="611D618B" w14:textId="77777777" w:rsidR="00862A2F" w:rsidRPr="00E57ACD" w:rsidRDefault="00862A2F">
      <w:pPr>
        <w:rPr>
          <w:rFonts w:ascii="Times New Roman" w:hAnsi="Times New Roman" w:cs="Times New Roman"/>
          <w:sz w:val="24"/>
          <w:szCs w:val="24"/>
        </w:rPr>
      </w:pPr>
    </w:p>
    <w:p w14:paraId="3F33E9C3" w14:textId="77777777" w:rsidR="00862A2F" w:rsidRPr="00E57ACD" w:rsidRDefault="00862A2F">
      <w:pPr>
        <w:rPr>
          <w:rFonts w:ascii="Times New Roman" w:hAnsi="Times New Roman" w:cs="Times New Roman"/>
          <w:sz w:val="24"/>
          <w:szCs w:val="24"/>
        </w:rPr>
      </w:pPr>
    </w:p>
    <w:p w14:paraId="459BB6A1" w14:textId="77777777" w:rsidR="00862A2F" w:rsidRPr="00E57ACD" w:rsidRDefault="00862A2F">
      <w:pPr>
        <w:rPr>
          <w:rFonts w:ascii="Times New Roman" w:hAnsi="Times New Roman" w:cs="Times New Roman"/>
          <w:sz w:val="24"/>
          <w:szCs w:val="24"/>
        </w:rPr>
      </w:pPr>
    </w:p>
    <w:p w14:paraId="01BA21B3" w14:textId="45B496DF" w:rsidR="00862A2F" w:rsidRPr="00E57ACD" w:rsidRDefault="00862A2F" w:rsidP="00862A2F">
      <w:pPr>
        <w:jc w:val="center"/>
        <w:rPr>
          <w:rFonts w:ascii="Times New Roman" w:eastAsiaTheme="majorEastAsia" w:hAnsi="Times New Roman" w:cs="Times New Roman"/>
          <w:b/>
          <w:bCs/>
          <w:color w:val="365F91" w:themeColor="accent1" w:themeShade="BF"/>
          <w:sz w:val="24"/>
          <w:szCs w:val="24"/>
        </w:rPr>
      </w:pPr>
      <w:r w:rsidRPr="00E57ACD">
        <w:rPr>
          <w:rFonts w:ascii="Times New Roman" w:hAnsi="Times New Roman" w:cs="Times New Roman"/>
          <w:sz w:val="24"/>
          <w:szCs w:val="24"/>
        </w:rPr>
        <w:br w:type="page"/>
      </w:r>
    </w:p>
    <w:sdt>
      <w:sdtPr>
        <w:rPr>
          <w:rFonts w:ascii="Times New Roman" w:eastAsiaTheme="minorEastAsia" w:hAnsi="Times New Roman" w:cs="Times New Roman"/>
          <w:b w:val="0"/>
          <w:bCs w:val="0"/>
          <w:color w:val="auto"/>
          <w:sz w:val="24"/>
          <w:szCs w:val="24"/>
        </w:rPr>
        <w:id w:val="9508170"/>
        <w:docPartObj>
          <w:docPartGallery w:val="Table of Contents"/>
          <w:docPartUnique/>
        </w:docPartObj>
      </w:sdtPr>
      <w:sdtEndPr/>
      <w:sdtContent>
        <w:p w14:paraId="5CAB7005" w14:textId="77777777" w:rsidR="00754618" w:rsidRPr="00E57ACD" w:rsidRDefault="00754618">
          <w:pPr>
            <w:pStyle w:val="TOCHeading"/>
            <w:rPr>
              <w:rFonts w:ascii="Times New Roman" w:hAnsi="Times New Roman" w:cs="Times New Roman"/>
              <w:sz w:val="24"/>
              <w:szCs w:val="24"/>
            </w:rPr>
          </w:pPr>
          <w:r w:rsidRPr="00E57ACD">
            <w:rPr>
              <w:rFonts w:ascii="Times New Roman" w:hAnsi="Times New Roman" w:cs="Times New Roman"/>
              <w:sz w:val="24"/>
              <w:szCs w:val="24"/>
            </w:rPr>
            <w:t>Table of Contents</w:t>
          </w:r>
        </w:p>
        <w:p w14:paraId="37F55F2A" w14:textId="77777777" w:rsidR="00E57ACD" w:rsidRPr="00E57ACD" w:rsidRDefault="00757A4B">
          <w:pPr>
            <w:pStyle w:val="TOC1"/>
            <w:tabs>
              <w:tab w:val="right" w:leader="dot" w:pos="9350"/>
            </w:tabs>
            <w:rPr>
              <w:rFonts w:ascii="Times New Roman" w:hAnsi="Times New Roman" w:cs="Times New Roman"/>
              <w:noProof/>
              <w:sz w:val="24"/>
              <w:szCs w:val="24"/>
            </w:rPr>
          </w:pPr>
          <w:r w:rsidRPr="00E57ACD">
            <w:rPr>
              <w:rFonts w:ascii="Times New Roman" w:hAnsi="Times New Roman" w:cs="Times New Roman"/>
              <w:sz w:val="24"/>
              <w:szCs w:val="24"/>
            </w:rPr>
            <w:fldChar w:fldCharType="begin"/>
          </w:r>
          <w:r w:rsidR="00754618" w:rsidRPr="00E57ACD">
            <w:rPr>
              <w:rFonts w:ascii="Times New Roman" w:hAnsi="Times New Roman" w:cs="Times New Roman"/>
              <w:sz w:val="24"/>
              <w:szCs w:val="24"/>
            </w:rPr>
            <w:instrText xml:space="preserve"> TOC \o "1-3" \h \z \u </w:instrText>
          </w:r>
          <w:r w:rsidRPr="00E57ACD">
            <w:rPr>
              <w:rFonts w:ascii="Times New Roman" w:hAnsi="Times New Roman" w:cs="Times New Roman"/>
              <w:sz w:val="24"/>
              <w:szCs w:val="24"/>
            </w:rPr>
            <w:fldChar w:fldCharType="separate"/>
          </w:r>
          <w:hyperlink w:anchor="_Toc58487562" w:history="1">
            <w:r w:rsidR="00E57ACD" w:rsidRPr="00E57ACD">
              <w:rPr>
                <w:rStyle w:val="Hyperlink"/>
                <w:rFonts w:ascii="Times New Roman" w:hAnsi="Times New Roman" w:cs="Times New Roman"/>
                <w:noProof/>
                <w:sz w:val="24"/>
                <w:szCs w:val="24"/>
              </w:rPr>
              <w:t>Part A: Background of GSK:</w:t>
            </w:r>
            <w:r w:rsidR="00E57ACD" w:rsidRPr="00E57ACD">
              <w:rPr>
                <w:rFonts w:ascii="Times New Roman" w:hAnsi="Times New Roman" w:cs="Times New Roman"/>
                <w:noProof/>
                <w:webHidden/>
                <w:sz w:val="24"/>
                <w:szCs w:val="24"/>
              </w:rPr>
              <w:tab/>
            </w:r>
            <w:r w:rsidR="00E57ACD" w:rsidRPr="00E57ACD">
              <w:rPr>
                <w:rFonts w:ascii="Times New Roman" w:hAnsi="Times New Roman" w:cs="Times New Roman"/>
                <w:noProof/>
                <w:webHidden/>
                <w:sz w:val="24"/>
                <w:szCs w:val="24"/>
              </w:rPr>
              <w:fldChar w:fldCharType="begin"/>
            </w:r>
            <w:r w:rsidR="00E57ACD" w:rsidRPr="00E57ACD">
              <w:rPr>
                <w:rFonts w:ascii="Times New Roman" w:hAnsi="Times New Roman" w:cs="Times New Roman"/>
                <w:noProof/>
                <w:webHidden/>
                <w:sz w:val="24"/>
                <w:szCs w:val="24"/>
              </w:rPr>
              <w:instrText xml:space="preserve"> PAGEREF _Toc58487562 \h </w:instrText>
            </w:r>
            <w:r w:rsidR="00E57ACD" w:rsidRPr="00E57ACD">
              <w:rPr>
                <w:rFonts w:ascii="Times New Roman" w:hAnsi="Times New Roman" w:cs="Times New Roman"/>
                <w:noProof/>
                <w:webHidden/>
                <w:sz w:val="24"/>
                <w:szCs w:val="24"/>
              </w:rPr>
            </w:r>
            <w:r w:rsidR="00E57ACD" w:rsidRPr="00E57ACD">
              <w:rPr>
                <w:rFonts w:ascii="Times New Roman" w:hAnsi="Times New Roman" w:cs="Times New Roman"/>
                <w:noProof/>
                <w:webHidden/>
                <w:sz w:val="24"/>
                <w:szCs w:val="24"/>
              </w:rPr>
              <w:fldChar w:fldCharType="separate"/>
            </w:r>
            <w:r w:rsidR="00E57ACD" w:rsidRPr="00E57ACD">
              <w:rPr>
                <w:rFonts w:ascii="Times New Roman" w:hAnsi="Times New Roman" w:cs="Times New Roman"/>
                <w:noProof/>
                <w:webHidden/>
                <w:sz w:val="24"/>
                <w:szCs w:val="24"/>
              </w:rPr>
              <w:t>3</w:t>
            </w:r>
            <w:r w:rsidR="00E57ACD" w:rsidRPr="00E57ACD">
              <w:rPr>
                <w:rFonts w:ascii="Times New Roman" w:hAnsi="Times New Roman" w:cs="Times New Roman"/>
                <w:noProof/>
                <w:webHidden/>
                <w:sz w:val="24"/>
                <w:szCs w:val="24"/>
              </w:rPr>
              <w:fldChar w:fldCharType="end"/>
            </w:r>
          </w:hyperlink>
        </w:p>
        <w:p w14:paraId="5B509597" w14:textId="77777777" w:rsidR="00E57ACD" w:rsidRPr="00E57ACD" w:rsidRDefault="000B25BC">
          <w:pPr>
            <w:pStyle w:val="TOC1"/>
            <w:tabs>
              <w:tab w:val="right" w:leader="dot" w:pos="9350"/>
            </w:tabs>
            <w:rPr>
              <w:rFonts w:ascii="Times New Roman" w:hAnsi="Times New Roman" w:cs="Times New Roman"/>
              <w:noProof/>
              <w:sz w:val="24"/>
              <w:szCs w:val="24"/>
            </w:rPr>
          </w:pPr>
          <w:hyperlink w:anchor="_Toc58487563" w:history="1">
            <w:r w:rsidR="00E57ACD" w:rsidRPr="00E57ACD">
              <w:rPr>
                <w:rStyle w:val="Hyperlink"/>
                <w:rFonts w:ascii="Times New Roman" w:hAnsi="Times New Roman" w:cs="Times New Roman"/>
                <w:noProof/>
                <w:sz w:val="24"/>
                <w:szCs w:val="24"/>
              </w:rPr>
              <w:t>Part B: Financial Analysis:</w:t>
            </w:r>
            <w:r w:rsidR="00E57ACD" w:rsidRPr="00E57ACD">
              <w:rPr>
                <w:rFonts w:ascii="Times New Roman" w:hAnsi="Times New Roman" w:cs="Times New Roman"/>
                <w:noProof/>
                <w:webHidden/>
                <w:sz w:val="24"/>
                <w:szCs w:val="24"/>
              </w:rPr>
              <w:tab/>
            </w:r>
            <w:r w:rsidR="00E57ACD" w:rsidRPr="00E57ACD">
              <w:rPr>
                <w:rFonts w:ascii="Times New Roman" w:hAnsi="Times New Roman" w:cs="Times New Roman"/>
                <w:noProof/>
                <w:webHidden/>
                <w:sz w:val="24"/>
                <w:szCs w:val="24"/>
              </w:rPr>
              <w:fldChar w:fldCharType="begin"/>
            </w:r>
            <w:r w:rsidR="00E57ACD" w:rsidRPr="00E57ACD">
              <w:rPr>
                <w:rFonts w:ascii="Times New Roman" w:hAnsi="Times New Roman" w:cs="Times New Roman"/>
                <w:noProof/>
                <w:webHidden/>
                <w:sz w:val="24"/>
                <w:szCs w:val="24"/>
              </w:rPr>
              <w:instrText xml:space="preserve"> PAGEREF _Toc58487563 \h </w:instrText>
            </w:r>
            <w:r w:rsidR="00E57ACD" w:rsidRPr="00E57ACD">
              <w:rPr>
                <w:rFonts w:ascii="Times New Roman" w:hAnsi="Times New Roman" w:cs="Times New Roman"/>
                <w:noProof/>
                <w:webHidden/>
                <w:sz w:val="24"/>
                <w:szCs w:val="24"/>
              </w:rPr>
            </w:r>
            <w:r w:rsidR="00E57ACD" w:rsidRPr="00E57ACD">
              <w:rPr>
                <w:rFonts w:ascii="Times New Roman" w:hAnsi="Times New Roman" w:cs="Times New Roman"/>
                <w:noProof/>
                <w:webHidden/>
                <w:sz w:val="24"/>
                <w:szCs w:val="24"/>
              </w:rPr>
              <w:fldChar w:fldCharType="separate"/>
            </w:r>
            <w:r w:rsidR="00E57ACD" w:rsidRPr="00E57ACD">
              <w:rPr>
                <w:rFonts w:ascii="Times New Roman" w:hAnsi="Times New Roman" w:cs="Times New Roman"/>
                <w:noProof/>
                <w:webHidden/>
                <w:sz w:val="24"/>
                <w:szCs w:val="24"/>
              </w:rPr>
              <w:t>5</w:t>
            </w:r>
            <w:r w:rsidR="00E57ACD" w:rsidRPr="00E57ACD">
              <w:rPr>
                <w:rFonts w:ascii="Times New Roman" w:hAnsi="Times New Roman" w:cs="Times New Roman"/>
                <w:noProof/>
                <w:webHidden/>
                <w:sz w:val="24"/>
                <w:szCs w:val="24"/>
              </w:rPr>
              <w:fldChar w:fldCharType="end"/>
            </w:r>
          </w:hyperlink>
        </w:p>
        <w:p w14:paraId="3D8798B3" w14:textId="77777777" w:rsidR="00E57ACD" w:rsidRPr="00E57ACD" w:rsidRDefault="000B25BC">
          <w:pPr>
            <w:pStyle w:val="TOC2"/>
            <w:tabs>
              <w:tab w:val="right" w:leader="dot" w:pos="9350"/>
            </w:tabs>
            <w:rPr>
              <w:rFonts w:ascii="Times New Roman" w:hAnsi="Times New Roman" w:cs="Times New Roman"/>
              <w:noProof/>
              <w:sz w:val="24"/>
              <w:szCs w:val="24"/>
            </w:rPr>
          </w:pPr>
          <w:hyperlink w:anchor="_Toc58487564" w:history="1">
            <w:r w:rsidR="00E57ACD" w:rsidRPr="00E57ACD">
              <w:rPr>
                <w:rStyle w:val="Hyperlink"/>
                <w:rFonts w:ascii="Times New Roman" w:hAnsi="Times New Roman" w:cs="Times New Roman"/>
                <w:noProof/>
                <w:sz w:val="24"/>
                <w:szCs w:val="24"/>
              </w:rPr>
              <w:t>Computation of Ratio:</w:t>
            </w:r>
            <w:r w:rsidR="00E57ACD" w:rsidRPr="00E57ACD">
              <w:rPr>
                <w:rFonts w:ascii="Times New Roman" w:hAnsi="Times New Roman" w:cs="Times New Roman"/>
                <w:noProof/>
                <w:webHidden/>
                <w:sz w:val="24"/>
                <w:szCs w:val="24"/>
              </w:rPr>
              <w:tab/>
            </w:r>
            <w:r w:rsidR="00E57ACD" w:rsidRPr="00E57ACD">
              <w:rPr>
                <w:rFonts w:ascii="Times New Roman" w:hAnsi="Times New Roman" w:cs="Times New Roman"/>
                <w:noProof/>
                <w:webHidden/>
                <w:sz w:val="24"/>
                <w:szCs w:val="24"/>
              </w:rPr>
              <w:fldChar w:fldCharType="begin"/>
            </w:r>
            <w:r w:rsidR="00E57ACD" w:rsidRPr="00E57ACD">
              <w:rPr>
                <w:rFonts w:ascii="Times New Roman" w:hAnsi="Times New Roman" w:cs="Times New Roman"/>
                <w:noProof/>
                <w:webHidden/>
                <w:sz w:val="24"/>
                <w:szCs w:val="24"/>
              </w:rPr>
              <w:instrText xml:space="preserve"> PAGEREF _Toc58487564 \h </w:instrText>
            </w:r>
            <w:r w:rsidR="00E57ACD" w:rsidRPr="00E57ACD">
              <w:rPr>
                <w:rFonts w:ascii="Times New Roman" w:hAnsi="Times New Roman" w:cs="Times New Roman"/>
                <w:noProof/>
                <w:webHidden/>
                <w:sz w:val="24"/>
                <w:szCs w:val="24"/>
              </w:rPr>
            </w:r>
            <w:r w:rsidR="00E57ACD" w:rsidRPr="00E57ACD">
              <w:rPr>
                <w:rFonts w:ascii="Times New Roman" w:hAnsi="Times New Roman" w:cs="Times New Roman"/>
                <w:noProof/>
                <w:webHidden/>
                <w:sz w:val="24"/>
                <w:szCs w:val="24"/>
              </w:rPr>
              <w:fldChar w:fldCharType="separate"/>
            </w:r>
            <w:r w:rsidR="00E57ACD" w:rsidRPr="00E57ACD">
              <w:rPr>
                <w:rFonts w:ascii="Times New Roman" w:hAnsi="Times New Roman" w:cs="Times New Roman"/>
                <w:noProof/>
                <w:webHidden/>
                <w:sz w:val="24"/>
                <w:szCs w:val="24"/>
              </w:rPr>
              <w:t>5</w:t>
            </w:r>
            <w:r w:rsidR="00E57ACD" w:rsidRPr="00E57ACD">
              <w:rPr>
                <w:rFonts w:ascii="Times New Roman" w:hAnsi="Times New Roman" w:cs="Times New Roman"/>
                <w:noProof/>
                <w:webHidden/>
                <w:sz w:val="24"/>
                <w:szCs w:val="24"/>
              </w:rPr>
              <w:fldChar w:fldCharType="end"/>
            </w:r>
          </w:hyperlink>
        </w:p>
        <w:p w14:paraId="15F9D283" w14:textId="77777777" w:rsidR="00E57ACD" w:rsidRPr="00E57ACD" w:rsidRDefault="000B25BC">
          <w:pPr>
            <w:pStyle w:val="TOC2"/>
            <w:tabs>
              <w:tab w:val="right" w:leader="dot" w:pos="9350"/>
            </w:tabs>
            <w:rPr>
              <w:rFonts w:ascii="Times New Roman" w:hAnsi="Times New Roman" w:cs="Times New Roman"/>
              <w:noProof/>
              <w:sz w:val="24"/>
              <w:szCs w:val="24"/>
            </w:rPr>
          </w:pPr>
          <w:hyperlink w:anchor="_Toc58487565" w:history="1">
            <w:r w:rsidR="00E57ACD" w:rsidRPr="00E57ACD">
              <w:rPr>
                <w:rStyle w:val="Hyperlink"/>
                <w:rFonts w:ascii="Times New Roman" w:hAnsi="Times New Roman" w:cs="Times New Roman"/>
                <w:noProof/>
                <w:sz w:val="24"/>
                <w:szCs w:val="24"/>
              </w:rPr>
              <w:t>Analysis and interpretation of Ratio:</w:t>
            </w:r>
            <w:r w:rsidR="00E57ACD" w:rsidRPr="00E57ACD">
              <w:rPr>
                <w:rFonts w:ascii="Times New Roman" w:hAnsi="Times New Roman" w:cs="Times New Roman"/>
                <w:noProof/>
                <w:webHidden/>
                <w:sz w:val="24"/>
                <w:szCs w:val="24"/>
              </w:rPr>
              <w:tab/>
            </w:r>
            <w:r w:rsidR="00E57ACD" w:rsidRPr="00E57ACD">
              <w:rPr>
                <w:rFonts w:ascii="Times New Roman" w:hAnsi="Times New Roman" w:cs="Times New Roman"/>
                <w:noProof/>
                <w:webHidden/>
                <w:sz w:val="24"/>
                <w:szCs w:val="24"/>
              </w:rPr>
              <w:fldChar w:fldCharType="begin"/>
            </w:r>
            <w:r w:rsidR="00E57ACD" w:rsidRPr="00E57ACD">
              <w:rPr>
                <w:rFonts w:ascii="Times New Roman" w:hAnsi="Times New Roman" w:cs="Times New Roman"/>
                <w:noProof/>
                <w:webHidden/>
                <w:sz w:val="24"/>
                <w:szCs w:val="24"/>
              </w:rPr>
              <w:instrText xml:space="preserve"> PAGEREF _Toc58487565 \h </w:instrText>
            </w:r>
            <w:r w:rsidR="00E57ACD" w:rsidRPr="00E57ACD">
              <w:rPr>
                <w:rFonts w:ascii="Times New Roman" w:hAnsi="Times New Roman" w:cs="Times New Roman"/>
                <w:noProof/>
                <w:webHidden/>
                <w:sz w:val="24"/>
                <w:szCs w:val="24"/>
              </w:rPr>
            </w:r>
            <w:r w:rsidR="00E57ACD" w:rsidRPr="00E57ACD">
              <w:rPr>
                <w:rFonts w:ascii="Times New Roman" w:hAnsi="Times New Roman" w:cs="Times New Roman"/>
                <w:noProof/>
                <w:webHidden/>
                <w:sz w:val="24"/>
                <w:szCs w:val="24"/>
              </w:rPr>
              <w:fldChar w:fldCharType="separate"/>
            </w:r>
            <w:r w:rsidR="00E57ACD" w:rsidRPr="00E57ACD">
              <w:rPr>
                <w:rFonts w:ascii="Times New Roman" w:hAnsi="Times New Roman" w:cs="Times New Roman"/>
                <w:noProof/>
                <w:webHidden/>
                <w:sz w:val="24"/>
                <w:szCs w:val="24"/>
              </w:rPr>
              <w:t>8</w:t>
            </w:r>
            <w:r w:rsidR="00E57ACD" w:rsidRPr="00E57ACD">
              <w:rPr>
                <w:rFonts w:ascii="Times New Roman" w:hAnsi="Times New Roman" w:cs="Times New Roman"/>
                <w:noProof/>
                <w:webHidden/>
                <w:sz w:val="24"/>
                <w:szCs w:val="24"/>
              </w:rPr>
              <w:fldChar w:fldCharType="end"/>
            </w:r>
          </w:hyperlink>
        </w:p>
        <w:p w14:paraId="2C0DAA02" w14:textId="77777777" w:rsidR="00E57ACD" w:rsidRPr="00E57ACD" w:rsidRDefault="000B25BC">
          <w:pPr>
            <w:pStyle w:val="TOC3"/>
            <w:tabs>
              <w:tab w:val="right" w:leader="dot" w:pos="9350"/>
            </w:tabs>
            <w:rPr>
              <w:rFonts w:ascii="Times New Roman" w:hAnsi="Times New Roman" w:cs="Times New Roman"/>
              <w:noProof/>
              <w:sz w:val="24"/>
              <w:szCs w:val="24"/>
            </w:rPr>
          </w:pPr>
          <w:hyperlink w:anchor="_Toc58487566" w:history="1">
            <w:r w:rsidR="00E57ACD" w:rsidRPr="00E57ACD">
              <w:rPr>
                <w:rStyle w:val="Hyperlink"/>
                <w:rFonts w:ascii="Times New Roman" w:hAnsi="Times New Roman" w:cs="Times New Roman"/>
                <w:noProof/>
                <w:sz w:val="24"/>
                <w:szCs w:val="24"/>
              </w:rPr>
              <w:t>Profitability:</w:t>
            </w:r>
            <w:r w:rsidR="00E57ACD" w:rsidRPr="00E57ACD">
              <w:rPr>
                <w:rFonts w:ascii="Times New Roman" w:hAnsi="Times New Roman" w:cs="Times New Roman"/>
                <w:noProof/>
                <w:webHidden/>
                <w:sz w:val="24"/>
                <w:szCs w:val="24"/>
              </w:rPr>
              <w:tab/>
            </w:r>
            <w:r w:rsidR="00E57ACD" w:rsidRPr="00E57ACD">
              <w:rPr>
                <w:rFonts w:ascii="Times New Roman" w:hAnsi="Times New Roman" w:cs="Times New Roman"/>
                <w:noProof/>
                <w:webHidden/>
                <w:sz w:val="24"/>
                <w:szCs w:val="24"/>
              </w:rPr>
              <w:fldChar w:fldCharType="begin"/>
            </w:r>
            <w:r w:rsidR="00E57ACD" w:rsidRPr="00E57ACD">
              <w:rPr>
                <w:rFonts w:ascii="Times New Roman" w:hAnsi="Times New Roman" w:cs="Times New Roman"/>
                <w:noProof/>
                <w:webHidden/>
                <w:sz w:val="24"/>
                <w:szCs w:val="24"/>
              </w:rPr>
              <w:instrText xml:space="preserve"> PAGEREF _Toc58487566 \h </w:instrText>
            </w:r>
            <w:r w:rsidR="00E57ACD" w:rsidRPr="00E57ACD">
              <w:rPr>
                <w:rFonts w:ascii="Times New Roman" w:hAnsi="Times New Roman" w:cs="Times New Roman"/>
                <w:noProof/>
                <w:webHidden/>
                <w:sz w:val="24"/>
                <w:szCs w:val="24"/>
              </w:rPr>
            </w:r>
            <w:r w:rsidR="00E57ACD" w:rsidRPr="00E57ACD">
              <w:rPr>
                <w:rFonts w:ascii="Times New Roman" w:hAnsi="Times New Roman" w:cs="Times New Roman"/>
                <w:noProof/>
                <w:webHidden/>
                <w:sz w:val="24"/>
                <w:szCs w:val="24"/>
              </w:rPr>
              <w:fldChar w:fldCharType="separate"/>
            </w:r>
            <w:r w:rsidR="00E57ACD" w:rsidRPr="00E57ACD">
              <w:rPr>
                <w:rFonts w:ascii="Times New Roman" w:hAnsi="Times New Roman" w:cs="Times New Roman"/>
                <w:noProof/>
                <w:webHidden/>
                <w:sz w:val="24"/>
                <w:szCs w:val="24"/>
              </w:rPr>
              <w:t>8</w:t>
            </w:r>
            <w:r w:rsidR="00E57ACD" w:rsidRPr="00E57ACD">
              <w:rPr>
                <w:rFonts w:ascii="Times New Roman" w:hAnsi="Times New Roman" w:cs="Times New Roman"/>
                <w:noProof/>
                <w:webHidden/>
                <w:sz w:val="24"/>
                <w:szCs w:val="24"/>
              </w:rPr>
              <w:fldChar w:fldCharType="end"/>
            </w:r>
          </w:hyperlink>
        </w:p>
        <w:p w14:paraId="233FCDF8" w14:textId="77777777" w:rsidR="00E57ACD" w:rsidRPr="00E57ACD" w:rsidRDefault="000B25BC">
          <w:pPr>
            <w:pStyle w:val="TOC3"/>
            <w:tabs>
              <w:tab w:val="right" w:leader="dot" w:pos="9350"/>
            </w:tabs>
            <w:rPr>
              <w:rFonts w:ascii="Times New Roman" w:hAnsi="Times New Roman" w:cs="Times New Roman"/>
              <w:noProof/>
              <w:sz w:val="24"/>
              <w:szCs w:val="24"/>
            </w:rPr>
          </w:pPr>
          <w:hyperlink w:anchor="_Toc58487567" w:history="1">
            <w:r w:rsidR="00E57ACD" w:rsidRPr="00E57ACD">
              <w:rPr>
                <w:rStyle w:val="Hyperlink"/>
                <w:rFonts w:ascii="Times New Roman" w:hAnsi="Times New Roman" w:cs="Times New Roman"/>
                <w:noProof/>
                <w:sz w:val="24"/>
                <w:szCs w:val="24"/>
              </w:rPr>
              <w:t>Efficiency:</w:t>
            </w:r>
            <w:r w:rsidR="00E57ACD" w:rsidRPr="00E57ACD">
              <w:rPr>
                <w:rFonts w:ascii="Times New Roman" w:hAnsi="Times New Roman" w:cs="Times New Roman"/>
                <w:noProof/>
                <w:webHidden/>
                <w:sz w:val="24"/>
                <w:szCs w:val="24"/>
              </w:rPr>
              <w:tab/>
            </w:r>
            <w:r w:rsidR="00E57ACD" w:rsidRPr="00E57ACD">
              <w:rPr>
                <w:rFonts w:ascii="Times New Roman" w:hAnsi="Times New Roman" w:cs="Times New Roman"/>
                <w:noProof/>
                <w:webHidden/>
                <w:sz w:val="24"/>
                <w:szCs w:val="24"/>
              </w:rPr>
              <w:fldChar w:fldCharType="begin"/>
            </w:r>
            <w:r w:rsidR="00E57ACD" w:rsidRPr="00E57ACD">
              <w:rPr>
                <w:rFonts w:ascii="Times New Roman" w:hAnsi="Times New Roman" w:cs="Times New Roman"/>
                <w:noProof/>
                <w:webHidden/>
                <w:sz w:val="24"/>
                <w:szCs w:val="24"/>
              </w:rPr>
              <w:instrText xml:space="preserve"> PAGEREF _Toc58487567 \h </w:instrText>
            </w:r>
            <w:r w:rsidR="00E57ACD" w:rsidRPr="00E57ACD">
              <w:rPr>
                <w:rFonts w:ascii="Times New Roman" w:hAnsi="Times New Roman" w:cs="Times New Roman"/>
                <w:noProof/>
                <w:webHidden/>
                <w:sz w:val="24"/>
                <w:szCs w:val="24"/>
              </w:rPr>
            </w:r>
            <w:r w:rsidR="00E57ACD" w:rsidRPr="00E57ACD">
              <w:rPr>
                <w:rFonts w:ascii="Times New Roman" w:hAnsi="Times New Roman" w:cs="Times New Roman"/>
                <w:noProof/>
                <w:webHidden/>
                <w:sz w:val="24"/>
                <w:szCs w:val="24"/>
              </w:rPr>
              <w:fldChar w:fldCharType="separate"/>
            </w:r>
            <w:r w:rsidR="00E57ACD" w:rsidRPr="00E57ACD">
              <w:rPr>
                <w:rFonts w:ascii="Times New Roman" w:hAnsi="Times New Roman" w:cs="Times New Roman"/>
                <w:noProof/>
                <w:webHidden/>
                <w:sz w:val="24"/>
                <w:szCs w:val="24"/>
              </w:rPr>
              <w:t>9</w:t>
            </w:r>
            <w:r w:rsidR="00E57ACD" w:rsidRPr="00E57ACD">
              <w:rPr>
                <w:rFonts w:ascii="Times New Roman" w:hAnsi="Times New Roman" w:cs="Times New Roman"/>
                <w:noProof/>
                <w:webHidden/>
                <w:sz w:val="24"/>
                <w:szCs w:val="24"/>
              </w:rPr>
              <w:fldChar w:fldCharType="end"/>
            </w:r>
          </w:hyperlink>
        </w:p>
        <w:p w14:paraId="61CD6242" w14:textId="77777777" w:rsidR="00E57ACD" w:rsidRPr="00E57ACD" w:rsidRDefault="000B25BC">
          <w:pPr>
            <w:pStyle w:val="TOC3"/>
            <w:tabs>
              <w:tab w:val="right" w:leader="dot" w:pos="9350"/>
            </w:tabs>
            <w:rPr>
              <w:rFonts w:ascii="Times New Roman" w:hAnsi="Times New Roman" w:cs="Times New Roman"/>
              <w:noProof/>
              <w:sz w:val="24"/>
              <w:szCs w:val="24"/>
            </w:rPr>
          </w:pPr>
          <w:hyperlink w:anchor="_Toc58487568" w:history="1">
            <w:r w:rsidR="00E57ACD" w:rsidRPr="00E57ACD">
              <w:rPr>
                <w:rStyle w:val="Hyperlink"/>
                <w:rFonts w:ascii="Times New Roman" w:hAnsi="Times New Roman" w:cs="Times New Roman"/>
                <w:noProof/>
                <w:sz w:val="24"/>
                <w:szCs w:val="24"/>
              </w:rPr>
              <w:t>Financial Stability:</w:t>
            </w:r>
            <w:r w:rsidR="00E57ACD" w:rsidRPr="00E57ACD">
              <w:rPr>
                <w:rFonts w:ascii="Times New Roman" w:hAnsi="Times New Roman" w:cs="Times New Roman"/>
                <w:noProof/>
                <w:webHidden/>
                <w:sz w:val="24"/>
                <w:szCs w:val="24"/>
              </w:rPr>
              <w:tab/>
            </w:r>
            <w:r w:rsidR="00E57ACD" w:rsidRPr="00E57ACD">
              <w:rPr>
                <w:rFonts w:ascii="Times New Roman" w:hAnsi="Times New Roman" w:cs="Times New Roman"/>
                <w:noProof/>
                <w:webHidden/>
                <w:sz w:val="24"/>
                <w:szCs w:val="24"/>
              </w:rPr>
              <w:fldChar w:fldCharType="begin"/>
            </w:r>
            <w:r w:rsidR="00E57ACD" w:rsidRPr="00E57ACD">
              <w:rPr>
                <w:rFonts w:ascii="Times New Roman" w:hAnsi="Times New Roman" w:cs="Times New Roman"/>
                <w:noProof/>
                <w:webHidden/>
                <w:sz w:val="24"/>
                <w:szCs w:val="24"/>
              </w:rPr>
              <w:instrText xml:space="preserve"> PAGEREF _Toc58487568 \h </w:instrText>
            </w:r>
            <w:r w:rsidR="00E57ACD" w:rsidRPr="00E57ACD">
              <w:rPr>
                <w:rFonts w:ascii="Times New Roman" w:hAnsi="Times New Roman" w:cs="Times New Roman"/>
                <w:noProof/>
                <w:webHidden/>
                <w:sz w:val="24"/>
                <w:szCs w:val="24"/>
              </w:rPr>
            </w:r>
            <w:r w:rsidR="00E57ACD" w:rsidRPr="00E57ACD">
              <w:rPr>
                <w:rFonts w:ascii="Times New Roman" w:hAnsi="Times New Roman" w:cs="Times New Roman"/>
                <w:noProof/>
                <w:webHidden/>
                <w:sz w:val="24"/>
                <w:szCs w:val="24"/>
              </w:rPr>
              <w:fldChar w:fldCharType="separate"/>
            </w:r>
            <w:r w:rsidR="00E57ACD" w:rsidRPr="00E57ACD">
              <w:rPr>
                <w:rFonts w:ascii="Times New Roman" w:hAnsi="Times New Roman" w:cs="Times New Roman"/>
                <w:noProof/>
                <w:webHidden/>
                <w:sz w:val="24"/>
                <w:szCs w:val="24"/>
              </w:rPr>
              <w:t>10</w:t>
            </w:r>
            <w:r w:rsidR="00E57ACD" w:rsidRPr="00E57ACD">
              <w:rPr>
                <w:rFonts w:ascii="Times New Roman" w:hAnsi="Times New Roman" w:cs="Times New Roman"/>
                <w:noProof/>
                <w:webHidden/>
                <w:sz w:val="24"/>
                <w:szCs w:val="24"/>
              </w:rPr>
              <w:fldChar w:fldCharType="end"/>
            </w:r>
          </w:hyperlink>
        </w:p>
        <w:p w14:paraId="1F3F5C8A" w14:textId="77777777" w:rsidR="00E57ACD" w:rsidRPr="00E57ACD" w:rsidRDefault="000B25BC">
          <w:pPr>
            <w:pStyle w:val="TOC3"/>
            <w:tabs>
              <w:tab w:val="right" w:leader="dot" w:pos="9350"/>
            </w:tabs>
            <w:rPr>
              <w:rFonts w:ascii="Times New Roman" w:hAnsi="Times New Roman" w:cs="Times New Roman"/>
              <w:noProof/>
              <w:sz w:val="24"/>
              <w:szCs w:val="24"/>
            </w:rPr>
          </w:pPr>
          <w:hyperlink w:anchor="_Toc58487569" w:history="1">
            <w:r w:rsidR="00E57ACD" w:rsidRPr="00E57ACD">
              <w:rPr>
                <w:rStyle w:val="Hyperlink"/>
                <w:rFonts w:ascii="Times New Roman" w:hAnsi="Times New Roman" w:cs="Times New Roman"/>
                <w:noProof/>
                <w:sz w:val="24"/>
                <w:szCs w:val="24"/>
              </w:rPr>
              <w:t>Solvency:</w:t>
            </w:r>
            <w:r w:rsidR="00E57ACD" w:rsidRPr="00E57ACD">
              <w:rPr>
                <w:rFonts w:ascii="Times New Roman" w:hAnsi="Times New Roman" w:cs="Times New Roman"/>
                <w:noProof/>
                <w:webHidden/>
                <w:sz w:val="24"/>
                <w:szCs w:val="24"/>
              </w:rPr>
              <w:tab/>
            </w:r>
            <w:r w:rsidR="00E57ACD" w:rsidRPr="00E57ACD">
              <w:rPr>
                <w:rFonts w:ascii="Times New Roman" w:hAnsi="Times New Roman" w:cs="Times New Roman"/>
                <w:noProof/>
                <w:webHidden/>
                <w:sz w:val="24"/>
                <w:szCs w:val="24"/>
              </w:rPr>
              <w:fldChar w:fldCharType="begin"/>
            </w:r>
            <w:r w:rsidR="00E57ACD" w:rsidRPr="00E57ACD">
              <w:rPr>
                <w:rFonts w:ascii="Times New Roman" w:hAnsi="Times New Roman" w:cs="Times New Roman"/>
                <w:noProof/>
                <w:webHidden/>
                <w:sz w:val="24"/>
                <w:szCs w:val="24"/>
              </w:rPr>
              <w:instrText xml:space="preserve"> PAGEREF _Toc58487569 \h </w:instrText>
            </w:r>
            <w:r w:rsidR="00E57ACD" w:rsidRPr="00E57ACD">
              <w:rPr>
                <w:rFonts w:ascii="Times New Roman" w:hAnsi="Times New Roman" w:cs="Times New Roman"/>
                <w:noProof/>
                <w:webHidden/>
                <w:sz w:val="24"/>
                <w:szCs w:val="24"/>
              </w:rPr>
            </w:r>
            <w:r w:rsidR="00E57ACD" w:rsidRPr="00E57ACD">
              <w:rPr>
                <w:rFonts w:ascii="Times New Roman" w:hAnsi="Times New Roman" w:cs="Times New Roman"/>
                <w:noProof/>
                <w:webHidden/>
                <w:sz w:val="24"/>
                <w:szCs w:val="24"/>
              </w:rPr>
              <w:fldChar w:fldCharType="separate"/>
            </w:r>
            <w:r w:rsidR="00E57ACD" w:rsidRPr="00E57ACD">
              <w:rPr>
                <w:rFonts w:ascii="Times New Roman" w:hAnsi="Times New Roman" w:cs="Times New Roman"/>
                <w:noProof/>
                <w:webHidden/>
                <w:sz w:val="24"/>
                <w:szCs w:val="24"/>
              </w:rPr>
              <w:t>11</w:t>
            </w:r>
            <w:r w:rsidR="00E57ACD" w:rsidRPr="00E57ACD">
              <w:rPr>
                <w:rFonts w:ascii="Times New Roman" w:hAnsi="Times New Roman" w:cs="Times New Roman"/>
                <w:noProof/>
                <w:webHidden/>
                <w:sz w:val="24"/>
                <w:szCs w:val="24"/>
              </w:rPr>
              <w:fldChar w:fldCharType="end"/>
            </w:r>
          </w:hyperlink>
        </w:p>
        <w:p w14:paraId="5CCDD673" w14:textId="77777777" w:rsidR="00E57ACD" w:rsidRPr="00E57ACD" w:rsidRDefault="000B25BC">
          <w:pPr>
            <w:pStyle w:val="TOC3"/>
            <w:tabs>
              <w:tab w:val="right" w:leader="dot" w:pos="9350"/>
            </w:tabs>
            <w:rPr>
              <w:rFonts w:ascii="Times New Roman" w:hAnsi="Times New Roman" w:cs="Times New Roman"/>
              <w:noProof/>
              <w:sz w:val="24"/>
              <w:szCs w:val="24"/>
            </w:rPr>
          </w:pPr>
          <w:hyperlink w:anchor="_Toc58487570" w:history="1">
            <w:r w:rsidR="00E57ACD" w:rsidRPr="00E57ACD">
              <w:rPr>
                <w:rStyle w:val="Hyperlink"/>
                <w:rFonts w:ascii="Times New Roman" w:hAnsi="Times New Roman" w:cs="Times New Roman"/>
                <w:noProof/>
                <w:sz w:val="24"/>
                <w:szCs w:val="24"/>
              </w:rPr>
              <w:t>Market Performance:</w:t>
            </w:r>
            <w:r w:rsidR="00E57ACD" w:rsidRPr="00E57ACD">
              <w:rPr>
                <w:rFonts w:ascii="Times New Roman" w:hAnsi="Times New Roman" w:cs="Times New Roman"/>
                <w:noProof/>
                <w:webHidden/>
                <w:sz w:val="24"/>
                <w:szCs w:val="24"/>
              </w:rPr>
              <w:tab/>
            </w:r>
            <w:r w:rsidR="00E57ACD" w:rsidRPr="00E57ACD">
              <w:rPr>
                <w:rFonts w:ascii="Times New Roman" w:hAnsi="Times New Roman" w:cs="Times New Roman"/>
                <w:noProof/>
                <w:webHidden/>
                <w:sz w:val="24"/>
                <w:szCs w:val="24"/>
              </w:rPr>
              <w:fldChar w:fldCharType="begin"/>
            </w:r>
            <w:r w:rsidR="00E57ACD" w:rsidRPr="00E57ACD">
              <w:rPr>
                <w:rFonts w:ascii="Times New Roman" w:hAnsi="Times New Roman" w:cs="Times New Roman"/>
                <w:noProof/>
                <w:webHidden/>
                <w:sz w:val="24"/>
                <w:szCs w:val="24"/>
              </w:rPr>
              <w:instrText xml:space="preserve"> PAGEREF _Toc58487570 \h </w:instrText>
            </w:r>
            <w:r w:rsidR="00E57ACD" w:rsidRPr="00E57ACD">
              <w:rPr>
                <w:rFonts w:ascii="Times New Roman" w:hAnsi="Times New Roman" w:cs="Times New Roman"/>
                <w:noProof/>
                <w:webHidden/>
                <w:sz w:val="24"/>
                <w:szCs w:val="24"/>
              </w:rPr>
            </w:r>
            <w:r w:rsidR="00E57ACD" w:rsidRPr="00E57ACD">
              <w:rPr>
                <w:rFonts w:ascii="Times New Roman" w:hAnsi="Times New Roman" w:cs="Times New Roman"/>
                <w:noProof/>
                <w:webHidden/>
                <w:sz w:val="24"/>
                <w:szCs w:val="24"/>
              </w:rPr>
              <w:fldChar w:fldCharType="separate"/>
            </w:r>
            <w:r w:rsidR="00E57ACD" w:rsidRPr="00E57ACD">
              <w:rPr>
                <w:rFonts w:ascii="Times New Roman" w:hAnsi="Times New Roman" w:cs="Times New Roman"/>
                <w:noProof/>
                <w:webHidden/>
                <w:sz w:val="24"/>
                <w:szCs w:val="24"/>
              </w:rPr>
              <w:t>12</w:t>
            </w:r>
            <w:r w:rsidR="00E57ACD" w:rsidRPr="00E57ACD">
              <w:rPr>
                <w:rFonts w:ascii="Times New Roman" w:hAnsi="Times New Roman" w:cs="Times New Roman"/>
                <w:noProof/>
                <w:webHidden/>
                <w:sz w:val="24"/>
                <w:szCs w:val="24"/>
              </w:rPr>
              <w:fldChar w:fldCharType="end"/>
            </w:r>
          </w:hyperlink>
        </w:p>
        <w:p w14:paraId="5FA8DC15" w14:textId="77777777" w:rsidR="00E57ACD" w:rsidRPr="00E57ACD" w:rsidRDefault="000B25BC">
          <w:pPr>
            <w:pStyle w:val="TOC2"/>
            <w:tabs>
              <w:tab w:val="right" w:leader="dot" w:pos="9350"/>
            </w:tabs>
            <w:rPr>
              <w:rFonts w:ascii="Times New Roman" w:hAnsi="Times New Roman" w:cs="Times New Roman"/>
              <w:noProof/>
              <w:sz w:val="24"/>
              <w:szCs w:val="24"/>
            </w:rPr>
          </w:pPr>
          <w:hyperlink w:anchor="_Toc58487571" w:history="1">
            <w:r w:rsidR="00E57ACD" w:rsidRPr="00E57ACD">
              <w:rPr>
                <w:rStyle w:val="Hyperlink"/>
                <w:rFonts w:ascii="Times New Roman" w:hAnsi="Times New Roman" w:cs="Times New Roman"/>
                <w:noProof/>
                <w:sz w:val="24"/>
                <w:szCs w:val="24"/>
              </w:rPr>
              <w:t>Comparison with Sector Average:</w:t>
            </w:r>
            <w:r w:rsidR="00E57ACD" w:rsidRPr="00E57ACD">
              <w:rPr>
                <w:rFonts w:ascii="Times New Roman" w:hAnsi="Times New Roman" w:cs="Times New Roman"/>
                <w:noProof/>
                <w:webHidden/>
                <w:sz w:val="24"/>
                <w:szCs w:val="24"/>
              </w:rPr>
              <w:tab/>
            </w:r>
            <w:r w:rsidR="00E57ACD" w:rsidRPr="00E57ACD">
              <w:rPr>
                <w:rFonts w:ascii="Times New Roman" w:hAnsi="Times New Roman" w:cs="Times New Roman"/>
                <w:noProof/>
                <w:webHidden/>
                <w:sz w:val="24"/>
                <w:szCs w:val="24"/>
              </w:rPr>
              <w:fldChar w:fldCharType="begin"/>
            </w:r>
            <w:r w:rsidR="00E57ACD" w:rsidRPr="00E57ACD">
              <w:rPr>
                <w:rFonts w:ascii="Times New Roman" w:hAnsi="Times New Roman" w:cs="Times New Roman"/>
                <w:noProof/>
                <w:webHidden/>
                <w:sz w:val="24"/>
                <w:szCs w:val="24"/>
              </w:rPr>
              <w:instrText xml:space="preserve"> PAGEREF _Toc58487571 \h </w:instrText>
            </w:r>
            <w:r w:rsidR="00E57ACD" w:rsidRPr="00E57ACD">
              <w:rPr>
                <w:rFonts w:ascii="Times New Roman" w:hAnsi="Times New Roman" w:cs="Times New Roman"/>
                <w:noProof/>
                <w:webHidden/>
                <w:sz w:val="24"/>
                <w:szCs w:val="24"/>
              </w:rPr>
            </w:r>
            <w:r w:rsidR="00E57ACD" w:rsidRPr="00E57ACD">
              <w:rPr>
                <w:rFonts w:ascii="Times New Roman" w:hAnsi="Times New Roman" w:cs="Times New Roman"/>
                <w:noProof/>
                <w:webHidden/>
                <w:sz w:val="24"/>
                <w:szCs w:val="24"/>
              </w:rPr>
              <w:fldChar w:fldCharType="separate"/>
            </w:r>
            <w:r w:rsidR="00E57ACD" w:rsidRPr="00E57ACD">
              <w:rPr>
                <w:rFonts w:ascii="Times New Roman" w:hAnsi="Times New Roman" w:cs="Times New Roman"/>
                <w:noProof/>
                <w:webHidden/>
                <w:sz w:val="24"/>
                <w:szCs w:val="24"/>
              </w:rPr>
              <w:t>12</w:t>
            </w:r>
            <w:r w:rsidR="00E57ACD" w:rsidRPr="00E57ACD">
              <w:rPr>
                <w:rFonts w:ascii="Times New Roman" w:hAnsi="Times New Roman" w:cs="Times New Roman"/>
                <w:noProof/>
                <w:webHidden/>
                <w:sz w:val="24"/>
                <w:szCs w:val="24"/>
              </w:rPr>
              <w:fldChar w:fldCharType="end"/>
            </w:r>
          </w:hyperlink>
        </w:p>
        <w:p w14:paraId="6C0FF774" w14:textId="77777777" w:rsidR="00E57ACD" w:rsidRPr="00E57ACD" w:rsidRDefault="000B25BC">
          <w:pPr>
            <w:pStyle w:val="TOC2"/>
            <w:tabs>
              <w:tab w:val="right" w:leader="dot" w:pos="9350"/>
            </w:tabs>
            <w:rPr>
              <w:rFonts w:ascii="Times New Roman" w:hAnsi="Times New Roman" w:cs="Times New Roman"/>
              <w:noProof/>
              <w:sz w:val="24"/>
              <w:szCs w:val="24"/>
            </w:rPr>
          </w:pPr>
          <w:hyperlink w:anchor="_Toc58487572" w:history="1">
            <w:r w:rsidR="00E57ACD" w:rsidRPr="00E57ACD">
              <w:rPr>
                <w:rStyle w:val="Hyperlink"/>
                <w:rFonts w:ascii="Times New Roman" w:hAnsi="Times New Roman" w:cs="Times New Roman"/>
                <w:noProof/>
                <w:sz w:val="24"/>
                <w:szCs w:val="24"/>
              </w:rPr>
              <w:t>Recommendation for improving the performance:</w:t>
            </w:r>
            <w:r w:rsidR="00E57ACD" w:rsidRPr="00E57ACD">
              <w:rPr>
                <w:rFonts w:ascii="Times New Roman" w:hAnsi="Times New Roman" w:cs="Times New Roman"/>
                <w:noProof/>
                <w:webHidden/>
                <w:sz w:val="24"/>
                <w:szCs w:val="24"/>
              </w:rPr>
              <w:tab/>
            </w:r>
            <w:r w:rsidR="00E57ACD" w:rsidRPr="00E57ACD">
              <w:rPr>
                <w:rFonts w:ascii="Times New Roman" w:hAnsi="Times New Roman" w:cs="Times New Roman"/>
                <w:noProof/>
                <w:webHidden/>
                <w:sz w:val="24"/>
                <w:szCs w:val="24"/>
              </w:rPr>
              <w:fldChar w:fldCharType="begin"/>
            </w:r>
            <w:r w:rsidR="00E57ACD" w:rsidRPr="00E57ACD">
              <w:rPr>
                <w:rFonts w:ascii="Times New Roman" w:hAnsi="Times New Roman" w:cs="Times New Roman"/>
                <w:noProof/>
                <w:webHidden/>
                <w:sz w:val="24"/>
                <w:szCs w:val="24"/>
              </w:rPr>
              <w:instrText xml:space="preserve"> PAGEREF _Toc58487572 \h </w:instrText>
            </w:r>
            <w:r w:rsidR="00E57ACD" w:rsidRPr="00E57ACD">
              <w:rPr>
                <w:rFonts w:ascii="Times New Roman" w:hAnsi="Times New Roman" w:cs="Times New Roman"/>
                <w:noProof/>
                <w:webHidden/>
                <w:sz w:val="24"/>
                <w:szCs w:val="24"/>
              </w:rPr>
            </w:r>
            <w:r w:rsidR="00E57ACD" w:rsidRPr="00E57ACD">
              <w:rPr>
                <w:rFonts w:ascii="Times New Roman" w:hAnsi="Times New Roman" w:cs="Times New Roman"/>
                <w:noProof/>
                <w:webHidden/>
                <w:sz w:val="24"/>
                <w:szCs w:val="24"/>
              </w:rPr>
              <w:fldChar w:fldCharType="separate"/>
            </w:r>
            <w:r w:rsidR="00E57ACD" w:rsidRPr="00E57ACD">
              <w:rPr>
                <w:rFonts w:ascii="Times New Roman" w:hAnsi="Times New Roman" w:cs="Times New Roman"/>
                <w:noProof/>
                <w:webHidden/>
                <w:sz w:val="24"/>
                <w:szCs w:val="24"/>
              </w:rPr>
              <w:t>13</w:t>
            </w:r>
            <w:r w:rsidR="00E57ACD" w:rsidRPr="00E57ACD">
              <w:rPr>
                <w:rFonts w:ascii="Times New Roman" w:hAnsi="Times New Roman" w:cs="Times New Roman"/>
                <w:noProof/>
                <w:webHidden/>
                <w:sz w:val="24"/>
                <w:szCs w:val="24"/>
              </w:rPr>
              <w:fldChar w:fldCharType="end"/>
            </w:r>
          </w:hyperlink>
        </w:p>
        <w:p w14:paraId="3B951793" w14:textId="77777777" w:rsidR="00E57ACD" w:rsidRPr="00E57ACD" w:rsidRDefault="000B25BC">
          <w:pPr>
            <w:pStyle w:val="TOC1"/>
            <w:tabs>
              <w:tab w:val="right" w:leader="dot" w:pos="9350"/>
            </w:tabs>
            <w:rPr>
              <w:rFonts w:ascii="Times New Roman" w:hAnsi="Times New Roman" w:cs="Times New Roman"/>
              <w:noProof/>
              <w:sz w:val="24"/>
              <w:szCs w:val="24"/>
            </w:rPr>
          </w:pPr>
          <w:hyperlink w:anchor="_Toc58487573" w:history="1">
            <w:r w:rsidR="00E57ACD" w:rsidRPr="00E57ACD">
              <w:rPr>
                <w:rStyle w:val="Hyperlink"/>
                <w:rFonts w:ascii="Times New Roman" w:hAnsi="Times New Roman" w:cs="Times New Roman"/>
                <w:noProof/>
                <w:sz w:val="24"/>
                <w:szCs w:val="24"/>
              </w:rPr>
              <w:t>Part C: Capital budgeting:</w:t>
            </w:r>
            <w:r w:rsidR="00E57ACD" w:rsidRPr="00E57ACD">
              <w:rPr>
                <w:rFonts w:ascii="Times New Roman" w:hAnsi="Times New Roman" w:cs="Times New Roman"/>
                <w:noProof/>
                <w:webHidden/>
                <w:sz w:val="24"/>
                <w:szCs w:val="24"/>
              </w:rPr>
              <w:tab/>
            </w:r>
            <w:r w:rsidR="00E57ACD" w:rsidRPr="00E57ACD">
              <w:rPr>
                <w:rFonts w:ascii="Times New Roman" w:hAnsi="Times New Roman" w:cs="Times New Roman"/>
                <w:noProof/>
                <w:webHidden/>
                <w:sz w:val="24"/>
                <w:szCs w:val="24"/>
              </w:rPr>
              <w:fldChar w:fldCharType="begin"/>
            </w:r>
            <w:r w:rsidR="00E57ACD" w:rsidRPr="00E57ACD">
              <w:rPr>
                <w:rFonts w:ascii="Times New Roman" w:hAnsi="Times New Roman" w:cs="Times New Roman"/>
                <w:noProof/>
                <w:webHidden/>
                <w:sz w:val="24"/>
                <w:szCs w:val="24"/>
              </w:rPr>
              <w:instrText xml:space="preserve"> PAGEREF _Toc58487573 \h </w:instrText>
            </w:r>
            <w:r w:rsidR="00E57ACD" w:rsidRPr="00E57ACD">
              <w:rPr>
                <w:rFonts w:ascii="Times New Roman" w:hAnsi="Times New Roman" w:cs="Times New Roman"/>
                <w:noProof/>
                <w:webHidden/>
                <w:sz w:val="24"/>
                <w:szCs w:val="24"/>
              </w:rPr>
            </w:r>
            <w:r w:rsidR="00E57ACD" w:rsidRPr="00E57ACD">
              <w:rPr>
                <w:rFonts w:ascii="Times New Roman" w:hAnsi="Times New Roman" w:cs="Times New Roman"/>
                <w:noProof/>
                <w:webHidden/>
                <w:sz w:val="24"/>
                <w:szCs w:val="24"/>
              </w:rPr>
              <w:fldChar w:fldCharType="separate"/>
            </w:r>
            <w:r w:rsidR="00E57ACD" w:rsidRPr="00E57ACD">
              <w:rPr>
                <w:rFonts w:ascii="Times New Roman" w:hAnsi="Times New Roman" w:cs="Times New Roman"/>
                <w:noProof/>
                <w:webHidden/>
                <w:sz w:val="24"/>
                <w:szCs w:val="24"/>
              </w:rPr>
              <w:t>15</w:t>
            </w:r>
            <w:r w:rsidR="00E57ACD" w:rsidRPr="00E57ACD">
              <w:rPr>
                <w:rFonts w:ascii="Times New Roman" w:hAnsi="Times New Roman" w:cs="Times New Roman"/>
                <w:noProof/>
                <w:webHidden/>
                <w:sz w:val="24"/>
                <w:szCs w:val="24"/>
              </w:rPr>
              <w:fldChar w:fldCharType="end"/>
            </w:r>
          </w:hyperlink>
        </w:p>
        <w:p w14:paraId="61B634BF" w14:textId="77777777" w:rsidR="00E57ACD" w:rsidRPr="00E57ACD" w:rsidRDefault="000B25BC">
          <w:pPr>
            <w:pStyle w:val="TOC2"/>
            <w:tabs>
              <w:tab w:val="right" w:leader="dot" w:pos="9350"/>
            </w:tabs>
            <w:rPr>
              <w:rFonts w:ascii="Times New Roman" w:hAnsi="Times New Roman" w:cs="Times New Roman"/>
              <w:noProof/>
              <w:sz w:val="24"/>
              <w:szCs w:val="24"/>
            </w:rPr>
          </w:pPr>
          <w:hyperlink w:anchor="_Toc58487574" w:history="1">
            <w:r w:rsidR="00E57ACD" w:rsidRPr="00E57ACD">
              <w:rPr>
                <w:rStyle w:val="Hyperlink"/>
                <w:rFonts w:ascii="Times New Roman" w:hAnsi="Times New Roman" w:cs="Times New Roman"/>
                <w:noProof/>
                <w:sz w:val="24"/>
                <w:szCs w:val="24"/>
              </w:rPr>
              <w:t>Calculation and interpretation:</w:t>
            </w:r>
            <w:r w:rsidR="00E57ACD" w:rsidRPr="00E57ACD">
              <w:rPr>
                <w:rFonts w:ascii="Times New Roman" w:hAnsi="Times New Roman" w:cs="Times New Roman"/>
                <w:noProof/>
                <w:webHidden/>
                <w:sz w:val="24"/>
                <w:szCs w:val="24"/>
              </w:rPr>
              <w:tab/>
            </w:r>
            <w:r w:rsidR="00E57ACD" w:rsidRPr="00E57ACD">
              <w:rPr>
                <w:rFonts w:ascii="Times New Roman" w:hAnsi="Times New Roman" w:cs="Times New Roman"/>
                <w:noProof/>
                <w:webHidden/>
                <w:sz w:val="24"/>
                <w:szCs w:val="24"/>
              </w:rPr>
              <w:fldChar w:fldCharType="begin"/>
            </w:r>
            <w:r w:rsidR="00E57ACD" w:rsidRPr="00E57ACD">
              <w:rPr>
                <w:rFonts w:ascii="Times New Roman" w:hAnsi="Times New Roman" w:cs="Times New Roman"/>
                <w:noProof/>
                <w:webHidden/>
                <w:sz w:val="24"/>
                <w:szCs w:val="24"/>
              </w:rPr>
              <w:instrText xml:space="preserve"> PAGEREF _Toc58487574 \h </w:instrText>
            </w:r>
            <w:r w:rsidR="00E57ACD" w:rsidRPr="00E57ACD">
              <w:rPr>
                <w:rFonts w:ascii="Times New Roman" w:hAnsi="Times New Roman" w:cs="Times New Roman"/>
                <w:noProof/>
                <w:webHidden/>
                <w:sz w:val="24"/>
                <w:szCs w:val="24"/>
              </w:rPr>
            </w:r>
            <w:r w:rsidR="00E57ACD" w:rsidRPr="00E57ACD">
              <w:rPr>
                <w:rFonts w:ascii="Times New Roman" w:hAnsi="Times New Roman" w:cs="Times New Roman"/>
                <w:noProof/>
                <w:webHidden/>
                <w:sz w:val="24"/>
                <w:szCs w:val="24"/>
              </w:rPr>
              <w:fldChar w:fldCharType="separate"/>
            </w:r>
            <w:r w:rsidR="00E57ACD" w:rsidRPr="00E57ACD">
              <w:rPr>
                <w:rFonts w:ascii="Times New Roman" w:hAnsi="Times New Roman" w:cs="Times New Roman"/>
                <w:noProof/>
                <w:webHidden/>
                <w:sz w:val="24"/>
                <w:szCs w:val="24"/>
              </w:rPr>
              <w:t>15</w:t>
            </w:r>
            <w:r w:rsidR="00E57ACD" w:rsidRPr="00E57ACD">
              <w:rPr>
                <w:rFonts w:ascii="Times New Roman" w:hAnsi="Times New Roman" w:cs="Times New Roman"/>
                <w:noProof/>
                <w:webHidden/>
                <w:sz w:val="24"/>
                <w:szCs w:val="24"/>
              </w:rPr>
              <w:fldChar w:fldCharType="end"/>
            </w:r>
          </w:hyperlink>
        </w:p>
        <w:p w14:paraId="26127521" w14:textId="77777777" w:rsidR="00E57ACD" w:rsidRPr="00E57ACD" w:rsidRDefault="000B25BC">
          <w:pPr>
            <w:pStyle w:val="TOC2"/>
            <w:tabs>
              <w:tab w:val="right" w:leader="dot" w:pos="9350"/>
            </w:tabs>
            <w:rPr>
              <w:rFonts w:ascii="Times New Roman" w:hAnsi="Times New Roman" w:cs="Times New Roman"/>
              <w:noProof/>
              <w:sz w:val="24"/>
              <w:szCs w:val="24"/>
            </w:rPr>
          </w:pPr>
          <w:hyperlink w:anchor="_Toc58487575" w:history="1">
            <w:r w:rsidR="00E57ACD" w:rsidRPr="00E57ACD">
              <w:rPr>
                <w:rStyle w:val="Hyperlink"/>
                <w:rFonts w:ascii="Times New Roman" w:hAnsi="Times New Roman" w:cs="Times New Roman"/>
                <w:noProof/>
                <w:sz w:val="24"/>
                <w:szCs w:val="24"/>
              </w:rPr>
              <w:t>Advantage and disadvantage of investment appraisal techniques</w:t>
            </w:r>
            <w:r w:rsidR="00E57ACD" w:rsidRPr="00E57ACD">
              <w:rPr>
                <w:rFonts w:ascii="Times New Roman" w:hAnsi="Times New Roman" w:cs="Times New Roman"/>
                <w:noProof/>
                <w:webHidden/>
                <w:sz w:val="24"/>
                <w:szCs w:val="24"/>
              </w:rPr>
              <w:tab/>
            </w:r>
            <w:r w:rsidR="00E57ACD" w:rsidRPr="00E57ACD">
              <w:rPr>
                <w:rFonts w:ascii="Times New Roman" w:hAnsi="Times New Roman" w:cs="Times New Roman"/>
                <w:noProof/>
                <w:webHidden/>
                <w:sz w:val="24"/>
                <w:szCs w:val="24"/>
              </w:rPr>
              <w:fldChar w:fldCharType="begin"/>
            </w:r>
            <w:r w:rsidR="00E57ACD" w:rsidRPr="00E57ACD">
              <w:rPr>
                <w:rFonts w:ascii="Times New Roman" w:hAnsi="Times New Roman" w:cs="Times New Roman"/>
                <w:noProof/>
                <w:webHidden/>
                <w:sz w:val="24"/>
                <w:szCs w:val="24"/>
              </w:rPr>
              <w:instrText xml:space="preserve"> PAGEREF _Toc58487575 \h </w:instrText>
            </w:r>
            <w:r w:rsidR="00E57ACD" w:rsidRPr="00E57ACD">
              <w:rPr>
                <w:rFonts w:ascii="Times New Roman" w:hAnsi="Times New Roman" w:cs="Times New Roman"/>
                <w:noProof/>
                <w:webHidden/>
                <w:sz w:val="24"/>
                <w:szCs w:val="24"/>
              </w:rPr>
            </w:r>
            <w:r w:rsidR="00E57ACD" w:rsidRPr="00E57ACD">
              <w:rPr>
                <w:rFonts w:ascii="Times New Roman" w:hAnsi="Times New Roman" w:cs="Times New Roman"/>
                <w:noProof/>
                <w:webHidden/>
                <w:sz w:val="24"/>
                <w:szCs w:val="24"/>
              </w:rPr>
              <w:fldChar w:fldCharType="separate"/>
            </w:r>
            <w:r w:rsidR="00E57ACD" w:rsidRPr="00E57ACD">
              <w:rPr>
                <w:rFonts w:ascii="Times New Roman" w:hAnsi="Times New Roman" w:cs="Times New Roman"/>
                <w:noProof/>
                <w:webHidden/>
                <w:sz w:val="24"/>
                <w:szCs w:val="24"/>
              </w:rPr>
              <w:t>18</w:t>
            </w:r>
            <w:r w:rsidR="00E57ACD" w:rsidRPr="00E57ACD">
              <w:rPr>
                <w:rFonts w:ascii="Times New Roman" w:hAnsi="Times New Roman" w:cs="Times New Roman"/>
                <w:noProof/>
                <w:webHidden/>
                <w:sz w:val="24"/>
                <w:szCs w:val="24"/>
              </w:rPr>
              <w:fldChar w:fldCharType="end"/>
            </w:r>
          </w:hyperlink>
        </w:p>
        <w:p w14:paraId="2D24427D" w14:textId="77777777" w:rsidR="00E57ACD" w:rsidRPr="00E57ACD" w:rsidRDefault="000B25BC">
          <w:pPr>
            <w:pStyle w:val="TOC2"/>
            <w:tabs>
              <w:tab w:val="right" w:leader="dot" w:pos="9350"/>
            </w:tabs>
            <w:rPr>
              <w:rFonts w:ascii="Times New Roman" w:hAnsi="Times New Roman" w:cs="Times New Roman"/>
              <w:noProof/>
              <w:sz w:val="24"/>
              <w:szCs w:val="24"/>
            </w:rPr>
          </w:pPr>
          <w:hyperlink w:anchor="_Toc58487576" w:history="1">
            <w:r w:rsidR="00E57ACD" w:rsidRPr="00E57ACD">
              <w:rPr>
                <w:rStyle w:val="Hyperlink"/>
                <w:rFonts w:ascii="Times New Roman" w:hAnsi="Times New Roman" w:cs="Times New Roman"/>
                <w:noProof/>
                <w:sz w:val="24"/>
                <w:szCs w:val="24"/>
              </w:rPr>
              <w:t>Consideration of the Non-financial factors:</w:t>
            </w:r>
            <w:r w:rsidR="00E57ACD" w:rsidRPr="00E57ACD">
              <w:rPr>
                <w:rFonts w:ascii="Times New Roman" w:hAnsi="Times New Roman" w:cs="Times New Roman"/>
                <w:noProof/>
                <w:webHidden/>
                <w:sz w:val="24"/>
                <w:szCs w:val="24"/>
              </w:rPr>
              <w:tab/>
            </w:r>
            <w:r w:rsidR="00E57ACD" w:rsidRPr="00E57ACD">
              <w:rPr>
                <w:rFonts w:ascii="Times New Roman" w:hAnsi="Times New Roman" w:cs="Times New Roman"/>
                <w:noProof/>
                <w:webHidden/>
                <w:sz w:val="24"/>
                <w:szCs w:val="24"/>
              </w:rPr>
              <w:fldChar w:fldCharType="begin"/>
            </w:r>
            <w:r w:rsidR="00E57ACD" w:rsidRPr="00E57ACD">
              <w:rPr>
                <w:rFonts w:ascii="Times New Roman" w:hAnsi="Times New Roman" w:cs="Times New Roman"/>
                <w:noProof/>
                <w:webHidden/>
                <w:sz w:val="24"/>
                <w:szCs w:val="24"/>
              </w:rPr>
              <w:instrText xml:space="preserve"> PAGEREF _Toc58487576 \h </w:instrText>
            </w:r>
            <w:r w:rsidR="00E57ACD" w:rsidRPr="00E57ACD">
              <w:rPr>
                <w:rFonts w:ascii="Times New Roman" w:hAnsi="Times New Roman" w:cs="Times New Roman"/>
                <w:noProof/>
                <w:webHidden/>
                <w:sz w:val="24"/>
                <w:szCs w:val="24"/>
              </w:rPr>
            </w:r>
            <w:r w:rsidR="00E57ACD" w:rsidRPr="00E57ACD">
              <w:rPr>
                <w:rFonts w:ascii="Times New Roman" w:hAnsi="Times New Roman" w:cs="Times New Roman"/>
                <w:noProof/>
                <w:webHidden/>
                <w:sz w:val="24"/>
                <w:szCs w:val="24"/>
              </w:rPr>
              <w:fldChar w:fldCharType="separate"/>
            </w:r>
            <w:r w:rsidR="00E57ACD" w:rsidRPr="00E57ACD">
              <w:rPr>
                <w:rFonts w:ascii="Times New Roman" w:hAnsi="Times New Roman" w:cs="Times New Roman"/>
                <w:noProof/>
                <w:webHidden/>
                <w:sz w:val="24"/>
                <w:szCs w:val="24"/>
              </w:rPr>
              <w:t>19</w:t>
            </w:r>
            <w:r w:rsidR="00E57ACD" w:rsidRPr="00E57ACD">
              <w:rPr>
                <w:rFonts w:ascii="Times New Roman" w:hAnsi="Times New Roman" w:cs="Times New Roman"/>
                <w:noProof/>
                <w:webHidden/>
                <w:sz w:val="24"/>
                <w:szCs w:val="24"/>
              </w:rPr>
              <w:fldChar w:fldCharType="end"/>
            </w:r>
          </w:hyperlink>
        </w:p>
        <w:p w14:paraId="63178488" w14:textId="77777777" w:rsidR="00E57ACD" w:rsidRPr="00E57ACD" w:rsidRDefault="000B25BC">
          <w:pPr>
            <w:pStyle w:val="TOC1"/>
            <w:tabs>
              <w:tab w:val="right" w:leader="dot" w:pos="9350"/>
            </w:tabs>
            <w:rPr>
              <w:rFonts w:ascii="Times New Roman" w:hAnsi="Times New Roman" w:cs="Times New Roman"/>
              <w:noProof/>
              <w:sz w:val="24"/>
              <w:szCs w:val="24"/>
            </w:rPr>
          </w:pPr>
          <w:hyperlink w:anchor="_Toc58487577" w:history="1">
            <w:r w:rsidR="00E57ACD" w:rsidRPr="00E57ACD">
              <w:rPr>
                <w:rStyle w:val="Hyperlink"/>
                <w:rFonts w:ascii="Times New Roman" w:hAnsi="Times New Roman" w:cs="Times New Roman"/>
                <w:noProof/>
                <w:sz w:val="24"/>
                <w:szCs w:val="24"/>
              </w:rPr>
              <w:t>References:</w:t>
            </w:r>
            <w:r w:rsidR="00E57ACD" w:rsidRPr="00E57ACD">
              <w:rPr>
                <w:rFonts w:ascii="Times New Roman" w:hAnsi="Times New Roman" w:cs="Times New Roman"/>
                <w:noProof/>
                <w:webHidden/>
                <w:sz w:val="24"/>
                <w:szCs w:val="24"/>
              </w:rPr>
              <w:tab/>
            </w:r>
            <w:r w:rsidR="00E57ACD" w:rsidRPr="00E57ACD">
              <w:rPr>
                <w:rFonts w:ascii="Times New Roman" w:hAnsi="Times New Roman" w:cs="Times New Roman"/>
                <w:noProof/>
                <w:webHidden/>
                <w:sz w:val="24"/>
                <w:szCs w:val="24"/>
              </w:rPr>
              <w:fldChar w:fldCharType="begin"/>
            </w:r>
            <w:r w:rsidR="00E57ACD" w:rsidRPr="00E57ACD">
              <w:rPr>
                <w:rFonts w:ascii="Times New Roman" w:hAnsi="Times New Roman" w:cs="Times New Roman"/>
                <w:noProof/>
                <w:webHidden/>
                <w:sz w:val="24"/>
                <w:szCs w:val="24"/>
              </w:rPr>
              <w:instrText xml:space="preserve"> PAGEREF _Toc58487577 \h </w:instrText>
            </w:r>
            <w:r w:rsidR="00E57ACD" w:rsidRPr="00E57ACD">
              <w:rPr>
                <w:rFonts w:ascii="Times New Roman" w:hAnsi="Times New Roman" w:cs="Times New Roman"/>
                <w:noProof/>
                <w:webHidden/>
                <w:sz w:val="24"/>
                <w:szCs w:val="24"/>
              </w:rPr>
            </w:r>
            <w:r w:rsidR="00E57ACD" w:rsidRPr="00E57ACD">
              <w:rPr>
                <w:rFonts w:ascii="Times New Roman" w:hAnsi="Times New Roman" w:cs="Times New Roman"/>
                <w:noProof/>
                <w:webHidden/>
                <w:sz w:val="24"/>
                <w:szCs w:val="24"/>
              </w:rPr>
              <w:fldChar w:fldCharType="separate"/>
            </w:r>
            <w:r w:rsidR="00E57ACD" w:rsidRPr="00E57ACD">
              <w:rPr>
                <w:rFonts w:ascii="Times New Roman" w:hAnsi="Times New Roman" w:cs="Times New Roman"/>
                <w:noProof/>
                <w:webHidden/>
                <w:sz w:val="24"/>
                <w:szCs w:val="24"/>
              </w:rPr>
              <w:t>20</w:t>
            </w:r>
            <w:r w:rsidR="00E57ACD" w:rsidRPr="00E57ACD">
              <w:rPr>
                <w:rFonts w:ascii="Times New Roman" w:hAnsi="Times New Roman" w:cs="Times New Roman"/>
                <w:noProof/>
                <w:webHidden/>
                <w:sz w:val="24"/>
                <w:szCs w:val="24"/>
              </w:rPr>
              <w:fldChar w:fldCharType="end"/>
            </w:r>
          </w:hyperlink>
        </w:p>
        <w:p w14:paraId="18444E6B" w14:textId="77777777" w:rsidR="00754618" w:rsidRPr="00E57ACD" w:rsidRDefault="00757A4B">
          <w:pPr>
            <w:rPr>
              <w:rFonts w:ascii="Times New Roman" w:hAnsi="Times New Roman" w:cs="Times New Roman"/>
              <w:sz w:val="24"/>
              <w:szCs w:val="24"/>
            </w:rPr>
          </w:pPr>
          <w:r w:rsidRPr="00E57ACD">
            <w:rPr>
              <w:rFonts w:ascii="Times New Roman" w:hAnsi="Times New Roman" w:cs="Times New Roman"/>
              <w:sz w:val="24"/>
              <w:szCs w:val="24"/>
            </w:rPr>
            <w:fldChar w:fldCharType="end"/>
          </w:r>
        </w:p>
      </w:sdtContent>
    </w:sdt>
    <w:p w14:paraId="0F811FC3" w14:textId="77777777" w:rsidR="00862A2F" w:rsidRPr="00E57ACD" w:rsidRDefault="00862A2F">
      <w:pPr>
        <w:rPr>
          <w:rFonts w:ascii="Times New Roman" w:eastAsiaTheme="majorEastAsia" w:hAnsi="Times New Roman" w:cs="Times New Roman"/>
          <w:b/>
          <w:bCs/>
          <w:color w:val="365F91" w:themeColor="accent1" w:themeShade="BF"/>
          <w:sz w:val="24"/>
          <w:szCs w:val="24"/>
        </w:rPr>
      </w:pPr>
      <w:r w:rsidRPr="00E57ACD">
        <w:rPr>
          <w:rFonts w:ascii="Times New Roman" w:hAnsi="Times New Roman" w:cs="Times New Roman"/>
          <w:sz w:val="24"/>
          <w:szCs w:val="24"/>
        </w:rPr>
        <w:br w:type="page"/>
      </w:r>
    </w:p>
    <w:p w14:paraId="67AC3ADA" w14:textId="77777777" w:rsidR="0024245D" w:rsidRPr="00E57ACD" w:rsidRDefault="0024245D" w:rsidP="00953755">
      <w:pPr>
        <w:pStyle w:val="Heading1"/>
        <w:spacing w:line="360" w:lineRule="auto"/>
        <w:jc w:val="both"/>
        <w:rPr>
          <w:rFonts w:ascii="Times New Roman" w:hAnsi="Times New Roman" w:cs="Times New Roman"/>
          <w:sz w:val="24"/>
          <w:szCs w:val="24"/>
        </w:rPr>
      </w:pPr>
      <w:bookmarkStart w:id="0" w:name="_Toc58487562"/>
      <w:r w:rsidRPr="00E57ACD">
        <w:rPr>
          <w:rFonts w:ascii="Times New Roman" w:hAnsi="Times New Roman" w:cs="Times New Roman"/>
          <w:sz w:val="24"/>
          <w:szCs w:val="24"/>
        </w:rPr>
        <w:lastRenderedPageBreak/>
        <w:t>Part A: Background of GSK:</w:t>
      </w:r>
      <w:bookmarkEnd w:id="0"/>
    </w:p>
    <w:p w14:paraId="555AB42E" w14:textId="77777777" w:rsidR="0024245D" w:rsidRPr="00E57ACD" w:rsidRDefault="00691E98"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GSK’s full form is GlaxoSmithKline plc and it is </w:t>
      </w:r>
      <w:r w:rsidR="00332B20" w:rsidRPr="00E57ACD">
        <w:rPr>
          <w:rFonts w:ascii="Times New Roman" w:hAnsi="Times New Roman" w:cs="Times New Roman"/>
          <w:sz w:val="24"/>
          <w:szCs w:val="24"/>
        </w:rPr>
        <w:t xml:space="preserve">a </w:t>
      </w:r>
      <w:r w:rsidRPr="00E57ACD">
        <w:rPr>
          <w:rFonts w:ascii="Times New Roman" w:hAnsi="Times New Roman" w:cs="Times New Roman"/>
          <w:sz w:val="24"/>
          <w:szCs w:val="24"/>
        </w:rPr>
        <w:t xml:space="preserve">multinational pharmaceutical organization which was originated in </w:t>
      </w:r>
      <w:r w:rsidR="00332B20" w:rsidRPr="00E57ACD">
        <w:rPr>
          <w:rFonts w:ascii="Times New Roman" w:hAnsi="Times New Roman" w:cs="Times New Roman"/>
          <w:sz w:val="24"/>
          <w:szCs w:val="24"/>
        </w:rPr>
        <w:t xml:space="preserve">the </w:t>
      </w:r>
      <w:r w:rsidRPr="00E57ACD">
        <w:rPr>
          <w:rFonts w:ascii="Times New Roman" w:hAnsi="Times New Roman" w:cs="Times New Roman"/>
          <w:sz w:val="24"/>
          <w:szCs w:val="24"/>
        </w:rPr>
        <w:t xml:space="preserve">UK. </w:t>
      </w:r>
      <w:r w:rsidR="00BA0F1F" w:rsidRPr="00E57ACD">
        <w:rPr>
          <w:rFonts w:ascii="Times New Roman" w:hAnsi="Times New Roman" w:cs="Times New Roman"/>
          <w:sz w:val="24"/>
          <w:szCs w:val="24"/>
        </w:rPr>
        <w:t xml:space="preserve">The company was created in 2000 by </w:t>
      </w:r>
      <w:r w:rsidR="00332B20" w:rsidRPr="00E57ACD">
        <w:rPr>
          <w:rFonts w:ascii="Times New Roman" w:hAnsi="Times New Roman" w:cs="Times New Roman"/>
          <w:sz w:val="24"/>
          <w:szCs w:val="24"/>
        </w:rPr>
        <w:t xml:space="preserve">the </w:t>
      </w:r>
      <w:r w:rsidR="00BA0F1F" w:rsidRPr="00E57ACD">
        <w:rPr>
          <w:rFonts w:ascii="Times New Roman" w:hAnsi="Times New Roman" w:cs="Times New Roman"/>
          <w:sz w:val="24"/>
          <w:szCs w:val="24"/>
        </w:rPr>
        <w:t xml:space="preserve">merger of SmithKline Beecham and Glaxo </w:t>
      </w:r>
      <w:proofErr w:type="spellStart"/>
      <w:r w:rsidR="00BA0F1F" w:rsidRPr="00E57ACD">
        <w:rPr>
          <w:rFonts w:ascii="Times New Roman" w:hAnsi="Times New Roman" w:cs="Times New Roman"/>
          <w:sz w:val="24"/>
          <w:szCs w:val="24"/>
        </w:rPr>
        <w:t>Wellcome</w:t>
      </w:r>
      <w:proofErr w:type="spellEnd"/>
      <w:r w:rsidR="00BA0F1F" w:rsidRPr="00E57ACD">
        <w:rPr>
          <w:rFonts w:ascii="Times New Roman" w:hAnsi="Times New Roman" w:cs="Times New Roman"/>
          <w:sz w:val="24"/>
          <w:szCs w:val="24"/>
        </w:rPr>
        <w:t xml:space="preserve">. After </w:t>
      </w:r>
      <w:r w:rsidR="00332B20" w:rsidRPr="00E57ACD">
        <w:rPr>
          <w:rFonts w:ascii="Times New Roman" w:hAnsi="Times New Roman" w:cs="Times New Roman"/>
          <w:sz w:val="24"/>
          <w:szCs w:val="24"/>
        </w:rPr>
        <w:t xml:space="preserve">the </w:t>
      </w:r>
      <w:r w:rsidR="00BA0F1F" w:rsidRPr="00E57ACD">
        <w:rPr>
          <w:rFonts w:ascii="Times New Roman" w:hAnsi="Times New Roman" w:cs="Times New Roman"/>
          <w:sz w:val="24"/>
          <w:szCs w:val="24"/>
        </w:rPr>
        <w:t>me</w:t>
      </w:r>
      <w:r w:rsidR="00332B20" w:rsidRPr="00E57ACD">
        <w:rPr>
          <w:rFonts w:ascii="Times New Roman" w:hAnsi="Times New Roman" w:cs="Times New Roman"/>
          <w:sz w:val="24"/>
          <w:szCs w:val="24"/>
        </w:rPr>
        <w:t>r</w:t>
      </w:r>
      <w:r w:rsidR="00BA0F1F" w:rsidRPr="00E57ACD">
        <w:rPr>
          <w:rFonts w:ascii="Times New Roman" w:hAnsi="Times New Roman" w:cs="Times New Roman"/>
          <w:sz w:val="24"/>
          <w:szCs w:val="24"/>
        </w:rPr>
        <w:t xml:space="preserve">ger, it became </w:t>
      </w:r>
      <w:r w:rsidR="00332B20" w:rsidRPr="00E57ACD">
        <w:rPr>
          <w:rFonts w:ascii="Times New Roman" w:hAnsi="Times New Roman" w:cs="Times New Roman"/>
          <w:sz w:val="24"/>
          <w:szCs w:val="24"/>
        </w:rPr>
        <w:t xml:space="preserve">the </w:t>
      </w:r>
      <w:r w:rsidR="00BA0F1F" w:rsidRPr="00E57ACD">
        <w:rPr>
          <w:rFonts w:ascii="Times New Roman" w:hAnsi="Times New Roman" w:cs="Times New Roman"/>
          <w:sz w:val="24"/>
          <w:szCs w:val="24"/>
        </w:rPr>
        <w:t>6</w:t>
      </w:r>
      <w:r w:rsidR="00BA0F1F" w:rsidRPr="00E57ACD">
        <w:rPr>
          <w:rFonts w:ascii="Times New Roman" w:hAnsi="Times New Roman" w:cs="Times New Roman"/>
          <w:sz w:val="24"/>
          <w:szCs w:val="24"/>
          <w:vertAlign w:val="superscript"/>
        </w:rPr>
        <w:t>th</w:t>
      </w:r>
      <w:r w:rsidR="00BA0F1F" w:rsidRPr="00E57ACD">
        <w:rPr>
          <w:rFonts w:ascii="Times New Roman" w:hAnsi="Times New Roman" w:cs="Times New Roman"/>
          <w:sz w:val="24"/>
          <w:szCs w:val="24"/>
        </w:rPr>
        <w:t xml:space="preserve"> biggest organization in the world while operating in </w:t>
      </w:r>
      <w:r w:rsidR="00332B20" w:rsidRPr="00E57ACD">
        <w:rPr>
          <w:rFonts w:ascii="Times New Roman" w:hAnsi="Times New Roman" w:cs="Times New Roman"/>
          <w:sz w:val="24"/>
          <w:szCs w:val="24"/>
        </w:rPr>
        <w:t xml:space="preserve">the </w:t>
      </w:r>
      <w:r w:rsidR="00BA0F1F" w:rsidRPr="00E57ACD">
        <w:rPr>
          <w:rFonts w:ascii="Times New Roman" w:hAnsi="Times New Roman" w:cs="Times New Roman"/>
          <w:sz w:val="24"/>
          <w:szCs w:val="24"/>
        </w:rPr>
        <w:t xml:space="preserve">pharmaceutical industry. It is listed on London Stock Exchange, New York Stock Exchange, and others. It is a conglomerate that is operating in </w:t>
      </w:r>
      <w:r w:rsidR="00332B20" w:rsidRPr="00E57ACD">
        <w:rPr>
          <w:rFonts w:ascii="Times New Roman" w:hAnsi="Times New Roman" w:cs="Times New Roman"/>
          <w:sz w:val="24"/>
          <w:szCs w:val="24"/>
        </w:rPr>
        <w:t xml:space="preserve">the </w:t>
      </w:r>
      <w:r w:rsidR="00BA0F1F" w:rsidRPr="00E57ACD">
        <w:rPr>
          <w:rFonts w:ascii="Times New Roman" w:hAnsi="Times New Roman" w:cs="Times New Roman"/>
          <w:sz w:val="24"/>
          <w:szCs w:val="24"/>
        </w:rPr>
        <w:t>consumer goods, pharmaceutical, and biotechnology sectors</w:t>
      </w:r>
      <w:r w:rsidR="009C40B5" w:rsidRPr="00E57ACD">
        <w:rPr>
          <w:rFonts w:ascii="Times New Roman" w:hAnsi="Times New Roman" w:cs="Times New Roman"/>
          <w:sz w:val="24"/>
          <w:szCs w:val="24"/>
        </w:rPr>
        <w:t xml:space="preserve"> (GSK, 2020)</w:t>
      </w:r>
      <w:r w:rsidR="00BA0F1F" w:rsidRPr="00E57ACD">
        <w:rPr>
          <w:rFonts w:ascii="Times New Roman" w:hAnsi="Times New Roman" w:cs="Times New Roman"/>
          <w:sz w:val="24"/>
          <w:szCs w:val="24"/>
        </w:rPr>
        <w:t xml:space="preserve">. </w:t>
      </w:r>
      <w:r w:rsidR="00C830DF" w:rsidRPr="00E57ACD">
        <w:rPr>
          <w:rFonts w:ascii="Times New Roman" w:hAnsi="Times New Roman" w:cs="Times New Roman"/>
          <w:sz w:val="24"/>
          <w:szCs w:val="24"/>
        </w:rPr>
        <w:t>It is offering vaccines, oral healthcare, over the counter medicines, nutritional products</w:t>
      </w:r>
      <w:r w:rsidR="00332B20" w:rsidRPr="00E57ACD">
        <w:rPr>
          <w:rFonts w:ascii="Times New Roman" w:hAnsi="Times New Roman" w:cs="Times New Roman"/>
          <w:sz w:val="24"/>
          <w:szCs w:val="24"/>
        </w:rPr>
        <w:t>,</w:t>
      </w:r>
      <w:r w:rsidR="00C830DF" w:rsidRPr="00E57ACD">
        <w:rPr>
          <w:rFonts w:ascii="Times New Roman" w:hAnsi="Times New Roman" w:cs="Times New Roman"/>
          <w:sz w:val="24"/>
          <w:szCs w:val="24"/>
        </w:rPr>
        <w:t xml:space="preserve"> and others. More than 99000 employees are working in the organization. </w:t>
      </w:r>
    </w:p>
    <w:p w14:paraId="13BF33A3" w14:textId="77777777" w:rsidR="00C830DF" w:rsidRPr="00E57ACD" w:rsidRDefault="00C830DF" w:rsidP="00953755">
      <w:pPr>
        <w:spacing w:line="360" w:lineRule="auto"/>
        <w:jc w:val="both"/>
        <w:rPr>
          <w:rFonts w:ascii="Times New Roman" w:hAnsi="Times New Roman" w:cs="Times New Roman"/>
          <w:sz w:val="24"/>
          <w:szCs w:val="24"/>
        </w:rPr>
      </w:pPr>
      <w:r w:rsidRPr="00E57ACD">
        <w:rPr>
          <w:rFonts w:ascii="Times New Roman" w:hAnsi="Times New Roman" w:cs="Times New Roman"/>
          <w:b/>
          <w:sz w:val="24"/>
          <w:szCs w:val="24"/>
        </w:rPr>
        <w:t>Business model</w:t>
      </w:r>
      <w:r w:rsidRPr="00E57ACD">
        <w:rPr>
          <w:rFonts w:ascii="Times New Roman" w:hAnsi="Times New Roman" w:cs="Times New Roman"/>
          <w:sz w:val="24"/>
          <w:szCs w:val="24"/>
        </w:rPr>
        <w:t xml:space="preserve">: </w:t>
      </w:r>
      <w:r w:rsidR="004F1CCA" w:rsidRPr="00E57ACD">
        <w:rPr>
          <w:rFonts w:ascii="Times New Roman" w:hAnsi="Times New Roman" w:cs="Times New Roman"/>
          <w:sz w:val="24"/>
          <w:szCs w:val="24"/>
        </w:rPr>
        <w:t xml:space="preserve">GSK is operating in </w:t>
      </w:r>
      <w:r w:rsidR="00332B20" w:rsidRPr="00E57ACD">
        <w:rPr>
          <w:rFonts w:ascii="Times New Roman" w:hAnsi="Times New Roman" w:cs="Times New Roman"/>
          <w:sz w:val="24"/>
          <w:szCs w:val="24"/>
        </w:rPr>
        <w:t xml:space="preserve">a </w:t>
      </w:r>
      <w:r w:rsidR="004F1CCA" w:rsidRPr="00E57ACD">
        <w:rPr>
          <w:rFonts w:ascii="Times New Roman" w:hAnsi="Times New Roman" w:cs="Times New Roman"/>
          <w:sz w:val="24"/>
          <w:szCs w:val="24"/>
        </w:rPr>
        <w:t>simple business model and operating in three business lines such as Pharmaceuticals, Vaccines, and consumer healthcare. The company invest</w:t>
      </w:r>
      <w:r w:rsidR="00332B20" w:rsidRPr="00E57ACD">
        <w:rPr>
          <w:rFonts w:ascii="Times New Roman" w:hAnsi="Times New Roman" w:cs="Times New Roman"/>
          <w:sz w:val="24"/>
          <w:szCs w:val="24"/>
        </w:rPr>
        <w:t>s</w:t>
      </w:r>
      <w:r w:rsidR="004F1CCA" w:rsidRPr="00E57ACD">
        <w:rPr>
          <w:rFonts w:ascii="Times New Roman" w:hAnsi="Times New Roman" w:cs="Times New Roman"/>
          <w:sz w:val="24"/>
          <w:szCs w:val="24"/>
        </w:rPr>
        <w:t xml:space="preserve"> in these three businesses for improving the cash flows and profitability of the business to increase the return of shareholders</w:t>
      </w:r>
      <w:r w:rsidR="00DA4C2E" w:rsidRPr="00E57ACD">
        <w:rPr>
          <w:rFonts w:ascii="Times New Roman" w:hAnsi="Times New Roman" w:cs="Times New Roman"/>
          <w:sz w:val="24"/>
          <w:szCs w:val="24"/>
        </w:rPr>
        <w:t xml:space="preserve"> (GSK, 2020)</w:t>
      </w:r>
      <w:r w:rsidR="004F1CCA" w:rsidRPr="00E57ACD">
        <w:rPr>
          <w:rFonts w:ascii="Times New Roman" w:hAnsi="Times New Roman" w:cs="Times New Roman"/>
          <w:sz w:val="24"/>
          <w:szCs w:val="24"/>
        </w:rPr>
        <w:t>. The company focuses on the immune system, advanced technology</w:t>
      </w:r>
      <w:r w:rsidR="00332B20" w:rsidRPr="00E57ACD">
        <w:rPr>
          <w:rFonts w:ascii="Times New Roman" w:hAnsi="Times New Roman" w:cs="Times New Roman"/>
          <w:sz w:val="24"/>
          <w:szCs w:val="24"/>
        </w:rPr>
        <w:t>,</w:t>
      </w:r>
      <w:r w:rsidR="004F1CCA" w:rsidRPr="00E57ACD">
        <w:rPr>
          <w:rFonts w:ascii="Times New Roman" w:hAnsi="Times New Roman" w:cs="Times New Roman"/>
          <w:sz w:val="24"/>
          <w:szCs w:val="24"/>
        </w:rPr>
        <w:t xml:space="preserve"> and human genetics in Pharmaceuticals and Vaccine business while it leverages consumer insights and scientific expertise for creating healthcare products</w:t>
      </w:r>
      <w:r w:rsidR="00DA4C2E" w:rsidRPr="00E57ACD">
        <w:rPr>
          <w:rFonts w:ascii="Times New Roman" w:hAnsi="Times New Roman" w:cs="Times New Roman"/>
          <w:sz w:val="24"/>
          <w:szCs w:val="24"/>
        </w:rPr>
        <w:t xml:space="preserve"> (GSK, 2019)</w:t>
      </w:r>
      <w:r w:rsidR="004F1CCA" w:rsidRPr="00E57ACD">
        <w:rPr>
          <w:rFonts w:ascii="Times New Roman" w:hAnsi="Times New Roman" w:cs="Times New Roman"/>
          <w:sz w:val="24"/>
          <w:szCs w:val="24"/>
        </w:rPr>
        <w:t xml:space="preserve">. </w:t>
      </w:r>
    </w:p>
    <w:p w14:paraId="292CAF69" w14:textId="77777777" w:rsidR="004F1CCA" w:rsidRPr="00E57ACD" w:rsidRDefault="004F1CCA" w:rsidP="00953755">
      <w:pPr>
        <w:spacing w:line="360" w:lineRule="auto"/>
        <w:jc w:val="both"/>
        <w:rPr>
          <w:rFonts w:ascii="Times New Roman" w:hAnsi="Times New Roman" w:cs="Times New Roman"/>
          <w:sz w:val="24"/>
          <w:szCs w:val="24"/>
        </w:rPr>
      </w:pPr>
      <w:r w:rsidRPr="00E57ACD">
        <w:rPr>
          <w:rFonts w:ascii="Times New Roman" w:hAnsi="Times New Roman" w:cs="Times New Roman"/>
          <w:noProof/>
          <w:sz w:val="24"/>
          <w:szCs w:val="24"/>
        </w:rPr>
        <w:drawing>
          <wp:inline distT="0" distB="0" distL="0" distR="0" wp14:anchorId="6D057FA0" wp14:editId="06FDFBC3">
            <wp:extent cx="5943600" cy="302853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3028530"/>
                    </a:xfrm>
                    <a:prstGeom prst="rect">
                      <a:avLst/>
                    </a:prstGeom>
                    <a:noFill/>
                    <a:ln w="9525">
                      <a:noFill/>
                      <a:miter lim="800000"/>
                      <a:headEnd/>
                      <a:tailEnd/>
                    </a:ln>
                  </pic:spPr>
                </pic:pic>
              </a:graphicData>
            </a:graphic>
          </wp:inline>
        </w:drawing>
      </w:r>
    </w:p>
    <w:p w14:paraId="325215A7" w14:textId="77777777" w:rsidR="00DA4C2E" w:rsidRPr="00E57ACD" w:rsidRDefault="00DA4C2E"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Source: (GSK, 2017)</w:t>
      </w:r>
    </w:p>
    <w:p w14:paraId="12157E97" w14:textId="77777777" w:rsidR="00C830DF" w:rsidRPr="00E57ACD" w:rsidRDefault="00C830DF" w:rsidP="00953755">
      <w:pPr>
        <w:spacing w:line="360" w:lineRule="auto"/>
        <w:jc w:val="both"/>
        <w:rPr>
          <w:rFonts w:ascii="Times New Roman" w:hAnsi="Times New Roman" w:cs="Times New Roman"/>
          <w:sz w:val="24"/>
          <w:szCs w:val="24"/>
        </w:rPr>
      </w:pPr>
      <w:r w:rsidRPr="00E57ACD">
        <w:rPr>
          <w:rFonts w:ascii="Times New Roman" w:hAnsi="Times New Roman" w:cs="Times New Roman"/>
          <w:b/>
          <w:sz w:val="24"/>
          <w:szCs w:val="24"/>
        </w:rPr>
        <w:t>Market Place</w:t>
      </w:r>
      <w:r w:rsidRPr="00E57ACD">
        <w:rPr>
          <w:rFonts w:ascii="Times New Roman" w:hAnsi="Times New Roman" w:cs="Times New Roman"/>
          <w:sz w:val="24"/>
          <w:szCs w:val="24"/>
        </w:rPr>
        <w:t xml:space="preserve">: </w:t>
      </w:r>
    </w:p>
    <w:p w14:paraId="5DA60EF1" w14:textId="77777777" w:rsidR="007E7803" w:rsidRPr="00E57ACD" w:rsidRDefault="007E7803"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lastRenderedPageBreak/>
        <w:t xml:space="preserve">It is operating globally and the market size of the company is too vast. The USA is the biggest market and it is the prioritized market of the company to get growth. It is operating in Europe, </w:t>
      </w:r>
      <w:r w:rsidR="00332B20" w:rsidRPr="00E57ACD">
        <w:rPr>
          <w:rFonts w:ascii="Times New Roman" w:hAnsi="Times New Roman" w:cs="Times New Roman"/>
          <w:sz w:val="24"/>
          <w:szCs w:val="24"/>
        </w:rPr>
        <w:t xml:space="preserve">the </w:t>
      </w:r>
      <w:r w:rsidRPr="00E57ACD">
        <w:rPr>
          <w:rFonts w:ascii="Times New Roman" w:hAnsi="Times New Roman" w:cs="Times New Roman"/>
          <w:sz w:val="24"/>
          <w:szCs w:val="24"/>
        </w:rPr>
        <w:t>USA, Asia Pacific</w:t>
      </w:r>
      <w:r w:rsidR="00332B20" w:rsidRPr="00E57ACD">
        <w:rPr>
          <w:rFonts w:ascii="Times New Roman" w:hAnsi="Times New Roman" w:cs="Times New Roman"/>
          <w:sz w:val="24"/>
          <w:szCs w:val="24"/>
        </w:rPr>
        <w:t>,</w:t>
      </w:r>
      <w:r w:rsidRPr="00E57ACD">
        <w:rPr>
          <w:rFonts w:ascii="Times New Roman" w:hAnsi="Times New Roman" w:cs="Times New Roman"/>
          <w:sz w:val="24"/>
          <w:szCs w:val="24"/>
        </w:rPr>
        <w:t xml:space="preserve"> and other market places to improve income and profit. It targets emerging market</w:t>
      </w:r>
      <w:r w:rsidR="00332B20" w:rsidRPr="00E57ACD">
        <w:rPr>
          <w:rFonts w:ascii="Times New Roman" w:hAnsi="Times New Roman" w:cs="Times New Roman"/>
          <w:sz w:val="24"/>
          <w:szCs w:val="24"/>
        </w:rPr>
        <w:t>s</w:t>
      </w:r>
      <w:r w:rsidRPr="00E57ACD">
        <w:rPr>
          <w:rFonts w:ascii="Times New Roman" w:hAnsi="Times New Roman" w:cs="Times New Roman"/>
          <w:sz w:val="24"/>
          <w:szCs w:val="24"/>
        </w:rPr>
        <w:t xml:space="preserve"> and economies as well for improving the return on the investments and developing the market for the business</w:t>
      </w:r>
      <w:r w:rsidR="005D0588" w:rsidRPr="00E57ACD">
        <w:rPr>
          <w:rFonts w:ascii="Times New Roman" w:hAnsi="Times New Roman" w:cs="Times New Roman"/>
          <w:sz w:val="24"/>
          <w:szCs w:val="24"/>
        </w:rPr>
        <w:t xml:space="preserve"> (GSK, 2020)</w:t>
      </w:r>
      <w:r w:rsidRPr="00E57ACD">
        <w:rPr>
          <w:rFonts w:ascii="Times New Roman" w:hAnsi="Times New Roman" w:cs="Times New Roman"/>
          <w:sz w:val="24"/>
          <w:szCs w:val="24"/>
        </w:rPr>
        <w:t xml:space="preserve">. </w:t>
      </w:r>
      <w:r w:rsidR="007733B8" w:rsidRPr="00E57ACD">
        <w:rPr>
          <w:rFonts w:ascii="Times New Roman" w:hAnsi="Times New Roman" w:cs="Times New Roman"/>
          <w:sz w:val="24"/>
          <w:szCs w:val="24"/>
        </w:rPr>
        <w:t xml:space="preserve">At the same time, the population of the world is growing </w:t>
      </w:r>
      <w:r w:rsidR="00332B20" w:rsidRPr="00E57ACD">
        <w:rPr>
          <w:rFonts w:ascii="Times New Roman" w:hAnsi="Times New Roman" w:cs="Times New Roman"/>
          <w:sz w:val="24"/>
          <w:szCs w:val="24"/>
        </w:rPr>
        <w:t>which</w:t>
      </w:r>
      <w:r w:rsidR="007733B8" w:rsidRPr="00E57ACD">
        <w:rPr>
          <w:rFonts w:ascii="Times New Roman" w:hAnsi="Times New Roman" w:cs="Times New Roman"/>
          <w:sz w:val="24"/>
          <w:szCs w:val="24"/>
        </w:rPr>
        <w:t xml:space="preserve"> enable</w:t>
      </w:r>
      <w:r w:rsidR="00332B20" w:rsidRPr="00E57ACD">
        <w:rPr>
          <w:rFonts w:ascii="Times New Roman" w:hAnsi="Times New Roman" w:cs="Times New Roman"/>
          <w:sz w:val="24"/>
          <w:szCs w:val="24"/>
        </w:rPr>
        <w:t>s</w:t>
      </w:r>
      <w:r w:rsidR="007733B8" w:rsidRPr="00E57ACD">
        <w:rPr>
          <w:rFonts w:ascii="Times New Roman" w:hAnsi="Times New Roman" w:cs="Times New Roman"/>
          <w:sz w:val="24"/>
          <w:szCs w:val="24"/>
        </w:rPr>
        <w:t xml:space="preserve"> GSK to estimate good growth in </w:t>
      </w:r>
      <w:r w:rsidR="00332B20" w:rsidRPr="00E57ACD">
        <w:rPr>
          <w:rFonts w:ascii="Times New Roman" w:hAnsi="Times New Roman" w:cs="Times New Roman"/>
          <w:sz w:val="24"/>
          <w:szCs w:val="24"/>
        </w:rPr>
        <w:t xml:space="preserve">the </w:t>
      </w:r>
      <w:r w:rsidR="007733B8" w:rsidRPr="00E57ACD">
        <w:rPr>
          <w:rFonts w:ascii="Times New Roman" w:hAnsi="Times New Roman" w:cs="Times New Roman"/>
          <w:sz w:val="24"/>
          <w:szCs w:val="24"/>
        </w:rPr>
        <w:t>future. The change in the market place in terms of change in the social factors, political factors, economic factors</w:t>
      </w:r>
      <w:r w:rsidR="00332B20" w:rsidRPr="00E57ACD">
        <w:rPr>
          <w:rFonts w:ascii="Times New Roman" w:hAnsi="Times New Roman" w:cs="Times New Roman"/>
          <w:sz w:val="24"/>
          <w:szCs w:val="24"/>
        </w:rPr>
        <w:t>,</w:t>
      </w:r>
      <w:r w:rsidR="007733B8" w:rsidRPr="00E57ACD">
        <w:rPr>
          <w:rFonts w:ascii="Times New Roman" w:hAnsi="Times New Roman" w:cs="Times New Roman"/>
          <w:sz w:val="24"/>
          <w:szCs w:val="24"/>
        </w:rPr>
        <w:t xml:space="preserve"> and other</w:t>
      </w:r>
      <w:r w:rsidR="00332B20" w:rsidRPr="00E57ACD">
        <w:rPr>
          <w:rFonts w:ascii="Times New Roman" w:hAnsi="Times New Roman" w:cs="Times New Roman"/>
          <w:sz w:val="24"/>
          <w:szCs w:val="24"/>
        </w:rPr>
        <w:t>s</w:t>
      </w:r>
      <w:r w:rsidR="007733B8" w:rsidRPr="00E57ACD">
        <w:rPr>
          <w:rFonts w:ascii="Times New Roman" w:hAnsi="Times New Roman" w:cs="Times New Roman"/>
          <w:sz w:val="24"/>
          <w:szCs w:val="24"/>
        </w:rPr>
        <w:t xml:space="preserve"> may influence the long term financial health of GSK.</w:t>
      </w:r>
    </w:p>
    <w:p w14:paraId="46981435" w14:textId="77777777" w:rsidR="00C830DF" w:rsidRPr="00E57ACD" w:rsidRDefault="00C830DF" w:rsidP="00953755">
      <w:pPr>
        <w:spacing w:line="360" w:lineRule="auto"/>
        <w:jc w:val="both"/>
        <w:rPr>
          <w:rFonts w:ascii="Times New Roman" w:hAnsi="Times New Roman" w:cs="Times New Roman"/>
          <w:b/>
          <w:sz w:val="24"/>
          <w:szCs w:val="24"/>
        </w:rPr>
      </w:pPr>
      <w:r w:rsidRPr="00E57ACD">
        <w:rPr>
          <w:rFonts w:ascii="Times New Roman" w:hAnsi="Times New Roman" w:cs="Times New Roman"/>
          <w:b/>
          <w:sz w:val="24"/>
          <w:szCs w:val="24"/>
        </w:rPr>
        <w:t xml:space="preserve">Competitors: </w:t>
      </w:r>
    </w:p>
    <w:p w14:paraId="534C1B3B" w14:textId="77777777" w:rsidR="003C5425" w:rsidRPr="00E57ACD" w:rsidRDefault="00212B4A"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There are many competitors of the GSK in the global market that give challenges to </w:t>
      </w:r>
      <w:r w:rsidR="00332B20" w:rsidRPr="00E57ACD">
        <w:rPr>
          <w:rFonts w:ascii="Times New Roman" w:hAnsi="Times New Roman" w:cs="Times New Roman"/>
          <w:sz w:val="24"/>
          <w:szCs w:val="24"/>
        </w:rPr>
        <w:t xml:space="preserve">the </w:t>
      </w:r>
      <w:r w:rsidRPr="00E57ACD">
        <w:rPr>
          <w:rFonts w:ascii="Times New Roman" w:hAnsi="Times New Roman" w:cs="Times New Roman"/>
          <w:sz w:val="24"/>
          <w:szCs w:val="24"/>
        </w:rPr>
        <w:t xml:space="preserve">company in the market and it is defeating them success in the market. The competitors of the company are Abbott Laboratories, Amgen, AstraZeneca, Sun Pharma Industries, Bristol Myers Squibb, Johnson &amp; Johnson, Merck, Roche Holdings, and many others. </w:t>
      </w:r>
    </w:p>
    <w:p w14:paraId="29BD8871" w14:textId="77777777" w:rsidR="003C5425" w:rsidRPr="00E57ACD" w:rsidRDefault="003C5425" w:rsidP="00953755">
      <w:pPr>
        <w:spacing w:line="360" w:lineRule="auto"/>
        <w:jc w:val="both"/>
        <w:rPr>
          <w:rFonts w:ascii="Times New Roman" w:hAnsi="Times New Roman" w:cs="Times New Roman"/>
          <w:b/>
          <w:sz w:val="24"/>
          <w:szCs w:val="24"/>
        </w:rPr>
      </w:pPr>
    </w:p>
    <w:p w14:paraId="67282101" w14:textId="77777777" w:rsidR="005E5806" w:rsidRPr="00E57ACD" w:rsidRDefault="005E5806">
      <w:pPr>
        <w:rPr>
          <w:rFonts w:ascii="Times New Roman" w:eastAsiaTheme="majorEastAsia" w:hAnsi="Times New Roman" w:cs="Times New Roman"/>
          <w:b/>
          <w:bCs/>
          <w:color w:val="365F91" w:themeColor="accent1" w:themeShade="BF"/>
          <w:sz w:val="24"/>
          <w:szCs w:val="24"/>
        </w:rPr>
      </w:pPr>
      <w:r w:rsidRPr="00E57ACD">
        <w:rPr>
          <w:rFonts w:ascii="Times New Roman" w:hAnsi="Times New Roman" w:cs="Times New Roman"/>
          <w:sz w:val="24"/>
          <w:szCs w:val="24"/>
        </w:rPr>
        <w:br w:type="page"/>
      </w:r>
    </w:p>
    <w:p w14:paraId="098707EC" w14:textId="77777777" w:rsidR="0024245D" w:rsidRPr="00E57ACD" w:rsidRDefault="0024245D" w:rsidP="005E5806">
      <w:pPr>
        <w:pStyle w:val="Heading1"/>
        <w:spacing w:line="360" w:lineRule="auto"/>
        <w:jc w:val="both"/>
        <w:rPr>
          <w:rFonts w:ascii="Times New Roman" w:hAnsi="Times New Roman" w:cs="Times New Roman"/>
          <w:sz w:val="24"/>
          <w:szCs w:val="24"/>
        </w:rPr>
      </w:pPr>
      <w:bookmarkStart w:id="1" w:name="_Toc58487563"/>
      <w:r w:rsidRPr="00E57ACD">
        <w:rPr>
          <w:rFonts w:ascii="Times New Roman" w:hAnsi="Times New Roman" w:cs="Times New Roman"/>
          <w:sz w:val="24"/>
          <w:szCs w:val="24"/>
        </w:rPr>
        <w:lastRenderedPageBreak/>
        <w:t>Part B: Financial Analysis:</w:t>
      </w:r>
      <w:bookmarkEnd w:id="1"/>
    </w:p>
    <w:p w14:paraId="1C479312" w14:textId="77777777" w:rsidR="0024245D" w:rsidRPr="00E57ACD" w:rsidRDefault="0024245D" w:rsidP="00953755">
      <w:pPr>
        <w:pStyle w:val="Heading2"/>
        <w:spacing w:line="360" w:lineRule="auto"/>
        <w:jc w:val="both"/>
        <w:rPr>
          <w:rFonts w:ascii="Times New Roman" w:hAnsi="Times New Roman" w:cs="Times New Roman"/>
          <w:sz w:val="24"/>
          <w:szCs w:val="24"/>
        </w:rPr>
      </w:pPr>
      <w:bookmarkStart w:id="2" w:name="_Toc58487564"/>
      <w:r w:rsidRPr="00E57ACD">
        <w:rPr>
          <w:rFonts w:ascii="Times New Roman" w:hAnsi="Times New Roman" w:cs="Times New Roman"/>
          <w:sz w:val="24"/>
          <w:szCs w:val="24"/>
        </w:rPr>
        <w:t>Computation of Ratio:</w:t>
      </w:r>
      <w:bookmarkEnd w:id="2"/>
    </w:p>
    <w:tbl>
      <w:tblPr>
        <w:tblW w:w="11432" w:type="dxa"/>
        <w:jc w:val="center"/>
        <w:tblLook w:val="04A0" w:firstRow="1" w:lastRow="0" w:firstColumn="1" w:lastColumn="0" w:noHBand="0" w:noVBand="1"/>
      </w:tblPr>
      <w:tblGrid>
        <w:gridCol w:w="1620"/>
        <w:gridCol w:w="2432"/>
        <w:gridCol w:w="1476"/>
        <w:gridCol w:w="1476"/>
        <w:gridCol w:w="1476"/>
        <w:gridCol w:w="1476"/>
        <w:gridCol w:w="1476"/>
      </w:tblGrid>
      <w:tr w:rsidR="0024245D" w:rsidRPr="00E57ACD" w14:paraId="5C239DE0" w14:textId="77777777" w:rsidTr="00C16EEB">
        <w:trPr>
          <w:trHeight w:val="315"/>
          <w:jc w:val="center"/>
        </w:trPr>
        <w:tc>
          <w:tcPr>
            <w:tcW w:w="1620" w:type="dxa"/>
            <w:tcBorders>
              <w:top w:val="single" w:sz="4" w:space="0" w:color="auto"/>
              <w:left w:val="single" w:sz="4" w:space="0" w:color="auto"/>
              <w:bottom w:val="single" w:sz="4" w:space="0" w:color="auto"/>
              <w:right w:val="single" w:sz="4" w:space="0" w:color="auto"/>
            </w:tcBorders>
            <w:shd w:val="clear" w:color="000000" w:fill="FAC090"/>
            <w:noWrap/>
            <w:vAlign w:val="bottom"/>
            <w:hideMark/>
          </w:tcPr>
          <w:p w14:paraId="00E1E512"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Ratio</w:t>
            </w:r>
          </w:p>
        </w:tc>
        <w:tc>
          <w:tcPr>
            <w:tcW w:w="2432" w:type="dxa"/>
            <w:tcBorders>
              <w:top w:val="single" w:sz="4" w:space="0" w:color="auto"/>
              <w:left w:val="nil"/>
              <w:bottom w:val="single" w:sz="4" w:space="0" w:color="auto"/>
              <w:right w:val="single" w:sz="4" w:space="0" w:color="auto"/>
            </w:tcBorders>
            <w:shd w:val="clear" w:color="000000" w:fill="FAC090"/>
            <w:noWrap/>
            <w:vAlign w:val="bottom"/>
            <w:hideMark/>
          </w:tcPr>
          <w:p w14:paraId="751D9A9C"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Formula</w:t>
            </w:r>
          </w:p>
        </w:tc>
        <w:tc>
          <w:tcPr>
            <w:tcW w:w="1476" w:type="dxa"/>
            <w:tcBorders>
              <w:top w:val="single" w:sz="4" w:space="0" w:color="auto"/>
              <w:left w:val="nil"/>
              <w:bottom w:val="single" w:sz="4" w:space="0" w:color="auto"/>
              <w:right w:val="single" w:sz="4" w:space="0" w:color="auto"/>
            </w:tcBorders>
            <w:shd w:val="clear" w:color="000000" w:fill="FAC090"/>
            <w:noWrap/>
            <w:vAlign w:val="bottom"/>
            <w:hideMark/>
          </w:tcPr>
          <w:p w14:paraId="0BC13FEC"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2019</w:t>
            </w:r>
          </w:p>
        </w:tc>
        <w:tc>
          <w:tcPr>
            <w:tcW w:w="1476" w:type="dxa"/>
            <w:tcBorders>
              <w:top w:val="single" w:sz="4" w:space="0" w:color="auto"/>
              <w:left w:val="nil"/>
              <w:bottom w:val="single" w:sz="4" w:space="0" w:color="auto"/>
              <w:right w:val="single" w:sz="4" w:space="0" w:color="auto"/>
            </w:tcBorders>
            <w:shd w:val="clear" w:color="000000" w:fill="FAC090"/>
            <w:noWrap/>
            <w:vAlign w:val="bottom"/>
            <w:hideMark/>
          </w:tcPr>
          <w:p w14:paraId="0FBDF94F"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2018</w:t>
            </w:r>
          </w:p>
        </w:tc>
        <w:tc>
          <w:tcPr>
            <w:tcW w:w="1476" w:type="dxa"/>
            <w:tcBorders>
              <w:top w:val="single" w:sz="4" w:space="0" w:color="auto"/>
              <w:left w:val="nil"/>
              <w:bottom w:val="single" w:sz="4" w:space="0" w:color="auto"/>
              <w:right w:val="single" w:sz="4" w:space="0" w:color="auto"/>
            </w:tcBorders>
            <w:shd w:val="clear" w:color="000000" w:fill="FAC090"/>
            <w:noWrap/>
            <w:vAlign w:val="bottom"/>
            <w:hideMark/>
          </w:tcPr>
          <w:p w14:paraId="06120480"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2017</w:t>
            </w:r>
          </w:p>
        </w:tc>
        <w:tc>
          <w:tcPr>
            <w:tcW w:w="1476" w:type="dxa"/>
            <w:tcBorders>
              <w:top w:val="single" w:sz="4" w:space="0" w:color="auto"/>
              <w:left w:val="nil"/>
              <w:bottom w:val="single" w:sz="4" w:space="0" w:color="auto"/>
              <w:right w:val="single" w:sz="4" w:space="0" w:color="auto"/>
            </w:tcBorders>
            <w:shd w:val="clear" w:color="000000" w:fill="FAC090"/>
            <w:noWrap/>
            <w:vAlign w:val="bottom"/>
            <w:hideMark/>
          </w:tcPr>
          <w:p w14:paraId="7C4349D6"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2016</w:t>
            </w:r>
          </w:p>
        </w:tc>
        <w:tc>
          <w:tcPr>
            <w:tcW w:w="1476" w:type="dxa"/>
            <w:tcBorders>
              <w:top w:val="single" w:sz="4" w:space="0" w:color="auto"/>
              <w:left w:val="nil"/>
              <w:bottom w:val="single" w:sz="4" w:space="0" w:color="auto"/>
              <w:right w:val="single" w:sz="4" w:space="0" w:color="auto"/>
            </w:tcBorders>
            <w:shd w:val="clear" w:color="000000" w:fill="FAC090"/>
            <w:noWrap/>
            <w:vAlign w:val="bottom"/>
            <w:hideMark/>
          </w:tcPr>
          <w:p w14:paraId="3C747E72"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2015</w:t>
            </w:r>
          </w:p>
        </w:tc>
      </w:tr>
      <w:tr w:rsidR="0024245D" w:rsidRPr="00E57ACD" w14:paraId="361BD996"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5D6C78A2"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Profitability Ratio</w:t>
            </w:r>
          </w:p>
        </w:tc>
        <w:tc>
          <w:tcPr>
            <w:tcW w:w="2432" w:type="dxa"/>
            <w:tcBorders>
              <w:top w:val="nil"/>
              <w:left w:val="nil"/>
              <w:bottom w:val="single" w:sz="4" w:space="0" w:color="auto"/>
              <w:right w:val="single" w:sz="4" w:space="0" w:color="auto"/>
            </w:tcBorders>
            <w:shd w:val="clear" w:color="000000" w:fill="EAF1DD"/>
            <w:noWrap/>
            <w:vAlign w:val="bottom"/>
            <w:hideMark/>
          </w:tcPr>
          <w:p w14:paraId="255CCC0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740BCE9B"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0401F4A4"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5A12F372"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24123B4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6A78C49E"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r>
      <w:tr w:rsidR="0024245D" w:rsidRPr="00E57ACD" w14:paraId="61A389E8"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65771074"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ROCE</w:t>
            </w:r>
          </w:p>
        </w:tc>
        <w:tc>
          <w:tcPr>
            <w:tcW w:w="2432" w:type="dxa"/>
            <w:tcBorders>
              <w:top w:val="nil"/>
              <w:left w:val="nil"/>
              <w:bottom w:val="single" w:sz="4" w:space="0" w:color="auto"/>
              <w:right w:val="single" w:sz="4" w:space="0" w:color="auto"/>
            </w:tcBorders>
            <w:shd w:val="clear" w:color="000000" w:fill="EAF1DD"/>
            <w:noWrap/>
            <w:vAlign w:val="bottom"/>
            <w:hideMark/>
          </w:tcPr>
          <w:p w14:paraId="23BF1E7D" w14:textId="77777777" w:rsidR="0024245D" w:rsidRPr="00E57ACD" w:rsidRDefault="0024245D" w:rsidP="00953755">
            <w:pPr>
              <w:spacing w:after="0" w:line="360" w:lineRule="auto"/>
              <w:jc w:val="both"/>
              <w:rPr>
                <w:rFonts w:ascii="Times New Roman" w:eastAsia="Times New Roman" w:hAnsi="Times New Roman" w:cs="Times New Roman"/>
                <w:b/>
                <w:bCs/>
                <w:i/>
                <w:iCs/>
                <w:color w:val="000000"/>
                <w:sz w:val="24"/>
                <w:szCs w:val="24"/>
              </w:rPr>
            </w:pPr>
            <w:r w:rsidRPr="00E57ACD">
              <w:rPr>
                <w:rFonts w:ascii="Times New Roman" w:eastAsia="Times New Roman" w:hAnsi="Times New Roman" w:cs="Times New Roman"/>
                <w:b/>
                <w:bCs/>
                <w:i/>
                <w:iCs/>
                <w:color w:val="000000"/>
                <w:sz w:val="24"/>
                <w:szCs w:val="24"/>
              </w:rPr>
              <w:t>Profit After Tax/Capital employed</w:t>
            </w:r>
          </w:p>
        </w:tc>
        <w:tc>
          <w:tcPr>
            <w:tcW w:w="1476" w:type="dxa"/>
            <w:tcBorders>
              <w:top w:val="nil"/>
              <w:left w:val="nil"/>
              <w:bottom w:val="single" w:sz="4" w:space="0" w:color="auto"/>
              <w:right w:val="single" w:sz="4" w:space="0" w:color="auto"/>
            </w:tcBorders>
            <w:shd w:val="clear" w:color="000000" w:fill="EAF1DD"/>
            <w:noWrap/>
            <w:vAlign w:val="bottom"/>
            <w:hideMark/>
          </w:tcPr>
          <w:p w14:paraId="76016DE9"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0.094676683</w:t>
            </w:r>
          </w:p>
        </w:tc>
        <w:tc>
          <w:tcPr>
            <w:tcW w:w="1476" w:type="dxa"/>
            <w:tcBorders>
              <w:top w:val="nil"/>
              <w:left w:val="nil"/>
              <w:bottom w:val="single" w:sz="4" w:space="0" w:color="auto"/>
              <w:right w:val="single" w:sz="4" w:space="0" w:color="auto"/>
            </w:tcBorders>
            <w:shd w:val="clear" w:color="000000" w:fill="EAF1DD"/>
            <w:noWrap/>
            <w:vAlign w:val="bottom"/>
            <w:hideMark/>
          </w:tcPr>
          <w:p w14:paraId="2FE26EF1"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0.113731553</w:t>
            </w:r>
          </w:p>
        </w:tc>
        <w:tc>
          <w:tcPr>
            <w:tcW w:w="1476" w:type="dxa"/>
            <w:tcBorders>
              <w:top w:val="nil"/>
              <w:left w:val="nil"/>
              <w:bottom w:val="single" w:sz="4" w:space="0" w:color="auto"/>
              <w:right w:val="single" w:sz="4" w:space="0" w:color="auto"/>
            </w:tcBorders>
            <w:shd w:val="clear" w:color="000000" w:fill="EAF1DD"/>
            <w:noWrap/>
            <w:vAlign w:val="bottom"/>
            <w:hideMark/>
          </w:tcPr>
          <w:p w14:paraId="1CC6F197"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0.072755937</w:t>
            </w:r>
          </w:p>
        </w:tc>
        <w:tc>
          <w:tcPr>
            <w:tcW w:w="1476" w:type="dxa"/>
            <w:tcBorders>
              <w:top w:val="nil"/>
              <w:left w:val="nil"/>
              <w:bottom w:val="single" w:sz="4" w:space="0" w:color="auto"/>
              <w:right w:val="single" w:sz="4" w:space="0" w:color="auto"/>
            </w:tcBorders>
            <w:shd w:val="clear" w:color="000000" w:fill="EAF1DD"/>
            <w:noWrap/>
            <w:vAlign w:val="bottom"/>
            <w:hideMark/>
          </w:tcPr>
          <w:p w14:paraId="172EDFC3"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0.026497006</w:t>
            </w:r>
          </w:p>
        </w:tc>
        <w:tc>
          <w:tcPr>
            <w:tcW w:w="1476" w:type="dxa"/>
            <w:tcBorders>
              <w:top w:val="nil"/>
              <w:left w:val="nil"/>
              <w:bottom w:val="single" w:sz="4" w:space="0" w:color="auto"/>
              <w:right w:val="single" w:sz="4" w:space="0" w:color="auto"/>
            </w:tcBorders>
            <w:shd w:val="clear" w:color="000000" w:fill="EAF1DD"/>
            <w:noWrap/>
            <w:vAlign w:val="bottom"/>
            <w:hideMark/>
          </w:tcPr>
          <w:p w14:paraId="7C4AEE43"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0.199195793</w:t>
            </w:r>
          </w:p>
        </w:tc>
      </w:tr>
      <w:tr w:rsidR="0024245D" w:rsidRPr="00E57ACD" w14:paraId="35031892"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59EE7600"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2C31CD58"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Profit after tax</w:t>
            </w:r>
          </w:p>
        </w:tc>
        <w:tc>
          <w:tcPr>
            <w:tcW w:w="1476" w:type="dxa"/>
            <w:tcBorders>
              <w:top w:val="nil"/>
              <w:left w:val="nil"/>
              <w:bottom w:val="single" w:sz="4" w:space="0" w:color="auto"/>
              <w:right w:val="single" w:sz="4" w:space="0" w:color="auto"/>
            </w:tcBorders>
            <w:shd w:val="clear" w:color="000000" w:fill="EAF1DD"/>
            <w:noWrap/>
            <w:vAlign w:val="bottom"/>
            <w:hideMark/>
          </w:tcPr>
          <w:p w14:paraId="0D9F7FAA"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5,268</w:t>
            </w:r>
          </w:p>
        </w:tc>
        <w:tc>
          <w:tcPr>
            <w:tcW w:w="1476" w:type="dxa"/>
            <w:tcBorders>
              <w:top w:val="nil"/>
              <w:left w:val="nil"/>
              <w:bottom w:val="single" w:sz="4" w:space="0" w:color="auto"/>
              <w:right w:val="single" w:sz="4" w:space="0" w:color="auto"/>
            </w:tcBorders>
            <w:shd w:val="clear" w:color="000000" w:fill="EAF1DD"/>
            <w:noWrap/>
            <w:vAlign w:val="bottom"/>
            <w:hideMark/>
          </w:tcPr>
          <w:p w14:paraId="3AF1564E"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4,046</w:t>
            </w:r>
          </w:p>
        </w:tc>
        <w:tc>
          <w:tcPr>
            <w:tcW w:w="1476" w:type="dxa"/>
            <w:tcBorders>
              <w:top w:val="nil"/>
              <w:left w:val="nil"/>
              <w:bottom w:val="single" w:sz="4" w:space="0" w:color="auto"/>
              <w:right w:val="single" w:sz="4" w:space="0" w:color="auto"/>
            </w:tcBorders>
            <w:shd w:val="clear" w:color="000000" w:fill="EAF1DD"/>
            <w:noWrap/>
            <w:vAlign w:val="bottom"/>
            <w:hideMark/>
          </w:tcPr>
          <w:p w14:paraId="5788B4FE"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2,169</w:t>
            </w:r>
          </w:p>
        </w:tc>
        <w:tc>
          <w:tcPr>
            <w:tcW w:w="1476" w:type="dxa"/>
            <w:tcBorders>
              <w:top w:val="nil"/>
              <w:left w:val="nil"/>
              <w:bottom w:val="single" w:sz="4" w:space="0" w:color="auto"/>
              <w:right w:val="single" w:sz="4" w:space="0" w:color="auto"/>
            </w:tcBorders>
            <w:shd w:val="clear" w:color="000000" w:fill="EAF1DD"/>
            <w:noWrap/>
            <w:vAlign w:val="bottom"/>
            <w:hideMark/>
          </w:tcPr>
          <w:p w14:paraId="32945921"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1,062</w:t>
            </w:r>
          </w:p>
        </w:tc>
        <w:tc>
          <w:tcPr>
            <w:tcW w:w="1476" w:type="dxa"/>
            <w:tcBorders>
              <w:top w:val="nil"/>
              <w:left w:val="nil"/>
              <w:bottom w:val="single" w:sz="4" w:space="0" w:color="auto"/>
              <w:right w:val="single" w:sz="4" w:space="0" w:color="auto"/>
            </w:tcBorders>
            <w:shd w:val="clear" w:color="000000" w:fill="EAF1DD"/>
            <w:noWrap/>
            <w:vAlign w:val="bottom"/>
            <w:hideMark/>
          </w:tcPr>
          <w:p w14:paraId="002C0D33"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8,372</w:t>
            </w:r>
          </w:p>
        </w:tc>
      </w:tr>
      <w:tr w:rsidR="0024245D" w:rsidRPr="00E57ACD" w14:paraId="5681ECCF"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52D277F9"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6F517900"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Capital employed</w:t>
            </w:r>
          </w:p>
        </w:tc>
        <w:tc>
          <w:tcPr>
            <w:tcW w:w="1476" w:type="dxa"/>
            <w:tcBorders>
              <w:top w:val="nil"/>
              <w:left w:val="nil"/>
              <w:bottom w:val="single" w:sz="4" w:space="0" w:color="auto"/>
              <w:right w:val="single" w:sz="4" w:space="0" w:color="auto"/>
            </w:tcBorders>
            <w:shd w:val="clear" w:color="000000" w:fill="EAF1DD"/>
            <w:noWrap/>
            <w:vAlign w:val="bottom"/>
            <w:hideMark/>
          </w:tcPr>
          <w:p w14:paraId="239BE445"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55,642</w:t>
            </w:r>
          </w:p>
        </w:tc>
        <w:tc>
          <w:tcPr>
            <w:tcW w:w="1476" w:type="dxa"/>
            <w:tcBorders>
              <w:top w:val="nil"/>
              <w:left w:val="nil"/>
              <w:bottom w:val="single" w:sz="4" w:space="0" w:color="auto"/>
              <w:right w:val="single" w:sz="4" w:space="0" w:color="auto"/>
            </w:tcBorders>
            <w:shd w:val="clear" w:color="000000" w:fill="EAF1DD"/>
            <w:noWrap/>
            <w:vAlign w:val="bottom"/>
            <w:hideMark/>
          </w:tcPr>
          <w:p w14:paraId="2E90FADE"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35,575</w:t>
            </w:r>
          </w:p>
        </w:tc>
        <w:tc>
          <w:tcPr>
            <w:tcW w:w="1476" w:type="dxa"/>
            <w:tcBorders>
              <w:top w:val="nil"/>
              <w:left w:val="nil"/>
              <w:bottom w:val="single" w:sz="4" w:space="0" w:color="auto"/>
              <w:right w:val="single" w:sz="4" w:space="0" w:color="auto"/>
            </w:tcBorders>
            <w:shd w:val="clear" w:color="000000" w:fill="EAF1DD"/>
            <w:noWrap/>
            <w:vAlign w:val="bottom"/>
            <w:hideMark/>
          </w:tcPr>
          <w:p w14:paraId="0AF4DB49"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29,812</w:t>
            </w:r>
          </w:p>
        </w:tc>
        <w:tc>
          <w:tcPr>
            <w:tcW w:w="1476" w:type="dxa"/>
            <w:tcBorders>
              <w:top w:val="nil"/>
              <w:left w:val="nil"/>
              <w:bottom w:val="single" w:sz="4" w:space="0" w:color="auto"/>
              <w:right w:val="single" w:sz="4" w:space="0" w:color="auto"/>
            </w:tcBorders>
            <w:shd w:val="clear" w:color="000000" w:fill="EAF1DD"/>
            <w:noWrap/>
            <w:vAlign w:val="bottom"/>
            <w:hideMark/>
          </w:tcPr>
          <w:p w14:paraId="6E8D41AE"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40,080</w:t>
            </w:r>
          </w:p>
        </w:tc>
        <w:tc>
          <w:tcPr>
            <w:tcW w:w="1476" w:type="dxa"/>
            <w:tcBorders>
              <w:top w:val="nil"/>
              <w:left w:val="nil"/>
              <w:bottom w:val="single" w:sz="4" w:space="0" w:color="auto"/>
              <w:right w:val="single" w:sz="4" w:space="0" w:color="auto"/>
            </w:tcBorders>
            <w:shd w:val="clear" w:color="000000" w:fill="EAF1DD"/>
            <w:noWrap/>
            <w:vAlign w:val="bottom"/>
            <w:hideMark/>
          </w:tcPr>
          <w:p w14:paraId="3C1D98F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42,029</w:t>
            </w:r>
          </w:p>
        </w:tc>
      </w:tr>
      <w:tr w:rsidR="0024245D" w:rsidRPr="00E57ACD" w14:paraId="0067333B"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51669A10"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Gross profit margin</w:t>
            </w:r>
          </w:p>
        </w:tc>
        <w:tc>
          <w:tcPr>
            <w:tcW w:w="2432" w:type="dxa"/>
            <w:tcBorders>
              <w:top w:val="nil"/>
              <w:left w:val="nil"/>
              <w:bottom w:val="single" w:sz="4" w:space="0" w:color="auto"/>
              <w:right w:val="single" w:sz="4" w:space="0" w:color="auto"/>
            </w:tcBorders>
            <w:shd w:val="clear" w:color="000000" w:fill="EAF1DD"/>
            <w:noWrap/>
            <w:vAlign w:val="bottom"/>
            <w:hideMark/>
          </w:tcPr>
          <w:p w14:paraId="683141FC" w14:textId="77777777" w:rsidR="0024245D" w:rsidRPr="00E57ACD" w:rsidRDefault="0024245D" w:rsidP="00953755">
            <w:pPr>
              <w:spacing w:after="0" w:line="360" w:lineRule="auto"/>
              <w:jc w:val="both"/>
              <w:rPr>
                <w:rFonts w:ascii="Times New Roman" w:eastAsia="Times New Roman" w:hAnsi="Times New Roman" w:cs="Times New Roman"/>
                <w:b/>
                <w:bCs/>
                <w:i/>
                <w:iCs/>
                <w:color w:val="000000"/>
                <w:sz w:val="24"/>
                <w:szCs w:val="24"/>
              </w:rPr>
            </w:pPr>
            <w:r w:rsidRPr="00E57ACD">
              <w:rPr>
                <w:rFonts w:ascii="Times New Roman" w:eastAsia="Times New Roman" w:hAnsi="Times New Roman" w:cs="Times New Roman"/>
                <w:b/>
                <w:bCs/>
                <w:i/>
                <w:iCs/>
                <w:color w:val="000000"/>
                <w:sz w:val="24"/>
                <w:szCs w:val="24"/>
              </w:rPr>
              <w:t>Gross Profit / Net sales*100</w:t>
            </w:r>
          </w:p>
        </w:tc>
        <w:tc>
          <w:tcPr>
            <w:tcW w:w="1476" w:type="dxa"/>
            <w:tcBorders>
              <w:top w:val="nil"/>
              <w:left w:val="nil"/>
              <w:bottom w:val="single" w:sz="4" w:space="0" w:color="auto"/>
              <w:right w:val="single" w:sz="4" w:space="0" w:color="auto"/>
            </w:tcBorders>
            <w:shd w:val="clear" w:color="000000" w:fill="EAF1DD"/>
            <w:noWrap/>
            <w:vAlign w:val="bottom"/>
            <w:hideMark/>
          </w:tcPr>
          <w:p w14:paraId="44BD4926"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65%</w:t>
            </w:r>
          </w:p>
        </w:tc>
        <w:tc>
          <w:tcPr>
            <w:tcW w:w="1476" w:type="dxa"/>
            <w:tcBorders>
              <w:top w:val="nil"/>
              <w:left w:val="nil"/>
              <w:bottom w:val="single" w:sz="4" w:space="0" w:color="auto"/>
              <w:right w:val="single" w:sz="4" w:space="0" w:color="auto"/>
            </w:tcBorders>
            <w:shd w:val="clear" w:color="000000" w:fill="EAF1DD"/>
            <w:noWrap/>
            <w:vAlign w:val="bottom"/>
            <w:hideMark/>
          </w:tcPr>
          <w:p w14:paraId="2CAC0029"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67%</w:t>
            </w:r>
          </w:p>
        </w:tc>
        <w:tc>
          <w:tcPr>
            <w:tcW w:w="1476" w:type="dxa"/>
            <w:tcBorders>
              <w:top w:val="nil"/>
              <w:left w:val="nil"/>
              <w:bottom w:val="single" w:sz="4" w:space="0" w:color="auto"/>
              <w:right w:val="single" w:sz="4" w:space="0" w:color="auto"/>
            </w:tcBorders>
            <w:shd w:val="clear" w:color="000000" w:fill="EAF1DD"/>
            <w:noWrap/>
            <w:vAlign w:val="bottom"/>
            <w:hideMark/>
          </w:tcPr>
          <w:p w14:paraId="5D8EF810"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66%</w:t>
            </w:r>
          </w:p>
        </w:tc>
        <w:tc>
          <w:tcPr>
            <w:tcW w:w="1476" w:type="dxa"/>
            <w:tcBorders>
              <w:top w:val="nil"/>
              <w:left w:val="nil"/>
              <w:bottom w:val="single" w:sz="4" w:space="0" w:color="auto"/>
              <w:right w:val="single" w:sz="4" w:space="0" w:color="auto"/>
            </w:tcBorders>
            <w:shd w:val="clear" w:color="000000" w:fill="EAF1DD"/>
            <w:noWrap/>
            <w:vAlign w:val="bottom"/>
            <w:hideMark/>
          </w:tcPr>
          <w:p w14:paraId="50CF6F7A"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67%</w:t>
            </w:r>
          </w:p>
        </w:tc>
        <w:tc>
          <w:tcPr>
            <w:tcW w:w="1476" w:type="dxa"/>
            <w:tcBorders>
              <w:top w:val="nil"/>
              <w:left w:val="nil"/>
              <w:bottom w:val="single" w:sz="4" w:space="0" w:color="auto"/>
              <w:right w:val="single" w:sz="4" w:space="0" w:color="auto"/>
            </w:tcBorders>
            <w:shd w:val="clear" w:color="000000" w:fill="EAF1DD"/>
            <w:noWrap/>
            <w:vAlign w:val="bottom"/>
            <w:hideMark/>
          </w:tcPr>
          <w:p w14:paraId="40F48A37"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63%</w:t>
            </w:r>
          </w:p>
        </w:tc>
      </w:tr>
      <w:tr w:rsidR="0024245D" w:rsidRPr="00E57ACD" w14:paraId="2C132671"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12250A58"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320A9662"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Gross profit</w:t>
            </w:r>
          </w:p>
        </w:tc>
        <w:tc>
          <w:tcPr>
            <w:tcW w:w="1476" w:type="dxa"/>
            <w:tcBorders>
              <w:top w:val="nil"/>
              <w:left w:val="nil"/>
              <w:bottom w:val="single" w:sz="4" w:space="0" w:color="auto"/>
              <w:right w:val="single" w:sz="4" w:space="0" w:color="auto"/>
            </w:tcBorders>
            <w:shd w:val="clear" w:color="000000" w:fill="EAF1DD"/>
            <w:noWrap/>
            <w:vAlign w:val="bottom"/>
            <w:hideMark/>
          </w:tcPr>
          <w:p w14:paraId="5B37E939"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21,891</w:t>
            </w:r>
          </w:p>
        </w:tc>
        <w:tc>
          <w:tcPr>
            <w:tcW w:w="1476" w:type="dxa"/>
            <w:tcBorders>
              <w:top w:val="nil"/>
              <w:left w:val="nil"/>
              <w:bottom w:val="single" w:sz="4" w:space="0" w:color="auto"/>
              <w:right w:val="single" w:sz="4" w:space="0" w:color="auto"/>
            </w:tcBorders>
            <w:shd w:val="clear" w:color="000000" w:fill="EAF1DD"/>
            <w:noWrap/>
            <w:vAlign w:val="bottom"/>
            <w:hideMark/>
          </w:tcPr>
          <w:p w14:paraId="0AFB27E5"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20,580</w:t>
            </w:r>
          </w:p>
        </w:tc>
        <w:tc>
          <w:tcPr>
            <w:tcW w:w="1476" w:type="dxa"/>
            <w:tcBorders>
              <w:top w:val="nil"/>
              <w:left w:val="nil"/>
              <w:bottom w:val="single" w:sz="4" w:space="0" w:color="auto"/>
              <w:right w:val="single" w:sz="4" w:space="0" w:color="auto"/>
            </w:tcBorders>
            <w:shd w:val="clear" w:color="000000" w:fill="EAF1DD"/>
            <w:noWrap/>
            <w:vAlign w:val="bottom"/>
            <w:hideMark/>
          </w:tcPr>
          <w:p w14:paraId="60363D27"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19,844</w:t>
            </w:r>
          </w:p>
        </w:tc>
        <w:tc>
          <w:tcPr>
            <w:tcW w:w="1476" w:type="dxa"/>
            <w:tcBorders>
              <w:top w:val="nil"/>
              <w:left w:val="nil"/>
              <w:bottom w:val="single" w:sz="4" w:space="0" w:color="auto"/>
              <w:right w:val="single" w:sz="4" w:space="0" w:color="auto"/>
            </w:tcBorders>
            <w:shd w:val="clear" w:color="000000" w:fill="EAF1DD"/>
            <w:noWrap/>
            <w:vAlign w:val="bottom"/>
            <w:hideMark/>
          </w:tcPr>
          <w:p w14:paraId="1BD4ED84"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18,599</w:t>
            </w:r>
          </w:p>
        </w:tc>
        <w:tc>
          <w:tcPr>
            <w:tcW w:w="1476" w:type="dxa"/>
            <w:tcBorders>
              <w:top w:val="nil"/>
              <w:left w:val="nil"/>
              <w:bottom w:val="single" w:sz="4" w:space="0" w:color="auto"/>
              <w:right w:val="single" w:sz="4" w:space="0" w:color="auto"/>
            </w:tcBorders>
            <w:shd w:val="clear" w:color="000000" w:fill="EAF1DD"/>
            <w:noWrap/>
            <w:vAlign w:val="bottom"/>
            <w:hideMark/>
          </w:tcPr>
          <w:p w14:paraId="52A8AD74"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15,070</w:t>
            </w:r>
          </w:p>
        </w:tc>
      </w:tr>
      <w:tr w:rsidR="0024245D" w:rsidRPr="00E57ACD" w14:paraId="108BF603"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75B674B8"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73A8B578"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 xml:space="preserve">Net sales </w:t>
            </w:r>
          </w:p>
        </w:tc>
        <w:tc>
          <w:tcPr>
            <w:tcW w:w="1476" w:type="dxa"/>
            <w:tcBorders>
              <w:top w:val="nil"/>
              <w:left w:val="nil"/>
              <w:bottom w:val="single" w:sz="4" w:space="0" w:color="auto"/>
              <w:right w:val="single" w:sz="4" w:space="0" w:color="auto"/>
            </w:tcBorders>
            <w:shd w:val="clear" w:color="000000" w:fill="EAF1DD"/>
            <w:noWrap/>
            <w:vAlign w:val="bottom"/>
            <w:hideMark/>
          </w:tcPr>
          <w:p w14:paraId="2A46BBE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33,754</w:t>
            </w:r>
          </w:p>
        </w:tc>
        <w:tc>
          <w:tcPr>
            <w:tcW w:w="1476" w:type="dxa"/>
            <w:tcBorders>
              <w:top w:val="nil"/>
              <w:left w:val="nil"/>
              <w:bottom w:val="single" w:sz="4" w:space="0" w:color="auto"/>
              <w:right w:val="single" w:sz="4" w:space="0" w:color="auto"/>
            </w:tcBorders>
            <w:shd w:val="clear" w:color="000000" w:fill="EAF1DD"/>
            <w:noWrap/>
            <w:vAlign w:val="bottom"/>
            <w:hideMark/>
          </w:tcPr>
          <w:p w14:paraId="76A33168"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30,821</w:t>
            </w:r>
          </w:p>
        </w:tc>
        <w:tc>
          <w:tcPr>
            <w:tcW w:w="1476" w:type="dxa"/>
            <w:tcBorders>
              <w:top w:val="nil"/>
              <w:left w:val="nil"/>
              <w:bottom w:val="single" w:sz="4" w:space="0" w:color="auto"/>
              <w:right w:val="single" w:sz="4" w:space="0" w:color="auto"/>
            </w:tcBorders>
            <w:shd w:val="clear" w:color="000000" w:fill="EAF1DD"/>
            <w:noWrap/>
            <w:vAlign w:val="bottom"/>
            <w:hideMark/>
          </w:tcPr>
          <w:p w14:paraId="6DAB4E3A"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30,186</w:t>
            </w:r>
          </w:p>
        </w:tc>
        <w:tc>
          <w:tcPr>
            <w:tcW w:w="1476" w:type="dxa"/>
            <w:tcBorders>
              <w:top w:val="nil"/>
              <w:left w:val="nil"/>
              <w:bottom w:val="single" w:sz="4" w:space="0" w:color="auto"/>
              <w:right w:val="single" w:sz="4" w:space="0" w:color="auto"/>
            </w:tcBorders>
            <w:shd w:val="clear" w:color="000000" w:fill="EAF1DD"/>
            <w:noWrap/>
            <w:vAlign w:val="bottom"/>
            <w:hideMark/>
          </w:tcPr>
          <w:p w14:paraId="5FE4F331"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27,889</w:t>
            </w:r>
          </w:p>
        </w:tc>
        <w:tc>
          <w:tcPr>
            <w:tcW w:w="1476" w:type="dxa"/>
            <w:tcBorders>
              <w:top w:val="nil"/>
              <w:left w:val="nil"/>
              <w:bottom w:val="single" w:sz="4" w:space="0" w:color="auto"/>
              <w:right w:val="single" w:sz="4" w:space="0" w:color="auto"/>
            </w:tcBorders>
            <w:shd w:val="clear" w:color="000000" w:fill="EAF1DD"/>
            <w:noWrap/>
            <w:vAlign w:val="bottom"/>
            <w:hideMark/>
          </w:tcPr>
          <w:p w14:paraId="6D527CD5"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23,923</w:t>
            </w:r>
          </w:p>
        </w:tc>
      </w:tr>
      <w:tr w:rsidR="0024245D" w:rsidRPr="00E57ACD" w14:paraId="2344B13A"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646983AA"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3EED01E6"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256EB909"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23BD5800"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31E5C7A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5729085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5C32C88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r>
      <w:tr w:rsidR="0024245D" w:rsidRPr="00E57ACD" w14:paraId="22F07947"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1D4FB60B"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xml:space="preserve">Net profit </w:t>
            </w:r>
            <w:r w:rsidR="00332B20" w:rsidRPr="00E57ACD">
              <w:rPr>
                <w:rFonts w:ascii="Times New Roman" w:eastAsia="Times New Roman" w:hAnsi="Times New Roman" w:cs="Times New Roman"/>
                <w:b/>
                <w:bCs/>
                <w:color w:val="000000"/>
                <w:sz w:val="24"/>
                <w:szCs w:val="24"/>
              </w:rPr>
              <w:t>m</w:t>
            </w:r>
            <w:r w:rsidRPr="00E57ACD">
              <w:rPr>
                <w:rFonts w:ascii="Times New Roman" w:eastAsia="Times New Roman" w:hAnsi="Times New Roman" w:cs="Times New Roman"/>
                <w:b/>
                <w:bCs/>
                <w:color w:val="000000"/>
                <w:sz w:val="24"/>
                <w:szCs w:val="24"/>
              </w:rPr>
              <w:t>argin</w:t>
            </w:r>
          </w:p>
        </w:tc>
        <w:tc>
          <w:tcPr>
            <w:tcW w:w="2432" w:type="dxa"/>
            <w:tcBorders>
              <w:top w:val="nil"/>
              <w:left w:val="nil"/>
              <w:bottom w:val="single" w:sz="4" w:space="0" w:color="auto"/>
              <w:right w:val="single" w:sz="4" w:space="0" w:color="auto"/>
            </w:tcBorders>
            <w:shd w:val="clear" w:color="000000" w:fill="EAF1DD"/>
            <w:noWrap/>
            <w:vAlign w:val="bottom"/>
            <w:hideMark/>
          </w:tcPr>
          <w:p w14:paraId="160791C6" w14:textId="77777777" w:rsidR="0024245D" w:rsidRPr="00E57ACD" w:rsidRDefault="0024245D" w:rsidP="00953755">
            <w:pPr>
              <w:spacing w:after="0" w:line="360" w:lineRule="auto"/>
              <w:jc w:val="both"/>
              <w:rPr>
                <w:rFonts w:ascii="Times New Roman" w:eastAsia="Times New Roman" w:hAnsi="Times New Roman" w:cs="Times New Roman"/>
                <w:b/>
                <w:bCs/>
                <w:i/>
                <w:iCs/>
                <w:color w:val="000000"/>
                <w:sz w:val="24"/>
                <w:szCs w:val="24"/>
              </w:rPr>
            </w:pPr>
            <w:r w:rsidRPr="00E57ACD">
              <w:rPr>
                <w:rFonts w:ascii="Times New Roman" w:eastAsia="Times New Roman" w:hAnsi="Times New Roman" w:cs="Times New Roman"/>
                <w:b/>
                <w:bCs/>
                <w:i/>
                <w:iCs/>
                <w:color w:val="000000"/>
                <w:sz w:val="24"/>
                <w:szCs w:val="24"/>
              </w:rPr>
              <w:t>Net Income / Net Sales*100</w:t>
            </w:r>
          </w:p>
        </w:tc>
        <w:tc>
          <w:tcPr>
            <w:tcW w:w="1476" w:type="dxa"/>
            <w:tcBorders>
              <w:top w:val="nil"/>
              <w:left w:val="nil"/>
              <w:bottom w:val="single" w:sz="4" w:space="0" w:color="auto"/>
              <w:right w:val="single" w:sz="4" w:space="0" w:color="auto"/>
            </w:tcBorders>
            <w:shd w:val="clear" w:color="000000" w:fill="EAF1DD"/>
            <w:noWrap/>
            <w:vAlign w:val="bottom"/>
            <w:hideMark/>
          </w:tcPr>
          <w:p w14:paraId="3B70213C"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16%</w:t>
            </w:r>
          </w:p>
        </w:tc>
        <w:tc>
          <w:tcPr>
            <w:tcW w:w="1476" w:type="dxa"/>
            <w:tcBorders>
              <w:top w:val="nil"/>
              <w:left w:val="nil"/>
              <w:bottom w:val="single" w:sz="4" w:space="0" w:color="auto"/>
              <w:right w:val="single" w:sz="4" w:space="0" w:color="auto"/>
            </w:tcBorders>
            <w:shd w:val="clear" w:color="000000" w:fill="EAF1DD"/>
            <w:noWrap/>
            <w:vAlign w:val="bottom"/>
            <w:hideMark/>
          </w:tcPr>
          <w:p w14:paraId="57B7DF80"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13%</w:t>
            </w:r>
          </w:p>
        </w:tc>
        <w:tc>
          <w:tcPr>
            <w:tcW w:w="1476" w:type="dxa"/>
            <w:tcBorders>
              <w:top w:val="nil"/>
              <w:left w:val="nil"/>
              <w:bottom w:val="single" w:sz="4" w:space="0" w:color="auto"/>
              <w:right w:val="single" w:sz="4" w:space="0" w:color="auto"/>
            </w:tcBorders>
            <w:shd w:val="clear" w:color="000000" w:fill="EAF1DD"/>
            <w:noWrap/>
            <w:vAlign w:val="bottom"/>
            <w:hideMark/>
          </w:tcPr>
          <w:p w14:paraId="44061022"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7%</w:t>
            </w:r>
          </w:p>
        </w:tc>
        <w:tc>
          <w:tcPr>
            <w:tcW w:w="1476" w:type="dxa"/>
            <w:tcBorders>
              <w:top w:val="nil"/>
              <w:left w:val="nil"/>
              <w:bottom w:val="single" w:sz="4" w:space="0" w:color="auto"/>
              <w:right w:val="single" w:sz="4" w:space="0" w:color="auto"/>
            </w:tcBorders>
            <w:shd w:val="clear" w:color="000000" w:fill="EAF1DD"/>
            <w:noWrap/>
            <w:vAlign w:val="bottom"/>
            <w:hideMark/>
          </w:tcPr>
          <w:p w14:paraId="37A5D200"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4%</w:t>
            </w:r>
          </w:p>
        </w:tc>
        <w:tc>
          <w:tcPr>
            <w:tcW w:w="1476" w:type="dxa"/>
            <w:tcBorders>
              <w:top w:val="nil"/>
              <w:left w:val="nil"/>
              <w:bottom w:val="single" w:sz="4" w:space="0" w:color="auto"/>
              <w:right w:val="single" w:sz="4" w:space="0" w:color="auto"/>
            </w:tcBorders>
            <w:shd w:val="clear" w:color="000000" w:fill="EAF1DD"/>
            <w:noWrap/>
            <w:vAlign w:val="bottom"/>
            <w:hideMark/>
          </w:tcPr>
          <w:p w14:paraId="6F76282F"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35%</w:t>
            </w:r>
          </w:p>
        </w:tc>
      </w:tr>
      <w:tr w:rsidR="0024245D" w:rsidRPr="00E57ACD" w14:paraId="3B2B560B"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7E69695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2CFB1290"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Net Income</w:t>
            </w:r>
          </w:p>
        </w:tc>
        <w:tc>
          <w:tcPr>
            <w:tcW w:w="1476" w:type="dxa"/>
            <w:tcBorders>
              <w:top w:val="nil"/>
              <w:left w:val="nil"/>
              <w:bottom w:val="single" w:sz="4" w:space="0" w:color="auto"/>
              <w:right w:val="single" w:sz="4" w:space="0" w:color="auto"/>
            </w:tcBorders>
            <w:shd w:val="clear" w:color="000000" w:fill="EAF1DD"/>
            <w:noWrap/>
            <w:vAlign w:val="bottom"/>
            <w:hideMark/>
          </w:tcPr>
          <w:p w14:paraId="3703DDC7"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5,268</w:t>
            </w:r>
          </w:p>
        </w:tc>
        <w:tc>
          <w:tcPr>
            <w:tcW w:w="1476" w:type="dxa"/>
            <w:tcBorders>
              <w:top w:val="nil"/>
              <w:left w:val="nil"/>
              <w:bottom w:val="single" w:sz="4" w:space="0" w:color="auto"/>
              <w:right w:val="single" w:sz="4" w:space="0" w:color="auto"/>
            </w:tcBorders>
            <w:shd w:val="clear" w:color="000000" w:fill="EAF1DD"/>
            <w:noWrap/>
            <w:vAlign w:val="bottom"/>
            <w:hideMark/>
          </w:tcPr>
          <w:p w14:paraId="2A5FEF5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4,046</w:t>
            </w:r>
          </w:p>
        </w:tc>
        <w:tc>
          <w:tcPr>
            <w:tcW w:w="1476" w:type="dxa"/>
            <w:tcBorders>
              <w:top w:val="nil"/>
              <w:left w:val="nil"/>
              <w:bottom w:val="single" w:sz="4" w:space="0" w:color="auto"/>
              <w:right w:val="single" w:sz="4" w:space="0" w:color="auto"/>
            </w:tcBorders>
            <w:shd w:val="clear" w:color="000000" w:fill="EAF1DD"/>
            <w:noWrap/>
            <w:vAlign w:val="bottom"/>
            <w:hideMark/>
          </w:tcPr>
          <w:p w14:paraId="3D6E94FB"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2,169</w:t>
            </w:r>
          </w:p>
        </w:tc>
        <w:tc>
          <w:tcPr>
            <w:tcW w:w="1476" w:type="dxa"/>
            <w:tcBorders>
              <w:top w:val="nil"/>
              <w:left w:val="nil"/>
              <w:bottom w:val="single" w:sz="4" w:space="0" w:color="auto"/>
              <w:right w:val="single" w:sz="4" w:space="0" w:color="auto"/>
            </w:tcBorders>
            <w:shd w:val="clear" w:color="000000" w:fill="EAF1DD"/>
            <w:noWrap/>
            <w:vAlign w:val="bottom"/>
            <w:hideMark/>
          </w:tcPr>
          <w:p w14:paraId="565644F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1,062</w:t>
            </w:r>
          </w:p>
        </w:tc>
        <w:tc>
          <w:tcPr>
            <w:tcW w:w="1476" w:type="dxa"/>
            <w:tcBorders>
              <w:top w:val="nil"/>
              <w:left w:val="nil"/>
              <w:bottom w:val="single" w:sz="4" w:space="0" w:color="auto"/>
              <w:right w:val="single" w:sz="4" w:space="0" w:color="auto"/>
            </w:tcBorders>
            <w:shd w:val="clear" w:color="000000" w:fill="EAF1DD"/>
            <w:noWrap/>
            <w:vAlign w:val="bottom"/>
            <w:hideMark/>
          </w:tcPr>
          <w:p w14:paraId="46A175A7"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8,372</w:t>
            </w:r>
          </w:p>
        </w:tc>
      </w:tr>
      <w:tr w:rsidR="0024245D" w:rsidRPr="00E57ACD" w14:paraId="5345701D"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0890BDB0"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33C9CCAC"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Net Sales</w:t>
            </w:r>
          </w:p>
        </w:tc>
        <w:tc>
          <w:tcPr>
            <w:tcW w:w="1476" w:type="dxa"/>
            <w:tcBorders>
              <w:top w:val="nil"/>
              <w:left w:val="nil"/>
              <w:bottom w:val="single" w:sz="4" w:space="0" w:color="auto"/>
              <w:right w:val="single" w:sz="4" w:space="0" w:color="auto"/>
            </w:tcBorders>
            <w:shd w:val="clear" w:color="000000" w:fill="EAF1DD"/>
            <w:noWrap/>
            <w:vAlign w:val="bottom"/>
            <w:hideMark/>
          </w:tcPr>
          <w:p w14:paraId="5FBDC41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33,754</w:t>
            </w:r>
          </w:p>
        </w:tc>
        <w:tc>
          <w:tcPr>
            <w:tcW w:w="1476" w:type="dxa"/>
            <w:tcBorders>
              <w:top w:val="nil"/>
              <w:left w:val="nil"/>
              <w:bottom w:val="single" w:sz="4" w:space="0" w:color="auto"/>
              <w:right w:val="single" w:sz="4" w:space="0" w:color="auto"/>
            </w:tcBorders>
            <w:shd w:val="clear" w:color="000000" w:fill="EAF1DD"/>
            <w:noWrap/>
            <w:vAlign w:val="bottom"/>
            <w:hideMark/>
          </w:tcPr>
          <w:p w14:paraId="0E198061"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30,821</w:t>
            </w:r>
          </w:p>
        </w:tc>
        <w:tc>
          <w:tcPr>
            <w:tcW w:w="1476" w:type="dxa"/>
            <w:tcBorders>
              <w:top w:val="nil"/>
              <w:left w:val="nil"/>
              <w:bottom w:val="single" w:sz="4" w:space="0" w:color="auto"/>
              <w:right w:val="single" w:sz="4" w:space="0" w:color="auto"/>
            </w:tcBorders>
            <w:shd w:val="clear" w:color="000000" w:fill="EAF1DD"/>
            <w:noWrap/>
            <w:vAlign w:val="bottom"/>
            <w:hideMark/>
          </w:tcPr>
          <w:p w14:paraId="035EB5A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30,186</w:t>
            </w:r>
          </w:p>
        </w:tc>
        <w:tc>
          <w:tcPr>
            <w:tcW w:w="1476" w:type="dxa"/>
            <w:tcBorders>
              <w:top w:val="nil"/>
              <w:left w:val="nil"/>
              <w:bottom w:val="single" w:sz="4" w:space="0" w:color="auto"/>
              <w:right w:val="single" w:sz="4" w:space="0" w:color="auto"/>
            </w:tcBorders>
            <w:shd w:val="clear" w:color="000000" w:fill="EAF1DD"/>
            <w:noWrap/>
            <w:vAlign w:val="bottom"/>
            <w:hideMark/>
          </w:tcPr>
          <w:p w14:paraId="636C564F"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27,889</w:t>
            </w:r>
          </w:p>
        </w:tc>
        <w:tc>
          <w:tcPr>
            <w:tcW w:w="1476" w:type="dxa"/>
            <w:tcBorders>
              <w:top w:val="nil"/>
              <w:left w:val="nil"/>
              <w:bottom w:val="single" w:sz="4" w:space="0" w:color="auto"/>
              <w:right w:val="single" w:sz="4" w:space="0" w:color="auto"/>
            </w:tcBorders>
            <w:shd w:val="clear" w:color="000000" w:fill="EAF1DD"/>
            <w:noWrap/>
            <w:vAlign w:val="bottom"/>
            <w:hideMark/>
          </w:tcPr>
          <w:p w14:paraId="4E37F1D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23,923</w:t>
            </w:r>
          </w:p>
        </w:tc>
      </w:tr>
      <w:tr w:rsidR="0024245D" w:rsidRPr="00E57ACD" w14:paraId="0E8B4CDF"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29EAEC6B"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Asset turnover</w:t>
            </w:r>
          </w:p>
        </w:tc>
        <w:tc>
          <w:tcPr>
            <w:tcW w:w="2432" w:type="dxa"/>
            <w:tcBorders>
              <w:top w:val="nil"/>
              <w:left w:val="nil"/>
              <w:bottom w:val="single" w:sz="4" w:space="0" w:color="auto"/>
              <w:right w:val="single" w:sz="4" w:space="0" w:color="auto"/>
            </w:tcBorders>
            <w:shd w:val="clear" w:color="000000" w:fill="EAF1DD"/>
            <w:noWrap/>
            <w:vAlign w:val="bottom"/>
            <w:hideMark/>
          </w:tcPr>
          <w:p w14:paraId="347C7D38" w14:textId="77777777" w:rsidR="0024245D" w:rsidRPr="00E57ACD" w:rsidRDefault="0024245D" w:rsidP="00953755">
            <w:pPr>
              <w:spacing w:after="0" w:line="360" w:lineRule="auto"/>
              <w:jc w:val="both"/>
              <w:rPr>
                <w:rFonts w:ascii="Times New Roman" w:eastAsia="Times New Roman" w:hAnsi="Times New Roman" w:cs="Times New Roman"/>
                <w:b/>
                <w:bCs/>
                <w:i/>
                <w:iCs/>
                <w:color w:val="000000"/>
                <w:sz w:val="24"/>
                <w:szCs w:val="24"/>
              </w:rPr>
            </w:pPr>
            <w:r w:rsidRPr="00E57ACD">
              <w:rPr>
                <w:rFonts w:ascii="Times New Roman" w:eastAsia="Times New Roman" w:hAnsi="Times New Roman" w:cs="Times New Roman"/>
                <w:b/>
                <w:bCs/>
                <w:i/>
                <w:iCs/>
                <w:color w:val="000000"/>
                <w:sz w:val="24"/>
                <w:szCs w:val="24"/>
              </w:rPr>
              <w:t>Net Income / Total asset*100</w:t>
            </w:r>
          </w:p>
        </w:tc>
        <w:tc>
          <w:tcPr>
            <w:tcW w:w="1476" w:type="dxa"/>
            <w:tcBorders>
              <w:top w:val="nil"/>
              <w:left w:val="nil"/>
              <w:bottom w:val="single" w:sz="4" w:space="0" w:color="auto"/>
              <w:right w:val="single" w:sz="4" w:space="0" w:color="auto"/>
            </w:tcBorders>
            <w:shd w:val="clear" w:color="000000" w:fill="EAF1DD"/>
            <w:noWrap/>
            <w:vAlign w:val="bottom"/>
            <w:hideMark/>
          </w:tcPr>
          <w:p w14:paraId="26DC9799"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7%</w:t>
            </w:r>
          </w:p>
        </w:tc>
        <w:tc>
          <w:tcPr>
            <w:tcW w:w="1476" w:type="dxa"/>
            <w:tcBorders>
              <w:top w:val="nil"/>
              <w:left w:val="nil"/>
              <w:bottom w:val="single" w:sz="4" w:space="0" w:color="auto"/>
              <w:right w:val="single" w:sz="4" w:space="0" w:color="auto"/>
            </w:tcBorders>
            <w:shd w:val="clear" w:color="000000" w:fill="EAF1DD"/>
            <w:noWrap/>
            <w:vAlign w:val="bottom"/>
            <w:hideMark/>
          </w:tcPr>
          <w:p w14:paraId="77B0A2A5"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7%</w:t>
            </w:r>
          </w:p>
        </w:tc>
        <w:tc>
          <w:tcPr>
            <w:tcW w:w="1476" w:type="dxa"/>
            <w:tcBorders>
              <w:top w:val="nil"/>
              <w:left w:val="nil"/>
              <w:bottom w:val="single" w:sz="4" w:space="0" w:color="auto"/>
              <w:right w:val="single" w:sz="4" w:space="0" w:color="auto"/>
            </w:tcBorders>
            <w:shd w:val="clear" w:color="000000" w:fill="EAF1DD"/>
            <w:noWrap/>
            <w:vAlign w:val="bottom"/>
            <w:hideMark/>
          </w:tcPr>
          <w:p w14:paraId="4E5C7A85"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4%</w:t>
            </w:r>
          </w:p>
        </w:tc>
        <w:tc>
          <w:tcPr>
            <w:tcW w:w="1476" w:type="dxa"/>
            <w:tcBorders>
              <w:top w:val="nil"/>
              <w:left w:val="nil"/>
              <w:bottom w:val="single" w:sz="4" w:space="0" w:color="auto"/>
              <w:right w:val="single" w:sz="4" w:space="0" w:color="auto"/>
            </w:tcBorders>
            <w:shd w:val="clear" w:color="000000" w:fill="EAF1DD"/>
            <w:noWrap/>
            <w:vAlign w:val="bottom"/>
            <w:hideMark/>
          </w:tcPr>
          <w:p w14:paraId="4CD50D6B"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2%</w:t>
            </w:r>
          </w:p>
        </w:tc>
        <w:tc>
          <w:tcPr>
            <w:tcW w:w="1476" w:type="dxa"/>
            <w:tcBorders>
              <w:top w:val="nil"/>
              <w:left w:val="nil"/>
              <w:bottom w:val="single" w:sz="4" w:space="0" w:color="auto"/>
              <w:right w:val="single" w:sz="4" w:space="0" w:color="auto"/>
            </w:tcBorders>
            <w:shd w:val="clear" w:color="000000" w:fill="EAF1DD"/>
            <w:noWrap/>
            <w:vAlign w:val="bottom"/>
            <w:hideMark/>
          </w:tcPr>
          <w:p w14:paraId="24709831"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16%</w:t>
            </w:r>
          </w:p>
        </w:tc>
      </w:tr>
      <w:tr w:rsidR="0024245D" w:rsidRPr="00E57ACD" w14:paraId="3F85E233"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1110BBEA"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4A05BCA0"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Net Income</w:t>
            </w:r>
          </w:p>
        </w:tc>
        <w:tc>
          <w:tcPr>
            <w:tcW w:w="1476" w:type="dxa"/>
            <w:tcBorders>
              <w:top w:val="nil"/>
              <w:left w:val="nil"/>
              <w:bottom w:val="single" w:sz="4" w:space="0" w:color="auto"/>
              <w:right w:val="single" w:sz="4" w:space="0" w:color="auto"/>
            </w:tcBorders>
            <w:shd w:val="clear" w:color="000000" w:fill="EAF1DD"/>
            <w:noWrap/>
            <w:vAlign w:val="bottom"/>
            <w:hideMark/>
          </w:tcPr>
          <w:p w14:paraId="59221DF1"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5,268</w:t>
            </w:r>
          </w:p>
        </w:tc>
        <w:tc>
          <w:tcPr>
            <w:tcW w:w="1476" w:type="dxa"/>
            <w:tcBorders>
              <w:top w:val="nil"/>
              <w:left w:val="nil"/>
              <w:bottom w:val="single" w:sz="4" w:space="0" w:color="auto"/>
              <w:right w:val="single" w:sz="4" w:space="0" w:color="auto"/>
            </w:tcBorders>
            <w:shd w:val="clear" w:color="000000" w:fill="EAF1DD"/>
            <w:noWrap/>
            <w:vAlign w:val="bottom"/>
            <w:hideMark/>
          </w:tcPr>
          <w:p w14:paraId="0CE37BE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4,046</w:t>
            </w:r>
          </w:p>
        </w:tc>
        <w:tc>
          <w:tcPr>
            <w:tcW w:w="1476" w:type="dxa"/>
            <w:tcBorders>
              <w:top w:val="nil"/>
              <w:left w:val="nil"/>
              <w:bottom w:val="single" w:sz="4" w:space="0" w:color="auto"/>
              <w:right w:val="single" w:sz="4" w:space="0" w:color="auto"/>
            </w:tcBorders>
            <w:shd w:val="clear" w:color="000000" w:fill="EAF1DD"/>
            <w:noWrap/>
            <w:vAlign w:val="bottom"/>
            <w:hideMark/>
          </w:tcPr>
          <w:p w14:paraId="0E14D5C3"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2,169</w:t>
            </w:r>
          </w:p>
        </w:tc>
        <w:tc>
          <w:tcPr>
            <w:tcW w:w="1476" w:type="dxa"/>
            <w:tcBorders>
              <w:top w:val="nil"/>
              <w:left w:val="nil"/>
              <w:bottom w:val="single" w:sz="4" w:space="0" w:color="auto"/>
              <w:right w:val="single" w:sz="4" w:space="0" w:color="auto"/>
            </w:tcBorders>
            <w:shd w:val="clear" w:color="000000" w:fill="EAF1DD"/>
            <w:noWrap/>
            <w:vAlign w:val="bottom"/>
            <w:hideMark/>
          </w:tcPr>
          <w:p w14:paraId="50595DF3"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1,062</w:t>
            </w:r>
          </w:p>
        </w:tc>
        <w:tc>
          <w:tcPr>
            <w:tcW w:w="1476" w:type="dxa"/>
            <w:tcBorders>
              <w:top w:val="nil"/>
              <w:left w:val="nil"/>
              <w:bottom w:val="single" w:sz="4" w:space="0" w:color="auto"/>
              <w:right w:val="single" w:sz="4" w:space="0" w:color="auto"/>
            </w:tcBorders>
            <w:shd w:val="clear" w:color="000000" w:fill="EAF1DD"/>
            <w:noWrap/>
            <w:vAlign w:val="bottom"/>
            <w:hideMark/>
          </w:tcPr>
          <w:p w14:paraId="0F761164"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8,372</w:t>
            </w:r>
          </w:p>
        </w:tc>
      </w:tr>
      <w:tr w:rsidR="0024245D" w:rsidRPr="00E57ACD" w14:paraId="6347136C"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0E439333"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5172C8BE"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Total Assets</w:t>
            </w:r>
          </w:p>
        </w:tc>
        <w:tc>
          <w:tcPr>
            <w:tcW w:w="1476" w:type="dxa"/>
            <w:tcBorders>
              <w:top w:val="nil"/>
              <w:left w:val="nil"/>
              <w:bottom w:val="single" w:sz="4" w:space="0" w:color="auto"/>
              <w:right w:val="single" w:sz="4" w:space="0" w:color="auto"/>
            </w:tcBorders>
            <w:shd w:val="clear" w:color="000000" w:fill="EAF1DD"/>
            <w:noWrap/>
            <w:vAlign w:val="bottom"/>
            <w:hideMark/>
          </w:tcPr>
          <w:p w14:paraId="3B8C0A39"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79,692</w:t>
            </w:r>
          </w:p>
        </w:tc>
        <w:tc>
          <w:tcPr>
            <w:tcW w:w="1476" w:type="dxa"/>
            <w:tcBorders>
              <w:top w:val="nil"/>
              <w:left w:val="nil"/>
              <w:bottom w:val="single" w:sz="4" w:space="0" w:color="auto"/>
              <w:right w:val="single" w:sz="4" w:space="0" w:color="auto"/>
            </w:tcBorders>
            <w:shd w:val="clear" w:color="000000" w:fill="EAF1DD"/>
            <w:noWrap/>
            <w:vAlign w:val="bottom"/>
            <w:hideMark/>
          </w:tcPr>
          <w:p w14:paraId="06710773"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58,066</w:t>
            </w:r>
          </w:p>
        </w:tc>
        <w:tc>
          <w:tcPr>
            <w:tcW w:w="1476" w:type="dxa"/>
            <w:tcBorders>
              <w:top w:val="nil"/>
              <w:left w:val="nil"/>
              <w:bottom w:val="single" w:sz="4" w:space="0" w:color="auto"/>
              <w:right w:val="single" w:sz="4" w:space="0" w:color="auto"/>
            </w:tcBorders>
            <w:shd w:val="clear" w:color="000000" w:fill="EAF1DD"/>
            <w:noWrap/>
            <w:vAlign w:val="bottom"/>
            <w:hideMark/>
          </w:tcPr>
          <w:p w14:paraId="393778FB"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56,381</w:t>
            </w:r>
          </w:p>
        </w:tc>
        <w:tc>
          <w:tcPr>
            <w:tcW w:w="1476" w:type="dxa"/>
            <w:tcBorders>
              <w:top w:val="nil"/>
              <w:left w:val="nil"/>
              <w:bottom w:val="single" w:sz="4" w:space="0" w:color="auto"/>
              <w:right w:val="single" w:sz="4" w:space="0" w:color="auto"/>
            </w:tcBorders>
            <w:shd w:val="clear" w:color="000000" w:fill="EAF1DD"/>
            <w:noWrap/>
            <w:vAlign w:val="bottom"/>
            <w:hideMark/>
          </w:tcPr>
          <w:p w14:paraId="2029037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59,081</w:t>
            </w:r>
          </w:p>
        </w:tc>
        <w:tc>
          <w:tcPr>
            <w:tcW w:w="1476" w:type="dxa"/>
            <w:tcBorders>
              <w:top w:val="nil"/>
              <w:left w:val="nil"/>
              <w:bottom w:val="single" w:sz="4" w:space="0" w:color="auto"/>
              <w:right w:val="single" w:sz="4" w:space="0" w:color="auto"/>
            </w:tcBorders>
            <w:shd w:val="clear" w:color="000000" w:fill="EAF1DD"/>
            <w:noWrap/>
            <w:vAlign w:val="bottom"/>
            <w:hideMark/>
          </w:tcPr>
          <w:p w14:paraId="60777EC4"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53,446</w:t>
            </w:r>
          </w:p>
        </w:tc>
      </w:tr>
      <w:tr w:rsidR="0024245D" w:rsidRPr="00E57ACD" w14:paraId="2ABBAB4C"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38C0F77E"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Return on Equity</w:t>
            </w:r>
          </w:p>
        </w:tc>
        <w:tc>
          <w:tcPr>
            <w:tcW w:w="2432" w:type="dxa"/>
            <w:tcBorders>
              <w:top w:val="nil"/>
              <w:left w:val="nil"/>
              <w:bottom w:val="single" w:sz="4" w:space="0" w:color="auto"/>
              <w:right w:val="single" w:sz="4" w:space="0" w:color="auto"/>
            </w:tcBorders>
            <w:shd w:val="clear" w:color="000000" w:fill="EAF1DD"/>
            <w:noWrap/>
            <w:vAlign w:val="bottom"/>
            <w:hideMark/>
          </w:tcPr>
          <w:p w14:paraId="5DE36DC5" w14:textId="77777777" w:rsidR="0024245D" w:rsidRPr="00E57ACD" w:rsidRDefault="0024245D" w:rsidP="00953755">
            <w:pPr>
              <w:spacing w:after="0" w:line="360" w:lineRule="auto"/>
              <w:jc w:val="both"/>
              <w:rPr>
                <w:rFonts w:ascii="Times New Roman" w:eastAsia="Times New Roman" w:hAnsi="Times New Roman" w:cs="Times New Roman"/>
                <w:b/>
                <w:bCs/>
                <w:i/>
                <w:iCs/>
                <w:color w:val="000000"/>
                <w:sz w:val="24"/>
                <w:szCs w:val="24"/>
              </w:rPr>
            </w:pPr>
            <w:r w:rsidRPr="00E57ACD">
              <w:rPr>
                <w:rFonts w:ascii="Times New Roman" w:eastAsia="Times New Roman" w:hAnsi="Times New Roman" w:cs="Times New Roman"/>
                <w:b/>
                <w:bCs/>
                <w:i/>
                <w:iCs/>
                <w:color w:val="000000"/>
                <w:sz w:val="24"/>
                <w:szCs w:val="24"/>
              </w:rPr>
              <w:t>Net Income / Equity*100</w:t>
            </w:r>
          </w:p>
        </w:tc>
        <w:tc>
          <w:tcPr>
            <w:tcW w:w="1476" w:type="dxa"/>
            <w:tcBorders>
              <w:top w:val="nil"/>
              <w:left w:val="nil"/>
              <w:bottom w:val="single" w:sz="4" w:space="0" w:color="auto"/>
              <w:right w:val="single" w:sz="4" w:space="0" w:color="auto"/>
            </w:tcBorders>
            <w:shd w:val="clear" w:color="000000" w:fill="EAF1DD"/>
            <w:noWrap/>
            <w:vAlign w:val="bottom"/>
            <w:hideMark/>
          </w:tcPr>
          <w:p w14:paraId="78F705F7"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29%</w:t>
            </w:r>
          </w:p>
        </w:tc>
        <w:tc>
          <w:tcPr>
            <w:tcW w:w="1476" w:type="dxa"/>
            <w:tcBorders>
              <w:top w:val="nil"/>
              <w:left w:val="nil"/>
              <w:bottom w:val="single" w:sz="4" w:space="0" w:color="auto"/>
              <w:right w:val="single" w:sz="4" w:space="0" w:color="auto"/>
            </w:tcBorders>
            <w:shd w:val="clear" w:color="000000" w:fill="EAF1DD"/>
            <w:noWrap/>
            <w:vAlign w:val="bottom"/>
            <w:hideMark/>
          </w:tcPr>
          <w:p w14:paraId="37ACC80C"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110%</w:t>
            </w:r>
          </w:p>
        </w:tc>
        <w:tc>
          <w:tcPr>
            <w:tcW w:w="1476" w:type="dxa"/>
            <w:tcBorders>
              <w:top w:val="nil"/>
              <w:left w:val="nil"/>
              <w:bottom w:val="single" w:sz="4" w:space="0" w:color="auto"/>
              <w:right w:val="single" w:sz="4" w:space="0" w:color="auto"/>
            </w:tcBorders>
            <w:shd w:val="clear" w:color="000000" w:fill="EAF1DD"/>
            <w:noWrap/>
            <w:vAlign w:val="bottom"/>
            <w:hideMark/>
          </w:tcPr>
          <w:p w14:paraId="7A833CD0"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62%</w:t>
            </w:r>
          </w:p>
        </w:tc>
        <w:tc>
          <w:tcPr>
            <w:tcW w:w="1476" w:type="dxa"/>
            <w:tcBorders>
              <w:top w:val="nil"/>
              <w:left w:val="nil"/>
              <w:bottom w:val="single" w:sz="4" w:space="0" w:color="auto"/>
              <w:right w:val="single" w:sz="4" w:space="0" w:color="auto"/>
            </w:tcBorders>
            <w:shd w:val="clear" w:color="000000" w:fill="EAF1DD"/>
            <w:noWrap/>
            <w:vAlign w:val="bottom"/>
            <w:hideMark/>
          </w:tcPr>
          <w:p w14:paraId="17C0EA35"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21%</w:t>
            </w:r>
          </w:p>
        </w:tc>
        <w:tc>
          <w:tcPr>
            <w:tcW w:w="1476" w:type="dxa"/>
            <w:tcBorders>
              <w:top w:val="nil"/>
              <w:left w:val="nil"/>
              <w:bottom w:val="single" w:sz="4" w:space="0" w:color="auto"/>
              <w:right w:val="single" w:sz="4" w:space="0" w:color="auto"/>
            </w:tcBorders>
            <w:shd w:val="clear" w:color="000000" w:fill="EAF1DD"/>
            <w:noWrap/>
            <w:vAlign w:val="bottom"/>
            <w:hideMark/>
          </w:tcPr>
          <w:p w14:paraId="5EE5A36E"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94%</w:t>
            </w:r>
          </w:p>
        </w:tc>
      </w:tr>
      <w:tr w:rsidR="0024245D" w:rsidRPr="00E57ACD" w14:paraId="0EC1B813"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7CA75181"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39EECC55"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Net Income</w:t>
            </w:r>
          </w:p>
        </w:tc>
        <w:tc>
          <w:tcPr>
            <w:tcW w:w="1476" w:type="dxa"/>
            <w:tcBorders>
              <w:top w:val="nil"/>
              <w:left w:val="nil"/>
              <w:bottom w:val="single" w:sz="4" w:space="0" w:color="auto"/>
              <w:right w:val="single" w:sz="4" w:space="0" w:color="auto"/>
            </w:tcBorders>
            <w:shd w:val="clear" w:color="000000" w:fill="EAF1DD"/>
            <w:noWrap/>
            <w:vAlign w:val="bottom"/>
            <w:hideMark/>
          </w:tcPr>
          <w:p w14:paraId="1921A622"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5,268</w:t>
            </w:r>
          </w:p>
        </w:tc>
        <w:tc>
          <w:tcPr>
            <w:tcW w:w="1476" w:type="dxa"/>
            <w:tcBorders>
              <w:top w:val="nil"/>
              <w:left w:val="nil"/>
              <w:bottom w:val="single" w:sz="4" w:space="0" w:color="auto"/>
              <w:right w:val="single" w:sz="4" w:space="0" w:color="auto"/>
            </w:tcBorders>
            <w:shd w:val="clear" w:color="000000" w:fill="EAF1DD"/>
            <w:noWrap/>
            <w:vAlign w:val="bottom"/>
            <w:hideMark/>
          </w:tcPr>
          <w:p w14:paraId="3AEF243E"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4,046</w:t>
            </w:r>
          </w:p>
        </w:tc>
        <w:tc>
          <w:tcPr>
            <w:tcW w:w="1476" w:type="dxa"/>
            <w:tcBorders>
              <w:top w:val="nil"/>
              <w:left w:val="nil"/>
              <w:bottom w:val="single" w:sz="4" w:space="0" w:color="auto"/>
              <w:right w:val="single" w:sz="4" w:space="0" w:color="auto"/>
            </w:tcBorders>
            <w:shd w:val="clear" w:color="000000" w:fill="EAF1DD"/>
            <w:noWrap/>
            <w:vAlign w:val="bottom"/>
            <w:hideMark/>
          </w:tcPr>
          <w:p w14:paraId="034E39B7"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2,169</w:t>
            </w:r>
          </w:p>
        </w:tc>
        <w:tc>
          <w:tcPr>
            <w:tcW w:w="1476" w:type="dxa"/>
            <w:tcBorders>
              <w:top w:val="nil"/>
              <w:left w:val="nil"/>
              <w:bottom w:val="single" w:sz="4" w:space="0" w:color="auto"/>
              <w:right w:val="single" w:sz="4" w:space="0" w:color="auto"/>
            </w:tcBorders>
            <w:shd w:val="clear" w:color="000000" w:fill="EAF1DD"/>
            <w:noWrap/>
            <w:vAlign w:val="bottom"/>
            <w:hideMark/>
          </w:tcPr>
          <w:p w14:paraId="6B08D720"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1,062</w:t>
            </w:r>
          </w:p>
        </w:tc>
        <w:tc>
          <w:tcPr>
            <w:tcW w:w="1476" w:type="dxa"/>
            <w:tcBorders>
              <w:top w:val="nil"/>
              <w:left w:val="nil"/>
              <w:bottom w:val="single" w:sz="4" w:space="0" w:color="auto"/>
              <w:right w:val="single" w:sz="4" w:space="0" w:color="auto"/>
            </w:tcBorders>
            <w:shd w:val="clear" w:color="000000" w:fill="EAF1DD"/>
            <w:noWrap/>
            <w:vAlign w:val="bottom"/>
            <w:hideMark/>
          </w:tcPr>
          <w:p w14:paraId="4D31E8E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8,372</w:t>
            </w:r>
          </w:p>
        </w:tc>
      </w:tr>
      <w:tr w:rsidR="0024245D" w:rsidRPr="00E57ACD" w14:paraId="6217DB6F"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38BF5A90"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20021FDB"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Total equity</w:t>
            </w:r>
          </w:p>
        </w:tc>
        <w:tc>
          <w:tcPr>
            <w:tcW w:w="1476" w:type="dxa"/>
            <w:tcBorders>
              <w:top w:val="nil"/>
              <w:left w:val="nil"/>
              <w:bottom w:val="single" w:sz="4" w:space="0" w:color="auto"/>
              <w:right w:val="single" w:sz="4" w:space="0" w:color="auto"/>
            </w:tcBorders>
            <w:shd w:val="clear" w:color="000000" w:fill="EAF1DD"/>
            <w:noWrap/>
            <w:vAlign w:val="bottom"/>
            <w:hideMark/>
          </w:tcPr>
          <w:p w14:paraId="0C8CCA5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18,357</w:t>
            </w:r>
          </w:p>
        </w:tc>
        <w:tc>
          <w:tcPr>
            <w:tcW w:w="1476" w:type="dxa"/>
            <w:tcBorders>
              <w:top w:val="nil"/>
              <w:left w:val="nil"/>
              <w:bottom w:val="single" w:sz="4" w:space="0" w:color="auto"/>
              <w:right w:val="single" w:sz="4" w:space="0" w:color="auto"/>
            </w:tcBorders>
            <w:shd w:val="clear" w:color="000000" w:fill="EAF1DD"/>
            <w:noWrap/>
            <w:vAlign w:val="bottom"/>
            <w:hideMark/>
          </w:tcPr>
          <w:p w14:paraId="103BEEEF"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3,672</w:t>
            </w:r>
          </w:p>
        </w:tc>
        <w:tc>
          <w:tcPr>
            <w:tcW w:w="1476" w:type="dxa"/>
            <w:tcBorders>
              <w:top w:val="nil"/>
              <w:left w:val="nil"/>
              <w:bottom w:val="single" w:sz="4" w:space="0" w:color="auto"/>
              <w:right w:val="single" w:sz="4" w:space="0" w:color="auto"/>
            </w:tcBorders>
            <w:shd w:val="clear" w:color="000000" w:fill="EAF1DD"/>
            <w:noWrap/>
            <w:vAlign w:val="bottom"/>
            <w:hideMark/>
          </w:tcPr>
          <w:p w14:paraId="664A138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3,489</w:t>
            </w:r>
          </w:p>
        </w:tc>
        <w:tc>
          <w:tcPr>
            <w:tcW w:w="1476" w:type="dxa"/>
            <w:tcBorders>
              <w:top w:val="nil"/>
              <w:left w:val="nil"/>
              <w:bottom w:val="single" w:sz="4" w:space="0" w:color="auto"/>
              <w:right w:val="single" w:sz="4" w:space="0" w:color="auto"/>
            </w:tcBorders>
            <w:shd w:val="clear" w:color="000000" w:fill="EAF1DD"/>
            <w:noWrap/>
            <w:vAlign w:val="bottom"/>
            <w:hideMark/>
          </w:tcPr>
          <w:p w14:paraId="42DCE210"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4,963</w:t>
            </w:r>
          </w:p>
        </w:tc>
        <w:tc>
          <w:tcPr>
            <w:tcW w:w="1476" w:type="dxa"/>
            <w:tcBorders>
              <w:top w:val="nil"/>
              <w:left w:val="nil"/>
              <w:bottom w:val="single" w:sz="4" w:space="0" w:color="auto"/>
              <w:right w:val="single" w:sz="4" w:space="0" w:color="auto"/>
            </w:tcBorders>
            <w:shd w:val="clear" w:color="000000" w:fill="EAF1DD"/>
            <w:noWrap/>
            <w:vAlign w:val="bottom"/>
            <w:hideMark/>
          </w:tcPr>
          <w:p w14:paraId="2ED9517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8,878</w:t>
            </w:r>
          </w:p>
        </w:tc>
      </w:tr>
      <w:tr w:rsidR="0024245D" w:rsidRPr="00E57ACD" w14:paraId="1D513367" w14:textId="77777777" w:rsidTr="00C16EEB">
        <w:trPr>
          <w:trHeight w:val="300"/>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484A25EA"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Efficiency</w:t>
            </w:r>
          </w:p>
        </w:tc>
        <w:tc>
          <w:tcPr>
            <w:tcW w:w="2432" w:type="dxa"/>
            <w:tcBorders>
              <w:top w:val="nil"/>
              <w:left w:val="nil"/>
              <w:bottom w:val="single" w:sz="4" w:space="0" w:color="auto"/>
              <w:right w:val="single" w:sz="4" w:space="0" w:color="auto"/>
            </w:tcBorders>
            <w:shd w:val="clear" w:color="000000" w:fill="EAF1DD"/>
            <w:noWrap/>
            <w:vAlign w:val="bottom"/>
            <w:hideMark/>
          </w:tcPr>
          <w:p w14:paraId="5F9D4DC2"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30BCFDD2"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5D621BCE"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17D1A8B9"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6142707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4CE2367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r>
      <w:tr w:rsidR="0024245D" w:rsidRPr="00E57ACD" w14:paraId="2353CB46"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4F2DAFAA"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Inventory Turnover</w:t>
            </w:r>
          </w:p>
        </w:tc>
        <w:tc>
          <w:tcPr>
            <w:tcW w:w="2432" w:type="dxa"/>
            <w:tcBorders>
              <w:top w:val="nil"/>
              <w:left w:val="nil"/>
              <w:bottom w:val="single" w:sz="4" w:space="0" w:color="auto"/>
              <w:right w:val="single" w:sz="4" w:space="0" w:color="auto"/>
            </w:tcBorders>
            <w:shd w:val="clear" w:color="000000" w:fill="EAF1DD"/>
            <w:noWrap/>
            <w:vAlign w:val="bottom"/>
            <w:hideMark/>
          </w:tcPr>
          <w:p w14:paraId="26B8DDE8" w14:textId="77777777" w:rsidR="0024245D" w:rsidRPr="00E57ACD" w:rsidRDefault="0024245D" w:rsidP="00953755">
            <w:pPr>
              <w:spacing w:after="0" w:line="360" w:lineRule="auto"/>
              <w:jc w:val="both"/>
              <w:rPr>
                <w:rFonts w:ascii="Times New Roman" w:eastAsia="Times New Roman" w:hAnsi="Times New Roman" w:cs="Times New Roman"/>
                <w:b/>
                <w:bCs/>
                <w:i/>
                <w:iCs/>
                <w:color w:val="000000"/>
                <w:sz w:val="24"/>
                <w:szCs w:val="24"/>
              </w:rPr>
            </w:pPr>
            <w:r w:rsidRPr="00E57ACD">
              <w:rPr>
                <w:rFonts w:ascii="Times New Roman" w:eastAsia="Times New Roman" w:hAnsi="Times New Roman" w:cs="Times New Roman"/>
                <w:b/>
                <w:bCs/>
                <w:i/>
                <w:iCs/>
                <w:color w:val="000000"/>
                <w:sz w:val="24"/>
                <w:szCs w:val="24"/>
              </w:rPr>
              <w:t>Inventory / Cost of Goods Sold *365</w:t>
            </w:r>
          </w:p>
        </w:tc>
        <w:tc>
          <w:tcPr>
            <w:tcW w:w="1476" w:type="dxa"/>
            <w:tcBorders>
              <w:top w:val="nil"/>
              <w:left w:val="nil"/>
              <w:bottom w:val="single" w:sz="4" w:space="0" w:color="auto"/>
              <w:right w:val="single" w:sz="4" w:space="0" w:color="auto"/>
            </w:tcBorders>
            <w:shd w:val="clear" w:color="000000" w:fill="EAF1DD"/>
            <w:noWrap/>
            <w:vAlign w:val="bottom"/>
            <w:hideMark/>
          </w:tcPr>
          <w:p w14:paraId="1D25DC42"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182.9769</w:t>
            </w:r>
          </w:p>
        </w:tc>
        <w:tc>
          <w:tcPr>
            <w:tcW w:w="1476" w:type="dxa"/>
            <w:tcBorders>
              <w:top w:val="nil"/>
              <w:left w:val="nil"/>
              <w:bottom w:val="single" w:sz="4" w:space="0" w:color="auto"/>
              <w:right w:val="single" w:sz="4" w:space="0" w:color="auto"/>
            </w:tcBorders>
            <w:shd w:val="clear" w:color="000000" w:fill="EAF1DD"/>
            <w:noWrap/>
            <w:vAlign w:val="bottom"/>
            <w:hideMark/>
          </w:tcPr>
          <w:p w14:paraId="507F94AF"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195.17039</w:t>
            </w:r>
          </w:p>
        </w:tc>
        <w:tc>
          <w:tcPr>
            <w:tcW w:w="1476" w:type="dxa"/>
            <w:tcBorders>
              <w:top w:val="nil"/>
              <w:left w:val="nil"/>
              <w:bottom w:val="single" w:sz="4" w:space="0" w:color="auto"/>
              <w:right w:val="single" w:sz="4" w:space="0" w:color="auto"/>
            </w:tcBorders>
            <w:shd w:val="clear" w:color="000000" w:fill="EAF1DD"/>
            <w:noWrap/>
            <w:vAlign w:val="bottom"/>
            <w:hideMark/>
          </w:tcPr>
          <w:p w14:paraId="4977ED11"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196.12309</w:t>
            </w:r>
          </w:p>
        </w:tc>
        <w:tc>
          <w:tcPr>
            <w:tcW w:w="1476" w:type="dxa"/>
            <w:tcBorders>
              <w:top w:val="nil"/>
              <w:left w:val="nil"/>
              <w:bottom w:val="single" w:sz="4" w:space="0" w:color="auto"/>
              <w:right w:val="single" w:sz="4" w:space="0" w:color="auto"/>
            </w:tcBorders>
            <w:shd w:val="clear" w:color="000000" w:fill="EAF1DD"/>
            <w:noWrap/>
            <w:vAlign w:val="bottom"/>
            <w:hideMark/>
          </w:tcPr>
          <w:p w14:paraId="18CE89CF"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200.45533</w:t>
            </w:r>
          </w:p>
        </w:tc>
        <w:tc>
          <w:tcPr>
            <w:tcW w:w="1476" w:type="dxa"/>
            <w:tcBorders>
              <w:top w:val="nil"/>
              <w:left w:val="nil"/>
              <w:bottom w:val="single" w:sz="4" w:space="0" w:color="auto"/>
              <w:right w:val="single" w:sz="4" w:space="0" w:color="auto"/>
            </w:tcBorders>
            <w:shd w:val="clear" w:color="000000" w:fill="EAF1DD"/>
            <w:noWrap/>
            <w:vAlign w:val="bottom"/>
            <w:hideMark/>
          </w:tcPr>
          <w:p w14:paraId="46897B81"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194.43578</w:t>
            </w:r>
          </w:p>
        </w:tc>
      </w:tr>
      <w:tr w:rsidR="0024245D" w:rsidRPr="00E57ACD" w14:paraId="6C6CCF0B"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60A9F3E0"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72FDC219"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Inventory</w:t>
            </w:r>
          </w:p>
        </w:tc>
        <w:tc>
          <w:tcPr>
            <w:tcW w:w="1476" w:type="dxa"/>
            <w:tcBorders>
              <w:top w:val="nil"/>
              <w:left w:val="nil"/>
              <w:bottom w:val="single" w:sz="4" w:space="0" w:color="auto"/>
              <w:right w:val="single" w:sz="4" w:space="0" w:color="auto"/>
            </w:tcBorders>
            <w:shd w:val="clear" w:color="000000" w:fill="EAF1DD"/>
            <w:noWrap/>
            <w:vAlign w:val="bottom"/>
            <w:hideMark/>
          </w:tcPr>
          <w:p w14:paraId="0C0C1E3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5,947</w:t>
            </w:r>
          </w:p>
        </w:tc>
        <w:tc>
          <w:tcPr>
            <w:tcW w:w="1476" w:type="dxa"/>
            <w:tcBorders>
              <w:top w:val="nil"/>
              <w:left w:val="nil"/>
              <w:bottom w:val="single" w:sz="4" w:space="0" w:color="auto"/>
              <w:right w:val="single" w:sz="4" w:space="0" w:color="auto"/>
            </w:tcBorders>
            <w:shd w:val="clear" w:color="000000" w:fill="EAF1DD"/>
            <w:noWrap/>
            <w:vAlign w:val="bottom"/>
            <w:hideMark/>
          </w:tcPr>
          <w:p w14:paraId="47F0C607"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5,476</w:t>
            </w:r>
          </w:p>
        </w:tc>
        <w:tc>
          <w:tcPr>
            <w:tcW w:w="1476" w:type="dxa"/>
            <w:tcBorders>
              <w:top w:val="nil"/>
              <w:left w:val="nil"/>
              <w:bottom w:val="single" w:sz="4" w:space="0" w:color="auto"/>
              <w:right w:val="single" w:sz="4" w:space="0" w:color="auto"/>
            </w:tcBorders>
            <w:shd w:val="clear" w:color="000000" w:fill="EAF1DD"/>
            <w:noWrap/>
            <w:vAlign w:val="bottom"/>
            <w:hideMark/>
          </w:tcPr>
          <w:p w14:paraId="7AE9D96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5,557</w:t>
            </w:r>
          </w:p>
        </w:tc>
        <w:tc>
          <w:tcPr>
            <w:tcW w:w="1476" w:type="dxa"/>
            <w:tcBorders>
              <w:top w:val="nil"/>
              <w:left w:val="nil"/>
              <w:bottom w:val="single" w:sz="4" w:space="0" w:color="auto"/>
              <w:right w:val="single" w:sz="4" w:space="0" w:color="auto"/>
            </w:tcBorders>
            <w:shd w:val="clear" w:color="000000" w:fill="EAF1DD"/>
            <w:noWrap/>
            <w:vAlign w:val="bottom"/>
            <w:hideMark/>
          </w:tcPr>
          <w:p w14:paraId="78461C9B"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5,102</w:t>
            </w:r>
          </w:p>
        </w:tc>
        <w:tc>
          <w:tcPr>
            <w:tcW w:w="1476" w:type="dxa"/>
            <w:tcBorders>
              <w:top w:val="nil"/>
              <w:left w:val="nil"/>
              <w:bottom w:val="single" w:sz="4" w:space="0" w:color="auto"/>
              <w:right w:val="single" w:sz="4" w:space="0" w:color="auto"/>
            </w:tcBorders>
            <w:shd w:val="clear" w:color="000000" w:fill="EAF1DD"/>
            <w:noWrap/>
            <w:vAlign w:val="bottom"/>
            <w:hideMark/>
          </w:tcPr>
          <w:p w14:paraId="34C45E92"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4,716</w:t>
            </w:r>
          </w:p>
        </w:tc>
      </w:tr>
      <w:tr w:rsidR="0024245D" w:rsidRPr="00E57ACD" w14:paraId="29FFBEF6"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254FC831"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lastRenderedPageBreak/>
              <w:t> </w:t>
            </w:r>
          </w:p>
        </w:tc>
        <w:tc>
          <w:tcPr>
            <w:tcW w:w="2432" w:type="dxa"/>
            <w:tcBorders>
              <w:top w:val="nil"/>
              <w:left w:val="nil"/>
              <w:bottom w:val="single" w:sz="4" w:space="0" w:color="auto"/>
              <w:right w:val="single" w:sz="4" w:space="0" w:color="auto"/>
            </w:tcBorders>
            <w:shd w:val="clear" w:color="000000" w:fill="EAF1DD"/>
            <w:noWrap/>
            <w:vAlign w:val="bottom"/>
            <w:hideMark/>
          </w:tcPr>
          <w:p w14:paraId="00BFC88F"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Cost of Goods Sold</w:t>
            </w:r>
          </w:p>
        </w:tc>
        <w:tc>
          <w:tcPr>
            <w:tcW w:w="1476" w:type="dxa"/>
            <w:tcBorders>
              <w:top w:val="nil"/>
              <w:left w:val="nil"/>
              <w:bottom w:val="single" w:sz="4" w:space="0" w:color="auto"/>
              <w:right w:val="single" w:sz="4" w:space="0" w:color="auto"/>
            </w:tcBorders>
            <w:shd w:val="clear" w:color="000000" w:fill="EAF1DD"/>
            <w:noWrap/>
            <w:vAlign w:val="bottom"/>
            <w:hideMark/>
          </w:tcPr>
          <w:p w14:paraId="587DD7B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11,863</w:t>
            </w:r>
          </w:p>
        </w:tc>
        <w:tc>
          <w:tcPr>
            <w:tcW w:w="1476" w:type="dxa"/>
            <w:tcBorders>
              <w:top w:val="nil"/>
              <w:left w:val="nil"/>
              <w:bottom w:val="single" w:sz="4" w:space="0" w:color="auto"/>
              <w:right w:val="single" w:sz="4" w:space="0" w:color="auto"/>
            </w:tcBorders>
            <w:shd w:val="clear" w:color="000000" w:fill="EAF1DD"/>
            <w:noWrap/>
            <w:vAlign w:val="bottom"/>
            <w:hideMark/>
          </w:tcPr>
          <w:p w14:paraId="6ECA3391"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10,241</w:t>
            </w:r>
          </w:p>
        </w:tc>
        <w:tc>
          <w:tcPr>
            <w:tcW w:w="1476" w:type="dxa"/>
            <w:tcBorders>
              <w:top w:val="nil"/>
              <w:left w:val="nil"/>
              <w:bottom w:val="single" w:sz="4" w:space="0" w:color="auto"/>
              <w:right w:val="single" w:sz="4" w:space="0" w:color="auto"/>
            </w:tcBorders>
            <w:shd w:val="clear" w:color="000000" w:fill="EAF1DD"/>
            <w:noWrap/>
            <w:vAlign w:val="bottom"/>
            <w:hideMark/>
          </w:tcPr>
          <w:p w14:paraId="5E293909"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10,342</w:t>
            </w:r>
          </w:p>
        </w:tc>
        <w:tc>
          <w:tcPr>
            <w:tcW w:w="1476" w:type="dxa"/>
            <w:tcBorders>
              <w:top w:val="nil"/>
              <w:left w:val="nil"/>
              <w:bottom w:val="single" w:sz="4" w:space="0" w:color="auto"/>
              <w:right w:val="single" w:sz="4" w:space="0" w:color="auto"/>
            </w:tcBorders>
            <w:shd w:val="clear" w:color="000000" w:fill="EAF1DD"/>
            <w:noWrap/>
            <w:vAlign w:val="bottom"/>
            <w:hideMark/>
          </w:tcPr>
          <w:p w14:paraId="6E7DF5BE"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9,290</w:t>
            </w:r>
          </w:p>
        </w:tc>
        <w:tc>
          <w:tcPr>
            <w:tcW w:w="1476" w:type="dxa"/>
            <w:tcBorders>
              <w:top w:val="nil"/>
              <w:left w:val="nil"/>
              <w:bottom w:val="single" w:sz="4" w:space="0" w:color="auto"/>
              <w:right w:val="single" w:sz="4" w:space="0" w:color="auto"/>
            </w:tcBorders>
            <w:shd w:val="clear" w:color="000000" w:fill="EAF1DD"/>
            <w:noWrap/>
            <w:vAlign w:val="bottom"/>
            <w:hideMark/>
          </w:tcPr>
          <w:p w14:paraId="7149744E"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8,853</w:t>
            </w:r>
          </w:p>
        </w:tc>
      </w:tr>
      <w:tr w:rsidR="0024245D" w:rsidRPr="00E57ACD" w14:paraId="2FCB065D" w14:textId="77777777" w:rsidTr="00C16EEB">
        <w:trPr>
          <w:trHeight w:val="300"/>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534DA920"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655E0E95"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646261CA"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2D4E5F4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32AAA314"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573F0025"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26F56907"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r>
      <w:tr w:rsidR="0024245D" w:rsidRPr="00E57ACD" w14:paraId="7F8A7508"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1ABFE8F1"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Debtors’ days</w:t>
            </w:r>
          </w:p>
        </w:tc>
        <w:tc>
          <w:tcPr>
            <w:tcW w:w="2432" w:type="dxa"/>
            <w:tcBorders>
              <w:top w:val="nil"/>
              <w:left w:val="nil"/>
              <w:bottom w:val="single" w:sz="4" w:space="0" w:color="auto"/>
              <w:right w:val="single" w:sz="4" w:space="0" w:color="auto"/>
            </w:tcBorders>
            <w:shd w:val="clear" w:color="000000" w:fill="EAF1DD"/>
            <w:noWrap/>
            <w:vAlign w:val="bottom"/>
            <w:hideMark/>
          </w:tcPr>
          <w:p w14:paraId="4F582025" w14:textId="77777777" w:rsidR="0024245D" w:rsidRPr="00E57ACD" w:rsidRDefault="0024245D" w:rsidP="00953755">
            <w:pPr>
              <w:spacing w:after="0" w:line="360" w:lineRule="auto"/>
              <w:jc w:val="both"/>
              <w:rPr>
                <w:rFonts w:ascii="Times New Roman" w:eastAsia="Times New Roman" w:hAnsi="Times New Roman" w:cs="Times New Roman"/>
                <w:b/>
                <w:bCs/>
                <w:i/>
                <w:iCs/>
                <w:color w:val="000000"/>
                <w:sz w:val="24"/>
                <w:szCs w:val="24"/>
              </w:rPr>
            </w:pPr>
            <w:r w:rsidRPr="00E57ACD">
              <w:rPr>
                <w:rFonts w:ascii="Times New Roman" w:eastAsia="Times New Roman" w:hAnsi="Times New Roman" w:cs="Times New Roman"/>
                <w:b/>
                <w:bCs/>
                <w:i/>
                <w:iCs/>
                <w:color w:val="000000"/>
                <w:sz w:val="24"/>
                <w:szCs w:val="24"/>
              </w:rPr>
              <w:t>Receivable / Sales *365</w:t>
            </w:r>
          </w:p>
        </w:tc>
        <w:tc>
          <w:tcPr>
            <w:tcW w:w="1476" w:type="dxa"/>
            <w:tcBorders>
              <w:top w:val="nil"/>
              <w:left w:val="nil"/>
              <w:bottom w:val="single" w:sz="4" w:space="0" w:color="auto"/>
              <w:right w:val="single" w:sz="4" w:space="0" w:color="auto"/>
            </w:tcBorders>
            <w:shd w:val="clear" w:color="000000" w:fill="EAF1DD"/>
            <w:noWrap/>
            <w:vAlign w:val="bottom"/>
            <w:hideMark/>
          </w:tcPr>
          <w:p w14:paraId="02D606EF"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77.879066</w:t>
            </w:r>
          </w:p>
        </w:tc>
        <w:tc>
          <w:tcPr>
            <w:tcW w:w="1476" w:type="dxa"/>
            <w:tcBorders>
              <w:top w:val="nil"/>
              <w:left w:val="nil"/>
              <w:bottom w:val="single" w:sz="4" w:space="0" w:color="auto"/>
              <w:right w:val="single" w:sz="4" w:space="0" w:color="auto"/>
            </w:tcBorders>
            <w:shd w:val="clear" w:color="000000" w:fill="EAF1DD"/>
            <w:noWrap/>
            <w:vAlign w:val="bottom"/>
            <w:hideMark/>
          </w:tcPr>
          <w:p w14:paraId="67D4A9FB"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76.064858</w:t>
            </w:r>
          </w:p>
        </w:tc>
        <w:tc>
          <w:tcPr>
            <w:tcW w:w="1476" w:type="dxa"/>
            <w:tcBorders>
              <w:top w:val="nil"/>
              <w:left w:val="nil"/>
              <w:bottom w:val="single" w:sz="4" w:space="0" w:color="auto"/>
              <w:right w:val="single" w:sz="4" w:space="0" w:color="auto"/>
            </w:tcBorders>
            <w:shd w:val="clear" w:color="000000" w:fill="EAF1DD"/>
            <w:noWrap/>
            <w:vAlign w:val="bottom"/>
            <w:hideMark/>
          </w:tcPr>
          <w:p w14:paraId="6489F400"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72.550189</w:t>
            </w:r>
          </w:p>
        </w:tc>
        <w:tc>
          <w:tcPr>
            <w:tcW w:w="1476" w:type="dxa"/>
            <w:tcBorders>
              <w:top w:val="nil"/>
              <w:left w:val="nil"/>
              <w:bottom w:val="single" w:sz="4" w:space="0" w:color="auto"/>
              <w:right w:val="single" w:sz="4" w:space="0" w:color="auto"/>
            </w:tcBorders>
            <w:shd w:val="clear" w:color="000000" w:fill="EAF1DD"/>
            <w:noWrap/>
            <w:vAlign w:val="bottom"/>
            <w:hideMark/>
          </w:tcPr>
          <w:p w14:paraId="1B629179"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78.865861</w:t>
            </w:r>
          </w:p>
        </w:tc>
        <w:tc>
          <w:tcPr>
            <w:tcW w:w="1476" w:type="dxa"/>
            <w:tcBorders>
              <w:top w:val="nil"/>
              <w:left w:val="nil"/>
              <w:bottom w:val="single" w:sz="4" w:space="0" w:color="auto"/>
              <w:right w:val="single" w:sz="4" w:space="0" w:color="auto"/>
            </w:tcBorders>
            <w:shd w:val="clear" w:color="000000" w:fill="EAF1DD"/>
            <w:noWrap/>
            <w:vAlign w:val="bottom"/>
            <w:hideMark/>
          </w:tcPr>
          <w:p w14:paraId="2F7390E5"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85.669648</w:t>
            </w:r>
          </w:p>
        </w:tc>
      </w:tr>
      <w:tr w:rsidR="0024245D" w:rsidRPr="00E57ACD" w14:paraId="5B40D7D8"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7DB8BDE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335AF70E"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Receivable</w:t>
            </w:r>
          </w:p>
        </w:tc>
        <w:tc>
          <w:tcPr>
            <w:tcW w:w="1476" w:type="dxa"/>
            <w:tcBorders>
              <w:top w:val="nil"/>
              <w:left w:val="nil"/>
              <w:bottom w:val="single" w:sz="4" w:space="0" w:color="auto"/>
              <w:right w:val="single" w:sz="4" w:space="0" w:color="auto"/>
            </w:tcBorders>
            <w:shd w:val="clear" w:color="000000" w:fill="EAF1DD"/>
            <w:noWrap/>
            <w:vAlign w:val="bottom"/>
            <w:hideMark/>
          </w:tcPr>
          <w:p w14:paraId="43C4925A"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7,202</w:t>
            </w:r>
          </w:p>
        </w:tc>
        <w:tc>
          <w:tcPr>
            <w:tcW w:w="1476" w:type="dxa"/>
            <w:tcBorders>
              <w:top w:val="nil"/>
              <w:left w:val="nil"/>
              <w:bottom w:val="single" w:sz="4" w:space="0" w:color="auto"/>
              <w:right w:val="single" w:sz="4" w:space="0" w:color="auto"/>
            </w:tcBorders>
            <w:shd w:val="clear" w:color="000000" w:fill="EAF1DD"/>
            <w:noWrap/>
            <w:vAlign w:val="bottom"/>
            <w:hideMark/>
          </w:tcPr>
          <w:p w14:paraId="672F5E5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6,423</w:t>
            </w:r>
          </w:p>
        </w:tc>
        <w:tc>
          <w:tcPr>
            <w:tcW w:w="1476" w:type="dxa"/>
            <w:tcBorders>
              <w:top w:val="nil"/>
              <w:left w:val="nil"/>
              <w:bottom w:val="single" w:sz="4" w:space="0" w:color="auto"/>
              <w:right w:val="single" w:sz="4" w:space="0" w:color="auto"/>
            </w:tcBorders>
            <w:shd w:val="clear" w:color="000000" w:fill="EAF1DD"/>
            <w:noWrap/>
            <w:vAlign w:val="bottom"/>
            <w:hideMark/>
          </w:tcPr>
          <w:p w14:paraId="1F43DD32"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6,000</w:t>
            </w:r>
          </w:p>
        </w:tc>
        <w:tc>
          <w:tcPr>
            <w:tcW w:w="1476" w:type="dxa"/>
            <w:tcBorders>
              <w:top w:val="nil"/>
              <w:left w:val="nil"/>
              <w:bottom w:val="single" w:sz="4" w:space="0" w:color="auto"/>
              <w:right w:val="single" w:sz="4" w:space="0" w:color="auto"/>
            </w:tcBorders>
            <w:shd w:val="clear" w:color="000000" w:fill="EAF1DD"/>
            <w:noWrap/>
            <w:vAlign w:val="bottom"/>
            <w:hideMark/>
          </w:tcPr>
          <w:p w14:paraId="09897E9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6,026</w:t>
            </w:r>
          </w:p>
        </w:tc>
        <w:tc>
          <w:tcPr>
            <w:tcW w:w="1476" w:type="dxa"/>
            <w:tcBorders>
              <w:top w:val="nil"/>
              <w:left w:val="nil"/>
              <w:bottom w:val="single" w:sz="4" w:space="0" w:color="auto"/>
              <w:right w:val="single" w:sz="4" w:space="0" w:color="auto"/>
            </w:tcBorders>
            <w:shd w:val="clear" w:color="000000" w:fill="EAF1DD"/>
            <w:noWrap/>
            <w:vAlign w:val="bottom"/>
            <w:hideMark/>
          </w:tcPr>
          <w:p w14:paraId="7ACB1064"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5,615</w:t>
            </w:r>
          </w:p>
        </w:tc>
      </w:tr>
      <w:tr w:rsidR="0024245D" w:rsidRPr="00E57ACD" w14:paraId="6EA6548B"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61A55BB3"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1FBBC0E4"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Sales</w:t>
            </w:r>
          </w:p>
        </w:tc>
        <w:tc>
          <w:tcPr>
            <w:tcW w:w="1476" w:type="dxa"/>
            <w:tcBorders>
              <w:top w:val="nil"/>
              <w:left w:val="nil"/>
              <w:bottom w:val="single" w:sz="4" w:space="0" w:color="auto"/>
              <w:right w:val="single" w:sz="4" w:space="0" w:color="auto"/>
            </w:tcBorders>
            <w:shd w:val="clear" w:color="000000" w:fill="EAF1DD"/>
            <w:noWrap/>
            <w:vAlign w:val="bottom"/>
            <w:hideMark/>
          </w:tcPr>
          <w:p w14:paraId="00E39CA9"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33,754</w:t>
            </w:r>
          </w:p>
        </w:tc>
        <w:tc>
          <w:tcPr>
            <w:tcW w:w="1476" w:type="dxa"/>
            <w:tcBorders>
              <w:top w:val="nil"/>
              <w:left w:val="nil"/>
              <w:bottom w:val="single" w:sz="4" w:space="0" w:color="auto"/>
              <w:right w:val="single" w:sz="4" w:space="0" w:color="auto"/>
            </w:tcBorders>
            <w:shd w:val="clear" w:color="000000" w:fill="EAF1DD"/>
            <w:noWrap/>
            <w:vAlign w:val="bottom"/>
            <w:hideMark/>
          </w:tcPr>
          <w:p w14:paraId="36FDAADB"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30,821</w:t>
            </w:r>
          </w:p>
        </w:tc>
        <w:tc>
          <w:tcPr>
            <w:tcW w:w="1476" w:type="dxa"/>
            <w:tcBorders>
              <w:top w:val="nil"/>
              <w:left w:val="nil"/>
              <w:bottom w:val="single" w:sz="4" w:space="0" w:color="auto"/>
              <w:right w:val="single" w:sz="4" w:space="0" w:color="auto"/>
            </w:tcBorders>
            <w:shd w:val="clear" w:color="000000" w:fill="EAF1DD"/>
            <w:noWrap/>
            <w:vAlign w:val="bottom"/>
            <w:hideMark/>
          </w:tcPr>
          <w:p w14:paraId="3C90548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30,186</w:t>
            </w:r>
          </w:p>
        </w:tc>
        <w:tc>
          <w:tcPr>
            <w:tcW w:w="1476" w:type="dxa"/>
            <w:tcBorders>
              <w:top w:val="nil"/>
              <w:left w:val="nil"/>
              <w:bottom w:val="single" w:sz="4" w:space="0" w:color="auto"/>
              <w:right w:val="single" w:sz="4" w:space="0" w:color="auto"/>
            </w:tcBorders>
            <w:shd w:val="clear" w:color="000000" w:fill="EAF1DD"/>
            <w:noWrap/>
            <w:vAlign w:val="bottom"/>
            <w:hideMark/>
          </w:tcPr>
          <w:p w14:paraId="08076A21"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27,889</w:t>
            </w:r>
          </w:p>
        </w:tc>
        <w:tc>
          <w:tcPr>
            <w:tcW w:w="1476" w:type="dxa"/>
            <w:tcBorders>
              <w:top w:val="nil"/>
              <w:left w:val="nil"/>
              <w:bottom w:val="single" w:sz="4" w:space="0" w:color="auto"/>
              <w:right w:val="single" w:sz="4" w:space="0" w:color="auto"/>
            </w:tcBorders>
            <w:shd w:val="clear" w:color="000000" w:fill="EAF1DD"/>
            <w:noWrap/>
            <w:vAlign w:val="bottom"/>
            <w:hideMark/>
          </w:tcPr>
          <w:p w14:paraId="1F7F387A"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23,923</w:t>
            </w:r>
          </w:p>
        </w:tc>
      </w:tr>
      <w:tr w:rsidR="0024245D" w:rsidRPr="00E57ACD" w14:paraId="6D4CD49A" w14:textId="77777777" w:rsidTr="00C16EEB">
        <w:trPr>
          <w:trHeight w:val="300"/>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7E06497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523E16F4"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330360B0"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23A115CF"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75CE5FD1"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093EC8EB"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48AE99B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r>
      <w:tr w:rsidR="0024245D" w:rsidRPr="00E57ACD" w14:paraId="73B21C86"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37851C32"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Payables day's</w:t>
            </w:r>
          </w:p>
        </w:tc>
        <w:tc>
          <w:tcPr>
            <w:tcW w:w="2432" w:type="dxa"/>
            <w:tcBorders>
              <w:top w:val="nil"/>
              <w:left w:val="nil"/>
              <w:bottom w:val="single" w:sz="4" w:space="0" w:color="auto"/>
              <w:right w:val="single" w:sz="4" w:space="0" w:color="auto"/>
            </w:tcBorders>
            <w:shd w:val="clear" w:color="000000" w:fill="EAF1DD"/>
            <w:noWrap/>
            <w:vAlign w:val="bottom"/>
            <w:hideMark/>
          </w:tcPr>
          <w:p w14:paraId="08977492" w14:textId="77777777" w:rsidR="0024245D" w:rsidRPr="00E57ACD" w:rsidRDefault="0024245D" w:rsidP="00953755">
            <w:pPr>
              <w:spacing w:after="0" w:line="360" w:lineRule="auto"/>
              <w:jc w:val="both"/>
              <w:rPr>
                <w:rFonts w:ascii="Times New Roman" w:eastAsia="Times New Roman" w:hAnsi="Times New Roman" w:cs="Times New Roman"/>
                <w:b/>
                <w:bCs/>
                <w:i/>
                <w:iCs/>
                <w:color w:val="000000"/>
                <w:sz w:val="24"/>
                <w:szCs w:val="24"/>
              </w:rPr>
            </w:pPr>
            <w:r w:rsidRPr="00E57ACD">
              <w:rPr>
                <w:rFonts w:ascii="Times New Roman" w:eastAsia="Times New Roman" w:hAnsi="Times New Roman" w:cs="Times New Roman"/>
                <w:b/>
                <w:bCs/>
                <w:i/>
                <w:iCs/>
                <w:color w:val="000000"/>
                <w:sz w:val="24"/>
                <w:szCs w:val="24"/>
              </w:rPr>
              <w:t>Payables / Cost of Goods Sold *365</w:t>
            </w:r>
          </w:p>
        </w:tc>
        <w:tc>
          <w:tcPr>
            <w:tcW w:w="1476" w:type="dxa"/>
            <w:tcBorders>
              <w:top w:val="nil"/>
              <w:left w:val="nil"/>
              <w:bottom w:val="single" w:sz="4" w:space="0" w:color="auto"/>
              <w:right w:val="single" w:sz="4" w:space="0" w:color="auto"/>
            </w:tcBorders>
            <w:shd w:val="clear" w:color="000000" w:fill="EAF1DD"/>
            <w:noWrap/>
            <w:vAlign w:val="bottom"/>
            <w:hideMark/>
          </w:tcPr>
          <w:p w14:paraId="355FC6AD"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459.54986</w:t>
            </w:r>
          </w:p>
        </w:tc>
        <w:tc>
          <w:tcPr>
            <w:tcW w:w="1476" w:type="dxa"/>
            <w:tcBorders>
              <w:top w:val="nil"/>
              <w:left w:val="nil"/>
              <w:bottom w:val="single" w:sz="4" w:space="0" w:color="auto"/>
              <w:right w:val="single" w:sz="4" w:space="0" w:color="auto"/>
            </w:tcBorders>
            <w:shd w:val="clear" w:color="000000" w:fill="EAF1DD"/>
            <w:noWrap/>
            <w:vAlign w:val="bottom"/>
            <w:hideMark/>
          </w:tcPr>
          <w:p w14:paraId="3655B92F"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500.29343</w:t>
            </w:r>
          </w:p>
        </w:tc>
        <w:tc>
          <w:tcPr>
            <w:tcW w:w="1476" w:type="dxa"/>
            <w:tcBorders>
              <w:top w:val="nil"/>
              <w:left w:val="nil"/>
              <w:bottom w:val="single" w:sz="4" w:space="0" w:color="auto"/>
              <w:right w:val="single" w:sz="4" w:space="0" w:color="auto"/>
            </w:tcBorders>
            <w:shd w:val="clear" w:color="000000" w:fill="EAF1DD"/>
            <w:noWrap/>
            <w:vAlign w:val="bottom"/>
            <w:hideMark/>
          </w:tcPr>
          <w:p w14:paraId="11AE0DDA"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740.09379</w:t>
            </w:r>
          </w:p>
        </w:tc>
        <w:tc>
          <w:tcPr>
            <w:tcW w:w="1476" w:type="dxa"/>
            <w:tcBorders>
              <w:top w:val="nil"/>
              <w:left w:val="nil"/>
              <w:bottom w:val="single" w:sz="4" w:space="0" w:color="auto"/>
              <w:right w:val="single" w:sz="4" w:space="0" w:color="auto"/>
            </w:tcBorders>
            <w:shd w:val="clear" w:color="000000" w:fill="EAF1DD"/>
            <w:noWrap/>
            <w:vAlign w:val="bottom"/>
            <w:hideMark/>
          </w:tcPr>
          <w:p w14:paraId="5D562C80"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470.06028</w:t>
            </w:r>
          </w:p>
        </w:tc>
        <w:tc>
          <w:tcPr>
            <w:tcW w:w="1476" w:type="dxa"/>
            <w:tcBorders>
              <w:top w:val="nil"/>
              <w:left w:val="nil"/>
              <w:bottom w:val="single" w:sz="4" w:space="0" w:color="auto"/>
              <w:right w:val="single" w:sz="4" w:space="0" w:color="auto"/>
            </w:tcBorders>
            <w:shd w:val="clear" w:color="000000" w:fill="EAF1DD"/>
            <w:noWrap/>
            <w:vAlign w:val="bottom"/>
            <w:hideMark/>
          </w:tcPr>
          <w:p w14:paraId="4DF60F34"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378.93539</w:t>
            </w:r>
          </w:p>
        </w:tc>
      </w:tr>
      <w:tr w:rsidR="0024245D" w:rsidRPr="00E57ACD" w14:paraId="677A4C45"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12FD2A55"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154DB6DA"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Payable</w:t>
            </w:r>
          </w:p>
        </w:tc>
        <w:tc>
          <w:tcPr>
            <w:tcW w:w="1476" w:type="dxa"/>
            <w:tcBorders>
              <w:top w:val="nil"/>
              <w:left w:val="nil"/>
              <w:bottom w:val="single" w:sz="4" w:space="0" w:color="auto"/>
              <w:right w:val="single" w:sz="4" w:space="0" w:color="auto"/>
            </w:tcBorders>
            <w:shd w:val="clear" w:color="000000" w:fill="EAF1DD"/>
            <w:noWrap/>
            <w:vAlign w:val="bottom"/>
            <w:hideMark/>
          </w:tcPr>
          <w:p w14:paraId="616C96F8"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14,936</w:t>
            </w:r>
          </w:p>
        </w:tc>
        <w:tc>
          <w:tcPr>
            <w:tcW w:w="1476" w:type="dxa"/>
            <w:tcBorders>
              <w:top w:val="nil"/>
              <w:left w:val="nil"/>
              <w:bottom w:val="single" w:sz="4" w:space="0" w:color="auto"/>
              <w:right w:val="single" w:sz="4" w:space="0" w:color="auto"/>
            </w:tcBorders>
            <w:shd w:val="clear" w:color="000000" w:fill="EAF1DD"/>
            <w:noWrap/>
            <w:vAlign w:val="bottom"/>
            <w:hideMark/>
          </w:tcPr>
          <w:p w14:paraId="1DE896C4"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14,037</w:t>
            </w:r>
          </w:p>
        </w:tc>
        <w:tc>
          <w:tcPr>
            <w:tcW w:w="1476" w:type="dxa"/>
            <w:tcBorders>
              <w:top w:val="nil"/>
              <w:left w:val="nil"/>
              <w:bottom w:val="single" w:sz="4" w:space="0" w:color="auto"/>
              <w:right w:val="single" w:sz="4" w:space="0" w:color="auto"/>
            </w:tcBorders>
            <w:shd w:val="clear" w:color="000000" w:fill="EAF1DD"/>
            <w:noWrap/>
            <w:vAlign w:val="bottom"/>
            <w:hideMark/>
          </w:tcPr>
          <w:p w14:paraId="7EEC9B8A"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20,970</w:t>
            </w:r>
          </w:p>
        </w:tc>
        <w:tc>
          <w:tcPr>
            <w:tcW w:w="1476" w:type="dxa"/>
            <w:tcBorders>
              <w:top w:val="nil"/>
              <w:left w:val="nil"/>
              <w:bottom w:val="single" w:sz="4" w:space="0" w:color="auto"/>
              <w:right w:val="single" w:sz="4" w:space="0" w:color="auto"/>
            </w:tcBorders>
            <w:shd w:val="clear" w:color="000000" w:fill="EAF1DD"/>
            <w:noWrap/>
            <w:vAlign w:val="bottom"/>
            <w:hideMark/>
          </w:tcPr>
          <w:p w14:paraId="56180221"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11,964</w:t>
            </w:r>
          </w:p>
        </w:tc>
        <w:tc>
          <w:tcPr>
            <w:tcW w:w="1476" w:type="dxa"/>
            <w:tcBorders>
              <w:top w:val="nil"/>
              <w:left w:val="nil"/>
              <w:bottom w:val="single" w:sz="4" w:space="0" w:color="auto"/>
              <w:right w:val="single" w:sz="4" w:space="0" w:color="auto"/>
            </w:tcBorders>
            <w:shd w:val="clear" w:color="000000" w:fill="EAF1DD"/>
            <w:noWrap/>
            <w:vAlign w:val="bottom"/>
            <w:hideMark/>
          </w:tcPr>
          <w:p w14:paraId="721695B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9,191</w:t>
            </w:r>
          </w:p>
        </w:tc>
      </w:tr>
      <w:tr w:rsidR="0024245D" w:rsidRPr="00E57ACD" w14:paraId="5DD43BD3"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59CCD54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221FA379"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Cost of Goods Sold</w:t>
            </w:r>
          </w:p>
        </w:tc>
        <w:tc>
          <w:tcPr>
            <w:tcW w:w="1476" w:type="dxa"/>
            <w:tcBorders>
              <w:top w:val="nil"/>
              <w:left w:val="nil"/>
              <w:bottom w:val="single" w:sz="4" w:space="0" w:color="auto"/>
              <w:right w:val="single" w:sz="4" w:space="0" w:color="auto"/>
            </w:tcBorders>
            <w:shd w:val="clear" w:color="000000" w:fill="EAF1DD"/>
            <w:noWrap/>
            <w:vAlign w:val="bottom"/>
            <w:hideMark/>
          </w:tcPr>
          <w:p w14:paraId="32CF0AC9"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11,863</w:t>
            </w:r>
          </w:p>
        </w:tc>
        <w:tc>
          <w:tcPr>
            <w:tcW w:w="1476" w:type="dxa"/>
            <w:tcBorders>
              <w:top w:val="nil"/>
              <w:left w:val="nil"/>
              <w:bottom w:val="single" w:sz="4" w:space="0" w:color="auto"/>
              <w:right w:val="single" w:sz="4" w:space="0" w:color="auto"/>
            </w:tcBorders>
            <w:shd w:val="clear" w:color="000000" w:fill="EAF1DD"/>
            <w:noWrap/>
            <w:vAlign w:val="bottom"/>
            <w:hideMark/>
          </w:tcPr>
          <w:p w14:paraId="4BDD92D7"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10,241</w:t>
            </w:r>
          </w:p>
        </w:tc>
        <w:tc>
          <w:tcPr>
            <w:tcW w:w="1476" w:type="dxa"/>
            <w:tcBorders>
              <w:top w:val="nil"/>
              <w:left w:val="nil"/>
              <w:bottom w:val="single" w:sz="4" w:space="0" w:color="auto"/>
              <w:right w:val="single" w:sz="4" w:space="0" w:color="auto"/>
            </w:tcBorders>
            <w:shd w:val="clear" w:color="000000" w:fill="EAF1DD"/>
            <w:noWrap/>
            <w:vAlign w:val="bottom"/>
            <w:hideMark/>
          </w:tcPr>
          <w:p w14:paraId="0E57296F"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10,342</w:t>
            </w:r>
          </w:p>
        </w:tc>
        <w:tc>
          <w:tcPr>
            <w:tcW w:w="1476" w:type="dxa"/>
            <w:tcBorders>
              <w:top w:val="nil"/>
              <w:left w:val="nil"/>
              <w:bottom w:val="single" w:sz="4" w:space="0" w:color="auto"/>
              <w:right w:val="single" w:sz="4" w:space="0" w:color="auto"/>
            </w:tcBorders>
            <w:shd w:val="clear" w:color="000000" w:fill="EAF1DD"/>
            <w:noWrap/>
            <w:vAlign w:val="bottom"/>
            <w:hideMark/>
          </w:tcPr>
          <w:p w14:paraId="40DD4D4F"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9,290</w:t>
            </w:r>
          </w:p>
        </w:tc>
        <w:tc>
          <w:tcPr>
            <w:tcW w:w="1476" w:type="dxa"/>
            <w:tcBorders>
              <w:top w:val="nil"/>
              <w:left w:val="nil"/>
              <w:bottom w:val="single" w:sz="4" w:space="0" w:color="auto"/>
              <w:right w:val="single" w:sz="4" w:space="0" w:color="auto"/>
            </w:tcBorders>
            <w:shd w:val="clear" w:color="000000" w:fill="EAF1DD"/>
            <w:noWrap/>
            <w:vAlign w:val="bottom"/>
            <w:hideMark/>
          </w:tcPr>
          <w:p w14:paraId="04EB9C34"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8,853</w:t>
            </w:r>
          </w:p>
        </w:tc>
      </w:tr>
      <w:tr w:rsidR="0024245D" w:rsidRPr="00E57ACD" w14:paraId="4414B7CE" w14:textId="77777777" w:rsidTr="00C16EEB">
        <w:trPr>
          <w:trHeight w:val="300"/>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3207EBB0"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74E99733"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405A7EAE"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6ABABC7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18DDFB1A"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16F6D94F"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16FB5C68"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r>
      <w:tr w:rsidR="0024245D" w:rsidRPr="00E57ACD" w14:paraId="7648F80E"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69DC3240"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xml:space="preserve">Financial stability </w:t>
            </w:r>
          </w:p>
        </w:tc>
        <w:tc>
          <w:tcPr>
            <w:tcW w:w="2432" w:type="dxa"/>
            <w:tcBorders>
              <w:top w:val="nil"/>
              <w:left w:val="nil"/>
              <w:bottom w:val="single" w:sz="4" w:space="0" w:color="auto"/>
              <w:right w:val="single" w:sz="4" w:space="0" w:color="auto"/>
            </w:tcBorders>
            <w:shd w:val="clear" w:color="000000" w:fill="EAF1DD"/>
            <w:noWrap/>
            <w:vAlign w:val="bottom"/>
            <w:hideMark/>
          </w:tcPr>
          <w:p w14:paraId="3F80A7FA"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45B8FCC9"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64C67220"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2C151DED"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4129E0F1"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7EA76134"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r>
      <w:tr w:rsidR="0024245D" w:rsidRPr="00E57ACD" w14:paraId="11A16FDD"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68612E24"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Current ratio</w:t>
            </w:r>
          </w:p>
        </w:tc>
        <w:tc>
          <w:tcPr>
            <w:tcW w:w="2432" w:type="dxa"/>
            <w:tcBorders>
              <w:top w:val="nil"/>
              <w:left w:val="nil"/>
              <w:bottom w:val="single" w:sz="4" w:space="0" w:color="auto"/>
              <w:right w:val="single" w:sz="4" w:space="0" w:color="auto"/>
            </w:tcBorders>
            <w:shd w:val="clear" w:color="000000" w:fill="EAF1DD"/>
            <w:noWrap/>
            <w:vAlign w:val="bottom"/>
            <w:hideMark/>
          </w:tcPr>
          <w:p w14:paraId="7333FB0F" w14:textId="77777777" w:rsidR="0024245D" w:rsidRPr="00E57ACD" w:rsidRDefault="0024245D" w:rsidP="00953755">
            <w:pPr>
              <w:spacing w:after="0" w:line="360" w:lineRule="auto"/>
              <w:jc w:val="both"/>
              <w:rPr>
                <w:rFonts w:ascii="Times New Roman" w:eastAsia="Times New Roman" w:hAnsi="Times New Roman" w:cs="Times New Roman"/>
                <w:b/>
                <w:bCs/>
                <w:i/>
                <w:iCs/>
                <w:color w:val="000000"/>
                <w:sz w:val="24"/>
                <w:szCs w:val="24"/>
              </w:rPr>
            </w:pPr>
            <w:r w:rsidRPr="00E57ACD">
              <w:rPr>
                <w:rFonts w:ascii="Times New Roman" w:eastAsia="Times New Roman" w:hAnsi="Times New Roman" w:cs="Times New Roman"/>
                <w:b/>
                <w:bCs/>
                <w:i/>
                <w:iCs/>
                <w:color w:val="000000"/>
                <w:sz w:val="24"/>
                <w:szCs w:val="24"/>
              </w:rPr>
              <w:t>Current assets/Current Liabilities</w:t>
            </w:r>
          </w:p>
        </w:tc>
        <w:tc>
          <w:tcPr>
            <w:tcW w:w="1476" w:type="dxa"/>
            <w:tcBorders>
              <w:top w:val="nil"/>
              <w:left w:val="nil"/>
              <w:bottom w:val="single" w:sz="4" w:space="0" w:color="auto"/>
              <w:right w:val="single" w:sz="4" w:space="0" w:color="auto"/>
            </w:tcBorders>
            <w:shd w:val="clear" w:color="000000" w:fill="EAF1DD"/>
            <w:noWrap/>
            <w:vAlign w:val="bottom"/>
            <w:hideMark/>
          </w:tcPr>
          <w:p w14:paraId="2C336271"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0.81</w:t>
            </w:r>
          </w:p>
        </w:tc>
        <w:tc>
          <w:tcPr>
            <w:tcW w:w="1476" w:type="dxa"/>
            <w:tcBorders>
              <w:top w:val="nil"/>
              <w:left w:val="nil"/>
              <w:bottom w:val="single" w:sz="4" w:space="0" w:color="auto"/>
              <w:right w:val="single" w:sz="4" w:space="0" w:color="auto"/>
            </w:tcBorders>
            <w:shd w:val="clear" w:color="000000" w:fill="EAF1DD"/>
            <w:noWrap/>
            <w:vAlign w:val="bottom"/>
            <w:hideMark/>
          </w:tcPr>
          <w:p w14:paraId="4A54436B"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0.75</w:t>
            </w:r>
          </w:p>
        </w:tc>
        <w:tc>
          <w:tcPr>
            <w:tcW w:w="1476" w:type="dxa"/>
            <w:tcBorders>
              <w:top w:val="nil"/>
              <w:left w:val="nil"/>
              <w:bottom w:val="single" w:sz="4" w:space="0" w:color="auto"/>
              <w:right w:val="single" w:sz="4" w:space="0" w:color="auto"/>
            </w:tcBorders>
            <w:shd w:val="clear" w:color="000000" w:fill="EAF1DD"/>
            <w:noWrap/>
            <w:vAlign w:val="bottom"/>
            <w:hideMark/>
          </w:tcPr>
          <w:p w14:paraId="1DAB4CD2"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0.60</w:t>
            </w:r>
          </w:p>
        </w:tc>
        <w:tc>
          <w:tcPr>
            <w:tcW w:w="1476" w:type="dxa"/>
            <w:tcBorders>
              <w:top w:val="nil"/>
              <w:left w:val="nil"/>
              <w:bottom w:val="single" w:sz="4" w:space="0" w:color="auto"/>
              <w:right w:val="single" w:sz="4" w:space="0" w:color="auto"/>
            </w:tcBorders>
            <w:shd w:val="clear" w:color="000000" w:fill="EAF1DD"/>
            <w:noWrap/>
            <w:vAlign w:val="bottom"/>
            <w:hideMark/>
          </w:tcPr>
          <w:p w14:paraId="4FAECBCF"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0.88</w:t>
            </w:r>
          </w:p>
        </w:tc>
        <w:tc>
          <w:tcPr>
            <w:tcW w:w="1476" w:type="dxa"/>
            <w:tcBorders>
              <w:top w:val="nil"/>
              <w:left w:val="nil"/>
              <w:bottom w:val="single" w:sz="4" w:space="0" w:color="auto"/>
              <w:right w:val="single" w:sz="4" w:space="0" w:color="auto"/>
            </w:tcBorders>
            <w:shd w:val="clear" w:color="000000" w:fill="EAF1DD"/>
            <w:noWrap/>
            <w:vAlign w:val="bottom"/>
            <w:hideMark/>
          </w:tcPr>
          <w:p w14:paraId="7FCDB4E3"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1.45</w:t>
            </w:r>
          </w:p>
        </w:tc>
      </w:tr>
      <w:tr w:rsidR="0024245D" w:rsidRPr="00E57ACD" w14:paraId="4C033F4B"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794D2D73"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20D58F83"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 xml:space="preserve">Current Assets </w:t>
            </w:r>
          </w:p>
        </w:tc>
        <w:tc>
          <w:tcPr>
            <w:tcW w:w="1476" w:type="dxa"/>
            <w:tcBorders>
              <w:top w:val="nil"/>
              <w:left w:val="nil"/>
              <w:bottom w:val="single" w:sz="4" w:space="0" w:color="auto"/>
              <w:right w:val="single" w:sz="4" w:space="0" w:color="auto"/>
            </w:tcBorders>
            <w:shd w:val="clear" w:color="000000" w:fill="EAF1DD"/>
            <w:noWrap/>
            <w:vAlign w:val="bottom"/>
            <w:hideMark/>
          </w:tcPr>
          <w:p w14:paraId="3BEF5C72"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19,491</w:t>
            </w:r>
          </w:p>
        </w:tc>
        <w:tc>
          <w:tcPr>
            <w:tcW w:w="1476" w:type="dxa"/>
            <w:tcBorders>
              <w:top w:val="nil"/>
              <w:left w:val="nil"/>
              <w:bottom w:val="single" w:sz="4" w:space="0" w:color="auto"/>
              <w:right w:val="single" w:sz="4" w:space="0" w:color="auto"/>
            </w:tcBorders>
            <w:shd w:val="clear" w:color="000000" w:fill="EAF1DD"/>
            <w:noWrap/>
            <w:vAlign w:val="bottom"/>
            <w:hideMark/>
          </w:tcPr>
          <w:p w14:paraId="68BA62AB"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16,927</w:t>
            </w:r>
          </w:p>
        </w:tc>
        <w:tc>
          <w:tcPr>
            <w:tcW w:w="1476" w:type="dxa"/>
            <w:tcBorders>
              <w:top w:val="nil"/>
              <w:left w:val="nil"/>
              <w:bottom w:val="single" w:sz="4" w:space="0" w:color="auto"/>
              <w:right w:val="single" w:sz="4" w:space="0" w:color="auto"/>
            </w:tcBorders>
            <w:shd w:val="clear" w:color="000000" w:fill="EAF1DD"/>
            <w:noWrap/>
            <w:vAlign w:val="bottom"/>
            <w:hideMark/>
          </w:tcPr>
          <w:p w14:paraId="5168317B"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15,907</w:t>
            </w:r>
          </w:p>
        </w:tc>
        <w:tc>
          <w:tcPr>
            <w:tcW w:w="1476" w:type="dxa"/>
            <w:tcBorders>
              <w:top w:val="nil"/>
              <w:left w:val="nil"/>
              <w:bottom w:val="single" w:sz="4" w:space="0" w:color="auto"/>
              <w:right w:val="single" w:sz="4" w:space="0" w:color="auto"/>
            </w:tcBorders>
            <w:shd w:val="clear" w:color="000000" w:fill="EAF1DD"/>
            <w:noWrap/>
            <w:vAlign w:val="bottom"/>
            <w:hideMark/>
          </w:tcPr>
          <w:p w14:paraId="253F231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16,711</w:t>
            </w:r>
          </w:p>
        </w:tc>
        <w:tc>
          <w:tcPr>
            <w:tcW w:w="1476" w:type="dxa"/>
            <w:tcBorders>
              <w:top w:val="nil"/>
              <w:left w:val="nil"/>
              <w:bottom w:val="single" w:sz="4" w:space="0" w:color="auto"/>
              <w:right w:val="single" w:sz="4" w:space="0" w:color="auto"/>
            </w:tcBorders>
            <w:shd w:val="clear" w:color="000000" w:fill="EAF1DD"/>
            <w:noWrap/>
            <w:vAlign w:val="bottom"/>
            <w:hideMark/>
          </w:tcPr>
          <w:p w14:paraId="0231CFF3"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16,587</w:t>
            </w:r>
          </w:p>
        </w:tc>
      </w:tr>
      <w:tr w:rsidR="0024245D" w:rsidRPr="00E57ACD" w14:paraId="67B1AE7A"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33A00BE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1DF627E4"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Current Liabilities</w:t>
            </w:r>
          </w:p>
        </w:tc>
        <w:tc>
          <w:tcPr>
            <w:tcW w:w="1476" w:type="dxa"/>
            <w:tcBorders>
              <w:top w:val="nil"/>
              <w:left w:val="nil"/>
              <w:bottom w:val="single" w:sz="4" w:space="0" w:color="auto"/>
              <w:right w:val="single" w:sz="4" w:space="0" w:color="auto"/>
            </w:tcBorders>
            <w:shd w:val="clear" w:color="000000" w:fill="EAF1DD"/>
            <w:noWrap/>
            <w:vAlign w:val="bottom"/>
            <w:hideMark/>
          </w:tcPr>
          <w:p w14:paraId="0765106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24,050</w:t>
            </w:r>
          </w:p>
        </w:tc>
        <w:tc>
          <w:tcPr>
            <w:tcW w:w="1476" w:type="dxa"/>
            <w:tcBorders>
              <w:top w:val="nil"/>
              <w:left w:val="nil"/>
              <w:bottom w:val="single" w:sz="4" w:space="0" w:color="auto"/>
              <w:right w:val="single" w:sz="4" w:space="0" w:color="auto"/>
            </w:tcBorders>
            <w:shd w:val="clear" w:color="000000" w:fill="EAF1DD"/>
            <w:noWrap/>
            <w:vAlign w:val="bottom"/>
            <w:hideMark/>
          </w:tcPr>
          <w:p w14:paraId="4B33DAB9"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22,491</w:t>
            </w:r>
          </w:p>
        </w:tc>
        <w:tc>
          <w:tcPr>
            <w:tcW w:w="1476" w:type="dxa"/>
            <w:tcBorders>
              <w:top w:val="nil"/>
              <w:left w:val="nil"/>
              <w:bottom w:val="single" w:sz="4" w:space="0" w:color="auto"/>
              <w:right w:val="single" w:sz="4" w:space="0" w:color="auto"/>
            </w:tcBorders>
            <w:shd w:val="clear" w:color="000000" w:fill="EAF1DD"/>
            <w:noWrap/>
            <w:vAlign w:val="bottom"/>
            <w:hideMark/>
          </w:tcPr>
          <w:p w14:paraId="1F5ABCBB"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26,569</w:t>
            </w:r>
          </w:p>
        </w:tc>
        <w:tc>
          <w:tcPr>
            <w:tcW w:w="1476" w:type="dxa"/>
            <w:tcBorders>
              <w:top w:val="nil"/>
              <w:left w:val="nil"/>
              <w:bottom w:val="single" w:sz="4" w:space="0" w:color="auto"/>
              <w:right w:val="single" w:sz="4" w:space="0" w:color="auto"/>
            </w:tcBorders>
            <w:shd w:val="clear" w:color="000000" w:fill="EAF1DD"/>
            <w:noWrap/>
            <w:vAlign w:val="bottom"/>
            <w:hideMark/>
          </w:tcPr>
          <w:p w14:paraId="77071D62"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19,001</w:t>
            </w:r>
          </w:p>
        </w:tc>
        <w:tc>
          <w:tcPr>
            <w:tcW w:w="1476" w:type="dxa"/>
            <w:tcBorders>
              <w:top w:val="nil"/>
              <w:left w:val="nil"/>
              <w:bottom w:val="single" w:sz="4" w:space="0" w:color="auto"/>
              <w:right w:val="single" w:sz="4" w:space="0" w:color="auto"/>
            </w:tcBorders>
            <w:shd w:val="clear" w:color="000000" w:fill="EAF1DD"/>
            <w:noWrap/>
            <w:vAlign w:val="bottom"/>
            <w:hideMark/>
          </w:tcPr>
          <w:p w14:paraId="66FF356E"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11,417</w:t>
            </w:r>
          </w:p>
        </w:tc>
      </w:tr>
      <w:tr w:rsidR="0024245D" w:rsidRPr="00E57ACD" w14:paraId="4EE83B77"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267F5F48"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xml:space="preserve">Acid Test Ratio </w:t>
            </w:r>
          </w:p>
        </w:tc>
        <w:tc>
          <w:tcPr>
            <w:tcW w:w="2432" w:type="dxa"/>
            <w:tcBorders>
              <w:top w:val="nil"/>
              <w:left w:val="nil"/>
              <w:bottom w:val="single" w:sz="4" w:space="0" w:color="auto"/>
              <w:right w:val="single" w:sz="4" w:space="0" w:color="auto"/>
            </w:tcBorders>
            <w:shd w:val="clear" w:color="000000" w:fill="EAF1DD"/>
            <w:noWrap/>
            <w:vAlign w:val="bottom"/>
            <w:hideMark/>
          </w:tcPr>
          <w:p w14:paraId="7F770247"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(Current Assets-Inventory) / Current Liabilities</w:t>
            </w:r>
          </w:p>
        </w:tc>
        <w:tc>
          <w:tcPr>
            <w:tcW w:w="1476" w:type="dxa"/>
            <w:tcBorders>
              <w:top w:val="nil"/>
              <w:left w:val="nil"/>
              <w:bottom w:val="single" w:sz="4" w:space="0" w:color="auto"/>
              <w:right w:val="single" w:sz="4" w:space="0" w:color="auto"/>
            </w:tcBorders>
            <w:shd w:val="clear" w:color="000000" w:fill="EAF1DD"/>
            <w:noWrap/>
            <w:vAlign w:val="bottom"/>
            <w:hideMark/>
          </w:tcPr>
          <w:p w14:paraId="139F55AE"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0.5631601</w:t>
            </w:r>
          </w:p>
        </w:tc>
        <w:tc>
          <w:tcPr>
            <w:tcW w:w="1476" w:type="dxa"/>
            <w:tcBorders>
              <w:top w:val="nil"/>
              <w:left w:val="nil"/>
              <w:bottom w:val="single" w:sz="4" w:space="0" w:color="auto"/>
              <w:right w:val="single" w:sz="4" w:space="0" w:color="auto"/>
            </w:tcBorders>
            <w:shd w:val="clear" w:color="000000" w:fill="EAF1DD"/>
            <w:noWrap/>
            <w:vAlign w:val="bottom"/>
            <w:hideMark/>
          </w:tcPr>
          <w:p w14:paraId="62A6BFA9"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0.509137</w:t>
            </w:r>
          </w:p>
        </w:tc>
        <w:tc>
          <w:tcPr>
            <w:tcW w:w="1476" w:type="dxa"/>
            <w:tcBorders>
              <w:top w:val="nil"/>
              <w:left w:val="nil"/>
              <w:bottom w:val="single" w:sz="4" w:space="0" w:color="auto"/>
              <w:right w:val="single" w:sz="4" w:space="0" w:color="auto"/>
            </w:tcBorders>
            <w:shd w:val="clear" w:color="000000" w:fill="EAF1DD"/>
            <w:noWrap/>
            <w:vAlign w:val="bottom"/>
            <w:hideMark/>
          </w:tcPr>
          <w:p w14:paraId="3213B33A"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0.3895517</w:t>
            </w:r>
          </w:p>
        </w:tc>
        <w:tc>
          <w:tcPr>
            <w:tcW w:w="1476" w:type="dxa"/>
            <w:tcBorders>
              <w:top w:val="nil"/>
              <w:left w:val="nil"/>
              <w:bottom w:val="single" w:sz="4" w:space="0" w:color="auto"/>
              <w:right w:val="single" w:sz="4" w:space="0" w:color="auto"/>
            </w:tcBorders>
            <w:shd w:val="clear" w:color="000000" w:fill="EAF1DD"/>
            <w:noWrap/>
            <w:vAlign w:val="bottom"/>
            <w:hideMark/>
          </w:tcPr>
          <w:p w14:paraId="38CF8313"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0.6109678</w:t>
            </w:r>
          </w:p>
        </w:tc>
        <w:tc>
          <w:tcPr>
            <w:tcW w:w="1476" w:type="dxa"/>
            <w:tcBorders>
              <w:top w:val="nil"/>
              <w:left w:val="nil"/>
              <w:bottom w:val="single" w:sz="4" w:space="0" w:color="auto"/>
              <w:right w:val="single" w:sz="4" w:space="0" w:color="auto"/>
            </w:tcBorders>
            <w:shd w:val="clear" w:color="000000" w:fill="EAF1DD"/>
            <w:noWrap/>
            <w:vAlign w:val="bottom"/>
            <w:hideMark/>
          </w:tcPr>
          <w:p w14:paraId="0BE442ED"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0.884773</w:t>
            </w:r>
          </w:p>
        </w:tc>
      </w:tr>
      <w:tr w:rsidR="0024245D" w:rsidRPr="00E57ACD" w14:paraId="10E77731"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3E3E1501"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6EB899DB"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Current Assets-(Inventory-inventory)</w:t>
            </w:r>
          </w:p>
        </w:tc>
        <w:tc>
          <w:tcPr>
            <w:tcW w:w="1476" w:type="dxa"/>
            <w:tcBorders>
              <w:top w:val="nil"/>
              <w:left w:val="nil"/>
              <w:bottom w:val="single" w:sz="4" w:space="0" w:color="auto"/>
              <w:right w:val="single" w:sz="4" w:space="0" w:color="auto"/>
            </w:tcBorders>
            <w:shd w:val="clear" w:color="000000" w:fill="EAF1DD"/>
            <w:noWrap/>
            <w:vAlign w:val="bottom"/>
            <w:hideMark/>
          </w:tcPr>
          <w:p w14:paraId="3AF3663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13,544</w:t>
            </w:r>
          </w:p>
        </w:tc>
        <w:tc>
          <w:tcPr>
            <w:tcW w:w="1476" w:type="dxa"/>
            <w:tcBorders>
              <w:top w:val="nil"/>
              <w:left w:val="nil"/>
              <w:bottom w:val="single" w:sz="4" w:space="0" w:color="auto"/>
              <w:right w:val="single" w:sz="4" w:space="0" w:color="auto"/>
            </w:tcBorders>
            <w:shd w:val="clear" w:color="000000" w:fill="EAF1DD"/>
            <w:noWrap/>
            <w:vAlign w:val="bottom"/>
            <w:hideMark/>
          </w:tcPr>
          <w:p w14:paraId="26A5F96B"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11,451</w:t>
            </w:r>
          </w:p>
        </w:tc>
        <w:tc>
          <w:tcPr>
            <w:tcW w:w="1476" w:type="dxa"/>
            <w:tcBorders>
              <w:top w:val="nil"/>
              <w:left w:val="nil"/>
              <w:bottom w:val="single" w:sz="4" w:space="0" w:color="auto"/>
              <w:right w:val="single" w:sz="4" w:space="0" w:color="auto"/>
            </w:tcBorders>
            <w:shd w:val="clear" w:color="000000" w:fill="EAF1DD"/>
            <w:noWrap/>
            <w:vAlign w:val="bottom"/>
            <w:hideMark/>
          </w:tcPr>
          <w:p w14:paraId="485E4DBF"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10,350</w:t>
            </w:r>
          </w:p>
        </w:tc>
        <w:tc>
          <w:tcPr>
            <w:tcW w:w="1476" w:type="dxa"/>
            <w:tcBorders>
              <w:top w:val="nil"/>
              <w:left w:val="nil"/>
              <w:bottom w:val="single" w:sz="4" w:space="0" w:color="auto"/>
              <w:right w:val="single" w:sz="4" w:space="0" w:color="auto"/>
            </w:tcBorders>
            <w:shd w:val="clear" w:color="000000" w:fill="EAF1DD"/>
            <w:noWrap/>
            <w:vAlign w:val="bottom"/>
            <w:hideMark/>
          </w:tcPr>
          <w:p w14:paraId="64D963F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11,609</w:t>
            </w:r>
          </w:p>
        </w:tc>
        <w:tc>
          <w:tcPr>
            <w:tcW w:w="1476" w:type="dxa"/>
            <w:tcBorders>
              <w:top w:val="nil"/>
              <w:left w:val="nil"/>
              <w:bottom w:val="single" w:sz="4" w:space="0" w:color="auto"/>
              <w:right w:val="single" w:sz="4" w:space="0" w:color="auto"/>
            </w:tcBorders>
            <w:shd w:val="clear" w:color="000000" w:fill="EAF1DD"/>
            <w:noWrap/>
            <w:vAlign w:val="bottom"/>
            <w:hideMark/>
          </w:tcPr>
          <w:p w14:paraId="02DDC551"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11,871</w:t>
            </w:r>
          </w:p>
        </w:tc>
      </w:tr>
      <w:tr w:rsidR="0024245D" w:rsidRPr="00E57ACD" w14:paraId="6B7692F3"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1AD4403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5BB024F1"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Current Liabilities</w:t>
            </w:r>
          </w:p>
        </w:tc>
        <w:tc>
          <w:tcPr>
            <w:tcW w:w="1476" w:type="dxa"/>
            <w:tcBorders>
              <w:top w:val="nil"/>
              <w:left w:val="nil"/>
              <w:bottom w:val="single" w:sz="4" w:space="0" w:color="auto"/>
              <w:right w:val="single" w:sz="4" w:space="0" w:color="auto"/>
            </w:tcBorders>
            <w:shd w:val="clear" w:color="000000" w:fill="EAF1DD"/>
            <w:noWrap/>
            <w:vAlign w:val="bottom"/>
            <w:hideMark/>
          </w:tcPr>
          <w:p w14:paraId="0F861CC7"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24,050</w:t>
            </w:r>
          </w:p>
        </w:tc>
        <w:tc>
          <w:tcPr>
            <w:tcW w:w="1476" w:type="dxa"/>
            <w:tcBorders>
              <w:top w:val="nil"/>
              <w:left w:val="nil"/>
              <w:bottom w:val="single" w:sz="4" w:space="0" w:color="auto"/>
              <w:right w:val="single" w:sz="4" w:space="0" w:color="auto"/>
            </w:tcBorders>
            <w:shd w:val="clear" w:color="000000" w:fill="EAF1DD"/>
            <w:noWrap/>
            <w:vAlign w:val="bottom"/>
            <w:hideMark/>
          </w:tcPr>
          <w:p w14:paraId="270AAF00"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22,491</w:t>
            </w:r>
          </w:p>
        </w:tc>
        <w:tc>
          <w:tcPr>
            <w:tcW w:w="1476" w:type="dxa"/>
            <w:tcBorders>
              <w:top w:val="nil"/>
              <w:left w:val="nil"/>
              <w:bottom w:val="single" w:sz="4" w:space="0" w:color="auto"/>
              <w:right w:val="single" w:sz="4" w:space="0" w:color="auto"/>
            </w:tcBorders>
            <w:shd w:val="clear" w:color="000000" w:fill="EAF1DD"/>
            <w:noWrap/>
            <w:vAlign w:val="bottom"/>
            <w:hideMark/>
          </w:tcPr>
          <w:p w14:paraId="5FE8490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26,569</w:t>
            </w:r>
          </w:p>
        </w:tc>
        <w:tc>
          <w:tcPr>
            <w:tcW w:w="1476" w:type="dxa"/>
            <w:tcBorders>
              <w:top w:val="nil"/>
              <w:left w:val="nil"/>
              <w:bottom w:val="single" w:sz="4" w:space="0" w:color="auto"/>
              <w:right w:val="single" w:sz="4" w:space="0" w:color="auto"/>
            </w:tcBorders>
            <w:shd w:val="clear" w:color="000000" w:fill="EAF1DD"/>
            <w:noWrap/>
            <w:vAlign w:val="bottom"/>
            <w:hideMark/>
          </w:tcPr>
          <w:p w14:paraId="6D464398"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19,001</w:t>
            </w:r>
          </w:p>
        </w:tc>
        <w:tc>
          <w:tcPr>
            <w:tcW w:w="1476" w:type="dxa"/>
            <w:tcBorders>
              <w:top w:val="nil"/>
              <w:left w:val="nil"/>
              <w:bottom w:val="single" w:sz="4" w:space="0" w:color="auto"/>
              <w:right w:val="single" w:sz="4" w:space="0" w:color="auto"/>
            </w:tcBorders>
            <w:shd w:val="clear" w:color="000000" w:fill="EAF1DD"/>
            <w:noWrap/>
            <w:vAlign w:val="bottom"/>
            <w:hideMark/>
          </w:tcPr>
          <w:p w14:paraId="3B9C04F2"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13,417</w:t>
            </w:r>
          </w:p>
        </w:tc>
      </w:tr>
      <w:tr w:rsidR="0024245D" w:rsidRPr="00E57ACD" w14:paraId="18F47415"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3EF068B7"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Solvency Ratio</w:t>
            </w:r>
          </w:p>
        </w:tc>
        <w:tc>
          <w:tcPr>
            <w:tcW w:w="2432" w:type="dxa"/>
            <w:tcBorders>
              <w:top w:val="nil"/>
              <w:left w:val="nil"/>
              <w:bottom w:val="single" w:sz="4" w:space="0" w:color="auto"/>
              <w:right w:val="single" w:sz="4" w:space="0" w:color="auto"/>
            </w:tcBorders>
            <w:shd w:val="clear" w:color="000000" w:fill="EAF1DD"/>
            <w:noWrap/>
            <w:vAlign w:val="bottom"/>
            <w:hideMark/>
          </w:tcPr>
          <w:p w14:paraId="27EE18D0"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743A9F5A"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08003DF4"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0C556FAB"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44A9A52C"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3B326FB6"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r>
      <w:tr w:rsidR="0024245D" w:rsidRPr="00E57ACD" w14:paraId="70643F79"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751610BC"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Gearing Ratio</w:t>
            </w:r>
          </w:p>
        </w:tc>
        <w:tc>
          <w:tcPr>
            <w:tcW w:w="2432" w:type="dxa"/>
            <w:tcBorders>
              <w:top w:val="nil"/>
              <w:left w:val="nil"/>
              <w:bottom w:val="single" w:sz="4" w:space="0" w:color="auto"/>
              <w:right w:val="single" w:sz="4" w:space="0" w:color="auto"/>
            </w:tcBorders>
            <w:shd w:val="clear" w:color="000000" w:fill="EAF1DD"/>
            <w:noWrap/>
            <w:vAlign w:val="bottom"/>
            <w:hideMark/>
          </w:tcPr>
          <w:p w14:paraId="6A8CE498" w14:textId="77777777" w:rsidR="0024245D" w:rsidRPr="00E57ACD" w:rsidRDefault="0024245D" w:rsidP="00953755">
            <w:pPr>
              <w:spacing w:after="0" w:line="360" w:lineRule="auto"/>
              <w:jc w:val="both"/>
              <w:rPr>
                <w:rFonts w:ascii="Times New Roman" w:eastAsia="Times New Roman" w:hAnsi="Times New Roman" w:cs="Times New Roman"/>
                <w:b/>
                <w:bCs/>
                <w:i/>
                <w:iCs/>
                <w:color w:val="000000"/>
                <w:sz w:val="24"/>
                <w:szCs w:val="24"/>
              </w:rPr>
            </w:pPr>
            <w:r w:rsidRPr="00E57ACD">
              <w:rPr>
                <w:rFonts w:ascii="Times New Roman" w:eastAsia="Times New Roman" w:hAnsi="Times New Roman" w:cs="Times New Roman"/>
                <w:b/>
                <w:bCs/>
                <w:i/>
                <w:iCs/>
                <w:color w:val="000000"/>
                <w:sz w:val="24"/>
                <w:szCs w:val="24"/>
              </w:rPr>
              <w:t>Long term loans/Internal liabilities</w:t>
            </w:r>
          </w:p>
        </w:tc>
        <w:tc>
          <w:tcPr>
            <w:tcW w:w="1476" w:type="dxa"/>
            <w:tcBorders>
              <w:top w:val="nil"/>
              <w:left w:val="nil"/>
              <w:bottom w:val="single" w:sz="4" w:space="0" w:color="auto"/>
              <w:right w:val="single" w:sz="4" w:space="0" w:color="auto"/>
            </w:tcBorders>
            <w:shd w:val="clear" w:color="000000" w:fill="EAF1DD"/>
            <w:noWrap/>
            <w:vAlign w:val="bottom"/>
            <w:hideMark/>
          </w:tcPr>
          <w:p w14:paraId="3A2A956D"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1.29</w:t>
            </w:r>
          </w:p>
        </w:tc>
        <w:tc>
          <w:tcPr>
            <w:tcW w:w="1476" w:type="dxa"/>
            <w:tcBorders>
              <w:top w:val="nil"/>
              <w:left w:val="nil"/>
              <w:bottom w:val="single" w:sz="4" w:space="0" w:color="auto"/>
              <w:right w:val="single" w:sz="4" w:space="0" w:color="auto"/>
            </w:tcBorders>
            <w:shd w:val="clear" w:color="000000" w:fill="EAF1DD"/>
            <w:noWrap/>
            <w:vAlign w:val="bottom"/>
            <w:hideMark/>
          </w:tcPr>
          <w:p w14:paraId="0EB35A41"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5.52</w:t>
            </w:r>
          </w:p>
        </w:tc>
        <w:tc>
          <w:tcPr>
            <w:tcW w:w="1476" w:type="dxa"/>
            <w:tcBorders>
              <w:top w:val="nil"/>
              <w:left w:val="nil"/>
              <w:bottom w:val="single" w:sz="4" w:space="0" w:color="auto"/>
              <w:right w:val="single" w:sz="4" w:space="0" w:color="auto"/>
            </w:tcBorders>
            <w:shd w:val="clear" w:color="000000" w:fill="EAF1DD"/>
            <w:noWrap/>
            <w:vAlign w:val="bottom"/>
            <w:hideMark/>
          </w:tcPr>
          <w:p w14:paraId="119A396C"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7.54</w:t>
            </w:r>
          </w:p>
        </w:tc>
        <w:tc>
          <w:tcPr>
            <w:tcW w:w="1476" w:type="dxa"/>
            <w:tcBorders>
              <w:top w:val="nil"/>
              <w:left w:val="nil"/>
              <w:bottom w:val="single" w:sz="4" w:space="0" w:color="auto"/>
              <w:right w:val="single" w:sz="4" w:space="0" w:color="auto"/>
            </w:tcBorders>
            <w:shd w:val="clear" w:color="000000" w:fill="EAF1DD"/>
            <w:noWrap/>
            <w:vAlign w:val="bottom"/>
            <w:hideMark/>
          </w:tcPr>
          <w:p w14:paraId="6499947C"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7.08</w:t>
            </w:r>
          </w:p>
        </w:tc>
        <w:tc>
          <w:tcPr>
            <w:tcW w:w="1476" w:type="dxa"/>
            <w:tcBorders>
              <w:top w:val="nil"/>
              <w:left w:val="nil"/>
              <w:bottom w:val="single" w:sz="4" w:space="0" w:color="auto"/>
              <w:right w:val="single" w:sz="4" w:space="0" w:color="auto"/>
            </w:tcBorders>
            <w:shd w:val="clear" w:color="000000" w:fill="EAF1DD"/>
            <w:noWrap/>
            <w:vAlign w:val="bottom"/>
            <w:hideMark/>
          </w:tcPr>
          <w:p w14:paraId="72E25859"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3.51</w:t>
            </w:r>
          </w:p>
        </w:tc>
      </w:tr>
      <w:tr w:rsidR="0024245D" w:rsidRPr="00E57ACD" w14:paraId="144B4D18"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50E3E99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lastRenderedPageBreak/>
              <w:t> </w:t>
            </w:r>
          </w:p>
        </w:tc>
        <w:tc>
          <w:tcPr>
            <w:tcW w:w="2432" w:type="dxa"/>
            <w:tcBorders>
              <w:top w:val="nil"/>
              <w:left w:val="nil"/>
              <w:bottom w:val="single" w:sz="4" w:space="0" w:color="auto"/>
              <w:right w:val="single" w:sz="4" w:space="0" w:color="auto"/>
            </w:tcBorders>
            <w:shd w:val="clear" w:color="000000" w:fill="EAF1DD"/>
            <w:noWrap/>
            <w:vAlign w:val="bottom"/>
            <w:hideMark/>
          </w:tcPr>
          <w:p w14:paraId="5284F73B"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Long term liability</w:t>
            </w:r>
          </w:p>
        </w:tc>
        <w:tc>
          <w:tcPr>
            <w:tcW w:w="1476" w:type="dxa"/>
            <w:tcBorders>
              <w:top w:val="nil"/>
              <w:left w:val="nil"/>
              <w:bottom w:val="single" w:sz="4" w:space="0" w:color="auto"/>
              <w:right w:val="single" w:sz="4" w:space="0" w:color="auto"/>
            </w:tcBorders>
            <w:shd w:val="clear" w:color="000000" w:fill="EAF1DD"/>
            <w:noWrap/>
            <w:vAlign w:val="bottom"/>
            <w:hideMark/>
          </w:tcPr>
          <w:p w14:paraId="520D872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23,590</w:t>
            </w:r>
          </w:p>
        </w:tc>
        <w:tc>
          <w:tcPr>
            <w:tcW w:w="1476" w:type="dxa"/>
            <w:tcBorders>
              <w:top w:val="nil"/>
              <w:left w:val="nil"/>
              <w:bottom w:val="single" w:sz="4" w:space="0" w:color="auto"/>
              <w:right w:val="single" w:sz="4" w:space="0" w:color="auto"/>
            </w:tcBorders>
            <w:shd w:val="clear" w:color="000000" w:fill="EAF1DD"/>
            <w:noWrap/>
            <w:vAlign w:val="bottom"/>
            <w:hideMark/>
          </w:tcPr>
          <w:p w14:paraId="6C077CA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20,271</w:t>
            </w:r>
          </w:p>
        </w:tc>
        <w:tc>
          <w:tcPr>
            <w:tcW w:w="1476" w:type="dxa"/>
            <w:tcBorders>
              <w:top w:val="nil"/>
              <w:left w:val="nil"/>
              <w:bottom w:val="single" w:sz="4" w:space="0" w:color="auto"/>
              <w:right w:val="single" w:sz="4" w:space="0" w:color="auto"/>
            </w:tcBorders>
            <w:shd w:val="clear" w:color="000000" w:fill="EAF1DD"/>
            <w:noWrap/>
            <w:vAlign w:val="bottom"/>
            <w:hideMark/>
          </w:tcPr>
          <w:p w14:paraId="7646BC94"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26,323</w:t>
            </w:r>
          </w:p>
        </w:tc>
        <w:tc>
          <w:tcPr>
            <w:tcW w:w="1476" w:type="dxa"/>
            <w:tcBorders>
              <w:top w:val="nil"/>
              <w:left w:val="nil"/>
              <w:bottom w:val="single" w:sz="4" w:space="0" w:color="auto"/>
              <w:right w:val="single" w:sz="4" w:space="0" w:color="auto"/>
            </w:tcBorders>
            <w:shd w:val="clear" w:color="000000" w:fill="EAF1DD"/>
            <w:noWrap/>
            <w:vAlign w:val="bottom"/>
            <w:hideMark/>
          </w:tcPr>
          <w:p w14:paraId="12BD81C3"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35,117</w:t>
            </w:r>
          </w:p>
        </w:tc>
        <w:tc>
          <w:tcPr>
            <w:tcW w:w="1476" w:type="dxa"/>
            <w:tcBorders>
              <w:top w:val="nil"/>
              <w:left w:val="nil"/>
              <w:bottom w:val="single" w:sz="4" w:space="0" w:color="auto"/>
              <w:right w:val="single" w:sz="4" w:space="0" w:color="auto"/>
            </w:tcBorders>
            <w:shd w:val="clear" w:color="000000" w:fill="EAF1DD"/>
            <w:noWrap/>
            <w:vAlign w:val="bottom"/>
            <w:hideMark/>
          </w:tcPr>
          <w:p w14:paraId="0B27E365"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31,151</w:t>
            </w:r>
          </w:p>
        </w:tc>
      </w:tr>
      <w:tr w:rsidR="0024245D" w:rsidRPr="00E57ACD" w14:paraId="2B18AEAC"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27D95C6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58BB78BE"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Owner's equity</w:t>
            </w:r>
          </w:p>
        </w:tc>
        <w:tc>
          <w:tcPr>
            <w:tcW w:w="1476" w:type="dxa"/>
            <w:tcBorders>
              <w:top w:val="nil"/>
              <w:left w:val="nil"/>
              <w:bottom w:val="single" w:sz="4" w:space="0" w:color="auto"/>
              <w:right w:val="single" w:sz="4" w:space="0" w:color="auto"/>
            </w:tcBorders>
            <w:shd w:val="clear" w:color="000000" w:fill="EAF1DD"/>
            <w:noWrap/>
            <w:vAlign w:val="bottom"/>
            <w:hideMark/>
          </w:tcPr>
          <w:p w14:paraId="2B14053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18,357</w:t>
            </w:r>
          </w:p>
        </w:tc>
        <w:tc>
          <w:tcPr>
            <w:tcW w:w="1476" w:type="dxa"/>
            <w:tcBorders>
              <w:top w:val="nil"/>
              <w:left w:val="nil"/>
              <w:bottom w:val="single" w:sz="4" w:space="0" w:color="auto"/>
              <w:right w:val="single" w:sz="4" w:space="0" w:color="auto"/>
            </w:tcBorders>
            <w:shd w:val="clear" w:color="000000" w:fill="EAF1DD"/>
            <w:noWrap/>
            <w:vAlign w:val="bottom"/>
            <w:hideMark/>
          </w:tcPr>
          <w:p w14:paraId="3A19C46F"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3,672</w:t>
            </w:r>
          </w:p>
        </w:tc>
        <w:tc>
          <w:tcPr>
            <w:tcW w:w="1476" w:type="dxa"/>
            <w:tcBorders>
              <w:top w:val="nil"/>
              <w:left w:val="nil"/>
              <w:bottom w:val="single" w:sz="4" w:space="0" w:color="auto"/>
              <w:right w:val="single" w:sz="4" w:space="0" w:color="auto"/>
            </w:tcBorders>
            <w:shd w:val="clear" w:color="000000" w:fill="EAF1DD"/>
            <w:noWrap/>
            <w:vAlign w:val="bottom"/>
            <w:hideMark/>
          </w:tcPr>
          <w:p w14:paraId="0991B6E9"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3,489</w:t>
            </w:r>
          </w:p>
        </w:tc>
        <w:tc>
          <w:tcPr>
            <w:tcW w:w="1476" w:type="dxa"/>
            <w:tcBorders>
              <w:top w:val="nil"/>
              <w:left w:val="nil"/>
              <w:bottom w:val="single" w:sz="4" w:space="0" w:color="auto"/>
              <w:right w:val="single" w:sz="4" w:space="0" w:color="auto"/>
            </w:tcBorders>
            <w:shd w:val="clear" w:color="000000" w:fill="EAF1DD"/>
            <w:noWrap/>
            <w:vAlign w:val="bottom"/>
            <w:hideMark/>
          </w:tcPr>
          <w:p w14:paraId="3622C14B"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4,963</w:t>
            </w:r>
          </w:p>
        </w:tc>
        <w:tc>
          <w:tcPr>
            <w:tcW w:w="1476" w:type="dxa"/>
            <w:tcBorders>
              <w:top w:val="nil"/>
              <w:left w:val="nil"/>
              <w:bottom w:val="single" w:sz="4" w:space="0" w:color="auto"/>
              <w:right w:val="single" w:sz="4" w:space="0" w:color="auto"/>
            </w:tcBorders>
            <w:shd w:val="clear" w:color="000000" w:fill="EAF1DD"/>
            <w:noWrap/>
            <w:vAlign w:val="bottom"/>
            <w:hideMark/>
          </w:tcPr>
          <w:p w14:paraId="6E5E1A02"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8,878</w:t>
            </w:r>
          </w:p>
        </w:tc>
      </w:tr>
      <w:tr w:rsidR="0024245D" w:rsidRPr="00E57ACD" w14:paraId="1C9EBDA3"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6CF1BE58"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hideMark/>
          </w:tcPr>
          <w:p w14:paraId="11202936"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hideMark/>
          </w:tcPr>
          <w:p w14:paraId="19D9BE2F"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hideMark/>
          </w:tcPr>
          <w:p w14:paraId="5161C214"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hideMark/>
          </w:tcPr>
          <w:p w14:paraId="2E5F4B2A"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hideMark/>
          </w:tcPr>
          <w:p w14:paraId="18D35231"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hideMark/>
          </w:tcPr>
          <w:p w14:paraId="7E04E3A9"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r>
      <w:tr w:rsidR="0024245D" w:rsidRPr="00E57ACD" w14:paraId="7E625577"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10DDD7C8"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Debt to asset</w:t>
            </w:r>
          </w:p>
        </w:tc>
        <w:tc>
          <w:tcPr>
            <w:tcW w:w="2432" w:type="dxa"/>
            <w:tcBorders>
              <w:top w:val="nil"/>
              <w:left w:val="nil"/>
              <w:bottom w:val="single" w:sz="4" w:space="0" w:color="auto"/>
              <w:right w:val="single" w:sz="4" w:space="0" w:color="auto"/>
            </w:tcBorders>
            <w:shd w:val="clear" w:color="000000" w:fill="EAF1DD"/>
            <w:noWrap/>
            <w:hideMark/>
          </w:tcPr>
          <w:p w14:paraId="29ABC4A9" w14:textId="77777777" w:rsidR="0024245D" w:rsidRPr="00E57ACD" w:rsidRDefault="0024245D" w:rsidP="00953755">
            <w:pPr>
              <w:spacing w:after="0" w:line="360" w:lineRule="auto"/>
              <w:jc w:val="both"/>
              <w:rPr>
                <w:rFonts w:ascii="Times New Roman" w:eastAsia="Times New Roman" w:hAnsi="Times New Roman" w:cs="Times New Roman"/>
                <w:b/>
                <w:bCs/>
                <w:i/>
                <w:iCs/>
                <w:color w:val="000000"/>
                <w:sz w:val="24"/>
                <w:szCs w:val="24"/>
              </w:rPr>
            </w:pPr>
            <w:r w:rsidRPr="00E57ACD">
              <w:rPr>
                <w:rFonts w:ascii="Times New Roman" w:eastAsia="Times New Roman" w:hAnsi="Times New Roman" w:cs="Times New Roman"/>
                <w:b/>
                <w:bCs/>
                <w:i/>
                <w:iCs/>
                <w:color w:val="000000"/>
                <w:sz w:val="24"/>
                <w:szCs w:val="24"/>
              </w:rPr>
              <w:t>Debt/Total Asset</w:t>
            </w:r>
          </w:p>
        </w:tc>
        <w:tc>
          <w:tcPr>
            <w:tcW w:w="1476" w:type="dxa"/>
            <w:tcBorders>
              <w:top w:val="nil"/>
              <w:left w:val="nil"/>
              <w:bottom w:val="single" w:sz="4" w:space="0" w:color="auto"/>
              <w:right w:val="single" w:sz="4" w:space="0" w:color="auto"/>
            </w:tcBorders>
            <w:shd w:val="clear" w:color="000000" w:fill="EAF1DD"/>
            <w:noWrap/>
            <w:vAlign w:val="bottom"/>
            <w:hideMark/>
          </w:tcPr>
          <w:p w14:paraId="3DA4594B"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0.30</w:t>
            </w:r>
          </w:p>
        </w:tc>
        <w:tc>
          <w:tcPr>
            <w:tcW w:w="1476" w:type="dxa"/>
            <w:tcBorders>
              <w:top w:val="nil"/>
              <w:left w:val="nil"/>
              <w:bottom w:val="single" w:sz="4" w:space="0" w:color="auto"/>
              <w:right w:val="single" w:sz="4" w:space="0" w:color="auto"/>
            </w:tcBorders>
            <w:shd w:val="clear" w:color="000000" w:fill="EAF1DD"/>
            <w:noWrap/>
            <w:vAlign w:val="bottom"/>
            <w:hideMark/>
          </w:tcPr>
          <w:p w14:paraId="65025A2D"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0.35</w:t>
            </w:r>
          </w:p>
        </w:tc>
        <w:tc>
          <w:tcPr>
            <w:tcW w:w="1476" w:type="dxa"/>
            <w:tcBorders>
              <w:top w:val="nil"/>
              <w:left w:val="nil"/>
              <w:bottom w:val="single" w:sz="4" w:space="0" w:color="auto"/>
              <w:right w:val="single" w:sz="4" w:space="0" w:color="auto"/>
            </w:tcBorders>
            <w:shd w:val="clear" w:color="000000" w:fill="EAF1DD"/>
            <w:noWrap/>
            <w:vAlign w:val="bottom"/>
            <w:hideMark/>
          </w:tcPr>
          <w:p w14:paraId="264A5893"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0.42</w:t>
            </w:r>
          </w:p>
        </w:tc>
        <w:tc>
          <w:tcPr>
            <w:tcW w:w="1476" w:type="dxa"/>
            <w:tcBorders>
              <w:top w:val="nil"/>
              <w:left w:val="nil"/>
              <w:bottom w:val="single" w:sz="4" w:space="0" w:color="auto"/>
              <w:right w:val="single" w:sz="4" w:space="0" w:color="auto"/>
            </w:tcBorders>
            <w:shd w:val="clear" w:color="000000" w:fill="EAF1DD"/>
            <w:noWrap/>
            <w:vAlign w:val="bottom"/>
            <w:hideMark/>
          </w:tcPr>
          <w:p w14:paraId="0D34CC48"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0.34</w:t>
            </w:r>
          </w:p>
        </w:tc>
        <w:tc>
          <w:tcPr>
            <w:tcW w:w="1476" w:type="dxa"/>
            <w:tcBorders>
              <w:top w:val="nil"/>
              <w:left w:val="nil"/>
              <w:bottom w:val="single" w:sz="4" w:space="0" w:color="auto"/>
              <w:right w:val="single" w:sz="4" w:space="0" w:color="auto"/>
            </w:tcBorders>
            <w:shd w:val="clear" w:color="000000" w:fill="EAF1DD"/>
            <w:noWrap/>
            <w:vAlign w:val="bottom"/>
            <w:hideMark/>
          </w:tcPr>
          <w:p w14:paraId="3D8DA792"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0.58</w:t>
            </w:r>
          </w:p>
        </w:tc>
      </w:tr>
      <w:tr w:rsidR="0024245D" w:rsidRPr="00E57ACD" w14:paraId="3DB7D982"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1D75B6B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hideMark/>
          </w:tcPr>
          <w:p w14:paraId="47F0118E"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Debt</w:t>
            </w:r>
          </w:p>
        </w:tc>
        <w:tc>
          <w:tcPr>
            <w:tcW w:w="1476" w:type="dxa"/>
            <w:tcBorders>
              <w:top w:val="nil"/>
              <w:left w:val="nil"/>
              <w:bottom w:val="single" w:sz="4" w:space="0" w:color="auto"/>
              <w:right w:val="single" w:sz="4" w:space="0" w:color="auto"/>
            </w:tcBorders>
            <w:shd w:val="clear" w:color="000000" w:fill="EAF1DD"/>
            <w:noWrap/>
            <w:vAlign w:val="bottom"/>
            <w:hideMark/>
          </w:tcPr>
          <w:p w14:paraId="5FDE4475"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23,590</w:t>
            </w:r>
          </w:p>
        </w:tc>
        <w:tc>
          <w:tcPr>
            <w:tcW w:w="1476" w:type="dxa"/>
            <w:tcBorders>
              <w:top w:val="nil"/>
              <w:left w:val="nil"/>
              <w:bottom w:val="single" w:sz="4" w:space="0" w:color="auto"/>
              <w:right w:val="single" w:sz="4" w:space="0" w:color="auto"/>
            </w:tcBorders>
            <w:shd w:val="clear" w:color="000000" w:fill="EAF1DD"/>
            <w:noWrap/>
            <w:vAlign w:val="bottom"/>
            <w:hideMark/>
          </w:tcPr>
          <w:p w14:paraId="6CF52E78"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20,271</w:t>
            </w:r>
          </w:p>
        </w:tc>
        <w:tc>
          <w:tcPr>
            <w:tcW w:w="1476" w:type="dxa"/>
            <w:tcBorders>
              <w:top w:val="nil"/>
              <w:left w:val="nil"/>
              <w:bottom w:val="single" w:sz="4" w:space="0" w:color="auto"/>
              <w:right w:val="single" w:sz="4" w:space="0" w:color="auto"/>
            </w:tcBorders>
            <w:shd w:val="clear" w:color="000000" w:fill="EAF1DD"/>
            <w:noWrap/>
            <w:vAlign w:val="bottom"/>
            <w:hideMark/>
          </w:tcPr>
          <w:p w14:paraId="15049600"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23,590</w:t>
            </w:r>
          </w:p>
        </w:tc>
        <w:tc>
          <w:tcPr>
            <w:tcW w:w="1476" w:type="dxa"/>
            <w:tcBorders>
              <w:top w:val="nil"/>
              <w:left w:val="nil"/>
              <w:bottom w:val="single" w:sz="4" w:space="0" w:color="auto"/>
              <w:right w:val="single" w:sz="4" w:space="0" w:color="auto"/>
            </w:tcBorders>
            <w:shd w:val="clear" w:color="000000" w:fill="EAF1DD"/>
            <w:noWrap/>
            <w:vAlign w:val="bottom"/>
            <w:hideMark/>
          </w:tcPr>
          <w:p w14:paraId="6BFB40C2"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20,271</w:t>
            </w:r>
          </w:p>
        </w:tc>
        <w:tc>
          <w:tcPr>
            <w:tcW w:w="1476" w:type="dxa"/>
            <w:tcBorders>
              <w:top w:val="nil"/>
              <w:left w:val="nil"/>
              <w:bottom w:val="single" w:sz="4" w:space="0" w:color="auto"/>
              <w:right w:val="single" w:sz="4" w:space="0" w:color="auto"/>
            </w:tcBorders>
            <w:shd w:val="clear" w:color="000000" w:fill="EAF1DD"/>
            <w:noWrap/>
            <w:vAlign w:val="bottom"/>
            <w:hideMark/>
          </w:tcPr>
          <w:p w14:paraId="20F04C9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31,151</w:t>
            </w:r>
          </w:p>
        </w:tc>
      </w:tr>
      <w:tr w:rsidR="0024245D" w:rsidRPr="00E57ACD" w14:paraId="1AB61CBA"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51202C17"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hideMark/>
          </w:tcPr>
          <w:p w14:paraId="5A483C5B"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Total Assets</w:t>
            </w:r>
          </w:p>
        </w:tc>
        <w:tc>
          <w:tcPr>
            <w:tcW w:w="1476" w:type="dxa"/>
            <w:tcBorders>
              <w:top w:val="nil"/>
              <w:left w:val="nil"/>
              <w:bottom w:val="single" w:sz="4" w:space="0" w:color="auto"/>
              <w:right w:val="single" w:sz="4" w:space="0" w:color="auto"/>
            </w:tcBorders>
            <w:shd w:val="clear" w:color="000000" w:fill="EAF1DD"/>
            <w:noWrap/>
            <w:vAlign w:val="bottom"/>
            <w:hideMark/>
          </w:tcPr>
          <w:p w14:paraId="20404C4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79,692</w:t>
            </w:r>
          </w:p>
        </w:tc>
        <w:tc>
          <w:tcPr>
            <w:tcW w:w="1476" w:type="dxa"/>
            <w:tcBorders>
              <w:top w:val="nil"/>
              <w:left w:val="nil"/>
              <w:bottom w:val="single" w:sz="4" w:space="0" w:color="auto"/>
              <w:right w:val="single" w:sz="4" w:space="0" w:color="auto"/>
            </w:tcBorders>
            <w:shd w:val="clear" w:color="000000" w:fill="EAF1DD"/>
            <w:noWrap/>
            <w:vAlign w:val="bottom"/>
            <w:hideMark/>
          </w:tcPr>
          <w:p w14:paraId="5DBACB68"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58,066</w:t>
            </w:r>
          </w:p>
        </w:tc>
        <w:tc>
          <w:tcPr>
            <w:tcW w:w="1476" w:type="dxa"/>
            <w:tcBorders>
              <w:top w:val="nil"/>
              <w:left w:val="nil"/>
              <w:bottom w:val="single" w:sz="4" w:space="0" w:color="auto"/>
              <w:right w:val="single" w:sz="4" w:space="0" w:color="auto"/>
            </w:tcBorders>
            <w:shd w:val="clear" w:color="000000" w:fill="EAF1DD"/>
            <w:noWrap/>
            <w:vAlign w:val="bottom"/>
            <w:hideMark/>
          </w:tcPr>
          <w:p w14:paraId="621A348A"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56,381</w:t>
            </w:r>
          </w:p>
        </w:tc>
        <w:tc>
          <w:tcPr>
            <w:tcW w:w="1476" w:type="dxa"/>
            <w:tcBorders>
              <w:top w:val="nil"/>
              <w:left w:val="nil"/>
              <w:bottom w:val="single" w:sz="4" w:space="0" w:color="auto"/>
              <w:right w:val="single" w:sz="4" w:space="0" w:color="auto"/>
            </w:tcBorders>
            <w:shd w:val="clear" w:color="000000" w:fill="EAF1DD"/>
            <w:noWrap/>
            <w:vAlign w:val="bottom"/>
            <w:hideMark/>
          </w:tcPr>
          <w:p w14:paraId="225E7138"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59,081</w:t>
            </w:r>
          </w:p>
        </w:tc>
        <w:tc>
          <w:tcPr>
            <w:tcW w:w="1476" w:type="dxa"/>
            <w:tcBorders>
              <w:top w:val="nil"/>
              <w:left w:val="nil"/>
              <w:bottom w:val="single" w:sz="4" w:space="0" w:color="auto"/>
              <w:right w:val="single" w:sz="4" w:space="0" w:color="auto"/>
            </w:tcBorders>
            <w:shd w:val="clear" w:color="000000" w:fill="EAF1DD"/>
            <w:noWrap/>
            <w:vAlign w:val="bottom"/>
            <w:hideMark/>
          </w:tcPr>
          <w:p w14:paraId="1C2A3814"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53,446</w:t>
            </w:r>
          </w:p>
        </w:tc>
      </w:tr>
      <w:tr w:rsidR="0024245D" w:rsidRPr="00E57ACD" w14:paraId="5A4FFF7D" w14:textId="77777777" w:rsidTr="00C16EEB">
        <w:trPr>
          <w:trHeight w:val="300"/>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5778CDA8"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vAlign w:val="bottom"/>
            <w:hideMark/>
          </w:tcPr>
          <w:p w14:paraId="507687D0"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6E4511F9"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6ACF6E5F"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32CA288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108179D2"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522B184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r>
      <w:tr w:rsidR="0024245D" w:rsidRPr="00E57ACD" w14:paraId="3754C2DC"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4A093D1F"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Interest coverage</w:t>
            </w:r>
          </w:p>
        </w:tc>
        <w:tc>
          <w:tcPr>
            <w:tcW w:w="2432" w:type="dxa"/>
            <w:tcBorders>
              <w:top w:val="nil"/>
              <w:left w:val="nil"/>
              <w:bottom w:val="single" w:sz="4" w:space="0" w:color="auto"/>
              <w:right w:val="single" w:sz="4" w:space="0" w:color="auto"/>
            </w:tcBorders>
            <w:shd w:val="clear" w:color="000000" w:fill="EAF1DD"/>
            <w:noWrap/>
            <w:hideMark/>
          </w:tcPr>
          <w:p w14:paraId="5F7A9884" w14:textId="77777777" w:rsidR="0024245D" w:rsidRPr="00E57ACD" w:rsidRDefault="0024245D" w:rsidP="00953755">
            <w:pPr>
              <w:spacing w:after="0" w:line="360" w:lineRule="auto"/>
              <w:jc w:val="both"/>
              <w:rPr>
                <w:rFonts w:ascii="Times New Roman" w:eastAsia="Times New Roman" w:hAnsi="Times New Roman" w:cs="Times New Roman"/>
                <w:b/>
                <w:bCs/>
                <w:i/>
                <w:iCs/>
                <w:color w:val="000000"/>
                <w:sz w:val="24"/>
                <w:szCs w:val="24"/>
              </w:rPr>
            </w:pPr>
            <w:r w:rsidRPr="00E57ACD">
              <w:rPr>
                <w:rFonts w:ascii="Times New Roman" w:eastAsia="Times New Roman" w:hAnsi="Times New Roman" w:cs="Times New Roman"/>
                <w:b/>
                <w:bCs/>
                <w:i/>
                <w:iCs/>
                <w:color w:val="000000"/>
                <w:sz w:val="24"/>
                <w:szCs w:val="24"/>
              </w:rPr>
              <w:t>PBIT/Interest</w:t>
            </w:r>
          </w:p>
        </w:tc>
        <w:tc>
          <w:tcPr>
            <w:tcW w:w="1476" w:type="dxa"/>
            <w:tcBorders>
              <w:top w:val="nil"/>
              <w:left w:val="nil"/>
              <w:bottom w:val="single" w:sz="4" w:space="0" w:color="auto"/>
              <w:right w:val="single" w:sz="4" w:space="0" w:color="auto"/>
            </w:tcBorders>
            <w:shd w:val="clear" w:color="000000" w:fill="EAF1DD"/>
            <w:noWrap/>
            <w:vAlign w:val="bottom"/>
            <w:hideMark/>
          </w:tcPr>
          <w:p w14:paraId="7D39DA03"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6.95</w:t>
            </w:r>
          </w:p>
        </w:tc>
        <w:tc>
          <w:tcPr>
            <w:tcW w:w="1476" w:type="dxa"/>
            <w:tcBorders>
              <w:top w:val="nil"/>
              <w:left w:val="nil"/>
              <w:bottom w:val="single" w:sz="4" w:space="0" w:color="auto"/>
              <w:right w:val="single" w:sz="4" w:space="0" w:color="auto"/>
            </w:tcBorders>
            <w:shd w:val="clear" w:color="000000" w:fill="EAF1DD"/>
            <w:noWrap/>
            <w:vAlign w:val="bottom"/>
            <w:hideMark/>
          </w:tcPr>
          <w:p w14:paraId="2F6DB208"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6.27</w:t>
            </w:r>
          </w:p>
        </w:tc>
        <w:tc>
          <w:tcPr>
            <w:tcW w:w="1476" w:type="dxa"/>
            <w:tcBorders>
              <w:top w:val="nil"/>
              <w:left w:val="nil"/>
              <w:bottom w:val="single" w:sz="4" w:space="0" w:color="auto"/>
              <w:right w:val="single" w:sz="4" w:space="0" w:color="auto"/>
            </w:tcBorders>
            <w:shd w:val="clear" w:color="000000" w:fill="EAF1DD"/>
            <w:noWrap/>
            <w:vAlign w:val="bottom"/>
            <w:hideMark/>
          </w:tcPr>
          <w:p w14:paraId="1E53AA03"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4.51</w:t>
            </w:r>
          </w:p>
        </w:tc>
        <w:tc>
          <w:tcPr>
            <w:tcW w:w="1476" w:type="dxa"/>
            <w:tcBorders>
              <w:top w:val="nil"/>
              <w:left w:val="nil"/>
              <w:bottom w:val="single" w:sz="4" w:space="0" w:color="auto"/>
              <w:right w:val="single" w:sz="4" w:space="0" w:color="auto"/>
            </w:tcBorders>
            <w:shd w:val="clear" w:color="000000" w:fill="EAF1DD"/>
            <w:noWrap/>
            <w:vAlign w:val="bottom"/>
            <w:hideMark/>
          </w:tcPr>
          <w:p w14:paraId="0AADE50C"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2.77</w:t>
            </w:r>
          </w:p>
        </w:tc>
        <w:tc>
          <w:tcPr>
            <w:tcW w:w="1476" w:type="dxa"/>
            <w:tcBorders>
              <w:top w:val="nil"/>
              <w:left w:val="nil"/>
              <w:bottom w:val="single" w:sz="4" w:space="0" w:color="auto"/>
              <w:right w:val="single" w:sz="4" w:space="0" w:color="auto"/>
            </w:tcBorders>
            <w:shd w:val="clear" w:color="000000" w:fill="EAF1DD"/>
            <w:noWrap/>
            <w:vAlign w:val="bottom"/>
            <w:hideMark/>
          </w:tcPr>
          <w:p w14:paraId="4C38BA6D"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14.64</w:t>
            </w:r>
          </w:p>
        </w:tc>
      </w:tr>
      <w:tr w:rsidR="0024245D" w:rsidRPr="00E57ACD" w14:paraId="5C63FA05"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49C454E7"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hideMark/>
          </w:tcPr>
          <w:p w14:paraId="0BF9F9BD"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PBIT</w:t>
            </w:r>
          </w:p>
        </w:tc>
        <w:tc>
          <w:tcPr>
            <w:tcW w:w="1476" w:type="dxa"/>
            <w:tcBorders>
              <w:top w:val="nil"/>
              <w:left w:val="nil"/>
              <w:bottom w:val="single" w:sz="4" w:space="0" w:color="auto"/>
              <w:right w:val="single" w:sz="4" w:space="0" w:color="auto"/>
            </w:tcBorders>
            <w:shd w:val="clear" w:color="000000" w:fill="EAF1DD"/>
            <w:noWrap/>
            <w:vAlign w:val="bottom"/>
            <w:hideMark/>
          </w:tcPr>
          <w:p w14:paraId="0FEE76A5"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6,221</w:t>
            </w:r>
          </w:p>
        </w:tc>
        <w:tc>
          <w:tcPr>
            <w:tcW w:w="1476" w:type="dxa"/>
            <w:tcBorders>
              <w:top w:val="nil"/>
              <w:left w:val="nil"/>
              <w:bottom w:val="single" w:sz="4" w:space="0" w:color="auto"/>
              <w:right w:val="single" w:sz="4" w:space="0" w:color="auto"/>
            </w:tcBorders>
            <w:shd w:val="clear" w:color="000000" w:fill="EAF1DD"/>
            <w:noWrap/>
            <w:vAlign w:val="bottom"/>
            <w:hideMark/>
          </w:tcPr>
          <w:p w14:paraId="4A4A4725"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4,800</w:t>
            </w:r>
          </w:p>
        </w:tc>
        <w:tc>
          <w:tcPr>
            <w:tcW w:w="1476" w:type="dxa"/>
            <w:tcBorders>
              <w:top w:val="nil"/>
              <w:left w:val="nil"/>
              <w:bottom w:val="single" w:sz="4" w:space="0" w:color="auto"/>
              <w:right w:val="single" w:sz="4" w:space="0" w:color="auto"/>
            </w:tcBorders>
            <w:shd w:val="clear" w:color="000000" w:fill="EAF1DD"/>
            <w:noWrap/>
            <w:vAlign w:val="bottom"/>
            <w:hideMark/>
          </w:tcPr>
          <w:p w14:paraId="1E9840EB"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3,525</w:t>
            </w:r>
          </w:p>
        </w:tc>
        <w:tc>
          <w:tcPr>
            <w:tcW w:w="1476" w:type="dxa"/>
            <w:tcBorders>
              <w:top w:val="nil"/>
              <w:left w:val="nil"/>
              <w:bottom w:val="single" w:sz="4" w:space="0" w:color="auto"/>
              <w:right w:val="single" w:sz="4" w:space="0" w:color="auto"/>
            </w:tcBorders>
            <w:shd w:val="clear" w:color="000000" w:fill="EAF1DD"/>
            <w:noWrap/>
            <w:vAlign w:val="bottom"/>
            <w:hideMark/>
          </w:tcPr>
          <w:p w14:paraId="51FF2F1E"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1,939</w:t>
            </w:r>
          </w:p>
        </w:tc>
        <w:tc>
          <w:tcPr>
            <w:tcW w:w="1476" w:type="dxa"/>
            <w:tcBorders>
              <w:top w:val="nil"/>
              <w:left w:val="nil"/>
              <w:bottom w:val="single" w:sz="4" w:space="0" w:color="auto"/>
              <w:right w:val="single" w:sz="4" w:space="0" w:color="auto"/>
            </w:tcBorders>
            <w:shd w:val="clear" w:color="000000" w:fill="EAF1DD"/>
            <w:noWrap/>
            <w:vAlign w:val="bottom"/>
            <w:hideMark/>
          </w:tcPr>
          <w:p w14:paraId="45BF7122"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10,526</w:t>
            </w:r>
          </w:p>
        </w:tc>
      </w:tr>
      <w:tr w:rsidR="0024245D" w:rsidRPr="00E57ACD" w14:paraId="105ADEA1"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027B7566"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hideMark/>
          </w:tcPr>
          <w:p w14:paraId="55538CE4"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Interest</w:t>
            </w:r>
          </w:p>
        </w:tc>
        <w:tc>
          <w:tcPr>
            <w:tcW w:w="1476" w:type="dxa"/>
            <w:tcBorders>
              <w:top w:val="nil"/>
              <w:left w:val="nil"/>
              <w:bottom w:val="single" w:sz="4" w:space="0" w:color="auto"/>
              <w:right w:val="single" w:sz="4" w:space="0" w:color="auto"/>
            </w:tcBorders>
            <w:shd w:val="clear" w:color="000000" w:fill="EAF1DD"/>
            <w:noWrap/>
            <w:vAlign w:val="bottom"/>
            <w:hideMark/>
          </w:tcPr>
          <w:p w14:paraId="0150E193"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895</w:t>
            </w:r>
          </w:p>
        </w:tc>
        <w:tc>
          <w:tcPr>
            <w:tcW w:w="1476" w:type="dxa"/>
            <w:tcBorders>
              <w:top w:val="nil"/>
              <w:left w:val="nil"/>
              <w:bottom w:val="single" w:sz="4" w:space="0" w:color="auto"/>
              <w:right w:val="single" w:sz="4" w:space="0" w:color="auto"/>
            </w:tcBorders>
            <w:shd w:val="clear" w:color="000000" w:fill="EAF1DD"/>
            <w:noWrap/>
            <w:vAlign w:val="bottom"/>
            <w:hideMark/>
          </w:tcPr>
          <w:p w14:paraId="16EA673F"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766</w:t>
            </w:r>
          </w:p>
        </w:tc>
        <w:tc>
          <w:tcPr>
            <w:tcW w:w="1476" w:type="dxa"/>
            <w:tcBorders>
              <w:top w:val="nil"/>
              <w:left w:val="nil"/>
              <w:bottom w:val="single" w:sz="4" w:space="0" w:color="auto"/>
              <w:right w:val="single" w:sz="4" w:space="0" w:color="auto"/>
            </w:tcBorders>
            <w:shd w:val="clear" w:color="000000" w:fill="EAF1DD"/>
            <w:noWrap/>
            <w:vAlign w:val="bottom"/>
            <w:hideMark/>
          </w:tcPr>
          <w:p w14:paraId="3987A11F"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781</w:t>
            </w:r>
          </w:p>
        </w:tc>
        <w:tc>
          <w:tcPr>
            <w:tcW w:w="1476" w:type="dxa"/>
            <w:tcBorders>
              <w:top w:val="nil"/>
              <w:left w:val="nil"/>
              <w:bottom w:val="single" w:sz="4" w:space="0" w:color="auto"/>
              <w:right w:val="single" w:sz="4" w:space="0" w:color="auto"/>
            </w:tcBorders>
            <w:shd w:val="clear" w:color="000000" w:fill="EAF1DD"/>
            <w:noWrap/>
            <w:vAlign w:val="bottom"/>
            <w:hideMark/>
          </w:tcPr>
          <w:p w14:paraId="233D014F"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701</w:t>
            </w:r>
          </w:p>
        </w:tc>
        <w:tc>
          <w:tcPr>
            <w:tcW w:w="1476" w:type="dxa"/>
            <w:tcBorders>
              <w:top w:val="nil"/>
              <w:left w:val="nil"/>
              <w:bottom w:val="single" w:sz="4" w:space="0" w:color="auto"/>
              <w:right w:val="single" w:sz="4" w:space="0" w:color="auto"/>
            </w:tcBorders>
            <w:shd w:val="clear" w:color="000000" w:fill="EAF1DD"/>
            <w:noWrap/>
            <w:vAlign w:val="bottom"/>
            <w:hideMark/>
          </w:tcPr>
          <w:p w14:paraId="76680A2A"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719</w:t>
            </w:r>
          </w:p>
        </w:tc>
      </w:tr>
      <w:tr w:rsidR="0024245D" w:rsidRPr="00E57ACD" w14:paraId="1DFF47BE"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091B7339"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Financial Market</w:t>
            </w:r>
          </w:p>
        </w:tc>
        <w:tc>
          <w:tcPr>
            <w:tcW w:w="2432" w:type="dxa"/>
            <w:tcBorders>
              <w:top w:val="nil"/>
              <w:left w:val="nil"/>
              <w:bottom w:val="single" w:sz="4" w:space="0" w:color="auto"/>
              <w:right w:val="single" w:sz="4" w:space="0" w:color="auto"/>
            </w:tcBorders>
            <w:shd w:val="clear" w:color="000000" w:fill="EAF1DD"/>
            <w:noWrap/>
            <w:hideMark/>
          </w:tcPr>
          <w:p w14:paraId="7D20160A"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hideMark/>
          </w:tcPr>
          <w:p w14:paraId="52FA70A6"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hideMark/>
          </w:tcPr>
          <w:p w14:paraId="6CC0633F"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hideMark/>
          </w:tcPr>
          <w:p w14:paraId="2BAC6B03"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hideMark/>
          </w:tcPr>
          <w:p w14:paraId="10922723"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000000" w:fill="EAF1DD"/>
            <w:noWrap/>
            <w:vAlign w:val="bottom"/>
            <w:hideMark/>
          </w:tcPr>
          <w:p w14:paraId="51F42369"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r>
      <w:tr w:rsidR="0024245D" w:rsidRPr="00E57ACD" w14:paraId="52C3F90F"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656FFA45"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Dividend payout</w:t>
            </w:r>
          </w:p>
        </w:tc>
        <w:tc>
          <w:tcPr>
            <w:tcW w:w="2432" w:type="dxa"/>
            <w:tcBorders>
              <w:top w:val="nil"/>
              <w:left w:val="nil"/>
              <w:bottom w:val="single" w:sz="4" w:space="0" w:color="auto"/>
              <w:right w:val="single" w:sz="4" w:space="0" w:color="auto"/>
            </w:tcBorders>
            <w:shd w:val="clear" w:color="000000" w:fill="EAF1DD"/>
            <w:noWrap/>
            <w:hideMark/>
          </w:tcPr>
          <w:p w14:paraId="13E11664" w14:textId="77777777" w:rsidR="0024245D" w:rsidRPr="00E57ACD" w:rsidRDefault="0024245D" w:rsidP="00953755">
            <w:pPr>
              <w:spacing w:after="0" w:line="360" w:lineRule="auto"/>
              <w:jc w:val="both"/>
              <w:rPr>
                <w:rFonts w:ascii="Times New Roman" w:eastAsia="Times New Roman" w:hAnsi="Times New Roman" w:cs="Times New Roman"/>
                <w:b/>
                <w:bCs/>
                <w:i/>
                <w:iCs/>
                <w:color w:val="000000"/>
                <w:sz w:val="24"/>
                <w:szCs w:val="24"/>
              </w:rPr>
            </w:pPr>
            <w:r w:rsidRPr="00E57ACD">
              <w:rPr>
                <w:rFonts w:ascii="Times New Roman" w:eastAsia="Times New Roman" w:hAnsi="Times New Roman" w:cs="Times New Roman"/>
                <w:b/>
                <w:bCs/>
                <w:i/>
                <w:iCs/>
                <w:color w:val="000000"/>
                <w:sz w:val="24"/>
                <w:szCs w:val="24"/>
              </w:rPr>
              <w:t xml:space="preserve">Total dividend for the year/net income </w:t>
            </w:r>
          </w:p>
        </w:tc>
        <w:tc>
          <w:tcPr>
            <w:tcW w:w="1476" w:type="dxa"/>
            <w:tcBorders>
              <w:top w:val="nil"/>
              <w:left w:val="nil"/>
              <w:bottom w:val="single" w:sz="4" w:space="0" w:color="auto"/>
              <w:right w:val="single" w:sz="4" w:space="0" w:color="auto"/>
            </w:tcBorders>
            <w:shd w:val="clear" w:color="000000" w:fill="EAF1DD"/>
            <w:noWrap/>
            <w:hideMark/>
          </w:tcPr>
          <w:p w14:paraId="3D24AE54"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0.75</w:t>
            </w:r>
          </w:p>
        </w:tc>
        <w:tc>
          <w:tcPr>
            <w:tcW w:w="1476" w:type="dxa"/>
            <w:tcBorders>
              <w:top w:val="nil"/>
              <w:left w:val="nil"/>
              <w:bottom w:val="single" w:sz="4" w:space="0" w:color="auto"/>
              <w:right w:val="single" w:sz="4" w:space="0" w:color="auto"/>
            </w:tcBorders>
            <w:shd w:val="clear" w:color="000000" w:fill="EAF1DD"/>
            <w:noWrap/>
            <w:hideMark/>
          </w:tcPr>
          <w:p w14:paraId="4340A89A"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0.97</w:t>
            </w:r>
          </w:p>
        </w:tc>
        <w:tc>
          <w:tcPr>
            <w:tcW w:w="1476" w:type="dxa"/>
            <w:tcBorders>
              <w:top w:val="nil"/>
              <w:left w:val="nil"/>
              <w:bottom w:val="single" w:sz="4" w:space="0" w:color="auto"/>
              <w:right w:val="single" w:sz="4" w:space="0" w:color="auto"/>
            </w:tcBorders>
            <w:shd w:val="clear" w:color="000000" w:fill="EAF1DD"/>
            <w:noWrap/>
            <w:hideMark/>
          </w:tcPr>
          <w:p w14:paraId="2290FEDA"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1.80</w:t>
            </w:r>
          </w:p>
        </w:tc>
        <w:tc>
          <w:tcPr>
            <w:tcW w:w="1476" w:type="dxa"/>
            <w:tcBorders>
              <w:top w:val="nil"/>
              <w:left w:val="nil"/>
              <w:bottom w:val="single" w:sz="4" w:space="0" w:color="auto"/>
              <w:right w:val="single" w:sz="4" w:space="0" w:color="auto"/>
            </w:tcBorders>
            <w:shd w:val="clear" w:color="000000" w:fill="EAF1DD"/>
            <w:noWrap/>
            <w:hideMark/>
          </w:tcPr>
          <w:p w14:paraId="2F8DC20B"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3.67</w:t>
            </w:r>
          </w:p>
        </w:tc>
        <w:tc>
          <w:tcPr>
            <w:tcW w:w="1476" w:type="dxa"/>
            <w:tcBorders>
              <w:top w:val="nil"/>
              <w:left w:val="nil"/>
              <w:bottom w:val="single" w:sz="4" w:space="0" w:color="auto"/>
              <w:right w:val="single" w:sz="4" w:space="0" w:color="auto"/>
            </w:tcBorders>
            <w:shd w:val="clear" w:color="000000" w:fill="EAF1DD"/>
            <w:noWrap/>
            <w:hideMark/>
          </w:tcPr>
          <w:p w14:paraId="6C59F975"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0.46</w:t>
            </w:r>
          </w:p>
        </w:tc>
      </w:tr>
      <w:tr w:rsidR="0024245D" w:rsidRPr="00E57ACD" w14:paraId="4B217A9B"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4336A285"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hideMark/>
          </w:tcPr>
          <w:p w14:paraId="22059BA4"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Total dividend for the year</w:t>
            </w:r>
          </w:p>
        </w:tc>
        <w:tc>
          <w:tcPr>
            <w:tcW w:w="1476" w:type="dxa"/>
            <w:tcBorders>
              <w:top w:val="nil"/>
              <w:left w:val="nil"/>
              <w:bottom w:val="single" w:sz="4" w:space="0" w:color="auto"/>
              <w:right w:val="single" w:sz="4" w:space="0" w:color="auto"/>
            </w:tcBorders>
            <w:shd w:val="clear" w:color="000000" w:fill="EAF1DD"/>
            <w:noWrap/>
            <w:hideMark/>
          </w:tcPr>
          <w:p w14:paraId="4C309574"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3,961</w:t>
            </w:r>
          </w:p>
        </w:tc>
        <w:tc>
          <w:tcPr>
            <w:tcW w:w="1476" w:type="dxa"/>
            <w:tcBorders>
              <w:top w:val="nil"/>
              <w:left w:val="nil"/>
              <w:bottom w:val="single" w:sz="4" w:space="0" w:color="auto"/>
              <w:right w:val="single" w:sz="4" w:space="0" w:color="auto"/>
            </w:tcBorders>
            <w:shd w:val="clear" w:color="000000" w:fill="EAF1DD"/>
            <w:noWrap/>
            <w:hideMark/>
          </w:tcPr>
          <w:p w14:paraId="7EE269CA"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3,940</w:t>
            </w:r>
          </w:p>
        </w:tc>
        <w:tc>
          <w:tcPr>
            <w:tcW w:w="1476" w:type="dxa"/>
            <w:tcBorders>
              <w:top w:val="nil"/>
              <w:left w:val="nil"/>
              <w:bottom w:val="single" w:sz="4" w:space="0" w:color="auto"/>
              <w:right w:val="single" w:sz="4" w:space="0" w:color="auto"/>
            </w:tcBorders>
            <w:shd w:val="clear" w:color="000000" w:fill="EAF1DD"/>
            <w:noWrap/>
            <w:hideMark/>
          </w:tcPr>
          <w:p w14:paraId="4F0164B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3,911</w:t>
            </w:r>
          </w:p>
        </w:tc>
        <w:tc>
          <w:tcPr>
            <w:tcW w:w="1476" w:type="dxa"/>
            <w:tcBorders>
              <w:top w:val="nil"/>
              <w:left w:val="nil"/>
              <w:bottom w:val="single" w:sz="4" w:space="0" w:color="auto"/>
              <w:right w:val="single" w:sz="4" w:space="0" w:color="auto"/>
            </w:tcBorders>
            <w:shd w:val="clear" w:color="000000" w:fill="EAF1DD"/>
            <w:noWrap/>
            <w:hideMark/>
          </w:tcPr>
          <w:p w14:paraId="03829855"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3,897</w:t>
            </w:r>
          </w:p>
        </w:tc>
        <w:tc>
          <w:tcPr>
            <w:tcW w:w="1476" w:type="dxa"/>
            <w:tcBorders>
              <w:top w:val="nil"/>
              <w:left w:val="nil"/>
              <w:bottom w:val="single" w:sz="4" w:space="0" w:color="auto"/>
              <w:right w:val="single" w:sz="4" w:space="0" w:color="auto"/>
            </w:tcBorders>
            <w:shd w:val="clear" w:color="000000" w:fill="EAF1DD"/>
            <w:noWrap/>
            <w:hideMark/>
          </w:tcPr>
          <w:p w14:paraId="441A970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3,872</w:t>
            </w:r>
          </w:p>
        </w:tc>
      </w:tr>
      <w:tr w:rsidR="0024245D" w:rsidRPr="00E57ACD" w14:paraId="2AEC0F4B"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5E695E94"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hideMark/>
          </w:tcPr>
          <w:p w14:paraId="0B5E3E8B"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Net income</w:t>
            </w:r>
          </w:p>
        </w:tc>
        <w:tc>
          <w:tcPr>
            <w:tcW w:w="1476" w:type="dxa"/>
            <w:tcBorders>
              <w:top w:val="nil"/>
              <w:left w:val="nil"/>
              <w:bottom w:val="single" w:sz="4" w:space="0" w:color="auto"/>
              <w:right w:val="single" w:sz="4" w:space="0" w:color="auto"/>
            </w:tcBorders>
            <w:shd w:val="clear" w:color="000000" w:fill="EAF1DD"/>
            <w:noWrap/>
            <w:vAlign w:val="bottom"/>
            <w:hideMark/>
          </w:tcPr>
          <w:p w14:paraId="399207C1"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5,268</w:t>
            </w:r>
          </w:p>
        </w:tc>
        <w:tc>
          <w:tcPr>
            <w:tcW w:w="1476" w:type="dxa"/>
            <w:tcBorders>
              <w:top w:val="nil"/>
              <w:left w:val="nil"/>
              <w:bottom w:val="single" w:sz="4" w:space="0" w:color="auto"/>
              <w:right w:val="single" w:sz="4" w:space="0" w:color="auto"/>
            </w:tcBorders>
            <w:shd w:val="clear" w:color="000000" w:fill="EAF1DD"/>
            <w:noWrap/>
            <w:vAlign w:val="bottom"/>
            <w:hideMark/>
          </w:tcPr>
          <w:p w14:paraId="324045D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4,046</w:t>
            </w:r>
          </w:p>
        </w:tc>
        <w:tc>
          <w:tcPr>
            <w:tcW w:w="1476" w:type="dxa"/>
            <w:tcBorders>
              <w:top w:val="nil"/>
              <w:left w:val="nil"/>
              <w:bottom w:val="single" w:sz="4" w:space="0" w:color="auto"/>
              <w:right w:val="single" w:sz="4" w:space="0" w:color="auto"/>
            </w:tcBorders>
            <w:shd w:val="clear" w:color="000000" w:fill="EAF1DD"/>
            <w:noWrap/>
            <w:vAlign w:val="bottom"/>
            <w:hideMark/>
          </w:tcPr>
          <w:p w14:paraId="66C50573"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2,169</w:t>
            </w:r>
          </w:p>
        </w:tc>
        <w:tc>
          <w:tcPr>
            <w:tcW w:w="1476" w:type="dxa"/>
            <w:tcBorders>
              <w:top w:val="nil"/>
              <w:left w:val="nil"/>
              <w:bottom w:val="single" w:sz="4" w:space="0" w:color="auto"/>
              <w:right w:val="single" w:sz="4" w:space="0" w:color="auto"/>
            </w:tcBorders>
            <w:shd w:val="clear" w:color="000000" w:fill="EAF1DD"/>
            <w:noWrap/>
            <w:vAlign w:val="bottom"/>
            <w:hideMark/>
          </w:tcPr>
          <w:p w14:paraId="2F6F08A3"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1,062</w:t>
            </w:r>
          </w:p>
        </w:tc>
        <w:tc>
          <w:tcPr>
            <w:tcW w:w="1476" w:type="dxa"/>
            <w:tcBorders>
              <w:top w:val="nil"/>
              <w:left w:val="nil"/>
              <w:bottom w:val="single" w:sz="4" w:space="0" w:color="auto"/>
              <w:right w:val="single" w:sz="4" w:space="0" w:color="auto"/>
            </w:tcBorders>
            <w:shd w:val="clear" w:color="000000" w:fill="EAF1DD"/>
            <w:noWrap/>
            <w:vAlign w:val="bottom"/>
            <w:hideMark/>
          </w:tcPr>
          <w:p w14:paraId="51AB125B"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8,372</w:t>
            </w:r>
          </w:p>
        </w:tc>
      </w:tr>
      <w:tr w:rsidR="0024245D" w:rsidRPr="00E57ACD" w14:paraId="7E3404A1"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3D1368BE"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proofErr w:type="spellStart"/>
            <w:r w:rsidRPr="00E57ACD">
              <w:rPr>
                <w:rFonts w:ascii="Times New Roman" w:eastAsia="Times New Roman" w:hAnsi="Times New Roman" w:cs="Times New Roman"/>
                <w:b/>
                <w:bCs/>
                <w:color w:val="000000"/>
                <w:sz w:val="24"/>
                <w:szCs w:val="24"/>
              </w:rPr>
              <w:t>Earning</w:t>
            </w:r>
            <w:proofErr w:type="spellEnd"/>
            <w:r w:rsidRPr="00E57ACD">
              <w:rPr>
                <w:rFonts w:ascii="Times New Roman" w:eastAsia="Times New Roman" w:hAnsi="Times New Roman" w:cs="Times New Roman"/>
                <w:b/>
                <w:bCs/>
                <w:color w:val="000000"/>
                <w:sz w:val="24"/>
                <w:szCs w:val="24"/>
              </w:rPr>
              <w:t xml:space="preserve"> per share</w:t>
            </w:r>
          </w:p>
        </w:tc>
        <w:tc>
          <w:tcPr>
            <w:tcW w:w="2432" w:type="dxa"/>
            <w:tcBorders>
              <w:top w:val="nil"/>
              <w:left w:val="nil"/>
              <w:bottom w:val="single" w:sz="4" w:space="0" w:color="auto"/>
              <w:right w:val="single" w:sz="4" w:space="0" w:color="auto"/>
            </w:tcBorders>
            <w:shd w:val="clear" w:color="000000" w:fill="EAF1DD"/>
            <w:noWrap/>
            <w:hideMark/>
          </w:tcPr>
          <w:p w14:paraId="2CA61937" w14:textId="77777777" w:rsidR="0024245D" w:rsidRPr="00E57ACD" w:rsidRDefault="0024245D" w:rsidP="00953755">
            <w:pPr>
              <w:spacing w:after="0" w:line="360" w:lineRule="auto"/>
              <w:jc w:val="both"/>
              <w:rPr>
                <w:rFonts w:ascii="Times New Roman" w:eastAsia="Times New Roman" w:hAnsi="Times New Roman" w:cs="Times New Roman"/>
                <w:b/>
                <w:bCs/>
                <w:i/>
                <w:iCs/>
                <w:color w:val="000000"/>
                <w:sz w:val="24"/>
                <w:szCs w:val="24"/>
              </w:rPr>
            </w:pPr>
            <w:r w:rsidRPr="00E57ACD">
              <w:rPr>
                <w:rFonts w:ascii="Times New Roman" w:eastAsia="Times New Roman" w:hAnsi="Times New Roman" w:cs="Times New Roman"/>
                <w:b/>
                <w:bCs/>
                <w:i/>
                <w:iCs/>
                <w:color w:val="000000"/>
                <w:sz w:val="24"/>
                <w:szCs w:val="24"/>
              </w:rPr>
              <w:t>Net income/number of ordinary shares</w:t>
            </w:r>
          </w:p>
        </w:tc>
        <w:tc>
          <w:tcPr>
            <w:tcW w:w="1476" w:type="dxa"/>
            <w:tcBorders>
              <w:top w:val="nil"/>
              <w:left w:val="nil"/>
              <w:bottom w:val="single" w:sz="4" w:space="0" w:color="auto"/>
              <w:right w:val="single" w:sz="4" w:space="0" w:color="auto"/>
            </w:tcBorders>
            <w:shd w:val="clear" w:color="000000" w:fill="EAF1DD"/>
            <w:noWrap/>
            <w:hideMark/>
          </w:tcPr>
          <w:p w14:paraId="7B2224CD"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1.05</w:t>
            </w:r>
          </w:p>
        </w:tc>
        <w:tc>
          <w:tcPr>
            <w:tcW w:w="1476" w:type="dxa"/>
            <w:tcBorders>
              <w:top w:val="nil"/>
              <w:left w:val="nil"/>
              <w:bottom w:val="single" w:sz="4" w:space="0" w:color="auto"/>
              <w:right w:val="single" w:sz="4" w:space="0" w:color="auto"/>
            </w:tcBorders>
            <w:shd w:val="clear" w:color="000000" w:fill="EAF1DD"/>
            <w:noWrap/>
            <w:hideMark/>
          </w:tcPr>
          <w:p w14:paraId="67EAB3CC"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0.81</w:t>
            </w:r>
          </w:p>
        </w:tc>
        <w:tc>
          <w:tcPr>
            <w:tcW w:w="1476" w:type="dxa"/>
            <w:tcBorders>
              <w:top w:val="nil"/>
              <w:left w:val="nil"/>
              <w:bottom w:val="single" w:sz="4" w:space="0" w:color="auto"/>
              <w:right w:val="single" w:sz="4" w:space="0" w:color="auto"/>
            </w:tcBorders>
            <w:shd w:val="clear" w:color="000000" w:fill="EAF1DD"/>
            <w:noWrap/>
            <w:hideMark/>
          </w:tcPr>
          <w:p w14:paraId="32008588"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0.44</w:t>
            </w:r>
          </w:p>
        </w:tc>
        <w:tc>
          <w:tcPr>
            <w:tcW w:w="1476" w:type="dxa"/>
            <w:tcBorders>
              <w:top w:val="nil"/>
              <w:left w:val="nil"/>
              <w:bottom w:val="single" w:sz="4" w:space="0" w:color="auto"/>
              <w:right w:val="single" w:sz="4" w:space="0" w:color="auto"/>
            </w:tcBorders>
            <w:shd w:val="clear" w:color="000000" w:fill="EAF1DD"/>
            <w:noWrap/>
            <w:hideMark/>
          </w:tcPr>
          <w:p w14:paraId="590F85E0"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0.22</w:t>
            </w:r>
          </w:p>
        </w:tc>
        <w:tc>
          <w:tcPr>
            <w:tcW w:w="1476" w:type="dxa"/>
            <w:tcBorders>
              <w:top w:val="nil"/>
              <w:left w:val="nil"/>
              <w:bottom w:val="single" w:sz="4" w:space="0" w:color="auto"/>
              <w:right w:val="single" w:sz="4" w:space="0" w:color="auto"/>
            </w:tcBorders>
            <w:shd w:val="clear" w:color="000000" w:fill="EAF1DD"/>
            <w:noWrap/>
            <w:hideMark/>
          </w:tcPr>
          <w:p w14:paraId="438FC98D"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1.71</w:t>
            </w:r>
          </w:p>
        </w:tc>
      </w:tr>
      <w:tr w:rsidR="0024245D" w:rsidRPr="00E57ACD" w14:paraId="78D57F0B"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2CA28F99"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hideMark/>
          </w:tcPr>
          <w:p w14:paraId="736BA4D7"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Net income</w:t>
            </w:r>
          </w:p>
        </w:tc>
        <w:tc>
          <w:tcPr>
            <w:tcW w:w="1476" w:type="dxa"/>
            <w:tcBorders>
              <w:top w:val="nil"/>
              <w:left w:val="nil"/>
              <w:bottom w:val="single" w:sz="4" w:space="0" w:color="auto"/>
              <w:right w:val="single" w:sz="4" w:space="0" w:color="auto"/>
            </w:tcBorders>
            <w:shd w:val="clear" w:color="000000" w:fill="EAF1DD"/>
            <w:noWrap/>
            <w:vAlign w:val="bottom"/>
            <w:hideMark/>
          </w:tcPr>
          <w:p w14:paraId="039FB828"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5,268</w:t>
            </w:r>
          </w:p>
        </w:tc>
        <w:tc>
          <w:tcPr>
            <w:tcW w:w="1476" w:type="dxa"/>
            <w:tcBorders>
              <w:top w:val="nil"/>
              <w:left w:val="nil"/>
              <w:bottom w:val="single" w:sz="4" w:space="0" w:color="auto"/>
              <w:right w:val="single" w:sz="4" w:space="0" w:color="auto"/>
            </w:tcBorders>
            <w:shd w:val="clear" w:color="000000" w:fill="EAF1DD"/>
            <w:noWrap/>
            <w:vAlign w:val="bottom"/>
            <w:hideMark/>
          </w:tcPr>
          <w:p w14:paraId="21688750"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4,046</w:t>
            </w:r>
          </w:p>
        </w:tc>
        <w:tc>
          <w:tcPr>
            <w:tcW w:w="1476" w:type="dxa"/>
            <w:tcBorders>
              <w:top w:val="nil"/>
              <w:left w:val="nil"/>
              <w:bottom w:val="single" w:sz="4" w:space="0" w:color="auto"/>
              <w:right w:val="single" w:sz="4" w:space="0" w:color="auto"/>
            </w:tcBorders>
            <w:shd w:val="clear" w:color="000000" w:fill="EAF1DD"/>
            <w:noWrap/>
            <w:vAlign w:val="bottom"/>
            <w:hideMark/>
          </w:tcPr>
          <w:p w14:paraId="421BC50E"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2,169</w:t>
            </w:r>
          </w:p>
        </w:tc>
        <w:tc>
          <w:tcPr>
            <w:tcW w:w="1476" w:type="dxa"/>
            <w:tcBorders>
              <w:top w:val="nil"/>
              <w:left w:val="nil"/>
              <w:bottom w:val="single" w:sz="4" w:space="0" w:color="auto"/>
              <w:right w:val="single" w:sz="4" w:space="0" w:color="auto"/>
            </w:tcBorders>
            <w:shd w:val="clear" w:color="000000" w:fill="EAF1DD"/>
            <w:noWrap/>
            <w:vAlign w:val="bottom"/>
            <w:hideMark/>
          </w:tcPr>
          <w:p w14:paraId="3E637E61"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1,062</w:t>
            </w:r>
          </w:p>
        </w:tc>
        <w:tc>
          <w:tcPr>
            <w:tcW w:w="1476" w:type="dxa"/>
            <w:tcBorders>
              <w:top w:val="nil"/>
              <w:left w:val="nil"/>
              <w:bottom w:val="single" w:sz="4" w:space="0" w:color="auto"/>
              <w:right w:val="single" w:sz="4" w:space="0" w:color="auto"/>
            </w:tcBorders>
            <w:shd w:val="clear" w:color="000000" w:fill="EAF1DD"/>
            <w:noWrap/>
            <w:vAlign w:val="bottom"/>
            <w:hideMark/>
          </w:tcPr>
          <w:p w14:paraId="09F43658"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8,372</w:t>
            </w:r>
          </w:p>
        </w:tc>
      </w:tr>
      <w:tr w:rsidR="0024245D" w:rsidRPr="00E57ACD" w14:paraId="4ABB03C5"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3177C83A"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hideMark/>
          </w:tcPr>
          <w:p w14:paraId="5B491D07"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number of ordinary shares</w:t>
            </w:r>
          </w:p>
        </w:tc>
        <w:tc>
          <w:tcPr>
            <w:tcW w:w="1476" w:type="dxa"/>
            <w:tcBorders>
              <w:top w:val="nil"/>
              <w:left w:val="nil"/>
              <w:bottom w:val="single" w:sz="4" w:space="0" w:color="auto"/>
              <w:right w:val="single" w:sz="4" w:space="0" w:color="auto"/>
            </w:tcBorders>
            <w:shd w:val="clear" w:color="000000" w:fill="EAF1DD"/>
            <w:noWrap/>
            <w:vAlign w:val="bottom"/>
            <w:hideMark/>
          </w:tcPr>
          <w:p w14:paraId="1EEB8C15"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5,016</w:t>
            </w:r>
          </w:p>
        </w:tc>
        <w:tc>
          <w:tcPr>
            <w:tcW w:w="1476" w:type="dxa"/>
            <w:tcBorders>
              <w:top w:val="nil"/>
              <w:left w:val="nil"/>
              <w:bottom w:val="single" w:sz="4" w:space="0" w:color="auto"/>
              <w:right w:val="single" w:sz="4" w:space="0" w:color="auto"/>
            </w:tcBorders>
            <w:shd w:val="clear" w:color="000000" w:fill="EAF1DD"/>
            <w:noWrap/>
            <w:vAlign w:val="bottom"/>
            <w:hideMark/>
          </w:tcPr>
          <w:p w14:paraId="4D69C2BE"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4,971</w:t>
            </w:r>
          </w:p>
        </w:tc>
        <w:tc>
          <w:tcPr>
            <w:tcW w:w="1476" w:type="dxa"/>
            <w:tcBorders>
              <w:top w:val="nil"/>
              <w:left w:val="nil"/>
              <w:bottom w:val="single" w:sz="4" w:space="0" w:color="auto"/>
              <w:right w:val="single" w:sz="4" w:space="0" w:color="auto"/>
            </w:tcBorders>
            <w:shd w:val="clear" w:color="000000" w:fill="EAF1DD"/>
            <w:noWrap/>
            <w:vAlign w:val="bottom"/>
            <w:hideMark/>
          </w:tcPr>
          <w:p w14:paraId="6D60C6F1"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4,941</w:t>
            </w:r>
          </w:p>
        </w:tc>
        <w:tc>
          <w:tcPr>
            <w:tcW w:w="1476" w:type="dxa"/>
            <w:tcBorders>
              <w:top w:val="nil"/>
              <w:left w:val="nil"/>
              <w:bottom w:val="single" w:sz="4" w:space="0" w:color="auto"/>
              <w:right w:val="single" w:sz="4" w:space="0" w:color="auto"/>
            </w:tcBorders>
            <w:shd w:val="clear" w:color="000000" w:fill="EAF1DD"/>
            <w:noWrap/>
            <w:vAlign w:val="bottom"/>
            <w:hideMark/>
          </w:tcPr>
          <w:p w14:paraId="34BCF62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4,909</w:t>
            </w:r>
          </w:p>
        </w:tc>
        <w:tc>
          <w:tcPr>
            <w:tcW w:w="1476" w:type="dxa"/>
            <w:tcBorders>
              <w:top w:val="nil"/>
              <w:left w:val="nil"/>
              <w:bottom w:val="single" w:sz="4" w:space="0" w:color="auto"/>
              <w:right w:val="single" w:sz="4" w:space="0" w:color="auto"/>
            </w:tcBorders>
            <w:shd w:val="clear" w:color="000000" w:fill="EAF1DD"/>
            <w:noWrap/>
            <w:vAlign w:val="bottom"/>
            <w:hideMark/>
          </w:tcPr>
          <w:p w14:paraId="503CE21B"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4,888</w:t>
            </w:r>
          </w:p>
        </w:tc>
      </w:tr>
      <w:tr w:rsidR="0024245D" w:rsidRPr="00E57ACD" w14:paraId="6C04FAC7"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038C6DDE"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P/E Ratio</w:t>
            </w:r>
          </w:p>
        </w:tc>
        <w:tc>
          <w:tcPr>
            <w:tcW w:w="2432" w:type="dxa"/>
            <w:tcBorders>
              <w:top w:val="nil"/>
              <w:left w:val="nil"/>
              <w:bottom w:val="single" w:sz="4" w:space="0" w:color="auto"/>
              <w:right w:val="single" w:sz="4" w:space="0" w:color="auto"/>
            </w:tcBorders>
            <w:shd w:val="clear" w:color="000000" w:fill="EAF1DD"/>
            <w:noWrap/>
            <w:hideMark/>
          </w:tcPr>
          <w:p w14:paraId="3D5F9432" w14:textId="77777777" w:rsidR="0024245D" w:rsidRPr="00E57ACD" w:rsidRDefault="0024245D" w:rsidP="00953755">
            <w:pPr>
              <w:spacing w:after="0" w:line="360" w:lineRule="auto"/>
              <w:jc w:val="both"/>
              <w:rPr>
                <w:rFonts w:ascii="Times New Roman" w:eastAsia="Times New Roman" w:hAnsi="Times New Roman" w:cs="Times New Roman"/>
                <w:b/>
                <w:bCs/>
                <w:i/>
                <w:iCs/>
                <w:color w:val="000000"/>
                <w:sz w:val="24"/>
                <w:szCs w:val="24"/>
              </w:rPr>
            </w:pPr>
            <w:r w:rsidRPr="00E57ACD">
              <w:rPr>
                <w:rFonts w:ascii="Times New Roman" w:eastAsia="Times New Roman" w:hAnsi="Times New Roman" w:cs="Times New Roman"/>
                <w:b/>
                <w:bCs/>
                <w:i/>
                <w:iCs/>
                <w:color w:val="000000"/>
                <w:sz w:val="24"/>
                <w:szCs w:val="24"/>
              </w:rPr>
              <w:t xml:space="preserve">Share price/Earnings per share </w:t>
            </w:r>
          </w:p>
        </w:tc>
        <w:tc>
          <w:tcPr>
            <w:tcW w:w="1476" w:type="dxa"/>
            <w:tcBorders>
              <w:top w:val="nil"/>
              <w:left w:val="nil"/>
              <w:bottom w:val="single" w:sz="4" w:space="0" w:color="auto"/>
              <w:right w:val="single" w:sz="4" w:space="0" w:color="auto"/>
            </w:tcBorders>
            <w:shd w:val="clear" w:color="000000" w:fill="EAF1DD"/>
            <w:noWrap/>
            <w:hideMark/>
          </w:tcPr>
          <w:p w14:paraId="16C524FF"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16.942857</w:t>
            </w:r>
          </w:p>
        </w:tc>
        <w:tc>
          <w:tcPr>
            <w:tcW w:w="1476" w:type="dxa"/>
            <w:tcBorders>
              <w:top w:val="nil"/>
              <w:left w:val="nil"/>
              <w:bottom w:val="single" w:sz="4" w:space="0" w:color="auto"/>
              <w:right w:val="single" w:sz="4" w:space="0" w:color="auto"/>
            </w:tcBorders>
            <w:shd w:val="clear" w:color="000000" w:fill="EAF1DD"/>
            <w:noWrap/>
            <w:hideMark/>
          </w:tcPr>
          <w:p w14:paraId="24291485"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18.407407</w:t>
            </w:r>
          </w:p>
        </w:tc>
        <w:tc>
          <w:tcPr>
            <w:tcW w:w="1476" w:type="dxa"/>
            <w:tcBorders>
              <w:top w:val="nil"/>
              <w:left w:val="nil"/>
              <w:bottom w:val="single" w:sz="4" w:space="0" w:color="auto"/>
              <w:right w:val="single" w:sz="4" w:space="0" w:color="auto"/>
            </w:tcBorders>
            <w:shd w:val="clear" w:color="000000" w:fill="EAF1DD"/>
            <w:noWrap/>
            <w:hideMark/>
          </w:tcPr>
          <w:p w14:paraId="5704E98A"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30.068182</w:t>
            </w:r>
          </w:p>
        </w:tc>
        <w:tc>
          <w:tcPr>
            <w:tcW w:w="1476" w:type="dxa"/>
            <w:tcBorders>
              <w:top w:val="nil"/>
              <w:left w:val="nil"/>
              <w:bottom w:val="single" w:sz="4" w:space="0" w:color="auto"/>
              <w:right w:val="single" w:sz="4" w:space="0" w:color="auto"/>
            </w:tcBorders>
            <w:shd w:val="clear" w:color="000000" w:fill="EAF1DD"/>
            <w:noWrap/>
            <w:hideMark/>
          </w:tcPr>
          <w:p w14:paraId="728027F3"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71</w:t>
            </w:r>
          </w:p>
        </w:tc>
        <w:tc>
          <w:tcPr>
            <w:tcW w:w="1476" w:type="dxa"/>
            <w:tcBorders>
              <w:top w:val="nil"/>
              <w:left w:val="nil"/>
              <w:bottom w:val="single" w:sz="4" w:space="0" w:color="auto"/>
              <w:right w:val="single" w:sz="4" w:space="0" w:color="auto"/>
            </w:tcBorders>
            <w:shd w:val="clear" w:color="000000" w:fill="EAF1DD"/>
            <w:noWrap/>
            <w:hideMark/>
          </w:tcPr>
          <w:p w14:paraId="398986CB" w14:textId="77777777" w:rsidR="0024245D" w:rsidRPr="00E57ACD" w:rsidRDefault="0024245D" w:rsidP="00953755">
            <w:pPr>
              <w:spacing w:after="0" w:line="360" w:lineRule="auto"/>
              <w:jc w:val="both"/>
              <w:rPr>
                <w:rFonts w:ascii="Times New Roman" w:eastAsia="Times New Roman" w:hAnsi="Times New Roman" w:cs="Times New Roman"/>
                <w:b/>
                <w:bCs/>
                <w:color w:val="000000"/>
                <w:sz w:val="24"/>
                <w:szCs w:val="24"/>
              </w:rPr>
            </w:pPr>
            <w:r w:rsidRPr="00E57ACD">
              <w:rPr>
                <w:rFonts w:ascii="Times New Roman" w:eastAsia="Times New Roman" w:hAnsi="Times New Roman" w:cs="Times New Roman"/>
                <w:b/>
                <w:bCs/>
                <w:color w:val="000000"/>
                <w:sz w:val="24"/>
                <w:szCs w:val="24"/>
              </w:rPr>
              <w:t>8.0292398</w:t>
            </w:r>
          </w:p>
        </w:tc>
      </w:tr>
      <w:tr w:rsidR="0024245D" w:rsidRPr="00E57ACD" w14:paraId="7CD432A8"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161586C0"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hideMark/>
          </w:tcPr>
          <w:p w14:paraId="52DF414D"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Share price</w:t>
            </w:r>
          </w:p>
        </w:tc>
        <w:tc>
          <w:tcPr>
            <w:tcW w:w="1476" w:type="dxa"/>
            <w:tcBorders>
              <w:top w:val="nil"/>
              <w:left w:val="nil"/>
              <w:bottom w:val="single" w:sz="4" w:space="0" w:color="auto"/>
              <w:right w:val="single" w:sz="4" w:space="0" w:color="auto"/>
            </w:tcBorders>
            <w:shd w:val="clear" w:color="000000" w:fill="EAF1DD"/>
            <w:noWrap/>
            <w:vAlign w:val="bottom"/>
            <w:hideMark/>
          </w:tcPr>
          <w:p w14:paraId="59D900B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17.79</w:t>
            </w:r>
          </w:p>
        </w:tc>
        <w:tc>
          <w:tcPr>
            <w:tcW w:w="1476" w:type="dxa"/>
            <w:tcBorders>
              <w:top w:val="nil"/>
              <w:left w:val="nil"/>
              <w:bottom w:val="single" w:sz="4" w:space="0" w:color="auto"/>
              <w:right w:val="single" w:sz="4" w:space="0" w:color="auto"/>
            </w:tcBorders>
            <w:shd w:val="clear" w:color="000000" w:fill="EAF1DD"/>
            <w:noWrap/>
            <w:vAlign w:val="bottom"/>
            <w:hideMark/>
          </w:tcPr>
          <w:p w14:paraId="74FE1D5C"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14.91</w:t>
            </w:r>
          </w:p>
        </w:tc>
        <w:tc>
          <w:tcPr>
            <w:tcW w:w="1476" w:type="dxa"/>
            <w:tcBorders>
              <w:top w:val="nil"/>
              <w:left w:val="nil"/>
              <w:bottom w:val="single" w:sz="4" w:space="0" w:color="auto"/>
              <w:right w:val="single" w:sz="4" w:space="0" w:color="auto"/>
            </w:tcBorders>
            <w:shd w:val="clear" w:color="000000" w:fill="EAF1DD"/>
            <w:noWrap/>
            <w:vAlign w:val="bottom"/>
            <w:hideMark/>
          </w:tcPr>
          <w:p w14:paraId="53B9564B"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13.23</w:t>
            </w:r>
          </w:p>
        </w:tc>
        <w:tc>
          <w:tcPr>
            <w:tcW w:w="1476" w:type="dxa"/>
            <w:tcBorders>
              <w:top w:val="nil"/>
              <w:left w:val="nil"/>
              <w:bottom w:val="single" w:sz="4" w:space="0" w:color="auto"/>
              <w:right w:val="single" w:sz="4" w:space="0" w:color="auto"/>
            </w:tcBorders>
            <w:shd w:val="clear" w:color="000000" w:fill="EAF1DD"/>
            <w:noWrap/>
            <w:vAlign w:val="bottom"/>
            <w:hideMark/>
          </w:tcPr>
          <w:p w14:paraId="08306F77"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15.62</w:t>
            </w:r>
          </w:p>
        </w:tc>
        <w:tc>
          <w:tcPr>
            <w:tcW w:w="1476" w:type="dxa"/>
            <w:tcBorders>
              <w:top w:val="nil"/>
              <w:left w:val="nil"/>
              <w:bottom w:val="single" w:sz="4" w:space="0" w:color="auto"/>
              <w:right w:val="single" w:sz="4" w:space="0" w:color="auto"/>
            </w:tcBorders>
            <w:shd w:val="clear" w:color="000000" w:fill="EAF1DD"/>
            <w:noWrap/>
            <w:vAlign w:val="bottom"/>
            <w:hideMark/>
          </w:tcPr>
          <w:p w14:paraId="4530D124"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13.73</w:t>
            </w:r>
          </w:p>
        </w:tc>
      </w:tr>
      <w:tr w:rsidR="0024245D" w:rsidRPr="00E57ACD" w14:paraId="074AB7EF" w14:textId="77777777" w:rsidTr="00C16EEB">
        <w:trPr>
          <w:trHeight w:val="315"/>
          <w:jc w:val="center"/>
        </w:trPr>
        <w:tc>
          <w:tcPr>
            <w:tcW w:w="1620" w:type="dxa"/>
            <w:tcBorders>
              <w:top w:val="nil"/>
              <w:left w:val="single" w:sz="4" w:space="0" w:color="auto"/>
              <w:bottom w:val="single" w:sz="4" w:space="0" w:color="auto"/>
              <w:right w:val="single" w:sz="4" w:space="0" w:color="auto"/>
            </w:tcBorders>
            <w:shd w:val="clear" w:color="000000" w:fill="EAF1DD"/>
            <w:noWrap/>
            <w:vAlign w:val="bottom"/>
            <w:hideMark/>
          </w:tcPr>
          <w:p w14:paraId="73A85C67"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2432" w:type="dxa"/>
            <w:tcBorders>
              <w:top w:val="nil"/>
              <w:left w:val="nil"/>
              <w:bottom w:val="single" w:sz="4" w:space="0" w:color="auto"/>
              <w:right w:val="single" w:sz="4" w:space="0" w:color="auto"/>
            </w:tcBorders>
            <w:shd w:val="clear" w:color="000000" w:fill="EAF1DD"/>
            <w:noWrap/>
            <w:hideMark/>
          </w:tcPr>
          <w:p w14:paraId="1CEDC18C" w14:textId="77777777" w:rsidR="0024245D" w:rsidRPr="00E57ACD" w:rsidRDefault="0024245D" w:rsidP="00953755">
            <w:pPr>
              <w:spacing w:after="0" w:line="360" w:lineRule="auto"/>
              <w:jc w:val="both"/>
              <w:rPr>
                <w:rFonts w:ascii="Times New Roman" w:eastAsia="Times New Roman" w:hAnsi="Times New Roman" w:cs="Times New Roman"/>
                <w:i/>
                <w:iCs/>
                <w:color w:val="000000"/>
                <w:sz w:val="24"/>
                <w:szCs w:val="24"/>
              </w:rPr>
            </w:pPr>
            <w:r w:rsidRPr="00E57ACD">
              <w:rPr>
                <w:rFonts w:ascii="Times New Roman" w:eastAsia="Times New Roman" w:hAnsi="Times New Roman" w:cs="Times New Roman"/>
                <w:i/>
                <w:iCs/>
                <w:color w:val="000000"/>
                <w:sz w:val="24"/>
                <w:szCs w:val="24"/>
              </w:rPr>
              <w:t>Earnings per share</w:t>
            </w:r>
          </w:p>
        </w:tc>
        <w:tc>
          <w:tcPr>
            <w:tcW w:w="1476" w:type="dxa"/>
            <w:tcBorders>
              <w:top w:val="nil"/>
              <w:left w:val="nil"/>
              <w:bottom w:val="single" w:sz="4" w:space="0" w:color="auto"/>
              <w:right w:val="single" w:sz="4" w:space="0" w:color="auto"/>
            </w:tcBorders>
            <w:shd w:val="clear" w:color="000000" w:fill="EAF1DD"/>
            <w:noWrap/>
            <w:hideMark/>
          </w:tcPr>
          <w:p w14:paraId="6826E183"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1.05</w:t>
            </w:r>
          </w:p>
        </w:tc>
        <w:tc>
          <w:tcPr>
            <w:tcW w:w="1476" w:type="dxa"/>
            <w:tcBorders>
              <w:top w:val="nil"/>
              <w:left w:val="nil"/>
              <w:bottom w:val="single" w:sz="4" w:space="0" w:color="auto"/>
              <w:right w:val="single" w:sz="4" w:space="0" w:color="auto"/>
            </w:tcBorders>
            <w:shd w:val="clear" w:color="000000" w:fill="EAF1DD"/>
            <w:noWrap/>
            <w:hideMark/>
          </w:tcPr>
          <w:p w14:paraId="36A64DA2"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0.81</w:t>
            </w:r>
          </w:p>
        </w:tc>
        <w:tc>
          <w:tcPr>
            <w:tcW w:w="1476" w:type="dxa"/>
            <w:tcBorders>
              <w:top w:val="nil"/>
              <w:left w:val="nil"/>
              <w:bottom w:val="single" w:sz="4" w:space="0" w:color="auto"/>
              <w:right w:val="single" w:sz="4" w:space="0" w:color="auto"/>
            </w:tcBorders>
            <w:shd w:val="clear" w:color="000000" w:fill="EAF1DD"/>
            <w:noWrap/>
            <w:hideMark/>
          </w:tcPr>
          <w:p w14:paraId="24FD2109"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0.44</w:t>
            </w:r>
          </w:p>
        </w:tc>
        <w:tc>
          <w:tcPr>
            <w:tcW w:w="1476" w:type="dxa"/>
            <w:tcBorders>
              <w:top w:val="nil"/>
              <w:left w:val="nil"/>
              <w:bottom w:val="single" w:sz="4" w:space="0" w:color="auto"/>
              <w:right w:val="single" w:sz="4" w:space="0" w:color="auto"/>
            </w:tcBorders>
            <w:shd w:val="clear" w:color="000000" w:fill="EAF1DD"/>
            <w:noWrap/>
            <w:hideMark/>
          </w:tcPr>
          <w:p w14:paraId="1DE9204D"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0.22</w:t>
            </w:r>
          </w:p>
        </w:tc>
        <w:tc>
          <w:tcPr>
            <w:tcW w:w="1476" w:type="dxa"/>
            <w:tcBorders>
              <w:top w:val="nil"/>
              <w:left w:val="nil"/>
              <w:bottom w:val="single" w:sz="4" w:space="0" w:color="auto"/>
              <w:right w:val="single" w:sz="4" w:space="0" w:color="auto"/>
            </w:tcBorders>
            <w:shd w:val="clear" w:color="000000" w:fill="EAF1DD"/>
            <w:noWrap/>
            <w:hideMark/>
          </w:tcPr>
          <w:p w14:paraId="1388EF22" w14:textId="77777777" w:rsidR="0024245D" w:rsidRPr="00E57ACD" w:rsidRDefault="0024245D"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1.71</w:t>
            </w:r>
          </w:p>
        </w:tc>
      </w:tr>
    </w:tbl>
    <w:p w14:paraId="587EF15D" w14:textId="77777777" w:rsidR="0024245D" w:rsidRPr="00E57ACD" w:rsidRDefault="0024245D" w:rsidP="00953755">
      <w:pPr>
        <w:spacing w:line="360" w:lineRule="auto"/>
        <w:jc w:val="both"/>
        <w:rPr>
          <w:rFonts w:ascii="Times New Roman" w:hAnsi="Times New Roman" w:cs="Times New Roman"/>
          <w:sz w:val="24"/>
          <w:szCs w:val="24"/>
        </w:rPr>
      </w:pPr>
    </w:p>
    <w:p w14:paraId="18FE56B4" w14:textId="77777777" w:rsidR="0024245D" w:rsidRPr="00E57ACD" w:rsidRDefault="0024245D" w:rsidP="00953755">
      <w:pPr>
        <w:pStyle w:val="Heading2"/>
        <w:spacing w:line="360" w:lineRule="auto"/>
        <w:jc w:val="both"/>
        <w:rPr>
          <w:rFonts w:ascii="Times New Roman" w:hAnsi="Times New Roman" w:cs="Times New Roman"/>
          <w:sz w:val="24"/>
          <w:szCs w:val="24"/>
        </w:rPr>
      </w:pPr>
      <w:bookmarkStart w:id="3" w:name="_Toc58487565"/>
      <w:r w:rsidRPr="00E57ACD">
        <w:rPr>
          <w:rFonts w:ascii="Times New Roman" w:hAnsi="Times New Roman" w:cs="Times New Roman"/>
          <w:sz w:val="24"/>
          <w:szCs w:val="24"/>
        </w:rPr>
        <w:lastRenderedPageBreak/>
        <w:t>Analysis a</w:t>
      </w:r>
      <w:r w:rsidR="005754AD" w:rsidRPr="00E57ACD">
        <w:rPr>
          <w:rFonts w:ascii="Times New Roman" w:hAnsi="Times New Roman" w:cs="Times New Roman"/>
          <w:sz w:val="24"/>
          <w:szCs w:val="24"/>
        </w:rPr>
        <w:t>nd interpretation of Ratio:</w:t>
      </w:r>
      <w:bookmarkEnd w:id="3"/>
    </w:p>
    <w:p w14:paraId="7050E9AA" w14:textId="77777777" w:rsidR="0024245D" w:rsidRPr="00E57ACD" w:rsidRDefault="00943794" w:rsidP="00953755">
      <w:pPr>
        <w:pStyle w:val="Heading3"/>
        <w:spacing w:line="360" w:lineRule="auto"/>
        <w:jc w:val="both"/>
        <w:rPr>
          <w:rFonts w:ascii="Times New Roman" w:hAnsi="Times New Roman" w:cs="Times New Roman"/>
          <w:sz w:val="24"/>
          <w:szCs w:val="24"/>
        </w:rPr>
      </w:pPr>
      <w:bookmarkStart w:id="4" w:name="_Toc58487566"/>
      <w:r w:rsidRPr="00E57ACD">
        <w:rPr>
          <w:rFonts w:ascii="Times New Roman" w:hAnsi="Times New Roman" w:cs="Times New Roman"/>
          <w:sz w:val="24"/>
          <w:szCs w:val="24"/>
        </w:rPr>
        <w:t>Profitability:</w:t>
      </w:r>
      <w:bookmarkEnd w:id="4"/>
    </w:p>
    <w:p w14:paraId="6B211A63" w14:textId="77777777" w:rsidR="00943794" w:rsidRPr="00E57ACD" w:rsidRDefault="00C67091"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This is a good measure to investigate the ability of the firm can yield profit. This is the degree to which the firms create financial gains. Profitabili</w:t>
      </w:r>
      <w:r w:rsidR="00332B20" w:rsidRPr="00E57ACD">
        <w:rPr>
          <w:rFonts w:ascii="Times New Roman" w:hAnsi="Times New Roman" w:cs="Times New Roman"/>
          <w:sz w:val="24"/>
          <w:szCs w:val="24"/>
        </w:rPr>
        <w:t>t</w:t>
      </w:r>
      <w:r w:rsidRPr="00E57ACD">
        <w:rPr>
          <w:rFonts w:ascii="Times New Roman" w:hAnsi="Times New Roman" w:cs="Times New Roman"/>
          <w:sz w:val="24"/>
          <w:szCs w:val="24"/>
        </w:rPr>
        <w:t xml:space="preserve">y </w:t>
      </w:r>
      <w:r w:rsidR="00332B20" w:rsidRPr="00E57ACD">
        <w:rPr>
          <w:rFonts w:ascii="Times New Roman" w:hAnsi="Times New Roman" w:cs="Times New Roman"/>
          <w:sz w:val="24"/>
          <w:szCs w:val="24"/>
        </w:rPr>
        <w:t>assists</w:t>
      </w:r>
      <w:r w:rsidRPr="00E57ACD">
        <w:rPr>
          <w:rFonts w:ascii="Times New Roman" w:hAnsi="Times New Roman" w:cs="Times New Roman"/>
          <w:sz w:val="24"/>
          <w:szCs w:val="24"/>
        </w:rPr>
        <w:t xml:space="preserve"> in measuring the performance and deciding on the failure or success of the business. It aids to determine the losses or profits of the business and forecasting the future performance whether the firm is having good efficiency for growing the profit over the years in </w:t>
      </w:r>
      <w:r w:rsidR="00332B20" w:rsidRPr="00E57ACD">
        <w:rPr>
          <w:rFonts w:ascii="Times New Roman" w:hAnsi="Times New Roman" w:cs="Times New Roman"/>
          <w:sz w:val="24"/>
          <w:szCs w:val="24"/>
        </w:rPr>
        <w:t xml:space="preserve">the </w:t>
      </w:r>
      <w:r w:rsidRPr="00E57ACD">
        <w:rPr>
          <w:rFonts w:ascii="Times New Roman" w:hAnsi="Times New Roman" w:cs="Times New Roman"/>
          <w:sz w:val="24"/>
          <w:szCs w:val="24"/>
        </w:rPr>
        <w:t>future</w:t>
      </w:r>
      <w:r w:rsidR="006B1810" w:rsidRPr="00E57ACD">
        <w:rPr>
          <w:rFonts w:ascii="Times New Roman" w:hAnsi="Times New Roman" w:cs="Times New Roman"/>
          <w:sz w:val="24"/>
          <w:szCs w:val="24"/>
        </w:rPr>
        <w:t xml:space="preserve"> (Warren et al., 2011)</w:t>
      </w:r>
      <w:r w:rsidRPr="00E57ACD">
        <w:rPr>
          <w:rFonts w:ascii="Times New Roman" w:hAnsi="Times New Roman" w:cs="Times New Roman"/>
          <w:sz w:val="24"/>
          <w:szCs w:val="24"/>
        </w:rPr>
        <w:t xml:space="preserve">. </w:t>
      </w:r>
      <w:r w:rsidR="001E31A9" w:rsidRPr="00E57ACD">
        <w:rPr>
          <w:rFonts w:ascii="Times New Roman" w:hAnsi="Times New Roman" w:cs="Times New Roman"/>
          <w:sz w:val="24"/>
          <w:szCs w:val="24"/>
        </w:rPr>
        <w:t>This enable</w:t>
      </w:r>
      <w:r w:rsidR="00332B20" w:rsidRPr="00E57ACD">
        <w:rPr>
          <w:rFonts w:ascii="Times New Roman" w:hAnsi="Times New Roman" w:cs="Times New Roman"/>
          <w:sz w:val="24"/>
          <w:szCs w:val="24"/>
        </w:rPr>
        <w:t>s</w:t>
      </w:r>
      <w:r w:rsidR="001E31A9" w:rsidRPr="00E57ACD">
        <w:rPr>
          <w:rFonts w:ascii="Times New Roman" w:hAnsi="Times New Roman" w:cs="Times New Roman"/>
          <w:sz w:val="24"/>
          <w:szCs w:val="24"/>
        </w:rPr>
        <w:t xml:space="preserve"> the investors and </w:t>
      </w:r>
      <w:r w:rsidR="00332B20" w:rsidRPr="00E57ACD">
        <w:rPr>
          <w:rFonts w:ascii="Times New Roman" w:hAnsi="Times New Roman" w:cs="Times New Roman"/>
          <w:sz w:val="24"/>
          <w:szCs w:val="24"/>
        </w:rPr>
        <w:t>other stakeholders</w:t>
      </w:r>
      <w:r w:rsidR="001E31A9" w:rsidRPr="00E57ACD">
        <w:rPr>
          <w:rFonts w:ascii="Times New Roman" w:hAnsi="Times New Roman" w:cs="Times New Roman"/>
          <w:sz w:val="24"/>
          <w:szCs w:val="24"/>
        </w:rPr>
        <w:t xml:space="preserve"> of the business to identify the ability of the company to improve the return on money invested in shares of the business by comparing the investment options in the market</w:t>
      </w:r>
      <w:r w:rsidR="00E219B0" w:rsidRPr="00E57ACD">
        <w:rPr>
          <w:rFonts w:ascii="Times New Roman" w:hAnsi="Times New Roman" w:cs="Times New Roman"/>
          <w:sz w:val="24"/>
          <w:szCs w:val="24"/>
        </w:rPr>
        <w:t xml:space="preserve"> (Brigham and Houston, 2012)</w:t>
      </w:r>
      <w:r w:rsidR="001E31A9" w:rsidRPr="00E57ACD">
        <w:rPr>
          <w:rFonts w:ascii="Times New Roman" w:hAnsi="Times New Roman" w:cs="Times New Roman"/>
          <w:sz w:val="24"/>
          <w:szCs w:val="24"/>
        </w:rPr>
        <w:t xml:space="preserve">. </w:t>
      </w:r>
      <w:r w:rsidR="00E50978" w:rsidRPr="00E57ACD">
        <w:rPr>
          <w:rFonts w:ascii="Times New Roman" w:hAnsi="Times New Roman" w:cs="Times New Roman"/>
          <w:sz w:val="24"/>
          <w:szCs w:val="24"/>
        </w:rPr>
        <w:t xml:space="preserve">Overall, </w:t>
      </w:r>
      <w:r w:rsidR="00332B20" w:rsidRPr="00E57ACD">
        <w:rPr>
          <w:rFonts w:ascii="Times New Roman" w:hAnsi="Times New Roman" w:cs="Times New Roman"/>
          <w:sz w:val="24"/>
          <w:szCs w:val="24"/>
        </w:rPr>
        <w:t xml:space="preserve">the </w:t>
      </w:r>
      <w:r w:rsidR="00E50978" w:rsidRPr="00E57ACD">
        <w:rPr>
          <w:rFonts w:ascii="Times New Roman" w:hAnsi="Times New Roman" w:cs="Times New Roman"/>
          <w:sz w:val="24"/>
          <w:szCs w:val="24"/>
        </w:rPr>
        <w:t>profitability of the GSK is fluctuating and it is increasing or decreasing because of the change in the market factors such as Brexit, financial crisis, and other factors.</w:t>
      </w:r>
      <w:r w:rsidR="00A64B16" w:rsidRPr="00E57ACD">
        <w:rPr>
          <w:rFonts w:ascii="Times New Roman" w:hAnsi="Times New Roman" w:cs="Times New Roman"/>
          <w:sz w:val="24"/>
          <w:szCs w:val="24"/>
        </w:rPr>
        <w:t xml:space="preserve"> </w:t>
      </w:r>
    </w:p>
    <w:p w14:paraId="6FFE3D13" w14:textId="77777777" w:rsidR="00AC7B28" w:rsidRPr="00E57ACD" w:rsidRDefault="00AC7B28" w:rsidP="00953755">
      <w:pPr>
        <w:spacing w:line="360" w:lineRule="auto"/>
        <w:jc w:val="both"/>
        <w:rPr>
          <w:rFonts w:ascii="Times New Roman" w:hAnsi="Times New Roman" w:cs="Times New Roman"/>
          <w:sz w:val="24"/>
          <w:szCs w:val="24"/>
        </w:rPr>
      </w:pPr>
      <w:r w:rsidRPr="00E57ACD">
        <w:rPr>
          <w:rFonts w:ascii="Times New Roman" w:hAnsi="Times New Roman" w:cs="Times New Roman"/>
          <w:b/>
          <w:i/>
          <w:sz w:val="24"/>
          <w:szCs w:val="24"/>
        </w:rPr>
        <w:t>Return on Capital Employed</w:t>
      </w:r>
      <w:r w:rsidRPr="00E57ACD">
        <w:rPr>
          <w:rFonts w:ascii="Times New Roman" w:hAnsi="Times New Roman" w:cs="Times New Roman"/>
          <w:sz w:val="24"/>
          <w:szCs w:val="24"/>
        </w:rPr>
        <w:t>:</w:t>
      </w:r>
      <w:r w:rsidR="00533CC6" w:rsidRPr="00E57ACD">
        <w:rPr>
          <w:rFonts w:ascii="Times New Roman" w:hAnsi="Times New Roman" w:cs="Times New Roman"/>
          <w:sz w:val="24"/>
          <w:szCs w:val="24"/>
        </w:rPr>
        <w:t xml:space="preserve">  This ratio is applied for investigating the capital efficiency and profitability of the business. This may enable the investigator to identify the efficiency of the firm to generate and improve the profit from the capital it employs in the business</w:t>
      </w:r>
      <w:r w:rsidR="005743A6" w:rsidRPr="00E57ACD">
        <w:rPr>
          <w:rFonts w:ascii="Times New Roman" w:hAnsi="Times New Roman" w:cs="Times New Roman"/>
          <w:sz w:val="24"/>
          <w:szCs w:val="24"/>
        </w:rPr>
        <w:t xml:space="preserve"> (Brigham and </w:t>
      </w:r>
      <w:proofErr w:type="spellStart"/>
      <w:r w:rsidR="005743A6" w:rsidRPr="00E57ACD">
        <w:rPr>
          <w:rFonts w:ascii="Times New Roman" w:hAnsi="Times New Roman" w:cs="Times New Roman"/>
          <w:sz w:val="24"/>
          <w:szCs w:val="24"/>
        </w:rPr>
        <w:t>Daves</w:t>
      </w:r>
      <w:proofErr w:type="spellEnd"/>
      <w:r w:rsidR="005743A6" w:rsidRPr="00E57ACD">
        <w:rPr>
          <w:rFonts w:ascii="Times New Roman" w:hAnsi="Times New Roman" w:cs="Times New Roman"/>
          <w:sz w:val="24"/>
          <w:szCs w:val="24"/>
        </w:rPr>
        <w:t>, 2012)</w:t>
      </w:r>
      <w:r w:rsidR="00533CC6" w:rsidRPr="00E57ACD">
        <w:rPr>
          <w:rFonts w:ascii="Times New Roman" w:hAnsi="Times New Roman" w:cs="Times New Roman"/>
          <w:sz w:val="24"/>
          <w:szCs w:val="24"/>
        </w:rPr>
        <w:t xml:space="preserve">. </w:t>
      </w:r>
      <w:r w:rsidR="00151F82" w:rsidRPr="00E57ACD">
        <w:rPr>
          <w:rFonts w:ascii="Times New Roman" w:hAnsi="Times New Roman" w:cs="Times New Roman"/>
          <w:sz w:val="24"/>
          <w:szCs w:val="24"/>
        </w:rPr>
        <w:t xml:space="preserve">From the analysis, it is found that ROCE is fluctuating over the years because of less degree of stability in the efficiency and effectiveness of GSK in capital management. </w:t>
      </w:r>
      <w:r w:rsidR="0075735E" w:rsidRPr="00E57ACD">
        <w:rPr>
          <w:rFonts w:ascii="Times New Roman" w:hAnsi="Times New Roman" w:cs="Times New Roman"/>
          <w:sz w:val="24"/>
          <w:szCs w:val="24"/>
        </w:rPr>
        <w:t xml:space="preserve">ROCE from 2015 and 2019 are 0.199, 0.26, 0.073, 0.114, and 0.095 respectively. </w:t>
      </w:r>
      <w:r w:rsidR="00E3162F" w:rsidRPr="00E57ACD">
        <w:rPr>
          <w:rFonts w:ascii="Times New Roman" w:hAnsi="Times New Roman" w:cs="Times New Roman"/>
          <w:sz w:val="24"/>
          <w:szCs w:val="24"/>
        </w:rPr>
        <w:t>The capital investment of the firm is increasing or decreasing over the years as per the requirement and changes in the business that influence the ROCE and this can influence the decision of the investors for investment</w:t>
      </w:r>
      <w:r w:rsidR="00E219B0" w:rsidRPr="00E57ACD">
        <w:rPr>
          <w:rFonts w:ascii="Times New Roman" w:hAnsi="Times New Roman" w:cs="Times New Roman"/>
          <w:sz w:val="24"/>
          <w:szCs w:val="24"/>
        </w:rPr>
        <w:t xml:space="preserve"> (Brigham and Houston, 2012)</w:t>
      </w:r>
      <w:r w:rsidR="00E3162F" w:rsidRPr="00E57ACD">
        <w:rPr>
          <w:rFonts w:ascii="Times New Roman" w:hAnsi="Times New Roman" w:cs="Times New Roman"/>
          <w:sz w:val="24"/>
          <w:szCs w:val="24"/>
        </w:rPr>
        <w:t xml:space="preserve">. </w:t>
      </w:r>
      <w:r w:rsidR="000D3468" w:rsidRPr="00E57ACD">
        <w:rPr>
          <w:rFonts w:ascii="Times New Roman" w:hAnsi="Times New Roman" w:cs="Times New Roman"/>
          <w:sz w:val="24"/>
          <w:szCs w:val="24"/>
        </w:rPr>
        <w:t>This indicates instability in capital employment and efficiency which causes changes in the ROCE over the years.</w:t>
      </w:r>
    </w:p>
    <w:p w14:paraId="0779FE83" w14:textId="77777777" w:rsidR="00AC7B28" w:rsidRPr="00E57ACD" w:rsidRDefault="00AC7B28" w:rsidP="00953755">
      <w:pPr>
        <w:spacing w:line="360" w:lineRule="auto"/>
        <w:jc w:val="both"/>
        <w:rPr>
          <w:rFonts w:ascii="Times New Roman" w:hAnsi="Times New Roman" w:cs="Times New Roman"/>
          <w:sz w:val="24"/>
          <w:szCs w:val="24"/>
        </w:rPr>
      </w:pPr>
      <w:r w:rsidRPr="00E57ACD">
        <w:rPr>
          <w:rFonts w:ascii="Times New Roman" w:hAnsi="Times New Roman" w:cs="Times New Roman"/>
          <w:b/>
          <w:i/>
          <w:sz w:val="24"/>
          <w:szCs w:val="24"/>
        </w:rPr>
        <w:t>Gross Profit</w:t>
      </w:r>
      <w:r w:rsidRPr="00E57ACD">
        <w:rPr>
          <w:rFonts w:ascii="Times New Roman" w:hAnsi="Times New Roman" w:cs="Times New Roman"/>
          <w:sz w:val="24"/>
          <w:szCs w:val="24"/>
        </w:rPr>
        <w:t>:</w:t>
      </w:r>
      <w:r w:rsidR="00DE0816" w:rsidRPr="00E57ACD">
        <w:rPr>
          <w:rFonts w:ascii="Times New Roman" w:hAnsi="Times New Roman" w:cs="Times New Roman"/>
          <w:sz w:val="24"/>
          <w:szCs w:val="24"/>
        </w:rPr>
        <w:t xml:space="preserve"> The gross profits in 2015, 2016, 2017, 2018, and 2019 are 63%, 67%, 66%, 67%, and 65% respectively. This is indicating the fluctuation in the relationship of proportion change in the sales of the company and proportion change </w:t>
      </w:r>
      <w:r w:rsidR="00C72AF6" w:rsidRPr="00E57ACD">
        <w:rPr>
          <w:rFonts w:ascii="Times New Roman" w:hAnsi="Times New Roman" w:cs="Times New Roman"/>
          <w:sz w:val="24"/>
          <w:szCs w:val="24"/>
        </w:rPr>
        <w:t xml:space="preserve">in </w:t>
      </w:r>
      <w:r w:rsidR="00DE0816" w:rsidRPr="00E57ACD">
        <w:rPr>
          <w:rFonts w:ascii="Times New Roman" w:hAnsi="Times New Roman" w:cs="Times New Roman"/>
          <w:sz w:val="24"/>
          <w:szCs w:val="24"/>
        </w:rPr>
        <w:t xml:space="preserve">the cost of production of goods or services in GSK. </w:t>
      </w:r>
      <w:r w:rsidR="00283291" w:rsidRPr="00E57ACD">
        <w:rPr>
          <w:rFonts w:ascii="Times New Roman" w:hAnsi="Times New Roman" w:cs="Times New Roman"/>
          <w:sz w:val="24"/>
          <w:szCs w:val="24"/>
        </w:rPr>
        <w:t xml:space="preserve">The </w:t>
      </w:r>
      <w:r w:rsidR="005E564B" w:rsidRPr="00E57ACD">
        <w:rPr>
          <w:rFonts w:ascii="Times New Roman" w:hAnsi="Times New Roman" w:cs="Times New Roman"/>
          <w:sz w:val="24"/>
          <w:szCs w:val="24"/>
        </w:rPr>
        <w:t>sales of the company are</w:t>
      </w:r>
      <w:r w:rsidR="00283291" w:rsidRPr="00E57ACD">
        <w:rPr>
          <w:rFonts w:ascii="Times New Roman" w:hAnsi="Times New Roman" w:cs="Times New Roman"/>
          <w:sz w:val="24"/>
          <w:szCs w:val="24"/>
        </w:rPr>
        <w:t xml:space="preserve"> continuously increasing </w:t>
      </w:r>
      <w:r w:rsidR="005E564B" w:rsidRPr="00E57ACD">
        <w:rPr>
          <w:rFonts w:ascii="Times New Roman" w:hAnsi="Times New Roman" w:cs="Times New Roman"/>
          <w:sz w:val="24"/>
          <w:szCs w:val="24"/>
        </w:rPr>
        <w:t xml:space="preserve">along with </w:t>
      </w:r>
      <w:r w:rsidR="00C72AF6" w:rsidRPr="00E57ACD">
        <w:rPr>
          <w:rFonts w:ascii="Times New Roman" w:hAnsi="Times New Roman" w:cs="Times New Roman"/>
          <w:sz w:val="24"/>
          <w:szCs w:val="24"/>
        </w:rPr>
        <w:t xml:space="preserve">the </w:t>
      </w:r>
      <w:r w:rsidR="005E564B" w:rsidRPr="00E57ACD">
        <w:rPr>
          <w:rFonts w:ascii="Times New Roman" w:hAnsi="Times New Roman" w:cs="Times New Roman"/>
          <w:sz w:val="24"/>
          <w:szCs w:val="24"/>
        </w:rPr>
        <w:t>cost of goods sold</w:t>
      </w:r>
      <w:r w:rsidR="00BD1DBA" w:rsidRPr="00E57ACD">
        <w:rPr>
          <w:rFonts w:ascii="Times New Roman" w:hAnsi="Times New Roman" w:cs="Times New Roman"/>
          <w:sz w:val="24"/>
          <w:szCs w:val="24"/>
        </w:rPr>
        <w:t xml:space="preserve"> (Robinson et al., 2015)</w:t>
      </w:r>
      <w:r w:rsidR="005E564B" w:rsidRPr="00E57ACD">
        <w:rPr>
          <w:rFonts w:ascii="Times New Roman" w:hAnsi="Times New Roman" w:cs="Times New Roman"/>
          <w:sz w:val="24"/>
          <w:szCs w:val="24"/>
        </w:rPr>
        <w:t xml:space="preserve">. Change in overheads and cost of labor and material influences the cost of goods sold in </w:t>
      </w:r>
      <w:proofErr w:type="spellStart"/>
      <w:r w:rsidR="005E564B" w:rsidRPr="00E57ACD">
        <w:rPr>
          <w:rFonts w:ascii="Times New Roman" w:hAnsi="Times New Roman" w:cs="Times New Roman"/>
          <w:sz w:val="24"/>
          <w:szCs w:val="24"/>
        </w:rPr>
        <w:t>GSk</w:t>
      </w:r>
      <w:proofErr w:type="spellEnd"/>
      <w:r w:rsidR="005E564B" w:rsidRPr="00E57ACD">
        <w:rPr>
          <w:rFonts w:ascii="Times New Roman" w:hAnsi="Times New Roman" w:cs="Times New Roman"/>
          <w:sz w:val="24"/>
          <w:szCs w:val="24"/>
        </w:rPr>
        <w:t xml:space="preserve"> that put pressure on the efficiency of the business to maintain the profit. </w:t>
      </w:r>
    </w:p>
    <w:p w14:paraId="6E259DC3" w14:textId="77777777" w:rsidR="00AC7B28" w:rsidRPr="00E57ACD" w:rsidRDefault="00AC7B28" w:rsidP="00953755">
      <w:pPr>
        <w:spacing w:line="360" w:lineRule="auto"/>
        <w:jc w:val="both"/>
        <w:rPr>
          <w:rFonts w:ascii="Times New Roman" w:hAnsi="Times New Roman" w:cs="Times New Roman"/>
          <w:sz w:val="24"/>
          <w:szCs w:val="24"/>
        </w:rPr>
      </w:pPr>
      <w:r w:rsidRPr="00E57ACD">
        <w:rPr>
          <w:rFonts w:ascii="Times New Roman" w:hAnsi="Times New Roman" w:cs="Times New Roman"/>
          <w:b/>
          <w:i/>
          <w:sz w:val="24"/>
          <w:szCs w:val="24"/>
        </w:rPr>
        <w:lastRenderedPageBreak/>
        <w:t>Net profit Margin</w:t>
      </w:r>
      <w:r w:rsidRPr="00E57ACD">
        <w:rPr>
          <w:rFonts w:ascii="Times New Roman" w:hAnsi="Times New Roman" w:cs="Times New Roman"/>
          <w:sz w:val="24"/>
          <w:szCs w:val="24"/>
        </w:rPr>
        <w:t>:</w:t>
      </w:r>
      <w:r w:rsidR="008640CF" w:rsidRPr="00E57ACD">
        <w:rPr>
          <w:rFonts w:ascii="Times New Roman" w:hAnsi="Times New Roman" w:cs="Times New Roman"/>
          <w:sz w:val="24"/>
          <w:szCs w:val="24"/>
        </w:rPr>
        <w:t xml:space="preserve">  This is expected to grow every year and to be improved for raising the value and income of the owner and shareholder of the business. This </w:t>
      </w:r>
      <w:r w:rsidR="00C72AF6" w:rsidRPr="00E57ACD">
        <w:rPr>
          <w:rFonts w:ascii="Times New Roman" w:hAnsi="Times New Roman" w:cs="Times New Roman"/>
          <w:sz w:val="24"/>
          <w:szCs w:val="24"/>
        </w:rPr>
        <w:t xml:space="preserve">is </w:t>
      </w:r>
      <w:r w:rsidR="008640CF" w:rsidRPr="00E57ACD">
        <w:rPr>
          <w:rFonts w:ascii="Times New Roman" w:hAnsi="Times New Roman" w:cs="Times New Roman"/>
          <w:sz w:val="24"/>
          <w:szCs w:val="24"/>
        </w:rPr>
        <w:t xml:space="preserve">achieved after subtracting all the taxes from the PBIT of the company. This is distributable profit in which the firm decides the proportion to distribute among the shareholder of the </w:t>
      </w:r>
      <w:r w:rsidR="005743A6" w:rsidRPr="00E57ACD">
        <w:rPr>
          <w:rFonts w:ascii="Times New Roman" w:hAnsi="Times New Roman" w:cs="Times New Roman"/>
          <w:sz w:val="24"/>
          <w:szCs w:val="24"/>
        </w:rPr>
        <w:t xml:space="preserve">business (Brigham and </w:t>
      </w:r>
      <w:proofErr w:type="spellStart"/>
      <w:r w:rsidR="005743A6" w:rsidRPr="00E57ACD">
        <w:rPr>
          <w:rFonts w:ascii="Times New Roman" w:hAnsi="Times New Roman" w:cs="Times New Roman"/>
          <w:sz w:val="24"/>
          <w:szCs w:val="24"/>
        </w:rPr>
        <w:t>Daves</w:t>
      </w:r>
      <w:proofErr w:type="spellEnd"/>
      <w:r w:rsidR="005743A6" w:rsidRPr="00E57ACD">
        <w:rPr>
          <w:rFonts w:ascii="Times New Roman" w:hAnsi="Times New Roman" w:cs="Times New Roman"/>
          <w:sz w:val="24"/>
          <w:szCs w:val="24"/>
        </w:rPr>
        <w:t>, 2012)</w:t>
      </w:r>
      <w:r w:rsidR="008640CF" w:rsidRPr="00E57ACD">
        <w:rPr>
          <w:rFonts w:ascii="Times New Roman" w:hAnsi="Times New Roman" w:cs="Times New Roman"/>
          <w:sz w:val="24"/>
          <w:szCs w:val="24"/>
        </w:rPr>
        <w:t>.  The net profit of the company was 35% in 2015 but it declined to 4% in 2016 suddenly because of Brexit and other financial challenges in the market. The increased cost and expenses of the firm on the operation reduced the profit margin and it influenced the confidence of the shareholders. Later on</w:t>
      </w:r>
      <w:r w:rsidR="00C72AF6" w:rsidRPr="00E57ACD">
        <w:rPr>
          <w:rFonts w:ascii="Times New Roman" w:hAnsi="Times New Roman" w:cs="Times New Roman"/>
          <w:sz w:val="24"/>
          <w:szCs w:val="24"/>
        </w:rPr>
        <w:t>,</w:t>
      </w:r>
      <w:r w:rsidR="008640CF" w:rsidRPr="00E57ACD">
        <w:rPr>
          <w:rFonts w:ascii="Times New Roman" w:hAnsi="Times New Roman" w:cs="Times New Roman"/>
          <w:sz w:val="24"/>
          <w:szCs w:val="24"/>
        </w:rPr>
        <w:t xml:space="preserve"> GSK took some actions that raised the profit by 7% in 2017, 13% in 2018</w:t>
      </w:r>
      <w:r w:rsidR="00C72AF6" w:rsidRPr="00E57ACD">
        <w:rPr>
          <w:rFonts w:ascii="Times New Roman" w:hAnsi="Times New Roman" w:cs="Times New Roman"/>
          <w:sz w:val="24"/>
          <w:szCs w:val="24"/>
        </w:rPr>
        <w:t>,</w:t>
      </w:r>
      <w:r w:rsidR="008640CF" w:rsidRPr="00E57ACD">
        <w:rPr>
          <w:rFonts w:ascii="Times New Roman" w:hAnsi="Times New Roman" w:cs="Times New Roman"/>
          <w:sz w:val="24"/>
          <w:szCs w:val="24"/>
        </w:rPr>
        <w:t xml:space="preserve"> and 16% in 2019. It means the firm has improved its efficiency and managed the operating cost to be lower </w:t>
      </w:r>
      <w:r w:rsidR="00C72AF6" w:rsidRPr="00E57ACD">
        <w:rPr>
          <w:rFonts w:ascii="Times New Roman" w:hAnsi="Times New Roman" w:cs="Times New Roman"/>
          <w:sz w:val="24"/>
          <w:szCs w:val="24"/>
        </w:rPr>
        <w:t>which</w:t>
      </w:r>
      <w:r w:rsidR="008640CF" w:rsidRPr="00E57ACD">
        <w:rPr>
          <w:rFonts w:ascii="Times New Roman" w:hAnsi="Times New Roman" w:cs="Times New Roman"/>
          <w:sz w:val="24"/>
          <w:szCs w:val="24"/>
        </w:rPr>
        <w:t xml:space="preserve"> raised the net profit of the business</w:t>
      </w:r>
      <w:r w:rsidR="00BD1DBA" w:rsidRPr="00E57ACD">
        <w:rPr>
          <w:rFonts w:ascii="Times New Roman" w:hAnsi="Times New Roman" w:cs="Times New Roman"/>
          <w:sz w:val="24"/>
          <w:szCs w:val="24"/>
        </w:rPr>
        <w:t xml:space="preserve"> (Brigham and Houston, 2012)</w:t>
      </w:r>
      <w:r w:rsidR="008640CF" w:rsidRPr="00E57ACD">
        <w:rPr>
          <w:rFonts w:ascii="Times New Roman" w:hAnsi="Times New Roman" w:cs="Times New Roman"/>
          <w:sz w:val="24"/>
          <w:szCs w:val="24"/>
        </w:rPr>
        <w:t xml:space="preserve">. </w:t>
      </w:r>
    </w:p>
    <w:p w14:paraId="34222831" w14:textId="77777777" w:rsidR="00AC7B28" w:rsidRPr="00E57ACD" w:rsidRDefault="00E012DA" w:rsidP="00953755">
      <w:pPr>
        <w:spacing w:line="360" w:lineRule="auto"/>
        <w:jc w:val="both"/>
        <w:rPr>
          <w:rFonts w:ascii="Times New Roman" w:hAnsi="Times New Roman" w:cs="Times New Roman"/>
          <w:sz w:val="24"/>
          <w:szCs w:val="24"/>
        </w:rPr>
      </w:pPr>
      <w:r w:rsidRPr="00E57ACD">
        <w:rPr>
          <w:rFonts w:ascii="Times New Roman" w:hAnsi="Times New Roman" w:cs="Times New Roman"/>
          <w:b/>
          <w:sz w:val="24"/>
          <w:szCs w:val="24"/>
        </w:rPr>
        <w:t>Return on assets</w:t>
      </w:r>
      <w:r w:rsidR="00AC7B28" w:rsidRPr="00E57ACD">
        <w:rPr>
          <w:rFonts w:ascii="Times New Roman" w:hAnsi="Times New Roman" w:cs="Times New Roman"/>
          <w:sz w:val="24"/>
          <w:szCs w:val="24"/>
        </w:rPr>
        <w:t>:</w:t>
      </w:r>
      <w:r w:rsidRPr="00E57ACD">
        <w:rPr>
          <w:rFonts w:ascii="Times New Roman" w:hAnsi="Times New Roman" w:cs="Times New Roman"/>
          <w:sz w:val="24"/>
          <w:szCs w:val="24"/>
        </w:rPr>
        <w:t xml:space="preserve"> This ratio enable</w:t>
      </w:r>
      <w:r w:rsidR="00C72AF6" w:rsidRPr="00E57ACD">
        <w:rPr>
          <w:rFonts w:ascii="Times New Roman" w:hAnsi="Times New Roman" w:cs="Times New Roman"/>
          <w:sz w:val="24"/>
          <w:szCs w:val="24"/>
        </w:rPr>
        <w:t>s</w:t>
      </w:r>
      <w:r w:rsidRPr="00E57ACD">
        <w:rPr>
          <w:rFonts w:ascii="Times New Roman" w:hAnsi="Times New Roman" w:cs="Times New Roman"/>
          <w:sz w:val="24"/>
          <w:szCs w:val="24"/>
        </w:rPr>
        <w:t xml:space="preserve"> the investigator to identify the ability of the firm to generate income on the assets. This ratio aids to measure the efficiency in managing the assets and allocation of the assets for improving the profit of the business. ROA in 2015, 2016, 2017, 2018, and 2019 for GSK are 16%, 2%, 4%, 7%, and 7% respectively. </w:t>
      </w:r>
      <w:r w:rsidR="00181938" w:rsidRPr="00E57ACD">
        <w:rPr>
          <w:rFonts w:ascii="Times New Roman" w:hAnsi="Times New Roman" w:cs="Times New Roman"/>
          <w:sz w:val="24"/>
          <w:szCs w:val="24"/>
        </w:rPr>
        <w:t xml:space="preserve">It means </w:t>
      </w:r>
      <w:r w:rsidR="00C72AF6" w:rsidRPr="00E57ACD">
        <w:rPr>
          <w:rFonts w:ascii="Times New Roman" w:hAnsi="Times New Roman" w:cs="Times New Roman"/>
          <w:sz w:val="24"/>
          <w:szCs w:val="24"/>
        </w:rPr>
        <w:t xml:space="preserve">the </w:t>
      </w:r>
      <w:r w:rsidR="00181938" w:rsidRPr="00E57ACD">
        <w:rPr>
          <w:rFonts w:ascii="Times New Roman" w:hAnsi="Times New Roman" w:cs="Times New Roman"/>
          <w:sz w:val="24"/>
          <w:szCs w:val="24"/>
        </w:rPr>
        <w:t>efficiency of the firm to use the assets optimally decreased in 2016 to a great level and it improved it to a certain level but did not achieve the previous level still</w:t>
      </w:r>
      <w:r w:rsidR="00E219B0" w:rsidRPr="00E57ACD">
        <w:rPr>
          <w:rFonts w:ascii="Times New Roman" w:hAnsi="Times New Roman" w:cs="Times New Roman"/>
          <w:sz w:val="24"/>
          <w:szCs w:val="24"/>
        </w:rPr>
        <w:t xml:space="preserve"> (</w:t>
      </w:r>
      <w:r w:rsidR="00E219B0" w:rsidRPr="00E57ACD">
        <w:rPr>
          <w:rFonts w:ascii="Times New Roman" w:hAnsi="Times New Roman" w:cs="Times New Roman"/>
          <w:color w:val="222222"/>
          <w:sz w:val="24"/>
          <w:szCs w:val="24"/>
          <w:shd w:val="clear" w:color="auto" w:fill="FFFFFF"/>
        </w:rPr>
        <w:t>Schroeder et al., 2019)</w:t>
      </w:r>
      <w:r w:rsidR="00181938" w:rsidRPr="00E57ACD">
        <w:rPr>
          <w:rFonts w:ascii="Times New Roman" w:hAnsi="Times New Roman" w:cs="Times New Roman"/>
          <w:sz w:val="24"/>
          <w:szCs w:val="24"/>
        </w:rPr>
        <w:t xml:space="preserve">. It indicates GSK is facing the issue in terms of asset utilization to improve the profit. </w:t>
      </w:r>
    </w:p>
    <w:p w14:paraId="1D6CBE70" w14:textId="77777777" w:rsidR="00AC7B28" w:rsidRPr="00E57ACD" w:rsidRDefault="00AC7B28" w:rsidP="00953755">
      <w:pPr>
        <w:spacing w:line="360" w:lineRule="auto"/>
        <w:jc w:val="both"/>
        <w:rPr>
          <w:rFonts w:ascii="Times New Roman" w:hAnsi="Times New Roman" w:cs="Times New Roman"/>
          <w:sz w:val="24"/>
          <w:szCs w:val="24"/>
        </w:rPr>
      </w:pPr>
      <w:r w:rsidRPr="00E57ACD">
        <w:rPr>
          <w:rFonts w:ascii="Times New Roman" w:hAnsi="Times New Roman" w:cs="Times New Roman"/>
          <w:b/>
          <w:sz w:val="24"/>
          <w:szCs w:val="24"/>
        </w:rPr>
        <w:t>Return on Equity</w:t>
      </w:r>
      <w:r w:rsidRPr="00E57ACD">
        <w:rPr>
          <w:rFonts w:ascii="Times New Roman" w:hAnsi="Times New Roman" w:cs="Times New Roman"/>
          <w:sz w:val="24"/>
          <w:szCs w:val="24"/>
        </w:rPr>
        <w:t xml:space="preserve">: </w:t>
      </w:r>
      <w:r w:rsidR="0059747D" w:rsidRPr="00E57ACD">
        <w:rPr>
          <w:rFonts w:ascii="Times New Roman" w:hAnsi="Times New Roman" w:cs="Times New Roman"/>
          <w:sz w:val="24"/>
          <w:szCs w:val="24"/>
        </w:rPr>
        <w:t xml:space="preserve">This is the ratio </w:t>
      </w:r>
      <w:r w:rsidR="00C72AF6" w:rsidRPr="00E57ACD">
        <w:rPr>
          <w:rFonts w:ascii="Times New Roman" w:hAnsi="Times New Roman" w:cs="Times New Roman"/>
          <w:sz w:val="24"/>
          <w:szCs w:val="24"/>
        </w:rPr>
        <w:t>that identifies</w:t>
      </w:r>
      <w:r w:rsidR="0059747D" w:rsidRPr="00E57ACD">
        <w:rPr>
          <w:rFonts w:ascii="Times New Roman" w:hAnsi="Times New Roman" w:cs="Times New Roman"/>
          <w:sz w:val="24"/>
          <w:szCs w:val="24"/>
        </w:rPr>
        <w:t xml:space="preserve"> the relationship between the net income of the enterprise and the total equity of the </w:t>
      </w:r>
      <w:r w:rsidR="008C464D" w:rsidRPr="00E57ACD">
        <w:rPr>
          <w:rFonts w:ascii="Times New Roman" w:hAnsi="Times New Roman" w:cs="Times New Roman"/>
          <w:sz w:val="24"/>
          <w:szCs w:val="24"/>
        </w:rPr>
        <w:t xml:space="preserve">enterprise. This aids to measure the efficiency of the company to generate income and profit on equity. This aids to measure the efficiency in the management of the company to deploy the capital of the shareholders in the </w:t>
      </w:r>
      <w:r w:rsidR="00C32F2C" w:rsidRPr="00E57ACD">
        <w:rPr>
          <w:rFonts w:ascii="Times New Roman" w:hAnsi="Times New Roman" w:cs="Times New Roman"/>
          <w:sz w:val="24"/>
          <w:szCs w:val="24"/>
        </w:rPr>
        <w:t>company</w:t>
      </w:r>
      <w:r w:rsidR="00BD1DBA" w:rsidRPr="00E57ACD">
        <w:rPr>
          <w:rFonts w:ascii="Times New Roman" w:hAnsi="Times New Roman" w:cs="Times New Roman"/>
          <w:sz w:val="24"/>
          <w:szCs w:val="24"/>
        </w:rPr>
        <w:t xml:space="preserve"> (Brigham and Houston, 2012)</w:t>
      </w:r>
      <w:r w:rsidR="00C32F2C" w:rsidRPr="00E57ACD">
        <w:rPr>
          <w:rFonts w:ascii="Times New Roman" w:hAnsi="Times New Roman" w:cs="Times New Roman"/>
          <w:sz w:val="24"/>
          <w:szCs w:val="24"/>
        </w:rPr>
        <w:t xml:space="preserve">. ROE of the firm from 2015 and 2019 is 94%, 21%, 62%, 110%, and 29% respectively. </w:t>
      </w:r>
      <w:r w:rsidR="00DB4F45" w:rsidRPr="00E57ACD">
        <w:rPr>
          <w:rFonts w:ascii="Times New Roman" w:hAnsi="Times New Roman" w:cs="Times New Roman"/>
          <w:sz w:val="24"/>
          <w:szCs w:val="24"/>
        </w:rPr>
        <w:t xml:space="preserve">It indicates </w:t>
      </w:r>
      <w:r w:rsidR="00C72AF6" w:rsidRPr="00E57ACD">
        <w:rPr>
          <w:rFonts w:ascii="Times New Roman" w:hAnsi="Times New Roman" w:cs="Times New Roman"/>
          <w:sz w:val="24"/>
          <w:szCs w:val="24"/>
        </w:rPr>
        <w:t xml:space="preserve">the </w:t>
      </w:r>
      <w:r w:rsidR="00DB4F45" w:rsidRPr="00E57ACD">
        <w:rPr>
          <w:rFonts w:ascii="Times New Roman" w:hAnsi="Times New Roman" w:cs="Times New Roman"/>
          <w:sz w:val="24"/>
          <w:szCs w:val="24"/>
        </w:rPr>
        <w:t>return on equity has declined in 2019 again after a great improvement in 2018 that may be because of the higher equity as compared to profitability and income of the business.</w:t>
      </w:r>
    </w:p>
    <w:p w14:paraId="6FD291F8" w14:textId="77777777" w:rsidR="00943794" w:rsidRPr="00E57ACD" w:rsidRDefault="00943794" w:rsidP="00953755">
      <w:pPr>
        <w:pStyle w:val="Heading3"/>
        <w:spacing w:line="360" w:lineRule="auto"/>
        <w:jc w:val="both"/>
        <w:rPr>
          <w:rFonts w:ascii="Times New Roman" w:hAnsi="Times New Roman" w:cs="Times New Roman"/>
          <w:sz w:val="24"/>
          <w:szCs w:val="24"/>
        </w:rPr>
      </w:pPr>
      <w:bookmarkStart w:id="5" w:name="_Toc58487567"/>
      <w:r w:rsidRPr="00E57ACD">
        <w:rPr>
          <w:rFonts w:ascii="Times New Roman" w:hAnsi="Times New Roman" w:cs="Times New Roman"/>
          <w:sz w:val="24"/>
          <w:szCs w:val="24"/>
        </w:rPr>
        <w:t>Efficiency:</w:t>
      </w:r>
      <w:bookmarkEnd w:id="5"/>
      <w:r w:rsidR="00CB1CE1" w:rsidRPr="00E57ACD">
        <w:rPr>
          <w:rFonts w:ascii="Times New Roman" w:hAnsi="Times New Roman" w:cs="Times New Roman"/>
          <w:sz w:val="24"/>
          <w:szCs w:val="24"/>
        </w:rPr>
        <w:t xml:space="preserve"> </w:t>
      </w:r>
    </w:p>
    <w:p w14:paraId="7C36DBA3" w14:textId="77777777" w:rsidR="00943794" w:rsidRPr="00E57ACD" w:rsidRDefault="00C2054C"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This is the measure of the performance of the entity in terms of its efficiency to use the assets and to manage the liability and assets in </w:t>
      </w:r>
      <w:r w:rsidR="00C72AF6" w:rsidRPr="00E57ACD">
        <w:rPr>
          <w:rFonts w:ascii="Times New Roman" w:hAnsi="Times New Roman" w:cs="Times New Roman"/>
          <w:sz w:val="24"/>
          <w:szCs w:val="24"/>
        </w:rPr>
        <w:t xml:space="preserve">an </w:t>
      </w:r>
      <w:r w:rsidRPr="00E57ACD">
        <w:rPr>
          <w:rFonts w:ascii="Times New Roman" w:hAnsi="Times New Roman" w:cs="Times New Roman"/>
          <w:sz w:val="24"/>
          <w:szCs w:val="24"/>
        </w:rPr>
        <w:t>effective manner</w:t>
      </w:r>
      <w:r w:rsidR="00BD1DBA" w:rsidRPr="00E57ACD">
        <w:rPr>
          <w:rFonts w:ascii="Times New Roman" w:hAnsi="Times New Roman" w:cs="Times New Roman"/>
          <w:sz w:val="24"/>
          <w:szCs w:val="24"/>
        </w:rPr>
        <w:t xml:space="preserve"> (</w:t>
      </w:r>
      <w:r w:rsidR="00BD1DBA" w:rsidRPr="00E57ACD">
        <w:rPr>
          <w:rFonts w:ascii="Times New Roman" w:hAnsi="Times New Roman" w:cs="Times New Roman"/>
          <w:color w:val="222222"/>
          <w:sz w:val="24"/>
          <w:szCs w:val="24"/>
          <w:shd w:val="clear" w:color="auto" w:fill="FFFFFF"/>
        </w:rPr>
        <w:t>Epstein and Lee, 2014)</w:t>
      </w:r>
      <w:r w:rsidRPr="00E57ACD">
        <w:rPr>
          <w:rFonts w:ascii="Times New Roman" w:hAnsi="Times New Roman" w:cs="Times New Roman"/>
          <w:sz w:val="24"/>
          <w:szCs w:val="24"/>
        </w:rPr>
        <w:t xml:space="preserve">. </w:t>
      </w:r>
      <w:r w:rsidR="00C72AF6" w:rsidRPr="00E57ACD">
        <w:rPr>
          <w:rFonts w:ascii="Times New Roman" w:hAnsi="Times New Roman" w:cs="Times New Roman"/>
          <w:sz w:val="24"/>
          <w:szCs w:val="24"/>
        </w:rPr>
        <w:t>The e</w:t>
      </w:r>
      <w:r w:rsidRPr="00E57ACD">
        <w:rPr>
          <w:rFonts w:ascii="Times New Roman" w:hAnsi="Times New Roman" w:cs="Times New Roman"/>
          <w:sz w:val="24"/>
          <w:szCs w:val="24"/>
        </w:rPr>
        <w:t xml:space="preserve">fficiency of the </w:t>
      </w:r>
      <w:r w:rsidR="002A3265" w:rsidRPr="00E57ACD">
        <w:rPr>
          <w:rFonts w:ascii="Times New Roman" w:hAnsi="Times New Roman" w:cs="Times New Roman"/>
          <w:sz w:val="24"/>
          <w:szCs w:val="24"/>
        </w:rPr>
        <w:t>GSK has been assessed on the basis of the inventory period, debtor’s period</w:t>
      </w:r>
      <w:r w:rsidR="00C72AF6" w:rsidRPr="00E57ACD">
        <w:rPr>
          <w:rFonts w:ascii="Times New Roman" w:hAnsi="Times New Roman" w:cs="Times New Roman"/>
          <w:sz w:val="24"/>
          <w:szCs w:val="24"/>
        </w:rPr>
        <w:t>,</w:t>
      </w:r>
      <w:r w:rsidR="002A3265" w:rsidRPr="00E57ACD">
        <w:rPr>
          <w:rFonts w:ascii="Times New Roman" w:hAnsi="Times New Roman" w:cs="Times New Roman"/>
          <w:sz w:val="24"/>
          <w:szCs w:val="24"/>
        </w:rPr>
        <w:t xml:space="preserve"> and creditor’s period. </w:t>
      </w:r>
    </w:p>
    <w:p w14:paraId="5F9508DB" w14:textId="77777777" w:rsidR="002A3265" w:rsidRPr="00E57ACD" w:rsidRDefault="002A3265" w:rsidP="00953755">
      <w:pPr>
        <w:spacing w:line="360" w:lineRule="auto"/>
        <w:jc w:val="both"/>
        <w:rPr>
          <w:rFonts w:ascii="Times New Roman" w:hAnsi="Times New Roman" w:cs="Times New Roman"/>
          <w:sz w:val="24"/>
          <w:szCs w:val="24"/>
        </w:rPr>
      </w:pPr>
      <w:r w:rsidRPr="00E57ACD">
        <w:rPr>
          <w:rFonts w:ascii="Times New Roman" w:hAnsi="Times New Roman" w:cs="Times New Roman"/>
          <w:b/>
          <w:i/>
          <w:sz w:val="24"/>
          <w:szCs w:val="24"/>
        </w:rPr>
        <w:lastRenderedPageBreak/>
        <w:t>Inventory period</w:t>
      </w:r>
      <w:r w:rsidRPr="00E57ACD">
        <w:rPr>
          <w:rFonts w:ascii="Times New Roman" w:hAnsi="Times New Roman" w:cs="Times New Roman"/>
          <w:sz w:val="24"/>
          <w:szCs w:val="24"/>
        </w:rPr>
        <w:t>: The inventory period in GSK is very higher that may influence the efficiency of the company to manage the inventory and short</w:t>
      </w:r>
      <w:r w:rsidR="00C72AF6" w:rsidRPr="00E57ACD">
        <w:rPr>
          <w:rFonts w:ascii="Times New Roman" w:hAnsi="Times New Roman" w:cs="Times New Roman"/>
          <w:sz w:val="24"/>
          <w:szCs w:val="24"/>
        </w:rPr>
        <w:t>-</w:t>
      </w:r>
      <w:r w:rsidRPr="00E57ACD">
        <w:rPr>
          <w:rFonts w:ascii="Times New Roman" w:hAnsi="Times New Roman" w:cs="Times New Roman"/>
          <w:sz w:val="24"/>
          <w:szCs w:val="24"/>
        </w:rPr>
        <w:t>term fund</w:t>
      </w:r>
      <w:r w:rsidR="00C72AF6" w:rsidRPr="00E57ACD">
        <w:rPr>
          <w:rFonts w:ascii="Times New Roman" w:hAnsi="Times New Roman" w:cs="Times New Roman"/>
          <w:sz w:val="24"/>
          <w:szCs w:val="24"/>
        </w:rPr>
        <w:t>s</w:t>
      </w:r>
      <w:r w:rsidRPr="00E57ACD">
        <w:rPr>
          <w:rFonts w:ascii="Times New Roman" w:hAnsi="Times New Roman" w:cs="Times New Roman"/>
          <w:sz w:val="24"/>
          <w:szCs w:val="24"/>
        </w:rPr>
        <w:t xml:space="preserve"> in the organization. Higher days of the inventory may keep the money blocked in the inventory for </w:t>
      </w:r>
      <w:r w:rsidR="00C72AF6" w:rsidRPr="00E57ACD">
        <w:rPr>
          <w:rFonts w:ascii="Times New Roman" w:hAnsi="Times New Roman" w:cs="Times New Roman"/>
          <w:sz w:val="24"/>
          <w:szCs w:val="24"/>
        </w:rPr>
        <w:t xml:space="preserve">a </w:t>
      </w:r>
      <w:r w:rsidRPr="00E57ACD">
        <w:rPr>
          <w:rFonts w:ascii="Times New Roman" w:hAnsi="Times New Roman" w:cs="Times New Roman"/>
          <w:sz w:val="24"/>
          <w:szCs w:val="24"/>
        </w:rPr>
        <w:t>longer time</w:t>
      </w:r>
      <w:r w:rsidR="005675A0" w:rsidRPr="00E57ACD">
        <w:rPr>
          <w:rFonts w:ascii="Times New Roman" w:hAnsi="Times New Roman" w:cs="Times New Roman"/>
          <w:sz w:val="24"/>
          <w:szCs w:val="24"/>
        </w:rPr>
        <w:t xml:space="preserve"> (</w:t>
      </w:r>
      <w:r w:rsidR="005675A0" w:rsidRPr="00E57ACD">
        <w:rPr>
          <w:rFonts w:ascii="Times New Roman" w:hAnsi="Times New Roman" w:cs="Times New Roman"/>
          <w:color w:val="222222"/>
          <w:sz w:val="24"/>
          <w:szCs w:val="24"/>
          <w:shd w:val="clear" w:color="auto" w:fill="FFFFFF"/>
        </w:rPr>
        <w:t>Subramanyam, 2014)</w:t>
      </w:r>
      <w:r w:rsidRPr="00E57ACD">
        <w:rPr>
          <w:rFonts w:ascii="Times New Roman" w:hAnsi="Times New Roman" w:cs="Times New Roman"/>
          <w:sz w:val="24"/>
          <w:szCs w:val="24"/>
        </w:rPr>
        <w:t xml:space="preserve">. However, the company is focusing on reducing the inventory period. There is </w:t>
      </w:r>
      <w:r w:rsidR="00C72AF6" w:rsidRPr="00E57ACD">
        <w:rPr>
          <w:rFonts w:ascii="Times New Roman" w:hAnsi="Times New Roman" w:cs="Times New Roman"/>
          <w:sz w:val="24"/>
          <w:szCs w:val="24"/>
        </w:rPr>
        <w:t xml:space="preserve">a </w:t>
      </w:r>
      <w:r w:rsidRPr="00E57ACD">
        <w:rPr>
          <w:rFonts w:ascii="Times New Roman" w:hAnsi="Times New Roman" w:cs="Times New Roman"/>
          <w:sz w:val="24"/>
          <w:szCs w:val="24"/>
        </w:rPr>
        <w:t xml:space="preserve">good amount of reduction in the inventory days over the </w:t>
      </w:r>
      <w:r w:rsidR="00E341D4" w:rsidRPr="00E57ACD">
        <w:rPr>
          <w:rFonts w:ascii="Times New Roman" w:hAnsi="Times New Roman" w:cs="Times New Roman"/>
          <w:sz w:val="24"/>
          <w:szCs w:val="24"/>
        </w:rPr>
        <w:t>years that are</w:t>
      </w:r>
      <w:r w:rsidRPr="00E57ACD">
        <w:rPr>
          <w:rFonts w:ascii="Times New Roman" w:hAnsi="Times New Roman" w:cs="Times New Roman"/>
          <w:sz w:val="24"/>
          <w:szCs w:val="24"/>
        </w:rPr>
        <w:t xml:space="preserve"> showing the improvement in the efficiency of GSK to use the invento</w:t>
      </w:r>
      <w:r w:rsidR="00E341D4" w:rsidRPr="00E57ACD">
        <w:rPr>
          <w:rFonts w:ascii="Times New Roman" w:hAnsi="Times New Roman" w:cs="Times New Roman"/>
          <w:sz w:val="24"/>
          <w:szCs w:val="24"/>
        </w:rPr>
        <w:t>ry frequently</w:t>
      </w:r>
      <w:r w:rsidR="00BD1DBA" w:rsidRPr="00E57ACD">
        <w:rPr>
          <w:rFonts w:ascii="Times New Roman" w:hAnsi="Times New Roman" w:cs="Times New Roman"/>
          <w:sz w:val="24"/>
          <w:szCs w:val="24"/>
        </w:rPr>
        <w:t xml:space="preserve"> (Brigham and Ehrhardt, 2013)</w:t>
      </w:r>
      <w:r w:rsidR="00E341D4" w:rsidRPr="00E57ACD">
        <w:rPr>
          <w:rFonts w:ascii="Times New Roman" w:hAnsi="Times New Roman" w:cs="Times New Roman"/>
          <w:sz w:val="24"/>
          <w:szCs w:val="24"/>
        </w:rPr>
        <w:t>. It was 194 days in 2015, 200 days in 2016, 196 days in 2017, 195 days in 2018</w:t>
      </w:r>
      <w:r w:rsidR="00C72AF6" w:rsidRPr="00E57ACD">
        <w:rPr>
          <w:rFonts w:ascii="Times New Roman" w:hAnsi="Times New Roman" w:cs="Times New Roman"/>
          <w:sz w:val="24"/>
          <w:szCs w:val="24"/>
        </w:rPr>
        <w:t>,</w:t>
      </w:r>
      <w:r w:rsidR="00E341D4" w:rsidRPr="00E57ACD">
        <w:rPr>
          <w:rFonts w:ascii="Times New Roman" w:hAnsi="Times New Roman" w:cs="Times New Roman"/>
          <w:sz w:val="24"/>
          <w:szCs w:val="24"/>
        </w:rPr>
        <w:t xml:space="preserve"> and 182 days in 2019 respectively. It means GSK still needs to focus </w:t>
      </w:r>
      <w:r w:rsidR="00C72AF6" w:rsidRPr="00E57ACD">
        <w:rPr>
          <w:rFonts w:ascii="Times New Roman" w:hAnsi="Times New Roman" w:cs="Times New Roman"/>
          <w:sz w:val="24"/>
          <w:szCs w:val="24"/>
        </w:rPr>
        <w:t>o</w:t>
      </w:r>
      <w:r w:rsidR="00E341D4" w:rsidRPr="00E57ACD">
        <w:rPr>
          <w:rFonts w:ascii="Times New Roman" w:hAnsi="Times New Roman" w:cs="Times New Roman"/>
          <w:sz w:val="24"/>
          <w:szCs w:val="24"/>
        </w:rPr>
        <w:t xml:space="preserve">n the management of the inventory to reduce </w:t>
      </w:r>
      <w:r w:rsidR="00C72AF6" w:rsidRPr="00E57ACD">
        <w:rPr>
          <w:rFonts w:ascii="Times New Roman" w:hAnsi="Times New Roman" w:cs="Times New Roman"/>
          <w:sz w:val="24"/>
          <w:szCs w:val="24"/>
        </w:rPr>
        <w:t xml:space="preserve">the </w:t>
      </w:r>
      <w:r w:rsidR="00E341D4" w:rsidRPr="00E57ACD">
        <w:rPr>
          <w:rFonts w:ascii="Times New Roman" w:hAnsi="Times New Roman" w:cs="Times New Roman"/>
          <w:sz w:val="24"/>
          <w:szCs w:val="24"/>
        </w:rPr>
        <w:t xml:space="preserve">size of inventory to cut the cost and reduce the day of inventory. </w:t>
      </w:r>
    </w:p>
    <w:p w14:paraId="73819126" w14:textId="77777777" w:rsidR="002A3265" w:rsidRPr="00E57ACD" w:rsidRDefault="002A3265" w:rsidP="00953755">
      <w:pPr>
        <w:spacing w:line="360" w:lineRule="auto"/>
        <w:jc w:val="both"/>
        <w:rPr>
          <w:rFonts w:ascii="Times New Roman" w:hAnsi="Times New Roman" w:cs="Times New Roman"/>
          <w:sz w:val="24"/>
          <w:szCs w:val="24"/>
        </w:rPr>
      </w:pPr>
      <w:r w:rsidRPr="00E57ACD">
        <w:rPr>
          <w:rFonts w:ascii="Times New Roman" w:hAnsi="Times New Roman" w:cs="Times New Roman"/>
          <w:b/>
          <w:i/>
          <w:sz w:val="24"/>
          <w:szCs w:val="24"/>
        </w:rPr>
        <w:t>Creditor’s period</w:t>
      </w:r>
      <w:r w:rsidRPr="00E57ACD">
        <w:rPr>
          <w:rFonts w:ascii="Times New Roman" w:hAnsi="Times New Roman" w:cs="Times New Roman"/>
          <w:sz w:val="24"/>
          <w:szCs w:val="24"/>
        </w:rPr>
        <w:t>:</w:t>
      </w:r>
      <w:r w:rsidR="00A6163A" w:rsidRPr="00E57ACD">
        <w:rPr>
          <w:rFonts w:ascii="Times New Roman" w:hAnsi="Times New Roman" w:cs="Times New Roman"/>
          <w:sz w:val="24"/>
          <w:szCs w:val="24"/>
        </w:rPr>
        <w:t xml:space="preserve"> </w:t>
      </w:r>
      <w:r w:rsidR="005260E8" w:rsidRPr="00E57ACD">
        <w:rPr>
          <w:rFonts w:ascii="Times New Roman" w:hAnsi="Times New Roman" w:cs="Times New Roman"/>
          <w:sz w:val="24"/>
          <w:szCs w:val="24"/>
        </w:rPr>
        <w:t xml:space="preserve">Higher creditor’s period shows lesser efficiency of the company to pay back the money to suppliers. GSK is suffering the issue of efficiency because of lesser capital and fund it holds the money of the capital for </w:t>
      </w:r>
      <w:r w:rsidR="00C72AF6" w:rsidRPr="00E57ACD">
        <w:rPr>
          <w:rFonts w:ascii="Times New Roman" w:hAnsi="Times New Roman" w:cs="Times New Roman"/>
          <w:sz w:val="24"/>
          <w:szCs w:val="24"/>
        </w:rPr>
        <w:t xml:space="preserve">a </w:t>
      </w:r>
      <w:r w:rsidR="005260E8" w:rsidRPr="00E57ACD">
        <w:rPr>
          <w:rFonts w:ascii="Times New Roman" w:hAnsi="Times New Roman" w:cs="Times New Roman"/>
          <w:sz w:val="24"/>
          <w:szCs w:val="24"/>
        </w:rPr>
        <w:t>longer time. Creditor’s average days in GSK were 379 days in 2015, 470 days in 2016, 740 days in 2017, 500 days in 2018</w:t>
      </w:r>
      <w:r w:rsidR="00C72AF6" w:rsidRPr="00E57ACD">
        <w:rPr>
          <w:rFonts w:ascii="Times New Roman" w:hAnsi="Times New Roman" w:cs="Times New Roman"/>
          <w:sz w:val="24"/>
          <w:szCs w:val="24"/>
        </w:rPr>
        <w:t>,</w:t>
      </w:r>
      <w:r w:rsidR="005260E8" w:rsidRPr="00E57ACD">
        <w:rPr>
          <w:rFonts w:ascii="Times New Roman" w:hAnsi="Times New Roman" w:cs="Times New Roman"/>
          <w:sz w:val="24"/>
          <w:szCs w:val="24"/>
        </w:rPr>
        <w:t xml:space="preserve"> and 459 days in 2019. It means the creditor’s days increased highest in 2017 due to Brexit in </w:t>
      </w:r>
      <w:r w:rsidR="00C72AF6" w:rsidRPr="00E57ACD">
        <w:rPr>
          <w:rFonts w:ascii="Times New Roman" w:hAnsi="Times New Roman" w:cs="Times New Roman"/>
          <w:sz w:val="24"/>
          <w:szCs w:val="24"/>
        </w:rPr>
        <w:t xml:space="preserve">the </w:t>
      </w:r>
      <w:r w:rsidR="005260E8" w:rsidRPr="00E57ACD">
        <w:rPr>
          <w:rFonts w:ascii="Times New Roman" w:hAnsi="Times New Roman" w:cs="Times New Roman"/>
          <w:sz w:val="24"/>
          <w:szCs w:val="24"/>
        </w:rPr>
        <w:t xml:space="preserve">UK and other issues that affected the capability of </w:t>
      </w:r>
      <w:r w:rsidR="00C72AF6" w:rsidRPr="00E57ACD">
        <w:rPr>
          <w:rFonts w:ascii="Times New Roman" w:hAnsi="Times New Roman" w:cs="Times New Roman"/>
          <w:sz w:val="24"/>
          <w:szCs w:val="24"/>
        </w:rPr>
        <w:t xml:space="preserve">the </w:t>
      </w:r>
      <w:r w:rsidR="005260E8" w:rsidRPr="00E57ACD">
        <w:rPr>
          <w:rFonts w:ascii="Times New Roman" w:hAnsi="Times New Roman" w:cs="Times New Roman"/>
          <w:sz w:val="24"/>
          <w:szCs w:val="24"/>
        </w:rPr>
        <w:t>business to pay money to suppliers</w:t>
      </w:r>
      <w:r w:rsidR="00BD1DBA" w:rsidRPr="00E57ACD">
        <w:rPr>
          <w:rFonts w:ascii="Times New Roman" w:hAnsi="Times New Roman" w:cs="Times New Roman"/>
          <w:sz w:val="24"/>
          <w:szCs w:val="24"/>
        </w:rPr>
        <w:t xml:space="preserve"> (</w:t>
      </w:r>
      <w:r w:rsidR="00BD1DBA" w:rsidRPr="00E57ACD">
        <w:rPr>
          <w:rFonts w:ascii="Times New Roman" w:hAnsi="Times New Roman" w:cs="Times New Roman"/>
          <w:color w:val="222222"/>
          <w:sz w:val="24"/>
          <w:szCs w:val="24"/>
          <w:shd w:val="clear" w:color="auto" w:fill="FFFFFF"/>
        </w:rPr>
        <w:t>Epstein and Lee, 2014)</w:t>
      </w:r>
      <w:r w:rsidR="005260E8" w:rsidRPr="00E57ACD">
        <w:rPr>
          <w:rFonts w:ascii="Times New Roman" w:hAnsi="Times New Roman" w:cs="Times New Roman"/>
          <w:sz w:val="24"/>
          <w:szCs w:val="24"/>
        </w:rPr>
        <w:t xml:space="preserve">. </w:t>
      </w:r>
      <w:r w:rsidR="00226BF6" w:rsidRPr="00E57ACD">
        <w:rPr>
          <w:rFonts w:ascii="Times New Roman" w:hAnsi="Times New Roman" w:cs="Times New Roman"/>
          <w:sz w:val="24"/>
          <w:szCs w:val="24"/>
        </w:rPr>
        <w:t xml:space="preserve">It indicates GSK needs to improve the efficiency and ability to clear the payment of supplies in lesser days to improve the reputation and image among the creditors. </w:t>
      </w:r>
    </w:p>
    <w:p w14:paraId="4CAA459B" w14:textId="77777777" w:rsidR="002A3265" w:rsidRPr="00E57ACD" w:rsidRDefault="002A3265" w:rsidP="00953755">
      <w:pPr>
        <w:spacing w:line="360" w:lineRule="auto"/>
        <w:jc w:val="both"/>
        <w:rPr>
          <w:rFonts w:ascii="Times New Roman" w:hAnsi="Times New Roman" w:cs="Times New Roman"/>
          <w:sz w:val="24"/>
          <w:szCs w:val="24"/>
        </w:rPr>
      </w:pPr>
      <w:r w:rsidRPr="00E57ACD">
        <w:rPr>
          <w:rFonts w:ascii="Times New Roman" w:hAnsi="Times New Roman" w:cs="Times New Roman"/>
          <w:b/>
          <w:i/>
          <w:sz w:val="24"/>
          <w:szCs w:val="24"/>
        </w:rPr>
        <w:t>Debtor’s period</w:t>
      </w:r>
      <w:r w:rsidRPr="00E57ACD">
        <w:rPr>
          <w:rFonts w:ascii="Times New Roman" w:hAnsi="Times New Roman" w:cs="Times New Roman"/>
          <w:sz w:val="24"/>
          <w:szCs w:val="24"/>
        </w:rPr>
        <w:t xml:space="preserve">: </w:t>
      </w:r>
      <w:r w:rsidR="00287F00" w:rsidRPr="00E57ACD">
        <w:rPr>
          <w:rFonts w:ascii="Times New Roman" w:hAnsi="Times New Roman" w:cs="Times New Roman"/>
          <w:sz w:val="24"/>
          <w:szCs w:val="24"/>
        </w:rPr>
        <w:t xml:space="preserve">This is the period indicates the efficiency of the organization to recover the money from the market. The credit policy of the business may influence the debtor’s period which in turn can have </w:t>
      </w:r>
      <w:r w:rsidR="00C72AF6" w:rsidRPr="00E57ACD">
        <w:rPr>
          <w:rFonts w:ascii="Times New Roman" w:hAnsi="Times New Roman" w:cs="Times New Roman"/>
          <w:sz w:val="24"/>
          <w:szCs w:val="24"/>
        </w:rPr>
        <w:t xml:space="preserve">an </w:t>
      </w:r>
      <w:r w:rsidR="00287F00" w:rsidRPr="00E57ACD">
        <w:rPr>
          <w:rFonts w:ascii="Times New Roman" w:hAnsi="Times New Roman" w:cs="Times New Roman"/>
          <w:sz w:val="24"/>
          <w:szCs w:val="24"/>
        </w:rPr>
        <w:t xml:space="preserve">implication on the working capital management and cash conversion cycle. </w:t>
      </w:r>
      <w:r w:rsidR="00277400" w:rsidRPr="00E57ACD">
        <w:rPr>
          <w:rFonts w:ascii="Times New Roman" w:hAnsi="Times New Roman" w:cs="Times New Roman"/>
          <w:sz w:val="24"/>
          <w:szCs w:val="24"/>
        </w:rPr>
        <w:t xml:space="preserve">Debtor’s period and days of GSK were 86 days in 2015, 79 days in 2016, 73 days in 2017, 76 days in 2018, and 78 days in 2019. It means there </w:t>
      </w:r>
      <w:r w:rsidR="00C72AF6" w:rsidRPr="00E57ACD">
        <w:rPr>
          <w:rFonts w:ascii="Times New Roman" w:hAnsi="Times New Roman" w:cs="Times New Roman"/>
          <w:sz w:val="24"/>
          <w:szCs w:val="24"/>
        </w:rPr>
        <w:t>are</w:t>
      </w:r>
      <w:r w:rsidR="00277400" w:rsidRPr="00E57ACD">
        <w:rPr>
          <w:rFonts w:ascii="Times New Roman" w:hAnsi="Times New Roman" w:cs="Times New Roman"/>
          <w:sz w:val="24"/>
          <w:szCs w:val="24"/>
        </w:rPr>
        <w:t xml:space="preserve"> </w:t>
      </w:r>
      <w:r w:rsidR="00C72AF6" w:rsidRPr="00E57ACD">
        <w:rPr>
          <w:rFonts w:ascii="Times New Roman" w:hAnsi="Times New Roman" w:cs="Times New Roman"/>
          <w:sz w:val="24"/>
          <w:szCs w:val="24"/>
        </w:rPr>
        <w:t xml:space="preserve">a </w:t>
      </w:r>
      <w:r w:rsidR="00277400" w:rsidRPr="00E57ACD">
        <w:rPr>
          <w:rFonts w:ascii="Times New Roman" w:hAnsi="Times New Roman" w:cs="Times New Roman"/>
          <w:sz w:val="24"/>
          <w:szCs w:val="24"/>
        </w:rPr>
        <w:t>good credit policy and strategy of the company to manage the debtors and to recover the money from the market</w:t>
      </w:r>
      <w:r w:rsidR="00BD1DBA" w:rsidRPr="00E57ACD">
        <w:rPr>
          <w:rFonts w:ascii="Times New Roman" w:hAnsi="Times New Roman" w:cs="Times New Roman"/>
          <w:sz w:val="24"/>
          <w:szCs w:val="24"/>
        </w:rPr>
        <w:t xml:space="preserve"> (</w:t>
      </w:r>
      <w:r w:rsidR="00BD1DBA" w:rsidRPr="00E57ACD">
        <w:rPr>
          <w:rFonts w:ascii="Times New Roman" w:hAnsi="Times New Roman" w:cs="Times New Roman"/>
          <w:color w:val="222222"/>
          <w:sz w:val="24"/>
          <w:szCs w:val="24"/>
          <w:shd w:val="clear" w:color="auto" w:fill="FFFFFF"/>
        </w:rPr>
        <w:t>Brigham and Ehrhardt, 2013)</w:t>
      </w:r>
      <w:r w:rsidR="00277400" w:rsidRPr="00E57ACD">
        <w:rPr>
          <w:rFonts w:ascii="Times New Roman" w:hAnsi="Times New Roman" w:cs="Times New Roman"/>
          <w:sz w:val="24"/>
          <w:szCs w:val="24"/>
        </w:rPr>
        <w:t xml:space="preserve">. The results are showing that </w:t>
      </w:r>
      <w:r w:rsidR="00C72AF6" w:rsidRPr="00E57ACD">
        <w:rPr>
          <w:rFonts w:ascii="Times New Roman" w:hAnsi="Times New Roman" w:cs="Times New Roman"/>
          <w:sz w:val="24"/>
          <w:szCs w:val="24"/>
        </w:rPr>
        <w:t xml:space="preserve">the </w:t>
      </w:r>
      <w:r w:rsidR="00277400" w:rsidRPr="00E57ACD">
        <w:rPr>
          <w:rFonts w:ascii="Times New Roman" w:hAnsi="Times New Roman" w:cs="Times New Roman"/>
          <w:sz w:val="24"/>
          <w:szCs w:val="24"/>
        </w:rPr>
        <w:t>company collect</w:t>
      </w:r>
      <w:r w:rsidR="00C72AF6" w:rsidRPr="00E57ACD">
        <w:rPr>
          <w:rFonts w:ascii="Times New Roman" w:hAnsi="Times New Roman" w:cs="Times New Roman"/>
          <w:sz w:val="24"/>
          <w:szCs w:val="24"/>
        </w:rPr>
        <w:t>s</w:t>
      </w:r>
      <w:r w:rsidR="00277400" w:rsidRPr="00E57ACD">
        <w:rPr>
          <w:rFonts w:ascii="Times New Roman" w:hAnsi="Times New Roman" w:cs="Times New Roman"/>
          <w:sz w:val="24"/>
          <w:szCs w:val="24"/>
        </w:rPr>
        <w:t xml:space="preserve"> its money from the market in 70 to 90 days that is quite good but it can reduce it more by revising the policies and </w:t>
      </w:r>
      <w:r w:rsidR="00DC0C09" w:rsidRPr="00E57ACD">
        <w:rPr>
          <w:rFonts w:ascii="Times New Roman" w:hAnsi="Times New Roman" w:cs="Times New Roman"/>
          <w:sz w:val="24"/>
          <w:szCs w:val="24"/>
        </w:rPr>
        <w:t>strategies</w:t>
      </w:r>
      <w:r w:rsidR="00277400" w:rsidRPr="00E57ACD">
        <w:rPr>
          <w:rFonts w:ascii="Times New Roman" w:hAnsi="Times New Roman" w:cs="Times New Roman"/>
          <w:sz w:val="24"/>
          <w:szCs w:val="24"/>
        </w:rPr>
        <w:t xml:space="preserve">. </w:t>
      </w:r>
      <w:r w:rsidR="00C72AF6" w:rsidRPr="00E57ACD">
        <w:rPr>
          <w:rFonts w:ascii="Times New Roman" w:hAnsi="Times New Roman" w:cs="Times New Roman"/>
          <w:sz w:val="24"/>
          <w:szCs w:val="24"/>
        </w:rPr>
        <w:t>A h</w:t>
      </w:r>
      <w:r w:rsidR="007920EE" w:rsidRPr="00E57ACD">
        <w:rPr>
          <w:rFonts w:ascii="Times New Roman" w:hAnsi="Times New Roman" w:cs="Times New Roman"/>
          <w:sz w:val="24"/>
          <w:szCs w:val="24"/>
        </w:rPr>
        <w:t xml:space="preserve">igher period may cause the risk of working capital and may affect the ability to pay to the supplier and other </w:t>
      </w:r>
      <w:r w:rsidR="007139EB" w:rsidRPr="00E57ACD">
        <w:rPr>
          <w:rFonts w:ascii="Times New Roman" w:hAnsi="Times New Roman" w:cs="Times New Roman"/>
          <w:sz w:val="24"/>
          <w:szCs w:val="24"/>
        </w:rPr>
        <w:t>creditors</w:t>
      </w:r>
      <w:r w:rsidR="007920EE" w:rsidRPr="00E57ACD">
        <w:rPr>
          <w:rFonts w:ascii="Times New Roman" w:hAnsi="Times New Roman" w:cs="Times New Roman"/>
          <w:sz w:val="24"/>
          <w:szCs w:val="24"/>
        </w:rPr>
        <w:t xml:space="preserve">. </w:t>
      </w:r>
    </w:p>
    <w:p w14:paraId="3B3D2D3E" w14:textId="77777777" w:rsidR="00943794" w:rsidRPr="00E57ACD" w:rsidRDefault="00943794" w:rsidP="00953755">
      <w:pPr>
        <w:pStyle w:val="Heading3"/>
        <w:spacing w:line="360" w:lineRule="auto"/>
        <w:jc w:val="both"/>
        <w:rPr>
          <w:rFonts w:ascii="Times New Roman" w:hAnsi="Times New Roman" w:cs="Times New Roman"/>
          <w:sz w:val="24"/>
          <w:szCs w:val="24"/>
        </w:rPr>
      </w:pPr>
      <w:bookmarkStart w:id="6" w:name="_Toc58487568"/>
      <w:r w:rsidRPr="00E57ACD">
        <w:rPr>
          <w:rFonts w:ascii="Times New Roman" w:hAnsi="Times New Roman" w:cs="Times New Roman"/>
          <w:sz w:val="24"/>
          <w:szCs w:val="24"/>
        </w:rPr>
        <w:t>Financial Stability:</w:t>
      </w:r>
      <w:bookmarkEnd w:id="6"/>
      <w:r w:rsidR="00E17482" w:rsidRPr="00E57ACD">
        <w:rPr>
          <w:rFonts w:ascii="Times New Roman" w:hAnsi="Times New Roman" w:cs="Times New Roman"/>
          <w:sz w:val="24"/>
          <w:szCs w:val="24"/>
        </w:rPr>
        <w:t xml:space="preserve"> </w:t>
      </w:r>
    </w:p>
    <w:p w14:paraId="34FD6683" w14:textId="77777777" w:rsidR="00943794" w:rsidRPr="00E57ACD" w:rsidRDefault="005E7069"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This ratio enables </w:t>
      </w:r>
      <w:r w:rsidR="00C72AF6" w:rsidRPr="00E57ACD">
        <w:rPr>
          <w:rFonts w:ascii="Times New Roman" w:hAnsi="Times New Roman" w:cs="Times New Roman"/>
          <w:sz w:val="24"/>
          <w:szCs w:val="24"/>
        </w:rPr>
        <w:t xml:space="preserve">the </w:t>
      </w:r>
      <w:r w:rsidRPr="00E57ACD">
        <w:rPr>
          <w:rFonts w:ascii="Times New Roman" w:hAnsi="Times New Roman" w:cs="Times New Roman"/>
          <w:sz w:val="24"/>
          <w:szCs w:val="24"/>
        </w:rPr>
        <w:t xml:space="preserve">investigator for finding the stability in the performance and liquidity of the entity to pay off its obligation and liabilities </w:t>
      </w:r>
      <w:r w:rsidR="00C72AF6" w:rsidRPr="00E57ACD">
        <w:rPr>
          <w:rFonts w:ascii="Times New Roman" w:hAnsi="Times New Roman" w:cs="Times New Roman"/>
          <w:sz w:val="24"/>
          <w:szCs w:val="24"/>
        </w:rPr>
        <w:t xml:space="preserve">to </w:t>
      </w:r>
      <w:r w:rsidRPr="00E57ACD">
        <w:rPr>
          <w:rFonts w:ascii="Times New Roman" w:hAnsi="Times New Roman" w:cs="Times New Roman"/>
          <w:sz w:val="24"/>
          <w:szCs w:val="24"/>
        </w:rPr>
        <w:t>occur in short term</w:t>
      </w:r>
      <w:r w:rsidR="005675A0" w:rsidRPr="00E57ACD">
        <w:rPr>
          <w:rFonts w:ascii="Times New Roman" w:hAnsi="Times New Roman" w:cs="Times New Roman"/>
          <w:sz w:val="24"/>
          <w:szCs w:val="24"/>
        </w:rPr>
        <w:t xml:space="preserve"> (</w:t>
      </w:r>
      <w:r w:rsidR="005675A0" w:rsidRPr="00E57ACD">
        <w:rPr>
          <w:rFonts w:ascii="Times New Roman" w:hAnsi="Times New Roman" w:cs="Times New Roman"/>
          <w:color w:val="222222"/>
          <w:sz w:val="24"/>
          <w:szCs w:val="24"/>
          <w:shd w:val="clear" w:color="auto" w:fill="FFFFFF"/>
        </w:rPr>
        <w:t>Schroeder et al., 2019)</w:t>
      </w:r>
      <w:r w:rsidRPr="00E57ACD">
        <w:rPr>
          <w:rFonts w:ascii="Times New Roman" w:hAnsi="Times New Roman" w:cs="Times New Roman"/>
          <w:sz w:val="24"/>
          <w:szCs w:val="24"/>
        </w:rPr>
        <w:t xml:space="preserve">. </w:t>
      </w:r>
    </w:p>
    <w:p w14:paraId="785271E6" w14:textId="77777777" w:rsidR="0054758B" w:rsidRPr="00E57ACD" w:rsidRDefault="0054758B" w:rsidP="00953755">
      <w:pPr>
        <w:spacing w:line="360" w:lineRule="auto"/>
        <w:jc w:val="both"/>
        <w:rPr>
          <w:rFonts w:ascii="Times New Roman" w:hAnsi="Times New Roman" w:cs="Times New Roman"/>
          <w:sz w:val="24"/>
          <w:szCs w:val="24"/>
        </w:rPr>
      </w:pPr>
      <w:r w:rsidRPr="00E57ACD">
        <w:rPr>
          <w:rFonts w:ascii="Times New Roman" w:hAnsi="Times New Roman" w:cs="Times New Roman"/>
          <w:b/>
          <w:i/>
          <w:sz w:val="24"/>
          <w:szCs w:val="24"/>
        </w:rPr>
        <w:lastRenderedPageBreak/>
        <w:t>Current ratio</w:t>
      </w:r>
      <w:r w:rsidRPr="00E57ACD">
        <w:rPr>
          <w:rFonts w:ascii="Times New Roman" w:hAnsi="Times New Roman" w:cs="Times New Roman"/>
          <w:sz w:val="24"/>
          <w:szCs w:val="24"/>
        </w:rPr>
        <w:t>:</w:t>
      </w:r>
      <w:r w:rsidR="004E069A" w:rsidRPr="00E57ACD">
        <w:rPr>
          <w:rFonts w:ascii="Times New Roman" w:hAnsi="Times New Roman" w:cs="Times New Roman"/>
          <w:sz w:val="24"/>
          <w:szCs w:val="24"/>
        </w:rPr>
        <w:t xml:space="preserve"> GSK suffered the lack of short</w:t>
      </w:r>
      <w:r w:rsidR="00C72AF6" w:rsidRPr="00E57ACD">
        <w:rPr>
          <w:rFonts w:ascii="Times New Roman" w:hAnsi="Times New Roman" w:cs="Times New Roman"/>
          <w:sz w:val="24"/>
          <w:szCs w:val="24"/>
        </w:rPr>
        <w:t>-</w:t>
      </w:r>
      <w:r w:rsidR="004E069A" w:rsidRPr="00E57ACD">
        <w:rPr>
          <w:rFonts w:ascii="Times New Roman" w:hAnsi="Times New Roman" w:cs="Times New Roman"/>
          <w:sz w:val="24"/>
          <w:szCs w:val="24"/>
        </w:rPr>
        <w:t>term finance over the years and it was 1.45 in 2015, 0.88 in 2016, 0.60 in 2017, 0.75 in 2018</w:t>
      </w:r>
      <w:r w:rsidR="00C72AF6" w:rsidRPr="00E57ACD">
        <w:rPr>
          <w:rFonts w:ascii="Times New Roman" w:hAnsi="Times New Roman" w:cs="Times New Roman"/>
          <w:sz w:val="24"/>
          <w:szCs w:val="24"/>
        </w:rPr>
        <w:t>,</w:t>
      </w:r>
      <w:r w:rsidR="004E069A" w:rsidRPr="00E57ACD">
        <w:rPr>
          <w:rFonts w:ascii="Times New Roman" w:hAnsi="Times New Roman" w:cs="Times New Roman"/>
          <w:sz w:val="24"/>
          <w:szCs w:val="24"/>
        </w:rPr>
        <w:t xml:space="preserve"> and 0.81 in 2019. It means </w:t>
      </w:r>
      <w:r w:rsidR="00C72AF6" w:rsidRPr="00E57ACD">
        <w:rPr>
          <w:rFonts w:ascii="Times New Roman" w:hAnsi="Times New Roman" w:cs="Times New Roman"/>
          <w:sz w:val="24"/>
          <w:szCs w:val="24"/>
        </w:rPr>
        <w:t xml:space="preserve">a </w:t>
      </w:r>
      <w:r w:rsidR="004E069A" w:rsidRPr="00E57ACD">
        <w:rPr>
          <w:rFonts w:ascii="Times New Roman" w:hAnsi="Times New Roman" w:cs="Times New Roman"/>
          <w:sz w:val="24"/>
          <w:szCs w:val="24"/>
        </w:rPr>
        <w:t>decline in the market economy and financial performance during 2016 affected the liquidity of the business to a great extent. The company managed its activities and focused on improvement in the liquidity that enabled to improve the liquidity again</w:t>
      </w:r>
      <w:r w:rsidR="00BD1DBA" w:rsidRPr="00E57ACD">
        <w:rPr>
          <w:rFonts w:ascii="Times New Roman" w:hAnsi="Times New Roman" w:cs="Times New Roman"/>
          <w:sz w:val="24"/>
          <w:szCs w:val="24"/>
        </w:rPr>
        <w:t xml:space="preserve"> (</w:t>
      </w:r>
      <w:proofErr w:type="spellStart"/>
      <w:r w:rsidR="00BD1DBA" w:rsidRPr="00E57ACD">
        <w:rPr>
          <w:rFonts w:ascii="Times New Roman" w:hAnsi="Times New Roman" w:cs="Times New Roman"/>
          <w:sz w:val="24"/>
          <w:szCs w:val="24"/>
        </w:rPr>
        <w:t>Weetman</w:t>
      </w:r>
      <w:proofErr w:type="spellEnd"/>
      <w:r w:rsidR="00BD1DBA" w:rsidRPr="00E57ACD">
        <w:rPr>
          <w:rFonts w:ascii="Times New Roman" w:hAnsi="Times New Roman" w:cs="Times New Roman"/>
          <w:sz w:val="24"/>
          <w:szCs w:val="24"/>
        </w:rPr>
        <w:t>, 2013)</w:t>
      </w:r>
      <w:r w:rsidR="004E069A" w:rsidRPr="00E57ACD">
        <w:rPr>
          <w:rFonts w:ascii="Times New Roman" w:hAnsi="Times New Roman" w:cs="Times New Roman"/>
          <w:sz w:val="24"/>
          <w:szCs w:val="24"/>
        </w:rPr>
        <w:t xml:space="preserve">. GSK still needs to focus on improvement in the liquidity to fulfill the liability </w:t>
      </w:r>
      <w:r w:rsidR="004C17B8" w:rsidRPr="00E57ACD">
        <w:rPr>
          <w:rFonts w:ascii="Times New Roman" w:hAnsi="Times New Roman" w:cs="Times New Roman"/>
          <w:sz w:val="24"/>
          <w:szCs w:val="24"/>
        </w:rPr>
        <w:t>effectively</w:t>
      </w:r>
      <w:r w:rsidR="004E069A" w:rsidRPr="00E57ACD">
        <w:rPr>
          <w:rFonts w:ascii="Times New Roman" w:hAnsi="Times New Roman" w:cs="Times New Roman"/>
          <w:sz w:val="24"/>
          <w:szCs w:val="24"/>
        </w:rPr>
        <w:t xml:space="preserve">. </w:t>
      </w:r>
      <w:r w:rsidR="004C17B8" w:rsidRPr="00E57ACD">
        <w:rPr>
          <w:rFonts w:ascii="Times New Roman" w:hAnsi="Times New Roman" w:cs="Times New Roman"/>
          <w:sz w:val="24"/>
          <w:szCs w:val="24"/>
        </w:rPr>
        <w:t xml:space="preserve">The current liabilities in GSK are still higher than the current assets that influence the liquidity position of the company. </w:t>
      </w:r>
    </w:p>
    <w:p w14:paraId="0DE87B3F" w14:textId="77777777" w:rsidR="0054758B" w:rsidRPr="00E57ACD" w:rsidRDefault="0054758B" w:rsidP="00953755">
      <w:pPr>
        <w:spacing w:line="360" w:lineRule="auto"/>
        <w:jc w:val="both"/>
        <w:rPr>
          <w:rFonts w:ascii="Times New Roman" w:hAnsi="Times New Roman" w:cs="Times New Roman"/>
          <w:sz w:val="24"/>
          <w:szCs w:val="24"/>
        </w:rPr>
      </w:pPr>
      <w:r w:rsidRPr="00E57ACD">
        <w:rPr>
          <w:rFonts w:ascii="Times New Roman" w:hAnsi="Times New Roman" w:cs="Times New Roman"/>
          <w:b/>
          <w:i/>
          <w:sz w:val="24"/>
          <w:szCs w:val="24"/>
        </w:rPr>
        <w:t>Acid test ratio</w:t>
      </w:r>
      <w:r w:rsidRPr="00E57ACD">
        <w:rPr>
          <w:rFonts w:ascii="Times New Roman" w:hAnsi="Times New Roman" w:cs="Times New Roman"/>
          <w:sz w:val="24"/>
          <w:szCs w:val="24"/>
        </w:rPr>
        <w:t xml:space="preserve">: </w:t>
      </w:r>
      <w:r w:rsidR="009A0A6F" w:rsidRPr="00E57ACD">
        <w:rPr>
          <w:rFonts w:ascii="Times New Roman" w:hAnsi="Times New Roman" w:cs="Times New Roman"/>
          <w:sz w:val="24"/>
          <w:szCs w:val="24"/>
        </w:rPr>
        <w:t xml:space="preserve">From the analysis of </w:t>
      </w:r>
      <w:r w:rsidR="00C41F05" w:rsidRPr="00E57ACD">
        <w:rPr>
          <w:rFonts w:ascii="Times New Roman" w:hAnsi="Times New Roman" w:cs="Times New Roman"/>
          <w:sz w:val="24"/>
          <w:szCs w:val="24"/>
        </w:rPr>
        <w:t xml:space="preserve">the </w:t>
      </w:r>
      <w:r w:rsidR="009A0A6F" w:rsidRPr="00E57ACD">
        <w:rPr>
          <w:rFonts w:ascii="Times New Roman" w:hAnsi="Times New Roman" w:cs="Times New Roman"/>
          <w:sz w:val="24"/>
          <w:szCs w:val="24"/>
        </w:rPr>
        <w:t xml:space="preserve">acid test ratio in </w:t>
      </w:r>
      <w:r w:rsidR="00C72AF6" w:rsidRPr="00E57ACD">
        <w:rPr>
          <w:rFonts w:ascii="Times New Roman" w:hAnsi="Times New Roman" w:cs="Times New Roman"/>
          <w:sz w:val="24"/>
          <w:szCs w:val="24"/>
        </w:rPr>
        <w:t xml:space="preserve">the </w:t>
      </w:r>
      <w:r w:rsidR="009A0A6F" w:rsidRPr="00E57ACD">
        <w:rPr>
          <w:rFonts w:ascii="Times New Roman" w:hAnsi="Times New Roman" w:cs="Times New Roman"/>
          <w:sz w:val="24"/>
          <w:szCs w:val="24"/>
        </w:rPr>
        <w:t xml:space="preserve">context of GSK, </w:t>
      </w:r>
      <w:r w:rsidR="00C66572" w:rsidRPr="00E57ACD">
        <w:rPr>
          <w:rFonts w:ascii="Times New Roman" w:hAnsi="Times New Roman" w:cs="Times New Roman"/>
          <w:sz w:val="24"/>
          <w:szCs w:val="24"/>
        </w:rPr>
        <w:t>it is found that cash at hand and assets easily convertible into cash are increasing in the company that it might use for fulfilling the cash requirement immediately</w:t>
      </w:r>
      <w:r w:rsidR="00694B14" w:rsidRPr="00E57ACD">
        <w:rPr>
          <w:rFonts w:ascii="Times New Roman" w:hAnsi="Times New Roman" w:cs="Times New Roman"/>
          <w:sz w:val="24"/>
          <w:szCs w:val="24"/>
        </w:rPr>
        <w:t xml:space="preserve"> (</w:t>
      </w:r>
      <w:proofErr w:type="spellStart"/>
      <w:r w:rsidR="00694B14" w:rsidRPr="00E57ACD">
        <w:rPr>
          <w:rFonts w:ascii="Times New Roman" w:hAnsi="Times New Roman" w:cs="Times New Roman"/>
          <w:color w:val="222222"/>
          <w:sz w:val="24"/>
          <w:szCs w:val="24"/>
          <w:shd w:val="clear" w:color="auto" w:fill="FFFFFF"/>
        </w:rPr>
        <w:t>Fridson</w:t>
      </w:r>
      <w:proofErr w:type="spellEnd"/>
      <w:r w:rsidR="00694B14" w:rsidRPr="00E57ACD">
        <w:rPr>
          <w:rFonts w:ascii="Times New Roman" w:hAnsi="Times New Roman" w:cs="Times New Roman"/>
          <w:color w:val="222222"/>
          <w:sz w:val="24"/>
          <w:szCs w:val="24"/>
          <w:shd w:val="clear" w:color="auto" w:fill="FFFFFF"/>
        </w:rPr>
        <w:t xml:space="preserve"> and Alvarez, 2011)</w:t>
      </w:r>
      <w:r w:rsidR="00C66572" w:rsidRPr="00E57ACD">
        <w:rPr>
          <w:rFonts w:ascii="Times New Roman" w:hAnsi="Times New Roman" w:cs="Times New Roman"/>
          <w:sz w:val="24"/>
          <w:szCs w:val="24"/>
        </w:rPr>
        <w:t xml:space="preserve">. It was 0.88 in 2015 and it is 0.56 in 2019 that is presenting a great difference in the liquidity of the </w:t>
      </w:r>
      <w:r w:rsidR="001E44EC" w:rsidRPr="00E57ACD">
        <w:rPr>
          <w:rFonts w:ascii="Times New Roman" w:hAnsi="Times New Roman" w:cs="Times New Roman"/>
          <w:sz w:val="24"/>
          <w:szCs w:val="24"/>
        </w:rPr>
        <w:t xml:space="preserve">company over the years. </w:t>
      </w:r>
    </w:p>
    <w:p w14:paraId="2ACCC893" w14:textId="77777777" w:rsidR="00943794" w:rsidRPr="00E57ACD" w:rsidRDefault="00943794" w:rsidP="00953755">
      <w:pPr>
        <w:pStyle w:val="Heading3"/>
        <w:spacing w:line="360" w:lineRule="auto"/>
        <w:jc w:val="both"/>
        <w:rPr>
          <w:rFonts w:ascii="Times New Roman" w:hAnsi="Times New Roman" w:cs="Times New Roman"/>
          <w:sz w:val="24"/>
          <w:szCs w:val="24"/>
        </w:rPr>
      </w:pPr>
      <w:bookmarkStart w:id="7" w:name="_Toc58487569"/>
      <w:r w:rsidRPr="00E57ACD">
        <w:rPr>
          <w:rFonts w:ascii="Times New Roman" w:hAnsi="Times New Roman" w:cs="Times New Roman"/>
          <w:sz w:val="24"/>
          <w:szCs w:val="24"/>
        </w:rPr>
        <w:t>Solvency:</w:t>
      </w:r>
      <w:bookmarkEnd w:id="7"/>
      <w:r w:rsidR="00E17482" w:rsidRPr="00E57ACD">
        <w:rPr>
          <w:rFonts w:ascii="Times New Roman" w:hAnsi="Times New Roman" w:cs="Times New Roman"/>
          <w:sz w:val="24"/>
          <w:szCs w:val="24"/>
        </w:rPr>
        <w:t xml:space="preserve"> </w:t>
      </w:r>
    </w:p>
    <w:p w14:paraId="0D377B15" w14:textId="77777777" w:rsidR="00943794" w:rsidRPr="00E57ACD" w:rsidRDefault="00E17482"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This is the measure of the capability of the company for paying its long term liability and ability to meet the pay its liabilities</w:t>
      </w:r>
      <w:r w:rsidR="004523EF" w:rsidRPr="00E57ACD">
        <w:rPr>
          <w:rFonts w:ascii="Times New Roman" w:hAnsi="Times New Roman" w:cs="Times New Roman"/>
          <w:sz w:val="24"/>
          <w:szCs w:val="24"/>
        </w:rPr>
        <w:t xml:space="preserve"> (</w:t>
      </w:r>
      <w:r w:rsidR="004523EF" w:rsidRPr="00E57ACD">
        <w:rPr>
          <w:rFonts w:ascii="Times New Roman" w:hAnsi="Times New Roman" w:cs="Times New Roman"/>
          <w:color w:val="222222"/>
          <w:sz w:val="24"/>
          <w:szCs w:val="24"/>
          <w:shd w:val="clear" w:color="auto" w:fill="FFFFFF"/>
        </w:rPr>
        <w:t>Subramanyam, 2014)</w:t>
      </w:r>
      <w:r w:rsidRPr="00E57ACD">
        <w:rPr>
          <w:rFonts w:ascii="Times New Roman" w:hAnsi="Times New Roman" w:cs="Times New Roman"/>
          <w:sz w:val="24"/>
          <w:szCs w:val="24"/>
        </w:rPr>
        <w:t xml:space="preserve">. </w:t>
      </w:r>
    </w:p>
    <w:p w14:paraId="247999A4" w14:textId="77777777" w:rsidR="00E17482" w:rsidRPr="00E57ACD" w:rsidRDefault="00E17482" w:rsidP="00953755">
      <w:pPr>
        <w:spacing w:line="360" w:lineRule="auto"/>
        <w:jc w:val="both"/>
        <w:rPr>
          <w:rFonts w:ascii="Times New Roman" w:hAnsi="Times New Roman" w:cs="Times New Roman"/>
          <w:sz w:val="24"/>
          <w:szCs w:val="24"/>
        </w:rPr>
      </w:pPr>
      <w:r w:rsidRPr="00E57ACD">
        <w:rPr>
          <w:rFonts w:ascii="Times New Roman" w:hAnsi="Times New Roman" w:cs="Times New Roman"/>
          <w:b/>
          <w:i/>
          <w:sz w:val="24"/>
          <w:szCs w:val="24"/>
        </w:rPr>
        <w:t>Gearing ratio</w:t>
      </w:r>
      <w:r w:rsidRPr="00E57ACD">
        <w:rPr>
          <w:rFonts w:ascii="Times New Roman" w:hAnsi="Times New Roman" w:cs="Times New Roman"/>
          <w:sz w:val="24"/>
          <w:szCs w:val="24"/>
        </w:rPr>
        <w:t xml:space="preserve">: The relationship between the debt and equity sources of the capital within the organization is determined and investigated by this ratio. </w:t>
      </w:r>
      <w:r w:rsidR="00C72AF6" w:rsidRPr="00E57ACD">
        <w:rPr>
          <w:rFonts w:ascii="Times New Roman" w:hAnsi="Times New Roman" w:cs="Times New Roman"/>
          <w:sz w:val="24"/>
          <w:szCs w:val="24"/>
        </w:rPr>
        <w:t>A h</w:t>
      </w:r>
      <w:r w:rsidRPr="00E57ACD">
        <w:rPr>
          <w:rFonts w:ascii="Times New Roman" w:hAnsi="Times New Roman" w:cs="Times New Roman"/>
          <w:sz w:val="24"/>
          <w:szCs w:val="24"/>
        </w:rPr>
        <w:t xml:space="preserve">igher gearing ratio means </w:t>
      </w:r>
      <w:r w:rsidR="00C72AF6" w:rsidRPr="00E57ACD">
        <w:rPr>
          <w:rFonts w:ascii="Times New Roman" w:hAnsi="Times New Roman" w:cs="Times New Roman"/>
          <w:sz w:val="24"/>
          <w:szCs w:val="24"/>
        </w:rPr>
        <w:t xml:space="preserve">a </w:t>
      </w:r>
      <w:r w:rsidRPr="00E57ACD">
        <w:rPr>
          <w:rFonts w:ascii="Times New Roman" w:hAnsi="Times New Roman" w:cs="Times New Roman"/>
          <w:sz w:val="24"/>
          <w:szCs w:val="24"/>
        </w:rPr>
        <w:t xml:space="preserve">higher debt burden on the company </w:t>
      </w:r>
      <w:r w:rsidR="00A53A99" w:rsidRPr="00E57ACD">
        <w:rPr>
          <w:rFonts w:ascii="Times New Roman" w:hAnsi="Times New Roman" w:cs="Times New Roman"/>
          <w:sz w:val="24"/>
          <w:szCs w:val="24"/>
        </w:rPr>
        <w:t xml:space="preserve">and this is not </w:t>
      </w:r>
      <w:r w:rsidR="00C72AF6" w:rsidRPr="00E57ACD">
        <w:rPr>
          <w:rFonts w:ascii="Times New Roman" w:hAnsi="Times New Roman" w:cs="Times New Roman"/>
          <w:sz w:val="24"/>
          <w:szCs w:val="24"/>
        </w:rPr>
        <w:t xml:space="preserve">a </w:t>
      </w:r>
      <w:r w:rsidR="00A53A99" w:rsidRPr="00E57ACD">
        <w:rPr>
          <w:rFonts w:ascii="Times New Roman" w:hAnsi="Times New Roman" w:cs="Times New Roman"/>
          <w:sz w:val="24"/>
          <w:szCs w:val="24"/>
        </w:rPr>
        <w:t xml:space="preserve">favorable sign to the firms in </w:t>
      </w:r>
      <w:r w:rsidR="00C72AF6" w:rsidRPr="00E57ACD">
        <w:rPr>
          <w:rFonts w:ascii="Times New Roman" w:hAnsi="Times New Roman" w:cs="Times New Roman"/>
          <w:sz w:val="24"/>
          <w:szCs w:val="24"/>
        </w:rPr>
        <w:t xml:space="preserve">the </w:t>
      </w:r>
      <w:r w:rsidR="00A53A99" w:rsidRPr="00E57ACD">
        <w:rPr>
          <w:rFonts w:ascii="Times New Roman" w:hAnsi="Times New Roman" w:cs="Times New Roman"/>
          <w:sz w:val="24"/>
          <w:szCs w:val="24"/>
        </w:rPr>
        <w:t xml:space="preserve">future to attract investors. </w:t>
      </w:r>
      <w:r w:rsidR="004E22E1" w:rsidRPr="00E57ACD">
        <w:rPr>
          <w:rFonts w:ascii="Times New Roman" w:hAnsi="Times New Roman" w:cs="Times New Roman"/>
          <w:sz w:val="24"/>
          <w:szCs w:val="24"/>
        </w:rPr>
        <w:t xml:space="preserve">Hence, </w:t>
      </w:r>
      <w:r w:rsidR="00C72AF6" w:rsidRPr="00E57ACD">
        <w:rPr>
          <w:rFonts w:ascii="Times New Roman" w:hAnsi="Times New Roman" w:cs="Times New Roman"/>
          <w:sz w:val="24"/>
          <w:szCs w:val="24"/>
        </w:rPr>
        <w:t xml:space="preserve">the </w:t>
      </w:r>
      <w:r w:rsidR="004E22E1" w:rsidRPr="00E57ACD">
        <w:rPr>
          <w:rFonts w:ascii="Times New Roman" w:hAnsi="Times New Roman" w:cs="Times New Roman"/>
          <w:sz w:val="24"/>
          <w:szCs w:val="24"/>
        </w:rPr>
        <w:t xml:space="preserve">gearing ratio in </w:t>
      </w:r>
      <w:r w:rsidR="00C72AF6" w:rsidRPr="00E57ACD">
        <w:rPr>
          <w:rFonts w:ascii="Times New Roman" w:hAnsi="Times New Roman" w:cs="Times New Roman"/>
          <w:sz w:val="24"/>
          <w:szCs w:val="24"/>
        </w:rPr>
        <w:t xml:space="preserve">the </w:t>
      </w:r>
      <w:r w:rsidR="004E22E1" w:rsidRPr="00E57ACD">
        <w:rPr>
          <w:rFonts w:ascii="Times New Roman" w:hAnsi="Times New Roman" w:cs="Times New Roman"/>
          <w:sz w:val="24"/>
          <w:szCs w:val="24"/>
        </w:rPr>
        <w:t>context of GSK has declined over the years</w:t>
      </w:r>
      <w:r w:rsidR="00BD1DBA" w:rsidRPr="00E57ACD">
        <w:rPr>
          <w:rFonts w:ascii="Times New Roman" w:hAnsi="Times New Roman" w:cs="Times New Roman"/>
          <w:sz w:val="24"/>
          <w:szCs w:val="24"/>
        </w:rPr>
        <w:t xml:space="preserve"> (</w:t>
      </w:r>
      <w:r w:rsidR="00BD1DBA" w:rsidRPr="00E57ACD">
        <w:rPr>
          <w:rFonts w:ascii="Times New Roman" w:hAnsi="Times New Roman" w:cs="Times New Roman"/>
          <w:color w:val="000000"/>
          <w:sz w:val="24"/>
          <w:szCs w:val="24"/>
        </w:rPr>
        <w:t>Martin and Alvarez, 2011)</w:t>
      </w:r>
      <w:r w:rsidR="004E22E1" w:rsidRPr="00E57ACD">
        <w:rPr>
          <w:rFonts w:ascii="Times New Roman" w:hAnsi="Times New Roman" w:cs="Times New Roman"/>
          <w:sz w:val="24"/>
          <w:szCs w:val="24"/>
        </w:rPr>
        <w:t>. It was 3.51 in 2015, 7.08 in 2016, 7.54 in 2017, 5.52 in 2018</w:t>
      </w:r>
      <w:r w:rsidR="00C72AF6" w:rsidRPr="00E57ACD">
        <w:rPr>
          <w:rFonts w:ascii="Times New Roman" w:hAnsi="Times New Roman" w:cs="Times New Roman"/>
          <w:sz w:val="24"/>
          <w:szCs w:val="24"/>
        </w:rPr>
        <w:t>,</w:t>
      </w:r>
      <w:r w:rsidR="004E22E1" w:rsidRPr="00E57ACD">
        <w:rPr>
          <w:rFonts w:ascii="Times New Roman" w:hAnsi="Times New Roman" w:cs="Times New Roman"/>
          <w:sz w:val="24"/>
          <w:szCs w:val="24"/>
        </w:rPr>
        <w:t xml:space="preserve"> and 1.29 in 2019. It means GSK used equity source for raising capital more in proportion than debt in 2019 as compared to other years. It is </w:t>
      </w:r>
      <w:r w:rsidR="00C72AF6" w:rsidRPr="00E57ACD">
        <w:rPr>
          <w:rFonts w:ascii="Times New Roman" w:hAnsi="Times New Roman" w:cs="Times New Roman"/>
          <w:sz w:val="24"/>
          <w:szCs w:val="24"/>
        </w:rPr>
        <w:t xml:space="preserve">a </w:t>
      </w:r>
      <w:r w:rsidR="004E22E1" w:rsidRPr="00E57ACD">
        <w:rPr>
          <w:rFonts w:ascii="Times New Roman" w:hAnsi="Times New Roman" w:cs="Times New Roman"/>
          <w:sz w:val="24"/>
          <w:szCs w:val="24"/>
        </w:rPr>
        <w:t xml:space="preserve">quite good position and there is </w:t>
      </w:r>
      <w:r w:rsidR="00C72AF6" w:rsidRPr="00E57ACD">
        <w:rPr>
          <w:rFonts w:ascii="Times New Roman" w:hAnsi="Times New Roman" w:cs="Times New Roman"/>
          <w:sz w:val="24"/>
          <w:szCs w:val="24"/>
        </w:rPr>
        <w:t xml:space="preserve">a </w:t>
      </w:r>
      <w:r w:rsidR="004E22E1" w:rsidRPr="00E57ACD">
        <w:rPr>
          <w:rFonts w:ascii="Times New Roman" w:hAnsi="Times New Roman" w:cs="Times New Roman"/>
          <w:sz w:val="24"/>
          <w:szCs w:val="24"/>
        </w:rPr>
        <w:t xml:space="preserve">good solvency position of the firm. </w:t>
      </w:r>
    </w:p>
    <w:p w14:paraId="6807E737" w14:textId="77777777" w:rsidR="00E17482" w:rsidRPr="00E57ACD" w:rsidRDefault="00E17482" w:rsidP="00953755">
      <w:pPr>
        <w:spacing w:line="360" w:lineRule="auto"/>
        <w:jc w:val="both"/>
        <w:rPr>
          <w:rFonts w:ascii="Times New Roman" w:hAnsi="Times New Roman" w:cs="Times New Roman"/>
          <w:sz w:val="24"/>
          <w:szCs w:val="24"/>
        </w:rPr>
      </w:pPr>
      <w:r w:rsidRPr="00E57ACD">
        <w:rPr>
          <w:rFonts w:ascii="Times New Roman" w:hAnsi="Times New Roman" w:cs="Times New Roman"/>
          <w:b/>
          <w:i/>
          <w:sz w:val="24"/>
          <w:szCs w:val="24"/>
        </w:rPr>
        <w:t>Debt to Asset Ratio</w:t>
      </w:r>
      <w:r w:rsidRPr="00E57ACD">
        <w:rPr>
          <w:rFonts w:ascii="Times New Roman" w:hAnsi="Times New Roman" w:cs="Times New Roman"/>
          <w:sz w:val="24"/>
          <w:szCs w:val="24"/>
        </w:rPr>
        <w:t>:</w:t>
      </w:r>
      <w:r w:rsidR="00DD7BB2" w:rsidRPr="00E57ACD">
        <w:rPr>
          <w:rFonts w:ascii="Times New Roman" w:hAnsi="Times New Roman" w:cs="Times New Roman"/>
          <w:sz w:val="24"/>
          <w:szCs w:val="24"/>
        </w:rPr>
        <w:t xml:space="preserve"> </w:t>
      </w:r>
      <w:r w:rsidR="00C72AF6" w:rsidRPr="00E57ACD">
        <w:rPr>
          <w:rFonts w:ascii="Times New Roman" w:hAnsi="Times New Roman" w:cs="Times New Roman"/>
          <w:sz w:val="24"/>
          <w:szCs w:val="24"/>
        </w:rPr>
        <w:t>The d</w:t>
      </w:r>
      <w:r w:rsidR="00E259AB" w:rsidRPr="00E57ACD">
        <w:rPr>
          <w:rFonts w:ascii="Times New Roman" w:hAnsi="Times New Roman" w:cs="Times New Roman"/>
          <w:sz w:val="24"/>
          <w:szCs w:val="24"/>
        </w:rPr>
        <w:t>ebt of the GSK is lower than the assets of the firm in all five years. The assets of the company are growing more in proportion t</w:t>
      </w:r>
      <w:r w:rsidR="00C72AF6" w:rsidRPr="00E57ACD">
        <w:rPr>
          <w:rFonts w:ascii="Times New Roman" w:hAnsi="Times New Roman" w:cs="Times New Roman"/>
          <w:sz w:val="24"/>
          <w:szCs w:val="24"/>
        </w:rPr>
        <w:t>o</w:t>
      </w:r>
      <w:r w:rsidR="00E259AB" w:rsidRPr="00E57ACD">
        <w:rPr>
          <w:rFonts w:ascii="Times New Roman" w:hAnsi="Times New Roman" w:cs="Times New Roman"/>
          <w:sz w:val="24"/>
          <w:szCs w:val="24"/>
        </w:rPr>
        <w:t xml:space="preserve"> </w:t>
      </w:r>
      <w:r w:rsidR="00C72AF6" w:rsidRPr="00E57ACD">
        <w:rPr>
          <w:rFonts w:ascii="Times New Roman" w:hAnsi="Times New Roman" w:cs="Times New Roman"/>
          <w:sz w:val="24"/>
          <w:szCs w:val="24"/>
        </w:rPr>
        <w:t xml:space="preserve">the </w:t>
      </w:r>
      <w:r w:rsidR="00E259AB" w:rsidRPr="00E57ACD">
        <w:rPr>
          <w:rFonts w:ascii="Times New Roman" w:hAnsi="Times New Roman" w:cs="Times New Roman"/>
          <w:sz w:val="24"/>
          <w:szCs w:val="24"/>
        </w:rPr>
        <w:t>growing debt of the company over the years. It improves the ability and capacity of the company to pay its debts and liabilities easily</w:t>
      </w:r>
      <w:r w:rsidR="00BD1DBA" w:rsidRPr="00E57ACD">
        <w:rPr>
          <w:rFonts w:ascii="Times New Roman" w:hAnsi="Times New Roman" w:cs="Times New Roman"/>
          <w:sz w:val="24"/>
          <w:szCs w:val="24"/>
        </w:rPr>
        <w:t xml:space="preserve"> (Watson and Head, 2013)</w:t>
      </w:r>
      <w:r w:rsidR="00E259AB" w:rsidRPr="00E57ACD">
        <w:rPr>
          <w:rFonts w:ascii="Times New Roman" w:hAnsi="Times New Roman" w:cs="Times New Roman"/>
          <w:sz w:val="24"/>
          <w:szCs w:val="24"/>
        </w:rPr>
        <w:t xml:space="preserve">. This can enable GSK to attract the investor and to raise the loan and capital easily for meeting the requirements of </w:t>
      </w:r>
      <w:r w:rsidR="00C72AF6" w:rsidRPr="00E57ACD">
        <w:rPr>
          <w:rFonts w:ascii="Times New Roman" w:hAnsi="Times New Roman" w:cs="Times New Roman"/>
          <w:sz w:val="24"/>
          <w:szCs w:val="24"/>
        </w:rPr>
        <w:t xml:space="preserve">the </w:t>
      </w:r>
      <w:r w:rsidR="00E259AB" w:rsidRPr="00E57ACD">
        <w:rPr>
          <w:rFonts w:ascii="Times New Roman" w:hAnsi="Times New Roman" w:cs="Times New Roman"/>
          <w:sz w:val="24"/>
          <w:szCs w:val="24"/>
        </w:rPr>
        <w:t xml:space="preserve">fund in long run. </w:t>
      </w:r>
    </w:p>
    <w:p w14:paraId="123E237E" w14:textId="77777777" w:rsidR="005563FF" w:rsidRPr="00E57ACD" w:rsidRDefault="00E17482" w:rsidP="00953755">
      <w:pPr>
        <w:spacing w:line="360" w:lineRule="auto"/>
        <w:jc w:val="both"/>
        <w:rPr>
          <w:rFonts w:ascii="Times New Roman" w:hAnsi="Times New Roman" w:cs="Times New Roman"/>
          <w:sz w:val="24"/>
          <w:szCs w:val="24"/>
        </w:rPr>
      </w:pPr>
      <w:r w:rsidRPr="00E57ACD">
        <w:rPr>
          <w:rFonts w:ascii="Times New Roman" w:hAnsi="Times New Roman" w:cs="Times New Roman"/>
          <w:b/>
          <w:i/>
          <w:sz w:val="24"/>
          <w:szCs w:val="24"/>
        </w:rPr>
        <w:t>Interest Coverage Ratio</w:t>
      </w:r>
      <w:r w:rsidRPr="00E57ACD">
        <w:rPr>
          <w:rFonts w:ascii="Times New Roman" w:hAnsi="Times New Roman" w:cs="Times New Roman"/>
          <w:sz w:val="24"/>
          <w:szCs w:val="24"/>
        </w:rPr>
        <w:t xml:space="preserve">: </w:t>
      </w:r>
      <w:r w:rsidR="005563FF" w:rsidRPr="00E57ACD">
        <w:rPr>
          <w:rFonts w:ascii="Times New Roman" w:hAnsi="Times New Roman" w:cs="Times New Roman"/>
          <w:sz w:val="24"/>
          <w:szCs w:val="24"/>
        </w:rPr>
        <w:t xml:space="preserve">GSK has become efficient over the years to pay the interest on the liability and loan to the lenders. The profitability of the company has grown well and interest is </w:t>
      </w:r>
      <w:r w:rsidR="005563FF" w:rsidRPr="00E57ACD">
        <w:rPr>
          <w:rFonts w:ascii="Times New Roman" w:hAnsi="Times New Roman" w:cs="Times New Roman"/>
          <w:sz w:val="24"/>
          <w:szCs w:val="24"/>
        </w:rPr>
        <w:lastRenderedPageBreak/>
        <w:t>much lesser than the profitability of GSK</w:t>
      </w:r>
      <w:r w:rsidR="00AA2918" w:rsidRPr="00E57ACD">
        <w:rPr>
          <w:rFonts w:ascii="Times New Roman" w:hAnsi="Times New Roman" w:cs="Times New Roman"/>
          <w:sz w:val="24"/>
          <w:szCs w:val="24"/>
        </w:rPr>
        <w:t xml:space="preserve"> (</w:t>
      </w:r>
      <w:proofErr w:type="spellStart"/>
      <w:r w:rsidR="00AA2918" w:rsidRPr="00E57ACD">
        <w:rPr>
          <w:rFonts w:ascii="Times New Roman" w:hAnsi="Times New Roman" w:cs="Times New Roman"/>
          <w:color w:val="222222"/>
          <w:sz w:val="24"/>
          <w:szCs w:val="24"/>
          <w:shd w:val="clear" w:color="auto" w:fill="FFFFFF"/>
        </w:rPr>
        <w:t>Asiri</w:t>
      </w:r>
      <w:proofErr w:type="spellEnd"/>
      <w:r w:rsidR="00AA2918" w:rsidRPr="00E57ACD">
        <w:rPr>
          <w:rFonts w:ascii="Times New Roman" w:hAnsi="Times New Roman" w:cs="Times New Roman"/>
          <w:color w:val="222222"/>
          <w:sz w:val="24"/>
          <w:szCs w:val="24"/>
          <w:shd w:val="clear" w:color="auto" w:fill="FFFFFF"/>
        </w:rPr>
        <w:t xml:space="preserve"> and Hameed, 2014)</w:t>
      </w:r>
      <w:r w:rsidR="005563FF" w:rsidRPr="00E57ACD">
        <w:rPr>
          <w:rFonts w:ascii="Times New Roman" w:hAnsi="Times New Roman" w:cs="Times New Roman"/>
          <w:sz w:val="24"/>
          <w:szCs w:val="24"/>
        </w:rPr>
        <w:t>. The interest coverage of GSK was 14.64, 2.77, 4.51, 6.27, and 6.95 in 2015, 2016, 2017, 2018</w:t>
      </w:r>
      <w:r w:rsidR="00C72AF6" w:rsidRPr="00E57ACD">
        <w:rPr>
          <w:rFonts w:ascii="Times New Roman" w:hAnsi="Times New Roman" w:cs="Times New Roman"/>
          <w:sz w:val="24"/>
          <w:szCs w:val="24"/>
        </w:rPr>
        <w:t>,</w:t>
      </w:r>
      <w:r w:rsidR="005563FF" w:rsidRPr="00E57ACD">
        <w:rPr>
          <w:rFonts w:ascii="Times New Roman" w:hAnsi="Times New Roman" w:cs="Times New Roman"/>
          <w:sz w:val="24"/>
          <w:szCs w:val="24"/>
        </w:rPr>
        <w:t xml:space="preserve"> and 2019 </w:t>
      </w:r>
      <w:r w:rsidR="00CA05B5" w:rsidRPr="00E57ACD">
        <w:rPr>
          <w:rFonts w:ascii="Times New Roman" w:hAnsi="Times New Roman" w:cs="Times New Roman"/>
          <w:sz w:val="24"/>
          <w:szCs w:val="24"/>
        </w:rPr>
        <w:t>respectively</w:t>
      </w:r>
      <w:r w:rsidR="005563FF" w:rsidRPr="00E57ACD">
        <w:rPr>
          <w:rFonts w:ascii="Times New Roman" w:hAnsi="Times New Roman" w:cs="Times New Roman"/>
          <w:sz w:val="24"/>
          <w:szCs w:val="24"/>
        </w:rPr>
        <w:t xml:space="preserve">. </w:t>
      </w:r>
      <w:r w:rsidR="00CA05B5" w:rsidRPr="00E57ACD">
        <w:rPr>
          <w:rFonts w:ascii="Times New Roman" w:hAnsi="Times New Roman" w:cs="Times New Roman"/>
          <w:sz w:val="24"/>
          <w:szCs w:val="24"/>
        </w:rPr>
        <w:t xml:space="preserve">It means GSK can pay its interest liability easily. </w:t>
      </w:r>
    </w:p>
    <w:p w14:paraId="74E44B92" w14:textId="77777777" w:rsidR="00943794" w:rsidRPr="00E57ACD" w:rsidRDefault="00943794" w:rsidP="00953755">
      <w:pPr>
        <w:pStyle w:val="Heading3"/>
        <w:spacing w:line="360" w:lineRule="auto"/>
        <w:jc w:val="both"/>
        <w:rPr>
          <w:rFonts w:ascii="Times New Roman" w:hAnsi="Times New Roman" w:cs="Times New Roman"/>
          <w:sz w:val="24"/>
          <w:szCs w:val="24"/>
        </w:rPr>
      </w:pPr>
      <w:bookmarkStart w:id="8" w:name="_Toc58487570"/>
      <w:r w:rsidRPr="00E57ACD">
        <w:rPr>
          <w:rFonts w:ascii="Times New Roman" w:hAnsi="Times New Roman" w:cs="Times New Roman"/>
          <w:sz w:val="24"/>
          <w:szCs w:val="24"/>
        </w:rPr>
        <w:t>Market Performance:</w:t>
      </w:r>
      <w:bookmarkEnd w:id="8"/>
      <w:r w:rsidRPr="00E57ACD">
        <w:rPr>
          <w:rFonts w:ascii="Times New Roman" w:hAnsi="Times New Roman" w:cs="Times New Roman"/>
          <w:sz w:val="24"/>
          <w:szCs w:val="24"/>
        </w:rPr>
        <w:t xml:space="preserve"> </w:t>
      </w:r>
    </w:p>
    <w:p w14:paraId="75342615" w14:textId="77777777" w:rsidR="00943794" w:rsidRPr="00E57ACD" w:rsidRDefault="00845CA9" w:rsidP="00953755">
      <w:pPr>
        <w:spacing w:line="360" w:lineRule="auto"/>
        <w:jc w:val="both"/>
        <w:rPr>
          <w:rFonts w:ascii="Times New Roman" w:hAnsi="Times New Roman" w:cs="Times New Roman"/>
          <w:sz w:val="24"/>
          <w:szCs w:val="24"/>
        </w:rPr>
      </w:pPr>
      <w:r w:rsidRPr="00E57ACD">
        <w:rPr>
          <w:rFonts w:ascii="Times New Roman" w:hAnsi="Times New Roman" w:cs="Times New Roman"/>
          <w:b/>
          <w:i/>
          <w:sz w:val="24"/>
          <w:szCs w:val="24"/>
        </w:rPr>
        <w:t>Dividend payout ratio</w:t>
      </w:r>
      <w:r w:rsidRPr="00E57ACD">
        <w:rPr>
          <w:rFonts w:ascii="Times New Roman" w:hAnsi="Times New Roman" w:cs="Times New Roman"/>
          <w:sz w:val="24"/>
          <w:szCs w:val="24"/>
        </w:rPr>
        <w:t>:</w:t>
      </w:r>
      <w:r w:rsidR="004C2D4E" w:rsidRPr="00E57ACD">
        <w:rPr>
          <w:rFonts w:ascii="Times New Roman" w:hAnsi="Times New Roman" w:cs="Times New Roman"/>
          <w:sz w:val="24"/>
          <w:szCs w:val="24"/>
        </w:rPr>
        <w:t xml:space="preserve"> </w:t>
      </w:r>
      <w:r w:rsidR="0038597F" w:rsidRPr="00E57ACD">
        <w:rPr>
          <w:rFonts w:ascii="Times New Roman" w:hAnsi="Times New Roman" w:cs="Times New Roman"/>
          <w:sz w:val="24"/>
          <w:szCs w:val="24"/>
        </w:rPr>
        <w:t>The total dividend to Shareholder</w:t>
      </w:r>
      <w:r w:rsidR="00C72AF6" w:rsidRPr="00E57ACD">
        <w:rPr>
          <w:rFonts w:ascii="Times New Roman" w:hAnsi="Times New Roman" w:cs="Times New Roman"/>
          <w:sz w:val="24"/>
          <w:szCs w:val="24"/>
        </w:rPr>
        <w:t>s</w:t>
      </w:r>
      <w:r w:rsidR="0038597F" w:rsidRPr="00E57ACD">
        <w:rPr>
          <w:rFonts w:ascii="Times New Roman" w:hAnsi="Times New Roman" w:cs="Times New Roman"/>
          <w:sz w:val="24"/>
          <w:szCs w:val="24"/>
        </w:rPr>
        <w:t xml:space="preserve"> of the GSK is increasing over the years but the ratio of payout on the net income of the company has declined over the years. The company started retaining more proportion of the profit and reduced the distribution of the profit in </w:t>
      </w:r>
      <w:r w:rsidR="00C72AF6" w:rsidRPr="00E57ACD">
        <w:rPr>
          <w:rFonts w:ascii="Times New Roman" w:hAnsi="Times New Roman" w:cs="Times New Roman"/>
          <w:sz w:val="24"/>
          <w:szCs w:val="24"/>
        </w:rPr>
        <w:t xml:space="preserve">a </w:t>
      </w:r>
      <w:r w:rsidR="0038597F" w:rsidRPr="00E57ACD">
        <w:rPr>
          <w:rFonts w:ascii="Times New Roman" w:hAnsi="Times New Roman" w:cs="Times New Roman"/>
          <w:sz w:val="24"/>
          <w:szCs w:val="24"/>
        </w:rPr>
        <w:t>lesser ratio</w:t>
      </w:r>
      <w:r w:rsidR="00AA2598" w:rsidRPr="00E57ACD">
        <w:rPr>
          <w:rFonts w:ascii="Times New Roman" w:hAnsi="Times New Roman" w:cs="Times New Roman"/>
          <w:sz w:val="24"/>
          <w:szCs w:val="24"/>
        </w:rPr>
        <w:t xml:space="preserve"> (</w:t>
      </w:r>
      <w:proofErr w:type="spellStart"/>
      <w:r w:rsidR="00AA2598" w:rsidRPr="00E57ACD">
        <w:rPr>
          <w:rFonts w:ascii="Times New Roman" w:hAnsi="Times New Roman" w:cs="Times New Roman"/>
          <w:color w:val="222222"/>
          <w:sz w:val="24"/>
          <w:szCs w:val="24"/>
          <w:shd w:val="clear" w:color="auto" w:fill="FFFFFF"/>
        </w:rPr>
        <w:t>Asiri</w:t>
      </w:r>
      <w:proofErr w:type="spellEnd"/>
      <w:r w:rsidR="00AA2598" w:rsidRPr="00E57ACD">
        <w:rPr>
          <w:rFonts w:ascii="Times New Roman" w:hAnsi="Times New Roman" w:cs="Times New Roman"/>
          <w:color w:val="222222"/>
          <w:sz w:val="24"/>
          <w:szCs w:val="24"/>
          <w:shd w:val="clear" w:color="auto" w:fill="FFFFFF"/>
        </w:rPr>
        <w:t xml:space="preserve"> and Hameed, 2014)</w:t>
      </w:r>
      <w:r w:rsidR="0038597F" w:rsidRPr="00E57ACD">
        <w:rPr>
          <w:rFonts w:ascii="Times New Roman" w:hAnsi="Times New Roman" w:cs="Times New Roman"/>
          <w:sz w:val="24"/>
          <w:szCs w:val="24"/>
        </w:rPr>
        <w:t xml:space="preserve">. </w:t>
      </w:r>
      <w:r w:rsidR="00C6355A" w:rsidRPr="00E57ACD">
        <w:rPr>
          <w:rFonts w:ascii="Times New Roman" w:hAnsi="Times New Roman" w:cs="Times New Roman"/>
          <w:sz w:val="24"/>
          <w:szCs w:val="24"/>
        </w:rPr>
        <w:t xml:space="preserve">It increased to 3.67 in 2016 from 0.46 in 2015 but again it started declining to keep the money in the company to meet the requirements and invest in the projects to achieve the growth for </w:t>
      </w:r>
      <w:r w:rsidR="00C72AF6" w:rsidRPr="00E57ACD">
        <w:rPr>
          <w:rFonts w:ascii="Times New Roman" w:hAnsi="Times New Roman" w:cs="Times New Roman"/>
          <w:sz w:val="24"/>
          <w:szCs w:val="24"/>
        </w:rPr>
        <w:t xml:space="preserve">the </w:t>
      </w:r>
      <w:r w:rsidR="00C6355A" w:rsidRPr="00E57ACD">
        <w:rPr>
          <w:rFonts w:ascii="Times New Roman" w:hAnsi="Times New Roman" w:cs="Times New Roman"/>
          <w:sz w:val="24"/>
          <w:szCs w:val="24"/>
        </w:rPr>
        <w:t xml:space="preserve">business. </w:t>
      </w:r>
      <w:r w:rsidR="00862A53" w:rsidRPr="00E57ACD">
        <w:rPr>
          <w:rFonts w:ascii="Times New Roman" w:hAnsi="Times New Roman" w:cs="Times New Roman"/>
          <w:sz w:val="24"/>
          <w:szCs w:val="24"/>
        </w:rPr>
        <w:t xml:space="preserve">It was 0.97 in 2018 and 0.75 in 2019 that is showing </w:t>
      </w:r>
      <w:r w:rsidR="00C72AF6" w:rsidRPr="00E57ACD">
        <w:rPr>
          <w:rFonts w:ascii="Times New Roman" w:hAnsi="Times New Roman" w:cs="Times New Roman"/>
          <w:sz w:val="24"/>
          <w:szCs w:val="24"/>
        </w:rPr>
        <w:t xml:space="preserve">a </w:t>
      </w:r>
      <w:r w:rsidR="00862A53" w:rsidRPr="00E57ACD">
        <w:rPr>
          <w:rFonts w:ascii="Times New Roman" w:hAnsi="Times New Roman" w:cs="Times New Roman"/>
          <w:sz w:val="24"/>
          <w:szCs w:val="24"/>
        </w:rPr>
        <w:t>continuous dec</w:t>
      </w:r>
      <w:r w:rsidR="00C72AF6" w:rsidRPr="00E57ACD">
        <w:rPr>
          <w:rFonts w:ascii="Times New Roman" w:hAnsi="Times New Roman" w:cs="Times New Roman"/>
          <w:sz w:val="24"/>
          <w:szCs w:val="24"/>
        </w:rPr>
        <w:t>r</w:t>
      </w:r>
      <w:r w:rsidR="00862A53" w:rsidRPr="00E57ACD">
        <w:rPr>
          <w:rFonts w:ascii="Times New Roman" w:hAnsi="Times New Roman" w:cs="Times New Roman"/>
          <w:sz w:val="24"/>
          <w:szCs w:val="24"/>
        </w:rPr>
        <w:t xml:space="preserve">easing payout percent of dividend to </w:t>
      </w:r>
      <w:r w:rsidR="00C72AF6" w:rsidRPr="00E57ACD">
        <w:rPr>
          <w:rFonts w:ascii="Times New Roman" w:hAnsi="Times New Roman" w:cs="Times New Roman"/>
          <w:sz w:val="24"/>
          <w:szCs w:val="24"/>
        </w:rPr>
        <w:t xml:space="preserve">a </w:t>
      </w:r>
      <w:r w:rsidR="00862A53" w:rsidRPr="00E57ACD">
        <w:rPr>
          <w:rFonts w:ascii="Times New Roman" w:hAnsi="Times New Roman" w:cs="Times New Roman"/>
          <w:sz w:val="24"/>
          <w:szCs w:val="24"/>
        </w:rPr>
        <w:t xml:space="preserve">shareholder that is showing </w:t>
      </w:r>
      <w:r w:rsidR="00C72AF6" w:rsidRPr="00E57ACD">
        <w:rPr>
          <w:rFonts w:ascii="Times New Roman" w:hAnsi="Times New Roman" w:cs="Times New Roman"/>
          <w:sz w:val="24"/>
          <w:szCs w:val="24"/>
        </w:rPr>
        <w:t xml:space="preserve">a </w:t>
      </w:r>
      <w:r w:rsidR="00862A53" w:rsidRPr="00E57ACD">
        <w:rPr>
          <w:rFonts w:ascii="Times New Roman" w:hAnsi="Times New Roman" w:cs="Times New Roman"/>
          <w:sz w:val="24"/>
          <w:szCs w:val="24"/>
        </w:rPr>
        <w:t xml:space="preserve">tendency of </w:t>
      </w:r>
      <w:r w:rsidR="00C72AF6" w:rsidRPr="00E57ACD">
        <w:rPr>
          <w:rFonts w:ascii="Times New Roman" w:hAnsi="Times New Roman" w:cs="Times New Roman"/>
          <w:sz w:val="24"/>
          <w:szCs w:val="24"/>
        </w:rPr>
        <w:t xml:space="preserve">the </w:t>
      </w:r>
      <w:r w:rsidR="00862A53" w:rsidRPr="00E57ACD">
        <w:rPr>
          <w:rFonts w:ascii="Times New Roman" w:hAnsi="Times New Roman" w:cs="Times New Roman"/>
          <w:sz w:val="24"/>
          <w:szCs w:val="24"/>
        </w:rPr>
        <w:t xml:space="preserve">company to keep more money in hand to use it for future projects. </w:t>
      </w:r>
    </w:p>
    <w:p w14:paraId="6CA5F22E" w14:textId="77777777" w:rsidR="00845CA9" w:rsidRPr="00E57ACD" w:rsidRDefault="00C6355A" w:rsidP="00953755">
      <w:pPr>
        <w:spacing w:line="360" w:lineRule="auto"/>
        <w:jc w:val="both"/>
        <w:rPr>
          <w:rFonts w:ascii="Times New Roman" w:hAnsi="Times New Roman" w:cs="Times New Roman"/>
          <w:sz w:val="24"/>
          <w:szCs w:val="24"/>
        </w:rPr>
      </w:pPr>
      <w:r w:rsidRPr="00E57ACD">
        <w:rPr>
          <w:rFonts w:ascii="Times New Roman" w:hAnsi="Times New Roman" w:cs="Times New Roman"/>
          <w:b/>
          <w:i/>
          <w:sz w:val="24"/>
          <w:szCs w:val="24"/>
        </w:rPr>
        <w:t xml:space="preserve">Earnings </w:t>
      </w:r>
      <w:r w:rsidR="00C72AF6" w:rsidRPr="00E57ACD">
        <w:rPr>
          <w:rFonts w:ascii="Times New Roman" w:hAnsi="Times New Roman" w:cs="Times New Roman"/>
          <w:b/>
          <w:i/>
          <w:sz w:val="24"/>
          <w:szCs w:val="24"/>
        </w:rPr>
        <w:t>p</w:t>
      </w:r>
      <w:r w:rsidRPr="00E57ACD">
        <w:rPr>
          <w:rFonts w:ascii="Times New Roman" w:hAnsi="Times New Roman" w:cs="Times New Roman"/>
          <w:b/>
          <w:i/>
          <w:sz w:val="24"/>
          <w:szCs w:val="24"/>
        </w:rPr>
        <w:t>er share</w:t>
      </w:r>
      <w:r w:rsidRPr="00E57ACD">
        <w:rPr>
          <w:rFonts w:ascii="Times New Roman" w:hAnsi="Times New Roman" w:cs="Times New Roman"/>
          <w:sz w:val="24"/>
          <w:szCs w:val="24"/>
        </w:rPr>
        <w:t>:</w:t>
      </w:r>
      <w:r w:rsidR="00862A53" w:rsidRPr="00E57ACD">
        <w:rPr>
          <w:rFonts w:ascii="Times New Roman" w:hAnsi="Times New Roman" w:cs="Times New Roman"/>
          <w:sz w:val="24"/>
          <w:szCs w:val="24"/>
        </w:rPr>
        <w:t xml:space="preserve"> </w:t>
      </w:r>
      <w:r w:rsidR="00896B97" w:rsidRPr="00E57ACD">
        <w:rPr>
          <w:rFonts w:ascii="Times New Roman" w:hAnsi="Times New Roman" w:cs="Times New Roman"/>
          <w:sz w:val="24"/>
          <w:szCs w:val="24"/>
        </w:rPr>
        <w:t>Return on the investment of the shareholder is increasing over the years which are raising the wealth of the shareholders. Earnings per share was 1.71 in 2015, 0.22 in 2016, 0.44 in 2017, 0.81</w:t>
      </w:r>
      <w:r w:rsidR="00C72AF6" w:rsidRPr="00E57ACD">
        <w:rPr>
          <w:rFonts w:ascii="Times New Roman" w:hAnsi="Times New Roman" w:cs="Times New Roman"/>
          <w:sz w:val="24"/>
          <w:szCs w:val="24"/>
        </w:rPr>
        <w:t xml:space="preserve"> in 2018 and 1.05 in 2019. It</w:t>
      </w:r>
      <w:r w:rsidR="00896B97" w:rsidRPr="00E57ACD">
        <w:rPr>
          <w:rFonts w:ascii="Times New Roman" w:hAnsi="Times New Roman" w:cs="Times New Roman"/>
          <w:sz w:val="24"/>
          <w:szCs w:val="24"/>
        </w:rPr>
        <w:t xml:space="preserve"> indicates GSK lost its revenue and income in 2016 because of </w:t>
      </w:r>
      <w:r w:rsidR="00C72AF6" w:rsidRPr="00E57ACD">
        <w:rPr>
          <w:rFonts w:ascii="Times New Roman" w:hAnsi="Times New Roman" w:cs="Times New Roman"/>
          <w:sz w:val="24"/>
          <w:szCs w:val="24"/>
        </w:rPr>
        <w:t xml:space="preserve">a </w:t>
      </w:r>
      <w:r w:rsidR="00896B97" w:rsidRPr="00E57ACD">
        <w:rPr>
          <w:rFonts w:ascii="Times New Roman" w:hAnsi="Times New Roman" w:cs="Times New Roman"/>
          <w:sz w:val="24"/>
          <w:szCs w:val="24"/>
        </w:rPr>
        <w:t xml:space="preserve">crisis in </w:t>
      </w:r>
      <w:r w:rsidR="00C72AF6" w:rsidRPr="00E57ACD">
        <w:rPr>
          <w:rFonts w:ascii="Times New Roman" w:hAnsi="Times New Roman" w:cs="Times New Roman"/>
          <w:sz w:val="24"/>
          <w:szCs w:val="24"/>
        </w:rPr>
        <w:t xml:space="preserve">the </w:t>
      </w:r>
      <w:r w:rsidR="00896B97" w:rsidRPr="00E57ACD">
        <w:rPr>
          <w:rFonts w:ascii="Times New Roman" w:hAnsi="Times New Roman" w:cs="Times New Roman"/>
          <w:sz w:val="24"/>
          <w:szCs w:val="24"/>
        </w:rPr>
        <w:t>global market and other issues in the market such as Brexit and Demonetization which affected the return on the investment of shareholders</w:t>
      </w:r>
      <w:r w:rsidR="001670F2" w:rsidRPr="00E57ACD">
        <w:rPr>
          <w:rFonts w:ascii="Times New Roman" w:hAnsi="Times New Roman" w:cs="Times New Roman"/>
          <w:sz w:val="24"/>
          <w:szCs w:val="24"/>
        </w:rPr>
        <w:t xml:space="preserve"> (</w:t>
      </w:r>
      <w:r w:rsidR="001670F2" w:rsidRPr="00E57ACD">
        <w:rPr>
          <w:rFonts w:ascii="Times New Roman" w:hAnsi="Times New Roman" w:cs="Times New Roman"/>
          <w:color w:val="222222"/>
          <w:sz w:val="24"/>
          <w:szCs w:val="24"/>
          <w:shd w:val="clear" w:color="auto" w:fill="FFFFFF"/>
        </w:rPr>
        <w:t xml:space="preserve">Drake and </w:t>
      </w:r>
      <w:proofErr w:type="spellStart"/>
      <w:r w:rsidR="001670F2" w:rsidRPr="00E57ACD">
        <w:rPr>
          <w:rFonts w:ascii="Times New Roman" w:hAnsi="Times New Roman" w:cs="Times New Roman"/>
          <w:color w:val="222222"/>
          <w:sz w:val="24"/>
          <w:szCs w:val="24"/>
          <w:shd w:val="clear" w:color="auto" w:fill="FFFFFF"/>
        </w:rPr>
        <w:t>Fabozzi</w:t>
      </w:r>
      <w:proofErr w:type="spellEnd"/>
      <w:r w:rsidR="001670F2" w:rsidRPr="00E57ACD">
        <w:rPr>
          <w:rFonts w:ascii="Times New Roman" w:hAnsi="Times New Roman" w:cs="Times New Roman"/>
          <w:color w:val="222222"/>
          <w:sz w:val="24"/>
          <w:szCs w:val="24"/>
          <w:shd w:val="clear" w:color="auto" w:fill="FFFFFF"/>
        </w:rPr>
        <w:t>, 2012)</w:t>
      </w:r>
      <w:r w:rsidR="00896B97" w:rsidRPr="00E57ACD">
        <w:rPr>
          <w:rFonts w:ascii="Times New Roman" w:hAnsi="Times New Roman" w:cs="Times New Roman"/>
          <w:sz w:val="24"/>
          <w:szCs w:val="24"/>
        </w:rPr>
        <w:t xml:space="preserve">. However, it has improved the position and raised the value of shares of the shareholders. </w:t>
      </w:r>
      <w:r w:rsidR="009751D6" w:rsidRPr="00E57ACD">
        <w:rPr>
          <w:rFonts w:ascii="Times New Roman" w:hAnsi="Times New Roman" w:cs="Times New Roman"/>
          <w:sz w:val="24"/>
          <w:szCs w:val="24"/>
        </w:rPr>
        <w:t xml:space="preserve">It can attract more investors in </w:t>
      </w:r>
      <w:r w:rsidR="00C72AF6" w:rsidRPr="00E57ACD">
        <w:rPr>
          <w:rFonts w:ascii="Times New Roman" w:hAnsi="Times New Roman" w:cs="Times New Roman"/>
          <w:sz w:val="24"/>
          <w:szCs w:val="24"/>
        </w:rPr>
        <w:t xml:space="preserve">the </w:t>
      </w:r>
      <w:r w:rsidR="009751D6" w:rsidRPr="00E57ACD">
        <w:rPr>
          <w:rFonts w:ascii="Times New Roman" w:hAnsi="Times New Roman" w:cs="Times New Roman"/>
          <w:sz w:val="24"/>
          <w:szCs w:val="24"/>
        </w:rPr>
        <w:t xml:space="preserve">future. </w:t>
      </w:r>
    </w:p>
    <w:p w14:paraId="3548C6F9" w14:textId="77777777" w:rsidR="0024245D" w:rsidRPr="00E57ACD" w:rsidRDefault="00845CA9" w:rsidP="00953755">
      <w:pPr>
        <w:spacing w:line="360" w:lineRule="auto"/>
        <w:jc w:val="both"/>
        <w:rPr>
          <w:rFonts w:ascii="Times New Roman" w:hAnsi="Times New Roman" w:cs="Times New Roman"/>
          <w:sz w:val="24"/>
          <w:szCs w:val="24"/>
        </w:rPr>
      </w:pPr>
      <w:r w:rsidRPr="00E57ACD">
        <w:rPr>
          <w:rFonts w:ascii="Times New Roman" w:hAnsi="Times New Roman" w:cs="Times New Roman"/>
          <w:b/>
          <w:i/>
          <w:sz w:val="24"/>
          <w:szCs w:val="24"/>
        </w:rPr>
        <w:t>P/E Ratio</w:t>
      </w:r>
      <w:r w:rsidRPr="00E57ACD">
        <w:rPr>
          <w:rFonts w:ascii="Times New Roman" w:hAnsi="Times New Roman" w:cs="Times New Roman"/>
          <w:sz w:val="24"/>
          <w:szCs w:val="24"/>
        </w:rPr>
        <w:t xml:space="preserve">: </w:t>
      </w:r>
      <w:r w:rsidR="000E073E" w:rsidRPr="00E57ACD">
        <w:rPr>
          <w:rFonts w:ascii="Times New Roman" w:hAnsi="Times New Roman" w:cs="Times New Roman"/>
          <w:sz w:val="24"/>
          <w:szCs w:val="24"/>
        </w:rPr>
        <w:t xml:space="preserve">GSK is facing the issue of </w:t>
      </w:r>
      <w:r w:rsidR="00C72AF6" w:rsidRPr="00E57ACD">
        <w:rPr>
          <w:rFonts w:ascii="Times New Roman" w:hAnsi="Times New Roman" w:cs="Times New Roman"/>
          <w:sz w:val="24"/>
          <w:szCs w:val="24"/>
        </w:rPr>
        <w:t xml:space="preserve">a </w:t>
      </w:r>
      <w:r w:rsidR="000E073E" w:rsidRPr="00E57ACD">
        <w:rPr>
          <w:rFonts w:ascii="Times New Roman" w:hAnsi="Times New Roman" w:cs="Times New Roman"/>
          <w:sz w:val="24"/>
          <w:szCs w:val="24"/>
        </w:rPr>
        <w:t xml:space="preserve">lesser P/E ratio and market value in the market. The P/E ratio of </w:t>
      </w:r>
      <w:r w:rsidR="00C72AF6" w:rsidRPr="00E57ACD">
        <w:rPr>
          <w:rFonts w:ascii="Times New Roman" w:hAnsi="Times New Roman" w:cs="Times New Roman"/>
          <w:sz w:val="24"/>
          <w:szCs w:val="24"/>
        </w:rPr>
        <w:t xml:space="preserve">the </w:t>
      </w:r>
      <w:r w:rsidR="000E073E" w:rsidRPr="00E57ACD">
        <w:rPr>
          <w:rFonts w:ascii="Times New Roman" w:hAnsi="Times New Roman" w:cs="Times New Roman"/>
          <w:sz w:val="24"/>
          <w:szCs w:val="24"/>
        </w:rPr>
        <w:t xml:space="preserve">company went 71 in 2016 that was </w:t>
      </w:r>
      <w:r w:rsidR="00C72AF6" w:rsidRPr="00E57ACD">
        <w:rPr>
          <w:rFonts w:ascii="Times New Roman" w:hAnsi="Times New Roman" w:cs="Times New Roman"/>
          <w:sz w:val="24"/>
          <w:szCs w:val="24"/>
        </w:rPr>
        <w:t xml:space="preserve">an </w:t>
      </w:r>
      <w:r w:rsidR="000E073E" w:rsidRPr="00E57ACD">
        <w:rPr>
          <w:rFonts w:ascii="Times New Roman" w:hAnsi="Times New Roman" w:cs="Times New Roman"/>
          <w:sz w:val="24"/>
          <w:szCs w:val="24"/>
        </w:rPr>
        <w:t xml:space="preserve">overvaluation of the stock and influenced the share price of the company. The P/E ratio in </w:t>
      </w:r>
      <w:r w:rsidR="00C72AF6" w:rsidRPr="00E57ACD">
        <w:rPr>
          <w:rFonts w:ascii="Times New Roman" w:hAnsi="Times New Roman" w:cs="Times New Roman"/>
          <w:sz w:val="24"/>
          <w:szCs w:val="24"/>
        </w:rPr>
        <w:t xml:space="preserve">the </w:t>
      </w:r>
      <w:r w:rsidR="000E073E" w:rsidRPr="00E57ACD">
        <w:rPr>
          <w:rFonts w:ascii="Times New Roman" w:hAnsi="Times New Roman" w:cs="Times New Roman"/>
          <w:sz w:val="24"/>
          <w:szCs w:val="24"/>
        </w:rPr>
        <w:t>context of GSK was 30.06 in 2017, 18.40 in 2018</w:t>
      </w:r>
      <w:r w:rsidR="00C72AF6" w:rsidRPr="00E57ACD">
        <w:rPr>
          <w:rFonts w:ascii="Times New Roman" w:hAnsi="Times New Roman" w:cs="Times New Roman"/>
          <w:sz w:val="24"/>
          <w:szCs w:val="24"/>
        </w:rPr>
        <w:t>,</w:t>
      </w:r>
      <w:r w:rsidR="000E073E" w:rsidRPr="00E57ACD">
        <w:rPr>
          <w:rFonts w:ascii="Times New Roman" w:hAnsi="Times New Roman" w:cs="Times New Roman"/>
          <w:sz w:val="24"/>
          <w:szCs w:val="24"/>
        </w:rPr>
        <w:t xml:space="preserve"> and 16.94 in 2019. It means there is </w:t>
      </w:r>
      <w:r w:rsidR="00C72AF6" w:rsidRPr="00E57ACD">
        <w:rPr>
          <w:rFonts w:ascii="Times New Roman" w:hAnsi="Times New Roman" w:cs="Times New Roman"/>
          <w:sz w:val="24"/>
          <w:szCs w:val="24"/>
        </w:rPr>
        <w:t xml:space="preserve">a </w:t>
      </w:r>
      <w:r w:rsidR="000E073E" w:rsidRPr="00E57ACD">
        <w:rPr>
          <w:rFonts w:ascii="Times New Roman" w:hAnsi="Times New Roman" w:cs="Times New Roman"/>
          <w:sz w:val="24"/>
          <w:szCs w:val="24"/>
        </w:rPr>
        <w:t xml:space="preserve">good market value of the GSK in </w:t>
      </w:r>
      <w:r w:rsidR="00C72AF6" w:rsidRPr="00E57ACD">
        <w:rPr>
          <w:rFonts w:ascii="Times New Roman" w:hAnsi="Times New Roman" w:cs="Times New Roman"/>
          <w:sz w:val="24"/>
          <w:szCs w:val="24"/>
        </w:rPr>
        <w:t xml:space="preserve">the </w:t>
      </w:r>
      <w:r w:rsidR="000E073E" w:rsidRPr="00E57ACD">
        <w:rPr>
          <w:rFonts w:ascii="Times New Roman" w:hAnsi="Times New Roman" w:cs="Times New Roman"/>
          <w:sz w:val="24"/>
          <w:szCs w:val="24"/>
        </w:rPr>
        <w:t>market during 2018 and 2019 that enable to attract investors for the investment</w:t>
      </w:r>
      <w:r w:rsidR="00BE2A6F" w:rsidRPr="00E57ACD">
        <w:rPr>
          <w:rFonts w:ascii="Times New Roman" w:hAnsi="Times New Roman" w:cs="Times New Roman"/>
          <w:sz w:val="24"/>
          <w:szCs w:val="24"/>
        </w:rPr>
        <w:t xml:space="preserve"> (</w:t>
      </w:r>
      <w:r w:rsidR="00BE2A6F" w:rsidRPr="00E57ACD">
        <w:rPr>
          <w:rFonts w:ascii="Times New Roman" w:hAnsi="Times New Roman" w:cs="Times New Roman"/>
          <w:color w:val="222222"/>
          <w:sz w:val="24"/>
          <w:szCs w:val="24"/>
          <w:shd w:val="clear" w:color="auto" w:fill="FFFFFF"/>
        </w:rPr>
        <w:t>Babalola and Abiola, 2013)</w:t>
      </w:r>
      <w:r w:rsidR="000E073E" w:rsidRPr="00E57ACD">
        <w:rPr>
          <w:rFonts w:ascii="Times New Roman" w:hAnsi="Times New Roman" w:cs="Times New Roman"/>
          <w:sz w:val="24"/>
          <w:szCs w:val="24"/>
        </w:rPr>
        <w:t xml:space="preserve">. </w:t>
      </w:r>
    </w:p>
    <w:p w14:paraId="44060677" w14:textId="77777777" w:rsidR="0024245D" w:rsidRPr="00E57ACD" w:rsidRDefault="0024245D" w:rsidP="00953755">
      <w:pPr>
        <w:pStyle w:val="Heading2"/>
        <w:spacing w:line="360" w:lineRule="auto"/>
        <w:jc w:val="both"/>
        <w:rPr>
          <w:rFonts w:ascii="Times New Roman" w:hAnsi="Times New Roman" w:cs="Times New Roman"/>
          <w:sz w:val="24"/>
          <w:szCs w:val="24"/>
        </w:rPr>
      </w:pPr>
      <w:bookmarkStart w:id="9" w:name="_Toc58487571"/>
      <w:r w:rsidRPr="00E57ACD">
        <w:rPr>
          <w:rFonts w:ascii="Times New Roman" w:hAnsi="Times New Roman" w:cs="Times New Roman"/>
          <w:sz w:val="24"/>
          <w:szCs w:val="24"/>
        </w:rPr>
        <w:t>Comparison with Sector Average:</w:t>
      </w:r>
      <w:bookmarkEnd w:id="9"/>
      <w:r w:rsidRPr="00E57ACD">
        <w:rPr>
          <w:rFonts w:ascii="Times New Roman" w:hAnsi="Times New Roman" w:cs="Times New Roman"/>
          <w:sz w:val="24"/>
          <w:szCs w:val="24"/>
        </w:rPr>
        <w:t xml:space="preserve"> </w:t>
      </w:r>
    </w:p>
    <w:p w14:paraId="3632CC10" w14:textId="77777777" w:rsidR="0024245D" w:rsidRPr="00E57ACD" w:rsidRDefault="00A87D30"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The performance of the GSK is quite lesser as compared to the industry average. The gross profit of the GSK is about 65% in 2019 but the average gross profit ratio of the industry is 71.31% that is showing that is </w:t>
      </w:r>
      <w:r w:rsidR="00281BE2" w:rsidRPr="00E57ACD">
        <w:rPr>
          <w:rFonts w:ascii="Times New Roman" w:hAnsi="Times New Roman" w:cs="Times New Roman"/>
          <w:sz w:val="24"/>
          <w:szCs w:val="24"/>
        </w:rPr>
        <w:t xml:space="preserve">a </w:t>
      </w:r>
      <w:r w:rsidRPr="00E57ACD">
        <w:rPr>
          <w:rFonts w:ascii="Times New Roman" w:hAnsi="Times New Roman" w:cs="Times New Roman"/>
          <w:sz w:val="24"/>
          <w:szCs w:val="24"/>
        </w:rPr>
        <w:t xml:space="preserve">good degree of contribution of the company to improve the industry average. </w:t>
      </w:r>
      <w:r w:rsidR="00FD1D93" w:rsidRPr="00E57ACD">
        <w:rPr>
          <w:rFonts w:ascii="Times New Roman" w:hAnsi="Times New Roman" w:cs="Times New Roman"/>
          <w:sz w:val="24"/>
          <w:szCs w:val="24"/>
        </w:rPr>
        <w:t xml:space="preserve">The operating profitability of the GSK is quite effective and more than the industry average that </w:t>
      </w:r>
      <w:r w:rsidR="00FD1D93" w:rsidRPr="00E57ACD">
        <w:rPr>
          <w:rFonts w:ascii="Times New Roman" w:hAnsi="Times New Roman" w:cs="Times New Roman"/>
          <w:sz w:val="24"/>
          <w:szCs w:val="24"/>
        </w:rPr>
        <w:lastRenderedPageBreak/>
        <w:t xml:space="preserve">is presenting the efficiency of the company higher than other competitors in the industry. </w:t>
      </w:r>
      <w:r w:rsidR="002652B3" w:rsidRPr="00E57ACD">
        <w:rPr>
          <w:rFonts w:ascii="Times New Roman" w:hAnsi="Times New Roman" w:cs="Times New Roman"/>
          <w:sz w:val="24"/>
          <w:szCs w:val="24"/>
        </w:rPr>
        <w:t xml:space="preserve">At the same time, there is higher efficiency in the management of the GSK in comparison to their competitors in the market and industry average. </w:t>
      </w:r>
      <w:r w:rsidR="00281BE2" w:rsidRPr="00E57ACD">
        <w:rPr>
          <w:rFonts w:ascii="Times New Roman" w:hAnsi="Times New Roman" w:cs="Times New Roman"/>
          <w:sz w:val="24"/>
          <w:szCs w:val="24"/>
        </w:rPr>
        <w:t>The n</w:t>
      </w:r>
      <w:r w:rsidR="002652B3" w:rsidRPr="00E57ACD">
        <w:rPr>
          <w:rFonts w:ascii="Times New Roman" w:hAnsi="Times New Roman" w:cs="Times New Roman"/>
          <w:sz w:val="24"/>
          <w:szCs w:val="24"/>
        </w:rPr>
        <w:t xml:space="preserve">et profit of the enterprise is 16% while the industry average is 15.19% that is demonstrating good capability and efficiency in the company to improve the profitability and raising the value to shareholders. </w:t>
      </w:r>
      <w:r w:rsidR="00F8536E" w:rsidRPr="00E57ACD">
        <w:rPr>
          <w:rFonts w:ascii="Times New Roman" w:hAnsi="Times New Roman" w:cs="Times New Roman"/>
          <w:sz w:val="24"/>
          <w:szCs w:val="24"/>
        </w:rPr>
        <w:t xml:space="preserve">Return on equity of company of 5 years average is 109.38% while the same for the industry is 28.08% that is showing a great difference between the industry average of ROE and GSK’s ROE. It means GSK is much efficiency in the whole industry as compared to other businesses and competitors. </w:t>
      </w:r>
      <w:r w:rsidR="00E822D1" w:rsidRPr="00E57ACD">
        <w:rPr>
          <w:rFonts w:ascii="Times New Roman" w:hAnsi="Times New Roman" w:cs="Times New Roman"/>
          <w:sz w:val="24"/>
          <w:szCs w:val="24"/>
        </w:rPr>
        <w:t xml:space="preserve">Along with this, </w:t>
      </w:r>
      <w:r w:rsidR="00281BE2" w:rsidRPr="00E57ACD">
        <w:rPr>
          <w:rFonts w:ascii="Times New Roman" w:hAnsi="Times New Roman" w:cs="Times New Roman"/>
          <w:sz w:val="24"/>
          <w:szCs w:val="24"/>
        </w:rPr>
        <w:t xml:space="preserve">the </w:t>
      </w:r>
      <w:r w:rsidR="00E822D1" w:rsidRPr="00E57ACD">
        <w:rPr>
          <w:rFonts w:ascii="Times New Roman" w:hAnsi="Times New Roman" w:cs="Times New Roman"/>
          <w:sz w:val="24"/>
          <w:szCs w:val="24"/>
        </w:rPr>
        <w:t xml:space="preserve">ROA of the company is higher than the industry that indicates management in the GSK is effective and efficient in using the assets optimally to maximize the return and income. </w:t>
      </w:r>
    </w:p>
    <w:p w14:paraId="55CB4A91" w14:textId="77777777" w:rsidR="00E822D1" w:rsidRPr="00E57ACD" w:rsidRDefault="00E822D1"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Furthermore, it is found that </w:t>
      </w:r>
      <w:r w:rsidR="00281BE2" w:rsidRPr="00E57ACD">
        <w:rPr>
          <w:rFonts w:ascii="Times New Roman" w:hAnsi="Times New Roman" w:cs="Times New Roman"/>
          <w:sz w:val="24"/>
          <w:szCs w:val="24"/>
        </w:rPr>
        <w:t xml:space="preserve">the </w:t>
      </w:r>
      <w:r w:rsidRPr="00E57ACD">
        <w:rPr>
          <w:rFonts w:ascii="Times New Roman" w:hAnsi="Times New Roman" w:cs="Times New Roman"/>
          <w:sz w:val="24"/>
          <w:szCs w:val="24"/>
        </w:rPr>
        <w:t xml:space="preserve">liquidity position of the GSK is suffering against some of the competitors in the industry. This is because the quick ratio of </w:t>
      </w:r>
      <w:r w:rsidR="00281BE2" w:rsidRPr="00E57ACD">
        <w:rPr>
          <w:rFonts w:ascii="Times New Roman" w:hAnsi="Times New Roman" w:cs="Times New Roman"/>
          <w:sz w:val="24"/>
          <w:szCs w:val="24"/>
        </w:rPr>
        <w:t xml:space="preserve">the </w:t>
      </w:r>
      <w:r w:rsidRPr="00E57ACD">
        <w:rPr>
          <w:rFonts w:ascii="Times New Roman" w:hAnsi="Times New Roman" w:cs="Times New Roman"/>
          <w:sz w:val="24"/>
          <w:szCs w:val="24"/>
        </w:rPr>
        <w:t xml:space="preserve">industry is 1 and </w:t>
      </w:r>
      <w:r w:rsidR="00281BE2" w:rsidRPr="00E57ACD">
        <w:rPr>
          <w:rFonts w:ascii="Times New Roman" w:hAnsi="Times New Roman" w:cs="Times New Roman"/>
          <w:sz w:val="24"/>
          <w:szCs w:val="24"/>
        </w:rPr>
        <w:t xml:space="preserve">the </w:t>
      </w:r>
      <w:r w:rsidRPr="00E57ACD">
        <w:rPr>
          <w:rFonts w:ascii="Times New Roman" w:hAnsi="Times New Roman" w:cs="Times New Roman"/>
          <w:sz w:val="24"/>
          <w:szCs w:val="24"/>
        </w:rPr>
        <w:t xml:space="preserve">current ratio is 1.32 while the same ratios for GSK in 2019 are 0.56 and 0.81 that indicates lesser liquidity in the company that needs to improve. </w:t>
      </w:r>
      <w:r w:rsidR="00281BE2" w:rsidRPr="00E57ACD">
        <w:rPr>
          <w:rFonts w:ascii="Times New Roman" w:hAnsi="Times New Roman" w:cs="Times New Roman"/>
          <w:sz w:val="24"/>
          <w:szCs w:val="24"/>
        </w:rPr>
        <w:t>The d</w:t>
      </w:r>
      <w:r w:rsidRPr="00E57ACD">
        <w:rPr>
          <w:rFonts w:ascii="Times New Roman" w:hAnsi="Times New Roman" w:cs="Times New Roman"/>
          <w:sz w:val="24"/>
          <w:szCs w:val="24"/>
        </w:rPr>
        <w:t>ividend payout ratio is quite higher than the industry which can aid to attract more investor</w:t>
      </w:r>
      <w:r w:rsidR="00281BE2" w:rsidRPr="00E57ACD">
        <w:rPr>
          <w:rFonts w:ascii="Times New Roman" w:hAnsi="Times New Roman" w:cs="Times New Roman"/>
          <w:sz w:val="24"/>
          <w:szCs w:val="24"/>
        </w:rPr>
        <w:t>s</w:t>
      </w:r>
      <w:r w:rsidRPr="00E57ACD">
        <w:rPr>
          <w:rFonts w:ascii="Times New Roman" w:hAnsi="Times New Roman" w:cs="Times New Roman"/>
          <w:sz w:val="24"/>
          <w:szCs w:val="24"/>
        </w:rPr>
        <w:t xml:space="preserve"> for the investment as compared to other inventors. </w:t>
      </w:r>
    </w:p>
    <w:p w14:paraId="72F884D3" w14:textId="77777777" w:rsidR="0024245D" w:rsidRPr="00E57ACD" w:rsidRDefault="0024245D" w:rsidP="00953755">
      <w:pPr>
        <w:pStyle w:val="Heading2"/>
        <w:spacing w:line="360" w:lineRule="auto"/>
        <w:jc w:val="both"/>
        <w:rPr>
          <w:rFonts w:ascii="Times New Roman" w:hAnsi="Times New Roman" w:cs="Times New Roman"/>
          <w:sz w:val="24"/>
          <w:szCs w:val="24"/>
        </w:rPr>
      </w:pPr>
      <w:bookmarkStart w:id="10" w:name="_Toc58487572"/>
      <w:r w:rsidRPr="00E57ACD">
        <w:rPr>
          <w:rFonts w:ascii="Times New Roman" w:hAnsi="Times New Roman" w:cs="Times New Roman"/>
          <w:sz w:val="24"/>
          <w:szCs w:val="24"/>
        </w:rPr>
        <w:t>Recommendation fo</w:t>
      </w:r>
      <w:r w:rsidR="00786F21" w:rsidRPr="00E57ACD">
        <w:rPr>
          <w:rFonts w:ascii="Times New Roman" w:hAnsi="Times New Roman" w:cs="Times New Roman"/>
          <w:sz w:val="24"/>
          <w:szCs w:val="24"/>
        </w:rPr>
        <w:t>r improving the performance:</w:t>
      </w:r>
      <w:bookmarkEnd w:id="10"/>
    </w:p>
    <w:p w14:paraId="430C7EED" w14:textId="77777777" w:rsidR="00003D46" w:rsidRPr="00E57ACD" w:rsidRDefault="00B81327"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Based on the analysis of the performance of the company, there </w:t>
      </w:r>
      <w:r w:rsidR="00C72AF6" w:rsidRPr="00E57ACD">
        <w:rPr>
          <w:rFonts w:ascii="Times New Roman" w:hAnsi="Times New Roman" w:cs="Times New Roman"/>
          <w:sz w:val="24"/>
          <w:szCs w:val="24"/>
        </w:rPr>
        <w:t>is</w:t>
      </w:r>
      <w:r w:rsidRPr="00E57ACD">
        <w:rPr>
          <w:rFonts w:ascii="Times New Roman" w:hAnsi="Times New Roman" w:cs="Times New Roman"/>
          <w:sz w:val="24"/>
          <w:szCs w:val="24"/>
        </w:rPr>
        <w:t xml:space="preserve"> some recommendation for GSK to improve its performance. </w:t>
      </w:r>
    </w:p>
    <w:p w14:paraId="516E0FB5" w14:textId="77777777" w:rsidR="00EA7BF4" w:rsidRPr="00E57ACD" w:rsidRDefault="00EA7BF4"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GSK needs to focus on the improvement in the efficiency for raising the profit and cutting the costs. It needs to revise the credit policy of the company and strategies of the businesses to recover the money from the market and reducing the working capital cycle to improve the liquidity and </w:t>
      </w:r>
      <w:r w:rsidR="00C41F05" w:rsidRPr="00E57ACD">
        <w:rPr>
          <w:rFonts w:ascii="Times New Roman" w:hAnsi="Times New Roman" w:cs="Times New Roman"/>
          <w:sz w:val="24"/>
          <w:szCs w:val="24"/>
        </w:rPr>
        <w:t>effectively accomplish the liabilities</w:t>
      </w:r>
      <w:r w:rsidR="00636A39" w:rsidRPr="00E57ACD">
        <w:rPr>
          <w:rFonts w:ascii="Times New Roman" w:hAnsi="Times New Roman" w:cs="Times New Roman"/>
          <w:sz w:val="24"/>
          <w:szCs w:val="24"/>
        </w:rPr>
        <w:t xml:space="preserve">. </w:t>
      </w:r>
      <w:r w:rsidR="007C7DFD" w:rsidRPr="00E57ACD">
        <w:rPr>
          <w:rFonts w:ascii="Times New Roman" w:hAnsi="Times New Roman" w:cs="Times New Roman"/>
          <w:sz w:val="24"/>
          <w:szCs w:val="24"/>
        </w:rPr>
        <w:t xml:space="preserve">From the analysis, it can apply </w:t>
      </w:r>
      <w:r w:rsidR="00C41F05" w:rsidRPr="00E57ACD">
        <w:rPr>
          <w:rFonts w:ascii="Times New Roman" w:hAnsi="Times New Roman" w:cs="Times New Roman"/>
          <w:sz w:val="24"/>
          <w:szCs w:val="24"/>
        </w:rPr>
        <w:t xml:space="preserve">a </w:t>
      </w:r>
      <w:r w:rsidR="007C7DFD" w:rsidRPr="00E57ACD">
        <w:rPr>
          <w:rFonts w:ascii="Times New Roman" w:hAnsi="Times New Roman" w:cs="Times New Roman"/>
          <w:sz w:val="24"/>
          <w:szCs w:val="24"/>
        </w:rPr>
        <w:t>lean production system, JIT technology</w:t>
      </w:r>
      <w:r w:rsidR="00C41F05" w:rsidRPr="00E57ACD">
        <w:rPr>
          <w:rFonts w:ascii="Times New Roman" w:hAnsi="Times New Roman" w:cs="Times New Roman"/>
          <w:sz w:val="24"/>
          <w:szCs w:val="24"/>
        </w:rPr>
        <w:t>,</w:t>
      </w:r>
      <w:r w:rsidR="007C7DFD" w:rsidRPr="00E57ACD">
        <w:rPr>
          <w:rFonts w:ascii="Times New Roman" w:hAnsi="Times New Roman" w:cs="Times New Roman"/>
          <w:sz w:val="24"/>
          <w:szCs w:val="24"/>
        </w:rPr>
        <w:t xml:space="preserve"> and others to grow the efficiency that would enable to cut the cost and improve the profit margin. </w:t>
      </w:r>
      <w:r w:rsidR="00B506EC" w:rsidRPr="00E57ACD">
        <w:rPr>
          <w:rFonts w:ascii="Times New Roman" w:hAnsi="Times New Roman" w:cs="Times New Roman"/>
          <w:sz w:val="24"/>
          <w:szCs w:val="24"/>
        </w:rPr>
        <w:t>Lean production system and JIT would cut the cost of the inventory handling and holding a large inventory in the organization that would improve the profitability of the business and would aid to enhance the value to shareholders (</w:t>
      </w:r>
      <w:r w:rsidR="00B506EC" w:rsidRPr="00E57ACD">
        <w:rPr>
          <w:rFonts w:ascii="Times New Roman" w:hAnsi="Times New Roman" w:cs="Times New Roman"/>
          <w:color w:val="000000"/>
          <w:sz w:val="24"/>
          <w:szCs w:val="24"/>
        </w:rPr>
        <w:t>Martin and Alvarez, 2011)</w:t>
      </w:r>
      <w:r w:rsidR="00B506EC" w:rsidRPr="00E57ACD">
        <w:rPr>
          <w:rFonts w:ascii="Times New Roman" w:hAnsi="Times New Roman" w:cs="Times New Roman"/>
          <w:sz w:val="24"/>
          <w:szCs w:val="24"/>
        </w:rPr>
        <w:t xml:space="preserve">. </w:t>
      </w:r>
      <w:r w:rsidR="00910391" w:rsidRPr="00E57ACD">
        <w:rPr>
          <w:rFonts w:ascii="Times New Roman" w:hAnsi="Times New Roman" w:cs="Times New Roman"/>
          <w:sz w:val="24"/>
          <w:szCs w:val="24"/>
        </w:rPr>
        <w:t>At the same time, it should keep continu</w:t>
      </w:r>
      <w:r w:rsidR="00C41F05" w:rsidRPr="00E57ACD">
        <w:rPr>
          <w:rFonts w:ascii="Times New Roman" w:hAnsi="Times New Roman" w:cs="Times New Roman"/>
          <w:sz w:val="24"/>
          <w:szCs w:val="24"/>
        </w:rPr>
        <w:t>ing</w:t>
      </w:r>
      <w:r w:rsidR="00910391" w:rsidRPr="00E57ACD">
        <w:rPr>
          <w:rFonts w:ascii="Times New Roman" w:hAnsi="Times New Roman" w:cs="Times New Roman"/>
          <w:sz w:val="24"/>
          <w:szCs w:val="24"/>
        </w:rPr>
        <w:t xml:space="preserve"> to raise the fund by using equity financing sources. </w:t>
      </w:r>
      <w:r w:rsidR="000628F9" w:rsidRPr="00E57ACD">
        <w:rPr>
          <w:rFonts w:ascii="Times New Roman" w:hAnsi="Times New Roman" w:cs="Times New Roman"/>
          <w:sz w:val="24"/>
          <w:szCs w:val="24"/>
        </w:rPr>
        <w:t xml:space="preserve">Equity finance over debt finance may improve the creditworthiness of the business and it needs to focus on cutting the gearing ratio. </w:t>
      </w:r>
    </w:p>
    <w:p w14:paraId="065D62C8" w14:textId="77777777" w:rsidR="00C719A2" w:rsidRPr="00E57ACD" w:rsidRDefault="00C719A2"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lastRenderedPageBreak/>
        <w:t xml:space="preserve">GSK should focus on the improvement of </w:t>
      </w:r>
      <w:r w:rsidR="00C41F05" w:rsidRPr="00E57ACD">
        <w:rPr>
          <w:rFonts w:ascii="Times New Roman" w:hAnsi="Times New Roman" w:cs="Times New Roman"/>
          <w:sz w:val="24"/>
          <w:szCs w:val="24"/>
        </w:rPr>
        <w:t xml:space="preserve">the </w:t>
      </w:r>
      <w:r w:rsidRPr="00E57ACD">
        <w:rPr>
          <w:rFonts w:ascii="Times New Roman" w:hAnsi="Times New Roman" w:cs="Times New Roman"/>
          <w:sz w:val="24"/>
          <w:szCs w:val="24"/>
        </w:rPr>
        <w:t>business process and effectiveness in the operation by adopting advanced technology.</w:t>
      </w:r>
      <w:r w:rsidR="001774C1" w:rsidRPr="00E57ACD">
        <w:rPr>
          <w:rFonts w:ascii="Times New Roman" w:hAnsi="Times New Roman" w:cs="Times New Roman"/>
          <w:sz w:val="24"/>
          <w:szCs w:val="24"/>
        </w:rPr>
        <w:t xml:space="preserve"> The GSK can apply technologies to make the business process smooth and easy for controlling the operation and for raising effectiveness. This would improve the capability of the business and would enable it to produce </w:t>
      </w:r>
      <w:r w:rsidR="00C41F05" w:rsidRPr="00E57ACD">
        <w:rPr>
          <w:rFonts w:ascii="Times New Roman" w:hAnsi="Times New Roman" w:cs="Times New Roman"/>
          <w:sz w:val="24"/>
          <w:szCs w:val="24"/>
        </w:rPr>
        <w:t xml:space="preserve">a </w:t>
      </w:r>
      <w:r w:rsidR="001774C1" w:rsidRPr="00E57ACD">
        <w:rPr>
          <w:rFonts w:ascii="Times New Roman" w:hAnsi="Times New Roman" w:cs="Times New Roman"/>
          <w:sz w:val="24"/>
          <w:szCs w:val="24"/>
        </w:rPr>
        <w:t xml:space="preserve">higher volume at </w:t>
      </w:r>
      <w:r w:rsidR="00C41F05" w:rsidRPr="00E57ACD">
        <w:rPr>
          <w:rFonts w:ascii="Times New Roman" w:hAnsi="Times New Roman" w:cs="Times New Roman"/>
          <w:sz w:val="24"/>
          <w:szCs w:val="24"/>
        </w:rPr>
        <w:t xml:space="preserve">a </w:t>
      </w:r>
      <w:r w:rsidR="001774C1" w:rsidRPr="00E57ACD">
        <w:rPr>
          <w:rFonts w:ascii="Times New Roman" w:hAnsi="Times New Roman" w:cs="Times New Roman"/>
          <w:sz w:val="24"/>
          <w:szCs w:val="24"/>
        </w:rPr>
        <w:t xml:space="preserve">lesser cost </w:t>
      </w:r>
      <w:r w:rsidR="00C41F05" w:rsidRPr="00E57ACD">
        <w:rPr>
          <w:rFonts w:ascii="Times New Roman" w:hAnsi="Times New Roman" w:cs="Times New Roman"/>
          <w:sz w:val="24"/>
          <w:szCs w:val="24"/>
        </w:rPr>
        <w:t>which</w:t>
      </w:r>
      <w:r w:rsidR="001774C1" w:rsidRPr="00E57ACD">
        <w:rPr>
          <w:rFonts w:ascii="Times New Roman" w:hAnsi="Times New Roman" w:cs="Times New Roman"/>
          <w:sz w:val="24"/>
          <w:szCs w:val="24"/>
        </w:rPr>
        <w:t xml:space="preserve"> would improve the sale and would reduce the cost of goods sold. </w:t>
      </w:r>
    </w:p>
    <w:p w14:paraId="47A345D5" w14:textId="77777777" w:rsidR="008F592F" w:rsidRPr="00E57ACD" w:rsidRDefault="002D3585"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GSK should improve the productivity of the staff by providing training to the staff and by fostering the learning culture within the workplace. </w:t>
      </w:r>
      <w:r w:rsidR="008F592F" w:rsidRPr="00E57ACD">
        <w:rPr>
          <w:rFonts w:ascii="Times New Roman" w:hAnsi="Times New Roman" w:cs="Times New Roman"/>
          <w:sz w:val="24"/>
          <w:szCs w:val="24"/>
        </w:rPr>
        <w:t>Training and development programs would aid GSK to improve the skills, knowledge</w:t>
      </w:r>
      <w:r w:rsidR="00C41F05" w:rsidRPr="00E57ACD">
        <w:rPr>
          <w:rFonts w:ascii="Times New Roman" w:hAnsi="Times New Roman" w:cs="Times New Roman"/>
          <w:sz w:val="24"/>
          <w:szCs w:val="24"/>
        </w:rPr>
        <w:t>,</w:t>
      </w:r>
      <w:r w:rsidR="008F592F" w:rsidRPr="00E57ACD">
        <w:rPr>
          <w:rFonts w:ascii="Times New Roman" w:hAnsi="Times New Roman" w:cs="Times New Roman"/>
          <w:sz w:val="24"/>
          <w:szCs w:val="24"/>
        </w:rPr>
        <w:t xml:space="preserve"> and abilities of employees that would aid to improve the efficiency and effectiveness of the performance</w:t>
      </w:r>
      <w:r w:rsidR="00EA7BF4" w:rsidRPr="00E57ACD">
        <w:rPr>
          <w:rFonts w:ascii="Times New Roman" w:hAnsi="Times New Roman" w:cs="Times New Roman"/>
          <w:sz w:val="24"/>
          <w:szCs w:val="24"/>
        </w:rPr>
        <w:t xml:space="preserve"> (</w:t>
      </w:r>
      <w:r w:rsidR="00EA7BF4" w:rsidRPr="00E57ACD">
        <w:rPr>
          <w:rFonts w:ascii="Times New Roman" w:hAnsi="Times New Roman" w:cs="Times New Roman"/>
          <w:color w:val="222222"/>
          <w:sz w:val="24"/>
          <w:szCs w:val="24"/>
          <w:shd w:val="clear" w:color="auto" w:fill="FFFFFF"/>
        </w:rPr>
        <w:t>Titman et al, 2013)</w:t>
      </w:r>
      <w:r w:rsidR="00EA7BF4" w:rsidRPr="00E57ACD">
        <w:rPr>
          <w:rFonts w:ascii="Times New Roman" w:hAnsi="Times New Roman" w:cs="Times New Roman"/>
          <w:sz w:val="24"/>
          <w:szCs w:val="24"/>
        </w:rPr>
        <w:t xml:space="preserve">. </w:t>
      </w:r>
    </w:p>
    <w:p w14:paraId="5DBAD88A" w14:textId="77777777" w:rsidR="006F34BF" w:rsidRPr="00E57ACD" w:rsidRDefault="006F34BF" w:rsidP="00953755">
      <w:pPr>
        <w:spacing w:line="360" w:lineRule="auto"/>
        <w:jc w:val="both"/>
        <w:rPr>
          <w:rFonts w:ascii="Times New Roman" w:eastAsiaTheme="majorEastAsia" w:hAnsi="Times New Roman" w:cs="Times New Roman"/>
          <w:b/>
          <w:bCs/>
          <w:color w:val="365F91" w:themeColor="accent1" w:themeShade="BF"/>
          <w:sz w:val="24"/>
          <w:szCs w:val="24"/>
        </w:rPr>
      </w:pPr>
      <w:r w:rsidRPr="00E57ACD">
        <w:rPr>
          <w:rFonts w:ascii="Times New Roman" w:hAnsi="Times New Roman" w:cs="Times New Roman"/>
          <w:sz w:val="24"/>
          <w:szCs w:val="24"/>
        </w:rPr>
        <w:br w:type="page"/>
      </w:r>
    </w:p>
    <w:p w14:paraId="64121001" w14:textId="77777777" w:rsidR="00B37608" w:rsidRPr="00E57ACD" w:rsidRDefault="00B37608" w:rsidP="00953755">
      <w:pPr>
        <w:pStyle w:val="Heading1"/>
        <w:spacing w:line="360" w:lineRule="auto"/>
        <w:jc w:val="both"/>
        <w:rPr>
          <w:rFonts w:ascii="Times New Roman" w:hAnsi="Times New Roman" w:cs="Times New Roman"/>
          <w:sz w:val="24"/>
          <w:szCs w:val="24"/>
        </w:rPr>
      </w:pPr>
      <w:bookmarkStart w:id="11" w:name="_Toc58487573"/>
      <w:r w:rsidRPr="00E57ACD">
        <w:rPr>
          <w:rFonts w:ascii="Times New Roman" w:hAnsi="Times New Roman" w:cs="Times New Roman"/>
          <w:sz w:val="24"/>
          <w:szCs w:val="24"/>
        </w:rPr>
        <w:lastRenderedPageBreak/>
        <w:t>Part C: Capital budgeting:</w:t>
      </w:r>
      <w:bookmarkEnd w:id="11"/>
      <w:r w:rsidR="00E82F4A" w:rsidRPr="00E57ACD">
        <w:rPr>
          <w:rFonts w:ascii="Times New Roman" w:hAnsi="Times New Roman" w:cs="Times New Roman"/>
          <w:sz w:val="24"/>
          <w:szCs w:val="24"/>
        </w:rPr>
        <w:t xml:space="preserve"> </w:t>
      </w:r>
    </w:p>
    <w:p w14:paraId="23FCE975" w14:textId="77777777" w:rsidR="00B37608" w:rsidRPr="00E57ACD" w:rsidRDefault="00561A1B"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Capital budgeting is a process and method of management accounting that is applied for measuring and analyzing the investment options and making </w:t>
      </w:r>
      <w:r w:rsidR="000F1446" w:rsidRPr="00E57ACD">
        <w:rPr>
          <w:rFonts w:ascii="Times New Roman" w:hAnsi="Times New Roman" w:cs="Times New Roman"/>
          <w:sz w:val="24"/>
          <w:szCs w:val="24"/>
        </w:rPr>
        <w:t xml:space="preserve">an </w:t>
      </w:r>
      <w:r w:rsidRPr="00E57ACD">
        <w:rPr>
          <w:rFonts w:ascii="Times New Roman" w:hAnsi="Times New Roman" w:cs="Times New Roman"/>
          <w:sz w:val="24"/>
          <w:szCs w:val="24"/>
        </w:rPr>
        <w:t xml:space="preserve">investment decision. </w:t>
      </w:r>
      <w:r w:rsidR="000F1446" w:rsidRPr="00E57ACD">
        <w:rPr>
          <w:rFonts w:ascii="Times New Roman" w:hAnsi="Times New Roman" w:cs="Times New Roman"/>
          <w:sz w:val="24"/>
          <w:szCs w:val="24"/>
        </w:rPr>
        <w:t>C</w:t>
      </w:r>
      <w:r w:rsidR="00A20263" w:rsidRPr="00E57ACD">
        <w:rPr>
          <w:rFonts w:ascii="Times New Roman" w:hAnsi="Times New Roman" w:cs="Times New Roman"/>
          <w:sz w:val="24"/>
          <w:szCs w:val="24"/>
        </w:rPr>
        <w:t>apital budgeting is very important and effective for making investment decision</w:t>
      </w:r>
      <w:r w:rsidR="000F1446" w:rsidRPr="00E57ACD">
        <w:rPr>
          <w:rFonts w:ascii="Times New Roman" w:hAnsi="Times New Roman" w:cs="Times New Roman"/>
          <w:sz w:val="24"/>
          <w:szCs w:val="24"/>
        </w:rPr>
        <w:t>s</w:t>
      </w:r>
      <w:r w:rsidR="008D6A83" w:rsidRPr="00E57ACD">
        <w:rPr>
          <w:rFonts w:ascii="Times New Roman" w:hAnsi="Times New Roman" w:cs="Times New Roman"/>
          <w:sz w:val="24"/>
          <w:szCs w:val="24"/>
        </w:rPr>
        <w:t xml:space="preserve"> (</w:t>
      </w:r>
      <w:proofErr w:type="spellStart"/>
      <w:r w:rsidR="008D6A83" w:rsidRPr="00E57ACD">
        <w:rPr>
          <w:rFonts w:ascii="Times New Roman" w:hAnsi="Times New Roman" w:cs="Times New Roman"/>
          <w:sz w:val="24"/>
          <w:szCs w:val="24"/>
        </w:rPr>
        <w:t>Higham</w:t>
      </w:r>
      <w:proofErr w:type="spellEnd"/>
      <w:r w:rsidR="008D6A83" w:rsidRPr="00E57ACD">
        <w:rPr>
          <w:rFonts w:ascii="Times New Roman" w:hAnsi="Times New Roman" w:cs="Times New Roman"/>
          <w:sz w:val="24"/>
          <w:szCs w:val="24"/>
        </w:rPr>
        <w:t xml:space="preserve"> et al., 2016)</w:t>
      </w:r>
      <w:r w:rsidR="00A20263" w:rsidRPr="00E57ACD">
        <w:rPr>
          <w:rFonts w:ascii="Times New Roman" w:hAnsi="Times New Roman" w:cs="Times New Roman"/>
          <w:sz w:val="24"/>
          <w:szCs w:val="24"/>
        </w:rPr>
        <w:t xml:space="preserve">. </w:t>
      </w:r>
    </w:p>
    <w:p w14:paraId="3894E0FB" w14:textId="77777777" w:rsidR="00B37608" w:rsidRPr="00E57ACD" w:rsidRDefault="00B37608" w:rsidP="00953755">
      <w:pPr>
        <w:pStyle w:val="Heading2"/>
        <w:spacing w:line="360" w:lineRule="auto"/>
        <w:jc w:val="both"/>
        <w:rPr>
          <w:rFonts w:ascii="Times New Roman" w:hAnsi="Times New Roman" w:cs="Times New Roman"/>
          <w:sz w:val="24"/>
          <w:szCs w:val="24"/>
        </w:rPr>
      </w:pPr>
      <w:bookmarkStart w:id="12" w:name="_Toc58487574"/>
      <w:r w:rsidRPr="00E57ACD">
        <w:rPr>
          <w:rFonts w:ascii="Times New Roman" w:hAnsi="Times New Roman" w:cs="Times New Roman"/>
          <w:sz w:val="24"/>
          <w:szCs w:val="24"/>
        </w:rPr>
        <w:t>Calculation and interpretation:</w:t>
      </w:r>
      <w:bookmarkEnd w:id="12"/>
    </w:p>
    <w:p w14:paraId="4287CEDB" w14:textId="77777777" w:rsidR="00B37608" w:rsidRPr="00E57ACD" w:rsidRDefault="004A6671" w:rsidP="00953755">
      <w:pPr>
        <w:spacing w:line="360" w:lineRule="auto"/>
        <w:jc w:val="both"/>
        <w:rPr>
          <w:rFonts w:ascii="Times New Roman" w:hAnsi="Times New Roman" w:cs="Times New Roman"/>
          <w:b/>
          <w:sz w:val="24"/>
          <w:szCs w:val="24"/>
        </w:rPr>
      </w:pPr>
      <w:r w:rsidRPr="00E57ACD">
        <w:rPr>
          <w:rFonts w:ascii="Times New Roman" w:hAnsi="Times New Roman" w:cs="Times New Roman"/>
          <w:b/>
          <w:sz w:val="24"/>
          <w:szCs w:val="24"/>
        </w:rPr>
        <w:t>Payback Period:</w:t>
      </w:r>
    </w:p>
    <w:p w14:paraId="6F1780F2" w14:textId="77777777" w:rsidR="00561A1B" w:rsidRPr="00E57ACD" w:rsidRDefault="0029090E"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This is the time </w:t>
      </w:r>
      <w:r w:rsidR="000F1446" w:rsidRPr="00E57ACD">
        <w:rPr>
          <w:rFonts w:ascii="Times New Roman" w:hAnsi="Times New Roman" w:cs="Times New Roman"/>
          <w:sz w:val="24"/>
          <w:szCs w:val="24"/>
        </w:rPr>
        <w:t>that</w:t>
      </w:r>
      <w:r w:rsidRPr="00E57ACD">
        <w:rPr>
          <w:rFonts w:ascii="Times New Roman" w:hAnsi="Times New Roman" w:cs="Times New Roman"/>
          <w:sz w:val="24"/>
          <w:szCs w:val="24"/>
        </w:rPr>
        <w:t xml:space="preserve"> is used for measuring the length of the time required to making the cash inflow equal to the investment and forgetting the breakeven point of the cash inflows and initial investment in the project. </w:t>
      </w:r>
    </w:p>
    <w:p w14:paraId="73BAB880" w14:textId="77777777" w:rsidR="004A6671" w:rsidRPr="00E57ACD" w:rsidRDefault="004A6671" w:rsidP="00953755">
      <w:pPr>
        <w:spacing w:line="360" w:lineRule="auto"/>
        <w:jc w:val="both"/>
        <w:rPr>
          <w:rFonts w:ascii="Times New Roman" w:hAnsi="Times New Roman" w:cs="Times New Roman"/>
          <w:b/>
          <w:sz w:val="24"/>
          <w:szCs w:val="24"/>
        </w:rPr>
      </w:pPr>
      <w:r w:rsidRPr="00E57ACD">
        <w:rPr>
          <w:rFonts w:ascii="Times New Roman" w:hAnsi="Times New Roman" w:cs="Times New Roman"/>
          <w:b/>
          <w:sz w:val="24"/>
          <w:szCs w:val="24"/>
        </w:rPr>
        <w:t>Project A:</w:t>
      </w:r>
    </w:p>
    <w:tbl>
      <w:tblPr>
        <w:tblW w:w="4360" w:type="dxa"/>
        <w:tblInd w:w="93" w:type="dxa"/>
        <w:tblLook w:val="04A0" w:firstRow="1" w:lastRow="0" w:firstColumn="1" w:lastColumn="0" w:noHBand="0" w:noVBand="1"/>
      </w:tblPr>
      <w:tblGrid>
        <w:gridCol w:w="960"/>
        <w:gridCol w:w="963"/>
        <w:gridCol w:w="1123"/>
        <w:gridCol w:w="1480"/>
      </w:tblGrid>
      <w:tr w:rsidR="004A6671" w:rsidRPr="00E57ACD" w14:paraId="410F5A7C" w14:textId="77777777" w:rsidTr="004A6671">
        <w:trPr>
          <w:trHeight w:val="315"/>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44F89D"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Year</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A029174"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xml:space="preserve">Cash outflow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F92D0A2"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Cash inflow(£)</w:t>
            </w:r>
          </w:p>
        </w:tc>
        <w:tc>
          <w:tcPr>
            <w:tcW w:w="1480" w:type="dxa"/>
            <w:tcBorders>
              <w:top w:val="single" w:sz="4" w:space="0" w:color="auto"/>
              <w:left w:val="nil"/>
              <w:bottom w:val="single" w:sz="4" w:space="0" w:color="auto"/>
              <w:right w:val="single" w:sz="4" w:space="0" w:color="auto"/>
            </w:tcBorders>
            <w:shd w:val="clear" w:color="auto" w:fill="auto"/>
            <w:noWrap/>
            <w:vAlign w:val="bottom"/>
            <w:hideMark/>
          </w:tcPr>
          <w:p w14:paraId="0E5A80E4"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xml:space="preserve">Cumulative CI </w:t>
            </w:r>
          </w:p>
        </w:tc>
      </w:tr>
      <w:tr w:rsidR="004A6671" w:rsidRPr="00E57ACD" w14:paraId="5C7C36FC"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0F0E9B"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w:t>
            </w:r>
          </w:p>
        </w:tc>
        <w:tc>
          <w:tcPr>
            <w:tcW w:w="960" w:type="dxa"/>
            <w:tcBorders>
              <w:top w:val="nil"/>
              <w:left w:val="nil"/>
              <w:bottom w:val="single" w:sz="4" w:space="0" w:color="auto"/>
              <w:right w:val="single" w:sz="4" w:space="0" w:color="auto"/>
            </w:tcBorders>
            <w:shd w:val="clear" w:color="auto" w:fill="auto"/>
            <w:noWrap/>
            <w:vAlign w:val="bottom"/>
            <w:hideMark/>
          </w:tcPr>
          <w:p w14:paraId="2DB015B2"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85</w:t>
            </w:r>
          </w:p>
        </w:tc>
        <w:tc>
          <w:tcPr>
            <w:tcW w:w="960" w:type="dxa"/>
            <w:tcBorders>
              <w:top w:val="nil"/>
              <w:left w:val="nil"/>
              <w:bottom w:val="single" w:sz="4" w:space="0" w:color="auto"/>
              <w:right w:val="single" w:sz="4" w:space="0" w:color="auto"/>
            </w:tcBorders>
            <w:shd w:val="clear" w:color="auto" w:fill="auto"/>
            <w:noWrap/>
            <w:vAlign w:val="bottom"/>
            <w:hideMark/>
          </w:tcPr>
          <w:p w14:paraId="573D08C8"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w:t>
            </w:r>
          </w:p>
        </w:tc>
        <w:tc>
          <w:tcPr>
            <w:tcW w:w="1480" w:type="dxa"/>
            <w:tcBorders>
              <w:top w:val="nil"/>
              <w:left w:val="nil"/>
              <w:bottom w:val="single" w:sz="4" w:space="0" w:color="auto"/>
              <w:right w:val="single" w:sz="4" w:space="0" w:color="auto"/>
            </w:tcBorders>
            <w:shd w:val="clear" w:color="auto" w:fill="auto"/>
            <w:noWrap/>
            <w:vAlign w:val="bottom"/>
            <w:hideMark/>
          </w:tcPr>
          <w:p w14:paraId="5B86C68F"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r>
      <w:tr w:rsidR="004A6671" w:rsidRPr="00E57ACD" w14:paraId="138A4785"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45655FD"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w:t>
            </w:r>
          </w:p>
        </w:tc>
        <w:tc>
          <w:tcPr>
            <w:tcW w:w="960" w:type="dxa"/>
            <w:tcBorders>
              <w:top w:val="nil"/>
              <w:left w:val="nil"/>
              <w:bottom w:val="single" w:sz="4" w:space="0" w:color="auto"/>
              <w:right w:val="single" w:sz="4" w:space="0" w:color="auto"/>
            </w:tcBorders>
            <w:shd w:val="clear" w:color="auto" w:fill="auto"/>
            <w:noWrap/>
            <w:vAlign w:val="bottom"/>
            <w:hideMark/>
          </w:tcPr>
          <w:p w14:paraId="1F2D88BA"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30E31BCA"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w:t>
            </w:r>
          </w:p>
        </w:tc>
        <w:tc>
          <w:tcPr>
            <w:tcW w:w="1480" w:type="dxa"/>
            <w:tcBorders>
              <w:top w:val="nil"/>
              <w:left w:val="nil"/>
              <w:bottom w:val="single" w:sz="4" w:space="0" w:color="auto"/>
              <w:right w:val="single" w:sz="4" w:space="0" w:color="auto"/>
            </w:tcBorders>
            <w:shd w:val="clear" w:color="auto" w:fill="auto"/>
            <w:noWrap/>
            <w:vAlign w:val="bottom"/>
            <w:hideMark/>
          </w:tcPr>
          <w:p w14:paraId="13ADF485"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w:t>
            </w:r>
          </w:p>
        </w:tc>
      </w:tr>
      <w:tr w:rsidR="004A6671" w:rsidRPr="00E57ACD" w14:paraId="7BC9A8C8"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AE66B72"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w:t>
            </w:r>
          </w:p>
        </w:tc>
        <w:tc>
          <w:tcPr>
            <w:tcW w:w="960" w:type="dxa"/>
            <w:tcBorders>
              <w:top w:val="nil"/>
              <w:left w:val="nil"/>
              <w:bottom w:val="single" w:sz="4" w:space="0" w:color="auto"/>
              <w:right w:val="single" w:sz="4" w:space="0" w:color="auto"/>
            </w:tcBorders>
            <w:shd w:val="clear" w:color="auto" w:fill="auto"/>
            <w:noWrap/>
            <w:vAlign w:val="bottom"/>
            <w:hideMark/>
          </w:tcPr>
          <w:p w14:paraId="34B4BBBF"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1493653B"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20</w:t>
            </w:r>
          </w:p>
        </w:tc>
        <w:tc>
          <w:tcPr>
            <w:tcW w:w="1480" w:type="dxa"/>
            <w:tcBorders>
              <w:top w:val="nil"/>
              <w:left w:val="nil"/>
              <w:bottom w:val="single" w:sz="4" w:space="0" w:color="auto"/>
              <w:right w:val="single" w:sz="4" w:space="0" w:color="auto"/>
            </w:tcBorders>
            <w:shd w:val="clear" w:color="auto" w:fill="auto"/>
            <w:noWrap/>
            <w:vAlign w:val="bottom"/>
            <w:hideMark/>
          </w:tcPr>
          <w:p w14:paraId="759F4FEA"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30</w:t>
            </w:r>
          </w:p>
        </w:tc>
      </w:tr>
      <w:tr w:rsidR="004A6671" w:rsidRPr="00E57ACD" w14:paraId="411E3B1C"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5D0CB4"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w:t>
            </w:r>
          </w:p>
        </w:tc>
        <w:tc>
          <w:tcPr>
            <w:tcW w:w="960" w:type="dxa"/>
            <w:tcBorders>
              <w:top w:val="nil"/>
              <w:left w:val="nil"/>
              <w:bottom w:val="single" w:sz="4" w:space="0" w:color="auto"/>
              <w:right w:val="single" w:sz="4" w:space="0" w:color="auto"/>
            </w:tcBorders>
            <w:shd w:val="clear" w:color="auto" w:fill="auto"/>
            <w:noWrap/>
            <w:vAlign w:val="bottom"/>
            <w:hideMark/>
          </w:tcPr>
          <w:p w14:paraId="46BCF53C"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5A18E034"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40</w:t>
            </w:r>
          </w:p>
        </w:tc>
        <w:tc>
          <w:tcPr>
            <w:tcW w:w="1480" w:type="dxa"/>
            <w:tcBorders>
              <w:top w:val="nil"/>
              <w:left w:val="nil"/>
              <w:bottom w:val="single" w:sz="4" w:space="0" w:color="auto"/>
              <w:right w:val="single" w:sz="4" w:space="0" w:color="auto"/>
            </w:tcBorders>
            <w:shd w:val="clear" w:color="auto" w:fill="auto"/>
            <w:noWrap/>
            <w:vAlign w:val="bottom"/>
            <w:hideMark/>
          </w:tcPr>
          <w:p w14:paraId="075E20D5"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70</w:t>
            </w:r>
          </w:p>
        </w:tc>
      </w:tr>
      <w:tr w:rsidR="004A6671" w:rsidRPr="00E57ACD" w14:paraId="0C6BA82C"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FCE6FB2"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w:t>
            </w:r>
          </w:p>
        </w:tc>
        <w:tc>
          <w:tcPr>
            <w:tcW w:w="960" w:type="dxa"/>
            <w:tcBorders>
              <w:top w:val="nil"/>
              <w:left w:val="nil"/>
              <w:bottom w:val="single" w:sz="4" w:space="0" w:color="auto"/>
              <w:right w:val="single" w:sz="4" w:space="0" w:color="auto"/>
            </w:tcBorders>
            <w:shd w:val="clear" w:color="auto" w:fill="auto"/>
            <w:noWrap/>
            <w:vAlign w:val="bottom"/>
            <w:hideMark/>
          </w:tcPr>
          <w:p w14:paraId="6D9FE74A"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2A78E3BE"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55</w:t>
            </w:r>
          </w:p>
        </w:tc>
        <w:tc>
          <w:tcPr>
            <w:tcW w:w="1480" w:type="dxa"/>
            <w:tcBorders>
              <w:top w:val="nil"/>
              <w:left w:val="nil"/>
              <w:bottom w:val="single" w:sz="4" w:space="0" w:color="auto"/>
              <w:right w:val="single" w:sz="4" w:space="0" w:color="auto"/>
            </w:tcBorders>
            <w:shd w:val="clear" w:color="auto" w:fill="auto"/>
            <w:noWrap/>
            <w:vAlign w:val="bottom"/>
            <w:hideMark/>
          </w:tcPr>
          <w:p w14:paraId="7AC5AC30"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125</w:t>
            </w:r>
          </w:p>
        </w:tc>
      </w:tr>
    </w:tbl>
    <w:p w14:paraId="191F67D8" w14:textId="77777777" w:rsidR="004A6671" w:rsidRPr="00E57ACD" w:rsidRDefault="004A6671" w:rsidP="00953755">
      <w:pPr>
        <w:spacing w:line="360" w:lineRule="auto"/>
        <w:jc w:val="both"/>
        <w:rPr>
          <w:rFonts w:ascii="Times New Roman" w:hAnsi="Times New Roman" w:cs="Times New Roman"/>
          <w:sz w:val="24"/>
          <w:szCs w:val="24"/>
        </w:rPr>
      </w:pPr>
    </w:p>
    <w:p w14:paraId="64DF845C" w14:textId="77777777" w:rsidR="004A6671" w:rsidRPr="00E57ACD" w:rsidRDefault="004A6671" w:rsidP="00953755">
      <w:pPr>
        <w:spacing w:line="360" w:lineRule="auto"/>
        <w:jc w:val="both"/>
        <w:rPr>
          <w:rFonts w:ascii="Times New Roman" w:hAnsi="Times New Roman" w:cs="Times New Roman"/>
          <w:b/>
          <w:sz w:val="24"/>
          <w:szCs w:val="24"/>
        </w:rPr>
      </w:pPr>
      <w:r w:rsidRPr="00E57ACD">
        <w:rPr>
          <w:rFonts w:ascii="Times New Roman" w:hAnsi="Times New Roman" w:cs="Times New Roman"/>
          <w:b/>
          <w:sz w:val="24"/>
          <w:szCs w:val="24"/>
        </w:rPr>
        <w:t>Project B:</w:t>
      </w:r>
    </w:p>
    <w:tbl>
      <w:tblPr>
        <w:tblW w:w="4360" w:type="dxa"/>
        <w:tblInd w:w="93" w:type="dxa"/>
        <w:tblLook w:val="04A0" w:firstRow="1" w:lastRow="0" w:firstColumn="1" w:lastColumn="0" w:noHBand="0" w:noVBand="1"/>
      </w:tblPr>
      <w:tblGrid>
        <w:gridCol w:w="960"/>
        <w:gridCol w:w="963"/>
        <w:gridCol w:w="1123"/>
        <w:gridCol w:w="1480"/>
      </w:tblGrid>
      <w:tr w:rsidR="004A6671" w:rsidRPr="00E57ACD" w14:paraId="3E0C38C9" w14:textId="77777777" w:rsidTr="004A6671">
        <w:trPr>
          <w:trHeight w:val="315"/>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E5B4C8"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Year</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055440F"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xml:space="preserve">Cash outflow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220C068"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Cash inflow(£)</w:t>
            </w:r>
          </w:p>
        </w:tc>
        <w:tc>
          <w:tcPr>
            <w:tcW w:w="1480" w:type="dxa"/>
            <w:tcBorders>
              <w:top w:val="single" w:sz="4" w:space="0" w:color="auto"/>
              <w:left w:val="nil"/>
              <w:bottom w:val="single" w:sz="4" w:space="0" w:color="auto"/>
              <w:right w:val="single" w:sz="4" w:space="0" w:color="auto"/>
            </w:tcBorders>
            <w:shd w:val="clear" w:color="auto" w:fill="auto"/>
            <w:noWrap/>
            <w:vAlign w:val="bottom"/>
            <w:hideMark/>
          </w:tcPr>
          <w:p w14:paraId="3D81F7CD"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xml:space="preserve">Cumulative CI </w:t>
            </w:r>
          </w:p>
        </w:tc>
      </w:tr>
      <w:tr w:rsidR="004A6671" w:rsidRPr="00E57ACD" w14:paraId="05E1C5C5"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EB422B"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w:t>
            </w:r>
          </w:p>
        </w:tc>
        <w:tc>
          <w:tcPr>
            <w:tcW w:w="960" w:type="dxa"/>
            <w:tcBorders>
              <w:top w:val="nil"/>
              <w:left w:val="nil"/>
              <w:bottom w:val="single" w:sz="4" w:space="0" w:color="auto"/>
              <w:right w:val="single" w:sz="4" w:space="0" w:color="auto"/>
            </w:tcBorders>
            <w:shd w:val="clear" w:color="auto" w:fill="auto"/>
            <w:noWrap/>
            <w:vAlign w:val="bottom"/>
            <w:hideMark/>
          </w:tcPr>
          <w:p w14:paraId="5D5672F1"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90</w:t>
            </w:r>
          </w:p>
        </w:tc>
        <w:tc>
          <w:tcPr>
            <w:tcW w:w="960" w:type="dxa"/>
            <w:tcBorders>
              <w:top w:val="nil"/>
              <w:left w:val="nil"/>
              <w:bottom w:val="single" w:sz="4" w:space="0" w:color="auto"/>
              <w:right w:val="single" w:sz="4" w:space="0" w:color="auto"/>
            </w:tcBorders>
            <w:shd w:val="clear" w:color="auto" w:fill="auto"/>
            <w:noWrap/>
            <w:vAlign w:val="bottom"/>
            <w:hideMark/>
          </w:tcPr>
          <w:p w14:paraId="58846330"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w:t>
            </w:r>
          </w:p>
        </w:tc>
        <w:tc>
          <w:tcPr>
            <w:tcW w:w="1480" w:type="dxa"/>
            <w:tcBorders>
              <w:top w:val="nil"/>
              <w:left w:val="nil"/>
              <w:bottom w:val="single" w:sz="4" w:space="0" w:color="auto"/>
              <w:right w:val="single" w:sz="4" w:space="0" w:color="auto"/>
            </w:tcBorders>
            <w:shd w:val="clear" w:color="auto" w:fill="auto"/>
            <w:noWrap/>
            <w:vAlign w:val="bottom"/>
            <w:hideMark/>
          </w:tcPr>
          <w:p w14:paraId="69DE07E5"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r>
      <w:tr w:rsidR="004A6671" w:rsidRPr="00E57ACD" w14:paraId="36523CC4"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6CC76B"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2020</w:t>
            </w:r>
          </w:p>
        </w:tc>
        <w:tc>
          <w:tcPr>
            <w:tcW w:w="960" w:type="dxa"/>
            <w:tcBorders>
              <w:top w:val="nil"/>
              <w:left w:val="nil"/>
              <w:bottom w:val="single" w:sz="4" w:space="0" w:color="auto"/>
              <w:right w:val="single" w:sz="4" w:space="0" w:color="auto"/>
            </w:tcBorders>
            <w:shd w:val="clear" w:color="auto" w:fill="auto"/>
            <w:noWrap/>
            <w:vAlign w:val="bottom"/>
            <w:hideMark/>
          </w:tcPr>
          <w:p w14:paraId="052B3E33"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66FDD456"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25</w:t>
            </w:r>
          </w:p>
        </w:tc>
        <w:tc>
          <w:tcPr>
            <w:tcW w:w="1480" w:type="dxa"/>
            <w:tcBorders>
              <w:top w:val="nil"/>
              <w:left w:val="nil"/>
              <w:bottom w:val="single" w:sz="4" w:space="0" w:color="auto"/>
              <w:right w:val="single" w:sz="4" w:space="0" w:color="auto"/>
            </w:tcBorders>
            <w:shd w:val="clear" w:color="auto" w:fill="auto"/>
            <w:noWrap/>
            <w:vAlign w:val="bottom"/>
            <w:hideMark/>
          </w:tcPr>
          <w:p w14:paraId="32C7CEB8"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25</w:t>
            </w:r>
          </w:p>
        </w:tc>
      </w:tr>
      <w:tr w:rsidR="004A6671" w:rsidRPr="00E57ACD" w14:paraId="7ADF8F67"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BF1EF77"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2021</w:t>
            </w:r>
          </w:p>
        </w:tc>
        <w:tc>
          <w:tcPr>
            <w:tcW w:w="960" w:type="dxa"/>
            <w:tcBorders>
              <w:top w:val="nil"/>
              <w:left w:val="nil"/>
              <w:bottom w:val="single" w:sz="4" w:space="0" w:color="auto"/>
              <w:right w:val="single" w:sz="4" w:space="0" w:color="auto"/>
            </w:tcBorders>
            <w:shd w:val="clear" w:color="auto" w:fill="auto"/>
            <w:noWrap/>
            <w:vAlign w:val="bottom"/>
            <w:hideMark/>
          </w:tcPr>
          <w:p w14:paraId="5B7C6DEA"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4F918100"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30</w:t>
            </w:r>
          </w:p>
        </w:tc>
        <w:tc>
          <w:tcPr>
            <w:tcW w:w="1480" w:type="dxa"/>
            <w:tcBorders>
              <w:top w:val="nil"/>
              <w:left w:val="nil"/>
              <w:bottom w:val="single" w:sz="4" w:space="0" w:color="auto"/>
              <w:right w:val="single" w:sz="4" w:space="0" w:color="auto"/>
            </w:tcBorders>
            <w:shd w:val="clear" w:color="auto" w:fill="auto"/>
            <w:noWrap/>
            <w:vAlign w:val="bottom"/>
            <w:hideMark/>
          </w:tcPr>
          <w:p w14:paraId="1C0EB26C"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55</w:t>
            </w:r>
          </w:p>
        </w:tc>
      </w:tr>
      <w:tr w:rsidR="004A6671" w:rsidRPr="00E57ACD" w14:paraId="469B546D"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D8D6F21"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2022</w:t>
            </w:r>
          </w:p>
        </w:tc>
        <w:tc>
          <w:tcPr>
            <w:tcW w:w="960" w:type="dxa"/>
            <w:tcBorders>
              <w:top w:val="nil"/>
              <w:left w:val="nil"/>
              <w:bottom w:val="single" w:sz="4" w:space="0" w:color="auto"/>
              <w:right w:val="single" w:sz="4" w:space="0" w:color="auto"/>
            </w:tcBorders>
            <w:shd w:val="clear" w:color="auto" w:fill="auto"/>
            <w:noWrap/>
            <w:vAlign w:val="bottom"/>
            <w:hideMark/>
          </w:tcPr>
          <w:p w14:paraId="65ED49FC"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5B3C3245"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35</w:t>
            </w:r>
          </w:p>
        </w:tc>
        <w:tc>
          <w:tcPr>
            <w:tcW w:w="1480" w:type="dxa"/>
            <w:tcBorders>
              <w:top w:val="nil"/>
              <w:left w:val="nil"/>
              <w:bottom w:val="single" w:sz="4" w:space="0" w:color="auto"/>
              <w:right w:val="single" w:sz="4" w:space="0" w:color="auto"/>
            </w:tcBorders>
            <w:shd w:val="clear" w:color="auto" w:fill="auto"/>
            <w:noWrap/>
            <w:vAlign w:val="bottom"/>
            <w:hideMark/>
          </w:tcPr>
          <w:p w14:paraId="2F616639"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90</w:t>
            </w:r>
          </w:p>
        </w:tc>
      </w:tr>
      <w:tr w:rsidR="004A6671" w:rsidRPr="00E57ACD" w14:paraId="19F6C04D"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002AA85"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2023</w:t>
            </w:r>
          </w:p>
        </w:tc>
        <w:tc>
          <w:tcPr>
            <w:tcW w:w="960" w:type="dxa"/>
            <w:tcBorders>
              <w:top w:val="nil"/>
              <w:left w:val="nil"/>
              <w:bottom w:val="single" w:sz="4" w:space="0" w:color="auto"/>
              <w:right w:val="single" w:sz="4" w:space="0" w:color="auto"/>
            </w:tcBorders>
            <w:shd w:val="clear" w:color="auto" w:fill="auto"/>
            <w:noWrap/>
            <w:vAlign w:val="bottom"/>
            <w:hideMark/>
          </w:tcPr>
          <w:p w14:paraId="115490C1"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7441E6D2"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40</w:t>
            </w:r>
          </w:p>
        </w:tc>
        <w:tc>
          <w:tcPr>
            <w:tcW w:w="1480" w:type="dxa"/>
            <w:tcBorders>
              <w:top w:val="nil"/>
              <w:left w:val="nil"/>
              <w:bottom w:val="single" w:sz="4" w:space="0" w:color="auto"/>
              <w:right w:val="single" w:sz="4" w:space="0" w:color="auto"/>
            </w:tcBorders>
            <w:shd w:val="clear" w:color="auto" w:fill="auto"/>
            <w:noWrap/>
            <w:vAlign w:val="bottom"/>
            <w:hideMark/>
          </w:tcPr>
          <w:p w14:paraId="1F40F4A9"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130</w:t>
            </w:r>
          </w:p>
        </w:tc>
      </w:tr>
    </w:tbl>
    <w:p w14:paraId="2A3C19B3" w14:textId="77777777" w:rsidR="004A6671" w:rsidRPr="00E57ACD" w:rsidRDefault="004A6671" w:rsidP="00953755">
      <w:pPr>
        <w:spacing w:line="360" w:lineRule="auto"/>
        <w:jc w:val="both"/>
        <w:rPr>
          <w:rFonts w:ascii="Times New Roman" w:hAnsi="Times New Roman" w:cs="Times New Roman"/>
          <w:sz w:val="24"/>
          <w:szCs w:val="24"/>
        </w:rPr>
      </w:pPr>
    </w:p>
    <w:p w14:paraId="5EB2A5B1" w14:textId="77777777" w:rsidR="00BF16B6" w:rsidRPr="00E57ACD" w:rsidRDefault="00BF16B6"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lastRenderedPageBreak/>
        <w:t>Payback period = A + (B/C) (</w:t>
      </w:r>
      <w:r w:rsidRPr="00E57ACD">
        <w:rPr>
          <w:rFonts w:ascii="Times New Roman" w:hAnsi="Times New Roman" w:cs="Times New Roman"/>
          <w:color w:val="222222"/>
          <w:sz w:val="24"/>
          <w:szCs w:val="24"/>
          <w:shd w:val="clear" w:color="auto" w:fill="FFFFFF"/>
        </w:rPr>
        <w:t>Rossi, 2014)</w:t>
      </w:r>
    </w:p>
    <w:tbl>
      <w:tblPr>
        <w:tblStyle w:val="TableGrid"/>
        <w:tblW w:w="0" w:type="auto"/>
        <w:tblLook w:val="04A0" w:firstRow="1" w:lastRow="0" w:firstColumn="1" w:lastColumn="0" w:noHBand="0" w:noVBand="1"/>
      </w:tblPr>
      <w:tblGrid>
        <w:gridCol w:w="4676"/>
        <w:gridCol w:w="4674"/>
      </w:tblGrid>
      <w:tr w:rsidR="00BF16B6" w:rsidRPr="00E57ACD" w14:paraId="3104A8B2" w14:textId="77777777" w:rsidTr="00BF16B6">
        <w:tc>
          <w:tcPr>
            <w:tcW w:w="4788" w:type="dxa"/>
          </w:tcPr>
          <w:p w14:paraId="068B63F3" w14:textId="77777777" w:rsidR="00BF16B6" w:rsidRPr="00E57ACD" w:rsidRDefault="00BF16B6" w:rsidP="00953755">
            <w:pPr>
              <w:spacing w:line="360" w:lineRule="auto"/>
              <w:jc w:val="both"/>
              <w:rPr>
                <w:rFonts w:ascii="Times New Roman" w:hAnsi="Times New Roman" w:cs="Times New Roman"/>
                <w:b/>
                <w:sz w:val="24"/>
                <w:szCs w:val="24"/>
              </w:rPr>
            </w:pPr>
            <w:r w:rsidRPr="00E57ACD">
              <w:rPr>
                <w:rFonts w:ascii="Times New Roman" w:hAnsi="Times New Roman" w:cs="Times New Roman"/>
                <w:b/>
                <w:sz w:val="24"/>
                <w:szCs w:val="24"/>
              </w:rPr>
              <w:t>Project A</w:t>
            </w:r>
          </w:p>
        </w:tc>
        <w:tc>
          <w:tcPr>
            <w:tcW w:w="4788" w:type="dxa"/>
          </w:tcPr>
          <w:p w14:paraId="2C86234A" w14:textId="77777777" w:rsidR="00BF16B6" w:rsidRPr="00E57ACD" w:rsidRDefault="00BF16B6" w:rsidP="00953755">
            <w:pPr>
              <w:spacing w:line="360" w:lineRule="auto"/>
              <w:jc w:val="both"/>
              <w:rPr>
                <w:rFonts w:ascii="Times New Roman" w:hAnsi="Times New Roman" w:cs="Times New Roman"/>
                <w:b/>
                <w:sz w:val="24"/>
                <w:szCs w:val="24"/>
              </w:rPr>
            </w:pPr>
            <w:r w:rsidRPr="00E57ACD">
              <w:rPr>
                <w:rFonts w:ascii="Times New Roman" w:hAnsi="Times New Roman" w:cs="Times New Roman"/>
                <w:b/>
                <w:sz w:val="24"/>
                <w:szCs w:val="24"/>
              </w:rPr>
              <w:t>Project B</w:t>
            </w:r>
          </w:p>
        </w:tc>
      </w:tr>
      <w:tr w:rsidR="00BF16B6" w:rsidRPr="00E57ACD" w14:paraId="5E96B0B4" w14:textId="77777777" w:rsidTr="00BF16B6">
        <w:tc>
          <w:tcPr>
            <w:tcW w:w="4788" w:type="dxa"/>
          </w:tcPr>
          <w:p w14:paraId="1AC89433" w14:textId="77777777" w:rsidR="00BF16B6" w:rsidRPr="00E57ACD" w:rsidRDefault="006D4481"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B = 85-70  =15</w:t>
            </w:r>
          </w:p>
          <w:p w14:paraId="1BEA32B5" w14:textId="77777777" w:rsidR="006D4481" w:rsidRPr="00E57ACD" w:rsidRDefault="006D4481"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A = 3 years</w:t>
            </w:r>
          </w:p>
          <w:p w14:paraId="02A81CDA" w14:textId="77777777" w:rsidR="006D4481" w:rsidRPr="00E57ACD" w:rsidRDefault="006D4481"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C = 55</w:t>
            </w:r>
          </w:p>
          <w:p w14:paraId="06679B89" w14:textId="77777777" w:rsidR="006D4481" w:rsidRPr="00E57ACD" w:rsidRDefault="006D4481"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3+15/55 = 3 .27 Years</w:t>
            </w:r>
          </w:p>
        </w:tc>
        <w:tc>
          <w:tcPr>
            <w:tcW w:w="4788" w:type="dxa"/>
          </w:tcPr>
          <w:p w14:paraId="4FC67D0F" w14:textId="77777777" w:rsidR="006D4481" w:rsidRPr="00E57ACD" w:rsidRDefault="006D4481"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B = 90-90  = 0</w:t>
            </w:r>
          </w:p>
          <w:p w14:paraId="0CB89251" w14:textId="77777777" w:rsidR="006D4481" w:rsidRPr="00E57ACD" w:rsidRDefault="006D4481"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A = 3 years</w:t>
            </w:r>
          </w:p>
          <w:p w14:paraId="1FD1EADF" w14:textId="77777777" w:rsidR="006D4481" w:rsidRPr="00E57ACD" w:rsidRDefault="006D4481"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C = 35</w:t>
            </w:r>
          </w:p>
          <w:p w14:paraId="532C1E63" w14:textId="77777777" w:rsidR="00BF16B6" w:rsidRPr="00E57ACD" w:rsidRDefault="006D4481"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3+0/35 = 3 Years</w:t>
            </w:r>
          </w:p>
        </w:tc>
      </w:tr>
    </w:tbl>
    <w:p w14:paraId="5605C314" w14:textId="77777777" w:rsidR="00BF16B6" w:rsidRPr="00E57ACD" w:rsidRDefault="00BF16B6" w:rsidP="00953755">
      <w:pPr>
        <w:spacing w:line="360" w:lineRule="auto"/>
        <w:jc w:val="both"/>
        <w:rPr>
          <w:rFonts w:ascii="Times New Roman" w:hAnsi="Times New Roman" w:cs="Times New Roman"/>
          <w:sz w:val="24"/>
          <w:szCs w:val="24"/>
        </w:rPr>
      </w:pPr>
    </w:p>
    <w:p w14:paraId="3619C05D" w14:textId="77777777" w:rsidR="004A6671" w:rsidRPr="00E57ACD" w:rsidRDefault="004A6671" w:rsidP="00953755">
      <w:pPr>
        <w:spacing w:line="360" w:lineRule="auto"/>
        <w:jc w:val="both"/>
        <w:rPr>
          <w:rFonts w:ascii="Times New Roman" w:hAnsi="Times New Roman" w:cs="Times New Roman"/>
          <w:b/>
          <w:sz w:val="24"/>
          <w:szCs w:val="24"/>
        </w:rPr>
      </w:pPr>
      <w:r w:rsidRPr="00E57ACD">
        <w:rPr>
          <w:rFonts w:ascii="Times New Roman" w:hAnsi="Times New Roman" w:cs="Times New Roman"/>
          <w:b/>
          <w:sz w:val="24"/>
          <w:szCs w:val="24"/>
        </w:rPr>
        <w:t>Accounting Rate of Return:</w:t>
      </w:r>
    </w:p>
    <w:p w14:paraId="14F5916B" w14:textId="77777777" w:rsidR="009175FC" w:rsidRPr="00E57ACD" w:rsidRDefault="009175FC"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This is </w:t>
      </w:r>
      <w:r w:rsidR="000F1446" w:rsidRPr="00E57ACD">
        <w:rPr>
          <w:rFonts w:ascii="Times New Roman" w:hAnsi="Times New Roman" w:cs="Times New Roman"/>
          <w:sz w:val="24"/>
          <w:szCs w:val="24"/>
        </w:rPr>
        <w:t>a</w:t>
      </w:r>
      <w:r w:rsidRPr="00E57ACD">
        <w:rPr>
          <w:rFonts w:ascii="Times New Roman" w:hAnsi="Times New Roman" w:cs="Times New Roman"/>
          <w:sz w:val="24"/>
          <w:szCs w:val="24"/>
        </w:rPr>
        <w:t xml:space="preserve"> method</w:t>
      </w:r>
      <w:r w:rsidR="000F1446" w:rsidRPr="00E57ACD">
        <w:rPr>
          <w:rFonts w:ascii="Times New Roman" w:hAnsi="Times New Roman" w:cs="Times New Roman"/>
          <w:sz w:val="24"/>
          <w:szCs w:val="24"/>
        </w:rPr>
        <w:t xml:space="preserve"> that </w:t>
      </w:r>
      <w:r w:rsidRPr="00E57ACD">
        <w:rPr>
          <w:rFonts w:ascii="Times New Roman" w:hAnsi="Times New Roman" w:cs="Times New Roman"/>
          <w:sz w:val="24"/>
          <w:szCs w:val="24"/>
        </w:rPr>
        <w:t xml:space="preserve">aids to identify the extent and degree to which the firm can earn profit from the projects over the life of the project. </w:t>
      </w:r>
    </w:p>
    <w:tbl>
      <w:tblPr>
        <w:tblStyle w:val="TableGrid"/>
        <w:tblW w:w="0" w:type="auto"/>
        <w:tblLook w:val="04A0" w:firstRow="1" w:lastRow="0" w:firstColumn="1" w:lastColumn="0" w:noHBand="0" w:noVBand="1"/>
      </w:tblPr>
      <w:tblGrid>
        <w:gridCol w:w="3114"/>
        <w:gridCol w:w="3118"/>
        <w:gridCol w:w="3118"/>
      </w:tblGrid>
      <w:tr w:rsidR="005C46C1" w:rsidRPr="00E57ACD" w14:paraId="3C8088B3" w14:textId="77777777" w:rsidTr="005C46C1">
        <w:tc>
          <w:tcPr>
            <w:tcW w:w="3192" w:type="dxa"/>
          </w:tcPr>
          <w:p w14:paraId="2BD88359" w14:textId="77777777" w:rsidR="005C46C1" w:rsidRPr="00E57ACD" w:rsidRDefault="005C46C1" w:rsidP="00953755">
            <w:pPr>
              <w:spacing w:line="360" w:lineRule="auto"/>
              <w:jc w:val="both"/>
              <w:rPr>
                <w:rFonts w:ascii="Times New Roman" w:hAnsi="Times New Roman" w:cs="Times New Roman"/>
                <w:sz w:val="24"/>
                <w:szCs w:val="24"/>
              </w:rPr>
            </w:pPr>
          </w:p>
        </w:tc>
        <w:tc>
          <w:tcPr>
            <w:tcW w:w="3192" w:type="dxa"/>
          </w:tcPr>
          <w:p w14:paraId="2C33C021" w14:textId="77777777" w:rsidR="005C46C1" w:rsidRPr="00E57ACD" w:rsidRDefault="005C46C1" w:rsidP="00953755">
            <w:pPr>
              <w:spacing w:line="360" w:lineRule="auto"/>
              <w:jc w:val="both"/>
              <w:rPr>
                <w:rFonts w:ascii="Times New Roman" w:hAnsi="Times New Roman" w:cs="Times New Roman"/>
                <w:b/>
                <w:sz w:val="24"/>
                <w:szCs w:val="24"/>
              </w:rPr>
            </w:pPr>
            <w:r w:rsidRPr="00E57ACD">
              <w:rPr>
                <w:rFonts w:ascii="Times New Roman" w:hAnsi="Times New Roman" w:cs="Times New Roman"/>
                <w:b/>
                <w:sz w:val="24"/>
                <w:szCs w:val="24"/>
              </w:rPr>
              <w:t>Project A</w:t>
            </w:r>
          </w:p>
        </w:tc>
        <w:tc>
          <w:tcPr>
            <w:tcW w:w="3192" w:type="dxa"/>
          </w:tcPr>
          <w:p w14:paraId="585E80D0" w14:textId="77777777" w:rsidR="005C46C1" w:rsidRPr="00E57ACD" w:rsidRDefault="005C46C1" w:rsidP="00953755">
            <w:pPr>
              <w:spacing w:line="360" w:lineRule="auto"/>
              <w:jc w:val="both"/>
              <w:rPr>
                <w:rFonts w:ascii="Times New Roman" w:hAnsi="Times New Roman" w:cs="Times New Roman"/>
                <w:b/>
                <w:sz w:val="24"/>
                <w:szCs w:val="24"/>
              </w:rPr>
            </w:pPr>
            <w:r w:rsidRPr="00E57ACD">
              <w:rPr>
                <w:rFonts w:ascii="Times New Roman" w:hAnsi="Times New Roman" w:cs="Times New Roman"/>
                <w:b/>
                <w:sz w:val="24"/>
                <w:szCs w:val="24"/>
              </w:rPr>
              <w:t>Project B</w:t>
            </w:r>
          </w:p>
        </w:tc>
      </w:tr>
      <w:tr w:rsidR="005C46C1" w:rsidRPr="00E57ACD" w14:paraId="66F2AD05" w14:textId="77777777" w:rsidTr="005C46C1">
        <w:tc>
          <w:tcPr>
            <w:tcW w:w="3192" w:type="dxa"/>
          </w:tcPr>
          <w:p w14:paraId="2A090C67" w14:textId="77777777" w:rsidR="005C46C1" w:rsidRPr="00E57ACD" w:rsidRDefault="005C46C1"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Depreciation</w:t>
            </w:r>
          </w:p>
        </w:tc>
        <w:tc>
          <w:tcPr>
            <w:tcW w:w="3192" w:type="dxa"/>
          </w:tcPr>
          <w:p w14:paraId="382D88EF" w14:textId="77777777" w:rsidR="005C46C1" w:rsidRPr="00E57ACD" w:rsidRDefault="00DF2CBD"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85/4 = 21.25</w:t>
            </w:r>
          </w:p>
        </w:tc>
        <w:tc>
          <w:tcPr>
            <w:tcW w:w="3192" w:type="dxa"/>
          </w:tcPr>
          <w:p w14:paraId="45EB1789" w14:textId="77777777" w:rsidR="005C46C1" w:rsidRPr="00E57ACD" w:rsidRDefault="00DF2CBD"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90/4 = 22.5</w:t>
            </w:r>
          </w:p>
        </w:tc>
      </w:tr>
      <w:tr w:rsidR="005C46C1" w:rsidRPr="00E57ACD" w14:paraId="7534114E" w14:textId="77777777" w:rsidTr="005C46C1">
        <w:tc>
          <w:tcPr>
            <w:tcW w:w="3192" w:type="dxa"/>
          </w:tcPr>
          <w:p w14:paraId="06E4993F" w14:textId="77777777" w:rsidR="005C46C1" w:rsidRPr="00E57ACD" w:rsidRDefault="005C46C1"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Average Investment</w:t>
            </w:r>
          </w:p>
        </w:tc>
        <w:tc>
          <w:tcPr>
            <w:tcW w:w="3192" w:type="dxa"/>
          </w:tcPr>
          <w:p w14:paraId="0AD7C61B" w14:textId="77777777" w:rsidR="005C46C1" w:rsidRPr="00E57ACD" w:rsidRDefault="00E87816"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85+0/2 = 42.5</w:t>
            </w:r>
          </w:p>
        </w:tc>
        <w:tc>
          <w:tcPr>
            <w:tcW w:w="3192" w:type="dxa"/>
          </w:tcPr>
          <w:p w14:paraId="12D7A07A" w14:textId="77777777" w:rsidR="005C46C1" w:rsidRPr="00E57ACD" w:rsidRDefault="00E87816"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90+0/2 = 45</w:t>
            </w:r>
          </w:p>
        </w:tc>
      </w:tr>
      <w:tr w:rsidR="005C46C1" w:rsidRPr="00E57ACD" w14:paraId="0325205F" w14:textId="77777777" w:rsidTr="005C46C1">
        <w:tc>
          <w:tcPr>
            <w:tcW w:w="3192" w:type="dxa"/>
          </w:tcPr>
          <w:p w14:paraId="6988C4E2" w14:textId="77777777" w:rsidR="005C46C1" w:rsidRPr="00E57ACD" w:rsidRDefault="005C46C1"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Cash inflow for four years</w:t>
            </w:r>
          </w:p>
        </w:tc>
        <w:tc>
          <w:tcPr>
            <w:tcW w:w="3192" w:type="dxa"/>
          </w:tcPr>
          <w:p w14:paraId="3EF61381" w14:textId="77777777" w:rsidR="005C46C1" w:rsidRPr="00E57ACD" w:rsidRDefault="00B5490B"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125</w:t>
            </w:r>
          </w:p>
        </w:tc>
        <w:tc>
          <w:tcPr>
            <w:tcW w:w="3192" w:type="dxa"/>
          </w:tcPr>
          <w:p w14:paraId="015709F1" w14:textId="77777777" w:rsidR="005C46C1" w:rsidRPr="00E57ACD" w:rsidRDefault="00B5490B"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130</w:t>
            </w:r>
          </w:p>
        </w:tc>
      </w:tr>
      <w:tr w:rsidR="005C46C1" w:rsidRPr="00E57ACD" w14:paraId="3853AA31" w14:textId="77777777" w:rsidTr="005C46C1">
        <w:tc>
          <w:tcPr>
            <w:tcW w:w="3192" w:type="dxa"/>
          </w:tcPr>
          <w:p w14:paraId="42578A5F" w14:textId="77777777" w:rsidR="005C46C1" w:rsidRPr="00E57ACD" w:rsidRDefault="005C46C1"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Net profit margin</w:t>
            </w:r>
          </w:p>
        </w:tc>
        <w:tc>
          <w:tcPr>
            <w:tcW w:w="3192" w:type="dxa"/>
          </w:tcPr>
          <w:p w14:paraId="336423C8" w14:textId="77777777" w:rsidR="005C46C1" w:rsidRPr="00E57ACD" w:rsidRDefault="00216D6D"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61.25</w:t>
            </w:r>
          </w:p>
        </w:tc>
        <w:tc>
          <w:tcPr>
            <w:tcW w:w="3192" w:type="dxa"/>
          </w:tcPr>
          <w:p w14:paraId="23BD82E7" w14:textId="77777777" w:rsidR="005C46C1" w:rsidRPr="00E57ACD" w:rsidRDefault="00216D6D"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62.5</w:t>
            </w:r>
          </w:p>
        </w:tc>
      </w:tr>
      <w:tr w:rsidR="005C46C1" w:rsidRPr="00E57ACD" w14:paraId="74F883CF" w14:textId="77777777" w:rsidTr="005C46C1">
        <w:tc>
          <w:tcPr>
            <w:tcW w:w="3192" w:type="dxa"/>
          </w:tcPr>
          <w:p w14:paraId="7CB4DE35" w14:textId="77777777" w:rsidR="005C46C1" w:rsidRPr="00E57ACD" w:rsidRDefault="005C46C1"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Average Profit </w:t>
            </w:r>
          </w:p>
        </w:tc>
        <w:tc>
          <w:tcPr>
            <w:tcW w:w="3192" w:type="dxa"/>
          </w:tcPr>
          <w:p w14:paraId="41BD913D" w14:textId="77777777" w:rsidR="005C46C1" w:rsidRPr="00E57ACD" w:rsidRDefault="00216D6D"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61.25/4 = 15.31</w:t>
            </w:r>
          </w:p>
        </w:tc>
        <w:tc>
          <w:tcPr>
            <w:tcW w:w="3192" w:type="dxa"/>
          </w:tcPr>
          <w:p w14:paraId="20799FE9" w14:textId="77777777" w:rsidR="005C46C1" w:rsidRPr="00E57ACD" w:rsidRDefault="00216D6D"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15.62</w:t>
            </w:r>
          </w:p>
        </w:tc>
      </w:tr>
      <w:tr w:rsidR="005C46C1" w:rsidRPr="00E57ACD" w14:paraId="348D635C" w14:textId="77777777" w:rsidTr="005C46C1">
        <w:tc>
          <w:tcPr>
            <w:tcW w:w="3192" w:type="dxa"/>
          </w:tcPr>
          <w:p w14:paraId="7CE5980D" w14:textId="77777777" w:rsidR="005C46C1" w:rsidRPr="00E57ACD" w:rsidRDefault="005C46C1"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ARR</w:t>
            </w:r>
          </w:p>
        </w:tc>
        <w:tc>
          <w:tcPr>
            <w:tcW w:w="3192" w:type="dxa"/>
          </w:tcPr>
          <w:p w14:paraId="0F0734AB" w14:textId="77777777" w:rsidR="00216D6D" w:rsidRPr="00E57ACD" w:rsidRDefault="00216D6D"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15.31/85*100</w:t>
            </w:r>
          </w:p>
          <w:p w14:paraId="227C4709" w14:textId="77777777" w:rsidR="005C46C1" w:rsidRPr="00E57ACD" w:rsidRDefault="00216D6D"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 = 18.01%</w:t>
            </w:r>
          </w:p>
        </w:tc>
        <w:tc>
          <w:tcPr>
            <w:tcW w:w="3192" w:type="dxa"/>
          </w:tcPr>
          <w:p w14:paraId="14BDDF9E" w14:textId="77777777" w:rsidR="00216D6D" w:rsidRPr="00E57ACD" w:rsidRDefault="00216D6D"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15.62/90*100 </w:t>
            </w:r>
          </w:p>
          <w:p w14:paraId="53385E7A" w14:textId="77777777" w:rsidR="005C46C1" w:rsidRPr="00E57ACD" w:rsidRDefault="00216D6D"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17.36%</w:t>
            </w:r>
          </w:p>
        </w:tc>
      </w:tr>
    </w:tbl>
    <w:p w14:paraId="2F298F9F" w14:textId="77777777" w:rsidR="00E752F2" w:rsidRPr="00E57ACD" w:rsidRDefault="00E752F2"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From the analysis, it can be stated that the ARR of Project B is quite </w:t>
      </w:r>
      <w:r w:rsidR="00620496" w:rsidRPr="00E57ACD">
        <w:rPr>
          <w:rFonts w:ascii="Times New Roman" w:hAnsi="Times New Roman" w:cs="Times New Roman"/>
          <w:sz w:val="24"/>
          <w:szCs w:val="24"/>
        </w:rPr>
        <w:t>lesser</w:t>
      </w:r>
      <w:r w:rsidRPr="00E57ACD">
        <w:rPr>
          <w:rFonts w:ascii="Times New Roman" w:hAnsi="Times New Roman" w:cs="Times New Roman"/>
          <w:sz w:val="24"/>
          <w:szCs w:val="24"/>
        </w:rPr>
        <w:t xml:space="preserve"> </w:t>
      </w:r>
      <w:r w:rsidR="00620496" w:rsidRPr="00E57ACD">
        <w:rPr>
          <w:rFonts w:ascii="Times New Roman" w:hAnsi="Times New Roman" w:cs="Times New Roman"/>
          <w:sz w:val="24"/>
          <w:szCs w:val="24"/>
        </w:rPr>
        <w:t xml:space="preserve">than the ARR for Project A. It means the profit of project A is higher </w:t>
      </w:r>
      <w:r w:rsidR="000F1446" w:rsidRPr="00E57ACD">
        <w:rPr>
          <w:rFonts w:ascii="Times New Roman" w:hAnsi="Times New Roman" w:cs="Times New Roman"/>
          <w:sz w:val="24"/>
          <w:szCs w:val="24"/>
        </w:rPr>
        <w:t>than</w:t>
      </w:r>
      <w:r w:rsidR="00620496" w:rsidRPr="00E57ACD">
        <w:rPr>
          <w:rFonts w:ascii="Times New Roman" w:hAnsi="Times New Roman" w:cs="Times New Roman"/>
          <w:sz w:val="24"/>
          <w:szCs w:val="24"/>
        </w:rPr>
        <w:t xml:space="preserve"> Project B that may improve the return on the investment.</w:t>
      </w:r>
    </w:p>
    <w:p w14:paraId="6877A060" w14:textId="77777777" w:rsidR="004A6671" w:rsidRPr="00E57ACD" w:rsidRDefault="004A6671" w:rsidP="00953755">
      <w:pPr>
        <w:spacing w:line="360" w:lineRule="auto"/>
        <w:jc w:val="both"/>
        <w:rPr>
          <w:rFonts w:ascii="Times New Roman" w:hAnsi="Times New Roman" w:cs="Times New Roman"/>
          <w:b/>
          <w:sz w:val="24"/>
          <w:szCs w:val="24"/>
        </w:rPr>
      </w:pPr>
      <w:r w:rsidRPr="00E57ACD">
        <w:rPr>
          <w:rFonts w:ascii="Times New Roman" w:hAnsi="Times New Roman" w:cs="Times New Roman"/>
          <w:sz w:val="24"/>
          <w:szCs w:val="24"/>
        </w:rPr>
        <w:br/>
      </w:r>
      <w:r w:rsidRPr="00E57ACD">
        <w:rPr>
          <w:rFonts w:ascii="Times New Roman" w:hAnsi="Times New Roman" w:cs="Times New Roman"/>
          <w:b/>
          <w:sz w:val="24"/>
          <w:szCs w:val="24"/>
        </w:rPr>
        <w:t>Net Present Value:</w:t>
      </w:r>
    </w:p>
    <w:p w14:paraId="50506601" w14:textId="77777777" w:rsidR="00E46325" w:rsidRPr="00E57ACD" w:rsidRDefault="00DD505B"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This is stated as the profitability from the project that is achieved by subtracting the initial investment from the total of the present values of the cash inflows over the years. </w:t>
      </w:r>
      <w:r w:rsidR="000F1446" w:rsidRPr="00E57ACD">
        <w:rPr>
          <w:rFonts w:ascii="Times New Roman" w:hAnsi="Times New Roman" w:cs="Times New Roman"/>
          <w:sz w:val="24"/>
          <w:szCs w:val="24"/>
        </w:rPr>
        <w:t>A n</w:t>
      </w:r>
      <w:r w:rsidR="00DB5866" w:rsidRPr="00E57ACD">
        <w:rPr>
          <w:rFonts w:ascii="Times New Roman" w:hAnsi="Times New Roman" w:cs="Times New Roman"/>
          <w:sz w:val="24"/>
          <w:szCs w:val="24"/>
        </w:rPr>
        <w:t xml:space="preserve">et present value analysis of the projects may aid to determine the potential of the projects for generating good profitability </w:t>
      </w:r>
      <w:r w:rsidR="000F1446" w:rsidRPr="00E57ACD">
        <w:rPr>
          <w:rFonts w:ascii="Times New Roman" w:hAnsi="Times New Roman" w:cs="Times New Roman"/>
          <w:sz w:val="24"/>
          <w:szCs w:val="24"/>
        </w:rPr>
        <w:t>for</w:t>
      </w:r>
      <w:r w:rsidR="00DB5866" w:rsidRPr="00E57ACD">
        <w:rPr>
          <w:rFonts w:ascii="Times New Roman" w:hAnsi="Times New Roman" w:cs="Times New Roman"/>
          <w:sz w:val="24"/>
          <w:szCs w:val="24"/>
        </w:rPr>
        <w:t xml:space="preserve"> the business</w:t>
      </w:r>
      <w:r w:rsidR="00492DE9" w:rsidRPr="00E57ACD">
        <w:rPr>
          <w:rFonts w:ascii="Times New Roman" w:hAnsi="Times New Roman" w:cs="Times New Roman"/>
          <w:sz w:val="24"/>
          <w:szCs w:val="24"/>
        </w:rPr>
        <w:t xml:space="preserve"> </w:t>
      </w:r>
      <w:r w:rsidR="00492DE9" w:rsidRPr="00E57ACD">
        <w:rPr>
          <w:rFonts w:ascii="Times New Roman" w:eastAsia="Times New Roman" w:hAnsi="Times New Roman" w:cs="Times New Roman"/>
          <w:color w:val="222222"/>
          <w:sz w:val="24"/>
          <w:szCs w:val="24"/>
          <w:lang w:val="en-GB"/>
        </w:rPr>
        <w:t>(</w:t>
      </w:r>
      <w:r w:rsidR="00492DE9" w:rsidRPr="00E57ACD">
        <w:rPr>
          <w:rFonts w:ascii="Times New Roman" w:hAnsi="Times New Roman" w:cs="Times New Roman"/>
          <w:color w:val="222222"/>
          <w:sz w:val="24"/>
          <w:szCs w:val="24"/>
          <w:shd w:val="clear" w:color="auto" w:fill="FFFFFF"/>
        </w:rPr>
        <w:t>Titman et al., 2017)</w:t>
      </w:r>
      <w:r w:rsidR="00DB5866" w:rsidRPr="00E57ACD">
        <w:rPr>
          <w:rFonts w:ascii="Times New Roman" w:hAnsi="Times New Roman" w:cs="Times New Roman"/>
          <w:sz w:val="24"/>
          <w:szCs w:val="24"/>
        </w:rPr>
        <w:t xml:space="preserve">. </w:t>
      </w:r>
    </w:p>
    <w:p w14:paraId="37661A1E" w14:textId="77777777" w:rsidR="004A6671" w:rsidRPr="00E57ACD" w:rsidRDefault="004A6671" w:rsidP="00953755">
      <w:pPr>
        <w:spacing w:line="360" w:lineRule="auto"/>
        <w:jc w:val="both"/>
        <w:rPr>
          <w:rFonts w:ascii="Times New Roman" w:hAnsi="Times New Roman" w:cs="Times New Roman"/>
          <w:b/>
          <w:sz w:val="24"/>
          <w:szCs w:val="24"/>
        </w:rPr>
      </w:pPr>
      <w:r w:rsidRPr="00E57ACD">
        <w:rPr>
          <w:rFonts w:ascii="Times New Roman" w:hAnsi="Times New Roman" w:cs="Times New Roman"/>
          <w:b/>
          <w:sz w:val="24"/>
          <w:szCs w:val="24"/>
        </w:rPr>
        <w:lastRenderedPageBreak/>
        <w:t>Project A:</w:t>
      </w:r>
    </w:p>
    <w:tbl>
      <w:tblPr>
        <w:tblW w:w="6726" w:type="dxa"/>
        <w:tblInd w:w="93" w:type="dxa"/>
        <w:tblLook w:val="04A0" w:firstRow="1" w:lastRow="0" w:firstColumn="1" w:lastColumn="0" w:noHBand="0" w:noVBand="1"/>
      </w:tblPr>
      <w:tblGrid>
        <w:gridCol w:w="960"/>
        <w:gridCol w:w="1380"/>
        <w:gridCol w:w="1478"/>
        <w:gridCol w:w="1912"/>
        <w:gridCol w:w="996"/>
      </w:tblGrid>
      <w:tr w:rsidR="004A6671" w:rsidRPr="00E57ACD" w14:paraId="48C296D2" w14:textId="77777777" w:rsidTr="004A6671">
        <w:trPr>
          <w:trHeight w:val="315"/>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04BDFF"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380" w:type="dxa"/>
            <w:tcBorders>
              <w:top w:val="single" w:sz="4" w:space="0" w:color="auto"/>
              <w:left w:val="nil"/>
              <w:bottom w:val="single" w:sz="4" w:space="0" w:color="auto"/>
              <w:right w:val="single" w:sz="4" w:space="0" w:color="auto"/>
            </w:tcBorders>
            <w:shd w:val="clear" w:color="auto" w:fill="auto"/>
            <w:noWrap/>
            <w:vAlign w:val="bottom"/>
            <w:hideMark/>
          </w:tcPr>
          <w:p w14:paraId="47F9DC51"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4386" w:type="dxa"/>
            <w:gridSpan w:val="3"/>
            <w:tcBorders>
              <w:top w:val="single" w:sz="4" w:space="0" w:color="auto"/>
              <w:left w:val="nil"/>
              <w:bottom w:val="single" w:sz="4" w:space="0" w:color="auto"/>
              <w:right w:val="single" w:sz="4" w:space="0" w:color="auto"/>
            </w:tcBorders>
            <w:shd w:val="clear" w:color="auto" w:fill="auto"/>
            <w:noWrap/>
            <w:vAlign w:val="bottom"/>
            <w:hideMark/>
          </w:tcPr>
          <w:p w14:paraId="5785F2DB"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NPV</w:t>
            </w:r>
          </w:p>
        </w:tc>
      </w:tr>
      <w:tr w:rsidR="004A6671" w:rsidRPr="00E57ACD" w14:paraId="68C481E1"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20D944"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Year</w:t>
            </w:r>
          </w:p>
        </w:tc>
        <w:tc>
          <w:tcPr>
            <w:tcW w:w="1380" w:type="dxa"/>
            <w:tcBorders>
              <w:top w:val="nil"/>
              <w:left w:val="nil"/>
              <w:bottom w:val="single" w:sz="4" w:space="0" w:color="auto"/>
              <w:right w:val="single" w:sz="4" w:space="0" w:color="auto"/>
            </w:tcBorders>
            <w:shd w:val="clear" w:color="auto" w:fill="auto"/>
            <w:noWrap/>
            <w:vAlign w:val="bottom"/>
            <w:hideMark/>
          </w:tcPr>
          <w:p w14:paraId="433C03E2"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xml:space="preserve">Cash outflow </w:t>
            </w:r>
          </w:p>
        </w:tc>
        <w:tc>
          <w:tcPr>
            <w:tcW w:w="1478" w:type="dxa"/>
            <w:tcBorders>
              <w:top w:val="nil"/>
              <w:left w:val="nil"/>
              <w:bottom w:val="single" w:sz="4" w:space="0" w:color="auto"/>
              <w:right w:val="single" w:sz="4" w:space="0" w:color="auto"/>
            </w:tcBorders>
            <w:shd w:val="clear" w:color="auto" w:fill="auto"/>
            <w:noWrap/>
            <w:vAlign w:val="bottom"/>
            <w:hideMark/>
          </w:tcPr>
          <w:p w14:paraId="706DCA71"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Cash inflow(£)</w:t>
            </w:r>
          </w:p>
        </w:tc>
        <w:tc>
          <w:tcPr>
            <w:tcW w:w="1912" w:type="dxa"/>
            <w:tcBorders>
              <w:top w:val="nil"/>
              <w:left w:val="nil"/>
              <w:bottom w:val="single" w:sz="4" w:space="0" w:color="auto"/>
              <w:right w:val="single" w:sz="4" w:space="0" w:color="auto"/>
            </w:tcBorders>
            <w:shd w:val="clear" w:color="auto" w:fill="auto"/>
            <w:noWrap/>
            <w:vAlign w:val="bottom"/>
            <w:hideMark/>
          </w:tcPr>
          <w:p w14:paraId="3EFC4CFC"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PV Factor @10.5%</w:t>
            </w:r>
          </w:p>
        </w:tc>
        <w:tc>
          <w:tcPr>
            <w:tcW w:w="996" w:type="dxa"/>
            <w:tcBorders>
              <w:top w:val="nil"/>
              <w:left w:val="nil"/>
              <w:bottom w:val="single" w:sz="4" w:space="0" w:color="auto"/>
              <w:right w:val="single" w:sz="4" w:space="0" w:color="auto"/>
            </w:tcBorders>
            <w:shd w:val="clear" w:color="auto" w:fill="auto"/>
            <w:noWrap/>
            <w:vAlign w:val="bottom"/>
            <w:hideMark/>
          </w:tcPr>
          <w:p w14:paraId="702223CE"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NPV (£)</w:t>
            </w:r>
          </w:p>
        </w:tc>
      </w:tr>
      <w:tr w:rsidR="004A6671" w:rsidRPr="00E57ACD" w14:paraId="3667B540"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5B7923E"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w:t>
            </w:r>
          </w:p>
        </w:tc>
        <w:tc>
          <w:tcPr>
            <w:tcW w:w="1380" w:type="dxa"/>
            <w:tcBorders>
              <w:top w:val="nil"/>
              <w:left w:val="nil"/>
              <w:bottom w:val="single" w:sz="4" w:space="0" w:color="auto"/>
              <w:right w:val="single" w:sz="4" w:space="0" w:color="auto"/>
            </w:tcBorders>
            <w:shd w:val="clear" w:color="auto" w:fill="auto"/>
            <w:noWrap/>
            <w:vAlign w:val="bottom"/>
            <w:hideMark/>
          </w:tcPr>
          <w:p w14:paraId="7E7237E0"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85</w:t>
            </w:r>
          </w:p>
        </w:tc>
        <w:tc>
          <w:tcPr>
            <w:tcW w:w="1478" w:type="dxa"/>
            <w:tcBorders>
              <w:top w:val="nil"/>
              <w:left w:val="nil"/>
              <w:bottom w:val="single" w:sz="4" w:space="0" w:color="auto"/>
              <w:right w:val="single" w:sz="4" w:space="0" w:color="auto"/>
            </w:tcBorders>
            <w:shd w:val="clear" w:color="auto" w:fill="auto"/>
            <w:noWrap/>
            <w:vAlign w:val="bottom"/>
            <w:hideMark/>
          </w:tcPr>
          <w:p w14:paraId="7ED68707"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w:t>
            </w:r>
          </w:p>
        </w:tc>
        <w:tc>
          <w:tcPr>
            <w:tcW w:w="1912" w:type="dxa"/>
            <w:tcBorders>
              <w:top w:val="nil"/>
              <w:left w:val="nil"/>
              <w:bottom w:val="single" w:sz="4" w:space="0" w:color="auto"/>
              <w:right w:val="single" w:sz="4" w:space="0" w:color="auto"/>
            </w:tcBorders>
            <w:shd w:val="clear" w:color="auto" w:fill="auto"/>
            <w:noWrap/>
            <w:vAlign w:val="bottom"/>
            <w:hideMark/>
          </w:tcPr>
          <w:p w14:paraId="07072516"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w:t>
            </w:r>
          </w:p>
        </w:tc>
        <w:tc>
          <w:tcPr>
            <w:tcW w:w="996" w:type="dxa"/>
            <w:tcBorders>
              <w:top w:val="nil"/>
              <w:left w:val="nil"/>
              <w:bottom w:val="single" w:sz="4" w:space="0" w:color="auto"/>
              <w:right w:val="single" w:sz="4" w:space="0" w:color="auto"/>
            </w:tcBorders>
            <w:shd w:val="clear" w:color="auto" w:fill="auto"/>
            <w:noWrap/>
            <w:vAlign w:val="bottom"/>
            <w:hideMark/>
          </w:tcPr>
          <w:p w14:paraId="3826751D"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w:t>
            </w:r>
          </w:p>
        </w:tc>
      </w:tr>
      <w:tr w:rsidR="004A6671" w:rsidRPr="00E57ACD" w14:paraId="7398507B"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3A11850"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w:t>
            </w:r>
          </w:p>
        </w:tc>
        <w:tc>
          <w:tcPr>
            <w:tcW w:w="1380" w:type="dxa"/>
            <w:tcBorders>
              <w:top w:val="nil"/>
              <w:left w:val="nil"/>
              <w:bottom w:val="single" w:sz="4" w:space="0" w:color="auto"/>
              <w:right w:val="single" w:sz="4" w:space="0" w:color="auto"/>
            </w:tcBorders>
            <w:shd w:val="clear" w:color="auto" w:fill="auto"/>
            <w:noWrap/>
            <w:vAlign w:val="bottom"/>
            <w:hideMark/>
          </w:tcPr>
          <w:p w14:paraId="162E9A85"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8" w:type="dxa"/>
            <w:tcBorders>
              <w:top w:val="nil"/>
              <w:left w:val="nil"/>
              <w:bottom w:val="single" w:sz="4" w:space="0" w:color="auto"/>
              <w:right w:val="single" w:sz="4" w:space="0" w:color="auto"/>
            </w:tcBorders>
            <w:shd w:val="clear" w:color="auto" w:fill="auto"/>
            <w:noWrap/>
            <w:vAlign w:val="bottom"/>
            <w:hideMark/>
          </w:tcPr>
          <w:p w14:paraId="14EA918C"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w:t>
            </w:r>
          </w:p>
        </w:tc>
        <w:tc>
          <w:tcPr>
            <w:tcW w:w="1912" w:type="dxa"/>
            <w:tcBorders>
              <w:top w:val="nil"/>
              <w:left w:val="nil"/>
              <w:bottom w:val="single" w:sz="4" w:space="0" w:color="auto"/>
              <w:right w:val="single" w:sz="4" w:space="0" w:color="auto"/>
            </w:tcBorders>
            <w:shd w:val="clear" w:color="auto" w:fill="auto"/>
            <w:noWrap/>
            <w:vAlign w:val="center"/>
            <w:hideMark/>
          </w:tcPr>
          <w:p w14:paraId="05DE684D"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0.905</w:t>
            </w:r>
          </w:p>
        </w:tc>
        <w:tc>
          <w:tcPr>
            <w:tcW w:w="996" w:type="dxa"/>
            <w:tcBorders>
              <w:top w:val="nil"/>
              <w:left w:val="nil"/>
              <w:bottom w:val="single" w:sz="4" w:space="0" w:color="auto"/>
              <w:right w:val="single" w:sz="4" w:space="0" w:color="auto"/>
            </w:tcBorders>
            <w:shd w:val="clear" w:color="auto" w:fill="auto"/>
            <w:noWrap/>
            <w:vAlign w:val="bottom"/>
            <w:hideMark/>
          </w:tcPr>
          <w:p w14:paraId="40540D8A"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9.04977</w:t>
            </w:r>
          </w:p>
        </w:tc>
      </w:tr>
      <w:tr w:rsidR="004A6671" w:rsidRPr="00E57ACD" w14:paraId="67B36046"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54675C"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w:t>
            </w:r>
          </w:p>
        </w:tc>
        <w:tc>
          <w:tcPr>
            <w:tcW w:w="1380" w:type="dxa"/>
            <w:tcBorders>
              <w:top w:val="nil"/>
              <w:left w:val="nil"/>
              <w:bottom w:val="single" w:sz="4" w:space="0" w:color="auto"/>
              <w:right w:val="single" w:sz="4" w:space="0" w:color="auto"/>
            </w:tcBorders>
            <w:shd w:val="clear" w:color="auto" w:fill="auto"/>
            <w:noWrap/>
            <w:vAlign w:val="bottom"/>
            <w:hideMark/>
          </w:tcPr>
          <w:p w14:paraId="020E04D3"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8" w:type="dxa"/>
            <w:tcBorders>
              <w:top w:val="nil"/>
              <w:left w:val="nil"/>
              <w:bottom w:val="single" w:sz="4" w:space="0" w:color="auto"/>
              <w:right w:val="single" w:sz="4" w:space="0" w:color="auto"/>
            </w:tcBorders>
            <w:shd w:val="clear" w:color="auto" w:fill="auto"/>
            <w:noWrap/>
            <w:vAlign w:val="bottom"/>
            <w:hideMark/>
          </w:tcPr>
          <w:p w14:paraId="6EDBC24E"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20</w:t>
            </w:r>
          </w:p>
        </w:tc>
        <w:tc>
          <w:tcPr>
            <w:tcW w:w="1912" w:type="dxa"/>
            <w:tcBorders>
              <w:top w:val="nil"/>
              <w:left w:val="nil"/>
              <w:bottom w:val="single" w:sz="4" w:space="0" w:color="auto"/>
              <w:right w:val="single" w:sz="4" w:space="0" w:color="auto"/>
            </w:tcBorders>
            <w:shd w:val="clear" w:color="auto" w:fill="auto"/>
            <w:noWrap/>
            <w:vAlign w:val="center"/>
            <w:hideMark/>
          </w:tcPr>
          <w:p w14:paraId="7FBA1841"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0.819</w:t>
            </w:r>
          </w:p>
        </w:tc>
        <w:tc>
          <w:tcPr>
            <w:tcW w:w="996" w:type="dxa"/>
            <w:tcBorders>
              <w:top w:val="nil"/>
              <w:left w:val="nil"/>
              <w:bottom w:val="single" w:sz="4" w:space="0" w:color="auto"/>
              <w:right w:val="single" w:sz="4" w:space="0" w:color="auto"/>
            </w:tcBorders>
            <w:shd w:val="clear" w:color="auto" w:fill="auto"/>
            <w:noWrap/>
            <w:vAlign w:val="bottom"/>
            <w:hideMark/>
          </w:tcPr>
          <w:p w14:paraId="2141785E"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16.3797</w:t>
            </w:r>
          </w:p>
        </w:tc>
      </w:tr>
      <w:tr w:rsidR="004A6671" w:rsidRPr="00E57ACD" w14:paraId="1C540E18"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814B1F"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w:t>
            </w:r>
          </w:p>
        </w:tc>
        <w:tc>
          <w:tcPr>
            <w:tcW w:w="1380" w:type="dxa"/>
            <w:tcBorders>
              <w:top w:val="nil"/>
              <w:left w:val="nil"/>
              <w:bottom w:val="single" w:sz="4" w:space="0" w:color="auto"/>
              <w:right w:val="single" w:sz="4" w:space="0" w:color="auto"/>
            </w:tcBorders>
            <w:shd w:val="clear" w:color="auto" w:fill="auto"/>
            <w:noWrap/>
            <w:vAlign w:val="bottom"/>
            <w:hideMark/>
          </w:tcPr>
          <w:p w14:paraId="662BE177"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8" w:type="dxa"/>
            <w:tcBorders>
              <w:top w:val="nil"/>
              <w:left w:val="nil"/>
              <w:bottom w:val="single" w:sz="4" w:space="0" w:color="auto"/>
              <w:right w:val="single" w:sz="4" w:space="0" w:color="auto"/>
            </w:tcBorders>
            <w:shd w:val="clear" w:color="auto" w:fill="auto"/>
            <w:noWrap/>
            <w:vAlign w:val="bottom"/>
            <w:hideMark/>
          </w:tcPr>
          <w:p w14:paraId="3C758013"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40</w:t>
            </w:r>
          </w:p>
        </w:tc>
        <w:tc>
          <w:tcPr>
            <w:tcW w:w="1912" w:type="dxa"/>
            <w:tcBorders>
              <w:top w:val="nil"/>
              <w:left w:val="nil"/>
              <w:bottom w:val="single" w:sz="4" w:space="0" w:color="auto"/>
              <w:right w:val="single" w:sz="4" w:space="0" w:color="auto"/>
            </w:tcBorders>
            <w:shd w:val="clear" w:color="auto" w:fill="auto"/>
            <w:noWrap/>
            <w:vAlign w:val="center"/>
            <w:hideMark/>
          </w:tcPr>
          <w:p w14:paraId="02BF3DAF"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0.741</w:t>
            </w:r>
          </w:p>
        </w:tc>
        <w:tc>
          <w:tcPr>
            <w:tcW w:w="996" w:type="dxa"/>
            <w:tcBorders>
              <w:top w:val="nil"/>
              <w:left w:val="nil"/>
              <w:bottom w:val="single" w:sz="4" w:space="0" w:color="auto"/>
              <w:right w:val="single" w:sz="4" w:space="0" w:color="auto"/>
            </w:tcBorders>
            <w:shd w:val="clear" w:color="auto" w:fill="auto"/>
            <w:noWrap/>
            <w:vAlign w:val="bottom"/>
            <w:hideMark/>
          </w:tcPr>
          <w:p w14:paraId="7DAE21CF"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29.6465</w:t>
            </w:r>
          </w:p>
        </w:tc>
      </w:tr>
      <w:tr w:rsidR="004A6671" w:rsidRPr="00E57ACD" w14:paraId="58C548AD"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AD7DEB"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w:t>
            </w:r>
          </w:p>
        </w:tc>
        <w:tc>
          <w:tcPr>
            <w:tcW w:w="1380" w:type="dxa"/>
            <w:tcBorders>
              <w:top w:val="nil"/>
              <w:left w:val="nil"/>
              <w:bottom w:val="single" w:sz="4" w:space="0" w:color="auto"/>
              <w:right w:val="single" w:sz="4" w:space="0" w:color="auto"/>
            </w:tcBorders>
            <w:shd w:val="clear" w:color="auto" w:fill="auto"/>
            <w:noWrap/>
            <w:vAlign w:val="bottom"/>
            <w:hideMark/>
          </w:tcPr>
          <w:p w14:paraId="1DC479FD"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8" w:type="dxa"/>
            <w:tcBorders>
              <w:top w:val="nil"/>
              <w:left w:val="nil"/>
              <w:bottom w:val="single" w:sz="4" w:space="0" w:color="auto"/>
              <w:right w:val="single" w:sz="4" w:space="0" w:color="auto"/>
            </w:tcBorders>
            <w:shd w:val="clear" w:color="auto" w:fill="auto"/>
            <w:noWrap/>
            <w:vAlign w:val="bottom"/>
            <w:hideMark/>
          </w:tcPr>
          <w:p w14:paraId="15889BAE"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55</w:t>
            </w:r>
          </w:p>
        </w:tc>
        <w:tc>
          <w:tcPr>
            <w:tcW w:w="1912" w:type="dxa"/>
            <w:tcBorders>
              <w:top w:val="nil"/>
              <w:left w:val="nil"/>
              <w:bottom w:val="single" w:sz="4" w:space="0" w:color="auto"/>
              <w:right w:val="single" w:sz="4" w:space="0" w:color="auto"/>
            </w:tcBorders>
            <w:shd w:val="clear" w:color="auto" w:fill="auto"/>
            <w:noWrap/>
            <w:vAlign w:val="center"/>
            <w:hideMark/>
          </w:tcPr>
          <w:p w14:paraId="34C9219A"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0.671</w:t>
            </w:r>
          </w:p>
        </w:tc>
        <w:tc>
          <w:tcPr>
            <w:tcW w:w="996" w:type="dxa"/>
            <w:tcBorders>
              <w:top w:val="nil"/>
              <w:left w:val="nil"/>
              <w:bottom w:val="single" w:sz="4" w:space="0" w:color="auto"/>
              <w:right w:val="single" w:sz="4" w:space="0" w:color="auto"/>
            </w:tcBorders>
            <w:shd w:val="clear" w:color="auto" w:fill="auto"/>
            <w:noWrap/>
            <w:vAlign w:val="bottom"/>
            <w:hideMark/>
          </w:tcPr>
          <w:p w14:paraId="231ADE0C"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36.8904</w:t>
            </w:r>
          </w:p>
        </w:tc>
      </w:tr>
      <w:tr w:rsidR="004A6671" w:rsidRPr="00E57ACD" w14:paraId="46B0A1F7"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381F848"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380" w:type="dxa"/>
            <w:tcBorders>
              <w:top w:val="nil"/>
              <w:left w:val="nil"/>
              <w:bottom w:val="single" w:sz="4" w:space="0" w:color="auto"/>
              <w:right w:val="single" w:sz="4" w:space="0" w:color="auto"/>
            </w:tcBorders>
            <w:shd w:val="clear" w:color="auto" w:fill="auto"/>
            <w:noWrap/>
            <w:vAlign w:val="bottom"/>
            <w:hideMark/>
          </w:tcPr>
          <w:p w14:paraId="4C1E970E"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8" w:type="dxa"/>
            <w:tcBorders>
              <w:top w:val="nil"/>
              <w:left w:val="nil"/>
              <w:bottom w:val="single" w:sz="4" w:space="0" w:color="auto"/>
              <w:right w:val="single" w:sz="4" w:space="0" w:color="auto"/>
            </w:tcBorders>
            <w:shd w:val="clear" w:color="auto" w:fill="auto"/>
            <w:noWrap/>
            <w:vAlign w:val="bottom"/>
            <w:hideMark/>
          </w:tcPr>
          <w:p w14:paraId="4C95D711"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Total</w:t>
            </w:r>
          </w:p>
        </w:tc>
        <w:tc>
          <w:tcPr>
            <w:tcW w:w="1912" w:type="dxa"/>
            <w:tcBorders>
              <w:top w:val="nil"/>
              <w:left w:val="nil"/>
              <w:bottom w:val="single" w:sz="4" w:space="0" w:color="auto"/>
              <w:right w:val="single" w:sz="4" w:space="0" w:color="auto"/>
            </w:tcBorders>
            <w:shd w:val="clear" w:color="auto" w:fill="auto"/>
            <w:noWrap/>
            <w:vAlign w:val="bottom"/>
            <w:hideMark/>
          </w:tcPr>
          <w:p w14:paraId="2B687EFE"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996" w:type="dxa"/>
            <w:tcBorders>
              <w:top w:val="nil"/>
              <w:left w:val="nil"/>
              <w:bottom w:val="single" w:sz="4" w:space="0" w:color="auto"/>
              <w:right w:val="single" w:sz="4" w:space="0" w:color="auto"/>
            </w:tcBorders>
            <w:shd w:val="clear" w:color="auto" w:fill="auto"/>
            <w:noWrap/>
            <w:vAlign w:val="bottom"/>
            <w:hideMark/>
          </w:tcPr>
          <w:p w14:paraId="62DCAB9D"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91.9664</w:t>
            </w:r>
          </w:p>
        </w:tc>
      </w:tr>
      <w:tr w:rsidR="004A6671" w:rsidRPr="00E57ACD" w14:paraId="70D92873"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1426B35"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380" w:type="dxa"/>
            <w:tcBorders>
              <w:top w:val="nil"/>
              <w:left w:val="nil"/>
              <w:bottom w:val="single" w:sz="4" w:space="0" w:color="auto"/>
              <w:right w:val="single" w:sz="4" w:space="0" w:color="auto"/>
            </w:tcBorders>
            <w:shd w:val="clear" w:color="auto" w:fill="auto"/>
            <w:noWrap/>
            <w:vAlign w:val="bottom"/>
            <w:hideMark/>
          </w:tcPr>
          <w:p w14:paraId="6C178800"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78" w:type="dxa"/>
            <w:tcBorders>
              <w:top w:val="nil"/>
              <w:left w:val="nil"/>
              <w:bottom w:val="single" w:sz="4" w:space="0" w:color="auto"/>
              <w:right w:val="single" w:sz="4" w:space="0" w:color="auto"/>
            </w:tcBorders>
            <w:shd w:val="clear" w:color="auto" w:fill="auto"/>
            <w:noWrap/>
            <w:vAlign w:val="bottom"/>
            <w:hideMark/>
          </w:tcPr>
          <w:p w14:paraId="5DC9473C"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NPV</w:t>
            </w:r>
          </w:p>
        </w:tc>
        <w:tc>
          <w:tcPr>
            <w:tcW w:w="1912" w:type="dxa"/>
            <w:tcBorders>
              <w:top w:val="nil"/>
              <w:left w:val="nil"/>
              <w:bottom w:val="single" w:sz="4" w:space="0" w:color="auto"/>
              <w:right w:val="single" w:sz="4" w:space="0" w:color="auto"/>
            </w:tcBorders>
            <w:shd w:val="clear" w:color="auto" w:fill="auto"/>
            <w:noWrap/>
            <w:vAlign w:val="bottom"/>
            <w:hideMark/>
          </w:tcPr>
          <w:p w14:paraId="0DBEA915"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7</w:t>
            </w:r>
          </w:p>
        </w:tc>
        <w:tc>
          <w:tcPr>
            <w:tcW w:w="996" w:type="dxa"/>
            <w:tcBorders>
              <w:top w:val="nil"/>
              <w:left w:val="nil"/>
              <w:bottom w:val="single" w:sz="4" w:space="0" w:color="auto"/>
              <w:right w:val="single" w:sz="4" w:space="0" w:color="auto"/>
            </w:tcBorders>
            <w:shd w:val="clear" w:color="auto" w:fill="auto"/>
            <w:noWrap/>
            <w:vAlign w:val="bottom"/>
            <w:hideMark/>
          </w:tcPr>
          <w:p w14:paraId="66694DC3"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r>
    </w:tbl>
    <w:p w14:paraId="55F1B238" w14:textId="77777777" w:rsidR="004A6671" w:rsidRPr="00E57ACD" w:rsidRDefault="004A6671" w:rsidP="00953755">
      <w:pPr>
        <w:spacing w:line="360" w:lineRule="auto"/>
        <w:jc w:val="both"/>
        <w:rPr>
          <w:rFonts w:ascii="Times New Roman" w:hAnsi="Times New Roman" w:cs="Times New Roman"/>
          <w:sz w:val="24"/>
          <w:szCs w:val="24"/>
        </w:rPr>
      </w:pPr>
    </w:p>
    <w:p w14:paraId="344F04A8" w14:textId="77777777" w:rsidR="004A6671" w:rsidRPr="00E57ACD" w:rsidRDefault="004A6671" w:rsidP="00953755">
      <w:pPr>
        <w:spacing w:line="360" w:lineRule="auto"/>
        <w:jc w:val="both"/>
        <w:rPr>
          <w:rFonts w:ascii="Times New Roman" w:hAnsi="Times New Roman" w:cs="Times New Roman"/>
          <w:b/>
          <w:sz w:val="24"/>
          <w:szCs w:val="24"/>
        </w:rPr>
      </w:pPr>
      <w:r w:rsidRPr="00E57ACD">
        <w:rPr>
          <w:rFonts w:ascii="Times New Roman" w:hAnsi="Times New Roman" w:cs="Times New Roman"/>
          <w:b/>
          <w:sz w:val="24"/>
          <w:szCs w:val="24"/>
        </w:rPr>
        <w:t>Project B:</w:t>
      </w:r>
    </w:p>
    <w:tbl>
      <w:tblPr>
        <w:tblW w:w="6616" w:type="dxa"/>
        <w:tblInd w:w="93" w:type="dxa"/>
        <w:tblLook w:val="04A0" w:firstRow="1" w:lastRow="0" w:firstColumn="1" w:lastColumn="0" w:noHBand="0" w:noVBand="1"/>
      </w:tblPr>
      <w:tblGrid>
        <w:gridCol w:w="960"/>
        <w:gridCol w:w="1380"/>
        <w:gridCol w:w="1460"/>
        <w:gridCol w:w="1820"/>
        <w:gridCol w:w="996"/>
      </w:tblGrid>
      <w:tr w:rsidR="004A6671" w:rsidRPr="00E57ACD" w14:paraId="2B68FF7A" w14:textId="77777777" w:rsidTr="004A6671">
        <w:trPr>
          <w:trHeight w:val="315"/>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72739A"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Year</w:t>
            </w:r>
          </w:p>
        </w:tc>
        <w:tc>
          <w:tcPr>
            <w:tcW w:w="1380" w:type="dxa"/>
            <w:tcBorders>
              <w:top w:val="single" w:sz="4" w:space="0" w:color="auto"/>
              <w:left w:val="nil"/>
              <w:bottom w:val="single" w:sz="4" w:space="0" w:color="auto"/>
              <w:right w:val="single" w:sz="4" w:space="0" w:color="auto"/>
            </w:tcBorders>
            <w:shd w:val="clear" w:color="auto" w:fill="auto"/>
            <w:noWrap/>
            <w:vAlign w:val="bottom"/>
            <w:hideMark/>
          </w:tcPr>
          <w:p w14:paraId="7FC9BB39"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xml:space="preserve">Cash outflow </w:t>
            </w:r>
          </w:p>
        </w:tc>
        <w:tc>
          <w:tcPr>
            <w:tcW w:w="1460" w:type="dxa"/>
            <w:tcBorders>
              <w:top w:val="single" w:sz="4" w:space="0" w:color="auto"/>
              <w:left w:val="nil"/>
              <w:bottom w:val="single" w:sz="4" w:space="0" w:color="auto"/>
              <w:right w:val="single" w:sz="4" w:space="0" w:color="auto"/>
            </w:tcBorders>
            <w:shd w:val="clear" w:color="auto" w:fill="auto"/>
            <w:noWrap/>
            <w:vAlign w:val="bottom"/>
            <w:hideMark/>
          </w:tcPr>
          <w:p w14:paraId="79208991"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Cash inflow(£)</w:t>
            </w:r>
          </w:p>
        </w:tc>
        <w:tc>
          <w:tcPr>
            <w:tcW w:w="1820" w:type="dxa"/>
            <w:tcBorders>
              <w:top w:val="single" w:sz="4" w:space="0" w:color="auto"/>
              <w:left w:val="nil"/>
              <w:bottom w:val="single" w:sz="4" w:space="0" w:color="auto"/>
              <w:right w:val="single" w:sz="4" w:space="0" w:color="auto"/>
            </w:tcBorders>
            <w:shd w:val="clear" w:color="auto" w:fill="auto"/>
            <w:noWrap/>
            <w:vAlign w:val="bottom"/>
            <w:hideMark/>
          </w:tcPr>
          <w:p w14:paraId="704A7649"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PV Factor @10.5%</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14:paraId="73A8BD09"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NPV (£)</w:t>
            </w:r>
          </w:p>
        </w:tc>
      </w:tr>
      <w:tr w:rsidR="004A6671" w:rsidRPr="00E57ACD" w14:paraId="71FADD15"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1DB2E0"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w:t>
            </w:r>
          </w:p>
        </w:tc>
        <w:tc>
          <w:tcPr>
            <w:tcW w:w="1380" w:type="dxa"/>
            <w:tcBorders>
              <w:top w:val="nil"/>
              <w:left w:val="nil"/>
              <w:bottom w:val="single" w:sz="4" w:space="0" w:color="auto"/>
              <w:right w:val="single" w:sz="4" w:space="0" w:color="auto"/>
            </w:tcBorders>
            <w:shd w:val="clear" w:color="auto" w:fill="auto"/>
            <w:noWrap/>
            <w:vAlign w:val="bottom"/>
            <w:hideMark/>
          </w:tcPr>
          <w:p w14:paraId="6C64271F"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90</w:t>
            </w:r>
          </w:p>
        </w:tc>
        <w:tc>
          <w:tcPr>
            <w:tcW w:w="1460" w:type="dxa"/>
            <w:tcBorders>
              <w:top w:val="nil"/>
              <w:left w:val="nil"/>
              <w:bottom w:val="single" w:sz="4" w:space="0" w:color="auto"/>
              <w:right w:val="single" w:sz="4" w:space="0" w:color="auto"/>
            </w:tcBorders>
            <w:shd w:val="clear" w:color="auto" w:fill="auto"/>
            <w:noWrap/>
            <w:vAlign w:val="bottom"/>
            <w:hideMark/>
          </w:tcPr>
          <w:p w14:paraId="593DB1E4"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w:t>
            </w:r>
          </w:p>
        </w:tc>
        <w:tc>
          <w:tcPr>
            <w:tcW w:w="1820" w:type="dxa"/>
            <w:tcBorders>
              <w:top w:val="nil"/>
              <w:left w:val="nil"/>
              <w:bottom w:val="single" w:sz="4" w:space="0" w:color="auto"/>
              <w:right w:val="single" w:sz="4" w:space="0" w:color="auto"/>
            </w:tcBorders>
            <w:shd w:val="clear" w:color="auto" w:fill="auto"/>
            <w:noWrap/>
            <w:vAlign w:val="bottom"/>
            <w:hideMark/>
          </w:tcPr>
          <w:p w14:paraId="2EDE6BBE"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w:t>
            </w:r>
          </w:p>
        </w:tc>
        <w:tc>
          <w:tcPr>
            <w:tcW w:w="996" w:type="dxa"/>
            <w:tcBorders>
              <w:top w:val="nil"/>
              <w:left w:val="nil"/>
              <w:bottom w:val="single" w:sz="4" w:space="0" w:color="auto"/>
              <w:right w:val="single" w:sz="4" w:space="0" w:color="auto"/>
            </w:tcBorders>
            <w:shd w:val="clear" w:color="auto" w:fill="auto"/>
            <w:noWrap/>
            <w:vAlign w:val="bottom"/>
            <w:hideMark/>
          </w:tcPr>
          <w:p w14:paraId="25D831CA"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w:t>
            </w:r>
          </w:p>
        </w:tc>
      </w:tr>
      <w:tr w:rsidR="004A6671" w:rsidRPr="00E57ACD" w14:paraId="110C9E65"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0007281"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w:t>
            </w:r>
          </w:p>
        </w:tc>
        <w:tc>
          <w:tcPr>
            <w:tcW w:w="1380" w:type="dxa"/>
            <w:tcBorders>
              <w:top w:val="nil"/>
              <w:left w:val="nil"/>
              <w:bottom w:val="single" w:sz="4" w:space="0" w:color="auto"/>
              <w:right w:val="single" w:sz="4" w:space="0" w:color="auto"/>
            </w:tcBorders>
            <w:shd w:val="clear" w:color="auto" w:fill="auto"/>
            <w:noWrap/>
            <w:vAlign w:val="bottom"/>
            <w:hideMark/>
          </w:tcPr>
          <w:p w14:paraId="6C358CB6"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60" w:type="dxa"/>
            <w:tcBorders>
              <w:top w:val="nil"/>
              <w:left w:val="nil"/>
              <w:bottom w:val="single" w:sz="4" w:space="0" w:color="auto"/>
              <w:right w:val="single" w:sz="4" w:space="0" w:color="auto"/>
            </w:tcBorders>
            <w:shd w:val="clear" w:color="auto" w:fill="auto"/>
            <w:noWrap/>
            <w:vAlign w:val="bottom"/>
            <w:hideMark/>
          </w:tcPr>
          <w:p w14:paraId="5D6417C1"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25</w:t>
            </w:r>
          </w:p>
        </w:tc>
        <w:tc>
          <w:tcPr>
            <w:tcW w:w="1820" w:type="dxa"/>
            <w:tcBorders>
              <w:top w:val="nil"/>
              <w:left w:val="nil"/>
              <w:bottom w:val="single" w:sz="4" w:space="0" w:color="auto"/>
              <w:right w:val="single" w:sz="4" w:space="0" w:color="auto"/>
            </w:tcBorders>
            <w:shd w:val="clear" w:color="auto" w:fill="auto"/>
            <w:noWrap/>
            <w:vAlign w:val="center"/>
            <w:hideMark/>
          </w:tcPr>
          <w:p w14:paraId="63F027D8"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0.905</w:t>
            </w:r>
          </w:p>
        </w:tc>
        <w:tc>
          <w:tcPr>
            <w:tcW w:w="996" w:type="dxa"/>
            <w:tcBorders>
              <w:top w:val="nil"/>
              <w:left w:val="nil"/>
              <w:bottom w:val="single" w:sz="4" w:space="0" w:color="auto"/>
              <w:right w:val="single" w:sz="4" w:space="0" w:color="auto"/>
            </w:tcBorders>
            <w:shd w:val="clear" w:color="auto" w:fill="auto"/>
            <w:noWrap/>
            <w:vAlign w:val="bottom"/>
            <w:hideMark/>
          </w:tcPr>
          <w:p w14:paraId="0F35766B"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22.6244</w:t>
            </w:r>
          </w:p>
        </w:tc>
      </w:tr>
      <w:tr w:rsidR="004A6671" w:rsidRPr="00E57ACD" w14:paraId="2613F348"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C255306"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w:t>
            </w:r>
          </w:p>
        </w:tc>
        <w:tc>
          <w:tcPr>
            <w:tcW w:w="1380" w:type="dxa"/>
            <w:tcBorders>
              <w:top w:val="nil"/>
              <w:left w:val="nil"/>
              <w:bottom w:val="single" w:sz="4" w:space="0" w:color="auto"/>
              <w:right w:val="single" w:sz="4" w:space="0" w:color="auto"/>
            </w:tcBorders>
            <w:shd w:val="clear" w:color="auto" w:fill="auto"/>
            <w:noWrap/>
            <w:vAlign w:val="bottom"/>
            <w:hideMark/>
          </w:tcPr>
          <w:p w14:paraId="2EEEC7DA"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60" w:type="dxa"/>
            <w:tcBorders>
              <w:top w:val="nil"/>
              <w:left w:val="nil"/>
              <w:bottom w:val="single" w:sz="4" w:space="0" w:color="auto"/>
              <w:right w:val="single" w:sz="4" w:space="0" w:color="auto"/>
            </w:tcBorders>
            <w:shd w:val="clear" w:color="auto" w:fill="auto"/>
            <w:noWrap/>
            <w:vAlign w:val="bottom"/>
            <w:hideMark/>
          </w:tcPr>
          <w:p w14:paraId="1975B24A"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30</w:t>
            </w:r>
          </w:p>
        </w:tc>
        <w:tc>
          <w:tcPr>
            <w:tcW w:w="1820" w:type="dxa"/>
            <w:tcBorders>
              <w:top w:val="nil"/>
              <w:left w:val="nil"/>
              <w:bottom w:val="single" w:sz="4" w:space="0" w:color="auto"/>
              <w:right w:val="single" w:sz="4" w:space="0" w:color="auto"/>
            </w:tcBorders>
            <w:shd w:val="clear" w:color="auto" w:fill="auto"/>
            <w:noWrap/>
            <w:vAlign w:val="center"/>
            <w:hideMark/>
          </w:tcPr>
          <w:p w14:paraId="53458E48"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0.819</w:t>
            </w:r>
          </w:p>
        </w:tc>
        <w:tc>
          <w:tcPr>
            <w:tcW w:w="996" w:type="dxa"/>
            <w:tcBorders>
              <w:top w:val="nil"/>
              <w:left w:val="nil"/>
              <w:bottom w:val="single" w:sz="4" w:space="0" w:color="auto"/>
              <w:right w:val="single" w:sz="4" w:space="0" w:color="auto"/>
            </w:tcBorders>
            <w:shd w:val="clear" w:color="auto" w:fill="auto"/>
            <w:noWrap/>
            <w:vAlign w:val="bottom"/>
            <w:hideMark/>
          </w:tcPr>
          <w:p w14:paraId="2E705259"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24.5695</w:t>
            </w:r>
          </w:p>
        </w:tc>
      </w:tr>
      <w:tr w:rsidR="004A6671" w:rsidRPr="00E57ACD" w14:paraId="6C712854"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668C78D"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w:t>
            </w:r>
          </w:p>
        </w:tc>
        <w:tc>
          <w:tcPr>
            <w:tcW w:w="1380" w:type="dxa"/>
            <w:tcBorders>
              <w:top w:val="nil"/>
              <w:left w:val="nil"/>
              <w:bottom w:val="single" w:sz="4" w:space="0" w:color="auto"/>
              <w:right w:val="single" w:sz="4" w:space="0" w:color="auto"/>
            </w:tcBorders>
            <w:shd w:val="clear" w:color="auto" w:fill="auto"/>
            <w:noWrap/>
            <w:vAlign w:val="bottom"/>
            <w:hideMark/>
          </w:tcPr>
          <w:p w14:paraId="5CBC677A"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60" w:type="dxa"/>
            <w:tcBorders>
              <w:top w:val="nil"/>
              <w:left w:val="nil"/>
              <w:bottom w:val="single" w:sz="4" w:space="0" w:color="auto"/>
              <w:right w:val="single" w:sz="4" w:space="0" w:color="auto"/>
            </w:tcBorders>
            <w:shd w:val="clear" w:color="auto" w:fill="auto"/>
            <w:noWrap/>
            <w:vAlign w:val="bottom"/>
            <w:hideMark/>
          </w:tcPr>
          <w:p w14:paraId="42DAABCE"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35</w:t>
            </w:r>
          </w:p>
        </w:tc>
        <w:tc>
          <w:tcPr>
            <w:tcW w:w="1820" w:type="dxa"/>
            <w:tcBorders>
              <w:top w:val="nil"/>
              <w:left w:val="nil"/>
              <w:bottom w:val="single" w:sz="4" w:space="0" w:color="auto"/>
              <w:right w:val="single" w:sz="4" w:space="0" w:color="auto"/>
            </w:tcBorders>
            <w:shd w:val="clear" w:color="auto" w:fill="auto"/>
            <w:noWrap/>
            <w:vAlign w:val="center"/>
            <w:hideMark/>
          </w:tcPr>
          <w:p w14:paraId="59FDDAAC"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0.741</w:t>
            </w:r>
          </w:p>
        </w:tc>
        <w:tc>
          <w:tcPr>
            <w:tcW w:w="996" w:type="dxa"/>
            <w:tcBorders>
              <w:top w:val="nil"/>
              <w:left w:val="nil"/>
              <w:bottom w:val="single" w:sz="4" w:space="0" w:color="auto"/>
              <w:right w:val="single" w:sz="4" w:space="0" w:color="auto"/>
            </w:tcBorders>
            <w:shd w:val="clear" w:color="auto" w:fill="auto"/>
            <w:noWrap/>
            <w:vAlign w:val="bottom"/>
            <w:hideMark/>
          </w:tcPr>
          <w:p w14:paraId="7ABAD458"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25.9407</w:t>
            </w:r>
          </w:p>
        </w:tc>
      </w:tr>
      <w:tr w:rsidR="004A6671" w:rsidRPr="00E57ACD" w14:paraId="4059626A"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C25222A"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w:t>
            </w:r>
          </w:p>
        </w:tc>
        <w:tc>
          <w:tcPr>
            <w:tcW w:w="1380" w:type="dxa"/>
            <w:tcBorders>
              <w:top w:val="nil"/>
              <w:left w:val="nil"/>
              <w:bottom w:val="single" w:sz="4" w:space="0" w:color="auto"/>
              <w:right w:val="single" w:sz="4" w:space="0" w:color="auto"/>
            </w:tcBorders>
            <w:shd w:val="clear" w:color="auto" w:fill="auto"/>
            <w:noWrap/>
            <w:vAlign w:val="bottom"/>
            <w:hideMark/>
          </w:tcPr>
          <w:p w14:paraId="479C84A4"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60" w:type="dxa"/>
            <w:tcBorders>
              <w:top w:val="nil"/>
              <w:left w:val="nil"/>
              <w:bottom w:val="single" w:sz="4" w:space="0" w:color="auto"/>
              <w:right w:val="single" w:sz="4" w:space="0" w:color="auto"/>
            </w:tcBorders>
            <w:shd w:val="clear" w:color="auto" w:fill="auto"/>
            <w:noWrap/>
            <w:vAlign w:val="bottom"/>
            <w:hideMark/>
          </w:tcPr>
          <w:p w14:paraId="5A996A2F"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40</w:t>
            </w:r>
          </w:p>
        </w:tc>
        <w:tc>
          <w:tcPr>
            <w:tcW w:w="1820" w:type="dxa"/>
            <w:tcBorders>
              <w:top w:val="nil"/>
              <w:left w:val="nil"/>
              <w:bottom w:val="single" w:sz="4" w:space="0" w:color="auto"/>
              <w:right w:val="single" w:sz="4" w:space="0" w:color="auto"/>
            </w:tcBorders>
            <w:shd w:val="clear" w:color="auto" w:fill="auto"/>
            <w:noWrap/>
            <w:vAlign w:val="center"/>
            <w:hideMark/>
          </w:tcPr>
          <w:p w14:paraId="4A8B6869"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0.671</w:t>
            </w:r>
          </w:p>
        </w:tc>
        <w:tc>
          <w:tcPr>
            <w:tcW w:w="996" w:type="dxa"/>
            <w:tcBorders>
              <w:top w:val="nil"/>
              <w:left w:val="nil"/>
              <w:bottom w:val="single" w:sz="4" w:space="0" w:color="auto"/>
              <w:right w:val="single" w:sz="4" w:space="0" w:color="auto"/>
            </w:tcBorders>
            <w:shd w:val="clear" w:color="auto" w:fill="auto"/>
            <w:noWrap/>
            <w:vAlign w:val="bottom"/>
            <w:hideMark/>
          </w:tcPr>
          <w:p w14:paraId="61316E17"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26.8294</w:t>
            </w:r>
          </w:p>
        </w:tc>
      </w:tr>
      <w:tr w:rsidR="004A6671" w:rsidRPr="00E57ACD" w14:paraId="7327E18B"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021523A"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380" w:type="dxa"/>
            <w:tcBorders>
              <w:top w:val="nil"/>
              <w:left w:val="nil"/>
              <w:bottom w:val="single" w:sz="4" w:space="0" w:color="auto"/>
              <w:right w:val="single" w:sz="4" w:space="0" w:color="auto"/>
            </w:tcBorders>
            <w:shd w:val="clear" w:color="auto" w:fill="auto"/>
            <w:noWrap/>
            <w:vAlign w:val="bottom"/>
            <w:hideMark/>
          </w:tcPr>
          <w:p w14:paraId="595C4D1E"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60" w:type="dxa"/>
            <w:tcBorders>
              <w:top w:val="nil"/>
              <w:left w:val="nil"/>
              <w:bottom w:val="single" w:sz="4" w:space="0" w:color="auto"/>
              <w:right w:val="single" w:sz="4" w:space="0" w:color="auto"/>
            </w:tcBorders>
            <w:shd w:val="clear" w:color="auto" w:fill="auto"/>
            <w:noWrap/>
            <w:vAlign w:val="bottom"/>
            <w:hideMark/>
          </w:tcPr>
          <w:p w14:paraId="45074DC4"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Total</w:t>
            </w:r>
          </w:p>
        </w:tc>
        <w:tc>
          <w:tcPr>
            <w:tcW w:w="1820" w:type="dxa"/>
            <w:tcBorders>
              <w:top w:val="nil"/>
              <w:left w:val="nil"/>
              <w:bottom w:val="single" w:sz="4" w:space="0" w:color="auto"/>
              <w:right w:val="single" w:sz="4" w:space="0" w:color="auto"/>
            </w:tcBorders>
            <w:shd w:val="clear" w:color="auto" w:fill="auto"/>
            <w:noWrap/>
            <w:vAlign w:val="bottom"/>
            <w:hideMark/>
          </w:tcPr>
          <w:p w14:paraId="443F3830"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996" w:type="dxa"/>
            <w:tcBorders>
              <w:top w:val="nil"/>
              <w:left w:val="nil"/>
              <w:bottom w:val="single" w:sz="4" w:space="0" w:color="auto"/>
              <w:right w:val="single" w:sz="4" w:space="0" w:color="auto"/>
            </w:tcBorders>
            <w:shd w:val="clear" w:color="auto" w:fill="auto"/>
            <w:noWrap/>
            <w:vAlign w:val="bottom"/>
            <w:hideMark/>
          </w:tcPr>
          <w:p w14:paraId="485B5710"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99.964</w:t>
            </w:r>
          </w:p>
        </w:tc>
      </w:tr>
      <w:tr w:rsidR="004A6671" w:rsidRPr="00E57ACD" w14:paraId="41DBAF60" w14:textId="77777777" w:rsidTr="004A6671">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C047E71"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380" w:type="dxa"/>
            <w:tcBorders>
              <w:top w:val="nil"/>
              <w:left w:val="nil"/>
              <w:bottom w:val="single" w:sz="4" w:space="0" w:color="auto"/>
              <w:right w:val="single" w:sz="4" w:space="0" w:color="auto"/>
            </w:tcBorders>
            <w:shd w:val="clear" w:color="auto" w:fill="auto"/>
            <w:noWrap/>
            <w:vAlign w:val="bottom"/>
            <w:hideMark/>
          </w:tcPr>
          <w:p w14:paraId="33739316"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c>
          <w:tcPr>
            <w:tcW w:w="1460" w:type="dxa"/>
            <w:tcBorders>
              <w:top w:val="nil"/>
              <w:left w:val="nil"/>
              <w:bottom w:val="single" w:sz="4" w:space="0" w:color="auto"/>
              <w:right w:val="single" w:sz="4" w:space="0" w:color="auto"/>
            </w:tcBorders>
            <w:shd w:val="clear" w:color="auto" w:fill="auto"/>
            <w:noWrap/>
            <w:vAlign w:val="bottom"/>
            <w:hideMark/>
          </w:tcPr>
          <w:p w14:paraId="73DE8B41"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NPV</w:t>
            </w:r>
          </w:p>
        </w:tc>
        <w:tc>
          <w:tcPr>
            <w:tcW w:w="1820" w:type="dxa"/>
            <w:tcBorders>
              <w:top w:val="nil"/>
              <w:left w:val="nil"/>
              <w:bottom w:val="single" w:sz="4" w:space="0" w:color="auto"/>
              <w:right w:val="single" w:sz="4" w:space="0" w:color="auto"/>
            </w:tcBorders>
            <w:shd w:val="clear" w:color="auto" w:fill="auto"/>
            <w:noWrap/>
            <w:vAlign w:val="bottom"/>
            <w:hideMark/>
          </w:tcPr>
          <w:p w14:paraId="3B913BC4"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10</w:t>
            </w:r>
          </w:p>
        </w:tc>
        <w:tc>
          <w:tcPr>
            <w:tcW w:w="996" w:type="dxa"/>
            <w:tcBorders>
              <w:top w:val="nil"/>
              <w:left w:val="nil"/>
              <w:bottom w:val="single" w:sz="4" w:space="0" w:color="auto"/>
              <w:right w:val="single" w:sz="4" w:space="0" w:color="auto"/>
            </w:tcBorders>
            <w:shd w:val="clear" w:color="auto" w:fill="auto"/>
            <w:noWrap/>
            <w:vAlign w:val="bottom"/>
            <w:hideMark/>
          </w:tcPr>
          <w:p w14:paraId="4DAEB17C" w14:textId="77777777" w:rsidR="004A6671" w:rsidRPr="00E57ACD" w:rsidRDefault="004A6671" w:rsidP="00953755">
            <w:pPr>
              <w:spacing w:after="0" w:line="360" w:lineRule="auto"/>
              <w:jc w:val="both"/>
              <w:rPr>
                <w:rFonts w:ascii="Times New Roman" w:eastAsia="Times New Roman" w:hAnsi="Times New Roman" w:cs="Times New Roman"/>
                <w:color w:val="000000"/>
                <w:sz w:val="24"/>
                <w:szCs w:val="24"/>
              </w:rPr>
            </w:pPr>
            <w:r w:rsidRPr="00E57ACD">
              <w:rPr>
                <w:rFonts w:ascii="Times New Roman" w:eastAsia="Times New Roman" w:hAnsi="Times New Roman" w:cs="Times New Roman"/>
                <w:color w:val="000000"/>
                <w:sz w:val="24"/>
                <w:szCs w:val="24"/>
              </w:rPr>
              <w:t> </w:t>
            </w:r>
          </w:p>
        </w:tc>
      </w:tr>
    </w:tbl>
    <w:p w14:paraId="23E3BABC" w14:textId="77777777" w:rsidR="004A6671" w:rsidRPr="00E57ACD" w:rsidRDefault="004A6671" w:rsidP="00953755">
      <w:pPr>
        <w:spacing w:line="360" w:lineRule="auto"/>
        <w:jc w:val="both"/>
        <w:rPr>
          <w:rFonts w:ascii="Times New Roman" w:hAnsi="Times New Roman" w:cs="Times New Roman"/>
          <w:b/>
          <w:sz w:val="24"/>
          <w:szCs w:val="24"/>
        </w:rPr>
      </w:pPr>
    </w:p>
    <w:p w14:paraId="727F955C" w14:textId="77777777" w:rsidR="00C41966" w:rsidRPr="00E57ACD" w:rsidRDefault="000A1095" w:rsidP="00953755">
      <w:pPr>
        <w:spacing w:line="360" w:lineRule="auto"/>
        <w:jc w:val="both"/>
        <w:rPr>
          <w:rFonts w:ascii="Times New Roman" w:hAnsi="Times New Roman" w:cs="Times New Roman"/>
          <w:sz w:val="24"/>
          <w:szCs w:val="24"/>
        </w:rPr>
      </w:pPr>
      <w:r w:rsidRPr="00E57ACD">
        <w:rPr>
          <w:rFonts w:ascii="Times New Roman" w:hAnsi="Times New Roman" w:cs="Times New Roman"/>
          <w:sz w:val="24"/>
          <w:szCs w:val="24"/>
        </w:rPr>
        <w:t xml:space="preserve">From the analysis, it can be stated that Project B is more suitable and effective for investment. GSK would be able to improve the profit from Project B more than Project A that can increase its value in the market and enable it </w:t>
      </w:r>
      <w:r w:rsidR="000F1446" w:rsidRPr="00E57ACD">
        <w:rPr>
          <w:rFonts w:ascii="Times New Roman" w:hAnsi="Times New Roman" w:cs="Times New Roman"/>
          <w:sz w:val="24"/>
          <w:szCs w:val="24"/>
        </w:rPr>
        <w:t xml:space="preserve">to </w:t>
      </w:r>
      <w:r w:rsidRPr="00E57ACD">
        <w:rPr>
          <w:rFonts w:ascii="Times New Roman" w:hAnsi="Times New Roman" w:cs="Times New Roman"/>
          <w:sz w:val="24"/>
          <w:szCs w:val="24"/>
        </w:rPr>
        <w:t xml:space="preserve">improve the wealth of the shareholders. </w:t>
      </w:r>
      <w:r w:rsidR="000F1446" w:rsidRPr="00E57ACD">
        <w:rPr>
          <w:rFonts w:ascii="Times New Roman" w:hAnsi="Times New Roman" w:cs="Times New Roman"/>
          <w:sz w:val="24"/>
          <w:szCs w:val="24"/>
        </w:rPr>
        <w:t>The p</w:t>
      </w:r>
      <w:r w:rsidR="00584E04" w:rsidRPr="00E57ACD">
        <w:rPr>
          <w:rFonts w:ascii="Times New Roman" w:hAnsi="Times New Roman" w:cs="Times New Roman"/>
          <w:sz w:val="24"/>
          <w:szCs w:val="24"/>
        </w:rPr>
        <w:t>ayback Period in Project B is lesser than Project A that make</w:t>
      </w:r>
      <w:r w:rsidR="000F1446" w:rsidRPr="00E57ACD">
        <w:rPr>
          <w:rFonts w:ascii="Times New Roman" w:hAnsi="Times New Roman" w:cs="Times New Roman"/>
          <w:sz w:val="24"/>
          <w:szCs w:val="24"/>
        </w:rPr>
        <w:t>s</w:t>
      </w:r>
      <w:r w:rsidR="00584E04" w:rsidRPr="00E57ACD">
        <w:rPr>
          <w:rFonts w:ascii="Times New Roman" w:hAnsi="Times New Roman" w:cs="Times New Roman"/>
          <w:sz w:val="24"/>
          <w:szCs w:val="24"/>
        </w:rPr>
        <w:t xml:space="preserve"> project B attractive and </w:t>
      </w:r>
      <w:r w:rsidR="000F1446" w:rsidRPr="00E57ACD">
        <w:rPr>
          <w:rFonts w:ascii="Times New Roman" w:hAnsi="Times New Roman" w:cs="Times New Roman"/>
          <w:sz w:val="24"/>
          <w:szCs w:val="24"/>
        </w:rPr>
        <w:t xml:space="preserve">the </w:t>
      </w:r>
      <w:r w:rsidR="00584E04" w:rsidRPr="00E57ACD">
        <w:rPr>
          <w:rFonts w:ascii="Times New Roman" w:hAnsi="Times New Roman" w:cs="Times New Roman"/>
          <w:sz w:val="24"/>
          <w:szCs w:val="24"/>
        </w:rPr>
        <w:t xml:space="preserve">NPV of project B is higher than Project A. </w:t>
      </w:r>
      <w:r w:rsidR="00170E99" w:rsidRPr="00E57ACD">
        <w:rPr>
          <w:rFonts w:ascii="Times New Roman" w:hAnsi="Times New Roman" w:cs="Times New Roman"/>
          <w:sz w:val="24"/>
          <w:szCs w:val="24"/>
        </w:rPr>
        <w:t xml:space="preserve">This may improve the profit of the business. </w:t>
      </w:r>
    </w:p>
    <w:p w14:paraId="2391ED2C" w14:textId="77777777" w:rsidR="00B37608" w:rsidRPr="00E57ACD" w:rsidRDefault="00B37608" w:rsidP="00953755">
      <w:pPr>
        <w:pStyle w:val="Heading2"/>
        <w:spacing w:line="360" w:lineRule="auto"/>
        <w:jc w:val="both"/>
        <w:rPr>
          <w:rFonts w:ascii="Times New Roman" w:hAnsi="Times New Roman" w:cs="Times New Roman"/>
          <w:sz w:val="24"/>
          <w:szCs w:val="24"/>
        </w:rPr>
      </w:pPr>
      <w:bookmarkStart w:id="13" w:name="_Toc58487575"/>
      <w:r w:rsidRPr="00E57ACD">
        <w:rPr>
          <w:rFonts w:ascii="Times New Roman" w:hAnsi="Times New Roman" w:cs="Times New Roman"/>
          <w:sz w:val="24"/>
          <w:szCs w:val="24"/>
        </w:rPr>
        <w:lastRenderedPageBreak/>
        <w:t>Advantage and disadvantage of investment appraisal techniques</w:t>
      </w:r>
      <w:bookmarkEnd w:id="13"/>
    </w:p>
    <w:p w14:paraId="3044897A" w14:textId="77777777" w:rsidR="006F1108" w:rsidRPr="00E57ACD" w:rsidRDefault="006F1108" w:rsidP="00953755">
      <w:pPr>
        <w:pStyle w:val="Normal1"/>
        <w:spacing w:line="360" w:lineRule="auto"/>
        <w:jc w:val="both"/>
        <w:rPr>
          <w:rFonts w:ascii="Times New Roman" w:eastAsia="Times New Roman" w:hAnsi="Times New Roman" w:cs="Times New Roman"/>
          <w:b/>
          <w:sz w:val="24"/>
          <w:szCs w:val="24"/>
          <w:lang w:val="en-GB"/>
        </w:rPr>
      </w:pPr>
      <w:r w:rsidRPr="00E57ACD">
        <w:rPr>
          <w:rFonts w:ascii="Times New Roman" w:eastAsia="Times New Roman" w:hAnsi="Times New Roman" w:cs="Times New Roman"/>
          <w:b/>
          <w:sz w:val="24"/>
          <w:szCs w:val="24"/>
          <w:lang w:val="en-GB"/>
        </w:rPr>
        <w:t>Payback period:</w:t>
      </w:r>
    </w:p>
    <w:p w14:paraId="505AD4A7" w14:textId="77777777" w:rsidR="006F1108" w:rsidRPr="00E57ACD" w:rsidRDefault="006F1108" w:rsidP="00953755">
      <w:pPr>
        <w:pStyle w:val="Normal1"/>
        <w:spacing w:line="360" w:lineRule="auto"/>
        <w:jc w:val="both"/>
        <w:rPr>
          <w:rFonts w:ascii="Times New Roman" w:eastAsia="Times New Roman" w:hAnsi="Times New Roman" w:cs="Times New Roman"/>
          <w:sz w:val="24"/>
          <w:szCs w:val="24"/>
          <w:lang w:val="en-GB"/>
        </w:rPr>
      </w:pPr>
      <w:r w:rsidRPr="00E57ACD">
        <w:rPr>
          <w:rFonts w:ascii="Times New Roman" w:eastAsia="Times New Roman" w:hAnsi="Times New Roman" w:cs="Times New Roman"/>
          <w:sz w:val="24"/>
          <w:szCs w:val="24"/>
          <w:lang w:val="en-GB"/>
        </w:rPr>
        <w:t xml:space="preserve">This period is needed to be determined by the investors while making </w:t>
      </w:r>
      <w:r w:rsidR="000F1446" w:rsidRPr="00E57ACD">
        <w:rPr>
          <w:rFonts w:ascii="Times New Roman" w:eastAsia="Times New Roman" w:hAnsi="Times New Roman" w:cs="Times New Roman"/>
          <w:sz w:val="24"/>
          <w:szCs w:val="24"/>
          <w:lang w:val="en-GB"/>
        </w:rPr>
        <w:t xml:space="preserve">a </w:t>
      </w:r>
      <w:r w:rsidRPr="00E57ACD">
        <w:rPr>
          <w:rFonts w:ascii="Times New Roman" w:eastAsia="Times New Roman" w:hAnsi="Times New Roman" w:cs="Times New Roman"/>
          <w:sz w:val="24"/>
          <w:szCs w:val="24"/>
          <w:lang w:val="en-GB"/>
        </w:rPr>
        <w:t>selection of the projects. This method is used widely by all the organization</w:t>
      </w:r>
      <w:r w:rsidR="000F1446" w:rsidRPr="00E57ACD">
        <w:rPr>
          <w:rFonts w:ascii="Times New Roman" w:eastAsia="Times New Roman" w:hAnsi="Times New Roman" w:cs="Times New Roman"/>
          <w:sz w:val="24"/>
          <w:szCs w:val="24"/>
          <w:lang w:val="en-GB"/>
        </w:rPr>
        <w:t>s</w:t>
      </w:r>
      <w:r w:rsidRPr="00E57ACD">
        <w:rPr>
          <w:rFonts w:ascii="Times New Roman" w:eastAsia="Times New Roman" w:hAnsi="Times New Roman" w:cs="Times New Roman"/>
          <w:sz w:val="24"/>
          <w:szCs w:val="24"/>
          <w:lang w:val="en-GB"/>
        </w:rPr>
        <w:t xml:space="preserve"> in the market to evaluate all the kinds of projects before making </w:t>
      </w:r>
      <w:r w:rsidR="000F1446" w:rsidRPr="00E57ACD">
        <w:rPr>
          <w:rFonts w:ascii="Times New Roman" w:eastAsia="Times New Roman" w:hAnsi="Times New Roman" w:cs="Times New Roman"/>
          <w:sz w:val="24"/>
          <w:szCs w:val="24"/>
          <w:lang w:val="en-GB"/>
        </w:rPr>
        <w:t xml:space="preserve">an </w:t>
      </w:r>
      <w:r w:rsidRPr="00E57ACD">
        <w:rPr>
          <w:rFonts w:ascii="Times New Roman" w:eastAsia="Times New Roman" w:hAnsi="Times New Roman" w:cs="Times New Roman"/>
          <w:sz w:val="24"/>
          <w:szCs w:val="24"/>
          <w:lang w:val="en-GB"/>
        </w:rPr>
        <w:t>important investment decision.</w:t>
      </w:r>
      <w:r w:rsidR="007D47B9" w:rsidRPr="00E57ACD">
        <w:rPr>
          <w:rFonts w:ascii="Times New Roman" w:eastAsia="Times New Roman" w:hAnsi="Times New Roman" w:cs="Times New Roman"/>
          <w:sz w:val="24"/>
          <w:szCs w:val="24"/>
          <w:lang w:val="en-GB"/>
        </w:rPr>
        <w:t xml:space="preserve"> This method is applied globally for </w:t>
      </w:r>
      <w:proofErr w:type="spellStart"/>
      <w:r w:rsidR="007D47B9" w:rsidRPr="00E57ACD">
        <w:rPr>
          <w:rFonts w:ascii="Times New Roman" w:eastAsia="Times New Roman" w:hAnsi="Times New Roman" w:cs="Times New Roman"/>
          <w:sz w:val="24"/>
          <w:szCs w:val="24"/>
          <w:lang w:val="en-GB"/>
        </w:rPr>
        <w:t>analyzing</w:t>
      </w:r>
      <w:proofErr w:type="spellEnd"/>
      <w:r w:rsidR="007D47B9" w:rsidRPr="00E57ACD">
        <w:rPr>
          <w:rFonts w:ascii="Times New Roman" w:eastAsia="Times New Roman" w:hAnsi="Times New Roman" w:cs="Times New Roman"/>
          <w:sz w:val="24"/>
          <w:szCs w:val="24"/>
          <w:lang w:val="en-GB"/>
        </w:rPr>
        <w:t xml:space="preserve"> the ability of the projects to pay the investment back in</w:t>
      </w:r>
      <w:r w:rsidR="000F1446" w:rsidRPr="00E57ACD">
        <w:rPr>
          <w:rFonts w:ascii="Times New Roman" w:eastAsia="Times New Roman" w:hAnsi="Times New Roman" w:cs="Times New Roman"/>
          <w:sz w:val="24"/>
          <w:szCs w:val="24"/>
          <w:lang w:val="en-GB"/>
        </w:rPr>
        <w:t xml:space="preserve"> the</w:t>
      </w:r>
      <w:r w:rsidR="007D47B9" w:rsidRPr="00E57ACD">
        <w:rPr>
          <w:rFonts w:ascii="Times New Roman" w:eastAsia="Times New Roman" w:hAnsi="Times New Roman" w:cs="Times New Roman"/>
          <w:sz w:val="24"/>
          <w:szCs w:val="24"/>
          <w:lang w:val="en-GB"/>
        </w:rPr>
        <w:t xml:space="preserve"> least period </w:t>
      </w:r>
      <w:r w:rsidRPr="00E57ACD">
        <w:rPr>
          <w:rFonts w:ascii="Times New Roman" w:hAnsi="Times New Roman" w:cs="Times New Roman"/>
          <w:sz w:val="24"/>
          <w:szCs w:val="24"/>
        </w:rPr>
        <w:t>(Epstein and Lee, 2014)</w:t>
      </w:r>
      <w:r w:rsidRPr="00E57ACD">
        <w:rPr>
          <w:rFonts w:ascii="Times New Roman" w:eastAsia="Times New Roman" w:hAnsi="Times New Roman" w:cs="Times New Roman"/>
          <w:sz w:val="24"/>
          <w:szCs w:val="24"/>
          <w:lang w:val="en-GB"/>
        </w:rPr>
        <w:t xml:space="preserve">. </w:t>
      </w:r>
      <w:r w:rsidR="007D47B9" w:rsidRPr="00E57ACD">
        <w:rPr>
          <w:rFonts w:ascii="Times New Roman" w:eastAsia="Times New Roman" w:hAnsi="Times New Roman" w:cs="Times New Roman"/>
          <w:sz w:val="24"/>
          <w:szCs w:val="24"/>
          <w:lang w:val="en-GB"/>
        </w:rPr>
        <w:t xml:space="preserve">This </w:t>
      </w:r>
      <w:r w:rsidR="0091090E" w:rsidRPr="00E57ACD">
        <w:rPr>
          <w:rFonts w:ascii="Times New Roman" w:eastAsia="Times New Roman" w:hAnsi="Times New Roman" w:cs="Times New Roman"/>
          <w:sz w:val="24"/>
          <w:szCs w:val="24"/>
          <w:lang w:val="en-GB"/>
        </w:rPr>
        <w:t>method</w:t>
      </w:r>
      <w:r w:rsidR="007D47B9" w:rsidRPr="00E57ACD">
        <w:rPr>
          <w:rFonts w:ascii="Times New Roman" w:eastAsia="Times New Roman" w:hAnsi="Times New Roman" w:cs="Times New Roman"/>
          <w:sz w:val="24"/>
          <w:szCs w:val="24"/>
          <w:lang w:val="en-GB"/>
        </w:rPr>
        <w:t xml:space="preserve"> includes the assessment of projects by the free cash inflows which might be used for finding the liquidity position of businesses to make </w:t>
      </w:r>
      <w:r w:rsidR="000F1446" w:rsidRPr="00E57ACD">
        <w:rPr>
          <w:rFonts w:ascii="Times New Roman" w:eastAsia="Times New Roman" w:hAnsi="Times New Roman" w:cs="Times New Roman"/>
          <w:sz w:val="24"/>
          <w:szCs w:val="24"/>
          <w:lang w:val="en-GB"/>
        </w:rPr>
        <w:t xml:space="preserve">the </w:t>
      </w:r>
      <w:r w:rsidR="007D47B9" w:rsidRPr="00E57ACD">
        <w:rPr>
          <w:rFonts w:ascii="Times New Roman" w:eastAsia="Times New Roman" w:hAnsi="Times New Roman" w:cs="Times New Roman"/>
          <w:sz w:val="24"/>
          <w:szCs w:val="24"/>
          <w:lang w:val="en-GB"/>
        </w:rPr>
        <w:t xml:space="preserve">decision. This method is very easily applied for computing the length of the time and decision regarding the investment of the enterprise </w:t>
      </w:r>
      <w:r w:rsidR="007D47B9" w:rsidRPr="00E57ACD">
        <w:rPr>
          <w:rFonts w:ascii="Times New Roman" w:hAnsi="Times New Roman" w:cs="Times New Roman"/>
          <w:sz w:val="24"/>
          <w:szCs w:val="24"/>
        </w:rPr>
        <w:t xml:space="preserve">(Hacker and Ernst, 2017). </w:t>
      </w:r>
      <w:r w:rsidR="00957F48" w:rsidRPr="00E57ACD">
        <w:rPr>
          <w:rFonts w:ascii="Times New Roman" w:hAnsi="Times New Roman" w:cs="Times New Roman"/>
          <w:sz w:val="24"/>
          <w:szCs w:val="24"/>
        </w:rPr>
        <w:t xml:space="preserve">This method enables the investors for analyzing the risk of the losses to the business from the projects. On the other hand, </w:t>
      </w:r>
      <w:r w:rsidR="000F1446" w:rsidRPr="00E57ACD">
        <w:rPr>
          <w:rFonts w:ascii="Times New Roman" w:hAnsi="Times New Roman" w:cs="Times New Roman"/>
          <w:sz w:val="24"/>
          <w:szCs w:val="24"/>
        </w:rPr>
        <w:t xml:space="preserve">the </w:t>
      </w:r>
      <w:r w:rsidR="00A24B25" w:rsidRPr="00E57ACD">
        <w:rPr>
          <w:rFonts w:ascii="Times New Roman" w:hAnsi="Times New Roman" w:cs="Times New Roman"/>
          <w:sz w:val="24"/>
          <w:szCs w:val="24"/>
        </w:rPr>
        <w:t xml:space="preserve">payback period does not take the time value of money into </w:t>
      </w:r>
      <w:r w:rsidR="000F1446" w:rsidRPr="00E57ACD">
        <w:rPr>
          <w:rFonts w:ascii="Times New Roman" w:hAnsi="Times New Roman" w:cs="Times New Roman"/>
          <w:sz w:val="24"/>
          <w:szCs w:val="24"/>
        </w:rPr>
        <w:t xml:space="preserve">an </w:t>
      </w:r>
      <w:r w:rsidR="00A24B25" w:rsidRPr="00E57ACD">
        <w:rPr>
          <w:rFonts w:ascii="Times New Roman" w:hAnsi="Times New Roman" w:cs="Times New Roman"/>
          <w:sz w:val="24"/>
          <w:szCs w:val="24"/>
        </w:rPr>
        <w:t>account and it completely avoid</w:t>
      </w:r>
      <w:r w:rsidR="000F1446" w:rsidRPr="00E57ACD">
        <w:rPr>
          <w:rFonts w:ascii="Times New Roman" w:hAnsi="Times New Roman" w:cs="Times New Roman"/>
          <w:sz w:val="24"/>
          <w:szCs w:val="24"/>
        </w:rPr>
        <w:t>s</w:t>
      </w:r>
      <w:r w:rsidR="00A24B25" w:rsidRPr="00E57ACD">
        <w:rPr>
          <w:rFonts w:ascii="Times New Roman" w:hAnsi="Times New Roman" w:cs="Times New Roman"/>
          <w:sz w:val="24"/>
          <w:szCs w:val="24"/>
        </w:rPr>
        <w:t xml:space="preserve"> </w:t>
      </w:r>
      <w:r w:rsidR="000F1446" w:rsidRPr="00E57ACD">
        <w:rPr>
          <w:rFonts w:ascii="Times New Roman" w:hAnsi="Times New Roman" w:cs="Times New Roman"/>
          <w:sz w:val="24"/>
          <w:szCs w:val="24"/>
        </w:rPr>
        <w:t>considering</w:t>
      </w:r>
      <w:r w:rsidR="00A24B25" w:rsidRPr="00E57ACD">
        <w:rPr>
          <w:rFonts w:ascii="Times New Roman" w:hAnsi="Times New Roman" w:cs="Times New Roman"/>
          <w:sz w:val="24"/>
          <w:szCs w:val="24"/>
        </w:rPr>
        <w:t xml:space="preserve"> the value of the cash inflows (</w:t>
      </w:r>
      <w:r w:rsidR="00A24B25" w:rsidRPr="00E57ACD">
        <w:rPr>
          <w:rFonts w:ascii="Times New Roman" w:hAnsi="Times New Roman" w:cs="Times New Roman"/>
          <w:color w:val="222222"/>
          <w:sz w:val="24"/>
          <w:szCs w:val="24"/>
          <w:shd w:val="clear" w:color="auto" w:fill="FFFFFF"/>
        </w:rPr>
        <w:t>Bierman Jr and Smidt, 2012)</w:t>
      </w:r>
      <w:r w:rsidR="00A24B25" w:rsidRPr="00E57ACD">
        <w:rPr>
          <w:rFonts w:ascii="Times New Roman" w:hAnsi="Times New Roman" w:cs="Times New Roman"/>
          <w:sz w:val="24"/>
          <w:szCs w:val="24"/>
        </w:rPr>
        <w:t xml:space="preserve">. </w:t>
      </w:r>
      <w:r w:rsidR="009F20C3" w:rsidRPr="00E57ACD">
        <w:rPr>
          <w:rFonts w:ascii="Times New Roman" w:hAnsi="Times New Roman" w:cs="Times New Roman"/>
          <w:sz w:val="24"/>
          <w:szCs w:val="24"/>
        </w:rPr>
        <w:t xml:space="preserve">At the same time, this method ignores the cash inflows occurring in the project after </w:t>
      </w:r>
      <w:r w:rsidR="000F1446" w:rsidRPr="00E57ACD">
        <w:rPr>
          <w:rFonts w:ascii="Times New Roman" w:hAnsi="Times New Roman" w:cs="Times New Roman"/>
          <w:sz w:val="24"/>
          <w:szCs w:val="24"/>
        </w:rPr>
        <w:t xml:space="preserve">the </w:t>
      </w:r>
      <w:r w:rsidR="009F20C3" w:rsidRPr="00E57ACD">
        <w:rPr>
          <w:rFonts w:ascii="Times New Roman" w:hAnsi="Times New Roman" w:cs="Times New Roman"/>
          <w:sz w:val="24"/>
          <w:szCs w:val="24"/>
        </w:rPr>
        <w:t xml:space="preserve">identification of the payback period. It may influence the decision on incomplete consideration. </w:t>
      </w:r>
    </w:p>
    <w:p w14:paraId="479CE182" w14:textId="77777777" w:rsidR="006F1108" w:rsidRPr="00E57ACD" w:rsidRDefault="006F1108" w:rsidP="00953755">
      <w:pPr>
        <w:pStyle w:val="Normal1"/>
        <w:spacing w:line="360" w:lineRule="auto"/>
        <w:jc w:val="both"/>
        <w:rPr>
          <w:rFonts w:ascii="Times New Roman" w:eastAsia="Times New Roman" w:hAnsi="Times New Roman" w:cs="Times New Roman"/>
          <w:sz w:val="24"/>
          <w:szCs w:val="24"/>
          <w:lang w:val="en-GB"/>
        </w:rPr>
      </w:pPr>
    </w:p>
    <w:p w14:paraId="68842612" w14:textId="77777777" w:rsidR="006F1108" w:rsidRPr="00E57ACD" w:rsidRDefault="00CF100E" w:rsidP="00953755">
      <w:pPr>
        <w:pStyle w:val="Normal1"/>
        <w:spacing w:line="360" w:lineRule="auto"/>
        <w:jc w:val="both"/>
        <w:rPr>
          <w:rFonts w:ascii="Times New Roman" w:eastAsia="Times New Roman" w:hAnsi="Times New Roman" w:cs="Times New Roman"/>
          <w:color w:val="222222"/>
          <w:sz w:val="24"/>
          <w:szCs w:val="24"/>
          <w:lang w:val="en-GB"/>
        </w:rPr>
      </w:pPr>
      <w:r w:rsidRPr="00E57ACD">
        <w:rPr>
          <w:rFonts w:ascii="Times New Roman" w:eastAsia="Times New Roman" w:hAnsi="Times New Roman" w:cs="Times New Roman"/>
          <w:b/>
          <w:color w:val="222222"/>
          <w:sz w:val="24"/>
          <w:szCs w:val="24"/>
          <w:lang w:val="en-GB"/>
        </w:rPr>
        <w:t>Accounting rate of return</w:t>
      </w:r>
      <w:r w:rsidR="006F1108" w:rsidRPr="00E57ACD">
        <w:rPr>
          <w:rFonts w:ascii="Times New Roman" w:eastAsia="Times New Roman" w:hAnsi="Times New Roman" w:cs="Times New Roman"/>
          <w:color w:val="222222"/>
          <w:sz w:val="24"/>
          <w:szCs w:val="24"/>
          <w:lang w:val="en-GB"/>
        </w:rPr>
        <w:t xml:space="preserve">: </w:t>
      </w:r>
    </w:p>
    <w:p w14:paraId="30B56552" w14:textId="77777777" w:rsidR="006F1108" w:rsidRPr="00E57ACD" w:rsidRDefault="006F1108" w:rsidP="00953755">
      <w:pPr>
        <w:pStyle w:val="Normal1"/>
        <w:spacing w:line="360" w:lineRule="auto"/>
        <w:jc w:val="both"/>
        <w:rPr>
          <w:rFonts w:ascii="Times New Roman" w:eastAsia="Times New Roman" w:hAnsi="Times New Roman" w:cs="Times New Roman"/>
          <w:color w:val="222222"/>
          <w:sz w:val="24"/>
          <w:szCs w:val="24"/>
          <w:lang w:val="en-GB"/>
        </w:rPr>
      </w:pPr>
      <w:r w:rsidRPr="00E57ACD">
        <w:rPr>
          <w:rFonts w:ascii="Times New Roman" w:eastAsia="Times New Roman" w:hAnsi="Times New Roman" w:cs="Times New Roman"/>
          <w:color w:val="222222"/>
          <w:sz w:val="24"/>
          <w:szCs w:val="24"/>
          <w:lang w:val="en-GB"/>
        </w:rPr>
        <w:t>T</w:t>
      </w:r>
      <w:r w:rsidR="00CF100E" w:rsidRPr="00E57ACD">
        <w:rPr>
          <w:rFonts w:ascii="Times New Roman" w:eastAsia="Times New Roman" w:hAnsi="Times New Roman" w:cs="Times New Roman"/>
          <w:color w:val="222222"/>
          <w:sz w:val="24"/>
          <w:szCs w:val="24"/>
          <w:lang w:val="en-GB"/>
        </w:rPr>
        <w:t>his method is very simple to use for identif</w:t>
      </w:r>
      <w:r w:rsidR="000F1446" w:rsidRPr="00E57ACD">
        <w:rPr>
          <w:rFonts w:ascii="Times New Roman" w:eastAsia="Times New Roman" w:hAnsi="Times New Roman" w:cs="Times New Roman"/>
          <w:color w:val="222222"/>
          <w:sz w:val="24"/>
          <w:szCs w:val="24"/>
          <w:lang w:val="en-GB"/>
        </w:rPr>
        <w:t>ying</w:t>
      </w:r>
      <w:r w:rsidR="00CF100E" w:rsidRPr="00E57ACD">
        <w:rPr>
          <w:rFonts w:ascii="Times New Roman" w:eastAsia="Times New Roman" w:hAnsi="Times New Roman" w:cs="Times New Roman"/>
          <w:color w:val="222222"/>
          <w:sz w:val="24"/>
          <w:szCs w:val="24"/>
          <w:lang w:val="en-GB"/>
        </w:rPr>
        <w:t xml:space="preserve"> the potential in the business for improving the profit</w:t>
      </w:r>
      <w:r w:rsidR="000F1446" w:rsidRPr="00E57ACD">
        <w:rPr>
          <w:rFonts w:ascii="Times New Roman" w:eastAsia="Times New Roman" w:hAnsi="Times New Roman" w:cs="Times New Roman"/>
          <w:color w:val="222222"/>
          <w:sz w:val="24"/>
          <w:szCs w:val="24"/>
          <w:lang w:val="en-GB"/>
        </w:rPr>
        <w:t>ability</w:t>
      </w:r>
      <w:r w:rsidR="00CF100E" w:rsidRPr="00E57ACD">
        <w:rPr>
          <w:rFonts w:ascii="Times New Roman" w:eastAsia="Times New Roman" w:hAnsi="Times New Roman" w:cs="Times New Roman"/>
          <w:color w:val="222222"/>
          <w:sz w:val="24"/>
          <w:szCs w:val="24"/>
          <w:lang w:val="en-GB"/>
        </w:rPr>
        <w:t xml:space="preserve"> of the investors. The investors can easily compute the ability to improve the rate of the profit from the projects over the total life of the projects that can aid to measure the efficiency of projects. It may enable the businesses to decide on the right project can increase the profit margin of the company and can provide higher growth in the profitability</w:t>
      </w:r>
      <w:r w:rsidRPr="00E57ACD">
        <w:rPr>
          <w:rFonts w:ascii="Times New Roman" w:eastAsia="Times New Roman" w:hAnsi="Times New Roman" w:cs="Times New Roman"/>
          <w:color w:val="222222"/>
          <w:sz w:val="24"/>
          <w:szCs w:val="24"/>
          <w:lang w:val="en-GB"/>
        </w:rPr>
        <w:t xml:space="preserve"> </w:t>
      </w:r>
      <w:r w:rsidRPr="00E57ACD">
        <w:rPr>
          <w:rFonts w:ascii="Times New Roman" w:eastAsia="Times New Roman" w:hAnsi="Times New Roman" w:cs="Times New Roman"/>
          <w:sz w:val="24"/>
          <w:szCs w:val="24"/>
          <w:lang w:val="en-GB"/>
        </w:rPr>
        <w:t>(</w:t>
      </w:r>
      <w:r w:rsidRPr="00E57ACD">
        <w:rPr>
          <w:rFonts w:ascii="Times New Roman" w:eastAsia="Times New Roman" w:hAnsi="Times New Roman" w:cs="Times New Roman"/>
          <w:color w:val="222222"/>
          <w:sz w:val="24"/>
          <w:szCs w:val="24"/>
          <w:lang w:val="en-GB"/>
        </w:rPr>
        <w:t xml:space="preserve">Mahmoud and Neale, 2016).  </w:t>
      </w:r>
      <w:r w:rsidR="00170447" w:rsidRPr="00E57ACD">
        <w:rPr>
          <w:rFonts w:ascii="Times New Roman" w:eastAsia="Times New Roman" w:hAnsi="Times New Roman" w:cs="Times New Roman"/>
          <w:color w:val="222222"/>
          <w:sz w:val="24"/>
          <w:szCs w:val="24"/>
          <w:lang w:val="en-GB"/>
        </w:rPr>
        <w:t xml:space="preserve">The value of the project throughout the economic life of </w:t>
      </w:r>
      <w:r w:rsidR="000F1446" w:rsidRPr="00E57ACD">
        <w:rPr>
          <w:rFonts w:ascii="Times New Roman" w:eastAsia="Times New Roman" w:hAnsi="Times New Roman" w:cs="Times New Roman"/>
          <w:color w:val="222222"/>
          <w:sz w:val="24"/>
          <w:szCs w:val="24"/>
          <w:lang w:val="en-GB"/>
        </w:rPr>
        <w:t xml:space="preserve">the </w:t>
      </w:r>
      <w:r w:rsidR="00170447" w:rsidRPr="00E57ACD">
        <w:rPr>
          <w:rFonts w:ascii="Times New Roman" w:eastAsia="Times New Roman" w:hAnsi="Times New Roman" w:cs="Times New Roman"/>
          <w:color w:val="222222"/>
          <w:sz w:val="24"/>
          <w:szCs w:val="24"/>
          <w:lang w:val="en-GB"/>
        </w:rPr>
        <w:t xml:space="preserve">project might be measured and </w:t>
      </w:r>
      <w:proofErr w:type="spellStart"/>
      <w:r w:rsidR="00170447" w:rsidRPr="00E57ACD">
        <w:rPr>
          <w:rFonts w:ascii="Times New Roman" w:eastAsia="Times New Roman" w:hAnsi="Times New Roman" w:cs="Times New Roman"/>
          <w:color w:val="222222"/>
          <w:sz w:val="24"/>
          <w:szCs w:val="24"/>
          <w:lang w:val="en-GB"/>
        </w:rPr>
        <w:t>analyzed</w:t>
      </w:r>
      <w:proofErr w:type="spellEnd"/>
      <w:r w:rsidR="00170447" w:rsidRPr="00E57ACD">
        <w:rPr>
          <w:rFonts w:ascii="Times New Roman" w:eastAsia="Times New Roman" w:hAnsi="Times New Roman" w:cs="Times New Roman"/>
          <w:color w:val="222222"/>
          <w:sz w:val="24"/>
          <w:szCs w:val="24"/>
          <w:lang w:val="en-GB"/>
        </w:rPr>
        <w:t xml:space="preserve"> through this method. The depreciation and tax are two important factors that can influence the profitability of </w:t>
      </w:r>
      <w:r w:rsidR="000F1446" w:rsidRPr="00E57ACD">
        <w:rPr>
          <w:rFonts w:ascii="Times New Roman" w:eastAsia="Times New Roman" w:hAnsi="Times New Roman" w:cs="Times New Roman"/>
          <w:color w:val="222222"/>
          <w:sz w:val="24"/>
          <w:szCs w:val="24"/>
          <w:lang w:val="en-GB"/>
        </w:rPr>
        <w:t xml:space="preserve">a </w:t>
      </w:r>
      <w:r w:rsidR="00170447" w:rsidRPr="00E57ACD">
        <w:rPr>
          <w:rFonts w:ascii="Times New Roman" w:eastAsia="Times New Roman" w:hAnsi="Times New Roman" w:cs="Times New Roman"/>
          <w:color w:val="222222"/>
          <w:sz w:val="24"/>
          <w:szCs w:val="24"/>
          <w:lang w:val="en-GB"/>
        </w:rPr>
        <w:t xml:space="preserve">company and consideration of these factors in </w:t>
      </w:r>
      <w:r w:rsidR="000F1446" w:rsidRPr="00E57ACD">
        <w:rPr>
          <w:rFonts w:ascii="Times New Roman" w:eastAsia="Times New Roman" w:hAnsi="Times New Roman" w:cs="Times New Roman"/>
          <w:color w:val="222222"/>
          <w:sz w:val="24"/>
          <w:szCs w:val="24"/>
          <w:lang w:val="en-GB"/>
        </w:rPr>
        <w:t xml:space="preserve">the </w:t>
      </w:r>
      <w:r w:rsidR="00170447" w:rsidRPr="00E57ACD">
        <w:rPr>
          <w:rFonts w:ascii="Times New Roman" w:eastAsia="Times New Roman" w:hAnsi="Times New Roman" w:cs="Times New Roman"/>
          <w:color w:val="222222"/>
          <w:sz w:val="24"/>
          <w:szCs w:val="24"/>
          <w:lang w:val="en-GB"/>
        </w:rPr>
        <w:t xml:space="preserve">assessment of the profit may aid to provide accurate data and information </w:t>
      </w:r>
      <w:r w:rsidR="00170447" w:rsidRPr="00E57ACD">
        <w:rPr>
          <w:rFonts w:ascii="Times New Roman" w:hAnsi="Times New Roman" w:cs="Times New Roman"/>
          <w:sz w:val="24"/>
          <w:szCs w:val="24"/>
        </w:rPr>
        <w:t>(</w:t>
      </w:r>
      <w:r w:rsidR="00170447" w:rsidRPr="00E57ACD">
        <w:rPr>
          <w:rFonts w:ascii="Times New Roman" w:hAnsi="Times New Roman" w:cs="Times New Roman"/>
          <w:color w:val="222222"/>
          <w:sz w:val="24"/>
          <w:szCs w:val="24"/>
          <w:shd w:val="clear" w:color="auto" w:fill="FFFFFF"/>
        </w:rPr>
        <w:t xml:space="preserve">Bierman Jr and Smidt, 2012). </w:t>
      </w:r>
      <w:r w:rsidR="009832C0" w:rsidRPr="00E57ACD">
        <w:rPr>
          <w:rFonts w:ascii="Times New Roman" w:hAnsi="Times New Roman" w:cs="Times New Roman"/>
          <w:color w:val="222222"/>
          <w:sz w:val="24"/>
          <w:szCs w:val="24"/>
          <w:shd w:val="clear" w:color="auto" w:fill="FFFFFF"/>
        </w:rPr>
        <w:t xml:space="preserve">On the other hand, this method does not take the investment size into account can influence the process of the analysis of profit capability. At the same time, </w:t>
      </w:r>
      <w:r w:rsidR="000F1446" w:rsidRPr="00E57ACD">
        <w:rPr>
          <w:rFonts w:ascii="Times New Roman" w:hAnsi="Times New Roman" w:cs="Times New Roman"/>
          <w:color w:val="222222"/>
          <w:sz w:val="24"/>
          <w:szCs w:val="24"/>
          <w:shd w:val="clear" w:color="auto" w:fill="FFFFFF"/>
        </w:rPr>
        <w:t xml:space="preserve">the </w:t>
      </w:r>
      <w:r w:rsidR="009832C0" w:rsidRPr="00E57ACD">
        <w:rPr>
          <w:rFonts w:ascii="Times New Roman" w:hAnsi="Times New Roman" w:cs="Times New Roman"/>
          <w:color w:val="222222"/>
          <w:sz w:val="24"/>
          <w:szCs w:val="24"/>
          <w:shd w:val="clear" w:color="auto" w:fill="FFFFFF"/>
        </w:rPr>
        <w:t xml:space="preserve">time value of the fund and money is very important for businesses because the value of </w:t>
      </w:r>
      <w:r w:rsidR="000F1446" w:rsidRPr="00E57ACD">
        <w:rPr>
          <w:rFonts w:ascii="Times New Roman" w:hAnsi="Times New Roman" w:cs="Times New Roman"/>
          <w:color w:val="222222"/>
          <w:sz w:val="24"/>
          <w:szCs w:val="24"/>
          <w:shd w:val="clear" w:color="auto" w:fill="FFFFFF"/>
        </w:rPr>
        <w:t xml:space="preserve">the </w:t>
      </w:r>
      <w:r w:rsidR="009832C0" w:rsidRPr="00E57ACD">
        <w:rPr>
          <w:rFonts w:ascii="Times New Roman" w:hAnsi="Times New Roman" w:cs="Times New Roman"/>
          <w:color w:val="222222"/>
          <w:sz w:val="24"/>
          <w:szCs w:val="24"/>
          <w:shd w:val="clear" w:color="auto" w:fill="FFFFFF"/>
        </w:rPr>
        <w:t xml:space="preserve">fund depreciates over time. </w:t>
      </w:r>
      <w:r w:rsidR="00CC79BA" w:rsidRPr="00E57ACD">
        <w:rPr>
          <w:rFonts w:ascii="Times New Roman" w:hAnsi="Times New Roman" w:cs="Times New Roman"/>
          <w:color w:val="222222"/>
          <w:sz w:val="24"/>
          <w:szCs w:val="24"/>
          <w:shd w:val="clear" w:color="auto" w:fill="FFFFFF"/>
        </w:rPr>
        <w:t xml:space="preserve">Hence, this method is not able to consider and analyze the time value of inflows and income from the projects </w:t>
      </w:r>
      <w:r w:rsidR="00CC79BA" w:rsidRPr="00E57ACD">
        <w:rPr>
          <w:rFonts w:ascii="Times New Roman" w:hAnsi="Times New Roman" w:cs="Times New Roman"/>
          <w:sz w:val="24"/>
          <w:szCs w:val="24"/>
        </w:rPr>
        <w:t xml:space="preserve">(Basher and </w:t>
      </w:r>
      <w:proofErr w:type="spellStart"/>
      <w:r w:rsidR="00CC79BA" w:rsidRPr="00E57ACD">
        <w:rPr>
          <w:rFonts w:ascii="Times New Roman" w:hAnsi="Times New Roman" w:cs="Times New Roman"/>
          <w:sz w:val="24"/>
          <w:szCs w:val="24"/>
        </w:rPr>
        <w:t>Raboy</w:t>
      </w:r>
      <w:proofErr w:type="spellEnd"/>
      <w:r w:rsidR="00CC79BA" w:rsidRPr="00E57ACD">
        <w:rPr>
          <w:rFonts w:ascii="Times New Roman" w:hAnsi="Times New Roman" w:cs="Times New Roman"/>
          <w:sz w:val="24"/>
          <w:szCs w:val="24"/>
        </w:rPr>
        <w:t>, 2016)</w:t>
      </w:r>
      <w:r w:rsidR="00CC79BA" w:rsidRPr="00E57ACD">
        <w:rPr>
          <w:rFonts w:ascii="Times New Roman" w:hAnsi="Times New Roman" w:cs="Times New Roman"/>
          <w:color w:val="222222"/>
          <w:sz w:val="24"/>
          <w:szCs w:val="24"/>
          <w:shd w:val="clear" w:color="auto" w:fill="FFFFFF"/>
        </w:rPr>
        <w:t xml:space="preserve">. </w:t>
      </w:r>
    </w:p>
    <w:p w14:paraId="39FCBA07" w14:textId="77777777" w:rsidR="006F1108" w:rsidRPr="00E57ACD" w:rsidRDefault="006F1108" w:rsidP="00953755">
      <w:pPr>
        <w:pStyle w:val="Normal1"/>
        <w:spacing w:line="360" w:lineRule="auto"/>
        <w:jc w:val="both"/>
        <w:rPr>
          <w:rFonts w:ascii="Times New Roman" w:eastAsia="Times New Roman" w:hAnsi="Times New Roman" w:cs="Times New Roman"/>
          <w:color w:val="222222"/>
          <w:sz w:val="24"/>
          <w:szCs w:val="24"/>
          <w:lang w:val="en-GB"/>
        </w:rPr>
      </w:pPr>
      <w:r w:rsidRPr="00E57ACD">
        <w:rPr>
          <w:rFonts w:ascii="Times New Roman" w:eastAsia="Times New Roman" w:hAnsi="Times New Roman" w:cs="Times New Roman"/>
          <w:b/>
          <w:color w:val="222222"/>
          <w:sz w:val="24"/>
          <w:szCs w:val="24"/>
          <w:lang w:val="en-GB"/>
        </w:rPr>
        <w:lastRenderedPageBreak/>
        <w:t>Net Present Value:</w:t>
      </w:r>
      <w:r w:rsidRPr="00E57ACD">
        <w:rPr>
          <w:rFonts w:ascii="Times New Roman" w:eastAsia="Times New Roman" w:hAnsi="Times New Roman" w:cs="Times New Roman"/>
          <w:color w:val="222222"/>
          <w:sz w:val="24"/>
          <w:szCs w:val="24"/>
          <w:lang w:val="en-GB"/>
        </w:rPr>
        <w:t xml:space="preserve"> </w:t>
      </w:r>
    </w:p>
    <w:p w14:paraId="2F798412" w14:textId="77777777" w:rsidR="00492DE9" w:rsidRPr="00E57ACD" w:rsidRDefault="009C4E2F" w:rsidP="00953755">
      <w:pPr>
        <w:pStyle w:val="Normal1"/>
        <w:spacing w:line="360" w:lineRule="auto"/>
        <w:jc w:val="both"/>
        <w:rPr>
          <w:rFonts w:ascii="Times New Roman" w:hAnsi="Times New Roman" w:cs="Times New Roman"/>
          <w:sz w:val="24"/>
          <w:szCs w:val="24"/>
        </w:rPr>
      </w:pPr>
      <w:r w:rsidRPr="00E57ACD">
        <w:rPr>
          <w:rFonts w:ascii="Times New Roman" w:eastAsia="Times New Roman" w:hAnsi="Times New Roman" w:cs="Times New Roman"/>
          <w:color w:val="222222"/>
          <w:sz w:val="24"/>
          <w:szCs w:val="24"/>
          <w:lang w:val="en-GB"/>
        </w:rPr>
        <w:t xml:space="preserve">This method is effective for the evaluation of the investment options and projects because it considers the discount of the inflows on a fixed discount rate to find the present value of each future cash inflows. This improves effectiveness in decision making. </w:t>
      </w:r>
      <w:r w:rsidR="00E3372F" w:rsidRPr="00E57ACD">
        <w:rPr>
          <w:rFonts w:ascii="Times New Roman" w:eastAsia="Times New Roman" w:hAnsi="Times New Roman" w:cs="Times New Roman"/>
          <w:color w:val="222222"/>
          <w:sz w:val="24"/>
          <w:szCs w:val="24"/>
          <w:lang w:val="en-GB"/>
        </w:rPr>
        <w:t xml:space="preserve">At the same time, this method enables investors to consider the opportunity cost of the project investments and determine the profitability of the enterprise </w:t>
      </w:r>
      <w:r w:rsidR="00E3372F" w:rsidRPr="00E57ACD">
        <w:rPr>
          <w:rFonts w:ascii="Times New Roman" w:hAnsi="Times New Roman" w:cs="Times New Roman"/>
          <w:sz w:val="24"/>
          <w:szCs w:val="24"/>
        </w:rPr>
        <w:t xml:space="preserve">(Bora, 2015). On the other hand, </w:t>
      </w:r>
      <w:r w:rsidR="00813A30" w:rsidRPr="00E57ACD">
        <w:rPr>
          <w:rFonts w:ascii="Times New Roman" w:hAnsi="Times New Roman" w:cs="Times New Roman"/>
          <w:sz w:val="24"/>
          <w:szCs w:val="24"/>
        </w:rPr>
        <w:t xml:space="preserve">it is very difficult to calculate the profitability through this method and to understand the importance. This method depends on the cost of capital which is assumed and there is no assurance for </w:t>
      </w:r>
      <w:r w:rsidR="000F1446" w:rsidRPr="00E57ACD">
        <w:rPr>
          <w:rFonts w:ascii="Times New Roman" w:hAnsi="Times New Roman" w:cs="Times New Roman"/>
          <w:sz w:val="24"/>
          <w:szCs w:val="24"/>
        </w:rPr>
        <w:t xml:space="preserve">the </w:t>
      </w:r>
      <w:r w:rsidR="00813A30" w:rsidRPr="00E57ACD">
        <w:rPr>
          <w:rFonts w:ascii="Times New Roman" w:hAnsi="Times New Roman" w:cs="Times New Roman"/>
          <w:sz w:val="24"/>
          <w:szCs w:val="24"/>
        </w:rPr>
        <w:t xml:space="preserve">accuracy of the discount rate </w:t>
      </w:r>
      <w:r w:rsidR="00813A30" w:rsidRPr="00E57ACD">
        <w:rPr>
          <w:rFonts w:ascii="Times New Roman" w:eastAsia="Times New Roman" w:hAnsi="Times New Roman" w:cs="Times New Roman"/>
          <w:color w:val="222222"/>
          <w:sz w:val="24"/>
          <w:szCs w:val="24"/>
          <w:lang w:val="en-GB"/>
        </w:rPr>
        <w:t>(</w:t>
      </w:r>
      <w:r w:rsidR="00813A30" w:rsidRPr="00E57ACD">
        <w:rPr>
          <w:rFonts w:ascii="Times New Roman" w:hAnsi="Times New Roman" w:cs="Times New Roman"/>
          <w:color w:val="222222"/>
          <w:sz w:val="24"/>
          <w:szCs w:val="24"/>
          <w:shd w:val="clear" w:color="auto" w:fill="FFFFFF"/>
        </w:rPr>
        <w:t>Rossi, 2014)</w:t>
      </w:r>
      <w:r w:rsidR="00813A30" w:rsidRPr="00E57ACD">
        <w:rPr>
          <w:rFonts w:ascii="Times New Roman" w:hAnsi="Times New Roman" w:cs="Times New Roman"/>
          <w:sz w:val="24"/>
          <w:szCs w:val="24"/>
        </w:rPr>
        <w:t xml:space="preserve">. </w:t>
      </w:r>
      <w:r w:rsidR="009F69BE" w:rsidRPr="00E57ACD">
        <w:rPr>
          <w:rFonts w:ascii="Times New Roman" w:hAnsi="Times New Roman" w:cs="Times New Roman"/>
          <w:sz w:val="24"/>
          <w:szCs w:val="24"/>
        </w:rPr>
        <w:t xml:space="preserve">Furthermore, there is </w:t>
      </w:r>
      <w:r w:rsidR="000F1446" w:rsidRPr="00E57ACD">
        <w:rPr>
          <w:rFonts w:ascii="Times New Roman" w:hAnsi="Times New Roman" w:cs="Times New Roman"/>
          <w:sz w:val="24"/>
          <w:szCs w:val="24"/>
        </w:rPr>
        <w:t xml:space="preserve">a </w:t>
      </w:r>
      <w:r w:rsidR="009F69BE" w:rsidRPr="00E57ACD">
        <w:rPr>
          <w:rFonts w:ascii="Times New Roman" w:hAnsi="Times New Roman" w:cs="Times New Roman"/>
          <w:sz w:val="24"/>
          <w:szCs w:val="24"/>
        </w:rPr>
        <w:t xml:space="preserve">calculation of </w:t>
      </w:r>
      <w:r w:rsidR="000F1446" w:rsidRPr="00E57ACD">
        <w:rPr>
          <w:rFonts w:ascii="Times New Roman" w:hAnsi="Times New Roman" w:cs="Times New Roman"/>
          <w:sz w:val="24"/>
          <w:szCs w:val="24"/>
        </w:rPr>
        <w:t xml:space="preserve">the </w:t>
      </w:r>
      <w:r w:rsidR="009F69BE" w:rsidRPr="00E57ACD">
        <w:rPr>
          <w:rFonts w:ascii="Times New Roman" w:hAnsi="Times New Roman" w:cs="Times New Roman"/>
          <w:sz w:val="24"/>
          <w:szCs w:val="24"/>
        </w:rPr>
        <w:t xml:space="preserve">percentage of return that can influence the effectiveness of </w:t>
      </w:r>
      <w:r w:rsidR="000F1446" w:rsidRPr="00E57ACD">
        <w:rPr>
          <w:rFonts w:ascii="Times New Roman" w:hAnsi="Times New Roman" w:cs="Times New Roman"/>
          <w:sz w:val="24"/>
          <w:szCs w:val="24"/>
        </w:rPr>
        <w:t xml:space="preserve">the </w:t>
      </w:r>
      <w:r w:rsidR="009F69BE" w:rsidRPr="00E57ACD">
        <w:rPr>
          <w:rFonts w:ascii="Times New Roman" w:hAnsi="Times New Roman" w:cs="Times New Roman"/>
          <w:sz w:val="24"/>
          <w:szCs w:val="24"/>
        </w:rPr>
        <w:t xml:space="preserve">comparison of the results. </w:t>
      </w:r>
    </w:p>
    <w:p w14:paraId="63CC8519" w14:textId="77777777" w:rsidR="006A056B" w:rsidRPr="00E57ACD" w:rsidRDefault="006A056B" w:rsidP="006A056B">
      <w:pPr>
        <w:pStyle w:val="Heading2"/>
        <w:rPr>
          <w:rFonts w:ascii="Times New Roman" w:hAnsi="Times New Roman" w:cs="Times New Roman"/>
          <w:sz w:val="24"/>
          <w:szCs w:val="24"/>
        </w:rPr>
      </w:pPr>
      <w:bookmarkStart w:id="14" w:name="_Toc58487576"/>
      <w:r w:rsidRPr="00E57ACD">
        <w:rPr>
          <w:rFonts w:ascii="Times New Roman" w:hAnsi="Times New Roman" w:cs="Times New Roman"/>
          <w:sz w:val="24"/>
          <w:szCs w:val="24"/>
        </w:rPr>
        <w:t>Consideration of the Non</w:t>
      </w:r>
      <w:r w:rsidR="000F1446" w:rsidRPr="00E57ACD">
        <w:rPr>
          <w:rFonts w:ascii="Times New Roman" w:hAnsi="Times New Roman" w:cs="Times New Roman"/>
          <w:sz w:val="24"/>
          <w:szCs w:val="24"/>
        </w:rPr>
        <w:t>-</w:t>
      </w:r>
      <w:r w:rsidRPr="00E57ACD">
        <w:rPr>
          <w:rFonts w:ascii="Times New Roman" w:hAnsi="Times New Roman" w:cs="Times New Roman"/>
          <w:sz w:val="24"/>
          <w:szCs w:val="24"/>
        </w:rPr>
        <w:t>financial factors:</w:t>
      </w:r>
      <w:bookmarkEnd w:id="14"/>
    </w:p>
    <w:p w14:paraId="381AF2C3" w14:textId="77777777" w:rsidR="006A056B" w:rsidRPr="00E57ACD" w:rsidRDefault="008037BE" w:rsidP="00953755">
      <w:pPr>
        <w:pStyle w:val="Normal1"/>
        <w:spacing w:line="360" w:lineRule="auto"/>
        <w:jc w:val="both"/>
        <w:rPr>
          <w:rFonts w:ascii="Times New Roman" w:eastAsia="Times New Roman" w:hAnsi="Times New Roman" w:cs="Times New Roman"/>
          <w:color w:val="222222"/>
          <w:sz w:val="24"/>
          <w:szCs w:val="24"/>
          <w:lang w:val="en-GB"/>
        </w:rPr>
      </w:pPr>
      <w:r w:rsidRPr="00E57ACD">
        <w:rPr>
          <w:rFonts w:ascii="Times New Roman" w:eastAsia="Times New Roman" w:hAnsi="Times New Roman" w:cs="Times New Roman"/>
          <w:color w:val="222222"/>
          <w:sz w:val="24"/>
          <w:szCs w:val="24"/>
          <w:lang w:val="en-GB"/>
        </w:rPr>
        <w:t xml:space="preserve">There are many non-financial factors are needed to be considered for improving the effectiveness of the financial and investment decision of the company. </w:t>
      </w:r>
      <w:r w:rsidR="008017FA" w:rsidRPr="00E57ACD">
        <w:rPr>
          <w:rFonts w:ascii="Times New Roman" w:eastAsia="Times New Roman" w:hAnsi="Times New Roman" w:cs="Times New Roman"/>
          <w:color w:val="222222"/>
          <w:sz w:val="24"/>
          <w:szCs w:val="24"/>
          <w:lang w:val="en-GB"/>
        </w:rPr>
        <w:t>The current and future legislation are taken into account by the investors and businesses that they might have to comply with. At the same time, standards for the quality of the product or services in the industry and standards regarding the practices might be needed to be considered by the businesses for ensuring effective practice and enhanc</w:t>
      </w:r>
      <w:r w:rsidR="000F1446" w:rsidRPr="00E57ACD">
        <w:rPr>
          <w:rFonts w:ascii="Times New Roman" w:eastAsia="Times New Roman" w:hAnsi="Times New Roman" w:cs="Times New Roman"/>
          <w:color w:val="222222"/>
          <w:sz w:val="24"/>
          <w:szCs w:val="24"/>
          <w:lang w:val="en-GB"/>
        </w:rPr>
        <w:t>ement</w:t>
      </w:r>
      <w:r w:rsidR="008017FA" w:rsidRPr="00E57ACD">
        <w:rPr>
          <w:rFonts w:ascii="Times New Roman" w:eastAsia="Times New Roman" w:hAnsi="Times New Roman" w:cs="Times New Roman"/>
          <w:color w:val="222222"/>
          <w:sz w:val="24"/>
          <w:szCs w:val="24"/>
          <w:lang w:val="en-GB"/>
        </w:rPr>
        <w:t xml:space="preserve">. </w:t>
      </w:r>
      <w:r w:rsidR="00C0151F" w:rsidRPr="00E57ACD">
        <w:rPr>
          <w:rFonts w:ascii="Times New Roman" w:eastAsia="Times New Roman" w:hAnsi="Times New Roman" w:cs="Times New Roman"/>
          <w:color w:val="222222"/>
          <w:sz w:val="24"/>
          <w:szCs w:val="24"/>
          <w:lang w:val="en-GB"/>
        </w:rPr>
        <w:t xml:space="preserve">The relationship requirements of the businesses with the consumers and suppliers in the market might be considered by </w:t>
      </w:r>
      <w:r w:rsidR="000F1446" w:rsidRPr="00E57ACD">
        <w:rPr>
          <w:rFonts w:ascii="Times New Roman" w:eastAsia="Times New Roman" w:hAnsi="Times New Roman" w:cs="Times New Roman"/>
          <w:color w:val="222222"/>
          <w:sz w:val="24"/>
          <w:szCs w:val="24"/>
          <w:lang w:val="en-GB"/>
        </w:rPr>
        <w:t xml:space="preserve">the </w:t>
      </w:r>
      <w:r w:rsidR="00C0151F" w:rsidRPr="00E57ACD">
        <w:rPr>
          <w:rFonts w:ascii="Times New Roman" w:eastAsia="Times New Roman" w:hAnsi="Times New Roman" w:cs="Times New Roman"/>
          <w:color w:val="222222"/>
          <w:sz w:val="24"/>
          <w:szCs w:val="24"/>
          <w:lang w:val="en-GB"/>
        </w:rPr>
        <w:t xml:space="preserve">manager to decide the best one to raise the relationship with </w:t>
      </w:r>
      <w:r w:rsidR="000F1446" w:rsidRPr="00E57ACD">
        <w:rPr>
          <w:rFonts w:ascii="Times New Roman" w:eastAsia="Times New Roman" w:hAnsi="Times New Roman" w:cs="Times New Roman"/>
          <w:color w:val="222222"/>
          <w:sz w:val="24"/>
          <w:szCs w:val="24"/>
          <w:lang w:val="en-GB"/>
        </w:rPr>
        <w:t xml:space="preserve">the </w:t>
      </w:r>
      <w:r w:rsidR="00C0151F" w:rsidRPr="00E57ACD">
        <w:rPr>
          <w:rFonts w:ascii="Times New Roman" w:eastAsia="Times New Roman" w:hAnsi="Times New Roman" w:cs="Times New Roman"/>
          <w:color w:val="222222"/>
          <w:sz w:val="24"/>
          <w:szCs w:val="24"/>
          <w:lang w:val="en-GB"/>
        </w:rPr>
        <w:t>consumer and benefit its stakeholders. In addition to this, change</w:t>
      </w:r>
      <w:r w:rsidR="000F1446" w:rsidRPr="00E57ACD">
        <w:rPr>
          <w:rFonts w:ascii="Times New Roman" w:eastAsia="Times New Roman" w:hAnsi="Times New Roman" w:cs="Times New Roman"/>
          <w:color w:val="222222"/>
          <w:sz w:val="24"/>
          <w:szCs w:val="24"/>
          <w:lang w:val="en-GB"/>
        </w:rPr>
        <w:t>s</w:t>
      </w:r>
      <w:r w:rsidR="00C0151F" w:rsidRPr="00E57ACD">
        <w:rPr>
          <w:rFonts w:ascii="Times New Roman" w:eastAsia="Times New Roman" w:hAnsi="Times New Roman" w:cs="Times New Roman"/>
          <w:color w:val="222222"/>
          <w:sz w:val="24"/>
          <w:szCs w:val="24"/>
          <w:lang w:val="en-GB"/>
        </w:rPr>
        <w:t xml:space="preserve"> in political factors, social factors, technology, and other factors might be considered because </w:t>
      </w:r>
      <w:r w:rsidR="000F1446" w:rsidRPr="00E57ACD">
        <w:rPr>
          <w:rFonts w:ascii="Times New Roman" w:eastAsia="Times New Roman" w:hAnsi="Times New Roman" w:cs="Times New Roman"/>
          <w:color w:val="222222"/>
          <w:sz w:val="24"/>
          <w:szCs w:val="24"/>
          <w:lang w:val="en-GB"/>
        </w:rPr>
        <w:t xml:space="preserve">the </w:t>
      </w:r>
      <w:r w:rsidR="00C0151F" w:rsidRPr="00E57ACD">
        <w:rPr>
          <w:rFonts w:ascii="Times New Roman" w:eastAsia="Times New Roman" w:hAnsi="Times New Roman" w:cs="Times New Roman"/>
          <w:color w:val="222222"/>
          <w:sz w:val="24"/>
          <w:szCs w:val="24"/>
          <w:lang w:val="en-GB"/>
        </w:rPr>
        <w:t xml:space="preserve">change in these factors might be affecting the inflows from the projects. </w:t>
      </w:r>
    </w:p>
    <w:p w14:paraId="7CE00524" w14:textId="77777777" w:rsidR="00B33969" w:rsidRPr="00E57ACD" w:rsidRDefault="00B33969" w:rsidP="00953755">
      <w:pPr>
        <w:spacing w:line="360" w:lineRule="auto"/>
        <w:jc w:val="both"/>
        <w:rPr>
          <w:rFonts w:ascii="Times New Roman" w:hAnsi="Times New Roman" w:cs="Times New Roman"/>
          <w:sz w:val="24"/>
          <w:szCs w:val="24"/>
        </w:rPr>
      </w:pPr>
    </w:p>
    <w:p w14:paraId="39324245" w14:textId="77777777" w:rsidR="009F69BE" w:rsidRPr="00E57ACD" w:rsidRDefault="009F69BE" w:rsidP="00953755">
      <w:pPr>
        <w:spacing w:line="360" w:lineRule="auto"/>
        <w:jc w:val="both"/>
        <w:rPr>
          <w:rFonts w:ascii="Times New Roman" w:eastAsiaTheme="majorEastAsia" w:hAnsi="Times New Roman" w:cs="Times New Roman"/>
          <w:b/>
          <w:bCs/>
          <w:color w:val="365F91" w:themeColor="accent1" w:themeShade="BF"/>
          <w:sz w:val="24"/>
          <w:szCs w:val="24"/>
        </w:rPr>
      </w:pPr>
      <w:r w:rsidRPr="00E57ACD">
        <w:rPr>
          <w:rFonts w:ascii="Times New Roman" w:hAnsi="Times New Roman" w:cs="Times New Roman"/>
          <w:sz w:val="24"/>
          <w:szCs w:val="24"/>
        </w:rPr>
        <w:br w:type="page"/>
      </w:r>
    </w:p>
    <w:p w14:paraId="58252536" w14:textId="77777777" w:rsidR="001A2E6A" w:rsidRPr="00E57ACD" w:rsidRDefault="00B33969" w:rsidP="00953755">
      <w:pPr>
        <w:pStyle w:val="Heading1"/>
        <w:spacing w:line="360" w:lineRule="auto"/>
        <w:jc w:val="both"/>
        <w:rPr>
          <w:rFonts w:ascii="Times New Roman" w:hAnsi="Times New Roman" w:cs="Times New Roman"/>
          <w:sz w:val="24"/>
          <w:szCs w:val="24"/>
        </w:rPr>
      </w:pPr>
      <w:bookmarkStart w:id="15" w:name="_Toc58487577"/>
      <w:r w:rsidRPr="00E57ACD">
        <w:rPr>
          <w:rFonts w:ascii="Times New Roman" w:hAnsi="Times New Roman" w:cs="Times New Roman"/>
          <w:sz w:val="24"/>
          <w:szCs w:val="24"/>
        </w:rPr>
        <w:lastRenderedPageBreak/>
        <w:t>References:</w:t>
      </w:r>
      <w:bookmarkEnd w:id="15"/>
    </w:p>
    <w:p w14:paraId="241161C9" w14:textId="77777777" w:rsidR="009E6918" w:rsidRPr="00E57ACD" w:rsidRDefault="009E6918" w:rsidP="006E53C7">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57ACD">
        <w:rPr>
          <w:rFonts w:ascii="Times New Roman" w:hAnsi="Times New Roman" w:cs="Times New Roman"/>
          <w:color w:val="222222"/>
          <w:sz w:val="24"/>
          <w:szCs w:val="24"/>
          <w:shd w:val="clear" w:color="auto" w:fill="FFFFFF"/>
        </w:rPr>
        <w:t>Asiri</w:t>
      </w:r>
      <w:proofErr w:type="spellEnd"/>
      <w:r w:rsidRPr="00E57ACD">
        <w:rPr>
          <w:rFonts w:ascii="Times New Roman" w:hAnsi="Times New Roman" w:cs="Times New Roman"/>
          <w:color w:val="222222"/>
          <w:sz w:val="24"/>
          <w:szCs w:val="24"/>
          <w:shd w:val="clear" w:color="auto" w:fill="FFFFFF"/>
        </w:rPr>
        <w:t>, B. K., and Hameed, S. A. (2014) Financial ratios and firm's value in the Bahrain Bourse. </w:t>
      </w:r>
      <w:r w:rsidRPr="00E57ACD">
        <w:rPr>
          <w:rFonts w:ascii="Times New Roman" w:hAnsi="Times New Roman" w:cs="Times New Roman"/>
          <w:i/>
          <w:iCs/>
          <w:color w:val="222222"/>
          <w:sz w:val="24"/>
          <w:szCs w:val="24"/>
          <w:shd w:val="clear" w:color="auto" w:fill="FFFFFF"/>
        </w:rPr>
        <w:t>Research Journal of Finance and Accounting</w:t>
      </w:r>
      <w:r w:rsidRPr="00E57ACD">
        <w:rPr>
          <w:rFonts w:ascii="Times New Roman" w:hAnsi="Times New Roman" w:cs="Times New Roman"/>
          <w:color w:val="222222"/>
          <w:sz w:val="24"/>
          <w:szCs w:val="24"/>
          <w:shd w:val="clear" w:color="auto" w:fill="FFFFFF"/>
        </w:rPr>
        <w:t>, </w:t>
      </w:r>
      <w:r w:rsidRPr="00E57ACD">
        <w:rPr>
          <w:rFonts w:ascii="Times New Roman" w:hAnsi="Times New Roman" w:cs="Times New Roman"/>
          <w:iCs/>
          <w:color w:val="222222"/>
          <w:sz w:val="24"/>
          <w:szCs w:val="24"/>
          <w:shd w:val="clear" w:color="auto" w:fill="FFFFFF"/>
        </w:rPr>
        <w:t>5</w:t>
      </w:r>
      <w:r w:rsidRPr="00E57ACD">
        <w:rPr>
          <w:rFonts w:ascii="Times New Roman" w:hAnsi="Times New Roman" w:cs="Times New Roman"/>
          <w:color w:val="222222"/>
          <w:sz w:val="24"/>
          <w:szCs w:val="24"/>
          <w:shd w:val="clear" w:color="auto" w:fill="FFFFFF"/>
        </w:rPr>
        <w:t>(7), pp.1-9.</w:t>
      </w:r>
    </w:p>
    <w:p w14:paraId="49E11557" w14:textId="77777777" w:rsidR="009E6918" w:rsidRPr="00E57ACD" w:rsidRDefault="009E6918" w:rsidP="006E53C7">
      <w:pPr>
        <w:spacing w:line="360" w:lineRule="auto"/>
        <w:ind w:left="720" w:hanging="720"/>
        <w:jc w:val="both"/>
        <w:rPr>
          <w:rFonts w:ascii="Times New Roman" w:hAnsi="Times New Roman" w:cs="Times New Roman"/>
          <w:sz w:val="24"/>
          <w:szCs w:val="24"/>
        </w:rPr>
      </w:pPr>
      <w:r w:rsidRPr="00E57ACD">
        <w:rPr>
          <w:rFonts w:ascii="Times New Roman" w:hAnsi="Times New Roman" w:cs="Times New Roman"/>
          <w:color w:val="222222"/>
          <w:sz w:val="24"/>
          <w:szCs w:val="24"/>
          <w:shd w:val="clear" w:color="auto" w:fill="FFFFFF"/>
        </w:rPr>
        <w:t>Babalola, Y. A., and Abiola, F. R. (2013) Financial ratio analysis of firms: A tool for decision making. </w:t>
      </w:r>
      <w:r w:rsidRPr="00E57ACD">
        <w:rPr>
          <w:rFonts w:ascii="Times New Roman" w:hAnsi="Times New Roman" w:cs="Times New Roman"/>
          <w:i/>
          <w:iCs/>
          <w:color w:val="222222"/>
          <w:sz w:val="24"/>
          <w:szCs w:val="24"/>
          <w:shd w:val="clear" w:color="auto" w:fill="FFFFFF"/>
        </w:rPr>
        <w:t>International journal of management sciences</w:t>
      </w:r>
      <w:r w:rsidRPr="00E57ACD">
        <w:rPr>
          <w:rFonts w:ascii="Times New Roman" w:hAnsi="Times New Roman" w:cs="Times New Roman"/>
          <w:color w:val="222222"/>
          <w:sz w:val="24"/>
          <w:szCs w:val="24"/>
          <w:shd w:val="clear" w:color="auto" w:fill="FFFFFF"/>
        </w:rPr>
        <w:t>, </w:t>
      </w:r>
      <w:r w:rsidRPr="00E57ACD">
        <w:rPr>
          <w:rFonts w:ascii="Times New Roman" w:hAnsi="Times New Roman" w:cs="Times New Roman"/>
          <w:iCs/>
          <w:color w:val="222222"/>
          <w:sz w:val="24"/>
          <w:szCs w:val="24"/>
          <w:shd w:val="clear" w:color="auto" w:fill="FFFFFF"/>
        </w:rPr>
        <w:t>1</w:t>
      </w:r>
      <w:r w:rsidRPr="00E57ACD">
        <w:rPr>
          <w:rFonts w:ascii="Times New Roman" w:hAnsi="Times New Roman" w:cs="Times New Roman"/>
          <w:color w:val="222222"/>
          <w:sz w:val="24"/>
          <w:szCs w:val="24"/>
          <w:shd w:val="clear" w:color="auto" w:fill="FFFFFF"/>
        </w:rPr>
        <w:t>(4), pp.132-137.</w:t>
      </w:r>
    </w:p>
    <w:p w14:paraId="5AFC82B8" w14:textId="77777777" w:rsidR="009E6918" w:rsidRPr="00E57ACD" w:rsidRDefault="009E6918" w:rsidP="00953755">
      <w:pPr>
        <w:spacing w:line="360" w:lineRule="auto"/>
        <w:ind w:left="720" w:hanging="720"/>
        <w:jc w:val="both"/>
        <w:rPr>
          <w:rFonts w:ascii="Times New Roman" w:hAnsi="Times New Roman" w:cs="Times New Roman"/>
          <w:sz w:val="24"/>
          <w:szCs w:val="24"/>
        </w:rPr>
      </w:pPr>
      <w:r w:rsidRPr="00E57ACD">
        <w:rPr>
          <w:rFonts w:ascii="Times New Roman" w:hAnsi="Times New Roman" w:cs="Times New Roman"/>
          <w:sz w:val="24"/>
          <w:szCs w:val="24"/>
        </w:rPr>
        <w:t xml:space="preserve">Baker, H. and English, P. (2011) </w:t>
      </w:r>
      <w:r w:rsidRPr="00E57ACD">
        <w:rPr>
          <w:rFonts w:ascii="Times New Roman" w:hAnsi="Times New Roman" w:cs="Times New Roman"/>
          <w:i/>
          <w:sz w:val="24"/>
          <w:szCs w:val="24"/>
        </w:rPr>
        <w:t>Capital Budgeting Valuation: Financial Analysis for Today's Investment Projects.</w:t>
      </w:r>
      <w:r w:rsidRPr="00E57ACD">
        <w:rPr>
          <w:rFonts w:ascii="Times New Roman" w:hAnsi="Times New Roman" w:cs="Times New Roman"/>
          <w:sz w:val="24"/>
          <w:szCs w:val="24"/>
        </w:rPr>
        <w:t xml:space="preserve"> USA: John Wiley &amp; Sons. </w:t>
      </w:r>
    </w:p>
    <w:p w14:paraId="242FBE10" w14:textId="77777777" w:rsidR="009E6918" w:rsidRPr="00E57ACD" w:rsidRDefault="009E6918" w:rsidP="00953755">
      <w:pPr>
        <w:spacing w:line="360" w:lineRule="auto"/>
        <w:ind w:left="720" w:hanging="720"/>
        <w:jc w:val="both"/>
        <w:rPr>
          <w:rFonts w:ascii="Times New Roman" w:hAnsi="Times New Roman" w:cs="Times New Roman"/>
          <w:sz w:val="24"/>
          <w:szCs w:val="24"/>
        </w:rPr>
      </w:pPr>
      <w:r w:rsidRPr="00E57ACD">
        <w:rPr>
          <w:rFonts w:ascii="Times New Roman" w:hAnsi="Times New Roman" w:cs="Times New Roman"/>
          <w:sz w:val="24"/>
          <w:szCs w:val="24"/>
        </w:rPr>
        <w:t xml:space="preserve">Basher, S.A. and </w:t>
      </w:r>
      <w:proofErr w:type="spellStart"/>
      <w:r w:rsidRPr="00E57ACD">
        <w:rPr>
          <w:rFonts w:ascii="Times New Roman" w:hAnsi="Times New Roman" w:cs="Times New Roman"/>
          <w:sz w:val="24"/>
          <w:szCs w:val="24"/>
        </w:rPr>
        <w:t>Raboy</w:t>
      </w:r>
      <w:proofErr w:type="spellEnd"/>
      <w:r w:rsidRPr="00E57ACD">
        <w:rPr>
          <w:rFonts w:ascii="Times New Roman" w:hAnsi="Times New Roman" w:cs="Times New Roman"/>
          <w:sz w:val="24"/>
          <w:szCs w:val="24"/>
        </w:rPr>
        <w:t>, D.G., (2018) The misuse of net present value in energy efficiency standards. </w:t>
      </w:r>
      <w:r w:rsidRPr="00E57ACD">
        <w:rPr>
          <w:rFonts w:ascii="Times New Roman" w:hAnsi="Times New Roman" w:cs="Times New Roman"/>
          <w:i/>
          <w:iCs/>
          <w:sz w:val="24"/>
          <w:szCs w:val="24"/>
        </w:rPr>
        <w:t>Renewable and Sustainable Energy Reviews</w:t>
      </w:r>
      <w:r w:rsidRPr="00E57ACD">
        <w:rPr>
          <w:rFonts w:ascii="Times New Roman" w:hAnsi="Times New Roman" w:cs="Times New Roman"/>
          <w:sz w:val="24"/>
          <w:szCs w:val="24"/>
        </w:rPr>
        <w:t>, </w:t>
      </w:r>
      <w:r w:rsidRPr="00E57ACD">
        <w:rPr>
          <w:rFonts w:ascii="Times New Roman" w:hAnsi="Times New Roman" w:cs="Times New Roman"/>
          <w:i/>
          <w:iCs/>
          <w:sz w:val="24"/>
          <w:szCs w:val="24"/>
        </w:rPr>
        <w:t>96</w:t>
      </w:r>
      <w:r w:rsidRPr="00E57ACD">
        <w:rPr>
          <w:rFonts w:ascii="Times New Roman" w:hAnsi="Times New Roman" w:cs="Times New Roman"/>
          <w:sz w:val="24"/>
          <w:szCs w:val="24"/>
        </w:rPr>
        <w:t>, pp.218-225.</w:t>
      </w:r>
    </w:p>
    <w:p w14:paraId="569B30E5" w14:textId="77777777" w:rsidR="009E6918" w:rsidRPr="00E57ACD" w:rsidRDefault="009E6918" w:rsidP="00953755">
      <w:pPr>
        <w:spacing w:line="360" w:lineRule="auto"/>
        <w:ind w:left="720" w:hanging="720"/>
        <w:jc w:val="both"/>
        <w:rPr>
          <w:rFonts w:ascii="Times New Roman" w:hAnsi="Times New Roman" w:cs="Times New Roman"/>
          <w:color w:val="222222"/>
          <w:sz w:val="24"/>
          <w:szCs w:val="24"/>
          <w:shd w:val="clear" w:color="auto" w:fill="FFFFFF"/>
        </w:rPr>
      </w:pPr>
      <w:r w:rsidRPr="00E57ACD">
        <w:rPr>
          <w:rFonts w:ascii="Times New Roman" w:hAnsi="Times New Roman" w:cs="Times New Roman"/>
          <w:color w:val="222222"/>
          <w:sz w:val="24"/>
          <w:szCs w:val="24"/>
          <w:shd w:val="clear" w:color="auto" w:fill="FFFFFF"/>
        </w:rPr>
        <w:t>Bierman Jr, H., &amp; Smidt, S. (2012) </w:t>
      </w:r>
      <w:r w:rsidRPr="00E57ACD">
        <w:rPr>
          <w:rFonts w:ascii="Times New Roman" w:hAnsi="Times New Roman" w:cs="Times New Roman"/>
          <w:i/>
          <w:iCs/>
          <w:color w:val="222222"/>
          <w:sz w:val="24"/>
          <w:szCs w:val="24"/>
          <w:shd w:val="clear" w:color="auto" w:fill="FFFFFF"/>
        </w:rPr>
        <w:t>The capital budgeting decision: economic analysis of investment projects</w:t>
      </w:r>
      <w:r w:rsidRPr="00E57ACD">
        <w:rPr>
          <w:rFonts w:ascii="Times New Roman" w:hAnsi="Times New Roman" w:cs="Times New Roman"/>
          <w:color w:val="222222"/>
          <w:sz w:val="24"/>
          <w:szCs w:val="24"/>
          <w:shd w:val="clear" w:color="auto" w:fill="FFFFFF"/>
        </w:rPr>
        <w:t>. UK: Routledge.</w:t>
      </w:r>
    </w:p>
    <w:p w14:paraId="1AAFAD2A" w14:textId="77777777" w:rsidR="009E6918" w:rsidRPr="00E57ACD" w:rsidRDefault="009E6918" w:rsidP="00953755">
      <w:pPr>
        <w:spacing w:line="360" w:lineRule="auto"/>
        <w:ind w:left="720" w:hanging="720"/>
        <w:jc w:val="both"/>
        <w:rPr>
          <w:rFonts w:ascii="Times New Roman" w:hAnsi="Times New Roman" w:cs="Times New Roman"/>
          <w:sz w:val="24"/>
          <w:szCs w:val="24"/>
        </w:rPr>
      </w:pPr>
      <w:r w:rsidRPr="00E57ACD">
        <w:rPr>
          <w:rFonts w:ascii="Times New Roman" w:hAnsi="Times New Roman" w:cs="Times New Roman"/>
          <w:sz w:val="24"/>
          <w:szCs w:val="24"/>
        </w:rPr>
        <w:t>Bora, B., (2015) Comparison between net present value and internal rate of return. </w:t>
      </w:r>
      <w:r w:rsidRPr="00E57ACD">
        <w:rPr>
          <w:rFonts w:ascii="Times New Roman" w:hAnsi="Times New Roman" w:cs="Times New Roman"/>
          <w:i/>
          <w:iCs/>
          <w:sz w:val="24"/>
          <w:szCs w:val="24"/>
        </w:rPr>
        <w:t>International journal of research in finance and marketing</w:t>
      </w:r>
      <w:r w:rsidRPr="00E57ACD">
        <w:rPr>
          <w:rFonts w:ascii="Times New Roman" w:hAnsi="Times New Roman" w:cs="Times New Roman"/>
          <w:sz w:val="24"/>
          <w:szCs w:val="24"/>
        </w:rPr>
        <w:t>, </w:t>
      </w:r>
      <w:r w:rsidRPr="00E57ACD">
        <w:rPr>
          <w:rFonts w:ascii="Times New Roman" w:hAnsi="Times New Roman" w:cs="Times New Roman"/>
          <w:i/>
          <w:iCs/>
          <w:sz w:val="24"/>
          <w:szCs w:val="24"/>
        </w:rPr>
        <w:t>5</w:t>
      </w:r>
      <w:r w:rsidRPr="00E57ACD">
        <w:rPr>
          <w:rFonts w:ascii="Times New Roman" w:hAnsi="Times New Roman" w:cs="Times New Roman"/>
          <w:sz w:val="24"/>
          <w:szCs w:val="24"/>
        </w:rPr>
        <w:t>(12), pp.61-71.</w:t>
      </w:r>
    </w:p>
    <w:p w14:paraId="6092F448" w14:textId="77777777" w:rsidR="009E6918" w:rsidRPr="00E57ACD" w:rsidRDefault="009E6918" w:rsidP="00BD1DBA">
      <w:pPr>
        <w:spacing w:line="360" w:lineRule="auto"/>
        <w:ind w:left="720" w:hanging="720"/>
        <w:jc w:val="both"/>
        <w:rPr>
          <w:rFonts w:ascii="Times New Roman" w:hAnsi="Times New Roman" w:cs="Times New Roman"/>
          <w:color w:val="222222"/>
          <w:sz w:val="24"/>
          <w:szCs w:val="24"/>
          <w:shd w:val="clear" w:color="auto" w:fill="FFFFFF"/>
        </w:rPr>
      </w:pPr>
      <w:r w:rsidRPr="00E57ACD">
        <w:rPr>
          <w:rFonts w:ascii="Times New Roman" w:hAnsi="Times New Roman" w:cs="Times New Roman"/>
          <w:color w:val="222222"/>
          <w:sz w:val="24"/>
          <w:szCs w:val="24"/>
          <w:shd w:val="clear" w:color="auto" w:fill="FFFFFF"/>
        </w:rPr>
        <w:t>Brigham, E. F., &amp; Ehrhardt, M. C. (2013) </w:t>
      </w:r>
      <w:r w:rsidRPr="00E57ACD">
        <w:rPr>
          <w:rFonts w:ascii="Times New Roman" w:hAnsi="Times New Roman" w:cs="Times New Roman"/>
          <w:i/>
          <w:iCs/>
          <w:color w:val="222222"/>
          <w:sz w:val="24"/>
          <w:szCs w:val="24"/>
          <w:shd w:val="clear" w:color="auto" w:fill="FFFFFF"/>
        </w:rPr>
        <w:t>Financial management: Theory &amp; practice</w:t>
      </w:r>
      <w:r w:rsidRPr="00E57ACD">
        <w:rPr>
          <w:rFonts w:ascii="Times New Roman" w:hAnsi="Times New Roman" w:cs="Times New Roman"/>
          <w:color w:val="222222"/>
          <w:sz w:val="24"/>
          <w:szCs w:val="24"/>
          <w:shd w:val="clear" w:color="auto" w:fill="FFFFFF"/>
        </w:rPr>
        <w:t>. USA: Cengage Learning.</w:t>
      </w:r>
    </w:p>
    <w:p w14:paraId="00B247B3" w14:textId="77777777" w:rsidR="009E6918" w:rsidRPr="00E57ACD" w:rsidRDefault="009E6918" w:rsidP="00BD1DBA">
      <w:pPr>
        <w:spacing w:line="360" w:lineRule="auto"/>
        <w:ind w:left="720" w:hanging="720"/>
        <w:jc w:val="both"/>
        <w:rPr>
          <w:rFonts w:ascii="Times New Roman" w:hAnsi="Times New Roman" w:cs="Times New Roman"/>
          <w:b/>
          <w:sz w:val="24"/>
          <w:szCs w:val="24"/>
        </w:rPr>
      </w:pPr>
      <w:r w:rsidRPr="00E57ACD">
        <w:rPr>
          <w:rFonts w:ascii="Times New Roman" w:hAnsi="Times New Roman" w:cs="Times New Roman"/>
          <w:color w:val="222222"/>
          <w:sz w:val="24"/>
          <w:szCs w:val="24"/>
          <w:shd w:val="clear" w:color="auto" w:fill="FFFFFF"/>
        </w:rPr>
        <w:t>Brigham, E. F., &amp; Houston, J. F. (2012) </w:t>
      </w:r>
      <w:r w:rsidRPr="00E57ACD">
        <w:rPr>
          <w:rFonts w:ascii="Times New Roman" w:hAnsi="Times New Roman" w:cs="Times New Roman"/>
          <w:i/>
          <w:iCs/>
          <w:color w:val="222222"/>
          <w:sz w:val="24"/>
          <w:szCs w:val="24"/>
          <w:shd w:val="clear" w:color="auto" w:fill="FFFFFF"/>
        </w:rPr>
        <w:t>Fundamentals of financial management</w:t>
      </w:r>
      <w:r w:rsidRPr="00E57ACD">
        <w:rPr>
          <w:rFonts w:ascii="Times New Roman" w:hAnsi="Times New Roman" w:cs="Times New Roman"/>
          <w:color w:val="222222"/>
          <w:sz w:val="24"/>
          <w:szCs w:val="24"/>
          <w:shd w:val="clear" w:color="auto" w:fill="FFFFFF"/>
        </w:rPr>
        <w:t>. USA: Cengage Learning.</w:t>
      </w:r>
    </w:p>
    <w:p w14:paraId="527553D3" w14:textId="77777777" w:rsidR="009E6918" w:rsidRPr="00E57ACD" w:rsidRDefault="000B25BC" w:rsidP="00BD1DBA">
      <w:pPr>
        <w:spacing w:after="0" w:line="360" w:lineRule="auto"/>
        <w:ind w:left="720" w:hanging="720"/>
        <w:jc w:val="both"/>
        <w:rPr>
          <w:rFonts w:ascii="Times New Roman" w:hAnsi="Times New Roman" w:cs="Times New Roman"/>
          <w:color w:val="262626" w:themeColor="text1" w:themeTint="D9"/>
          <w:sz w:val="24"/>
          <w:szCs w:val="24"/>
          <w:shd w:val="clear" w:color="auto" w:fill="FFFFFF"/>
        </w:rPr>
      </w:pPr>
      <w:hyperlink r:id="rId9" w:history="1">
        <w:r w:rsidR="009E6918" w:rsidRPr="00E57ACD">
          <w:rPr>
            <w:rStyle w:val="Hyperlink"/>
            <w:rFonts w:ascii="Times New Roman" w:hAnsi="Times New Roman" w:cs="Times New Roman"/>
            <w:color w:val="262626" w:themeColor="text1" w:themeTint="D9"/>
            <w:sz w:val="24"/>
            <w:szCs w:val="24"/>
            <w:u w:val="none"/>
            <w:shd w:val="clear" w:color="auto" w:fill="FFFFFF"/>
          </w:rPr>
          <w:t>Brigham</w:t>
        </w:r>
      </w:hyperlink>
      <w:r w:rsidR="009E6918" w:rsidRPr="00E57ACD">
        <w:rPr>
          <w:rFonts w:ascii="Times New Roman" w:hAnsi="Times New Roman" w:cs="Times New Roman"/>
          <w:color w:val="262626" w:themeColor="text1" w:themeTint="D9"/>
          <w:sz w:val="24"/>
          <w:szCs w:val="24"/>
          <w:shd w:val="clear" w:color="auto" w:fill="FFFFFF"/>
        </w:rPr>
        <w:t xml:space="preserve">, E., </w:t>
      </w:r>
      <w:r w:rsidR="009E6918" w:rsidRPr="00E57ACD">
        <w:rPr>
          <w:rFonts w:ascii="Times New Roman" w:hAnsi="Times New Roman" w:cs="Times New Roman"/>
          <w:noProof/>
          <w:color w:val="262626" w:themeColor="text1" w:themeTint="D9"/>
          <w:sz w:val="24"/>
          <w:szCs w:val="24"/>
          <w:shd w:val="clear" w:color="auto" w:fill="FFFFFF"/>
        </w:rPr>
        <w:t>and</w:t>
      </w:r>
      <w:r w:rsidR="009E6918" w:rsidRPr="00E57ACD">
        <w:rPr>
          <w:rStyle w:val="apple-converted-space"/>
          <w:rFonts w:ascii="Times New Roman" w:hAnsi="Times New Roman" w:cs="Times New Roman"/>
          <w:color w:val="262626" w:themeColor="text1" w:themeTint="D9"/>
          <w:sz w:val="24"/>
          <w:szCs w:val="24"/>
          <w:shd w:val="clear" w:color="auto" w:fill="FFFFFF"/>
        </w:rPr>
        <w:t> </w:t>
      </w:r>
      <w:hyperlink r:id="rId10" w:history="1">
        <w:r w:rsidR="009E6918" w:rsidRPr="00E57ACD">
          <w:rPr>
            <w:rStyle w:val="Hyperlink"/>
            <w:rFonts w:ascii="Times New Roman" w:hAnsi="Times New Roman" w:cs="Times New Roman"/>
            <w:color w:val="262626" w:themeColor="text1" w:themeTint="D9"/>
            <w:sz w:val="24"/>
            <w:szCs w:val="24"/>
            <w:u w:val="none"/>
            <w:shd w:val="clear" w:color="auto" w:fill="FFFFFF"/>
          </w:rPr>
          <w:t xml:space="preserve"> </w:t>
        </w:r>
        <w:proofErr w:type="spellStart"/>
        <w:r w:rsidR="009E6918" w:rsidRPr="00E57ACD">
          <w:rPr>
            <w:rStyle w:val="Hyperlink"/>
            <w:rFonts w:ascii="Times New Roman" w:hAnsi="Times New Roman" w:cs="Times New Roman"/>
            <w:color w:val="262626" w:themeColor="text1" w:themeTint="D9"/>
            <w:sz w:val="24"/>
            <w:szCs w:val="24"/>
            <w:u w:val="none"/>
            <w:shd w:val="clear" w:color="auto" w:fill="FFFFFF"/>
          </w:rPr>
          <w:t>Daves</w:t>
        </w:r>
        <w:proofErr w:type="spellEnd"/>
      </w:hyperlink>
      <w:r w:rsidR="009E6918" w:rsidRPr="00E57ACD">
        <w:rPr>
          <w:rFonts w:ascii="Times New Roman" w:hAnsi="Times New Roman" w:cs="Times New Roman"/>
          <w:color w:val="262626" w:themeColor="text1" w:themeTint="D9"/>
          <w:sz w:val="24"/>
          <w:szCs w:val="24"/>
        </w:rPr>
        <w:t xml:space="preserve">, P. (2012) </w:t>
      </w:r>
      <w:r w:rsidR="009E6918" w:rsidRPr="00E57ACD">
        <w:rPr>
          <w:rFonts w:ascii="Times New Roman" w:hAnsi="Times New Roman" w:cs="Times New Roman"/>
          <w:i/>
          <w:color w:val="262626" w:themeColor="text1" w:themeTint="D9"/>
          <w:sz w:val="24"/>
          <w:szCs w:val="24"/>
          <w:shd w:val="clear" w:color="auto" w:fill="FFFFFF"/>
        </w:rPr>
        <w:t>Intermediate Financial Management</w:t>
      </w:r>
      <w:r w:rsidR="009E6918" w:rsidRPr="00E57ACD">
        <w:rPr>
          <w:rFonts w:ascii="Times New Roman" w:hAnsi="Times New Roman" w:cs="Times New Roman"/>
          <w:color w:val="262626" w:themeColor="text1" w:themeTint="D9"/>
          <w:sz w:val="24"/>
          <w:szCs w:val="24"/>
          <w:shd w:val="clear" w:color="auto" w:fill="FFFFFF"/>
        </w:rPr>
        <w:t xml:space="preserve">. USA: Cengage Learning. </w:t>
      </w:r>
    </w:p>
    <w:p w14:paraId="7A1DAF86" w14:textId="77777777" w:rsidR="009E6918" w:rsidRPr="00E57ACD" w:rsidRDefault="009E6918" w:rsidP="006E53C7">
      <w:pPr>
        <w:spacing w:line="360" w:lineRule="auto"/>
        <w:ind w:left="720" w:hanging="720"/>
        <w:jc w:val="both"/>
        <w:rPr>
          <w:rFonts w:ascii="Times New Roman" w:hAnsi="Times New Roman" w:cs="Times New Roman"/>
          <w:color w:val="222222"/>
          <w:sz w:val="24"/>
          <w:szCs w:val="24"/>
          <w:shd w:val="clear" w:color="auto" w:fill="FFFFFF"/>
        </w:rPr>
      </w:pPr>
      <w:r w:rsidRPr="00E57ACD">
        <w:rPr>
          <w:rFonts w:ascii="Times New Roman" w:hAnsi="Times New Roman" w:cs="Times New Roman"/>
          <w:color w:val="222222"/>
          <w:sz w:val="24"/>
          <w:szCs w:val="24"/>
          <w:shd w:val="clear" w:color="auto" w:fill="FFFFFF"/>
        </w:rPr>
        <w:t xml:space="preserve">Drake, P. P., and </w:t>
      </w:r>
      <w:proofErr w:type="spellStart"/>
      <w:r w:rsidRPr="00E57ACD">
        <w:rPr>
          <w:rFonts w:ascii="Times New Roman" w:hAnsi="Times New Roman" w:cs="Times New Roman"/>
          <w:color w:val="222222"/>
          <w:sz w:val="24"/>
          <w:szCs w:val="24"/>
          <w:shd w:val="clear" w:color="auto" w:fill="FFFFFF"/>
        </w:rPr>
        <w:t>Fabozzi</w:t>
      </w:r>
      <w:proofErr w:type="spellEnd"/>
      <w:r w:rsidRPr="00E57ACD">
        <w:rPr>
          <w:rFonts w:ascii="Times New Roman" w:hAnsi="Times New Roman" w:cs="Times New Roman"/>
          <w:color w:val="222222"/>
          <w:sz w:val="24"/>
          <w:szCs w:val="24"/>
          <w:shd w:val="clear" w:color="auto" w:fill="FFFFFF"/>
        </w:rPr>
        <w:t>, F. J. (2012) </w:t>
      </w:r>
      <w:r w:rsidRPr="00E57ACD">
        <w:rPr>
          <w:rFonts w:ascii="Times New Roman" w:hAnsi="Times New Roman" w:cs="Times New Roman"/>
          <w:i/>
          <w:iCs/>
          <w:color w:val="222222"/>
          <w:sz w:val="24"/>
          <w:szCs w:val="24"/>
          <w:shd w:val="clear" w:color="auto" w:fill="FFFFFF"/>
        </w:rPr>
        <w:t>Analysis of financial statements</w:t>
      </w:r>
      <w:r w:rsidRPr="00E57ACD">
        <w:rPr>
          <w:rFonts w:ascii="Times New Roman" w:hAnsi="Times New Roman" w:cs="Times New Roman"/>
          <w:color w:val="222222"/>
          <w:sz w:val="24"/>
          <w:szCs w:val="24"/>
          <w:shd w:val="clear" w:color="auto" w:fill="FFFFFF"/>
        </w:rPr>
        <w:t> (Vol. 204). USA: John Wiley &amp; Sons.</w:t>
      </w:r>
    </w:p>
    <w:p w14:paraId="5FE3A63B" w14:textId="77777777" w:rsidR="009E6918" w:rsidRPr="00E57ACD" w:rsidRDefault="009E6918" w:rsidP="00953755">
      <w:pPr>
        <w:spacing w:line="360" w:lineRule="auto"/>
        <w:ind w:left="720" w:hanging="720"/>
        <w:jc w:val="both"/>
        <w:rPr>
          <w:rFonts w:ascii="Times New Roman" w:hAnsi="Times New Roman" w:cs="Times New Roman"/>
          <w:color w:val="222222"/>
          <w:sz w:val="24"/>
          <w:szCs w:val="24"/>
          <w:shd w:val="clear" w:color="auto" w:fill="FFFFFF"/>
        </w:rPr>
      </w:pPr>
      <w:r w:rsidRPr="00E57ACD">
        <w:rPr>
          <w:rFonts w:ascii="Times New Roman" w:hAnsi="Times New Roman" w:cs="Times New Roman"/>
          <w:color w:val="222222"/>
          <w:sz w:val="24"/>
          <w:szCs w:val="24"/>
          <w:shd w:val="clear" w:color="auto" w:fill="FFFFFF"/>
        </w:rPr>
        <w:t xml:space="preserve">Epstein, M. and </w:t>
      </w:r>
      <w:r w:rsidRPr="00E57ACD">
        <w:rPr>
          <w:rFonts w:ascii="Times New Roman" w:hAnsi="Times New Roman" w:cs="Times New Roman"/>
          <w:color w:val="222222"/>
          <w:sz w:val="24"/>
          <w:szCs w:val="24"/>
          <w:shd w:val="clear" w:color="auto" w:fill="FFFFFF"/>
        </w:rPr>
        <w:tab/>
        <w:t xml:space="preserve">Lee, J. (2014) </w:t>
      </w:r>
      <w:r w:rsidRPr="00E57ACD">
        <w:rPr>
          <w:rFonts w:ascii="Times New Roman" w:hAnsi="Times New Roman" w:cs="Times New Roman"/>
          <w:i/>
          <w:color w:val="222222"/>
          <w:sz w:val="24"/>
          <w:szCs w:val="24"/>
          <w:shd w:val="clear" w:color="auto" w:fill="FFFFFF"/>
        </w:rPr>
        <w:t>Principle of Managerial Finance</w:t>
      </w:r>
      <w:r w:rsidRPr="00E57ACD">
        <w:rPr>
          <w:rFonts w:ascii="Times New Roman" w:hAnsi="Times New Roman" w:cs="Times New Roman"/>
          <w:color w:val="222222"/>
          <w:sz w:val="24"/>
          <w:szCs w:val="24"/>
          <w:shd w:val="clear" w:color="auto" w:fill="FFFFFF"/>
        </w:rPr>
        <w:t xml:space="preserve">. AU: Pearson Higher Education. </w:t>
      </w:r>
    </w:p>
    <w:p w14:paraId="3B6D1DB2" w14:textId="77777777" w:rsidR="009E6918" w:rsidRPr="00E57ACD" w:rsidRDefault="009E6918" w:rsidP="00BD1DBA">
      <w:pPr>
        <w:spacing w:line="360" w:lineRule="auto"/>
        <w:ind w:left="720" w:hanging="720"/>
        <w:jc w:val="both"/>
        <w:rPr>
          <w:rFonts w:ascii="Times New Roman" w:hAnsi="Times New Roman" w:cs="Times New Roman"/>
          <w:color w:val="222222"/>
          <w:sz w:val="24"/>
          <w:szCs w:val="24"/>
          <w:shd w:val="clear" w:color="auto" w:fill="FFFFFF"/>
        </w:rPr>
      </w:pPr>
      <w:r w:rsidRPr="00E57ACD">
        <w:rPr>
          <w:rFonts w:ascii="Times New Roman" w:hAnsi="Times New Roman" w:cs="Times New Roman"/>
          <w:color w:val="222222"/>
          <w:sz w:val="24"/>
          <w:szCs w:val="24"/>
          <w:shd w:val="clear" w:color="auto" w:fill="FFFFFF"/>
        </w:rPr>
        <w:t xml:space="preserve">Epstein, M. and </w:t>
      </w:r>
      <w:r w:rsidRPr="00E57ACD">
        <w:rPr>
          <w:rFonts w:ascii="Times New Roman" w:hAnsi="Times New Roman" w:cs="Times New Roman"/>
          <w:color w:val="222222"/>
          <w:sz w:val="24"/>
          <w:szCs w:val="24"/>
          <w:shd w:val="clear" w:color="auto" w:fill="FFFFFF"/>
        </w:rPr>
        <w:tab/>
        <w:t xml:space="preserve">Lee, J. (2014) </w:t>
      </w:r>
      <w:r w:rsidRPr="00E57ACD">
        <w:rPr>
          <w:rFonts w:ascii="Times New Roman" w:hAnsi="Times New Roman" w:cs="Times New Roman"/>
          <w:i/>
          <w:color w:val="222222"/>
          <w:sz w:val="24"/>
          <w:szCs w:val="24"/>
          <w:shd w:val="clear" w:color="auto" w:fill="FFFFFF"/>
        </w:rPr>
        <w:t>Principle of Managerial Finance</w:t>
      </w:r>
      <w:r w:rsidRPr="00E57ACD">
        <w:rPr>
          <w:rFonts w:ascii="Times New Roman" w:hAnsi="Times New Roman" w:cs="Times New Roman"/>
          <w:color w:val="222222"/>
          <w:sz w:val="24"/>
          <w:szCs w:val="24"/>
          <w:shd w:val="clear" w:color="auto" w:fill="FFFFFF"/>
        </w:rPr>
        <w:t xml:space="preserve">. AU: Pearson Higher Education. </w:t>
      </w:r>
    </w:p>
    <w:p w14:paraId="6418FD98" w14:textId="77777777" w:rsidR="009E6918" w:rsidRPr="00E57ACD" w:rsidRDefault="009E6918" w:rsidP="006E53C7">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57ACD">
        <w:rPr>
          <w:rFonts w:ascii="Times New Roman" w:hAnsi="Times New Roman" w:cs="Times New Roman"/>
          <w:color w:val="222222"/>
          <w:sz w:val="24"/>
          <w:szCs w:val="24"/>
          <w:shd w:val="clear" w:color="auto" w:fill="FFFFFF"/>
        </w:rPr>
        <w:t>Fridson</w:t>
      </w:r>
      <w:proofErr w:type="spellEnd"/>
      <w:r w:rsidRPr="00E57ACD">
        <w:rPr>
          <w:rFonts w:ascii="Times New Roman" w:hAnsi="Times New Roman" w:cs="Times New Roman"/>
          <w:color w:val="222222"/>
          <w:sz w:val="24"/>
          <w:szCs w:val="24"/>
          <w:shd w:val="clear" w:color="auto" w:fill="FFFFFF"/>
        </w:rPr>
        <w:t>, M. S., and Alvarez, F. (2011) </w:t>
      </w:r>
      <w:r w:rsidRPr="00E57ACD">
        <w:rPr>
          <w:rFonts w:ascii="Times New Roman" w:hAnsi="Times New Roman" w:cs="Times New Roman"/>
          <w:i/>
          <w:iCs/>
          <w:color w:val="222222"/>
          <w:sz w:val="24"/>
          <w:szCs w:val="24"/>
          <w:shd w:val="clear" w:color="auto" w:fill="FFFFFF"/>
        </w:rPr>
        <w:t>Financial statement analysis: a practitioner's guide</w:t>
      </w:r>
      <w:r w:rsidRPr="00E57ACD">
        <w:rPr>
          <w:rFonts w:ascii="Times New Roman" w:hAnsi="Times New Roman" w:cs="Times New Roman"/>
          <w:color w:val="222222"/>
          <w:sz w:val="24"/>
          <w:szCs w:val="24"/>
          <w:shd w:val="clear" w:color="auto" w:fill="FFFFFF"/>
        </w:rPr>
        <w:t> (Vol. 597). USA: John Wiley &amp; Sons.</w:t>
      </w:r>
    </w:p>
    <w:p w14:paraId="2DC59872" w14:textId="77777777" w:rsidR="009E6918" w:rsidRPr="00E57ACD" w:rsidRDefault="009E6918" w:rsidP="00CA0958">
      <w:pPr>
        <w:spacing w:line="360" w:lineRule="auto"/>
        <w:ind w:left="720" w:hanging="720"/>
        <w:jc w:val="both"/>
        <w:rPr>
          <w:rFonts w:ascii="Times New Roman" w:hAnsi="Times New Roman" w:cs="Times New Roman"/>
          <w:sz w:val="24"/>
          <w:szCs w:val="24"/>
        </w:rPr>
      </w:pPr>
      <w:r w:rsidRPr="00E57ACD">
        <w:rPr>
          <w:rFonts w:ascii="Times New Roman" w:hAnsi="Times New Roman" w:cs="Times New Roman"/>
          <w:sz w:val="24"/>
          <w:szCs w:val="24"/>
        </w:rPr>
        <w:lastRenderedPageBreak/>
        <w:t xml:space="preserve">GSK (2015) </w:t>
      </w:r>
      <w:r w:rsidRPr="00E57ACD">
        <w:rPr>
          <w:rFonts w:ascii="Times New Roman" w:hAnsi="Times New Roman" w:cs="Times New Roman"/>
          <w:i/>
          <w:sz w:val="24"/>
          <w:szCs w:val="24"/>
        </w:rPr>
        <w:t>Annual report</w:t>
      </w:r>
      <w:r w:rsidRPr="00E57ACD">
        <w:rPr>
          <w:rFonts w:ascii="Times New Roman" w:hAnsi="Times New Roman" w:cs="Times New Roman"/>
          <w:sz w:val="24"/>
          <w:szCs w:val="24"/>
        </w:rPr>
        <w:t xml:space="preserve">. [Online] Available </w:t>
      </w:r>
      <w:proofErr w:type="spellStart"/>
      <w:r w:rsidRPr="00E57ACD">
        <w:rPr>
          <w:rFonts w:ascii="Times New Roman" w:hAnsi="Times New Roman" w:cs="Times New Roman"/>
          <w:sz w:val="24"/>
          <w:szCs w:val="24"/>
        </w:rPr>
        <w:t>at:</w:t>
      </w:r>
      <w:hyperlink r:id="rId11" w:history="1">
        <w:r w:rsidRPr="00E57ACD">
          <w:rPr>
            <w:rStyle w:val="Hyperlink"/>
            <w:rFonts w:ascii="Times New Roman" w:hAnsi="Times New Roman" w:cs="Times New Roman"/>
            <w:sz w:val="24"/>
            <w:szCs w:val="24"/>
          </w:rPr>
          <w:t>https</w:t>
        </w:r>
        <w:proofErr w:type="spellEnd"/>
        <w:r w:rsidRPr="00E57ACD">
          <w:rPr>
            <w:rStyle w:val="Hyperlink"/>
            <w:rFonts w:ascii="Times New Roman" w:hAnsi="Times New Roman" w:cs="Times New Roman"/>
            <w:sz w:val="24"/>
            <w:szCs w:val="24"/>
          </w:rPr>
          <w:t>://www.gsk.com/media/4697/gsk-annual-report-2015.pdf</w:t>
        </w:r>
      </w:hyperlink>
      <w:r w:rsidRPr="00E57ACD">
        <w:rPr>
          <w:rFonts w:ascii="Times New Roman" w:hAnsi="Times New Roman" w:cs="Times New Roman"/>
          <w:sz w:val="24"/>
          <w:szCs w:val="24"/>
        </w:rPr>
        <w:t xml:space="preserve"> (Accessed: 09 Dec 2020).</w:t>
      </w:r>
    </w:p>
    <w:p w14:paraId="10761A4B" w14:textId="77777777" w:rsidR="009E6918" w:rsidRPr="00E57ACD" w:rsidRDefault="009E6918" w:rsidP="00CA0958">
      <w:pPr>
        <w:spacing w:line="360" w:lineRule="auto"/>
        <w:ind w:left="720" w:hanging="720"/>
        <w:jc w:val="both"/>
        <w:rPr>
          <w:rFonts w:ascii="Times New Roman" w:hAnsi="Times New Roman" w:cs="Times New Roman"/>
          <w:sz w:val="24"/>
          <w:szCs w:val="24"/>
        </w:rPr>
      </w:pPr>
      <w:r w:rsidRPr="00E57ACD">
        <w:rPr>
          <w:rFonts w:ascii="Times New Roman" w:hAnsi="Times New Roman" w:cs="Times New Roman"/>
          <w:sz w:val="24"/>
          <w:szCs w:val="24"/>
        </w:rPr>
        <w:t xml:space="preserve">GSK (2017) </w:t>
      </w:r>
      <w:r w:rsidRPr="00E57ACD">
        <w:rPr>
          <w:rFonts w:ascii="Times New Roman" w:hAnsi="Times New Roman" w:cs="Times New Roman"/>
          <w:i/>
          <w:sz w:val="24"/>
          <w:szCs w:val="24"/>
        </w:rPr>
        <w:t>Annual report.</w:t>
      </w:r>
      <w:r w:rsidRPr="00E57ACD">
        <w:rPr>
          <w:rFonts w:ascii="Times New Roman" w:hAnsi="Times New Roman" w:cs="Times New Roman"/>
          <w:sz w:val="24"/>
          <w:szCs w:val="24"/>
        </w:rPr>
        <w:t xml:space="preserve"> [Online] Available </w:t>
      </w:r>
      <w:proofErr w:type="spellStart"/>
      <w:r w:rsidRPr="00E57ACD">
        <w:rPr>
          <w:rFonts w:ascii="Times New Roman" w:hAnsi="Times New Roman" w:cs="Times New Roman"/>
          <w:sz w:val="24"/>
          <w:szCs w:val="24"/>
        </w:rPr>
        <w:t>at:</w:t>
      </w:r>
      <w:hyperlink r:id="rId12" w:history="1">
        <w:r w:rsidRPr="00E57ACD">
          <w:rPr>
            <w:rStyle w:val="Hyperlink"/>
            <w:rFonts w:ascii="Times New Roman" w:hAnsi="Times New Roman" w:cs="Times New Roman"/>
            <w:sz w:val="24"/>
            <w:szCs w:val="24"/>
          </w:rPr>
          <w:t>https</w:t>
        </w:r>
        <w:proofErr w:type="spellEnd"/>
        <w:r w:rsidRPr="00E57ACD">
          <w:rPr>
            <w:rStyle w:val="Hyperlink"/>
            <w:rFonts w:ascii="Times New Roman" w:hAnsi="Times New Roman" w:cs="Times New Roman"/>
            <w:sz w:val="24"/>
            <w:szCs w:val="24"/>
          </w:rPr>
          <w:t>://www.gsk.com/media/4751/annual-report.pdf</w:t>
        </w:r>
      </w:hyperlink>
      <w:r w:rsidRPr="00E57ACD">
        <w:rPr>
          <w:rFonts w:ascii="Times New Roman" w:hAnsi="Times New Roman" w:cs="Times New Roman"/>
          <w:sz w:val="24"/>
          <w:szCs w:val="24"/>
        </w:rPr>
        <w:t xml:space="preserve"> (Accessed: 09 Dec 2020).</w:t>
      </w:r>
    </w:p>
    <w:p w14:paraId="1DDB70A9" w14:textId="77777777" w:rsidR="009E6918" w:rsidRPr="00E57ACD" w:rsidRDefault="009E6918" w:rsidP="00CA0958">
      <w:pPr>
        <w:spacing w:line="360" w:lineRule="auto"/>
        <w:ind w:left="720" w:hanging="720"/>
        <w:jc w:val="both"/>
        <w:rPr>
          <w:rFonts w:ascii="Times New Roman" w:hAnsi="Times New Roman" w:cs="Times New Roman"/>
          <w:sz w:val="24"/>
          <w:szCs w:val="24"/>
        </w:rPr>
      </w:pPr>
      <w:r w:rsidRPr="00E57ACD">
        <w:rPr>
          <w:rFonts w:ascii="Times New Roman" w:hAnsi="Times New Roman" w:cs="Times New Roman"/>
          <w:sz w:val="24"/>
          <w:szCs w:val="24"/>
        </w:rPr>
        <w:t xml:space="preserve">GSK (2019) </w:t>
      </w:r>
      <w:r w:rsidRPr="00E57ACD">
        <w:rPr>
          <w:rFonts w:ascii="Times New Roman" w:hAnsi="Times New Roman" w:cs="Times New Roman"/>
          <w:i/>
          <w:sz w:val="24"/>
          <w:szCs w:val="24"/>
        </w:rPr>
        <w:t>Annual report</w:t>
      </w:r>
      <w:r w:rsidRPr="00E57ACD">
        <w:rPr>
          <w:rFonts w:ascii="Times New Roman" w:hAnsi="Times New Roman" w:cs="Times New Roman"/>
          <w:sz w:val="24"/>
          <w:szCs w:val="24"/>
        </w:rPr>
        <w:t xml:space="preserve">. [Online] Available at: </w:t>
      </w:r>
      <w:hyperlink r:id="rId13" w:history="1">
        <w:r w:rsidRPr="00E57ACD">
          <w:rPr>
            <w:rStyle w:val="Hyperlink"/>
            <w:rFonts w:ascii="Times New Roman" w:hAnsi="Times New Roman" w:cs="Times New Roman"/>
            <w:sz w:val="24"/>
            <w:szCs w:val="24"/>
          </w:rPr>
          <w:t>https://www.gsk.com/media/5894/annual-report.pdf</w:t>
        </w:r>
      </w:hyperlink>
      <w:r w:rsidRPr="00E57ACD">
        <w:rPr>
          <w:rFonts w:ascii="Times New Roman" w:hAnsi="Times New Roman" w:cs="Times New Roman"/>
          <w:sz w:val="24"/>
          <w:szCs w:val="24"/>
        </w:rPr>
        <w:t xml:space="preserve"> (Accessed: 09 Dec 2020).</w:t>
      </w:r>
    </w:p>
    <w:p w14:paraId="067DCCD4" w14:textId="77777777" w:rsidR="009E6918" w:rsidRPr="00E57ACD" w:rsidRDefault="009E6918" w:rsidP="00CA0958">
      <w:pPr>
        <w:spacing w:line="360" w:lineRule="auto"/>
        <w:ind w:left="720" w:hanging="720"/>
        <w:jc w:val="both"/>
        <w:rPr>
          <w:rFonts w:ascii="Times New Roman" w:hAnsi="Times New Roman" w:cs="Times New Roman"/>
          <w:sz w:val="24"/>
          <w:szCs w:val="24"/>
        </w:rPr>
      </w:pPr>
      <w:r w:rsidRPr="00E57ACD">
        <w:rPr>
          <w:rFonts w:ascii="Times New Roman" w:hAnsi="Times New Roman" w:cs="Times New Roman"/>
          <w:sz w:val="24"/>
          <w:szCs w:val="24"/>
        </w:rPr>
        <w:t xml:space="preserve">GSK (2020) </w:t>
      </w:r>
      <w:r w:rsidRPr="00E57ACD">
        <w:rPr>
          <w:rFonts w:ascii="Times New Roman" w:hAnsi="Times New Roman" w:cs="Times New Roman"/>
          <w:i/>
          <w:sz w:val="24"/>
          <w:szCs w:val="24"/>
        </w:rPr>
        <w:t>About us.</w:t>
      </w:r>
      <w:r w:rsidRPr="00E57ACD">
        <w:rPr>
          <w:rFonts w:ascii="Times New Roman" w:hAnsi="Times New Roman" w:cs="Times New Roman"/>
          <w:sz w:val="24"/>
          <w:szCs w:val="24"/>
        </w:rPr>
        <w:t xml:space="preserve"> [Online] Available at: </w:t>
      </w:r>
      <w:hyperlink r:id="rId14" w:history="1">
        <w:r w:rsidRPr="00E57ACD">
          <w:rPr>
            <w:rStyle w:val="Hyperlink"/>
            <w:rFonts w:ascii="Times New Roman" w:hAnsi="Times New Roman" w:cs="Times New Roman"/>
            <w:sz w:val="24"/>
            <w:szCs w:val="24"/>
          </w:rPr>
          <w:t>https://www.gsk.com/en-gb/about-us/pharmaceuticals/</w:t>
        </w:r>
      </w:hyperlink>
      <w:r w:rsidRPr="00E57ACD">
        <w:rPr>
          <w:rFonts w:ascii="Times New Roman" w:hAnsi="Times New Roman" w:cs="Times New Roman"/>
          <w:sz w:val="24"/>
          <w:szCs w:val="24"/>
        </w:rPr>
        <w:t xml:space="preserve"> (Accessed: 09 Dec 2020). </w:t>
      </w:r>
    </w:p>
    <w:p w14:paraId="232794CB" w14:textId="77777777" w:rsidR="009E6918" w:rsidRPr="00E57ACD" w:rsidRDefault="009E6918" w:rsidP="00953755">
      <w:pPr>
        <w:spacing w:line="360" w:lineRule="auto"/>
        <w:ind w:left="720" w:hanging="720"/>
        <w:jc w:val="both"/>
        <w:rPr>
          <w:rFonts w:ascii="Times New Roman" w:hAnsi="Times New Roman" w:cs="Times New Roman"/>
          <w:sz w:val="24"/>
          <w:szCs w:val="24"/>
        </w:rPr>
      </w:pPr>
      <w:r w:rsidRPr="00E57ACD">
        <w:rPr>
          <w:rFonts w:ascii="Times New Roman" w:hAnsi="Times New Roman" w:cs="Times New Roman"/>
          <w:sz w:val="24"/>
          <w:szCs w:val="24"/>
        </w:rPr>
        <w:t xml:space="preserve">Hacker, J. and Ernst, D., (2017) </w:t>
      </w:r>
      <w:r w:rsidRPr="00E57ACD">
        <w:rPr>
          <w:rFonts w:ascii="Times New Roman" w:hAnsi="Times New Roman" w:cs="Times New Roman"/>
          <w:i/>
          <w:sz w:val="24"/>
          <w:szCs w:val="24"/>
        </w:rPr>
        <w:t>Investment Appraisa</w:t>
      </w:r>
      <w:r w:rsidRPr="00E57ACD">
        <w:rPr>
          <w:rFonts w:ascii="Times New Roman" w:hAnsi="Times New Roman" w:cs="Times New Roman"/>
          <w:sz w:val="24"/>
          <w:szCs w:val="24"/>
        </w:rPr>
        <w:t>l. In </w:t>
      </w:r>
      <w:r w:rsidRPr="00E57ACD">
        <w:rPr>
          <w:rFonts w:ascii="Times New Roman" w:hAnsi="Times New Roman" w:cs="Times New Roman"/>
          <w:i/>
          <w:iCs/>
          <w:sz w:val="24"/>
          <w:szCs w:val="24"/>
        </w:rPr>
        <w:t>Financial Modeling</w:t>
      </w:r>
      <w:r w:rsidRPr="00E57ACD">
        <w:rPr>
          <w:rFonts w:ascii="Times New Roman" w:hAnsi="Times New Roman" w:cs="Times New Roman"/>
          <w:sz w:val="24"/>
          <w:szCs w:val="24"/>
        </w:rPr>
        <w:t> (pp. 343-384). UK: Palgrave Macmillan.</w:t>
      </w:r>
    </w:p>
    <w:p w14:paraId="4083F6EE" w14:textId="77777777" w:rsidR="009E6918" w:rsidRPr="00E57ACD" w:rsidRDefault="009E6918" w:rsidP="00953755">
      <w:pPr>
        <w:spacing w:line="360" w:lineRule="auto"/>
        <w:ind w:left="720" w:hanging="720"/>
        <w:jc w:val="both"/>
        <w:rPr>
          <w:rFonts w:ascii="Times New Roman" w:hAnsi="Times New Roman" w:cs="Times New Roman"/>
          <w:sz w:val="24"/>
          <w:szCs w:val="24"/>
        </w:rPr>
      </w:pPr>
      <w:proofErr w:type="spellStart"/>
      <w:r w:rsidRPr="00E57ACD">
        <w:rPr>
          <w:rFonts w:ascii="Times New Roman" w:hAnsi="Times New Roman" w:cs="Times New Roman"/>
          <w:sz w:val="24"/>
          <w:szCs w:val="24"/>
        </w:rPr>
        <w:t>Higham</w:t>
      </w:r>
      <w:proofErr w:type="spellEnd"/>
      <w:r w:rsidRPr="00E57ACD">
        <w:rPr>
          <w:rFonts w:ascii="Times New Roman" w:hAnsi="Times New Roman" w:cs="Times New Roman"/>
          <w:sz w:val="24"/>
          <w:szCs w:val="24"/>
        </w:rPr>
        <w:t xml:space="preserve">, A.P., Fortune, C. and </w:t>
      </w:r>
      <w:proofErr w:type="spellStart"/>
      <w:r w:rsidRPr="00E57ACD">
        <w:rPr>
          <w:rFonts w:ascii="Times New Roman" w:hAnsi="Times New Roman" w:cs="Times New Roman"/>
          <w:sz w:val="24"/>
          <w:szCs w:val="24"/>
        </w:rPr>
        <w:t>Boothman</w:t>
      </w:r>
      <w:proofErr w:type="spellEnd"/>
      <w:r w:rsidRPr="00E57ACD">
        <w:rPr>
          <w:rFonts w:ascii="Times New Roman" w:hAnsi="Times New Roman" w:cs="Times New Roman"/>
          <w:sz w:val="24"/>
          <w:szCs w:val="24"/>
        </w:rPr>
        <w:t>, J.C., (2016) Sustainability and investment appraisal for housing regeneration projects. </w:t>
      </w:r>
      <w:r w:rsidRPr="00E57ACD">
        <w:rPr>
          <w:rFonts w:ascii="Times New Roman" w:hAnsi="Times New Roman" w:cs="Times New Roman"/>
          <w:i/>
          <w:iCs/>
          <w:sz w:val="24"/>
          <w:szCs w:val="24"/>
        </w:rPr>
        <w:t>Structural Survey</w:t>
      </w:r>
      <w:r w:rsidRPr="00E57ACD">
        <w:rPr>
          <w:rFonts w:ascii="Times New Roman" w:hAnsi="Times New Roman" w:cs="Times New Roman"/>
          <w:sz w:val="24"/>
          <w:szCs w:val="24"/>
        </w:rPr>
        <w:t>, </w:t>
      </w:r>
      <w:r w:rsidRPr="00E57ACD">
        <w:rPr>
          <w:rFonts w:ascii="Times New Roman" w:hAnsi="Times New Roman" w:cs="Times New Roman"/>
          <w:i/>
          <w:iCs/>
          <w:sz w:val="24"/>
          <w:szCs w:val="24"/>
        </w:rPr>
        <w:t>34</w:t>
      </w:r>
      <w:r w:rsidRPr="00E57ACD">
        <w:rPr>
          <w:rFonts w:ascii="Times New Roman" w:hAnsi="Times New Roman" w:cs="Times New Roman"/>
          <w:sz w:val="24"/>
          <w:szCs w:val="24"/>
        </w:rPr>
        <w:t>(2), pp.150-167.</w:t>
      </w:r>
    </w:p>
    <w:p w14:paraId="21A4D15E" w14:textId="77777777" w:rsidR="009E6918" w:rsidRPr="00E57ACD" w:rsidRDefault="009E6918" w:rsidP="00953755">
      <w:pPr>
        <w:spacing w:line="360" w:lineRule="auto"/>
        <w:ind w:left="720" w:hanging="720"/>
        <w:jc w:val="both"/>
        <w:rPr>
          <w:rFonts w:ascii="Times New Roman" w:hAnsi="Times New Roman" w:cs="Times New Roman"/>
          <w:sz w:val="24"/>
          <w:szCs w:val="24"/>
        </w:rPr>
      </w:pPr>
      <w:r w:rsidRPr="00E57ACD">
        <w:rPr>
          <w:rFonts w:ascii="Times New Roman" w:hAnsi="Times New Roman" w:cs="Times New Roman"/>
          <w:sz w:val="24"/>
          <w:szCs w:val="24"/>
        </w:rPr>
        <w:t>Mahmoud, O. and Neale, B., (2016) Managerial judgment factors and the real options approach in the investment appraisal process: evidence from UK automotive firms. </w:t>
      </w:r>
      <w:r w:rsidRPr="00E57ACD">
        <w:rPr>
          <w:rFonts w:ascii="Times New Roman" w:hAnsi="Times New Roman" w:cs="Times New Roman"/>
          <w:i/>
          <w:iCs/>
          <w:sz w:val="24"/>
          <w:szCs w:val="24"/>
        </w:rPr>
        <w:t>International Journal of Business and Social Science</w:t>
      </w:r>
      <w:r w:rsidRPr="00E57ACD">
        <w:rPr>
          <w:rFonts w:ascii="Times New Roman" w:hAnsi="Times New Roman" w:cs="Times New Roman"/>
          <w:sz w:val="24"/>
          <w:szCs w:val="24"/>
        </w:rPr>
        <w:t>, </w:t>
      </w:r>
      <w:r w:rsidRPr="00E57ACD">
        <w:rPr>
          <w:rFonts w:ascii="Times New Roman" w:hAnsi="Times New Roman" w:cs="Times New Roman"/>
          <w:i/>
          <w:iCs/>
          <w:sz w:val="24"/>
          <w:szCs w:val="24"/>
        </w:rPr>
        <w:t>7</w:t>
      </w:r>
      <w:r w:rsidRPr="00E57ACD">
        <w:rPr>
          <w:rFonts w:ascii="Times New Roman" w:hAnsi="Times New Roman" w:cs="Times New Roman"/>
          <w:sz w:val="24"/>
          <w:szCs w:val="24"/>
        </w:rPr>
        <w:t>(5), pp.71-84.</w:t>
      </w:r>
    </w:p>
    <w:p w14:paraId="4B00D2DF" w14:textId="77777777" w:rsidR="009E6918" w:rsidRPr="00E57ACD" w:rsidRDefault="009E6918" w:rsidP="00BD1DBA">
      <w:pPr>
        <w:spacing w:after="0" w:line="360" w:lineRule="auto"/>
        <w:ind w:left="720" w:hanging="720"/>
        <w:jc w:val="both"/>
        <w:rPr>
          <w:rFonts w:ascii="Times New Roman" w:hAnsi="Times New Roman" w:cs="Times New Roman"/>
          <w:color w:val="000000"/>
          <w:sz w:val="24"/>
          <w:szCs w:val="24"/>
        </w:rPr>
      </w:pPr>
      <w:r w:rsidRPr="00E57ACD">
        <w:rPr>
          <w:rFonts w:ascii="Times New Roman" w:hAnsi="Times New Roman" w:cs="Times New Roman"/>
          <w:color w:val="000000"/>
          <w:sz w:val="24"/>
          <w:szCs w:val="24"/>
        </w:rPr>
        <w:t xml:space="preserve">Martin, S. and Alvarez, F. (2011) </w:t>
      </w:r>
      <w:r w:rsidRPr="00E57ACD">
        <w:rPr>
          <w:rFonts w:ascii="Times New Roman" w:hAnsi="Times New Roman" w:cs="Times New Roman"/>
          <w:i/>
          <w:color w:val="000000"/>
          <w:sz w:val="24"/>
          <w:szCs w:val="24"/>
        </w:rPr>
        <w:t xml:space="preserve">Financial Statement Analysis Workbook: A Practitioner's Guide </w:t>
      </w:r>
      <w:r w:rsidRPr="00E57ACD">
        <w:rPr>
          <w:rFonts w:ascii="Times New Roman" w:hAnsi="Times New Roman" w:cs="Times New Roman"/>
          <w:color w:val="000000"/>
          <w:sz w:val="24"/>
          <w:szCs w:val="24"/>
        </w:rPr>
        <w:t xml:space="preserve"> USA: John Wiley &amp; Sons.</w:t>
      </w:r>
    </w:p>
    <w:p w14:paraId="79A6990A" w14:textId="77777777" w:rsidR="009E6918" w:rsidRPr="00E57ACD" w:rsidRDefault="009E6918" w:rsidP="00BD1DBA">
      <w:pPr>
        <w:spacing w:line="360" w:lineRule="auto"/>
        <w:ind w:left="720" w:hanging="720"/>
        <w:jc w:val="both"/>
        <w:rPr>
          <w:rFonts w:ascii="Times New Roman" w:hAnsi="Times New Roman" w:cs="Times New Roman"/>
          <w:sz w:val="24"/>
          <w:szCs w:val="24"/>
        </w:rPr>
      </w:pPr>
      <w:r w:rsidRPr="00E57ACD">
        <w:rPr>
          <w:rFonts w:ascii="Times New Roman" w:hAnsi="Times New Roman" w:cs="Times New Roman"/>
          <w:sz w:val="24"/>
          <w:szCs w:val="24"/>
        </w:rPr>
        <w:t xml:space="preserve">Robinson, T. R., Henry, E., Pirie, W. L., and </w:t>
      </w:r>
      <w:proofErr w:type="spellStart"/>
      <w:r w:rsidRPr="00E57ACD">
        <w:rPr>
          <w:rFonts w:ascii="Times New Roman" w:hAnsi="Times New Roman" w:cs="Times New Roman"/>
          <w:sz w:val="24"/>
          <w:szCs w:val="24"/>
        </w:rPr>
        <w:t>Broihahn</w:t>
      </w:r>
      <w:proofErr w:type="spellEnd"/>
      <w:r w:rsidRPr="00E57ACD">
        <w:rPr>
          <w:rFonts w:ascii="Times New Roman" w:hAnsi="Times New Roman" w:cs="Times New Roman"/>
          <w:sz w:val="24"/>
          <w:szCs w:val="24"/>
        </w:rPr>
        <w:t>, M. A. (2015) </w:t>
      </w:r>
      <w:r w:rsidRPr="00E57ACD">
        <w:rPr>
          <w:rFonts w:ascii="Times New Roman" w:hAnsi="Times New Roman" w:cs="Times New Roman"/>
          <w:i/>
          <w:iCs/>
          <w:sz w:val="24"/>
          <w:szCs w:val="24"/>
        </w:rPr>
        <w:t>International financial statement analysis</w:t>
      </w:r>
      <w:r w:rsidRPr="00E57ACD">
        <w:rPr>
          <w:rFonts w:ascii="Times New Roman" w:hAnsi="Times New Roman" w:cs="Times New Roman"/>
          <w:sz w:val="24"/>
          <w:szCs w:val="24"/>
        </w:rPr>
        <w:t>. USA: John Wiley &amp; Sons.</w:t>
      </w:r>
    </w:p>
    <w:p w14:paraId="074A0148" w14:textId="77777777" w:rsidR="009E6918" w:rsidRPr="00E57ACD" w:rsidRDefault="009E6918" w:rsidP="00953755">
      <w:pPr>
        <w:spacing w:line="360" w:lineRule="auto"/>
        <w:ind w:left="720" w:hanging="720"/>
        <w:jc w:val="both"/>
        <w:rPr>
          <w:rFonts w:ascii="Times New Roman" w:hAnsi="Times New Roman" w:cs="Times New Roman"/>
          <w:color w:val="222222"/>
          <w:sz w:val="24"/>
          <w:szCs w:val="24"/>
          <w:shd w:val="clear" w:color="auto" w:fill="FFFFFF"/>
        </w:rPr>
      </w:pPr>
      <w:r w:rsidRPr="00E57ACD">
        <w:rPr>
          <w:rFonts w:ascii="Times New Roman" w:hAnsi="Times New Roman" w:cs="Times New Roman"/>
          <w:color w:val="222222"/>
          <w:sz w:val="24"/>
          <w:szCs w:val="24"/>
          <w:shd w:val="clear" w:color="auto" w:fill="FFFFFF"/>
        </w:rPr>
        <w:t xml:space="preserve">Rossi, M. (2014) Capital budgeting in Europe: confronting theory with practice. </w:t>
      </w:r>
      <w:r w:rsidRPr="00E57ACD">
        <w:rPr>
          <w:rFonts w:ascii="Times New Roman" w:hAnsi="Times New Roman" w:cs="Times New Roman"/>
          <w:i/>
          <w:color w:val="222222"/>
          <w:sz w:val="24"/>
          <w:szCs w:val="24"/>
          <w:shd w:val="clear" w:color="auto" w:fill="FFFFFF"/>
        </w:rPr>
        <w:t>International Journal of Managerial and Financial Accounting</w:t>
      </w:r>
      <w:r w:rsidRPr="00E57ACD">
        <w:rPr>
          <w:rFonts w:ascii="Times New Roman" w:hAnsi="Times New Roman" w:cs="Times New Roman"/>
          <w:color w:val="222222"/>
          <w:sz w:val="24"/>
          <w:szCs w:val="24"/>
          <w:shd w:val="clear" w:color="auto" w:fill="FFFFFF"/>
        </w:rPr>
        <w:t xml:space="preserve">, 6(4), 341-356. </w:t>
      </w:r>
    </w:p>
    <w:p w14:paraId="3D1FE952" w14:textId="77777777" w:rsidR="009E6918" w:rsidRPr="00E57ACD" w:rsidRDefault="009E6918" w:rsidP="006E53C7">
      <w:pPr>
        <w:spacing w:line="360" w:lineRule="auto"/>
        <w:ind w:left="720" w:hanging="720"/>
        <w:jc w:val="both"/>
        <w:rPr>
          <w:rFonts w:ascii="Times New Roman" w:hAnsi="Times New Roman" w:cs="Times New Roman"/>
          <w:sz w:val="24"/>
          <w:szCs w:val="24"/>
        </w:rPr>
      </w:pPr>
      <w:r w:rsidRPr="00E57ACD">
        <w:rPr>
          <w:rFonts w:ascii="Times New Roman" w:hAnsi="Times New Roman" w:cs="Times New Roman"/>
          <w:color w:val="222222"/>
          <w:sz w:val="24"/>
          <w:szCs w:val="24"/>
          <w:shd w:val="clear" w:color="auto" w:fill="FFFFFF"/>
        </w:rPr>
        <w:t>Schroeder, R. G., Clark, M. W., and Cathey, J. M. (2019) </w:t>
      </w:r>
      <w:r w:rsidRPr="00E57ACD">
        <w:rPr>
          <w:rFonts w:ascii="Times New Roman" w:hAnsi="Times New Roman" w:cs="Times New Roman"/>
          <w:i/>
          <w:iCs/>
          <w:color w:val="222222"/>
          <w:sz w:val="24"/>
          <w:szCs w:val="24"/>
          <w:shd w:val="clear" w:color="auto" w:fill="FFFFFF"/>
        </w:rPr>
        <w:t>Financial accounting theory and analysis: text and cases</w:t>
      </w:r>
      <w:r w:rsidRPr="00E57ACD">
        <w:rPr>
          <w:rFonts w:ascii="Times New Roman" w:hAnsi="Times New Roman" w:cs="Times New Roman"/>
          <w:color w:val="222222"/>
          <w:sz w:val="24"/>
          <w:szCs w:val="24"/>
          <w:shd w:val="clear" w:color="auto" w:fill="FFFFFF"/>
        </w:rPr>
        <w:t>. USA: John Wiley &amp; Sons.</w:t>
      </w:r>
    </w:p>
    <w:p w14:paraId="0C46B12E" w14:textId="77777777" w:rsidR="009E6918" w:rsidRPr="00E57ACD" w:rsidRDefault="009E6918" w:rsidP="006E53C7">
      <w:pPr>
        <w:spacing w:line="360" w:lineRule="auto"/>
        <w:ind w:left="720" w:hanging="720"/>
        <w:jc w:val="both"/>
        <w:rPr>
          <w:rFonts w:ascii="Times New Roman" w:hAnsi="Times New Roman" w:cs="Times New Roman"/>
          <w:sz w:val="24"/>
          <w:szCs w:val="24"/>
        </w:rPr>
      </w:pPr>
      <w:r w:rsidRPr="00E57ACD">
        <w:rPr>
          <w:rFonts w:ascii="Times New Roman" w:hAnsi="Times New Roman" w:cs="Times New Roman"/>
          <w:color w:val="222222"/>
          <w:sz w:val="24"/>
          <w:szCs w:val="24"/>
          <w:shd w:val="clear" w:color="auto" w:fill="FFFFFF"/>
        </w:rPr>
        <w:t>Subramanyam, K. R. (2014) </w:t>
      </w:r>
      <w:r w:rsidRPr="00E57ACD">
        <w:rPr>
          <w:rFonts w:ascii="Times New Roman" w:hAnsi="Times New Roman" w:cs="Times New Roman"/>
          <w:i/>
          <w:iCs/>
          <w:color w:val="222222"/>
          <w:sz w:val="24"/>
          <w:szCs w:val="24"/>
          <w:shd w:val="clear" w:color="auto" w:fill="FFFFFF"/>
        </w:rPr>
        <w:t>Financial statement analysis</w:t>
      </w:r>
      <w:r w:rsidRPr="00E57ACD">
        <w:rPr>
          <w:rFonts w:ascii="Times New Roman" w:hAnsi="Times New Roman" w:cs="Times New Roman"/>
          <w:color w:val="222222"/>
          <w:sz w:val="24"/>
          <w:szCs w:val="24"/>
          <w:shd w:val="clear" w:color="auto" w:fill="FFFFFF"/>
        </w:rPr>
        <w:t>. UK: McGraw Hill Education.</w:t>
      </w:r>
    </w:p>
    <w:p w14:paraId="0F07E2A4" w14:textId="77777777" w:rsidR="009E6918" w:rsidRPr="00E57ACD" w:rsidRDefault="009E6918" w:rsidP="00953755">
      <w:pPr>
        <w:spacing w:line="360" w:lineRule="auto"/>
        <w:ind w:left="720" w:hanging="720"/>
        <w:jc w:val="both"/>
        <w:rPr>
          <w:rFonts w:ascii="Times New Roman" w:hAnsi="Times New Roman" w:cs="Times New Roman"/>
          <w:color w:val="222222"/>
          <w:sz w:val="24"/>
          <w:szCs w:val="24"/>
          <w:shd w:val="clear" w:color="auto" w:fill="FFFFFF"/>
        </w:rPr>
      </w:pPr>
      <w:r w:rsidRPr="00E57ACD">
        <w:rPr>
          <w:rFonts w:ascii="Times New Roman" w:hAnsi="Times New Roman" w:cs="Times New Roman"/>
          <w:color w:val="222222"/>
          <w:sz w:val="24"/>
          <w:szCs w:val="24"/>
          <w:shd w:val="clear" w:color="auto" w:fill="FFFFFF"/>
        </w:rPr>
        <w:t xml:space="preserve">Titman, S.J., Martin, J.D. and Keown, A.J. (2013) </w:t>
      </w:r>
      <w:r w:rsidRPr="00E57ACD">
        <w:rPr>
          <w:rFonts w:ascii="Times New Roman" w:hAnsi="Times New Roman" w:cs="Times New Roman"/>
          <w:i/>
          <w:color w:val="222222"/>
          <w:sz w:val="24"/>
          <w:szCs w:val="24"/>
          <w:shd w:val="clear" w:color="auto" w:fill="FFFFFF"/>
        </w:rPr>
        <w:t>Financial Management: Principles and Applications 12</w:t>
      </w:r>
      <w:r w:rsidRPr="00E57ACD">
        <w:rPr>
          <w:rFonts w:ascii="Times New Roman" w:hAnsi="Times New Roman" w:cs="Times New Roman"/>
          <w:i/>
          <w:color w:val="222222"/>
          <w:sz w:val="24"/>
          <w:szCs w:val="24"/>
          <w:shd w:val="clear" w:color="auto" w:fill="FFFFFF"/>
          <w:vertAlign w:val="superscript"/>
        </w:rPr>
        <w:t>th</w:t>
      </w:r>
      <w:r w:rsidRPr="00E57ACD">
        <w:rPr>
          <w:rFonts w:ascii="Times New Roman" w:hAnsi="Times New Roman" w:cs="Times New Roman"/>
          <w:i/>
          <w:color w:val="222222"/>
          <w:sz w:val="24"/>
          <w:szCs w:val="24"/>
          <w:shd w:val="clear" w:color="auto" w:fill="FFFFFF"/>
        </w:rPr>
        <w:t xml:space="preserve"> </w:t>
      </w:r>
      <w:proofErr w:type="spellStart"/>
      <w:r w:rsidRPr="00E57ACD">
        <w:rPr>
          <w:rFonts w:ascii="Times New Roman" w:hAnsi="Times New Roman" w:cs="Times New Roman"/>
          <w:i/>
          <w:color w:val="222222"/>
          <w:sz w:val="24"/>
          <w:szCs w:val="24"/>
          <w:shd w:val="clear" w:color="auto" w:fill="FFFFFF"/>
        </w:rPr>
        <w:t>edn</w:t>
      </w:r>
      <w:proofErr w:type="spellEnd"/>
      <w:r w:rsidRPr="00E57ACD">
        <w:rPr>
          <w:rFonts w:ascii="Times New Roman" w:hAnsi="Times New Roman" w:cs="Times New Roman"/>
          <w:i/>
          <w:color w:val="222222"/>
          <w:sz w:val="24"/>
          <w:szCs w:val="24"/>
          <w:shd w:val="clear" w:color="auto" w:fill="FFFFFF"/>
        </w:rPr>
        <w:t>.</w:t>
      </w:r>
      <w:r w:rsidRPr="00E57ACD">
        <w:rPr>
          <w:rFonts w:ascii="Times New Roman" w:hAnsi="Times New Roman" w:cs="Times New Roman"/>
          <w:color w:val="222222"/>
          <w:sz w:val="24"/>
          <w:szCs w:val="24"/>
          <w:shd w:val="clear" w:color="auto" w:fill="FFFFFF"/>
        </w:rPr>
        <w:t xml:space="preserve"> UK: Prentice Hall. </w:t>
      </w:r>
    </w:p>
    <w:p w14:paraId="3C8E7882" w14:textId="77777777" w:rsidR="009E6918" w:rsidRPr="00E57ACD" w:rsidRDefault="000B25BC" w:rsidP="00BD1DBA">
      <w:pPr>
        <w:spacing w:line="360" w:lineRule="auto"/>
        <w:ind w:left="720" w:hanging="720"/>
        <w:jc w:val="both"/>
        <w:rPr>
          <w:rFonts w:ascii="Times New Roman" w:hAnsi="Times New Roman" w:cs="Times New Roman"/>
          <w:color w:val="000000" w:themeColor="text1"/>
          <w:sz w:val="24"/>
          <w:szCs w:val="24"/>
        </w:rPr>
      </w:pPr>
      <w:hyperlink r:id="rId15" w:history="1">
        <w:r w:rsidR="009E6918" w:rsidRPr="00E57ACD">
          <w:rPr>
            <w:rStyle w:val="Hyperlink"/>
            <w:rFonts w:ascii="Times New Roman" w:hAnsi="Times New Roman" w:cs="Times New Roman"/>
            <w:color w:val="000000" w:themeColor="text1"/>
            <w:sz w:val="24"/>
            <w:szCs w:val="24"/>
            <w:u w:val="none"/>
          </w:rPr>
          <w:t>Warren</w:t>
        </w:r>
      </w:hyperlink>
      <w:r w:rsidR="009E6918" w:rsidRPr="00E57ACD">
        <w:rPr>
          <w:rFonts w:ascii="Times New Roman" w:hAnsi="Times New Roman" w:cs="Times New Roman"/>
          <w:color w:val="000000" w:themeColor="text1"/>
          <w:sz w:val="24"/>
          <w:szCs w:val="24"/>
        </w:rPr>
        <w:t xml:space="preserve">, C., </w:t>
      </w:r>
      <w:hyperlink r:id="rId16" w:history="1">
        <w:r w:rsidR="009E6918" w:rsidRPr="00E57ACD">
          <w:rPr>
            <w:rStyle w:val="Hyperlink"/>
            <w:rFonts w:ascii="Times New Roman" w:hAnsi="Times New Roman" w:cs="Times New Roman"/>
            <w:color w:val="000000" w:themeColor="text1"/>
            <w:sz w:val="24"/>
            <w:szCs w:val="24"/>
            <w:u w:val="none"/>
          </w:rPr>
          <w:t>Reeve</w:t>
        </w:r>
      </w:hyperlink>
      <w:r w:rsidR="009E6918" w:rsidRPr="00E57ACD">
        <w:rPr>
          <w:rFonts w:ascii="Times New Roman" w:hAnsi="Times New Roman" w:cs="Times New Roman"/>
          <w:color w:val="000000" w:themeColor="text1"/>
          <w:sz w:val="24"/>
          <w:szCs w:val="24"/>
        </w:rPr>
        <w:t xml:space="preserve">, J., and </w:t>
      </w:r>
      <w:hyperlink r:id="rId17" w:history="1">
        <w:r w:rsidR="009E6918" w:rsidRPr="00E57ACD">
          <w:rPr>
            <w:rStyle w:val="Hyperlink"/>
            <w:rFonts w:ascii="Times New Roman" w:hAnsi="Times New Roman" w:cs="Times New Roman"/>
            <w:color w:val="000000" w:themeColor="text1"/>
            <w:sz w:val="24"/>
            <w:szCs w:val="24"/>
            <w:u w:val="none"/>
          </w:rPr>
          <w:t xml:space="preserve"> </w:t>
        </w:r>
        <w:proofErr w:type="spellStart"/>
        <w:r w:rsidR="009E6918" w:rsidRPr="00E57ACD">
          <w:rPr>
            <w:rStyle w:val="Hyperlink"/>
            <w:rFonts w:ascii="Times New Roman" w:hAnsi="Times New Roman" w:cs="Times New Roman"/>
            <w:color w:val="000000" w:themeColor="text1"/>
            <w:sz w:val="24"/>
            <w:szCs w:val="24"/>
            <w:u w:val="none"/>
          </w:rPr>
          <w:t>Duchac</w:t>
        </w:r>
        <w:proofErr w:type="spellEnd"/>
      </w:hyperlink>
      <w:r w:rsidR="009E6918" w:rsidRPr="00E57ACD">
        <w:rPr>
          <w:rFonts w:ascii="Times New Roman" w:hAnsi="Times New Roman" w:cs="Times New Roman"/>
          <w:color w:val="000000" w:themeColor="text1"/>
          <w:sz w:val="24"/>
          <w:szCs w:val="24"/>
        </w:rPr>
        <w:t xml:space="preserve">, J. (2011) </w:t>
      </w:r>
      <w:r w:rsidR="009E6918" w:rsidRPr="00E57ACD">
        <w:rPr>
          <w:rFonts w:ascii="Times New Roman" w:hAnsi="Times New Roman" w:cs="Times New Roman"/>
          <w:i/>
          <w:color w:val="000000" w:themeColor="text1"/>
          <w:sz w:val="24"/>
          <w:szCs w:val="24"/>
        </w:rPr>
        <w:t>Financial &amp; Managerial Accounting</w:t>
      </w:r>
      <w:r w:rsidR="009E6918" w:rsidRPr="00E57ACD">
        <w:rPr>
          <w:rFonts w:ascii="Times New Roman" w:hAnsi="Times New Roman" w:cs="Times New Roman"/>
          <w:color w:val="000000" w:themeColor="text1"/>
          <w:sz w:val="24"/>
          <w:szCs w:val="24"/>
        </w:rPr>
        <w:t xml:space="preserve">. USA: Cengage Learning </w:t>
      </w:r>
    </w:p>
    <w:p w14:paraId="40B1DF47" w14:textId="77777777" w:rsidR="009E6918" w:rsidRPr="00E57ACD" w:rsidRDefault="009E6918" w:rsidP="00BD1DBA">
      <w:pPr>
        <w:spacing w:line="360" w:lineRule="auto"/>
        <w:ind w:left="720" w:hanging="720"/>
        <w:rPr>
          <w:rFonts w:ascii="Times New Roman" w:hAnsi="Times New Roman" w:cs="Times New Roman"/>
          <w:sz w:val="24"/>
          <w:szCs w:val="24"/>
        </w:rPr>
      </w:pPr>
      <w:r w:rsidRPr="00E57ACD">
        <w:rPr>
          <w:rFonts w:ascii="Times New Roman" w:hAnsi="Times New Roman" w:cs="Times New Roman"/>
          <w:sz w:val="24"/>
          <w:szCs w:val="24"/>
        </w:rPr>
        <w:t xml:space="preserve">Watson, D. and Head, A. (2013) </w:t>
      </w:r>
      <w:r w:rsidRPr="00E57ACD">
        <w:rPr>
          <w:rFonts w:ascii="Times New Roman" w:hAnsi="Times New Roman" w:cs="Times New Roman"/>
          <w:i/>
          <w:sz w:val="24"/>
          <w:szCs w:val="24"/>
        </w:rPr>
        <w:t>Corporate Finance Principles and Practice, 6th edition</w:t>
      </w:r>
      <w:r w:rsidRPr="00E57ACD">
        <w:rPr>
          <w:rFonts w:ascii="Times New Roman" w:hAnsi="Times New Roman" w:cs="Times New Roman"/>
          <w:sz w:val="24"/>
          <w:szCs w:val="24"/>
        </w:rPr>
        <w:t xml:space="preserve">. AU: Pearson Education </w:t>
      </w:r>
    </w:p>
    <w:p w14:paraId="02CF8EA6" w14:textId="77777777" w:rsidR="009E6918" w:rsidRPr="00E57ACD" w:rsidRDefault="009E6918" w:rsidP="00BD1DBA">
      <w:pPr>
        <w:spacing w:line="360" w:lineRule="auto"/>
        <w:ind w:left="720" w:hanging="720"/>
        <w:rPr>
          <w:rFonts w:ascii="Times New Roman" w:hAnsi="Times New Roman" w:cs="Times New Roman"/>
          <w:sz w:val="24"/>
          <w:szCs w:val="24"/>
        </w:rPr>
      </w:pPr>
      <w:proofErr w:type="spellStart"/>
      <w:r w:rsidRPr="00E57ACD">
        <w:rPr>
          <w:rFonts w:ascii="Times New Roman" w:hAnsi="Times New Roman" w:cs="Times New Roman"/>
          <w:sz w:val="24"/>
          <w:szCs w:val="24"/>
        </w:rPr>
        <w:t>Weetman</w:t>
      </w:r>
      <w:proofErr w:type="spellEnd"/>
      <w:r w:rsidRPr="00E57ACD">
        <w:rPr>
          <w:rFonts w:ascii="Times New Roman" w:hAnsi="Times New Roman" w:cs="Times New Roman"/>
          <w:sz w:val="24"/>
          <w:szCs w:val="24"/>
        </w:rPr>
        <w:t xml:space="preserve">, P. (2013) </w:t>
      </w:r>
      <w:r w:rsidRPr="00E57ACD">
        <w:rPr>
          <w:rFonts w:ascii="Times New Roman" w:hAnsi="Times New Roman" w:cs="Times New Roman"/>
          <w:i/>
          <w:sz w:val="24"/>
          <w:szCs w:val="24"/>
        </w:rPr>
        <w:t>Financial and Management Accounting, An Introduction, 6th edition</w:t>
      </w:r>
      <w:r w:rsidRPr="00E57ACD">
        <w:rPr>
          <w:rFonts w:ascii="Times New Roman" w:hAnsi="Times New Roman" w:cs="Times New Roman"/>
          <w:sz w:val="24"/>
          <w:szCs w:val="24"/>
        </w:rPr>
        <w:t>. AU: Pearson Education</w:t>
      </w:r>
    </w:p>
    <w:p w14:paraId="6FA02056" w14:textId="77777777" w:rsidR="00C57B08" w:rsidRPr="00E57ACD" w:rsidRDefault="00C57B08" w:rsidP="00953755">
      <w:pPr>
        <w:spacing w:line="360" w:lineRule="auto"/>
        <w:jc w:val="both"/>
        <w:rPr>
          <w:rFonts w:ascii="Times New Roman" w:hAnsi="Times New Roman" w:cs="Times New Roman"/>
          <w:sz w:val="24"/>
          <w:szCs w:val="24"/>
        </w:rPr>
      </w:pPr>
    </w:p>
    <w:sectPr w:rsidR="00C57B08" w:rsidRPr="00E57ACD" w:rsidSect="001A2E6A">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29200B" w14:textId="77777777" w:rsidR="000B25BC" w:rsidRDefault="000B25BC" w:rsidP="00AC7B28">
      <w:pPr>
        <w:spacing w:after="0" w:line="240" w:lineRule="auto"/>
      </w:pPr>
      <w:r>
        <w:separator/>
      </w:r>
    </w:p>
  </w:endnote>
  <w:endnote w:type="continuationSeparator" w:id="0">
    <w:p w14:paraId="59BA6586" w14:textId="77777777" w:rsidR="000B25BC" w:rsidRDefault="000B25BC" w:rsidP="00AC7B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E7734B" w14:textId="77777777" w:rsidR="000B25BC" w:rsidRDefault="000B25BC" w:rsidP="00AC7B28">
      <w:pPr>
        <w:spacing w:after="0" w:line="240" w:lineRule="auto"/>
      </w:pPr>
      <w:r>
        <w:separator/>
      </w:r>
    </w:p>
  </w:footnote>
  <w:footnote w:type="continuationSeparator" w:id="0">
    <w:p w14:paraId="4B843086" w14:textId="77777777" w:rsidR="000B25BC" w:rsidRDefault="000B25BC" w:rsidP="00AC7B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9508168"/>
      <w:docPartObj>
        <w:docPartGallery w:val="Page Numbers (Top of Page)"/>
        <w:docPartUnique/>
      </w:docPartObj>
    </w:sdtPr>
    <w:sdtEndPr/>
    <w:sdtContent>
      <w:p w14:paraId="0F55DA6A" w14:textId="77777777" w:rsidR="00082866" w:rsidRPr="00082866" w:rsidRDefault="00757A4B">
        <w:pPr>
          <w:pStyle w:val="Header"/>
          <w:jc w:val="right"/>
          <w:rPr>
            <w:rFonts w:ascii="Times New Roman" w:hAnsi="Times New Roman" w:cs="Times New Roman"/>
            <w:sz w:val="24"/>
            <w:szCs w:val="24"/>
          </w:rPr>
        </w:pPr>
        <w:r w:rsidRPr="00082866">
          <w:rPr>
            <w:rFonts w:ascii="Times New Roman" w:hAnsi="Times New Roman" w:cs="Times New Roman"/>
            <w:sz w:val="24"/>
            <w:szCs w:val="24"/>
          </w:rPr>
          <w:fldChar w:fldCharType="begin"/>
        </w:r>
        <w:r w:rsidR="00082866" w:rsidRPr="00082866">
          <w:rPr>
            <w:rFonts w:ascii="Times New Roman" w:hAnsi="Times New Roman" w:cs="Times New Roman"/>
            <w:sz w:val="24"/>
            <w:szCs w:val="24"/>
          </w:rPr>
          <w:instrText xml:space="preserve"> PAGE   \* MERGEFORMAT </w:instrText>
        </w:r>
        <w:r w:rsidRPr="00082866">
          <w:rPr>
            <w:rFonts w:ascii="Times New Roman" w:hAnsi="Times New Roman" w:cs="Times New Roman"/>
            <w:sz w:val="24"/>
            <w:szCs w:val="24"/>
          </w:rPr>
          <w:fldChar w:fldCharType="separate"/>
        </w:r>
        <w:r w:rsidR="0018041E">
          <w:rPr>
            <w:rFonts w:ascii="Times New Roman" w:hAnsi="Times New Roman" w:cs="Times New Roman"/>
            <w:noProof/>
            <w:sz w:val="24"/>
            <w:szCs w:val="24"/>
          </w:rPr>
          <w:t>4</w:t>
        </w:r>
        <w:r w:rsidRPr="00082866">
          <w:rPr>
            <w:rFonts w:ascii="Times New Roman" w:hAnsi="Times New Roman" w:cs="Times New Roman"/>
            <w:sz w:val="24"/>
            <w:szCs w:val="24"/>
          </w:rPr>
          <w:fldChar w:fldCharType="end"/>
        </w:r>
      </w:p>
    </w:sdtContent>
  </w:sdt>
  <w:p w14:paraId="6BA8D82A" w14:textId="77777777" w:rsidR="00082866" w:rsidRPr="00082866" w:rsidRDefault="00082866">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2456AB"/>
    <w:multiLevelType w:val="hybridMultilevel"/>
    <w:tmpl w:val="5AE22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SwNDC2NDUztzAyNjVW0lEKTi0uzszPAymwrAUAj1GpSCwAAAA="/>
  </w:docVars>
  <w:rsids>
    <w:rsidRoot w:val="00B33969"/>
    <w:rsid w:val="00003D46"/>
    <w:rsid w:val="000607B1"/>
    <w:rsid w:val="000628F9"/>
    <w:rsid w:val="00080538"/>
    <w:rsid w:val="00082866"/>
    <w:rsid w:val="000A1095"/>
    <w:rsid w:val="000B25BC"/>
    <w:rsid w:val="000B4455"/>
    <w:rsid w:val="000B5169"/>
    <w:rsid w:val="000D3468"/>
    <w:rsid w:val="000E073E"/>
    <w:rsid w:val="000F1446"/>
    <w:rsid w:val="0010479D"/>
    <w:rsid w:val="00151F82"/>
    <w:rsid w:val="001670F2"/>
    <w:rsid w:val="00170447"/>
    <w:rsid w:val="00170E99"/>
    <w:rsid w:val="001774C1"/>
    <w:rsid w:val="0018041E"/>
    <w:rsid w:val="00181938"/>
    <w:rsid w:val="001A0F13"/>
    <w:rsid w:val="001A2E6A"/>
    <w:rsid w:val="001E31A9"/>
    <w:rsid w:val="001E44EC"/>
    <w:rsid w:val="001E688F"/>
    <w:rsid w:val="00210DFB"/>
    <w:rsid w:val="00212B4A"/>
    <w:rsid w:val="00216D6D"/>
    <w:rsid w:val="00226BF6"/>
    <w:rsid w:val="00235D3E"/>
    <w:rsid w:val="0024245D"/>
    <w:rsid w:val="00251B8C"/>
    <w:rsid w:val="00263703"/>
    <w:rsid w:val="002652B3"/>
    <w:rsid w:val="00277400"/>
    <w:rsid w:val="00281BE2"/>
    <w:rsid w:val="00283291"/>
    <w:rsid w:val="00287F00"/>
    <w:rsid w:val="0029090E"/>
    <w:rsid w:val="002A3265"/>
    <w:rsid w:val="002D1520"/>
    <w:rsid w:val="002D3585"/>
    <w:rsid w:val="00332B20"/>
    <w:rsid w:val="00333E87"/>
    <w:rsid w:val="00356D11"/>
    <w:rsid w:val="00362C2E"/>
    <w:rsid w:val="00376B54"/>
    <w:rsid w:val="0038597F"/>
    <w:rsid w:val="003C367F"/>
    <w:rsid w:val="003C5425"/>
    <w:rsid w:val="003E7C90"/>
    <w:rsid w:val="003F6ACF"/>
    <w:rsid w:val="00404334"/>
    <w:rsid w:val="00434CD2"/>
    <w:rsid w:val="00437CD0"/>
    <w:rsid w:val="004523EF"/>
    <w:rsid w:val="00481ACD"/>
    <w:rsid w:val="004925B6"/>
    <w:rsid w:val="00492DE9"/>
    <w:rsid w:val="004A6671"/>
    <w:rsid w:val="004C17B8"/>
    <w:rsid w:val="004C2D4E"/>
    <w:rsid w:val="004C3835"/>
    <w:rsid w:val="004D2148"/>
    <w:rsid w:val="004E069A"/>
    <w:rsid w:val="004E22E1"/>
    <w:rsid w:val="004F1CCA"/>
    <w:rsid w:val="00500DAE"/>
    <w:rsid w:val="00525F8A"/>
    <w:rsid w:val="005260E8"/>
    <w:rsid w:val="00533CC6"/>
    <w:rsid w:val="0054758B"/>
    <w:rsid w:val="005563FF"/>
    <w:rsid w:val="00561A1B"/>
    <w:rsid w:val="005675A0"/>
    <w:rsid w:val="00571B64"/>
    <w:rsid w:val="005743A6"/>
    <w:rsid w:val="005754AD"/>
    <w:rsid w:val="00584A92"/>
    <w:rsid w:val="00584E04"/>
    <w:rsid w:val="0059747D"/>
    <w:rsid w:val="005C46C1"/>
    <w:rsid w:val="005D0588"/>
    <w:rsid w:val="005E4F46"/>
    <w:rsid w:val="005E564B"/>
    <w:rsid w:val="005E5806"/>
    <w:rsid w:val="005E7069"/>
    <w:rsid w:val="00607D07"/>
    <w:rsid w:val="006112A6"/>
    <w:rsid w:val="00620496"/>
    <w:rsid w:val="00636A39"/>
    <w:rsid w:val="006409C3"/>
    <w:rsid w:val="006854C7"/>
    <w:rsid w:val="00691E98"/>
    <w:rsid w:val="00694B14"/>
    <w:rsid w:val="006A056B"/>
    <w:rsid w:val="006B1810"/>
    <w:rsid w:val="006C423B"/>
    <w:rsid w:val="006D2A48"/>
    <w:rsid w:val="006D4481"/>
    <w:rsid w:val="006E1E01"/>
    <w:rsid w:val="006E53C7"/>
    <w:rsid w:val="006F07A3"/>
    <w:rsid w:val="006F1108"/>
    <w:rsid w:val="006F34BF"/>
    <w:rsid w:val="00706706"/>
    <w:rsid w:val="007074F3"/>
    <w:rsid w:val="007139EB"/>
    <w:rsid w:val="00754618"/>
    <w:rsid w:val="0075735E"/>
    <w:rsid w:val="00757A4B"/>
    <w:rsid w:val="007733B8"/>
    <w:rsid w:val="00786F21"/>
    <w:rsid w:val="007920EE"/>
    <w:rsid w:val="00797B8D"/>
    <w:rsid w:val="007A337F"/>
    <w:rsid w:val="007B6256"/>
    <w:rsid w:val="007C7DFD"/>
    <w:rsid w:val="007D47B9"/>
    <w:rsid w:val="007E7803"/>
    <w:rsid w:val="007F0337"/>
    <w:rsid w:val="008017FA"/>
    <w:rsid w:val="008037BE"/>
    <w:rsid w:val="00813A30"/>
    <w:rsid w:val="008216E3"/>
    <w:rsid w:val="00845CA9"/>
    <w:rsid w:val="00862A2F"/>
    <w:rsid w:val="00862A53"/>
    <w:rsid w:val="00863648"/>
    <w:rsid w:val="008640CF"/>
    <w:rsid w:val="00890236"/>
    <w:rsid w:val="00896B97"/>
    <w:rsid w:val="008C464D"/>
    <w:rsid w:val="008D6A83"/>
    <w:rsid w:val="008F592F"/>
    <w:rsid w:val="00910391"/>
    <w:rsid w:val="0091090E"/>
    <w:rsid w:val="009175FC"/>
    <w:rsid w:val="00943794"/>
    <w:rsid w:val="00953755"/>
    <w:rsid w:val="00955B83"/>
    <w:rsid w:val="00957F48"/>
    <w:rsid w:val="009751D6"/>
    <w:rsid w:val="00981E9E"/>
    <w:rsid w:val="009832C0"/>
    <w:rsid w:val="009A0A6F"/>
    <w:rsid w:val="009C40B5"/>
    <w:rsid w:val="009C4E2F"/>
    <w:rsid w:val="009E6918"/>
    <w:rsid w:val="009F20C3"/>
    <w:rsid w:val="009F69BE"/>
    <w:rsid w:val="00A20263"/>
    <w:rsid w:val="00A22801"/>
    <w:rsid w:val="00A24B25"/>
    <w:rsid w:val="00A33288"/>
    <w:rsid w:val="00A53A99"/>
    <w:rsid w:val="00A6163A"/>
    <w:rsid w:val="00A64B16"/>
    <w:rsid w:val="00A87D30"/>
    <w:rsid w:val="00AA2598"/>
    <w:rsid w:val="00AA2918"/>
    <w:rsid w:val="00AC7B28"/>
    <w:rsid w:val="00AD68A4"/>
    <w:rsid w:val="00B33969"/>
    <w:rsid w:val="00B37608"/>
    <w:rsid w:val="00B44BB3"/>
    <w:rsid w:val="00B506EC"/>
    <w:rsid w:val="00B5490B"/>
    <w:rsid w:val="00B77B74"/>
    <w:rsid w:val="00B81327"/>
    <w:rsid w:val="00BA0F1F"/>
    <w:rsid w:val="00BC25C8"/>
    <w:rsid w:val="00BD0619"/>
    <w:rsid w:val="00BD1DBA"/>
    <w:rsid w:val="00BE2A6F"/>
    <w:rsid w:val="00BF16B6"/>
    <w:rsid w:val="00BF65FA"/>
    <w:rsid w:val="00C0151F"/>
    <w:rsid w:val="00C16EEB"/>
    <w:rsid w:val="00C2030D"/>
    <w:rsid w:val="00C2054C"/>
    <w:rsid w:val="00C25ED4"/>
    <w:rsid w:val="00C27145"/>
    <w:rsid w:val="00C32F2C"/>
    <w:rsid w:val="00C41966"/>
    <w:rsid w:val="00C41F05"/>
    <w:rsid w:val="00C446E1"/>
    <w:rsid w:val="00C57B08"/>
    <w:rsid w:val="00C6355A"/>
    <w:rsid w:val="00C66572"/>
    <w:rsid w:val="00C67091"/>
    <w:rsid w:val="00C719A2"/>
    <w:rsid w:val="00C72AF6"/>
    <w:rsid w:val="00C830DF"/>
    <w:rsid w:val="00CA05B5"/>
    <w:rsid w:val="00CA0958"/>
    <w:rsid w:val="00CB1CE1"/>
    <w:rsid w:val="00CB5051"/>
    <w:rsid w:val="00CC79BA"/>
    <w:rsid w:val="00CF100E"/>
    <w:rsid w:val="00D71220"/>
    <w:rsid w:val="00D72C19"/>
    <w:rsid w:val="00DA4C2E"/>
    <w:rsid w:val="00DB4F45"/>
    <w:rsid w:val="00DB5866"/>
    <w:rsid w:val="00DC0C09"/>
    <w:rsid w:val="00DC43FA"/>
    <w:rsid w:val="00DD505B"/>
    <w:rsid w:val="00DD7BB2"/>
    <w:rsid w:val="00DE0816"/>
    <w:rsid w:val="00DF2CBD"/>
    <w:rsid w:val="00DF72A1"/>
    <w:rsid w:val="00E012DA"/>
    <w:rsid w:val="00E17482"/>
    <w:rsid w:val="00E219B0"/>
    <w:rsid w:val="00E259AB"/>
    <w:rsid w:val="00E3162F"/>
    <w:rsid w:val="00E3372F"/>
    <w:rsid w:val="00E341D4"/>
    <w:rsid w:val="00E46325"/>
    <w:rsid w:val="00E50978"/>
    <w:rsid w:val="00E57ACD"/>
    <w:rsid w:val="00E752F2"/>
    <w:rsid w:val="00E822D1"/>
    <w:rsid w:val="00E82F4A"/>
    <w:rsid w:val="00E87816"/>
    <w:rsid w:val="00EA7BF4"/>
    <w:rsid w:val="00EF4B5F"/>
    <w:rsid w:val="00F8536E"/>
    <w:rsid w:val="00F86E86"/>
    <w:rsid w:val="00FB60F6"/>
    <w:rsid w:val="00FD1D93"/>
    <w:rsid w:val="00FD53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882EA"/>
  <w15:docId w15:val="{6DD387B3-6F8F-43A3-9DD7-568990FBE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E6A"/>
  </w:style>
  <w:style w:type="paragraph" w:styleId="Heading1">
    <w:name w:val="heading 1"/>
    <w:basedOn w:val="Normal"/>
    <w:next w:val="Normal"/>
    <w:link w:val="Heading1Char"/>
    <w:uiPriority w:val="9"/>
    <w:qFormat/>
    <w:rsid w:val="00B3396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4245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6163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3969"/>
    <w:rPr>
      <w:color w:val="0000FF" w:themeColor="hyperlink"/>
      <w:u w:val="single"/>
    </w:rPr>
  </w:style>
  <w:style w:type="character" w:customStyle="1" w:styleId="Heading1Char">
    <w:name w:val="Heading 1 Char"/>
    <w:basedOn w:val="DefaultParagraphFont"/>
    <w:link w:val="Heading1"/>
    <w:uiPriority w:val="9"/>
    <w:rsid w:val="00B3396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4245D"/>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4F1C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1CCA"/>
    <w:rPr>
      <w:rFonts w:ascii="Tahoma" w:hAnsi="Tahoma" w:cs="Tahoma"/>
      <w:sz w:val="16"/>
      <w:szCs w:val="16"/>
    </w:rPr>
  </w:style>
  <w:style w:type="paragraph" w:styleId="Header">
    <w:name w:val="header"/>
    <w:basedOn w:val="Normal"/>
    <w:link w:val="HeaderChar"/>
    <w:uiPriority w:val="99"/>
    <w:unhideWhenUsed/>
    <w:rsid w:val="00AC7B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7B28"/>
  </w:style>
  <w:style w:type="paragraph" w:styleId="Footer">
    <w:name w:val="footer"/>
    <w:basedOn w:val="Normal"/>
    <w:link w:val="FooterChar"/>
    <w:uiPriority w:val="99"/>
    <w:semiHidden/>
    <w:unhideWhenUsed/>
    <w:rsid w:val="00AC7B28"/>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C7B28"/>
  </w:style>
  <w:style w:type="character" w:customStyle="1" w:styleId="Heading3Char">
    <w:name w:val="Heading 3 Char"/>
    <w:basedOn w:val="DefaultParagraphFont"/>
    <w:link w:val="Heading3"/>
    <w:uiPriority w:val="9"/>
    <w:rsid w:val="00A6163A"/>
    <w:rPr>
      <w:rFonts w:asciiTheme="majorHAnsi" w:eastAsiaTheme="majorEastAsia" w:hAnsiTheme="majorHAnsi" w:cstheme="majorBidi"/>
      <w:b/>
      <w:bCs/>
      <w:color w:val="4F81BD" w:themeColor="accent1"/>
    </w:rPr>
  </w:style>
  <w:style w:type="table" w:styleId="TableGrid">
    <w:name w:val="Table Grid"/>
    <w:basedOn w:val="TableNormal"/>
    <w:uiPriority w:val="59"/>
    <w:rsid w:val="005C46C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A7BF4"/>
    <w:pPr>
      <w:ind w:left="720"/>
      <w:contextualSpacing/>
    </w:pPr>
  </w:style>
  <w:style w:type="paragraph" w:customStyle="1" w:styleId="Normal1">
    <w:name w:val="Normal1"/>
    <w:rsid w:val="006F1108"/>
    <w:pPr>
      <w:spacing w:after="0"/>
    </w:pPr>
    <w:rPr>
      <w:rFonts w:ascii="Arial" w:eastAsia="Arial" w:hAnsi="Arial" w:cs="Arial"/>
      <w:lang w:bidi="en-US"/>
    </w:rPr>
  </w:style>
  <w:style w:type="paragraph" w:styleId="TOCHeading">
    <w:name w:val="TOC Heading"/>
    <w:basedOn w:val="Heading1"/>
    <w:next w:val="Normal"/>
    <w:uiPriority w:val="39"/>
    <w:semiHidden/>
    <w:unhideWhenUsed/>
    <w:qFormat/>
    <w:rsid w:val="00754618"/>
    <w:pPr>
      <w:outlineLvl w:val="9"/>
    </w:pPr>
  </w:style>
  <w:style w:type="paragraph" w:styleId="TOC1">
    <w:name w:val="toc 1"/>
    <w:basedOn w:val="Normal"/>
    <w:next w:val="Normal"/>
    <w:autoRedefine/>
    <w:uiPriority w:val="39"/>
    <w:unhideWhenUsed/>
    <w:rsid w:val="00754618"/>
    <w:pPr>
      <w:spacing w:after="100"/>
    </w:pPr>
  </w:style>
  <w:style w:type="paragraph" w:styleId="TOC2">
    <w:name w:val="toc 2"/>
    <w:basedOn w:val="Normal"/>
    <w:next w:val="Normal"/>
    <w:autoRedefine/>
    <w:uiPriority w:val="39"/>
    <w:unhideWhenUsed/>
    <w:rsid w:val="00754618"/>
    <w:pPr>
      <w:spacing w:after="100"/>
      <w:ind w:left="220"/>
    </w:pPr>
  </w:style>
  <w:style w:type="paragraph" w:styleId="TOC3">
    <w:name w:val="toc 3"/>
    <w:basedOn w:val="Normal"/>
    <w:next w:val="Normal"/>
    <w:autoRedefine/>
    <w:uiPriority w:val="39"/>
    <w:unhideWhenUsed/>
    <w:rsid w:val="00754618"/>
    <w:pPr>
      <w:spacing w:after="100"/>
      <w:ind w:left="440"/>
    </w:pPr>
  </w:style>
  <w:style w:type="character" w:customStyle="1" w:styleId="apple-converted-space">
    <w:name w:val="apple-converted-space"/>
    <w:basedOn w:val="DefaultParagraphFont"/>
    <w:rsid w:val="00BD1D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7809298">
      <w:bodyDiv w:val="1"/>
      <w:marLeft w:val="0"/>
      <w:marRight w:val="0"/>
      <w:marTop w:val="0"/>
      <w:marBottom w:val="0"/>
      <w:divBdr>
        <w:top w:val="none" w:sz="0" w:space="0" w:color="auto"/>
        <w:left w:val="none" w:sz="0" w:space="0" w:color="auto"/>
        <w:bottom w:val="none" w:sz="0" w:space="0" w:color="auto"/>
        <w:right w:val="none" w:sz="0" w:space="0" w:color="auto"/>
      </w:divBdr>
    </w:div>
    <w:div w:id="975795099">
      <w:bodyDiv w:val="1"/>
      <w:marLeft w:val="0"/>
      <w:marRight w:val="0"/>
      <w:marTop w:val="0"/>
      <w:marBottom w:val="0"/>
      <w:divBdr>
        <w:top w:val="none" w:sz="0" w:space="0" w:color="auto"/>
        <w:left w:val="none" w:sz="0" w:space="0" w:color="auto"/>
        <w:bottom w:val="none" w:sz="0" w:space="0" w:color="auto"/>
        <w:right w:val="none" w:sz="0" w:space="0" w:color="auto"/>
      </w:divBdr>
    </w:div>
    <w:div w:id="1093547621">
      <w:bodyDiv w:val="1"/>
      <w:marLeft w:val="0"/>
      <w:marRight w:val="0"/>
      <w:marTop w:val="0"/>
      <w:marBottom w:val="0"/>
      <w:divBdr>
        <w:top w:val="none" w:sz="0" w:space="0" w:color="auto"/>
        <w:left w:val="none" w:sz="0" w:space="0" w:color="auto"/>
        <w:bottom w:val="none" w:sz="0" w:space="0" w:color="auto"/>
        <w:right w:val="none" w:sz="0" w:space="0" w:color="auto"/>
      </w:divBdr>
    </w:div>
    <w:div w:id="1396199753">
      <w:bodyDiv w:val="1"/>
      <w:marLeft w:val="0"/>
      <w:marRight w:val="0"/>
      <w:marTop w:val="0"/>
      <w:marBottom w:val="0"/>
      <w:divBdr>
        <w:top w:val="none" w:sz="0" w:space="0" w:color="auto"/>
        <w:left w:val="none" w:sz="0" w:space="0" w:color="auto"/>
        <w:bottom w:val="none" w:sz="0" w:space="0" w:color="auto"/>
        <w:right w:val="none" w:sz="0" w:space="0" w:color="auto"/>
      </w:divBdr>
    </w:div>
    <w:div w:id="1772628700">
      <w:bodyDiv w:val="1"/>
      <w:marLeft w:val="0"/>
      <w:marRight w:val="0"/>
      <w:marTop w:val="0"/>
      <w:marBottom w:val="0"/>
      <w:divBdr>
        <w:top w:val="none" w:sz="0" w:space="0" w:color="auto"/>
        <w:left w:val="none" w:sz="0" w:space="0" w:color="auto"/>
        <w:bottom w:val="none" w:sz="0" w:space="0" w:color="auto"/>
        <w:right w:val="none" w:sz="0" w:space="0" w:color="auto"/>
      </w:divBdr>
    </w:div>
    <w:div w:id="1905220611">
      <w:bodyDiv w:val="1"/>
      <w:marLeft w:val="0"/>
      <w:marRight w:val="0"/>
      <w:marTop w:val="0"/>
      <w:marBottom w:val="0"/>
      <w:divBdr>
        <w:top w:val="none" w:sz="0" w:space="0" w:color="auto"/>
        <w:left w:val="none" w:sz="0" w:space="0" w:color="auto"/>
        <w:bottom w:val="none" w:sz="0" w:space="0" w:color="auto"/>
        <w:right w:val="none" w:sz="0" w:space="0" w:color="auto"/>
      </w:divBdr>
    </w:div>
    <w:div w:id="2041514034">
      <w:bodyDiv w:val="1"/>
      <w:marLeft w:val="0"/>
      <w:marRight w:val="0"/>
      <w:marTop w:val="0"/>
      <w:marBottom w:val="0"/>
      <w:divBdr>
        <w:top w:val="none" w:sz="0" w:space="0" w:color="auto"/>
        <w:left w:val="none" w:sz="0" w:space="0" w:color="auto"/>
        <w:bottom w:val="none" w:sz="0" w:space="0" w:color="auto"/>
        <w:right w:val="none" w:sz="0" w:space="0" w:color="auto"/>
      </w:divBdr>
    </w:div>
    <w:div w:id="2100905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sk.com/media/5894/annual-report.pdf"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sk.com/media/4751/annual-report.pdf" TargetMode="External"/><Relationship Id="rId17" Type="http://schemas.openxmlformats.org/officeDocument/2006/relationships/hyperlink" Target="https://www.google.co.in/search?tbo=p&amp;tbm=bks&amp;q=inauthor:%22Jonathan+Duchac%22&amp;source=gbs_metadata_r&amp;cad=8" TargetMode="External"/><Relationship Id="rId2" Type="http://schemas.openxmlformats.org/officeDocument/2006/relationships/numbering" Target="numbering.xml"/><Relationship Id="rId16" Type="http://schemas.openxmlformats.org/officeDocument/2006/relationships/hyperlink" Target="https://www.google.co.in/search?tbo=p&amp;tbm=bks&amp;q=inauthor:%22James+M.+Reeve%22&amp;source=gbs_metadata_r&amp;cad=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sk.com/media/4697/gsk-annual-report-2015.pdf" TargetMode="External"/><Relationship Id="rId5" Type="http://schemas.openxmlformats.org/officeDocument/2006/relationships/webSettings" Target="webSettings.xml"/><Relationship Id="rId15" Type="http://schemas.openxmlformats.org/officeDocument/2006/relationships/hyperlink" Target="https://www.google.co.in/search?tbo=p&amp;tbm=bks&amp;q=inauthor:%22Carl+S.+Warren%22&amp;source=gbs_metadata_r&amp;cad=8" TargetMode="External"/><Relationship Id="rId10" Type="http://schemas.openxmlformats.org/officeDocument/2006/relationships/hyperlink" Target="https://www.google.co.in/search?tbo=p&amp;tbm=bks&amp;q=inauthor:%22Phillip+R.+Daves%22&amp;source=gbs_metadata_r&amp;cad=8"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in/search?tbo=p&amp;tbm=bks&amp;q=inauthor:%22Eugene+F.+Brigham%22&amp;source=gbs_metadata_r&amp;cad=8" TargetMode="External"/><Relationship Id="rId14" Type="http://schemas.openxmlformats.org/officeDocument/2006/relationships/hyperlink" Target="https://www.gsk.com/en-gb/about-us/pharmaceutic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43A79F-B41F-4F0B-84FF-7D09569E1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5273</Words>
  <Characters>30057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Ancuta Chirita</cp:lastModifiedBy>
  <cp:revision>3</cp:revision>
  <dcterms:created xsi:type="dcterms:W3CDTF">2021-01-08T15:49:00Z</dcterms:created>
  <dcterms:modified xsi:type="dcterms:W3CDTF">2021-01-10T16:50:00Z</dcterms:modified>
</cp:coreProperties>
</file>