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1D045" w14:textId="77777777" w:rsidR="00E067A8" w:rsidRPr="00071A32" w:rsidRDefault="00ED5964">
      <w:pPr>
        <w:rPr>
          <w:rFonts w:asciiTheme="minorHAnsi" w:hAnsiTheme="minorHAnsi" w:cstheme="minorHAnsi"/>
          <w:sz w:val="24"/>
          <w:szCs w:val="24"/>
        </w:rPr>
      </w:pPr>
      <w:r w:rsidRPr="00071A32">
        <w:rPr>
          <w:rFonts w:asciiTheme="minorHAnsi" w:hAnsiTheme="minorHAnsi" w:cstheme="minorHAnsi"/>
          <w:noProof/>
          <w:sz w:val="24"/>
          <w:szCs w:val="24"/>
          <w:lang w:val="en-US" w:eastAsia="en-US"/>
        </w:rPr>
        <w:drawing>
          <wp:inline distT="0" distB="0" distL="0" distR="0" wp14:anchorId="467DD094" wp14:editId="63B78ED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62DFE458" w14:textId="77777777" w:rsidR="00ED5964" w:rsidRPr="00071A32" w:rsidRDefault="00ED5964">
      <w:pPr>
        <w:rPr>
          <w:rFonts w:asciiTheme="minorHAnsi" w:hAnsiTheme="minorHAnsi" w:cstheme="minorHAnsi"/>
          <w:sz w:val="24"/>
          <w:szCs w:val="24"/>
        </w:rPr>
      </w:pPr>
    </w:p>
    <w:p w14:paraId="4247F8C8" w14:textId="77777777" w:rsidR="00ED5964" w:rsidRPr="00071A32" w:rsidRDefault="00ED5964">
      <w:pPr>
        <w:rPr>
          <w:rFonts w:asciiTheme="minorHAnsi" w:hAnsiTheme="minorHAnsi" w:cstheme="minorHAnsi"/>
          <w:sz w:val="24"/>
          <w:szCs w:val="24"/>
        </w:rPr>
      </w:pPr>
    </w:p>
    <w:p w14:paraId="5E1FF150" w14:textId="77777777" w:rsidR="006A5CFC" w:rsidRPr="00071A32" w:rsidRDefault="006A5CFC">
      <w:pPr>
        <w:rPr>
          <w:rFonts w:asciiTheme="minorHAnsi" w:hAnsiTheme="minorHAnsi" w:cstheme="minorHAnsi"/>
          <w:sz w:val="24"/>
          <w:szCs w:val="24"/>
        </w:rPr>
      </w:pPr>
    </w:p>
    <w:p w14:paraId="0A79700B" w14:textId="77777777" w:rsidR="006A5CFC" w:rsidRPr="00071A32" w:rsidRDefault="006A5CFC">
      <w:pPr>
        <w:rPr>
          <w:rFonts w:asciiTheme="minorHAnsi" w:hAnsiTheme="minorHAnsi" w:cstheme="minorHAnsi"/>
          <w:sz w:val="24"/>
          <w:szCs w:val="24"/>
        </w:rPr>
      </w:pPr>
    </w:p>
    <w:p w14:paraId="6FCC11A3" w14:textId="77777777" w:rsidR="00ED5964" w:rsidRPr="00071A32" w:rsidRDefault="00ED5964">
      <w:pPr>
        <w:rPr>
          <w:rFonts w:asciiTheme="minorHAnsi" w:hAnsiTheme="minorHAnsi" w:cstheme="minorHAnsi"/>
          <w:sz w:val="24"/>
          <w:szCs w:val="24"/>
        </w:rPr>
      </w:pPr>
    </w:p>
    <w:p w14:paraId="07CFFC90" w14:textId="77777777" w:rsidR="00F848A9" w:rsidRPr="00071A32" w:rsidRDefault="00F848A9" w:rsidP="00F848A9">
      <w:pPr>
        <w:jc w:val="both"/>
        <w:rPr>
          <w:rFonts w:asciiTheme="minorHAnsi" w:hAnsiTheme="minorHAnsi" w:cstheme="minorHAnsi"/>
          <w:sz w:val="24"/>
          <w:szCs w:val="24"/>
        </w:rPr>
      </w:pPr>
      <w:r w:rsidRPr="00071A32">
        <w:rPr>
          <w:rFonts w:asciiTheme="minorHAnsi" w:hAnsiTheme="minorHAnsi" w:cstheme="minorHAnsi"/>
          <w:sz w:val="24"/>
          <w:szCs w:val="24"/>
        </w:rPr>
        <w:t>Name: FLORENCE AMMA BANGNIRA</w:t>
      </w:r>
    </w:p>
    <w:p w14:paraId="5118C6FA" w14:textId="77777777" w:rsidR="00F848A9" w:rsidRPr="00071A32" w:rsidRDefault="00F848A9" w:rsidP="00F848A9">
      <w:pPr>
        <w:jc w:val="both"/>
        <w:rPr>
          <w:rFonts w:asciiTheme="minorHAnsi" w:hAnsiTheme="minorHAnsi" w:cstheme="minorHAnsi"/>
          <w:sz w:val="24"/>
          <w:szCs w:val="24"/>
        </w:rPr>
      </w:pPr>
      <w:r w:rsidRPr="00071A32">
        <w:rPr>
          <w:rFonts w:asciiTheme="minorHAnsi" w:hAnsiTheme="minorHAnsi" w:cstheme="minorHAnsi"/>
          <w:sz w:val="24"/>
          <w:szCs w:val="24"/>
        </w:rPr>
        <w:t>Student ID: 2537504</w:t>
      </w:r>
    </w:p>
    <w:p w14:paraId="3E96342B" w14:textId="77777777" w:rsidR="00F848A9" w:rsidRPr="00071A32" w:rsidRDefault="00F848A9" w:rsidP="00F848A9">
      <w:pPr>
        <w:jc w:val="both"/>
        <w:rPr>
          <w:rFonts w:asciiTheme="minorHAnsi" w:hAnsiTheme="minorHAnsi" w:cstheme="minorHAnsi"/>
          <w:sz w:val="24"/>
          <w:szCs w:val="24"/>
        </w:rPr>
      </w:pPr>
      <w:r w:rsidRPr="00071A32">
        <w:rPr>
          <w:rFonts w:asciiTheme="minorHAnsi" w:hAnsiTheme="minorHAnsi" w:cstheme="minorHAnsi"/>
          <w:sz w:val="24"/>
          <w:szCs w:val="24"/>
        </w:rPr>
        <w:t>Module Code: LCHS4003</w:t>
      </w:r>
    </w:p>
    <w:p w14:paraId="235C3D2D" w14:textId="77777777" w:rsidR="00F848A9" w:rsidRPr="00071A32" w:rsidRDefault="00F848A9" w:rsidP="00F848A9">
      <w:pPr>
        <w:jc w:val="both"/>
        <w:rPr>
          <w:rFonts w:asciiTheme="minorHAnsi" w:hAnsiTheme="minorHAnsi" w:cstheme="minorHAnsi"/>
          <w:sz w:val="24"/>
          <w:szCs w:val="24"/>
        </w:rPr>
      </w:pPr>
      <w:r w:rsidRPr="00071A32">
        <w:rPr>
          <w:rFonts w:asciiTheme="minorHAnsi" w:hAnsiTheme="minorHAnsi" w:cstheme="minorHAnsi"/>
          <w:sz w:val="24"/>
          <w:szCs w:val="24"/>
        </w:rPr>
        <w:t>Module: Introduction to Health and Social</w:t>
      </w:r>
      <w:r w:rsidRPr="00071A32">
        <w:rPr>
          <w:rFonts w:asciiTheme="minorHAnsi" w:hAnsiTheme="minorHAnsi" w:cstheme="minorHAnsi"/>
          <w:b/>
          <w:bCs/>
          <w:sz w:val="24"/>
          <w:szCs w:val="24"/>
        </w:rPr>
        <w:t xml:space="preserve"> Care</w:t>
      </w:r>
    </w:p>
    <w:p w14:paraId="24A39BE0" w14:textId="12CA4E82" w:rsidR="00F848A9" w:rsidRPr="00071A32" w:rsidRDefault="00F848A9" w:rsidP="00F848A9">
      <w:pPr>
        <w:jc w:val="both"/>
        <w:rPr>
          <w:rFonts w:asciiTheme="minorHAnsi" w:hAnsiTheme="minorHAnsi" w:cstheme="minorHAnsi"/>
          <w:sz w:val="24"/>
          <w:szCs w:val="24"/>
        </w:rPr>
      </w:pPr>
      <w:r w:rsidRPr="00071A32">
        <w:rPr>
          <w:rFonts w:asciiTheme="minorHAnsi" w:hAnsiTheme="minorHAnsi" w:cstheme="minorHAnsi"/>
          <w:sz w:val="24"/>
          <w:szCs w:val="24"/>
        </w:rPr>
        <w:t xml:space="preserve">Lecturer: Jane </w:t>
      </w:r>
      <w:proofErr w:type="spellStart"/>
      <w:r w:rsidRPr="00071A32">
        <w:rPr>
          <w:rFonts w:asciiTheme="minorHAnsi" w:hAnsiTheme="minorHAnsi" w:cstheme="minorHAnsi"/>
          <w:sz w:val="24"/>
          <w:szCs w:val="24"/>
        </w:rPr>
        <w:t>Ng</w:t>
      </w:r>
      <w:r w:rsidR="00280962">
        <w:rPr>
          <w:rFonts w:asciiTheme="minorHAnsi" w:hAnsiTheme="minorHAnsi" w:cstheme="minorHAnsi"/>
          <w:sz w:val="24"/>
          <w:szCs w:val="24"/>
        </w:rPr>
        <w:t>a</w:t>
      </w:r>
      <w:r w:rsidR="00487FC9">
        <w:rPr>
          <w:rFonts w:asciiTheme="minorHAnsi" w:hAnsiTheme="minorHAnsi" w:cstheme="minorHAnsi"/>
          <w:sz w:val="24"/>
          <w:szCs w:val="24"/>
        </w:rPr>
        <w:t>r</w:t>
      </w:r>
      <w:r w:rsidRPr="00071A32">
        <w:rPr>
          <w:rFonts w:asciiTheme="minorHAnsi" w:hAnsiTheme="minorHAnsi" w:cstheme="minorHAnsi"/>
          <w:sz w:val="24"/>
          <w:szCs w:val="24"/>
        </w:rPr>
        <w:t>ari</w:t>
      </w:r>
      <w:proofErr w:type="spellEnd"/>
      <w:r w:rsidRPr="00071A32">
        <w:rPr>
          <w:rFonts w:asciiTheme="minorHAnsi" w:hAnsiTheme="minorHAnsi" w:cstheme="minorHAnsi"/>
          <w:sz w:val="24"/>
          <w:szCs w:val="24"/>
        </w:rPr>
        <w:t xml:space="preserve"> </w:t>
      </w:r>
    </w:p>
    <w:p w14:paraId="339FA084" w14:textId="77777777" w:rsidR="00F848A9" w:rsidRPr="00071A32" w:rsidRDefault="00F848A9" w:rsidP="00F848A9">
      <w:pPr>
        <w:jc w:val="both"/>
        <w:rPr>
          <w:rFonts w:asciiTheme="minorHAnsi" w:hAnsiTheme="minorHAnsi" w:cstheme="minorHAnsi"/>
          <w:b/>
          <w:bCs/>
          <w:sz w:val="24"/>
          <w:szCs w:val="24"/>
        </w:rPr>
      </w:pPr>
    </w:p>
    <w:p w14:paraId="0DDDAE04" w14:textId="77777777" w:rsidR="00F848A9" w:rsidRPr="00071A32" w:rsidRDefault="00F848A9" w:rsidP="00F848A9">
      <w:pPr>
        <w:jc w:val="both"/>
        <w:rPr>
          <w:rFonts w:asciiTheme="minorHAnsi" w:hAnsiTheme="minorHAnsi" w:cstheme="minorHAnsi"/>
          <w:sz w:val="24"/>
          <w:szCs w:val="24"/>
        </w:rPr>
      </w:pPr>
    </w:p>
    <w:p w14:paraId="6336E9B3" w14:textId="77777777" w:rsidR="00ED5964" w:rsidRPr="00071A32" w:rsidRDefault="00ED5964" w:rsidP="00ED5964">
      <w:pPr>
        <w:jc w:val="both"/>
        <w:rPr>
          <w:rFonts w:asciiTheme="minorHAnsi" w:hAnsiTheme="minorHAnsi" w:cstheme="minorHAnsi"/>
          <w:sz w:val="24"/>
          <w:szCs w:val="24"/>
        </w:rPr>
      </w:pPr>
    </w:p>
    <w:p w14:paraId="4CB0741C" w14:textId="77777777" w:rsidR="00ED5964" w:rsidRPr="00071A32" w:rsidRDefault="00ED5964" w:rsidP="00ED5964">
      <w:pPr>
        <w:jc w:val="both"/>
        <w:rPr>
          <w:rFonts w:asciiTheme="minorHAnsi" w:hAnsiTheme="minorHAnsi" w:cstheme="minorHAnsi"/>
          <w:sz w:val="24"/>
          <w:szCs w:val="24"/>
        </w:rPr>
      </w:pPr>
    </w:p>
    <w:p w14:paraId="28632838" w14:textId="77777777" w:rsidR="00ED5964" w:rsidRPr="00071A32" w:rsidRDefault="00ED5964" w:rsidP="00ED5964">
      <w:pPr>
        <w:jc w:val="both"/>
        <w:rPr>
          <w:rFonts w:asciiTheme="minorHAnsi" w:hAnsiTheme="minorHAnsi" w:cstheme="minorHAnsi"/>
          <w:sz w:val="24"/>
          <w:szCs w:val="24"/>
        </w:rPr>
      </w:pPr>
    </w:p>
    <w:p w14:paraId="7F0AC235" w14:textId="77777777" w:rsidR="00ED5964" w:rsidRPr="00071A32" w:rsidRDefault="00ED5964" w:rsidP="00ED5964">
      <w:pPr>
        <w:jc w:val="both"/>
        <w:rPr>
          <w:rFonts w:asciiTheme="minorHAnsi" w:hAnsiTheme="minorHAnsi" w:cstheme="minorHAnsi"/>
          <w:sz w:val="24"/>
          <w:szCs w:val="24"/>
        </w:rPr>
      </w:pPr>
    </w:p>
    <w:p w14:paraId="5AC97199" w14:textId="77777777" w:rsidR="00ED5964" w:rsidRPr="00071A32" w:rsidRDefault="00ED5964" w:rsidP="00ED5964">
      <w:pPr>
        <w:jc w:val="both"/>
        <w:rPr>
          <w:rFonts w:asciiTheme="minorHAnsi" w:hAnsiTheme="minorHAnsi" w:cstheme="minorHAnsi"/>
          <w:sz w:val="24"/>
          <w:szCs w:val="24"/>
        </w:rPr>
      </w:pPr>
    </w:p>
    <w:p w14:paraId="43922FFB" w14:textId="77777777" w:rsidR="00A04749" w:rsidRPr="00071A32" w:rsidRDefault="00A04749" w:rsidP="00ED5964">
      <w:pPr>
        <w:jc w:val="both"/>
        <w:rPr>
          <w:rFonts w:asciiTheme="minorHAnsi" w:hAnsiTheme="minorHAnsi" w:cstheme="minorHAnsi"/>
          <w:sz w:val="24"/>
          <w:szCs w:val="24"/>
        </w:rPr>
      </w:pPr>
    </w:p>
    <w:p w14:paraId="074465CF" w14:textId="77777777" w:rsidR="00A04749" w:rsidRPr="00071A32" w:rsidRDefault="00A04749" w:rsidP="00ED5964">
      <w:pPr>
        <w:jc w:val="both"/>
        <w:rPr>
          <w:rFonts w:asciiTheme="minorHAnsi" w:hAnsiTheme="minorHAnsi" w:cstheme="minorHAnsi"/>
          <w:sz w:val="24"/>
          <w:szCs w:val="24"/>
        </w:rPr>
      </w:pPr>
    </w:p>
    <w:p w14:paraId="078E2D26" w14:textId="77777777" w:rsidR="00A04749" w:rsidRPr="00071A32" w:rsidRDefault="00A04749" w:rsidP="00ED5964">
      <w:pPr>
        <w:jc w:val="both"/>
        <w:rPr>
          <w:rFonts w:asciiTheme="minorHAnsi" w:hAnsiTheme="minorHAnsi" w:cstheme="minorHAnsi"/>
          <w:sz w:val="24"/>
          <w:szCs w:val="24"/>
        </w:rPr>
      </w:pPr>
    </w:p>
    <w:p w14:paraId="26F1A70F" w14:textId="77777777" w:rsidR="00A04749" w:rsidRPr="00071A32" w:rsidRDefault="00A04749" w:rsidP="00ED5964">
      <w:pPr>
        <w:jc w:val="both"/>
        <w:rPr>
          <w:rFonts w:asciiTheme="minorHAnsi" w:hAnsiTheme="minorHAnsi" w:cstheme="minorHAnsi"/>
          <w:sz w:val="24"/>
          <w:szCs w:val="24"/>
        </w:rPr>
      </w:pPr>
    </w:p>
    <w:p w14:paraId="0CF268AE" w14:textId="7B1B78AE" w:rsidR="00ED5964" w:rsidRPr="00071A32" w:rsidRDefault="00ED5964" w:rsidP="00ED5964">
      <w:pPr>
        <w:jc w:val="both"/>
        <w:rPr>
          <w:rFonts w:asciiTheme="minorHAnsi" w:hAnsiTheme="minorHAnsi" w:cstheme="minorHAnsi"/>
          <w:sz w:val="24"/>
          <w:szCs w:val="24"/>
        </w:rPr>
      </w:pPr>
      <w:r w:rsidRPr="00071A32">
        <w:rPr>
          <w:rFonts w:asciiTheme="minorHAnsi" w:hAnsiTheme="minorHAnsi" w:cstheme="minorHAnsi"/>
          <w:sz w:val="24"/>
          <w:szCs w:val="24"/>
        </w:rPr>
        <w:t xml:space="preserve">Submitted on:  </w:t>
      </w:r>
      <w:r w:rsidR="00B73B30">
        <w:rPr>
          <w:rFonts w:asciiTheme="minorHAnsi" w:hAnsiTheme="minorHAnsi" w:cstheme="minorHAnsi"/>
          <w:sz w:val="24"/>
          <w:szCs w:val="24"/>
        </w:rPr>
        <w:t>18</w:t>
      </w:r>
      <w:r w:rsidR="00A04749" w:rsidRPr="00071A32">
        <w:rPr>
          <w:rFonts w:asciiTheme="minorHAnsi" w:hAnsiTheme="minorHAnsi" w:cstheme="minorHAnsi"/>
          <w:sz w:val="24"/>
          <w:szCs w:val="24"/>
        </w:rPr>
        <w:t>/</w:t>
      </w:r>
      <w:r w:rsidR="00EA7819" w:rsidRPr="00071A32">
        <w:rPr>
          <w:rFonts w:asciiTheme="minorHAnsi" w:hAnsiTheme="minorHAnsi" w:cstheme="minorHAnsi"/>
          <w:sz w:val="24"/>
          <w:szCs w:val="24"/>
        </w:rPr>
        <w:t>10</w:t>
      </w:r>
      <w:r w:rsidR="00525A9A" w:rsidRPr="00071A32">
        <w:rPr>
          <w:rFonts w:asciiTheme="minorHAnsi" w:hAnsiTheme="minorHAnsi" w:cstheme="minorHAnsi"/>
          <w:sz w:val="24"/>
          <w:szCs w:val="24"/>
        </w:rPr>
        <w:t>/2026</w:t>
      </w:r>
    </w:p>
    <w:p w14:paraId="4AA6A205" w14:textId="77777777" w:rsidR="00ED5964" w:rsidRPr="00071A32" w:rsidRDefault="00ED5964" w:rsidP="00ED5964">
      <w:pPr>
        <w:jc w:val="both"/>
        <w:rPr>
          <w:rFonts w:asciiTheme="minorHAnsi" w:hAnsiTheme="minorHAnsi" w:cstheme="minorHAnsi"/>
          <w:sz w:val="24"/>
          <w:szCs w:val="24"/>
        </w:rPr>
      </w:pPr>
    </w:p>
    <w:p w14:paraId="75A27D3C" w14:textId="77777777" w:rsidR="00ED5964" w:rsidRPr="00071A32" w:rsidRDefault="00ED5964" w:rsidP="00ED5964">
      <w:pPr>
        <w:jc w:val="both"/>
        <w:rPr>
          <w:rFonts w:asciiTheme="minorHAnsi" w:hAnsiTheme="minorHAnsi" w:cstheme="minorHAnsi"/>
          <w:sz w:val="24"/>
          <w:szCs w:val="24"/>
        </w:rPr>
      </w:pPr>
    </w:p>
    <w:p w14:paraId="75AB5922" w14:textId="77777777" w:rsidR="00ED5964" w:rsidRPr="00071A32" w:rsidRDefault="00ED5964" w:rsidP="00ED5964">
      <w:pPr>
        <w:jc w:val="both"/>
        <w:rPr>
          <w:rFonts w:asciiTheme="minorHAnsi" w:hAnsiTheme="minorHAnsi" w:cstheme="minorHAnsi"/>
          <w:sz w:val="24"/>
          <w:szCs w:val="24"/>
        </w:rPr>
      </w:pPr>
    </w:p>
    <w:p w14:paraId="498774BF" w14:textId="77777777" w:rsidR="00ED5964" w:rsidRPr="00071A32" w:rsidRDefault="00ED5964" w:rsidP="00ED5964">
      <w:pPr>
        <w:jc w:val="both"/>
        <w:rPr>
          <w:rFonts w:asciiTheme="minorHAnsi" w:hAnsiTheme="minorHAnsi" w:cstheme="minorHAnsi"/>
          <w:sz w:val="24"/>
          <w:szCs w:val="24"/>
        </w:rPr>
      </w:pPr>
    </w:p>
    <w:sdt>
      <w:sdtPr>
        <w:rPr>
          <w:rFonts w:asciiTheme="minorHAnsi" w:eastAsiaTheme="minorEastAsia" w:hAnsiTheme="minorHAnsi" w:cstheme="minorHAnsi"/>
          <w:bCs w:val="0"/>
          <w:color w:val="auto"/>
          <w:kern w:val="2"/>
          <w:sz w:val="24"/>
          <w:szCs w:val="24"/>
          <w:lang w:val="en-GB" w:eastAsia="zh-CN"/>
        </w:rPr>
        <w:id w:val="1877039333"/>
        <w:docPartObj>
          <w:docPartGallery w:val="Table of Contents"/>
          <w:docPartUnique/>
        </w:docPartObj>
      </w:sdtPr>
      <w:sdtEndPr>
        <w:rPr>
          <w:rFonts w:eastAsiaTheme="majorEastAsia"/>
          <w:b/>
          <w:bCs/>
          <w:noProof/>
          <w:color w:val="2F5496" w:themeColor="accent1" w:themeShade="BF"/>
          <w:kern w:val="0"/>
          <w:lang w:val="en-US" w:eastAsia="en-US"/>
        </w:rPr>
      </w:sdtEndPr>
      <w:sdtContent>
        <w:sdt>
          <w:sdtPr>
            <w:rPr>
              <w:rFonts w:asciiTheme="minorHAnsi" w:eastAsia="Arial" w:hAnsiTheme="minorHAnsi" w:cstheme="minorHAnsi"/>
              <w:bCs w:val="0"/>
              <w:color w:val="auto"/>
              <w:kern w:val="2"/>
              <w:sz w:val="24"/>
              <w:szCs w:val="24"/>
              <w:lang w:val="en" w:eastAsia="en-IN"/>
            </w:rPr>
            <w:id w:val="-1008363171"/>
            <w:docPartObj>
              <w:docPartGallery w:val="Table of Contents"/>
              <w:docPartUnique/>
            </w:docPartObj>
          </w:sdtPr>
          <w:sdtEndPr>
            <w:rPr>
              <w:rFonts w:eastAsiaTheme="minorEastAsia"/>
              <w:b/>
              <w:noProof/>
              <w:lang w:val="en-GB" w:eastAsia="zh-CN"/>
            </w:rPr>
          </w:sdtEndPr>
          <w:sdtContent>
            <w:p w14:paraId="2A6C6F3A" w14:textId="77777777" w:rsidR="0078352D" w:rsidRPr="00071A32" w:rsidRDefault="0078352D" w:rsidP="0078352D">
              <w:pPr>
                <w:pStyle w:val="TOCHeading"/>
                <w:spacing w:line="360" w:lineRule="auto"/>
                <w:jc w:val="center"/>
                <w:rPr>
                  <w:rFonts w:asciiTheme="minorHAnsi" w:hAnsiTheme="minorHAnsi" w:cstheme="minorHAnsi"/>
                  <w:b/>
                  <w:bCs w:val="0"/>
                  <w:color w:val="auto"/>
                  <w:sz w:val="24"/>
                  <w:szCs w:val="24"/>
                </w:rPr>
              </w:pPr>
              <w:r w:rsidRPr="00071A32">
                <w:rPr>
                  <w:rFonts w:asciiTheme="minorHAnsi" w:hAnsiTheme="minorHAnsi" w:cstheme="minorHAnsi"/>
                  <w:b/>
                  <w:color w:val="auto"/>
                  <w:sz w:val="24"/>
                  <w:szCs w:val="24"/>
                </w:rPr>
                <w:t>Table of Contents</w:t>
              </w:r>
            </w:p>
            <w:p w14:paraId="1CF3DB70" w14:textId="77777777" w:rsidR="0078352D" w:rsidRPr="00071A32" w:rsidRDefault="0078352D" w:rsidP="0078352D">
              <w:pPr>
                <w:pStyle w:val="TOC1"/>
                <w:tabs>
                  <w:tab w:val="right" w:leader="dot" w:pos="9350"/>
                </w:tabs>
                <w:spacing w:line="360" w:lineRule="auto"/>
                <w:jc w:val="both"/>
                <w:rPr>
                  <w:rFonts w:asciiTheme="minorHAnsi" w:hAnsiTheme="minorHAnsi" w:cstheme="minorHAnsi"/>
                  <w:noProof/>
                  <w:szCs w:val="24"/>
                </w:rPr>
              </w:pPr>
              <w:r w:rsidRPr="00071A32">
                <w:rPr>
                  <w:rFonts w:asciiTheme="minorHAnsi" w:hAnsiTheme="minorHAnsi" w:cstheme="minorHAnsi"/>
                  <w:b w:val="0"/>
                  <w:bCs w:val="0"/>
                  <w:szCs w:val="24"/>
                </w:rPr>
                <w:fldChar w:fldCharType="begin"/>
              </w:r>
              <w:r w:rsidRPr="00071A32">
                <w:rPr>
                  <w:rFonts w:asciiTheme="minorHAnsi" w:hAnsiTheme="minorHAnsi" w:cstheme="minorHAnsi"/>
                  <w:szCs w:val="24"/>
                </w:rPr>
                <w:instrText xml:space="preserve"> TOC \o "1-3" \h \z \u </w:instrText>
              </w:r>
              <w:r w:rsidRPr="00071A32">
                <w:rPr>
                  <w:rFonts w:asciiTheme="minorHAnsi" w:hAnsiTheme="minorHAnsi" w:cstheme="minorHAnsi"/>
                  <w:b w:val="0"/>
                  <w:bCs w:val="0"/>
                  <w:szCs w:val="24"/>
                </w:rPr>
                <w:fldChar w:fldCharType="separate"/>
              </w:r>
              <w:hyperlink w:anchor="_Toc242123331" w:history="1">
                <w:r w:rsidRPr="00071A32">
                  <w:rPr>
                    <w:rStyle w:val="Hyperlink"/>
                    <w:rFonts w:asciiTheme="minorHAnsi" w:hAnsiTheme="minorHAnsi" w:cstheme="minorHAnsi"/>
                    <w:noProof/>
                    <w:szCs w:val="24"/>
                  </w:rPr>
                  <w:t>Task 1:  Mini Report</w:t>
                </w:r>
                <w:r w:rsidRPr="00071A32">
                  <w:rPr>
                    <w:rFonts w:asciiTheme="minorHAnsi" w:hAnsiTheme="minorHAnsi" w:cstheme="minorHAnsi"/>
                    <w:noProof/>
                    <w:webHidden/>
                    <w:szCs w:val="24"/>
                  </w:rPr>
                  <w:tab/>
                </w:r>
                <w:r w:rsidRPr="00071A32">
                  <w:rPr>
                    <w:rFonts w:asciiTheme="minorHAnsi" w:hAnsiTheme="minorHAnsi" w:cstheme="minorHAnsi"/>
                    <w:noProof/>
                    <w:webHidden/>
                    <w:szCs w:val="24"/>
                  </w:rPr>
                  <w:fldChar w:fldCharType="begin"/>
                </w:r>
                <w:r w:rsidRPr="00071A32">
                  <w:rPr>
                    <w:rFonts w:asciiTheme="minorHAnsi" w:hAnsiTheme="minorHAnsi" w:cstheme="minorHAnsi"/>
                    <w:noProof/>
                    <w:webHidden/>
                    <w:szCs w:val="24"/>
                  </w:rPr>
                  <w:instrText xml:space="preserve"> PAGEREF _Toc242123331 \h </w:instrText>
                </w:r>
                <w:r w:rsidRPr="00071A32">
                  <w:rPr>
                    <w:rFonts w:asciiTheme="minorHAnsi" w:hAnsiTheme="minorHAnsi" w:cstheme="minorHAnsi"/>
                    <w:noProof/>
                    <w:webHidden/>
                    <w:szCs w:val="24"/>
                  </w:rPr>
                </w:r>
                <w:r w:rsidRPr="00071A32">
                  <w:rPr>
                    <w:rFonts w:asciiTheme="minorHAnsi" w:hAnsiTheme="minorHAnsi" w:cstheme="minorHAnsi"/>
                    <w:noProof/>
                    <w:webHidden/>
                    <w:szCs w:val="24"/>
                  </w:rPr>
                  <w:fldChar w:fldCharType="separate"/>
                </w:r>
                <w:r w:rsidRPr="00071A32">
                  <w:rPr>
                    <w:rFonts w:asciiTheme="minorHAnsi" w:hAnsiTheme="minorHAnsi" w:cstheme="minorHAnsi"/>
                    <w:noProof/>
                    <w:webHidden/>
                    <w:szCs w:val="24"/>
                  </w:rPr>
                  <w:t>3</w:t>
                </w:r>
                <w:r w:rsidRPr="00071A32">
                  <w:rPr>
                    <w:rFonts w:asciiTheme="minorHAnsi" w:hAnsiTheme="minorHAnsi" w:cstheme="minorHAnsi"/>
                    <w:noProof/>
                    <w:webHidden/>
                    <w:szCs w:val="24"/>
                  </w:rPr>
                  <w:fldChar w:fldCharType="end"/>
                </w:r>
              </w:hyperlink>
            </w:p>
            <w:p w14:paraId="52362995" w14:textId="77777777" w:rsidR="0078352D" w:rsidRPr="00071A32" w:rsidRDefault="0078352D" w:rsidP="0078352D">
              <w:pPr>
                <w:pStyle w:val="TOC2"/>
                <w:tabs>
                  <w:tab w:val="right" w:leader="dot" w:pos="9350"/>
                </w:tabs>
                <w:spacing w:line="360" w:lineRule="auto"/>
                <w:jc w:val="both"/>
                <w:rPr>
                  <w:noProof/>
                  <w:sz w:val="24"/>
                </w:rPr>
              </w:pPr>
              <w:hyperlink w:anchor="_Toc242123332" w:history="1">
                <w:r w:rsidRPr="00071A32">
                  <w:rPr>
                    <w:rStyle w:val="Hyperlink"/>
                    <w:noProof/>
                    <w:sz w:val="24"/>
                  </w:rPr>
                  <w:t>1. Introduction</w:t>
                </w:r>
                <w:r w:rsidRPr="00071A32">
                  <w:rPr>
                    <w:noProof/>
                    <w:webHidden/>
                    <w:sz w:val="24"/>
                  </w:rPr>
                  <w:tab/>
                </w:r>
                <w:r w:rsidRPr="00071A32">
                  <w:rPr>
                    <w:noProof/>
                    <w:webHidden/>
                    <w:sz w:val="24"/>
                  </w:rPr>
                  <w:fldChar w:fldCharType="begin"/>
                </w:r>
                <w:r w:rsidRPr="00071A32">
                  <w:rPr>
                    <w:noProof/>
                    <w:webHidden/>
                    <w:sz w:val="24"/>
                  </w:rPr>
                  <w:instrText xml:space="preserve"> PAGEREF _Toc242123332 \h </w:instrText>
                </w:r>
                <w:r w:rsidRPr="00071A32">
                  <w:rPr>
                    <w:noProof/>
                    <w:webHidden/>
                    <w:sz w:val="24"/>
                  </w:rPr>
                </w:r>
                <w:r w:rsidRPr="00071A32">
                  <w:rPr>
                    <w:noProof/>
                    <w:webHidden/>
                    <w:sz w:val="24"/>
                  </w:rPr>
                  <w:fldChar w:fldCharType="separate"/>
                </w:r>
                <w:r w:rsidRPr="00071A32">
                  <w:rPr>
                    <w:noProof/>
                    <w:webHidden/>
                    <w:sz w:val="24"/>
                  </w:rPr>
                  <w:t>3</w:t>
                </w:r>
                <w:r w:rsidRPr="00071A32">
                  <w:rPr>
                    <w:noProof/>
                    <w:webHidden/>
                    <w:sz w:val="24"/>
                  </w:rPr>
                  <w:fldChar w:fldCharType="end"/>
                </w:r>
              </w:hyperlink>
            </w:p>
            <w:p w14:paraId="02E6276D" w14:textId="77777777" w:rsidR="0078352D" w:rsidRPr="00071A32" w:rsidRDefault="0078352D" w:rsidP="0078352D">
              <w:pPr>
                <w:pStyle w:val="TOC2"/>
                <w:tabs>
                  <w:tab w:val="right" w:leader="dot" w:pos="9350"/>
                </w:tabs>
                <w:spacing w:line="360" w:lineRule="auto"/>
                <w:jc w:val="both"/>
                <w:rPr>
                  <w:noProof/>
                  <w:sz w:val="24"/>
                </w:rPr>
              </w:pPr>
              <w:hyperlink w:anchor="_Toc242123333" w:history="1">
                <w:r w:rsidRPr="00071A32">
                  <w:rPr>
                    <w:rStyle w:val="Hyperlink"/>
                    <w:noProof/>
                    <w:sz w:val="24"/>
                  </w:rPr>
                  <w:t>2. Impact of the Shortage on the Community</w:t>
                </w:r>
                <w:r w:rsidRPr="00071A32">
                  <w:rPr>
                    <w:noProof/>
                    <w:webHidden/>
                    <w:sz w:val="24"/>
                  </w:rPr>
                  <w:tab/>
                </w:r>
                <w:r w:rsidRPr="00071A32">
                  <w:rPr>
                    <w:noProof/>
                    <w:webHidden/>
                    <w:sz w:val="24"/>
                  </w:rPr>
                  <w:fldChar w:fldCharType="begin"/>
                </w:r>
                <w:r w:rsidRPr="00071A32">
                  <w:rPr>
                    <w:noProof/>
                    <w:webHidden/>
                    <w:sz w:val="24"/>
                  </w:rPr>
                  <w:instrText xml:space="preserve"> PAGEREF _Toc242123333 \h </w:instrText>
                </w:r>
                <w:r w:rsidRPr="00071A32">
                  <w:rPr>
                    <w:noProof/>
                    <w:webHidden/>
                    <w:sz w:val="24"/>
                  </w:rPr>
                </w:r>
                <w:r w:rsidRPr="00071A32">
                  <w:rPr>
                    <w:noProof/>
                    <w:webHidden/>
                    <w:sz w:val="24"/>
                  </w:rPr>
                  <w:fldChar w:fldCharType="separate"/>
                </w:r>
                <w:r w:rsidRPr="00071A32">
                  <w:rPr>
                    <w:noProof/>
                    <w:webHidden/>
                    <w:sz w:val="24"/>
                  </w:rPr>
                  <w:t>3</w:t>
                </w:r>
                <w:r w:rsidRPr="00071A32">
                  <w:rPr>
                    <w:noProof/>
                    <w:webHidden/>
                    <w:sz w:val="24"/>
                  </w:rPr>
                  <w:fldChar w:fldCharType="end"/>
                </w:r>
              </w:hyperlink>
            </w:p>
            <w:p w14:paraId="52834275" w14:textId="77777777" w:rsidR="0078352D" w:rsidRPr="00071A32" w:rsidRDefault="0078352D" w:rsidP="0078352D">
              <w:pPr>
                <w:pStyle w:val="TOC2"/>
                <w:tabs>
                  <w:tab w:val="right" w:leader="dot" w:pos="9350"/>
                </w:tabs>
                <w:spacing w:line="360" w:lineRule="auto"/>
                <w:jc w:val="both"/>
                <w:rPr>
                  <w:noProof/>
                  <w:sz w:val="24"/>
                </w:rPr>
              </w:pPr>
              <w:hyperlink w:anchor="_Toc242123334" w:history="1">
                <w:r w:rsidRPr="00071A32">
                  <w:rPr>
                    <w:rStyle w:val="Hyperlink"/>
                    <w:noProof/>
                    <w:sz w:val="24"/>
                  </w:rPr>
                  <w:t>3. Recommendations</w:t>
                </w:r>
                <w:r w:rsidRPr="00071A32">
                  <w:rPr>
                    <w:noProof/>
                    <w:webHidden/>
                    <w:sz w:val="24"/>
                  </w:rPr>
                  <w:tab/>
                </w:r>
                <w:r w:rsidRPr="00071A32">
                  <w:rPr>
                    <w:noProof/>
                    <w:webHidden/>
                    <w:sz w:val="24"/>
                  </w:rPr>
                  <w:fldChar w:fldCharType="begin"/>
                </w:r>
                <w:r w:rsidRPr="00071A32">
                  <w:rPr>
                    <w:noProof/>
                    <w:webHidden/>
                    <w:sz w:val="24"/>
                  </w:rPr>
                  <w:instrText xml:space="preserve"> PAGEREF _Toc242123334 \h </w:instrText>
                </w:r>
                <w:r w:rsidRPr="00071A32">
                  <w:rPr>
                    <w:noProof/>
                    <w:webHidden/>
                    <w:sz w:val="24"/>
                  </w:rPr>
                </w:r>
                <w:r w:rsidRPr="00071A32">
                  <w:rPr>
                    <w:noProof/>
                    <w:webHidden/>
                    <w:sz w:val="24"/>
                  </w:rPr>
                  <w:fldChar w:fldCharType="separate"/>
                </w:r>
                <w:r w:rsidRPr="00071A32">
                  <w:rPr>
                    <w:noProof/>
                    <w:webHidden/>
                    <w:sz w:val="24"/>
                  </w:rPr>
                  <w:t>4</w:t>
                </w:r>
                <w:r w:rsidRPr="00071A32">
                  <w:rPr>
                    <w:noProof/>
                    <w:webHidden/>
                    <w:sz w:val="24"/>
                  </w:rPr>
                  <w:fldChar w:fldCharType="end"/>
                </w:r>
              </w:hyperlink>
            </w:p>
            <w:p w14:paraId="109975C0" w14:textId="77777777" w:rsidR="0078352D" w:rsidRPr="00071A32" w:rsidRDefault="0078352D" w:rsidP="0078352D">
              <w:pPr>
                <w:pStyle w:val="TOC2"/>
                <w:tabs>
                  <w:tab w:val="right" w:leader="dot" w:pos="9350"/>
                </w:tabs>
                <w:spacing w:line="360" w:lineRule="auto"/>
                <w:jc w:val="both"/>
                <w:rPr>
                  <w:noProof/>
                  <w:sz w:val="24"/>
                </w:rPr>
              </w:pPr>
              <w:hyperlink w:anchor="_Toc242123335" w:history="1">
                <w:r w:rsidRPr="00071A32">
                  <w:rPr>
                    <w:rStyle w:val="Hyperlink"/>
                    <w:noProof/>
                    <w:sz w:val="24"/>
                  </w:rPr>
                  <w:t>4. Conclusion</w:t>
                </w:r>
                <w:r w:rsidRPr="00071A32">
                  <w:rPr>
                    <w:noProof/>
                    <w:webHidden/>
                    <w:sz w:val="24"/>
                  </w:rPr>
                  <w:tab/>
                </w:r>
                <w:r w:rsidRPr="00071A32">
                  <w:rPr>
                    <w:noProof/>
                    <w:webHidden/>
                    <w:sz w:val="24"/>
                  </w:rPr>
                  <w:fldChar w:fldCharType="begin"/>
                </w:r>
                <w:r w:rsidRPr="00071A32">
                  <w:rPr>
                    <w:noProof/>
                    <w:webHidden/>
                    <w:sz w:val="24"/>
                  </w:rPr>
                  <w:instrText xml:space="preserve"> PAGEREF _Toc242123335 \h </w:instrText>
                </w:r>
                <w:r w:rsidRPr="00071A32">
                  <w:rPr>
                    <w:noProof/>
                    <w:webHidden/>
                    <w:sz w:val="24"/>
                  </w:rPr>
                </w:r>
                <w:r w:rsidRPr="00071A32">
                  <w:rPr>
                    <w:noProof/>
                    <w:webHidden/>
                    <w:sz w:val="24"/>
                  </w:rPr>
                  <w:fldChar w:fldCharType="separate"/>
                </w:r>
                <w:r w:rsidRPr="00071A32">
                  <w:rPr>
                    <w:noProof/>
                    <w:webHidden/>
                    <w:sz w:val="24"/>
                  </w:rPr>
                  <w:t>5</w:t>
                </w:r>
                <w:r w:rsidRPr="00071A32">
                  <w:rPr>
                    <w:noProof/>
                    <w:webHidden/>
                    <w:sz w:val="24"/>
                  </w:rPr>
                  <w:fldChar w:fldCharType="end"/>
                </w:r>
              </w:hyperlink>
            </w:p>
            <w:p w14:paraId="6A46F8CD" w14:textId="77777777" w:rsidR="0078352D" w:rsidRPr="00071A32" w:rsidRDefault="0078352D" w:rsidP="0078352D">
              <w:pPr>
                <w:pStyle w:val="TOC1"/>
                <w:tabs>
                  <w:tab w:val="right" w:leader="dot" w:pos="9350"/>
                </w:tabs>
                <w:spacing w:line="360" w:lineRule="auto"/>
                <w:jc w:val="both"/>
                <w:rPr>
                  <w:rFonts w:asciiTheme="minorHAnsi" w:hAnsiTheme="minorHAnsi" w:cstheme="minorHAnsi"/>
                  <w:noProof/>
                  <w:szCs w:val="24"/>
                </w:rPr>
              </w:pPr>
              <w:hyperlink w:anchor="_Toc242123336" w:history="1">
                <w:r w:rsidRPr="00071A32">
                  <w:rPr>
                    <w:rStyle w:val="Hyperlink"/>
                    <w:rFonts w:asciiTheme="minorHAnsi" w:hAnsiTheme="minorHAnsi" w:cstheme="minorHAnsi"/>
                    <w:noProof/>
                    <w:szCs w:val="24"/>
                  </w:rPr>
                  <w:t>Task 2: Essay</w:t>
                </w:r>
                <w:r w:rsidRPr="00071A32">
                  <w:rPr>
                    <w:rFonts w:asciiTheme="minorHAnsi" w:hAnsiTheme="minorHAnsi" w:cstheme="minorHAnsi"/>
                    <w:noProof/>
                    <w:webHidden/>
                    <w:szCs w:val="24"/>
                  </w:rPr>
                  <w:tab/>
                </w:r>
                <w:r w:rsidRPr="00071A32">
                  <w:rPr>
                    <w:rFonts w:asciiTheme="minorHAnsi" w:hAnsiTheme="minorHAnsi" w:cstheme="minorHAnsi"/>
                    <w:noProof/>
                    <w:webHidden/>
                    <w:szCs w:val="24"/>
                  </w:rPr>
                  <w:fldChar w:fldCharType="begin"/>
                </w:r>
                <w:r w:rsidRPr="00071A32">
                  <w:rPr>
                    <w:rFonts w:asciiTheme="minorHAnsi" w:hAnsiTheme="minorHAnsi" w:cstheme="minorHAnsi"/>
                    <w:noProof/>
                    <w:webHidden/>
                    <w:szCs w:val="24"/>
                  </w:rPr>
                  <w:instrText xml:space="preserve"> PAGEREF _Toc242123336 \h </w:instrText>
                </w:r>
                <w:r w:rsidRPr="00071A32">
                  <w:rPr>
                    <w:rFonts w:asciiTheme="minorHAnsi" w:hAnsiTheme="minorHAnsi" w:cstheme="minorHAnsi"/>
                    <w:noProof/>
                    <w:webHidden/>
                    <w:szCs w:val="24"/>
                  </w:rPr>
                </w:r>
                <w:r w:rsidRPr="00071A32">
                  <w:rPr>
                    <w:rFonts w:asciiTheme="minorHAnsi" w:hAnsiTheme="minorHAnsi" w:cstheme="minorHAnsi"/>
                    <w:noProof/>
                    <w:webHidden/>
                    <w:szCs w:val="24"/>
                  </w:rPr>
                  <w:fldChar w:fldCharType="separate"/>
                </w:r>
                <w:r w:rsidRPr="00071A32">
                  <w:rPr>
                    <w:rFonts w:asciiTheme="minorHAnsi" w:hAnsiTheme="minorHAnsi" w:cstheme="minorHAnsi"/>
                    <w:noProof/>
                    <w:webHidden/>
                    <w:szCs w:val="24"/>
                  </w:rPr>
                  <w:t>5</w:t>
                </w:r>
                <w:r w:rsidRPr="00071A32">
                  <w:rPr>
                    <w:rFonts w:asciiTheme="minorHAnsi" w:hAnsiTheme="minorHAnsi" w:cstheme="minorHAnsi"/>
                    <w:noProof/>
                    <w:webHidden/>
                    <w:szCs w:val="24"/>
                  </w:rPr>
                  <w:fldChar w:fldCharType="end"/>
                </w:r>
              </w:hyperlink>
            </w:p>
            <w:p w14:paraId="3FC3B733" w14:textId="77777777" w:rsidR="0078352D" w:rsidRPr="00071A32" w:rsidRDefault="0078352D" w:rsidP="0078352D">
              <w:pPr>
                <w:pStyle w:val="TOC2"/>
                <w:tabs>
                  <w:tab w:val="right" w:leader="dot" w:pos="9350"/>
                </w:tabs>
                <w:spacing w:line="360" w:lineRule="auto"/>
                <w:jc w:val="both"/>
                <w:rPr>
                  <w:noProof/>
                  <w:sz w:val="24"/>
                </w:rPr>
              </w:pPr>
              <w:hyperlink w:anchor="_Toc242123337" w:history="1">
                <w:r w:rsidRPr="00071A32">
                  <w:rPr>
                    <w:rStyle w:val="Hyperlink"/>
                    <w:noProof/>
                    <w:sz w:val="24"/>
                  </w:rPr>
                  <w:t>Introduction</w:t>
                </w:r>
                <w:r w:rsidRPr="00071A32">
                  <w:rPr>
                    <w:noProof/>
                    <w:webHidden/>
                    <w:sz w:val="24"/>
                  </w:rPr>
                  <w:tab/>
                </w:r>
                <w:r w:rsidRPr="00071A32">
                  <w:rPr>
                    <w:noProof/>
                    <w:webHidden/>
                    <w:sz w:val="24"/>
                  </w:rPr>
                  <w:fldChar w:fldCharType="begin"/>
                </w:r>
                <w:r w:rsidRPr="00071A32">
                  <w:rPr>
                    <w:noProof/>
                    <w:webHidden/>
                    <w:sz w:val="24"/>
                  </w:rPr>
                  <w:instrText xml:space="preserve"> PAGEREF _Toc242123337 \h </w:instrText>
                </w:r>
                <w:r w:rsidRPr="00071A32">
                  <w:rPr>
                    <w:noProof/>
                    <w:webHidden/>
                    <w:sz w:val="24"/>
                  </w:rPr>
                </w:r>
                <w:r w:rsidRPr="00071A32">
                  <w:rPr>
                    <w:noProof/>
                    <w:webHidden/>
                    <w:sz w:val="24"/>
                  </w:rPr>
                  <w:fldChar w:fldCharType="separate"/>
                </w:r>
                <w:r w:rsidRPr="00071A32">
                  <w:rPr>
                    <w:noProof/>
                    <w:webHidden/>
                    <w:sz w:val="24"/>
                  </w:rPr>
                  <w:t>5</w:t>
                </w:r>
                <w:r w:rsidRPr="00071A32">
                  <w:rPr>
                    <w:noProof/>
                    <w:webHidden/>
                    <w:sz w:val="24"/>
                  </w:rPr>
                  <w:fldChar w:fldCharType="end"/>
                </w:r>
              </w:hyperlink>
            </w:p>
            <w:p w14:paraId="5257FA7D" w14:textId="77777777" w:rsidR="0078352D" w:rsidRPr="00071A32" w:rsidRDefault="0078352D" w:rsidP="0078352D">
              <w:pPr>
                <w:pStyle w:val="TOC2"/>
                <w:tabs>
                  <w:tab w:val="right" w:leader="dot" w:pos="9350"/>
                </w:tabs>
                <w:spacing w:line="360" w:lineRule="auto"/>
                <w:jc w:val="both"/>
                <w:rPr>
                  <w:noProof/>
                  <w:sz w:val="24"/>
                </w:rPr>
              </w:pPr>
              <w:hyperlink w:anchor="_Toc242123338" w:history="1">
                <w:r w:rsidRPr="00071A32">
                  <w:rPr>
                    <w:rStyle w:val="Hyperlink"/>
                    <w:noProof/>
                    <w:sz w:val="24"/>
                  </w:rPr>
                  <w:t>Historical Context and Current Function</w:t>
                </w:r>
                <w:r w:rsidRPr="00071A32">
                  <w:rPr>
                    <w:noProof/>
                    <w:webHidden/>
                    <w:sz w:val="24"/>
                  </w:rPr>
                  <w:tab/>
                </w:r>
                <w:r w:rsidRPr="00071A32">
                  <w:rPr>
                    <w:noProof/>
                    <w:webHidden/>
                    <w:sz w:val="24"/>
                  </w:rPr>
                  <w:fldChar w:fldCharType="begin"/>
                </w:r>
                <w:r w:rsidRPr="00071A32">
                  <w:rPr>
                    <w:noProof/>
                    <w:webHidden/>
                    <w:sz w:val="24"/>
                  </w:rPr>
                  <w:instrText xml:space="preserve"> PAGEREF _Toc242123338 \h </w:instrText>
                </w:r>
                <w:r w:rsidRPr="00071A32">
                  <w:rPr>
                    <w:noProof/>
                    <w:webHidden/>
                    <w:sz w:val="24"/>
                  </w:rPr>
                </w:r>
                <w:r w:rsidRPr="00071A32">
                  <w:rPr>
                    <w:noProof/>
                    <w:webHidden/>
                    <w:sz w:val="24"/>
                  </w:rPr>
                  <w:fldChar w:fldCharType="separate"/>
                </w:r>
                <w:r w:rsidRPr="00071A32">
                  <w:rPr>
                    <w:noProof/>
                    <w:webHidden/>
                    <w:sz w:val="24"/>
                  </w:rPr>
                  <w:t>5</w:t>
                </w:r>
                <w:r w:rsidRPr="00071A32">
                  <w:rPr>
                    <w:noProof/>
                    <w:webHidden/>
                    <w:sz w:val="24"/>
                  </w:rPr>
                  <w:fldChar w:fldCharType="end"/>
                </w:r>
              </w:hyperlink>
            </w:p>
            <w:p w14:paraId="14317AE2" w14:textId="77777777" w:rsidR="0078352D" w:rsidRPr="00071A32" w:rsidRDefault="0078352D" w:rsidP="0078352D">
              <w:pPr>
                <w:pStyle w:val="TOC2"/>
                <w:tabs>
                  <w:tab w:val="right" w:leader="dot" w:pos="9350"/>
                </w:tabs>
                <w:spacing w:line="360" w:lineRule="auto"/>
                <w:jc w:val="both"/>
                <w:rPr>
                  <w:noProof/>
                  <w:sz w:val="24"/>
                </w:rPr>
              </w:pPr>
              <w:hyperlink w:anchor="_Toc242123339" w:history="1">
                <w:r w:rsidRPr="00071A32">
                  <w:rPr>
                    <w:rStyle w:val="Hyperlink"/>
                    <w:noProof/>
                    <w:sz w:val="24"/>
                  </w:rPr>
                  <w:t>Critical Evaluation and Significance for Service Users</w:t>
                </w:r>
                <w:r w:rsidRPr="00071A32">
                  <w:rPr>
                    <w:noProof/>
                    <w:webHidden/>
                    <w:sz w:val="24"/>
                  </w:rPr>
                  <w:tab/>
                </w:r>
                <w:r w:rsidRPr="00071A32">
                  <w:rPr>
                    <w:noProof/>
                    <w:webHidden/>
                    <w:sz w:val="24"/>
                  </w:rPr>
                  <w:fldChar w:fldCharType="begin"/>
                </w:r>
                <w:r w:rsidRPr="00071A32">
                  <w:rPr>
                    <w:noProof/>
                    <w:webHidden/>
                    <w:sz w:val="24"/>
                  </w:rPr>
                  <w:instrText xml:space="preserve"> PAGEREF _Toc242123339 \h </w:instrText>
                </w:r>
                <w:r w:rsidRPr="00071A32">
                  <w:rPr>
                    <w:noProof/>
                    <w:webHidden/>
                    <w:sz w:val="24"/>
                  </w:rPr>
                </w:r>
                <w:r w:rsidRPr="00071A32">
                  <w:rPr>
                    <w:noProof/>
                    <w:webHidden/>
                    <w:sz w:val="24"/>
                  </w:rPr>
                  <w:fldChar w:fldCharType="separate"/>
                </w:r>
                <w:r w:rsidRPr="00071A32">
                  <w:rPr>
                    <w:noProof/>
                    <w:webHidden/>
                    <w:sz w:val="24"/>
                  </w:rPr>
                  <w:t>6</w:t>
                </w:r>
                <w:r w:rsidRPr="00071A32">
                  <w:rPr>
                    <w:noProof/>
                    <w:webHidden/>
                    <w:sz w:val="24"/>
                  </w:rPr>
                  <w:fldChar w:fldCharType="end"/>
                </w:r>
              </w:hyperlink>
            </w:p>
            <w:p w14:paraId="4943F20A" w14:textId="77777777" w:rsidR="0078352D" w:rsidRPr="00071A32" w:rsidRDefault="0078352D" w:rsidP="0078352D">
              <w:pPr>
                <w:pStyle w:val="TOC2"/>
                <w:tabs>
                  <w:tab w:val="right" w:leader="dot" w:pos="9350"/>
                </w:tabs>
                <w:spacing w:line="360" w:lineRule="auto"/>
                <w:jc w:val="both"/>
                <w:rPr>
                  <w:noProof/>
                  <w:sz w:val="24"/>
                </w:rPr>
              </w:pPr>
              <w:hyperlink w:anchor="_Toc242123340" w:history="1">
                <w:r w:rsidRPr="00071A32">
                  <w:rPr>
                    <w:rStyle w:val="Hyperlink"/>
                    <w:noProof/>
                    <w:sz w:val="24"/>
                  </w:rPr>
                  <w:t>Conclusion</w:t>
                </w:r>
                <w:r w:rsidRPr="00071A32">
                  <w:rPr>
                    <w:noProof/>
                    <w:webHidden/>
                    <w:sz w:val="24"/>
                  </w:rPr>
                  <w:tab/>
                </w:r>
                <w:r w:rsidRPr="00071A32">
                  <w:rPr>
                    <w:noProof/>
                    <w:webHidden/>
                    <w:sz w:val="24"/>
                  </w:rPr>
                  <w:fldChar w:fldCharType="begin"/>
                </w:r>
                <w:r w:rsidRPr="00071A32">
                  <w:rPr>
                    <w:noProof/>
                    <w:webHidden/>
                    <w:sz w:val="24"/>
                  </w:rPr>
                  <w:instrText xml:space="preserve"> PAGEREF _Toc242123340 \h </w:instrText>
                </w:r>
                <w:r w:rsidRPr="00071A32">
                  <w:rPr>
                    <w:noProof/>
                    <w:webHidden/>
                    <w:sz w:val="24"/>
                  </w:rPr>
                </w:r>
                <w:r w:rsidRPr="00071A32">
                  <w:rPr>
                    <w:noProof/>
                    <w:webHidden/>
                    <w:sz w:val="24"/>
                  </w:rPr>
                  <w:fldChar w:fldCharType="separate"/>
                </w:r>
                <w:r w:rsidRPr="00071A32">
                  <w:rPr>
                    <w:noProof/>
                    <w:webHidden/>
                    <w:sz w:val="24"/>
                  </w:rPr>
                  <w:t>7</w:t>
                </w:r>
                <w:r w:rsidRPr="00071A32">
                  <w:rPr>
                    <w:noProof/>
                    <w:webHidden/>
                    <w:sz w:val="24"/>
                  </w:rPr>
                  <w:fldChar w:fldCharType="end"/>
                </w:r>
              </w:hyperlink>
            </w:p>
            <w:p w14:paraId="4EA93D7A" w14:textId="77777777" w:rsidR="0078352D" w:rsidRPr="00071A32" w:rsidRDefault="0078352D" w:rsidP="0078352D">
              <w:pPr>
                <w:pStyle w:val="TOC1"/>
                <w:tabs>
                  <w:tab w:val="right" w:leader="dot" w:pos="9350"/>
                </w:tabs>
                <w:spacing w:line="360" w:lineRule="auto"/>
                <w:jc w:val="both"/>
                <w:rPr>
                  <w:rFonts w:asciiTheme="minorHAnsi" w:hAnsiTheme="minorHAnsi" w:cstheme="minorHAnsi"/>
                  <w:noProof/>
                  <w:szCs w:val="24"/>
                </w:rPr>
              </w:pPr>
              <w:hyperlink w:anchor="_Toc242123341" w:history="1">
                <w:r w:rsidRPr="00071A32">
                  <w:rPr>
                    <w:rStyle w:val="Hyperlink"/>
                    <w:rFonts w:asciiTheme="minorHAnsi" w:hAnsiTheme="minorHAnsi" w:cstheme="minorHAnsi"/>
                    <w:noProof/>
                    <w:szCs w:val="24"/>
                  </w:rPr>
                  <w:t>References</w:t>
                </w:r>
                <w:r w:rsidRPr="00071A32">
                  <w:rPr>
                    <w:rFonts w:asciiTheme="minorHAnsi" w:hAnsiTheme="minorHAnsi" w:cstheme="minorHAnsi"/>
                    <w:noProof/>
                    <w:webHidden/>
                    <w:szCs w:val="24"/>
                  </w:rPr>
                  <w:tab/>
                </w:r>
                <w:r w:rsidRPr="00071A32">
                  <w:rPr>
                    <w:rFonts w:asciiTheme="minorHAnsi" w:hAnsiTheme="minorHAnsi" w:cstheme="minorHAnsi"/>
                    <w:noProof/>
                    <w:webHidden/>
                    <w:szCs w:val="24"/>
                  </w:rPr>
                  <w:fldChar w:fldCharType="begin"/>
                </w:r>
                <w:r w:rsidRPr="00071A32">
                  <w:rPr>
                    <w:rFonts w:asciiTheme="minorHAnsi" w:hAnsiTheme="minorHAnsi" w:cstheme="minorHAnsi"/>
                    <w:noProof/>
                    <w:webHidden/>
                    <w:szCs w:val="24"/>
                  </w:rPr>
                  <w:instrText xml:space="preserve"> PAGEREF _Toc242123341 \h </w:instrText>
                </w:r>
                <w:r w:rsidRPr="00071A32">
                  <w:rPr>
                    <w:rFonts w:asciiTheme="minorHAnsi" w:hAnsiTheme="minorHAnsi" w:cstheme="minorHAnsi"/>
                    <w:noProof/>
                    <w:webHidden/>
                    <w:szCs w:val="24"/>
                  </w:rPr>
                </w:r>
                <w:r w:rsidRPr="00071A32">
                  <w:rPr>
                    <w:rFonts w:asciiTheme="minorHAnsi" w:hAnsiTheme="minorHAnsi" w:cstheme="minorHAnsi"/>
                    <w:noProof/>
                    <w:webHidden/>
                    <w:szCs w:val="24"/>
                  </w:rPr>
                  <w:fldChar w:fldCharType="separate"/>
                </w:r>
                <w:r w:rsidRPr="00071A32">
                  <w:rPr>
                    <w:rFonts w:asciiTheme="minorHAnsi" w:hAnsiTheme="minorHAnsi" w:cstheme="minorHAnsi"/>
                    <w:noProof/>
                    <w:webHidden/>
                    <w:szCs w:val="24"/>
                  </w:rPr>
                  <w:t>8</w:t>
                </w:r>
                <w:r w:rsidRPr="00071A32">
                  <w:rPr>
                    <w:rFonts w:asciiTheme="minorHAnsi" w:hAnsiTheme="minorHAnsi" w:cstheme="minorHAnsi"/>
                    <w:noProof/>
                    <w:webHidden/>
                    <w:szCs w:val="24"/>
                  </w:rPr>
                  <w:fldChar w:fldCharType="end"/>
                </w:r>
              </w:hyperlink>
            </w:p>
            <w:p w14:paraId="4DA854F9" w14:textId="77777777" w:rsidR="0078352D" w:rsidRPr="00071A32" w:rsidRDefault="0078352D" w:rsidP="0078352D">
              <w:pPr>
                <w:spacing w:line="360" w:lineRule="auto"/>
                <w:jc w:val="both"/>
                <w:rPr>
                  <w:rFonts w:asciiTheme="minorHAnsi" w:hAnsiTheme="minorHAnsi" w:cstheme="minorHAnsi"/>
                  <w:sz w:val="24"/>
                  <w:szCs w:val="24"/>
                </w:rPr>
              </w:pPr>
              <w:r w:rsidRPr="00071A32">
                <w:rPr>
                  <w:rFonts w:asciiTheme="minorHAnsi" w:hAnsiTheme="minorHAnsi" w:cstheme="minorHAnsi"/>
                  <w:b/>
                  <w:bCs/>
                  <w:noProof/>
                  <w:sz w:val="24"/>
                  <w:szCs w:val="24"/>
                </w:rPr>
                <w:fldChar w:fldCharType="end"/>
              </w:r>
            </w:p>
          </w:sdtContent>
        </w:sdt>
        <w:p w14:paraId="6E6DD0B8" w14:textId="4DD0C4A0" w:rsidR="00E23F08" w:rsidRPr="00071A32" w:rsidRDefault="00946AAD" w:rsidP="0078352D">
          <w:pPr>
            <w:pStyle w:val="TOCHeading"/>
            <w:jc w:val="center"/>
            <w:rPr>
              <w:rFonts w:asciiTheme="minorHAnsi" w:hAnsiTheme="minorHAnsi" w:cstheme="minorHAnsi"/>
              <w:sz w:val="24"/>
              <w:szCs w:val="24"/>
            </w:rPr>
          </w:pPr>
        </w:p>
      </w:sdtContent>
    </w:sdt>
    <w:p w14:paraId="05ED1C75" w14:textId="77777777" w:rsidR="00184A9A" w:rsidRPr="00071A32" w:rsidRDefault="00184A9A" w:rsidP="00620BBA">
      <w:pPr>
        <w:pStyle w:val="TOCHeading"/>
        <w:rPr>
          <w:rFonts w:asciiTheme="minorHAnsi" w:hAnsiTheme="minorHAnsi" w:cstheme="minorHAnsi"/>
          <w:sz w:val="24"/>
          <w:szCs w:val="24"/>
        </w:rPr>
      </w:pPr>
    </w:p>
    <w:p w14:paraId="7469607C" w14:textId="77777777" w:rsidR="00ED5964" w:rsidRPr="00071A32" w:rsidRDefault="00ED5964" w:rsidP="00ED5964">
      <w:pPr>
        <w:jc w:val="both"/>
        <w:rPr>
          <w:rFonts w:asciiTheme="minorHAnsi" w:hAnsiTheme="minorHAnsi" w:cstheme="minorHAnsi"/>
          <w:b/>
          <w:bCs/>
          <w:sz w:val="24"/>
          <w:szCs w:val="24"/>
        </w:rPr>
      </w:pPr>
    </w:p>
    <w:p w14:paraId="09A766CB" w14:textId="77777777" w:rsidR="00ED5964" w:rsidRPr="00071A32" w:rsidRDefault="00ED5964" w:rsidP="00ED5964">
      <w:pPr>
        <w:jc w:val="both"/>
        <w:rPr>
          <w:rFonts w:asciiTheme="minorHAnsi" w:hAnsiTheme="minorHAnsi" w:cstheme="minorHAnsi"/>
          <w:b/>
          <w:bCs/>
          <w:sz w:val="24"/>
          <w:szCs w:val="24"/>
        </w:rPr>
      </w:pPr>
    </w:p>
    <w:p w14:paraId="761F2307" w14:textId="1A7431DC" w:rsidR="00ED5964" w:rsidRPr="00071A32" w:rsidRDefault="002554B6" w:rsidP="00ED5964">
      <w:pPr>
        <w:jc w:val="both"/>
        <w:rPr>
          <w:rFonts w:asciiTheme="minorHAnsi" w:hAnsiTheme="minorHAnsi" w:cstheme="minorHAnsi"/>
          <w:b/>
          <w:bCs/>
          <w:sz w:val="24"/>
          <w:szCs w:val="24"/>
        </w:rPr>
      </w:pPr>
      <w:r w:rsidRPr="00071A32">
        <w:rPr>
          <w:rFonts w:asciiTheme="minorHAnsi" w:hAnsiTheme="minorHAnsi" w:cstheme="minorHAnsi"/>
          <w:b/>
          <w:bCs/>
          <w:sz w:val="24"/>
          <w:szCs w:val="24"/>
        </w:rPr>
        <w:t xml:space="preserve"> </w:t>
      </w:r>
    </w:p>
    <w:p w14:paraId="238FC6F8" w14:textId="77777777" w:rsidR="00ED5964" w:rsidRPr="00071A32" w:rsidRDefault="00ED5964" w:rsidP="00ED5964">
      <w:pPr>
        <w:jc w:val="both"/>
        <w:rPr>
          <w:rFonts w:asciiTheme="minorHAnsi" w:hAnsiTheme="minorHAnsi" w:cstheme="minorHAnsi"/>
          <w:b/>
          <w:bCs/>
          <w:sz w:val="24"/>
          <w:szCs w:val="24"/>
        </w:rPr>
      </w:pPr>
    </w:p>
    <w:p w14:paraId="5DD0E2A5" w14:textId="77777777" w:rsidR="00ED5964" w:rsidRPr="00071A32" w:rsidRDefault="00ED5964" w:rsidP="00ED5964">
      <w:pPr>
        <w:jc w:val="both"/>
        <w:rPr>
          <w:rFonts w:asciiTheme="minorHAnsi" w:hAnsiTheme="minorHAnsi" w:cstheme="minorHAnsi"/>
          <w:b/>
          <w:bCs/>
          <w:sz w:val="24"/>
          <w:szCs w:val="24"/>
        </w:rPr>
      </w:pPr>
    </w:p>
    <w:p w14:paraId="0B6F10CD" w14:textId="77777777" w:rsidR="008F3C1F" w:rsidRPr="00071A32" w:rsidRDefault="008F3C1F" w:rsidP="008F3C1F">
      <w:pPr>
        <w:pStyle w:val="Heading1"/>
        <w:rPr>
          <w:rFonts w:asciiTheme="minorHAnsi" w:hAnsiTheme="minorHAnsi" w:cstheme="minorHAnsi"/>
          <w:sz w:val="24"/>
          <w:szCs w:val="24"/>
        </w:rPr>
      </w:pPr>
      <w:bookmarkStart w:id="0" w:name="_Toc242123331"/>
      <w:r w:rsidRPr="00071A32">
        <w:rPr>
          <w:rFonts w:asciiTheme="minorHAnsi" w:hAnsiTheme="minorHAnsi" w:cstheme="minorHAnsi"/>
          <w:sz w:val="24"/>
          <w:szCs w:val="24"/>
        </w:rPr>
        <w:lastRenderedPageBreak/>
        <w:t>Task 1:  Mini Report</w:t>
      </w:r>
      <w:bookmarkEnd w:id="0"/>
    </w:p>
    <w:p w14:paraId="3EE44338" w14:textId="77777777"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b/>
          <w:bCs/>
          <w:sz w:val="24"/>
          <w:szCs w:val="24"/>
        </w:rPr>
        <w:t>To:</w:t>
      </w:r>
      <w:r w:rsidRPr="00071A32">
        <w:rPr>
          <w:rFonts w:asciiTheme="minorHAnsi" w:eastAsia="Times New Roman" w:hAnsiTheme="minorHAnsi" w:cstheme="minorHAnsi"/>
          <w:sz w:val="24"/>
          <w:szCs w:val="24"/>
        </w:rPr>
        <w:t xml:space="preserve"> Councillor Joanne Green, Executive Member for Health and Social Care, Manchester City Council</w:t>
      </w:r>
    </w:p>
    <w:p w14:paraId="55F37E67" w14:textId="77777777"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b/>
          <w:bCs/>
          <w:sz w:val="24"/>
          <w:szCs w:val="24"/>
        </w:rPr>
        <w:t>Subject:</w:t>
      </w:r>
      <w:r w:rsidRPr="00071A32">
        <w:rPr>
          <w:rFonts w:asciiTheme="minorHAnsi" w:eastAsia="Times New Roman" w:hAnsiTheme="minorHAnsi" w:cstheme="minorHAnsi"/>
          <w:sz w:val="24"/>
          <w:szCs w:val="24"/>
        </w:rPr>
        <w:t xml:space="preserve"> Addressing the Shortage of Community Mental Health Services in Manchester</w:t>
      </w:r>
    </w:p>
    <w:p w14:paraId="4DAFC93E" w14:textId="77777777" w:rsidR="00B73B30" w:rsidRPr="00FA06B7" w:rsidRDefault="00B73B30" w:rsidP="00B73B30">
      <w:pPr>
        <w:spacing w:before="240" w:line="360" w:lineRule="auto"/>
        <w:jc w:val="both"/>
        <w:rPr>
          <w:rFonts w:eastAsia="Times New Roman"/>
          <w:b/>
          <w:bCs/>
        </w:rPr>
      </w:pPr>
      <w:r w:rsidRPr="00FA06B7">
        <w:rPr>
          <w:rFonts w:eastAsia="Times New Roman"/>
          <w:b/>
          <w:bCs/>
        </w:rPr>
        <w:t xml:space="preserve">Prepared by:  </w:t>
      </w:r>
      <w:r>
        <w:rPr>
          <w:rFonts w:eastAsia="Times New Roman"/>
          <w:b/>
          <w:bCs/>
        </w:rPr>
        <w:t>Florence Amma Bangnira</w:t>
      </w:r>
    </w:p>
    <w:p w14:paraId="6BC82D42" w14:textId="77777777" w:rsidR="00B73B30" w:rsidRPr="00FA06B7" w:rsidRDefault="00B73B30" w:rsidP="00B73B30">
      <w:pPr>
        <w:spacing w:before="240" w:line="360" w:lineRule="auto"/>
        <w:jc w:val="both"/>
        <w:rPr>
          <w:rFonts w:eastAsia="Times New Roman"/>
        </w:rPr>
      </w:pPr>
      <w:r w:rsidRPr="00FA06B7">
        <w:rPr>
          <w:rFonts w:eastAsia="Times New Roman"/>
          <w:b/>
          <w:bCs/>
        </w:rPr>
        <w:t xml:space="preserve">Date: </w:t>
      </w:r>
      <w:r w:rsidRPr="00FA06B7">
        <w:rPr>
          <w:rFonts w:eastAsia="Times New Roman"/>
        </w:rPr>
        <w:t xml:space="preserve"> </w:t>
      </w:r>
      <w:r>
        <w:rPr>
          <w:rFonts w:eastAsia="Times New Roman"/>
        </w:rPr>
        <w:t>18/10/26</w:t>
      </w:r>
    </w:p>
    <w:p w14:paraId="6CABA303" w14:textId="731CE2AC" w:rsidR="008F3C1F" w:rsidRPr="00071A32" w:rsidRDefault="008F3C1F" w:rsidP="008F3C1F">
      <w:pPr>
        <w:spacing w:before="240" w:line="360" w:lineRule="auto"/>
        <w:jc w:val="both"/>
        <w:rPr>
          <w:rFonts w:asciiTheme="minorHAnsi" w:eastAsia="Times New Roman" w:hAnsiTheme="minorHAnsi" w:cstheme="minorHAnsi"/>
          <w:b/>
          <w:bCs/>
          <w:sz w:val="24"/>
          <w:szCs w:val="24"/>
        </w:rPr>
      </w:pPr>
    </w:p>
    <w:p w14:paraId="0F999FF5" w14:textId="77777777" w:rsidR="008F3C1F" w:rsidRPr="00071A32" w:rsidRDefault="008F3C1F" w:rsidP="008F3C1F">
      <w:pPr>
        <w:pStyle w:val="Heading2"/>
        <w:rPr>
          <w:rFonts w:asciiTheme="minorHAnsi" w:hAnsiTheme="minorHAnsi" w:cstheme="minorHAnsi"/>
          <w:sz w:val="24"/>
          <w:szCs w:val="24"/>
        </w:rPr>
      </w:pPr>
      <w:bookmarkStart w:id="1" w:name="_Toc242123332"/>
      <w:r w:rsidRPr="00071A32">
        <w:rPr>
          <w:rFonts w:asciiTheme="minorHAnsi" w:hAnsiTheme="minorHAnsi" w:cstheme="minorHAnsi"/>
          <w:sz w:val="24"/>
          <w:szCs w:val="24"/>
        </w:rPr>
        <w:t>1. Introduction</w:t>
      </w:r>
      <w:bookmarkEnd w:id="1"/>
    </w:p>
    <w:p w14:paraId="139A22D8" w14:textId="77D34E9B"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sz w:val="24"/>
          <w:szCs w:val="24"/>
        </w:rPr>
        <w:t xml:space="preserve">Community mental health services </w:t>
      </w:r>
      <w:r w:rsidR="00583D9A" w:rsidRPr="00071A32">
        <w:rPr>
          <w:rFonts w:asciiTheme="minorHAnsi" w:eastAsia="Times New Roman" w:hAnsiTheme="minorHAnsi" w:cstheme="minorHAnsi"/>
          <w:sz w:val="24"/>
          <w:szCs w:val="24"/>
        </w:rPr>
        <w:t>support</w:t>
      </w:r>
      <w:r w:rsidRPr="00071A32">
        <w:rPr>
          <w:rFonts w:asciiTheme="minorHAnsi" w:eastAsia="Times New Roman" w:hAnsiTheme="minorHAnsi" w:cstheme="minorHAnsi"/>
          <w:sz w:val="24"/>
          <w:szCs w:val="24"/>
        </w:rPr>
        <w:t xml:space="preserve"> individuals with serious or chronic mental health challenges. In Manchester, Community Mental Health Teams (CMHT) offer assessment, diagnosis, treatment and follow-up. The local community faces a significant challenge of insufficiency in mental health services in the given community. These shortages might make it hard to receive prompt assessment and treatment. It may also put a strain on families, GPs and emergency services.   </w:t>
      </w:r>
    </w:p>
    <w:p w14:paraId="1B376BB9" w14:textId="77777777" w:rsidR="008F3C1F" w:rsidRPr="00071A32" w:rsidRDefault="008F3C1F" w:rsidP="008F3C1F">
      <w:pPr>
        <w:pStyle w:val="Heading2"/>
        <w:rPr>
          <w:rFonts w:asciiTheme="minorHAnsi" w:hAnsiTheme="minorHAnsi" w:cstheme="minorHAnsi"/>
          <w:sz w:val="24"/>
          <w:szCs w:val="24"/>
        </w:rPr>
      </w:pPr>
      <w:bookmarkStart w:id="2" w:name="_Toc242123333"/>
      <w:r w:rsidRPr="00071A32">
        <w:rPr>
          <w:rFonts w:asciiTheme="minorHAnsi" w:hAnsiTheme="minorHAnsi" w:cstheme="minorHAnsi"/>
          <w:sz w:val="24"/>
          <w:szCs w:val="24"/>
        </w:rPr>
        <w:t>2. Impact of the Shortage on the Community</w:t>
      </w:r>
      <w:bookmarkEnd w:id="2"/>
    </w:p>
    <w:p w14:paraId="382C54FA" w14:textId="3AB71102"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sz w:val="24"/>
          <w:szCs w:val="24"/>
        </w:rPr>
        <w:t xml:space="preserve">Lack of community mental health services within Manchester can postpone access to assessment, </w:t>
      </w:r>
      <w:r w:rsidR="008C51AE" w:rsidRPr="00071A32">
        <w:rPr>
          <w:rFonts w:asciiTheme="minorHAnsi" w:eastAsia="Times New Roman" w:hAnsiTheme="minorHAnsi" w:cstheme="minorHAnsi"/>
          <w:sz w:val="24"/>
          <w:szCs w:val="24"/>
        </w:rPr>
        <w:t>t</w:t>
      </w:r>
      <w:r w:rsidR="00B51F6C" w:rsidRPr="00071A32">
        <w:rPr>
          <w:rFonts w:asciiTheme="minorHAnsi" w:eastAsia="Times New Roman" w:hAnsiTheme="minorHAnsi" w:cstheme="minorHAnsi"/>
          <w:sz w:val="24"/>
          <w:szCs w:val="24"/>
        </w:rPr>
        <w:t>reatment</w:t>
      </w:r>
      <w:r w:rsidRPr="00071A32">
        <w:rPr>
          <w:rFonts w:asciiTheme="minorHAnsi" w:eastAsia="Times New Roman" w:hAnsiTheme="minorHAnsi" w:cstheme="minorHAnsi"/>
          <w:sz w:val="24"/>
          <w:szCs w:val="24"/>
        </w:rPr>
        <w:t xml:space="preserve"> and follow-up (Sambrook </w:t>
      </w:r>
      <w:r w:rsidRPr="00071A32">
        <w:rPr>
          <w:rFonts w:asciiTheme="minorHAnsi" w:eastAsia="Times New Roman" w:hAnsiTheme="minorHAnsi" w:cstheme="minorHAnsi"/>
          <w:i/>
          <w:iCs/>
          <w:sz w:val="24"/>
          <w:szCs w:val="24"/>
        </w:rPr>
        <w:t>et al.</w:t>
      </w:r>
      <w:r w:rsidRPr="00071A32">
        <w:rPr>
          <w:rFonts w:asciiTheme="minorHAnsi" w:eastAsia="Times New Roman" w:hAnsiTheme="minorHAnsi" w:cstheme="minorHAnsi"/>
          <w:sz w:val="24"/>
          <w:szCs w:val="24"/>
        </w:rPr>
        <w:t xml:space="preserve"> 2026). Manchester CMHTs offers assessment, diagnosis, treatment and long-term follow-up of adults and older persons with long-term or severe mental health challenges (gmmh.nhs.uk, 2026). When people are restricted in service capacity, they can experience longer wait times to be assisted, and their mental health issues can be harder to resolve. It can raise the demand on crisis intervention and more intensive health or social care. This is the opposite of what the Care Act 2014 states, whereby the local authorities are supposed to ensure that they take measures to prevent or postpone the acquisition of care and support needs (Starns, 2025). Independence and quality of life can also be impacted by the shortage. Individuals who have severe mental health problems might not be able to perform their daily tasks, work, study, socialise, and engage in community activities. Section 1 of the Care Act identifies mental and emotional wellbeing, control over daily life, relationships, work and social participation as important parts of </w:t>
      </w:r>
      <w:r w:rsidRPr="00071A32">
        <w:rPr>
          <w:rFonts w:asciiTheme="minorHAnsi" w:eastAsia="Times New Roman" w:hAnsiTheme="minorHAnsi" w:cstheme="minorHAnsi"/>
          <w:sz w:val="24"/>
          <w:szCs w:val="24"/>
        </w:rPr>
        <w:lastRenderedPageBreak/>
        <w:t xml:space="preserve">wellbeing (Care Act 2014, s.1) (legislation.gov.uk, 2026). In the absence of appropriate community-based assistance, there is a likelihood of people becoming increasingly socially isolated and reliant on family member support or alternative services (Glasby, 2012). Section 10 requires local authorities to assess carers who may have support needs (Care Act 2014, s.10). Thus, enhancing the mental health capacity in the community is significant in safeguarding wellbeing, maintaining independence and decreasing the burden on the family and the broader health system. </w:t>
      </w:r>
    </w:p>
    <w:p w14:paraId="17C4BA36" w14:textId="77777777" w:rsidR="008F3C1F" w:rsidRPr="00071A32" w:rsidRDefault="008F3C1F" w:rsidP="008F3C1F">
      <w:pPr>
        <w:pStyle w:val="Heading2"/>
        <w:rPr>
          <w:rFonts w:asciiTheme="minorHAnsi" w:hAnsiTheme="minorHAnsi" w:cstheme="minorHAnsi"/>
          <w:sz w:val="24"/>
          <w:szCs w:val="24"/>
        </w:rPr>
      </w:pPr>
      <w:bookmarkStart w:id="3" w:name="_Toc242123334"/>
      <w:r w:rsidRPr="00071A32">
        <w:rPr>
          <w:rFonts w:asciiTheme="minorHAnsi" w:hAnsiTheme="minorHAnsi" w:cstheme="minorHAnsi"/>
          <w:sz w:val="24"/>
          <w:szCs w:val="24"/>
        </w:rPr>
        <w:t>3. Recommendations</w:t>
      </w:r>
      <w:bookmarkEnd w:id="3"/>
      <w:r w:rsidRPr="00071A32">
        <w:rPr>
          <w:rFonts w:asciiTheme="minorHAnsi" w:hAnsiTheme="minorHAnsi" w:cstheme="minorHAnsi"/>
          <w:sz w:val="24"/>
          <w:szCs w:val="24"/>
        </w:rPr>
        <w:t xml:space="preserve"> </w:t>
      </w:r>
    </w:p>
    <w:p w14:paraId="712876B7" w14:textId="77777777" w:rsidR="008F3C1F" w:rsidRPr="00071A32" w:rsidRDefault="008F3C1F" w:rsidP="008F3C1F">
      <w:pPr>
        <w:spacing w:before="240" w:line="360" w:lineRule="auto"/>
        <w:jc w:val="both"/>
        <w:rPr>
          <w:rFonts w:asciiTheme="minorHAnsi" w:eastAsia="Times New Roman" w:hAnsiTheme="minorHAnsi" w:cstheme="minorHAnsi"/>
          <w:b/>
          <w:bCs/>
          <w:i/>
          <w:iCs/>
          <w:sz w:val="24"/>
          <w:szCs w:val="24"/>
        </w:rPr>
      </w:pPr>
      <w:r w:rsidRPr="00071A32">
        <w:rPr>
          <w:rFonts w:asciiTheme="minorHAnsi" w:eastAsia="Times New Roman" w:hAnsiTheme="minorHAnsi" w:cstheme="minorHAnsi"/>
          <w:b/>
          <w:bCs/>
          <w:i/>
          <w:iCs/>
          <w:sz w:val="24"/>
          <w:szCs w:val="24"/>
        </w:rPr>
        <w:t>Recommendation 1: Increase Community-Based Capacity</w:t>
      </w:r>
    </w:p>
    <w:p w14:paraId="385F4729" w14:textId="77777777"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sz w:val="24"/>
          <w:szCs w:val="24"/>
        </w:rPr>
        <w:t xml:space="preserve">NHS mental health services and other local partners should collaborate with Manchester City Council to build the capacity of the community mental health services (Chang, 2022). This must have adequate mental health workers and social care staff to attend to assessment, care planning and continuous care. The addition of capacity would assist in minimising wait times and enhance queuing.  </w:t>
      </w:r>
    </w:p>
    <w:p w14:paraId="3A39D353" w14:textId="77777777" w:rsidR="008F3C1F" w:rsidRPr="00071A32" w:rsidRDefault="008F3C1F" w:rsidP="008F3C1F">
      <w:pPr>
        <w:spacing w:before="240" w:line="360" w:lineRule="auto"/>
        <w:jc w:val="both"/>
        <w:rPr>
          <w:rFonts w:asciiTheme="minorHAnsi" w:eastAsia="Times New Roman" w:hAnsiTheme="minorHAnsi" w:cstheme="minorHAnsi"/>
          <w:b/>
          <w:bCs/>
          <w:i/>
          <w:iCs/>
          <w:sz w:val="24"/>
          <w:szCs w:val="24"/>
        </w:rPr>
      </w:pPr>
      <w:r w:rsidRPr="00071A32">
        <w:rPr>
          <w:rFonts w:asciiTheme="minorHAnsi" w:eastAsia="Times New Roman" w:hAnsiTheme="minorHAnsi" w:cstheme="minorHAnsi"/>
          <w:b/>
          <w:bCs/>
          <w:i/>
          <w:iCs/>
          <w:sz w:val="24"/>
          <w:szCs w:val="24"/>
        </w:rPr>
        <w:t>Recommendation 2: Strengthen Early Intervention and Prevention</w:t>
      </w:r>
    </w:p>
    <w:p w14:paraId="576CF26A" w14:textId="77777777"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sz w:val="24"/>
          <w:szCs w:val="24"/>
        </w:rPr>
        <w:t xml:space="preserve">Mental health community services should engage in more early intervention and prevention by the Council (Shah </w:t>
      </w:r>
      <w:r w:rsidRPr="00071A32">
        <w:rPr>
          <w:rFonts w:asciiTheme="minorHAnsi" w:eastAsia="Times New Roman" w:hAnsiTheme="minorHAnsi" w:cstheme="minorHAnsi"/>
          <w:i/>
          <w:iCs/>
          <w:sz w:val="24"/>
          <w:szCs w:val="24"/>
        </w:rPr>
        <w:t>et al.</w:t>
      </w:r>
      <w:r w:rsidRPr="00071A32">
        <w:rPr>
          <w:rFonts w:asciiTheme="minorHAnsi" w:eastAsia="Times New Roman" w:hAnsiTheme="minorHAnsi" w:cstheme="minorHAnsi"/>
          <w:sz w:val="24"/>
          <w:szCs w:val="24"/>
        </w:rPr>
        <w:t xml:space="preserve"> 2022). Section 2 of the Care Act requires local authorities to take steps to prevent, reduce or delay the development of care and support needs. Supporting individuals at an early age, before they become a crisis, can assist them in dealing with their conditions. It may encompass an early appraisal, guidance, community and support as well as contacts with voluntary organisations.  </w:t>
      </w:r>
    </w:p>
    <w:p w14:paraId="099CAF7E" w14:textId="77777777" w:rsidR="008F3C1F" w:rsidRPr="00071A32" w:rsidRDefault="008F3C1F" w:rsidP="008F3C1F">
      <w:pPr>
        <w:spacing w:before="240" w:line="360" w:lineRule="auto"/>
        <w:jc w:val="both"/>
        <w:rPr>
          <w:rFonts w:asciiTheme="minorHAnsi" w:eastAsia="Times New Roman" w:hAnsiTheme="minorHAnsi" w:cstheme="minorHAnsi"/>
          <w:b/>
          <w:bCs/>
          <w:i/>
          <w:iCs/>
          <w:sz w:val="24"/>
          <w:szCs w:val="24"/>
        </w:rPr>
      </w:pPr>
      <w:r w:rsidRPr="00071A32">
        <w:rPr>
          <w:rFonts w:asciiTheme="minorHAnsi" w:eastAsia="Times New Roman" w:hAnsiTheme="minorHAnsi" w:cstheme="minorHAnsi"/>
          <w:b/>
          <w:bCs/>
          <w:i/>
          <w:iCs/>
          <w:sz w:val="24"/>
          <w:szCs w:val="24"/>
        </w:rPr>
        <w:t>Recommendation 3: Improve Integrated Health and Social Care</w:t>
      </w:r>
    </w:p>
    <w:p w14:paraId="5B05263A" w14:textId="77777777"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sz w:val="24"/>
          <w:szCs w:val="24"/>
        </w:rPr>
        <w:t xml:space="preserve">Manchester City Council ought to enhance the collaboration between the Council, the NHS mental health services, GPs, social workers, voluntary organisations and carers (Dutton </w:t>
      </w:r>
      <w:r w:rsidRPr="00071A32">
        <w:rPr>
          <w:rFonts w:asciiTheme="minorHAnsi" w:eastAsia="Times New Roman" w:hAnsiTheme="minorHAnsi" w:cstheme="minorHAnsi"/>
          <w:i/>
          <w:iCs/>
          <w:sz w:val="24"/>
          <w:szCs w:val="24"/>
        </w:rPr>
        <w:t>et al.</w:t>
      </w:r>
      <w:r w:rsidRPr="00071A32">
        <w:rPr>
          <w:rFonts w:asciiTheme="minorHAnsi" w:eastAsia="Times New Roman" w:hAnsiTheme="minorHAnsi" w:cstheme="minorHAnsi"/>
          <w:sz w:val="24"/>
          <w:szCs w:val="24"/>
        </w:rPr>
        <w:t xml:space="preserve"> 2023). Implementing integrated working may assist professionals with sharing relevant information and offering a more consistent service.  </w:t>
      </w:r>
    </w:p>
    <w:p w14:paraId="6F985469" w14:textId="77777777" w:rsidR="008F3C1F" w:rsidRPr="00071A32" w:rsidRDefault="008F3C1F" w:rsidP="008F3C1F">
      <w:pPr>
        <w:spacing w:before="240" w:line="360" w:lineRule="auto"/>
        <w:jc w:val="both"/>
        <w:rPr>
          <w:rFonts w:asciiTheme="minorHAnsi" w:eastAsia="Times New Roman" w:hAnsiTheme="minorHAnsi" w:cstheme="minorHAnsi"/>
          <w:b/>
          <w:bCs/>
          <w:i/>
          <w:iCs/>
          <w:sz w:val="24"/>
          <w:szCs w:val="24"/>
        </w:rPr>
      </w:pPr>
      <w:r w:rsidRPr="00071A32">
        <w:rPr>
          <w:rFonts w:asciiTheme="minorHAnsi" w:eastAsia="Times New Roman" w:hAnsiTheme="minorHAnsi" w:cstheme="minorHAnsi"/>
          <w:b/>
          <w:bCs/>
          <w:i/>
          <w:iCs/>
          <w:sz w:val="24"/>
          <w:szCs w:val="24"/>
        </w:rPr>
        <w:t>Recommendation 4: Use Person-Centred Assessment</w:t>
      </w:r>
    </w:p>
    <w:p w14:paraId="41EB3C13" w14:textId="77777777"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sz w:val="24"/>
          <w:szCs w:val="24"/>
        </w:rPr>
        <w:lastRenderedPageBreak/>
        <w:t xml:space="preserve">Person-centred care planning and assessment should be applied in community mental health services (Davidson and </w:t>
      </w:r>
      <w:proofErr w:type="spellStart"/>
      <w:r w:rsidRPr="00071A32">
        <w:rPr>
          <w:rFonts w:asciiTheme="minorHAnsi" w:eastAsia="Times New Roman" w:hAnsiTheme="minorHAnsi" w:cstheme="minorHAnsi"/>
          <w:sz w:val="24"/>
          <w:szCs w:val="24"/>
        </w:rPr>
        <w:t>Tondora</w:t>
      </w:r>
      <w:proofErr w:type="spellEnd"/>
      <w:r w:rsidRPr="00071A32">
        <w:rPr>
          <w:rFonts w:asciiTheme="minorHAnsi" w:eastAsia="Times New Roman" w:hAnsiTheme="minorHAnsi" w:cstheme="minorHAnsi"/>
          <w:sz w:val="24"/>
          <w:szCs w:val="24"/>
        </w:rPr>
        <w:t xml:space="preserve">, 2022). Support is supposed to attend to the needs of each person in terms of what goals he or she should reach in his or her day-to-day life as opposed to concentrating on diagnosis. Section 9 of the Care Act requires local authorities to assess an adult's care and support needs and consider the outcomes that the person wishes to achieve in daily life.  </w:t>
      </w:r>
    </w:p>
    <w:p w14:paraId="786C8F86" w14:textId="77777777" w:rsidR="008F3C1F" w:rsidRPr="00071A32" w:rsidRDefault="008F3C1F" w:rsidP="008F3C1F">
      <w:pPr>
        <w:spacing w:before="240" w:line="360" w:lineRule="auto"/>
        <w:jc w:val="both"/>
        <w:rPr>
          <w:rFonts w:asciiTheme="minorHAnsi" w:eastAsia="Times New Roman" w:hAnsiTheme="minorHAnsi" w:cstheme="minorHAnsi"/>
          <w:b/>
          <w:bCs/>
          <w:i/>
          <w:iCs/>
          <w:sz w:val="24"/>
          <w:szCs w:val="24"/>
        </w:rPr>
      </w:pPr>
      <w:r w:rsidRPr="00071A32">
        <w:rPr>
          <w:rFonts w:asciiTheme="minorHAnsi" w:eastAsia="Times New Roman" w:hAnsiTheme="minorHAnsi" w:cstheme="minorHAnsi"/>
          <w:b/>
          <w:bCs/>
          <w:i/>
          <w:iCs/>
          <w:sz w:val="24"/>
          <w:szCs w:val="24"/>
        </w:rPr>
        <w:t>Recommendation 5: Monitor Service Outcomes</w:t>
      </w:r>
    </w:p>
    <w:p w14:paraId="77CAF3B9" w14:textId="77777777"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sz w:val="24"/>
          <w:szCs w:val="24"/>
        </w:rPr>
        <w:t xml:space="preserve">The Council should introduce clear measures to monitor the effectiveness of the response (Dutton </w:t>
      </w:r>
      <w:r w:rsidRPr="00071A32">
        <w:rPr>
          <w:rFonts w:asciiTheme="minorHAnsi" w:eastAsia="Times New Roman" w:hAnsiTheme="minorHAnsi" w:cstheme="minorHAnsi"/>
          <w:i/>
          <w:iCs/>
          <w:sz w:val="24"/>
          <w:szCs w:val="24"/>
        </w:rPr>
        <w:t>et al.</w:t>
      </w:r>
      <w:r w:rsidRPr="00071A32">
        <w:rPr>
          <w:rFonts w:asciiTheme="minorHAnsi" w:eastAsia="Times New Roman" w:hAnsiTheme="minorHAnsi" w:cstheme="minorHAnsi"/>
          <w:sz w:val="24"/>
          <w:szCs w:val="24"/>
        </w:rPr>
        <w:t xml:space="preserve"> 2023). These indicators must cover waiting times, individuals with community support, crisis and hospital admissions, service-user satisfaction and carer outcomes.  </w:t>
      </w:r>
    </w:p>
    <w:p w14:paraId="3FF4FDB6" w14:textId="77777777" w:rsidR="008F3C1F" w:rsidRPr="00071A32" w:rsidRDefault="008F3C1F" w:rsidP="008F3C1F">
      <w:pPr>
        <w:pStyle w:val="Heading2"/>
        <w:rPr>
          <w:rFonts w:asciiTheme="minorHAnsi" w:hAnsiTheme="minorHAnsi" w:cstheme="minorHAnsi"/>
          <w:sz w:val="24"/>
          <w:szCs w:val="24"/>
        </w:rPr>
      </w:pPr>
      <w:bookmarkStart w:id="4" w:name="_Toc242123335"/>
      <w:r w:rsidRPr="00071A32">
        <w:rPr>
          <w:rFonts w:asciiTheme="minorHAnsi" w:hAnsiTheme="minorHAnsi" w:cstheme="minorHAnsi"/>
          <w:sz w:val="24"/>
          <w:szCs w:val="24"/>
        </w:rPr>
        <w:t>4. Conclusion</w:t>
      </w:r>
      <w:bookmarkEnd w:id="4"/>
    </w:p>
    <w:p w14:paraId="34B6128C" w14:textId="77777777"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sz w:val="24"/>
          <w:szCs w:val="24"/>
        </w:rPr>
        <w:t xml:space="preserve">The shortage of community mental health services in Manchester is a social care and public health concern. Restricted access may reduce support, independence, put pressure on carers and may demand more of GPs and crisis services. Improving community provision would support the principles of the Care Act 2014, particularly wellbeing, prevention, needs assessment and support for carers. The Manchester City Council must consequently build the capacity of the community, reinforce early intervention, enhance collaboration among the health and social care services and apply person-centred assessments.  </w:t>
      </w:r>
    </w:p>
    <w:p w14:paraId="47F2601F" w14:textId="77777777" w:rsidR="008F3C1F" w:rsidRPr="00071A32" w:rsidRDefault="008F3C1F" w:rsidP="008F3C1F">
      <w:pPr>
        <w:pStyle w:val="Heading1"/>
        <w:rPr>
          <w:rFonts w:asciiTheme="minorHAnsi" w:hAnsiTheme="minorHAnsi" w:cstheme="minorHAnsi"/>
          <w:sz w:val="24"/>
          <w:szCs w:val="24"/>
        </w:rPr>
      </w:pPr>
      <w:bookmarkStart w:id="5" w:name="_Toc242123336"/>
      <w:r w:rsidRPr="00071A32">
        <w:rPr>
          <w:rFonts w:asciiTheme="minorHAnsi" w:hAnsiTheme="minorHAnsi" w:cstheme="minorHAnsi"/>
          <w:sz w:val="24"/>
          <w:szCs w:val="24"/>
        </w:rPr>
        <w:t>Task 2: Essay</w:t>
      </w:r>
      <w:bookmarkEnd w:id="5"/>
    </w:p>
    <w:p w14:paraId="385E683E" w14:textId="77777777" w:rsidR="008F3C1F" w:rsidRPr="00071A32" w:rsidRDefault="008F3C1F" w:rsidP="008F3C1F">
      <w:pPr>
        <w:pStyle w:val="Heading2"/>
        <w:rPr>
          <w:rFonts w:asciiTheme="minorHAnsi" w:hAnsiTheme="minorHAnsi" w:cstheme="minorHAnsi"/>
          <w:sz w:val="24"/>
          <w:szCs w:val="24"/>
        </w:rPr>
      </w:pPr>
      <w:bookmarkStart w:id="6" w:name="_Toc242123337"/>
      <w:r w:rsidRPr="00071A32">
        <w:rPr>
          <w:rFonts w:asciiTheme="minorHAnsi" w:hAnsiTheme="minorHAnsi" w:cstheme="minorHAnsi"/>
          <w:sz w:val="24"/>
          <w:szCs w:val="24"/>
        </w:rPr>
        <w:t>Introduction</w:t>
      </w:r>
      <w:bookmarkEnd w:id="6"/>
    </w:p>
    <w:p w14:paraId="18D1EA58" w14:textId="77777777"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sz w:val="24"/>
          <w:szCs w:val="24"/>
        </w:rPr>
        <w:t xml:space="preserve">The traditional apothecary and chemist shops have progressed into community pharmacy services, which are now an essential component of primary healthcare in the UK. The pharmacists are currently supplying drugs besides health counselling, prevention and clinical counselling. This has changed the role of the pharmacist by more direct patient care than dispensing of medicines. This role has also been extended to Pharmacy First in England where the pharmacist is permitted to treat common conditions without referring to a GP. This essay discusses the origin of community pharmacy in history, its power here and utility to the users of the service.   </w:t>
      </w:r>
    </w:p>
    <w:p w14:paraId="4817E0F3" w14:textId="77777777" w:rsidR="008F3C1F" w:rsidRPr="00071A32" w:rsidRDefault="008F3C1F" w:rsidP="008F3C1F">
      <w:pPr>
        <w:pStyle w:val="Heading2"/>
        <w:rPr>
          <w:rFonts w:asciiTheme="minorHAnsi" w:hAnsiTheme="minorHAnsi" w:cstheme="minorHAnsi"/>
          <w:sz w:val="24"/>
          <w:szCs w:val="24"/>
        </w:rPr>
      </w:pPr>
      <w:bookmarkStart w:id="7" w:name="_Toc242123338"/>
      <w:r w:rsidRPr="00071A32">
        <w:rPr>
          <w:rFonts w:asciiTheme="minorHAnsi" w:hAnsiTheme="minorHAnsi" w:cstheme="minorHAnsi"/>
          <w:sz w:val="24"/>
          <w:szCs w:val="24"/>
        </w:rPr>
        <w:lastRenderedPageBreak/>
        <w:t>Historical Context and Current Function</w:t>
      </w:r>
      <w:bookmarkEnd w:id="7"/>
    </w:p>
    <w:p w14:paraId="571D9FD8" w14:textId="321C17E0"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sz w:val="24"/>
          <w:szCs w:val="24"/>
        </w:rPr>
        <w:t xml:space="preserve">The history of the development of community pharmacy in Britain started in the nineteenth century (Benson, 2022). In 1841, the Pharmaceutical Society of Great Britain was founded and assisted in professionalising pharmacy by providing education, exams and registration. That was reinforced by the Pharmacy Act 1868, which stipulated that individuals taking part in dispensing medicines had to be registered (BSHP, 2026). Medicines and health advice were available through pharmacists who prepared medicines and gave health advice to the local communities. This transformed pharmacies, where people could readily access healthcare in areas where physicians were not easily accessible. The role of community pharmacists was altered with the establishment of the NHS in 1948 (Paniga, 2026). The pharmacists were turned into independent contractors who offered NHS pharmaceutical services, and the primary activity of the pharmacists shifted to dispensing. According to the Nuffield Report of 1986, pharmacists were found to be an under-utilised resource in healthcare, and there should be an expansion of the professional role. Subsequent reforms favoured health promotion and services that were </w:t>
      </w:r>
      <w:r w:rsidR="00B73B30" w:rsidRPr="00071A32">
        <w:rPr>
          <w:rFonts w:asciiTheme="minorHAnsi" w:eastAsia="Times New Roman" w:hAnsiTheme="minorHAnsi" w:cstheme="minorHAnsi"/>
          <w:sz w:val="24"/>
          <w:szCs w:val="24"/>
        </w:rPr>
        <w:t>patient oriented</w:t>
      </w:r>
      <w:r w:rsidRPr="00071A32">
        <w:rPr>
          <w:rFonts w:asciiTheme="minorHAnsi" w:eastAsia="Times New Roman" w:hAnsiTheme="minorHAnsi" w:cstheme="minorHAnsi"/>
          <w:sz w:val="24"/>
          <w:szCs w:val="24"/>
        </w:rPr>
        <w:t xml:space="preserve">. </w:t>
      </w:r>
    </w:p>
    <w:p w14:paraId="268A0BF2" w14:textId="77777777"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sz w:val="24"/>
          <w:szCs w:val="24"/>
        </w:rPr>
        <w:t xml:space="preserve">In England, pharmacists were granted independent prescribing in 2006, and thus additional clinical load was placed on them (Fitzpatrick and Borthwick, 2022). In modern times, pharmacies in communities have merged, supplying medications with clinical and community health services. Introduced in England in January 2024, Pharmacy First enables pharmacists to treat seven common conditions using specific clinical pathways, eliminating the necessity of some GP appointments (england.nhs.uk, 2026). Other services offered by pharmacies are blood pressure checks, contraception and vaccination. The Community Pharmacy Contractual Framework 2026 gives an added boost to independent prescribing and increases the role of the pharmacists within primary care.  </w:t>
      </w:r>
    </w:p>
    <w:p w14:paraId="18F8FAAA" w14:textId="77777777" w:rsidR="008F3C1F" w:rsidRPr="00071A32" w:rsidRDefault="008F3C1F" w:rsidP="008F3C1F">
      <w:pPr>
        <w:pStyle w:val="Heading2"/>
        <w:rPr>
          <w:rFonts w:asciiTheme="minorHAnsi" w:hAnsiTheme="minorHAnsi" w:cstheme="minorHAnsi"/>
          <w:sz w:val="24"/>
          <w:szCs w:val="24"/>
        </w:rPr>
      </w:pPr>
      <w:bookmarkStart w:id="8" w:name="_Toc242123339"/>
      <w:r w:rsidRPr="00071A32">
        <w:rPr>
          <w:rFonts w:asciiTheme="minorHAnsi" w:hAnsiTheme="minorHAnsi" w:cstheme="minorHAnsi"/>
          <w:sz w:val="24"/>
          <w:szCs w:val="24"/>
        </w:rPr>
        <w:t>Critical Evaluation and Significance for Service Users</w:t>
      </w:r>
      <w:bookmarkEnd w:id="8"/>
    </w:p>
    <w:p w14:paraId="22B504A1" w14:textId="4E947BD3"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sz w:val="24"/>
          <w:szCs w:val="24"/>
        </w:rPr>
        <w:t xml:space="preserve">Community pharmacies </w:t>
      </w:r>
      <w:r w:rsidR="00CD1495" w:rsidRPr="00071A32">
        <w:rPr>
          <w:rFonts w:asciiTheme="minorHAnsi" w:eastAsia="Times New Roman" w:hAnsiTheme="minorHAnsi" w:cstheme="minorHAnsi"/>
          <w:sz w:val="24"/>
          <w:szCs w:val="24"/>
        </w:rPr>
        <w:t xml:space="preserve">can </w:t>
      </w:r>
      <w:r w:rsidRPr="00071A32">
        <w:rPr>
          <w:rFonts w:asciiTheme="minorHAnsi" w:eastAsia="Times New Roman" w:hAnsiTheme="minorHAnsi" w:cstheme="minorHAnsi"/>
          <w:sz w:val="24"/>
          <w:szCs w:val="24"/>
        </w:rPr>
        <w:t xml:space="preserve">enhance quality of life since they offer healthcare near to where individuals reside (Kuo </w:t>
      </w:r>
      <w:r w:rsidRPr="00071A32">
        <w:rPr>
          <w:rFonts w:asciiTheme="minorHAnsi" w:eastAsia="Times New Roman" w:hAnsiTheme="minorHAnsi" w:cstheme="minorHAnsi"/>
          <w:i/>
          <w:iCs/>
          <w:sz w:val="24"/>
          <w:szCs w:val="24"/>
        </w:rPr>
        <w:t>et al.</w:t>
      </w:r>
      <w:r w:rsidRPr="00071A32">
        <w:rPr>
          <w:rFonts w:asciiTheme="minorHAnsi" w:eastAsia="Times New Roman" w:hAnsiTheme="minorHAnsi" w:cstheme="minorHAnsi"/>
          <w:sz w:val="24"/>
          <w:szCs w:val="24"/>
        </w:rPr>
        <w:t xml:space="preserve"> 2024). They can be of special use to individuals who require a consultation regarding minor illnesses or medications but cannot get a GP appointment easily. Pharmacy First enables patients to be treated without attending a GP for eligible conditions. According to NHS England, the service is to offer faster and more convenient services, as GP </w:t>
      </w:r>
      <w:r w:rsidRPr="00071A32">
        <w:rPr>
          <w:rFonts w:asciiTheme="minorHAnsi" w:eastAsia="Times New Roman" w:hAnsiTheme="minorHAnsi" w:cstheme="minorHAnsi"/>
          <w:sz w:val="24"/>
          <w:szCs w:val="24"/>
        </w:rPr>
        <w:lastRenderedPageBreak/>
        <w:t>appointments are reserved for patients with higher clinical needs (england.nhs.uk, 2026). Over 3.3 million Pharmacy First consultations were provided during the period between March 2025 and February 2026, with 86% of its users reporting that they had had a positive experience (gov.uk, 2026).</w:t>
      </w:r>
    </w:p>
    <w:p w14:paraId="157F6929" w14:textId="749138D5"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sz w:val="24"/>
          <w:szCs w:val="24"/>
        </w:rPr>
        <w:t xml:space="preserve">Community pharmacies can aid in the prevention and early intervention (DiPietro Mager and Bright, 2023). Family planning, blood pressure testing and vaccination would enable individuals accept their health conditions before they take a more drastic turn. The growing clinical role of pharmacist can thereby improve patient choice and more-integrated primary care. Nonetheless, there are key constraints. The community pharmacies have also been overburdened in terms of finances and manpower and </w:t>
      </w:r>
      <w:r w:rsidR="00A53321" w:rsidRPr="00071A32">
        <w:rPr>
          <w:rFonts w:asciiTheme="minorHAnsi" w:eastAsia="Times New Roman" w:hAnsiTheme="minorHAnsi" w:cstheme="minorHAnsi"/>
          <w:sz w:val="24"/>
          <w:szCs w:val="24"/>
        </w:rPr>
        <w:t>closing</w:t>
      </w:r>
      <w:r w:rsidRPr="00071A32">
        <w:rPr>
          <w:rFonts w:asciiTheme="minorHAnsi" w:eastAsia="Times New Roman" w:hAnsiTheme="minorHAnsi" w:cstheme="minorHAnsi"/>
          <w:sz w:val="24"/>
          <w:szCs w:val="24"/>
        </w:rPr>
        <w:t xml:space="preserve"> a pharmacy can reduce accessibility in select communities. Over 1,000 pharmacies in England had shut down between February 2016 and February 2026, a decrease of 9% (commonslibrary.parliament.uk, 2026). This has been attributed to funding shortage, rising cost of doing business and failure to hire and keep the pharmacists. Therefore, community pharmacy can play a significant role in improving convenience, access and quality, however, long-term investment and manpower plans are needed to ensure that the extended services are safe, equitable and sustainable. </w:t>
      </w:r>
    </w:p>
    <w:p w14:paraId="1CC4390C" w14:textId="77777777" w:rsidR="008F3C1F" w:rsidRPr="00071A32" w:rsidRDefault="008F3C1F" w:rsidP="008F3C1F">
      <w:pPr>
        <w:pStyle w:val="Heading2"/>
        <w:rPr>
          <w:rFonts w:asciiTheme="minorHAnsi" w:hAnsiTheme="minorHAnsi" w:cstheme="minorHAnsi"/>
          <w:sz w:val="24"/>
          <w:szCs w:val="24"/>
        </w:rPr>
      </w:pPr>
      <w:bookmarkStart w:id="9" w:name="_Toc242123340"/>
    </w:p>
    <w:p w14:paraId="71A18CB0" w14:textId="77777777" w:rsidR="00CD0388" w:rsidRPr="00071A32" w:rsidRDefault="00CD0388" w:rsidP="008F3C1F">
      <w:pPr>
        <w:pStyle w:val="Heading2"/>
        <w:rPr>
          <w:rFonts w:asciiTheme="minorHAnsi" w:hAnsiTheme="minorHAnsi" w:cstheme="minorHAnsi"/>
          <w:sz w:val="24"/>
          <w:szCs w:val="24"/>
        </w:rPr>
      </w:pPr>
    </w:p>
    <w:p w14:paraId="53F2071C" w14:textId="4FD320E3" w:rsidR="008F3C1F" w:rsidRPr="00071A32" w:rsidRDefault="008F3C1F" w:rsidP="008F3C1F">
      <w:pPr>
        <w:pStyle w:val="Heading2"/>
        <w:rPr>
          <w:rFonts w:asciiTheme="minorHAnsi" w:hAnsiTheme="minorHAnsi" w:cstheme="minorHAnsi"/>
          <w:sz w:val="24"/>
          <w:szCs w:val="24"/>
        </w:rPr>
      </w:pPr>
      <w:r w:rsidRPr="00071A32">
        <w:rPr>
          <w:rFonts w:asciiTheme="minorHAnsi" w:hAnsiTheme="minorHAnsi" w:cstheme="minorHAnsi"/>
          <w:sz w:val="24"/>
          <w:szCs w:val="24"/>
        </w:rPr>
        <w:t>Conclusion</w:t>
      </w:r>
      <w:bookmarkEnd w:id="9"/>
    </w:p>
    <w:p w14:paraId="0707A660" w14:textId="77777777"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sz w:val="24"/>
          <w:szCs w:val="24"/>
        </w:rPr>
        <w:t xml:space="preserve">Community pharmacy has evolved greatly concerning the history of its preparation and dispensing of medicines. Professional regulation, the NHS, the Nuffield Report as well as prescribing reforms helped to create a broader clinical role. This has been boosted further with Pharmacy First which has made the pharmacists treat minor ailments in the community. Current evidence shows that patients value the convenience of pharmacy-based care and the service can reduce the burden on general practice. However, employee deficits, economic pressure and closures of pharmacies remain considerable. </w:t>
      </w:r>
    </w:p>
    <w:p w14:paraId="4B866540" w14:textId="77777777" w:rsidR="008F3C1F" w:rsidRPr="00071A32" w:rsidRDefault="008F3C1F" w:rsidP="008F3C1F">
      <w:pPr>
        <w:spacing w:before="240" w:line="360" w:lineRule="auto"/>
        <w:jc w:val="both"/>
        <w:rPr>
          <w:rFonts w:asciiTheme="minorHAnsi" w:eastAsia="Times New Roman" w:hAnsiTheme="minorHAnsi" w:cstheme="minorHAnsi"/>
          <w:sz w:val="24"/>
          <w:szCs w:val="24"/>
        </w:rPr>
      </w:pPr>
    </w:p>
    <w:p w14:paraId="7DE720D0" w14:textId="77777777" w:rsidR="008F3C1F" w:rsidRPr="00071A32" w:rsidRDefault="008F3C1F" w:rsidP="008F3C1F">
      <w:pPr>
        <w:spacing w:before="240" w:line="360" w:lineRule="auto"/>
        <w:jc w:val="both"/>
        <w:rPr>
          <w:rFonts w:asciiTheme="minorHAnsi" w:eastAsia="Times New Roman" w:hAnsiTheme="minorHAnsi" w:cstheme="minorHAnsi"/>
          <w:sz w:val="24"/>
          <w:szCs w:val="24"/>
        </w:rPr>
      </w:pPr>
    </w:p>
    <w:p w14:paraId="26E2C03A" w14:textId="77777777" w:rsidR="008F3C1F" w:rsidRPr="00071A32" w:rsidRDefault="008F3C1F" w:rsidP="008F3C1F">
      <w:pPr>
        <w:spacing w:before="240" w:line="360" w:lineRule="auto"/>
        <w:jc w:val="both"/>
        <w:rPr>
          <w:rFonts w:asciiTheme="minorHAnsi" w:eastAsia="Times New Roman" w:hAnsiTheme="minorHAnsi" w:cstheme="minorHAnsi"/>
          <w:sz w:val="24"/>
          <w:szCs w:val="24"/>
        </w:rPr>
      </w:pPr>
    </w:p>
    <w:p w14:paraId="63F543DD" w14:textId="77777777" w:rsidR="008F3C1F" w:rsidRPr="00071A32" w:rsidRDefault="008F3C1F" w:rsidP="008F3C1F">
      <w:pPr>
        <w:spacing w:before="240" w:line="360" w:lineRule="auto"/>
        <w:jc w:val="both"/>
        <w:rPr>
          <w:rFonts w:asciiTheme="minorHAnsi" w:eastAsia="Times New Roman" w:hAnsiTheme="minorHAnsi" w:cstheme="minorHAnsi"/>
          <w:sz w:val="24"/>
          <w:szCs w:val="24"/>
        </w:rPr>
      </w:pPr>
      <w:r w:rsidRPr="00071A32">
        <w:rPr>
          <w:rFonts w:asciiTheme="minorHAnsi" w:eastAsia="Times New Roman" w:hAnsiTheme="minorHAnsi" w:cstheme="minorHAnsi"/>
          <w:sz w:val="24"/>
          <w:szCs w:val="24"/>
        </w:rPr>
        <w:lastRenderedPageBreak/>
        <w:br w:type="page"/>
      </w:r>
    </w:p>
    <w:p w14:paraId="53396A79" w14:textId="77777777" w:rsidR="008F3C1F" w:rsidRPr="00071A32" w:rsidRDefault="008F3C1F" w:rsidP="008F3C1F">
      <w:pPr>
        <w:pStyle w:val="Heading1"/>
        <w:rPr>
          <w:rFonts w:asciiTheme="minorHAnsi" w:hAnsiTheme="minorHAnsi" w:cstheme="minorHAnsi"/>
          <w:sz w:val="24"/>
          <w:szCs w:val="24"/>
        </w:rPr>
      </w:pPr>
      <w:bookmarkStart w:id="10" w:name="_Toc242123341"/>
      <w:r w:rsidRPr="00071A32">
        <w:rPr>
          <w:rFonts w:asciiTheme="minorHAnsi" w:hAnsiTheme="minorHAnsi" w:cstheme="minorHAnsi"/>
          <w:sz w:val="24"/>
          <w:szCs w:val="24"/>
        </w:rPr>
        <w:lastRenderedPageBreak/>
        <w:t>References</w:t>
      </w:r>
      <w:bookmarkEnd w:id="10"/>
    </w:p>
    <w:p w14:paraId="5CB68117" w14:textId="77777777" w:rsidR="008F3C1F" w:rsidRPr="00071A32" w:rsidRDefault="008F3C1F" w:rsidP="008F3C1F">
      <w:pPr>
        <w:spacing w:before="240" w:line="360" w:lineRule="auto"/>
        <w:jc w:val="both"/>
        <w:rPr>
          <w:rFonts w:asciiTheme="minorHAnsi" w:hAnsiTheme="minorHAnsi" w:cstheme="minorHAnsi"/>
          <w:b/>
          <w:bCs/>
          <w:sz w:val="24"/>
          <w:szCs w:val="24"/>
        </w:rPr>
      </w:pPr>
      <w:r w:rsidRPr="00071A32">
        <w:rPr>
          <w:rFonts w:asciiTheme="minorHAnsi" w:hAnsiTheme="minorHAnsi" w:cstheme="minorHAnsi"/>
          <w:b/>
          <w:bCs/>
          <w:sz w:val="24"/>
          <w:szCs w:val="24"/>
        </w:rPr>
        <w:t>Task 1</w:t>
      </w:r>
    </w:p>
    <w:p w14:paraId="60834717"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 xml:space="preserve">Chang, M.F., (2022). ‘Challenges and chances for local health and social care integration–Lessons from Greater Manchester, England’. </w:t>
      </w:r>
      <w:r w:rsidRPr="00071A32">
        <w:rPr>
          <w:rFonts w:asciiTheme="minorHAnsi" w:hAnsiTheme="minorHAnsi" w:cstheme="minorHAnsi"/>
          <w:i/>
          <w:iCs/>
          <w:sz w:val="24"/>
          <w:szCs w:val="24"/>
        </w:rPr>
        <w:t>Journal of integrated care</w:t>
      </w:r>
      <w:r w:rsidRPr="00071A32">
        <w:rPr>
          <w:rFonts w:asciiTheme="minorHAnsi" w:hAnsiTheme="minorHAnsi" w:cstheme="minorHAnsi"/>
          <w:sz w:val="24"/>
          <w:szCs w:val="24"/>
        </w:rPr>
        <w:t xml:space="preserve">, </w:t>
      </w:r>
      <w:r w:rsidRPr="00071A32">
        <w:rPr>
          <w:rFonts w:asciiTheme="minorHAnsi" w:hAnsiTheme="minorHAnsi" w:cstheme="minorHAnsi"/>
          <w:i/>
          <w:iCs/>
          <w:sz w:val="24"/>
          <w:szCs w:val="24"/>
        </w:rPr>
        <w:t>30</w:t>
      </w:r>
      <w:r w:rsidRPr="00071A32">
        <w:rPr>
          <w:rFonts w:asciiTheme="minorHAnsi" w:hAnsiTheme="minorHAnsi" w:cstheme="minorHAnsi"/>
          <w:sz w:val="24"/>
          <w:szCs w:val="24"/>
        </w:rPr>
        <w:t xml:space="preserve">(2), pp.146-159. Available at: </w:t>
      </w:r>
      <w:hyperlink r:id="rId9" w:history="1">
        <w:r w:rsidRPr="00071A32">
          <w:rPr>
            <w:rStyle w:val="Hyperlink"/>
            <w:rFonts w:asciiTheme="minorHAnsi" w:hAnsiTheme="minorHAnsi" w:cstheme="minorHAnsi"/>
            <w:sz w:val="24"/>
            <w:szCs w:val="24"/>
          </w:rPr>
          <w:t>https://www.emerald.com/jica/article/30/2/146/216431</w:t>
        </w:r>
      </w:hyperlink>
    </w:p>
    <w:p w14:paraId="274B213D"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 xml:space="preserve">Davidson, L. and </w:t>
      </w:r>
      <w:proofErr w:type="spellStart"/>
      <w:r w:rsidRPr="00071A32">
        <w:rPr>
          <w:rFonts w:asciiTheme="minorHAnsi" w:hAnsiTheme="minorHAnsi" w:cstheme="minorHAnsi"/>
          <w:sz w:val="24"/>
          <w:szCs w:val="24"/>
        </w:rPr>
        <w:t>Tondora</w:t>
      </w:r>
      <w:proofErr w:type="spellEnd"/>
      <w:r w:rsidRPr="00071A32">
        <w:rPr>
          <w:rFonts w:asciiTheme="minorHAnsi" w:hAnsiTheme="minorHAnsi" w:cstheme="minorHAnsi"/>
          <w:sz w:val="24"/>
          <w:szCs w:val="24"/>
        </w:rPr>
        <w:t xml:space="preserve">, J., (2022). ‘Person‐centred care planning as foundational to clinical practice’. </w:t>
      </w:r>
      <w:r w:rsidRPr="00071A32">
        <w:rPr>
          <w:rFonts w:asciiTheme="minorHAnsi" w:hAnsiTheme="minorHAnsi" w:cstheme="minorHAnsi"/>
          <w:i/>
          <w:iCs/>
          <w:sz w:val="24"/>
          <w:szCs w:val="24"/>
        </w:rPr>
        <w:t>World Psychiatry</w:t>
      </w:r>
      <w:r w:rsidRPr="00071A32">
        <w:rPr>
          <w:rFonts w:asciiTheme="minorHAnsi" w:hAnsiTheme="minorHAnsi" w:cstheme="minorHAnsi"/>
          <w:sz w:val="24"/>
          <w:szCs w:val="24"/>
        </w:rPr>
        <w:t xml:space="preserve">, </w:t>
      </w:r>
      <w:r w:rsidRPr="00071A32">
        <w:rPr>
          <w:rFonts w:asciiTheme="minorHAnsi" w:hAnsiTheme="minorHAnsi" w:cstheme="minorHAnsi"/>
          <w:i/>
          <w:iCs/>
          <w:sz w:val="24"/>
          <w:szCs w:val="24"/>
        </w:rPr>
        <w:t>21</w:t>
      </w:r>
      <w:r w:rsidRPr="00071A32">
        <w:rPr>
          <w:rFonts w:asciiTheme="minorHAnsi" w:hAnsiTheme="minorHAnsi" w:cstheme="minorHAnsi"/>
          <w:sz w:val="24"/>
          <w:szCs w:val="24"/>
        </w:rPr>
        <w:t xml:space="preserve">(1), p.1. Available at: </w:t>
      </w:r>
      <w:hyperlink r:id="rId10" w:history="1">
        <w:r w:rsidRPr="00071A32">
          <w:rPr>
            <w:rStyle w:val="Hyperlink"/>
            <w:rFonts w:asciiTheme="minorHAnsi" w:hAnsiTheme="minorHAnsi" w:cstheme="minorHAnsi"/>
            <w:sz w:val="24"/>
            <w:szCs w:val="24"/>
          </w:rPr>
          <w:t>https://pmc.ncbi.nlm.nih.gov/articles/PMC8751555/</w:t>
        </w:r>
      </w:hyperlink>
    </w:p>
    <w:p w14:paraId="0846D983"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 xml:space="preserve">Dutton, B., Humphrey, N. and Qualter, P., (2023). ‘Getting the pieces to fit: NHS and third sector collaboration to enhance crisis mental health service provision for young people’. </w:t>
      </w:r>
      <w:r w:rsidRPr="00071A32">
        <w:rPr>
          <w:rFonts w:asciiTheme="minorHAnsi" w:hAnsiTheme="minorHAnsi" w:cstheme="minorHAnsi"/>
          <w:i/>
          <w:iCs/>
          <w:sz w:val="24"/>
          <w:szCs w:val="24"/>
        </w:rPr>
        <w:t>BMC Health Services Research</w:t>
      </w:r>
      <w:r w:rsidRPr="00071A32">
        <w:rPr>
          <w:rFonts w:asciiTheme="minorHAnsi" w:hAnsiTheme="minorHAnsi" w:cstheme="minorHAnsi"/>
          <w:sz w:val="24"/>
          <w:szCs w:val="24"/>
        </w:rPr>
        <w:t xml:space="preserve">, </w:t>
      </w:r>
      <w:r w:rsidRPr="00071A32">
        <w:rPr>
          <w:rFonts w:asciiTheme="minorHAnsi" w:hAnsiTheme="minorHAnsi" w:cstheme="minorHAnsi"/>
          <w:i/>
          <w:iCs/>
          <w:sz w:val="24"/>
          <w:szCs w:val="24"/>
        </w:rPr>
        <w:t>23</w:t>
      </w:r>
      <w:r w:rsidRPr="00071A32">
        <w:rPr>
          <w:rFonts w:asciiTheme="minorHAnsi" w:hAnsiTheme="minorHAnsi" w:cstheme="minorHAnsi"/>
          <w:sz w:val="24"/>
          <w:szCs w:val="24"/>
        </w:rPr>
        <w:t xml:space="preserve">(1), p.307. Available at: </w:t>
      </w:r>
      <w:hyperlink r:id="rId11" w:history="1">
        <w:r w:rsidRPr="00071A32">
          <w:rPr>
            <w:rStyle w:val="Hyperlink"/>
            <w:rFonts w:asciiTheme="minorHAnsi" w:hAnsiTheme="minorHAnsi" w:cstheme="minorHAnsi"/>
            <w:sz w:val="24"/>
            <w:szCs w:val="24"/>
          </w:rPr>
          <w:t>https://link.springer.com/article/10.1186/s12913-023-09198-w</w:t>
        </w:r>
      </w:hyperlink>
    </w:p>
    <w:p w14:paraId="21131A7C" w14:textId="77777777" w:rsidR="008F3C1F" w:rsidRPr="00071A32" w:rsidRDefault="008F3C1F" w:rsidP="008F3C1F">
      <w:pPr>
        <w:spacing w:line="360" w:lineRule="auto"/>
        <w:jc w:val="both"/>
        <w:rPr>
          <w:rFonts w:asciiTheme="minorHAnsi" w:hAnsiTheme="minorHAnsi" w:cstheme="minorHAnsi"/>
          <w:sz w:val="24"/>
          <w:szCs w:val="24"/>
        </w:rPr>
      </w:pPr>
      <w:r w:rsidRPr="00071A32">
        <w:rPr>
          <w:rFonts w:asciiTheme="minorHAnsi" w:hAnsiTheme="minorHAnsi" w:cstheme="minorHAnsi"/>
          <w:sz w:val="24"/>
          <w:szCs w:val="24"/>
        </w:rPr>
        <w:t>Glasby, J. (2012). ‘</w:t>
      </w:r>
      <w:r w:rsidRPr="00071A32">
        <w:rPr>
          <w:rFonts w:asciiTheme="minorHAnsi" w:hAnsiTheme="minorHAnsi" w:cstheme="minorHAnsi"/>
          <w:i/>
          <w:iCs/>
          <w:sz w:val="24"/>
          <w:szCs w:val="24"/>
        </w:rPr>
        <w:t>Understanding health and social care’</w:t>
      </w:r>
      <w:r w:rsidRPr="00071A32">
        <w:rPr>
          <w:rFonts w:asciiTheme="minorHAnsi" w:hAnsiTheme="minorHAnsi" w:cstheme="minorHAnsi"/>
          <w:sz w:val="24"/>
          <w:szCs w:val="24"/>
        </w:rPr>
        <w:t xml:space="preserve">. Policy Press. Available at: </w:t>
      </w:r>
      <w:hyperlink r:id="rId12" w:history="1">
        <w:r w:rsidRPr="00071A32">
          <w:rPr>
            <w:rStyle w:val="Hyperlink"/>
            <w:rFonts w:asciiTheme="minorHAnsi" w:hAnsiTheme="minorHAnsi" w:cstheme="minorHAnsi"/>
            <w:sz w:val="24"/>
            <w:szCs w:val="24"/>
          </w:rPr>
          <w:t>https://books.google.com/books?hl=en&amp;lr=&amp;id=3QZsIy5xXqYC&amp;oi=fnd&amp;pg=PR1&amp;dq=UNDERSTANDING%09HEALTH%09AND%09SOCIAL+CARE+Jon%09Glasby+Second%09Edition&amp;ots=iRPi4CQgTg&amp;sig=az_ju870dOGLygPywv_nXsNqIZc</w:t>
        </w:r>
      </w:hyperlink>
      <w:r w:rsidRPr="00071A32">
        <w:rPr>
          <w:rFonts w:asciiTheme="minorHAnsi" w:hAnsiTheme="minorHAnsi" w:cstheme="minorHAnsi"/>
          <w:sz w:val="24"/>
          <w:szCs w:val="24"/>
        </w:rPr>
        <w:t xml:space="preserve">  </w:t>
      </w:r>
    </w:p>
    <w:p w14:paraId="74EBBABF"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gmmh.nhs.uk, (2026). ‘</w:t>
      </w:r>
      <w:r w:rsidRPr="00071A32">
        <w:rPr>
          <w:rFonts w:asciiTheme="minorHAnsi" w:hAnsiTheme="minorHAnsi" w:cstheme="minorHAnsi"/>
          <w:i/>
          <w:iCs/>
          <w:sz w:val="24"/>
          <w:szCs w:val="24"/>
        </w:rPr>
        <w:t>Community Mental Health Services in Manchester’.</w:t>
      </w:r>
      <w:r w:rsidRPr="00071A32">
        <w:rPr>
          <w:rFonts w:asciiTheme="minorHAnsi" w:hAnsiTheme="minorHAnsi" w:cstheme="minorHAnsi"/>
          <w:sz w:val="24"/>
          <w:szCs w:val="24"/>
        </w:rPr>
        <w:t xml:space="preserve"> Available at: </w:t>
      </w:r>
      <w:hyperlink r:id="rId13" w:history="1">
        <w:r w:rsidRPr="00071A32">
          <w:rPr>
            <w:rStyle w:val="Hyperlink"/>
            <w:rFonts w:asciiTheme="minorHAnsi" w:hAnsiTheme="minorHAnsi" w:cstheme="minorHAnsi"/>
            <w:sz w:val="24"/>
            <w:szCs w:val="24"/>
          </w:rPr>
          <w:t>https://www.gmmh.nhs.uk/manchester-cmhts/</w:t>
        </w:r>
      </w:hyperlink>
      <w:r w:rsidRPr="00071A32">
        <w:rPr>
          <w:rFonts w:asciiTheme="minorHAnsi" w:hAnsiTheme="minorHAnsi" w:cstheme="minorHAnsi"/>
          <w:sz w:val="24"/>
          <w:szCs w:val="24"/>
        </w:rPr>
        <w:t xml:space="preserve"> (Accessed: 5 October 2026).</w:t>
      </w:r>
    </w:p>
    <w:p w14:paraId="126817F7"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legislation.gov.uk, (2026). ‘</w:t>
      </w:r>
      <w:r w:rsidRPr="00071A32">
        <w:rPr>
          <w:rFonts w:asciiTheme="minorHAnsi" w:hAnsiTheme="minorHAnsi" w:cstheme="minorHAnsi"/>
          <w:i/>
          <w:iCs/>
          <w:sz w:val="24"/>
          <w:szCs w:val="24"/>
        </w:rPr>
        <w:t>Care Act 2014’.</w:t>
      </w:r>
      <w:r w:rsidRPr="00071A32">
        <w:rPr>
          <w:rFonts w:asciiTheme="minorHAnsi" w:hAnsiTheme="minorHAnsi" w:cstheme="minorHAnsi"/>
          <w:sz w:val="24"/>
          <w:szCs w:val="24"/>
        </w:rPr>
        <w:t xml:space="preserve"> Available at: </w:t>
      </w:r>
      <w:hyperlink r:id="rId14" w:history="1">
        <w:r w:rsidRPr="00071A32">
          <w:rPr>
            <w:rStyle w:val="Hyperlink"/>
            <w:rFonts w:asciiTheme="minorHAnsi" w:hAnsiTheme="minorHAnsi" w:cstheme="minorHAnsi"/>
            <w:sz w:val="24"/>
            <w:szCs w:val="24"/>
          </w:rPr>
          <w:t>https://www.legislation.gov.uk/ukpga/2014/23/section/1</w:t>
        </w:r>
      </w:hyperlink>
      <w:r w:rsidRPr="00071A32">
        <w:rPr>
          <w:rFonts w:asciiTheme="minorHAnsi" w:hAnsiTheme="minorHAnsi" w:cstheme="minorHAnsi"/>
          <w:sz w:val="24"/>
          <w:szCs w:val="24"/>
        </w:rPr>
        <w:t xml:space="preserve"> (Accessed: 5 October 2026).</w:t>
      </w:r>
    </w:p>
    <w:p w14:paraId="3E6C2BD5"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 xml:space="preserve">Sambrook, L., McIntyre, J.C., Nathan, R., </w:t>
      </w:r>
      <w:proofErr w:type="spellStart"/>
      <w:r w:rsidRPr="00071A32">
        <w:rPr>
          <w:rFonts w:asciiTheme="minorHAnsi" w:hAnsiTheme="minorHAnsi" w:cstheme="minorHAnsi"/>
          <w:sz w:val="24"/>
          <w:szCs w:val="24"/>
        </w:rPr>
        <w:t>Bifarin</w:t>
      </w:r>
      <w:proofErr w:type="spellEnd"/>
      <w:r w:rsidRPr="00071A32">
        <w:rPr>
          <w:rFonts w:asciiTheme="minorHAnsi" w:hAnsiTheme="minorHAnsi" w:cstheme="minorHAnsi"/>
          <w:sz w:val="24"/>
          <w:szCs w:val="24"/>
        </w:rPr>
        <w:t xml:space="preserve">, O., Wilson, P., Humphreys, M., Tait, J., Ashley‐Mudie, P. and Saini, P., (2026). ‘“Set up to Fail”: Staff Experiences of Caring for Long‐Stay Patients in Acute Mental Health Wards in England’. </w:t>
      </w:r>
      <w:r w:rsidRPr="00071A32">
        <w:rPr>
          <w:rFonts w:asciiTheme="minorHAnsi" w:hAnsiTheme="minorHAnsi" w:cstheme="minorHAnsi"/>
          <w:i/>
          <w:iCs/>
          <w:sz w:val="24"/>
          <w:szCs w:val="24"/>
        </w:rPr>
        <w:t>International Journal of Mental Health Nursing</w:t>
      </w:r>
      <w:r w:rsidRPr="00071A32">
        <w:rPr>
          <w:rFonts w:asciiTheme="minorHAnsi" w:hAnsiTheme="minorHAnsi" w:cstheme="minorHAnsi"/>
          <w:sz w:val="24"/>
          <w:szCs w:val="24"/>
        </w:rPr>
        <w:t xml:space="preserve">, </w:t>
      </w:r>
      <w:r w:rsidRPr="00071A32">
        <w:rPr>
          <w:rFonts w:asciiTheme="minorHAnsi" w:hAnsiTheme="minorHAnsi" w:cstheme="minorHAnsi"/>
          <w:i/>
          <w:iCs/>
          <w:sz w:val="24"/>
          <w:szCs w:val="24"/>
        </w:rPr>
        <w:t>35</w:t>
      </w:r>
      <w:r w:rsidRPr="00071A32">
        <w:rPr>
          <w:rFonts w:asciiTheme="minorHAnsi" w:hAnsiTheme="minorHAnsi" w:cstheme="minorHAnsi"/>
          <w:sz w:val="24"/>
          <w:szCs w:val="24"/>
        </w:rPr>
        <w:t xml:space="preserve">(3), p.e70271. Available at: </w:t>
      </w:r>
      <w:hyperlink r:id="rId15" w:history="1">
        <w:r w:rsidRPr="00071A32">
          <w:rPr>
            <w:rStyle w:val="Hyperlink"/>
            <w:rFonts w:asciiTheme="minorHAnsi" w:hAnsiTheme="minorHAnsi" w:cstheme="minorHAnsi"/>
            <w:sz w:val="24"/>
            <w:szCs w:val="24"/>
          </w:rPr>
          <w:t>https://onlinelibrary.wiley.com/doi/abs/10.1111/inm.70271</w:t>
        </w:r>
      </w:hyperlink>
    </w:p>
    <w:p w14:paraId="56DA60B2"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 xml:space="preserve">Shah, J.L., Jones, N., van </w:t>
      </w:r>
      <w:proofErr w:type="spellStart"/>
      <w:r w:rsidRPr="00071A32">
        <w:rPr>
          <w:rFonts w:asciiTheme="minorHAnsi" w:hAnsiTheme="minorHAnsi" w:cstheme="minorHAnsi"/>
          <w:sz w:val="24"/>
          <w:szCs w:val="24"/>
        </w:rPr>
        <w:t>Os</w:t>
      </w:r>
      <w:proofErr w:type="spellEnd"/>
      <w:r w:rsidRPr="00071A32">
        <w:rPr>
          <w:rFonts w:asciiTheme="minorHAnsi" w:hAnsiTheme="minorHAnsi" w:cstheme="minorHAnsi"/>
          <w:sz w:val="24"/>
          <w:szCs w:val="24"/>
        </w:rPr>
        <w:t xml:space="preserve">, J., McGorry, P.D. and </w:t>
      </w:r>
      <w:proofErr w:type="spellStart"/>
      <w:r w:rsidRPr="00071A32">
        <w:rPr>
          <w:rFonts w:asciiTheme="minorHAnsi" w:hAnsiTheme="minorHAnsi" w:cstheme="minorHAnsi"/>
          <w:sz w:val="24"/>
          <w:szCs w:val="24"/>
        </w:rPr>
        <w:t>Gülöksüz</w:t>
      </w:r>
      <w:proofErr w:type="spellEnd"/>
      <w:r w:rsidRPr="00071A32">
        <w:rPr>
          <w:rFonts w:asciiTheme="minorHAnsi" w:hAnsiTheme="minorHAnsi" w:cstheme="minorHAnsi"/>
          <w:sz w:val="24"/>
          <w:szCs w:val="24"/>
        </w:rPr>
        <w:t xml:space="preserve">, S., (2022). ‘Early intervention service systems for youth mental health: integrating </w:t>
      </w:r>
      <w:proofErr w:type="spellStart"/>
      <w:r w:rsidRPr="00071A32">
        <w:rPr>
          <w:rFonts w:asciiTheme="minorHAnsi" w:hAnsiTheme="minorHAnsi" w:cstheme="minorHAnsi"/>
          <w:sz w:val="24"/>
          <w:szCs w:val="24"/>
        </w:rPr>
        <w:t>pluripotentiality</w:t>
      </w:r>
      <w:proofErr w:type="spellEnd"/>
      <w:r w:rsidRPr="00071A32">
        <w:rPr>
          <w:rFonts w:asciiTheme="minorHAnsi" w:hAnsiTheme="minorHAnsi" w:cstheme="minorHAnsi"/>
          <w:sz w:val="24"/>
          <w:szCs w:val="24"/>
        </w:rPr>
        <w:t xml:space="preserve">, clinical staging, and </w:t>
      </w:r>
      <w:r w:rsidRPr="00071A32">
        <w:rPr>
          <w:rFonts w:asciiTheme="minorHAnsi" w:hAnsiTheme="minorHAnsi" w:cstheme="minorHAnsi"/>
          <w:sz w:val="24"/>
          <w:szCs w:val="24"/>
        </w:rPr>
        <w:lastRenderedPageBreak/>
        <w:t xml:space="preserve">transdiagnostic lessons from early psychosis’. </w:t>
      </w:r>
      <w:r w:rsidRPr="00071A32">
        <w:rPr>
          <w:rFonts w:asciiTheme="minorHAnsi" w:hAnsiTheme="minorHAnsi" w:cstheme="minorHAnsi"/>
          <w:i/>
          <w:iCs/>
          <w:sz w:val="24"/>
          <w:szCs w:val="24"/>
        </w:rPr>
        <w:t>The Lancet Psychiatry</w:t>
      </w:r>
      <w:r w:rsidRPr="00071A32">
        <w:rPr>
          <w:rFonts w:asciiTheme="minorHAnsi" w:hAnsiTheme="minorHAnsi" w:cstheme="minorHAnsi"/>
          <w:sz w:val="24"/>
          <w:szCs w:val="24"/>
        </w:rPr>
        <w:t xml:space="preserve">, </w:t>
      </w:r>
      <w:r w:rsidRPr="00071A32">
        <w:rPr>
          <w:rFonts w:asciiTheme="minorHAnsi" w:hAnsiTheme="minorHAnsi" w:cstheme="minorHAnsi"/>
          <w:i/>
          <w:iCs/>
          <w:sz w:val="24"/>
          <w:szCs w:val="24"/>
        </w:rPr>
        <w:t>9</w:t>
      </w:r>
      <w:r w:rsidRPr="00071A32">
        <w:rPr>
          <w:rFonts w:asciiTheme="minorHAnsi" w:hAnsiTheme="minorHAnsi" w:cstheme="minorHAnsi"/>
          <w:sz w:val="24"/>
          <w:szCs w:val="24"/>
        </w:rPr>
        <w:t xml:space="preserve">(5), pp.413-422. Available at: </w:t>
      </w:r>
      <w:hyperlink r:id="rId16" w:history="1">
        <w:r w:rsidRPr="00071A32">
          <w:rPr>
            <w:rStyle w:val="Hyperlink"/>
            <w:rFonts w:asciiTheme="minorHAnsi" w:hAnsiTheme="minorHAnsi" w:cstheme="minorHAnsi"/>
            <w:sz w:val="24"/>
            <w:szCs w:val="24"/>
          </w:rPr>
          <w:t>https://www.thelancet.com/journals/lanpsy/article/PIIS2215-0366(21)00467-3/abstract</w:t>
        </w:r>
      </w:hyperlink>
    </w:p>
    <w:p w14:paraId="12BC7019"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Starns, B., (2025). ‘</w:t>
      </w:r>
      <w:r w:rsidRPr="00071A32">
        <w:rPr>
          <w:rFonts w:asciiTheme="minorHAnsi" w:hAnsiTheme="minorHAnsi" w:cstheme="minorHAnsi"/>
          <w:i/>
          <w:iCs/>
          <w:sz w:val="24"/>
          <w:szCs w:val="24"/>
        </w:rPr>
        <w:t>Safeguarding Adults Together under the Care Act 2014: A multi-agency practice guide’</w:t>
      </w:r>
      <w:r w:rsidRPr="00071A32">
        <w:rPr>
          <w:rFonts w:asciiTheme="minorHAnsi" w:hAnsiTheme="minorHAnsi" w:cstheme="minorHAnsi"/>
          <w:sz w:val="24"/>
          <w:szCs w:val="24"/>
        </w:rPr>
        <w:t xml:space="preserve">. Taylor &amp; Francis. </w:t>
      </w:r>
      <w:hyperlink r:id="rId17" w:history="1">
        <w:r w:rsidRPr="00071A32">
          <w:rPr>
            <w:rFonts w:asciiTheme="minorHAnsi" w:hAnsiTheme="minorHAnsi" w:cstheme="minorHAnsi"/>
            <w:sz w:val="24"/>
            <w:szCs w:val="24"/>
          </w:rPr>
          <w:t xml:space="preserve">Available at: </w:t>
        </w:r>
        <w:r w:rsidRPr="00071A32">
          <w:rPr>
            <w:rStyle w:val="Hyperlink"/>
            <w:rFonts w:asciiTheme="minorHAnsi" w:hAnsiTheme="minorHAnsi" w:cstheme="minorHAnsi"/>
            <w:sz w:val="24"/>
            <w:szCs w:val="24"/>
          </w:rPr>
          <w:t>https://books.google.com/books?hl=en&amp;lr=&amp;id=HUZLEQAAQBAJ&amp;oi=fnd&amp;pg=PA2004&amp;dq=+Care+Act+2014+states,+whereby+the+local+authorities+are+supposed+to+ensure+that+they+take+measures+to+prevent+or+postpone+the+acquisition+of+care+and+support+needs&amp;ots=DK3tsmwIPT&amp;sig=wMD1SGkk_uLG5JYVfq3LGjFYSb0</w:t>
        </w:r>
      </w:hyperlink>
    </w:p>
    <w:p w14:paraId="622523FB"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b/>
          <w:bCs/>
          <w:sz w:val="24"/>
          <w:szCs w:val="24"/>
        </w:rPr>
        <w:t>Task 2</w:t>
      </w:r>
    </w:p>
    <w:p w14:paraId="45E2372A"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 xml:space="preserve">Benson, G.G., (2022). ‘Early pharmaceutical organisations in Manchester, 1826 to 1868’. Pharmaceutical Historian, 52(4), pp.108-114.  Available at: </w:t>
      </w:r>
      <w:hyperlink r:id="rId18" w:history="1">
        <w:r w:rsidRPr="00071A32">
          <w:rPr>
            <w:rStyle w:val="Hyperlink"/>
            <w:rFonts w:asciiTheme="minorHAnsi" w:hAnsiTheme="minorHAnsi" w:cstheme="minorHAnsi"/>
            <w:sz w:val="24"/>
            <w:szCs w:val="24"/>
          </w:rPr>
          <w:t>https://pharmrxiv.de/servlets/MCRFileNodeServlet/pharmrxiv_derivate_00021846/52_4_s2.pdf</w:t>
        </w:r>
      </w:hyperlink>
      <w:r w:rsidRPr="00071A32">
        <w:rPr>
          <w:rFonts w:asciiTheme="minorHAnsi" w:hAnsiTheme="minorHAnsi" w:cstheme="minorHAnsi"/>
          <w:sz w:val="24"/>
          <w:szCs w:val="24"/>
        </w:rPr>
        <w:t xml:space="preserve"> </w:t>
      </w:r>
    </w:p>
    <w:p w14:paraId="126B1E14"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BSHP, (2026). ‘</w:t>
      </w:r>
      <w:r w:rsidRPr="00071A32">
        <w:rPr>
          <w:rFonts w:asciiTheme="minorHAnsi" w:hAnsiTheme="minorHAnsi" w:cstheme="minorHAnsi"/>
          <w:i/>
          <w:iCs/>
          <w:sz w:val="24"/>
          <w:szCs w:val="24"/>
        </w:rPr>
        <w:t>History of Pharmacy in Great Britain 1841-Present’</w:t>
      </w:r>
      <w:r w:rsidRPr="00071A32">
        <w:rPr>
          <w:rFonts w:asciiTheme="minorHAnsi" w:hAnsiTheme="minorHAnsi" w:cstheme="minorHAnsi"/>
          <w:sz w:val="24"/>
          <w:szCs w:val="24"/>
        </w:rPr>
        <w:t xml:space="preserve">. Available at: </w:t>
      </w:r>
      <w:hyperlink r:id="rId19" w:history="1">
        <w:r w:rsidRPr="00071A32">
          <w:rPr>
            <w:rStyle w:val="Hyperlink"/>
            <w:rFonts w:asciiTheme="minorHAnsi" w:hAnsiTheme="minorHAnsi" w:cstheme="minorHAnsi"/>
            <w:sz w:val="24"/>
            <w:szCs w:val="24"/>
          </w:rPr>
          <w:t>https://www.bshp.org/history-of-pharmacy</w:t>
        </w:r>
      </w:hyperlink>
      <w:r w:rsidRPr="00071A32">
        <w:rPr>
          <w:rFonts w:asciiTheme="minorHAnsi" w:hAnsiTheme="minorHAnsi" w:cstheme="minorHAnsi"/>
          <w:sz w:val="24"/>
          <w:szCs w:val="24"/>
        </w:rPr>
        <w:t xml:space="preserve">  (Accessed: 5 October 2026).</w:t>
      </w:r>
    </w:p>
    <w:p w14:paraId="326D943F"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commonslibrary.parliament.uk, (2026).</w:t>
      </w:r>
      <w:r w:rsidRPr="00071A32">
        <w:rPr>
          <w:rFonts w:asciiTheme="minorHAnsi" w:hAnsiTheme="minorHAnsi" w:cstheme="minorHAnsi"/>
          <w:i/>
          <w:iCs/>
          <w:sz w:val="24"/>
          <w:szCs w:val="24"/>
        </w:rPr>
        <w:t xml:space="preserve"> ‘Community pharmacy in England’.</w:t>
      </w:r>
      <w:r w:rsidRPr="00071A32">
        <w:rPr>
          <w:rFonts w:asciiTheme="minorHAnsi" w:hAnsiTheme="minorHAnsi" w:cstheme="minorHAnsi"/>
          <w:sz w:val="24"/>
          <w:szCs w:val="24"/>
        </w:rPr>
        <w:t xml:space="preserve"> Available at: </w:t>
      </w:r>
      <w:hyperlink r:id="rId20" w:history="1">
        <w:r w:rsidRPr="00071A32">
          <w:rPr>
            <w:rStyle w:val="Hyperlink"/>
            <w:rFonts w:asciiTheme="minorHAnsi" w:hAnsiTheme="minorHAnsi" w:cstheme="minorHAnsi"/>
            <w:sz w:val="24"/>
            <w:szCs w:val="24"/>
          </w:rPr>
          <w:t>https://commonslibrary.parliament.uk/research-briefings/cbp-9854/</w:t>
        </w:r>
      </w:hyperlink>
      <w:r w:rsidRPr="00071A32">
        <w:rPr>
          <w:rFonts w:asciiTheme="minorHAnsi" w:hAnsiTheme="minorHAnsi" w:cstheme="minorHAnsi"/>
          <w:sz w:val="24"/>
          <w:szCs w:val="24"/>
        </w:rPr>
        <w:t xml:space="preserve"> (Accessed: 5 October 2026).</w:t>
      </w:r>
    </w:p>
    <w:p w14:paraId="30DD0A75"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 xml:space="preserve">DiPietro Mager, N. and Bright, D., (2023). ‘Advancing public health through community pharmacy practice’. </w:t>
      </w:r>
      <w:r w:rsidRPr="00071A32">
        <w:rPr>
          <w:rFonts w:asciiTheme="minorHAnsi" w:hAnsiTheme="minorHAnsi" w:cstheme="minorHAnsi"/>
          <w:i/>
          <w:iCs/>
          <w:sz w:val="24"/>
          <w:szCs w:val="24"/>
        </w:rPr>
        <w:t>Pharmacy</w:t>
      </w:r>
      <w:r w:rsidRPr="00071A32">
        <w:rPr>
          <w:rFonts w:asciiTheme="minorHAnsi" w:hAnsiTheme="minorHAnsi" w:cstheme="minorHAnsi"/>
          <w:sz w:val="24"/>
          <w:szCs w:val="24"/>
        </w:rPr>
        <w:t xml:space="preserve">, </w:t>
      </w:r>
      <w:r w:rsidRPr="00071A32">
        <w:rPr>
          <w:rFonts w:asciiTheme="minorHAnsi" w:hAnsiTheme="minorHAnsi" w:cstheme="minorHAnsi"/>
          <w:i/>
          <w:iCs/>
          <w:sz w:val="24"/>
          <w:szCs w:val="24"/>
        </w:rPr>
        <w:t>11</w:t>
      </w:r>
      <w:r w:rsidRPr="00071A32">
        <w:rPr>
          <w:rFonts w:asciiTheme="minorHAnsi" w:hAnsiTheme="minorHAnsi" w:cstheme="minorHAnsi"/>
          <w:sz w:val="24"/>
          <w:szCs w:val="24"/>
        </w:rPr>
        <w:t xml:space="preserve">(2), p.56. Available at: </w:t>
      </w:r>
      <w:hyperlink r:id="rId21" w:history="1">
        <w:r w:rsidRPr="00071A32">
          <w:rPr>
            <w:rStyle w:val="Hyperlink"/>
            <w:rFonts w:asciiTheme="minorHAnsi" w:hAnsiTheme="minorHAnsi" w:cstheme="minorHAnsi"/>
            <w:sz w:val="24"/>
            <w:szCs w:val="24"/>
          </w:rPr>
          <w:t>https://www.mdpi.com/2226-4787/11/2/56</w:t>
        </w:r>
      </w:hyperlink>
    </w:p>
    <w:p w14:paraId="2AE6EE9E"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england.nhs.uk, (2026). ‘</w:t>
      </w:r>
      <w:r w:rsidRPr="00071A32">
        <w:rPr>
          <w:rFonts w:asciiTheme="minorHAnsi" w:hAnsiTheme="minorHAnsi" w:cstheme="minorHAnsi"/>
          <w:i/>
          <w:iCs/>
          <w:sz w:val="24"/>
          <w:szCs w:val="24"/>
        </w:rPr>
        <w:t>Launch of NHS Pharmacy First advanced service’.</w:t>
      </w:r>
      <w:r w:rsidRPr="00071A32">
        <w:rPr>
          <w:rFonts w:asciiTheme="minorHAnsi" w:hAnsiTheme="minorHAnsi" w:cstheme="minorHAnsi"/>
          <w:sz w:val="24"/>
          <w:szCs w:val="24"/>
        </w:rPr>
        <w:t xml:space="preserve"> Available at: </w:t>
      </w:r>
      <w:hyperlink r:id="rId22" w:history="1">
        <w:r w:rsidRPr="00071A32">
          <w:rPr>
            <w:rStyle w:val="Hyperlink"/>
            <w:rFonts w:asciiTheme="minorHAnsi" w:hAnsiTheme="minorHAnsi" w:cstheme="minorHAnsi"/>
            <w:sz w:val="24"/>
            <w:szCs w:val="24"/>
          </w:rPr>
          <w:t>https://www.england.nhs.uk/long-read/launch-of-nhs-pharmacy-first-advanced-service/</w:t>
        </w:r>
      </w:hyperlink>
      <w:r w:rsidRPr="00071A32">
        <w:rPr>
          <w:rFonts w:asciiTheme="minorHAnsi" w:hAnsiTheme="minorHAnsi" w:cstheme="minorHAnsi"/>
          <w:sz w:val="24"/>
          <w:szCs w:val="24"/>
        </w:rPr>
        <w:t xml:space="preserve"> (Accessed: 5 October 2026).</w:t>
      </w:r>
    </w:p>
    <w:p w14:paraId="785CDB24"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lastRenderedPageBreak/>
        <w:t xml:space="preserve">Fitzpatrick, M.T. and Borthwick, A.M., (2022). ‘A decade of independent prescribing in the UK: a review of progress’. </w:t>
      </w:r>
      <w:r w:rsidRPr="00071A32">
        <w:rPr>
          <w:rFonts w:asciiTheme="minorHAnsi" w:hAnsiTheme="minorHAnsi" w:cstheme="minorHAnsi"/>
          <w:i/>
          <w:iCs/>
          <w:sz w:val="24"/>
          <w:szCs w:val="24"/>
        </w:rPr>
        <w:t>Journal of Foot and Ankle Research</w:t>
      </w:r>
      <w:r w:rsidRPr="00071A32">
        <w:rPr>
          <w:rFonts w:asciiTheme="minorHAnsi" w:hAnsiTheme="minorHAnsi" w:cstheme="minorHAnsi"/>
          <w:sz w:val="24"/>
          <w:szCs w:val="24"/>
        </w:rPr>
        <w:t xml:space="preserve">, </w:t>
      </w:r>
      <w:r w:rsidRPr="00071A32">
        <w:rPr>
          <w:rFonts w:asciiTheme="minorHAnsi" w:hAnsiTheme="minorHAnsi" w:cstheme="minorHAnsi"/>
          <w:i/>
          <w:iCs/>
          <w:sz w:val="24"/>
          <w:szCs w:val="24"/>
        </w:rPr>
        <w:t>15</w:t>
      </w:r>
      <w:r w:rsidRPr="00071A32">
        <w:rPr>
          <w:rFonts w:asciiTheme="minorHAnsi" w:hAnsiTheme="minorHAnsi" w:cstheme="minorHAnsi"/>
          <w:sz w:val="24"/>
          <w:szCs w:val="24"/>
        </w:rPr>
        <w:t xml:space="preserve">(1), p.35. Available at: </w:t>
      </w:r>
      <w:hyperlink r:id="rId23" w:history="1">
        <w:r w:rsidRPr="00071A32">
          <w:rPr>
            <w:rStyle w:val="Hyperlink"/>
            <w:rFonts w:asciiTheme="minorHAnsi" w:hAnsiTheme="minorHAnsi" w:cstheme="minorHAnsi"/>
            <w:sz w:val="24"/>
            <w:szCs w:val="24"/>
          </w:rPr>
          <w:t>https://onlinelibrary.wiley.com/doi/abs/10.1186/s13047-022-00541-8</w:t>
        </w:r>
      </w:hyperlink>
      <w:r w:rsidRPr="00071A32">
        <w:rPr>
          <w:rFonts w:asciiTheme="minorHAnsi" w:hAnsiTheme="minorHAnsi" w:cstheme="minorHAnsi"/>
          <w:sz w:val="24"/>
          <w:szCs w:val="24"/>
        </w:rPr>
        <w:t xml:space="preserve"> </w:t>
      </w:r>
    </w:p>
    <w:p w14:paraId="1D4FF9AD"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gov.uk, (2026). ‘</w:t>
      </w:r>
      <w:r w:rsidRPr="00071A32">
        <w:rPr>
          <w:rFonts w:asciiTheme="minorHAnsi" w:hAnsiTheme="minorHAnsi" w:cstheme="minorHAnsi"/>
          <w:i/>
          <w:iCs/>
          <w:sz w:val="24"/>
          <w:szCs w:val="24"/>
        </w:rPr>
        <w:t>£340 million pharmacy boost brings faster care to the high street’.</w:t>
      </w:r>
      <w:r w:rsidRPr="00071A32">
        <w:rPr>
          <w:rFonts w:asciiTheme="minorHAnsi" w:hAnsiTheme="minorHAnsi" w:cstheme="minorHAnsi"/>
          <w:sz w:val="24"/>
          <w:szCs w:val="24"/>
        </w:rPr>
        <w:t xml:space="preserve"> Available at: </w:t>
      </w:r>
      <w:hyperlink r:id="rId24" w:history="1">
        <w:r w:rsidRPr="00071A32">
          <w:rPr>
            <w:rStyle w:val="Hyperlink"/>
            <w:rFonts w:asciiTheme="minorHAnsi" w:hAnsiTheme="minorHAnsi" w:cstheme="minorHAnsi"/>
            <w:sz w:val="24"/>
            <w:szCs w:val="24"/>
          </w:rPr>
          <w:t>https://www.gov.uk/government/news/340m-pharmacy-boost-brings-faster-care-to-your-high-street</w:t>
        </w:r>
      </w:hyperlink>
      <w:r w:rsidRPr="00071A32">
        <w:rPr>
          <w:rFonts w:asciiTheme="minorHAnsi" w:hAnsiTheme="minorHAnsi" w:cstheme="minorHAnsi"/>
          <w:sz w:val="24"/>
          <w:szCs w:val="24"/>
        </w:rPr>
        <w:t xml:space="preserve"> (Accessed: 5 October 2026).</w:t>
      </w:r>
    </w:p>
    <w:p w14:paraId="202A3698"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 xml:space="preserve">Kuo, T., Barragan, N.C. and Chen, S., (2024). ‘Leveraging Community Pharmacies to Address Social Needs: A Promising Practice to Improve Healthcare Quality’. </w:t>
      </w:r>
      <w:r w:rsidRPr="00071A32">
        <w:rPr>
          <w:rFonts w:asciiTheme="minorHAnsi" w:hAnsiTheme="minorHAnsi" w:cstheme="minorHAnsi"/>
          <w:i/>
          <w:iCs/>
          <w:sz w:val="24"/>
          <w:szCs w:val="24"/>
        </w:rPr>
        <w:t>Pharmacy</w:t>
      </w:r>
      <w:r w:rsidRPr="00071A32">
        <w:rPr>
          <w:rFonts w:asciiTheme="minorHAnsi" w:hAnsiTheme="minorHAnsi" w:cstheme="minorHAnsi"/>
          <w:sz w:val="24"/>
          <w:szCs w:val="24"/>
        </w:rPr>
        <w:t xml:space="preserve">, </w:t>
      </w:r>
      <w:r w:rsidRPr="00071A32">
        <w:rPr>
          <w:rFonts w:asciiTheme="minorHAnsi" w:hAnsiTheme="minorHAnsi" w:cstheme="minorHAnsi"/>
          <w:i/>
          <w:iCs/>
          <w:sz w:val="24"/>
          <w:szCs w:val="24"/>
        </w:rPr>
        <w:t>12</w:t>
      </w:r>
      <w:r w:rsidRPr="00071A32">
        <w:rPr>
          <w:rFonts w:asciiTheme="minorHAnsi" w:hAnsiTheme="minorHAnsi" w:cstheme="minorHAnsi"/>
          <w:sz w:val="24"/>
          <w:szCs w:val="24"/>
        </w:rPr>
        <w:t xml:space="preserve">(5), p.139. Available at: </w:t>
      </w:r>
      <w:hyperlink r:id="rId25" w:history="1">
        <w:r w:rsidRPr="00071A32">
          <w:rPr>
            <w:rStyle w:val="Hyperlink"/>
            <w:rFonts w:asciiTheme="minorHAnsi" w:hAnsiTheme="minorHAnsi" w:cstheme="minorHAnsi"/>
            <w:sz w:val="24"/>
            <w:szCs w:val="24"/>
          </w:rPr>
          <w:t>https://www.mdpi.com/2226-4787/12/5/139</w:t>
        </w:r>
      </w:hyperlink>
      <w:r w:rsidRPr="00071A32">
        <w:rPr>
          <w:rFonts w:asciiTheme="minorHAnsi" w:hAnsiTheme="minorHAnsi" w:cstheme="minorHAnsi"/>
          <w:sz w:val="24"/>
          <w:szCs w:val="24"/>
        </w:rPr>
        <w:t xml:space="preserve"> </w:t>
      </w:r>
    </w:p>
    <w:p w14:paraId="0E7D2968" w14:textId="77777777" w:rsidR="008F3C1F" w:rsidRPr="00071A32" w:rsidRDefault="008F3C1F" w:rsidP="008F3C1F">
      <w:pPr>
        <w:spacing w:before="240" w:line="360" w:lineRule="auto"/>
        <w:jc w:val="both"/>
        <w:rPr>
          <w:rFonts w:asciiTheme="minorHAnsi" w:hAnsiTheme="minorHAnsi" w:cstheme="minorHAnsi"/>
          <w:sz w:val="24"/>
          <w:szCs w:val="24"/>
        </w:rPr>
      </w:pPr>
      <w:r w:rsidRPr="00071A32">
        <w:rPr>
          <w:rFonts w:asciiTheme="minorHAnsi" w:hAnsiTheme="minorHAnsi" w:cstheme="minorHAnsi"/>
          <w:sz w:val="24"/>
          <w:szCs w:val="24"/>
        </w:rPr>
        <w:t xml:space="preserve">Paniga, M. (2026). ‘The Public’s Health and Parliament: The Creation of the National Health Service in Great Britain (1945–1948)’. </w:t>
      </w:r>
      <w:r w:rsidRPr="00071A32">
        <w:rPr>
          <w:rFonts w:asciiTheme="minorHAnsi" w:hAnsiTheme="minorHAnsi" w:cstheme="minorHAnsi"/>
          <w:i/>
          <w:iCs/>
          <w:sz w:val="24"/>
          <w:szCs w:val="24"/>
        </w:rPr>
        <w:t>European Journal for the History of Medicine and Health</w:t>
      </w:r>
      <w:r w:rsidRPr="00071A32">
        <w:rPr>
          <w:rFonts w:asciiTheme="minorHAnsi" w:hAnsiTheme="minorHAnsi" w:cstheme="minorHAnsi"/>
          <w:sz w:val="24"/>
          <w:szCs w:val="24"/>
        </w:rPr>
        <w:t xml:space="preserve">, </w:t>
      </w:r>
      <w:r w:rsidRPr="00071A32">
        <w:rPr>
          <w:rFonts w:asciiTheme="minorHAnsi" w:hAnsiTheme="minorHAnsi" w:cstheme="minorHAnsi"/>
          <w:i/>
          <w:iCs/>
          <w:sz w:val="24"/>
          <w:szCs w:val="24"/>
        </w:rPr>
        <w:t>1</w:t>
      </w:r>
      <w:r w:rsidRPr="00071A32">
        <w:rPr>
          <w:rFonts w:asciiTheme="minorHAnsi" w:hAnsiTheme="minorHAnsi" w:cstheme="minorHAnsi"/>
          <w:sz w:val="24"/>
          <w:szCs w:val="24"/>
        </w:rPr>
        <w:t>(</w:t>
      </w:r>
      <w:proofErr w:type="spellStart"/>
      <w:r w:rsidRPr="00071A32">
        <w:rPr>
          <w:rFonts w:asciiTheme="minorHAnsi" w:hAnsiTheme="minorHAnsi" w:cstheme="minorHAnsi"/>
          <w:sz w:val="24"/>
          <w:szCs w:val="24"/>
        </w:rPr>
        <w:t>aop</w:t>
      </w:r>
      <w:proofErr w:type="spellEnd"/>
      <w:r w:rsidRPr="00071A32">
        <w:rPr>
          <w:rFonts w:asciiTheme="minorHAnsi" w:hAnsiTheme="minorHAnsi" w:cstheme="minorHAnsi"/>
          <w:sz w:val="24"/>
          <w:szCs w:val="24"/>
        </w:rPr>
        <w:t xml:space="preserve">), 1-31. Available at: </w:t>
      </w:r>
      <w:hyperlink r:id="rId26" w:history="1">
        <w:r w:rsidRPr="00071A32">
          <w:rPr>
            <w:rStyle w:val="Hyperlink"/>
            <w:rFonts w:asciiTheme="minorHAnsi" w:hAnsiTheme="minorHAnsi" w:cstheme="minorHAnsi"/>
            <w:sz w:val="24"/>
            <w:szCs w:val="24"/>
          </w:rPr>
          <w:t>https://brill.com/view/journals/ehmh/aop/article-10.1163-26667711-20262009/article-10.1163-26667711-20262009.xml</w:t>
        </w:r>
      </w:hyperlink>
      <w:r w:rsidRPr="00071A32">
        <w:rPr>
          <w:rFonts w:asciiTheme="minorHAnsi" w:hAnsiTheme="minorHAnsi" w:cstheme="minorHAnsi"/>
          <w:sz w:val="24"/>
          <w:szCs w:val="24"/>
        </w:rPr>
        <w:t xml:space="preserve"> </w:t>
      </w:r>
    </w:p>
    <w:p w14:paraId="316EB029" w14:textId="77777777" w:rsidR="004552CE" w:rsidRPr="00071A32" w:rsidRDefault="004552CE" w:rsidP="005E44B5">
      <w:pPr>
        <w:rPr>
          <w:rFonts w:asciiTheme="minorHAnsi" w:hAnsiTheme="minorHAnsi" w:cstheme="minorHAnsi"/>
          <w:color w:val="FF0000"/>
          <w:sz w:val="24"/>
          <w:szCs w:val="24"/>
        </w:rPr>
      </w:pPr>
    </w:p>
    <w:sectPr w:rsidR="004552CE" w:rsidRPr="00071A32" w:rsidSect="008F097B">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18C193" w14:textId="77777777" w:rsidR="00946AAD" w:rsidRDefault="00946AAD" w:rsidP="003C7C97">
      <w:pPr>
        <w:spacing w:after="0" w:line="240" w:lineRule="auto"/>
      </w:pPr>
      <w:r>
        <w:separator/>
      </w:r>
    </w:p>
  </w:endnote>
  <w:endnote w:type="continuationSeparator" w:id="0">
    <w:p w14:paraId="08B91461" w14:textId="77777777" w:rsidR="00946AAD" w:rsidRDefault="00946AAD"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5722096"/>
      <w:docPartObj>
        <w:docPartGallery w:val="Page Numbers (Bottom of Page)"/>
        <w:docPartUnique/>
      </w:docPartObj>
    </w:sdtPr>
    <w:sdtEndPr>
      <w:rPr>
        <w:noProof/>
      </w:rPr>
    </w:sdtEndPr>
    <w:sdtContent>
      <w:p w14:paraId="1742DA83" w14:textId="77777777" w:rsidR="00E23F08" w:rsidRDefault="00E23F08">
        <w:pPr>
          <w:pStyle w:val="Footer"/>
          <w:jc w:val="right"/>
        </w:pPr>
        <w:r>
          <w:fldChar w:fldCharType="begin"/>
        </w:r>
        <w:r>
          <w:instrText xml:space="preserve"> PAGE   \* MERGEFORMAT </w:instrText>
        </w:r>
        <w:r>
          <w:fldChar w:fldCharType="separate"/>
        </w:r>
        <w:r w:rsidR="00F9009C">
          <w:rPr>
            <w:noProof/>
          </w:rPr>
          <w:t>1</w:t>
        </w:r>
        <w:r>
          <w:rPr>
            <w:noProof/>
          </w:rPr>
          <w:fldChar w:fldCharType="end"/>
        </w:r>
      </w:p>
    </w:sdtContent>
  </w:sdt>
  <w:p w14:paraId="7AC58710" w14:textId="77777777" w:rsidR="00E23F08" w:rsidRDefault="00E23F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2B8A86" w14:textId="77777777" w:rsidR="00946AAD" w:rsidRDefault="00946AAD" w:rsidP="003C7C97">
      <w:pPr>
        <w:spacing w:after="0" w:line="240" w:lineRule="auto"/>
      </w:pPr>
      <w:r>
        <w:separator/>
      </w:r>
    </w:p>
  </w:footnote>
  <w:footnote w:type="continuationSeparator" w:id="0">
    <w:p w14:paraId="1F009E88" w14:textId="77777777" w:rsidR="00946AAD" w:rsidRDefault="00946AAD"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5418489">
    <w:abstractNumId w:val="5"/>
  </w:num>
  <w:num w:numId="2" w16cid:durableId="453254842">
    <w:abstractNumId w:val="1"/>
  </w:num>
  <w:num w:numId="3" w16cid:durableId="2061250135">
    <w:abstractNumId w:val="8"/>
  </w:num>
  <w:num w:numId="4" w16cid:durableId="1537886536">
    <w:abstractNumId w:val="18"/>
  </w:num>
  <w:num w:numId="5" w16cid:durableId="68043690">
    <w:abstractNumId w:val="15"/>
  </w:num>
  <w:num w:numId="6" w16cid:durableId="69351328">
    <w:abstractNumId w:val="16"/>
  </w:num>
  <w:num w:numId="7" w16cid:durableId="273482284">
    <w:abstractNumId w:val="19"/>
  </w:num>
  <w:num w:numId="8" w16cid:durableId="1742172989">
    <w:abstractNumId w:val="12"/>
  </w:num>
  <w:num w:numId="9" w16cid:durableId="1114516937">
    <w:abstractNumId w:val="3"/>
  </w:num>
  <w:num w:numId="10" w16cid:durableId="198207143">
    <w:abstractNumId w:val="10"/>
  </w:num>
  <w:num w:numId="11" w16cid:durableId="105580918">
    <w:abstractNumId w:val="11"/>
  </w:num>
  <w:num w:numId="12" w16cid:durableId="1698852615">
    <w:abstractNumId w:val="9"/>
  </w:num>
  <w:num w:numId="13" w16cid:durableId="2100517251">
    <w:abstractNumId w:val="14"/>
  </w:num>
  <w:num w:numId="14" w16cid:durableId="863060301">
    <w:abstractNumId w:val="7"/>
  </w:num>
  <w:num w:numId="15" w16cid:durableId="945387373">
    <w:abstractNumId w:val="2"/>
  </w:num>
  <w:num w:numId="16" w16cid:durableId="1637370295">
    <w:abstractNumId w:val="4"/>
  </w:num>
  <w:num w:numId="17" w16cid:durableId="459230831">
    <w:abstractNumId w:val="20"/>
  </w:num>
  <w:num w:numId="18" w16cid:durableId="724062672">
    <w:abstractNumId w:val="17"/>
  </w:num>
  <w:num w:numId="19" w16cid:durableId="1949268806">
    <w:abstractNumId w:val="6"/>
  </w:num>
  <w:num w:numId="20" w16cid:durableId="958727222">
    <w:abstractNumId w:val="13"/>
  </w:num>
  <w:num w:numId="21" w16cid:durableId="830411562">
    <w:abstractNumId w:val="21"/>
  </w:num>
  <w:num w:numId="22" w16cid:durableId="10328042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438A1"/>
    <w:rsid w:val="0005676E"/>
    <w:rsid w:val="00070818"/>
    <w:rsid w:val="00071A32"/>
    <w:rsid w:val="0008238F"/>
    <w:rsid w:val="00082EC6"/>
    <w:rsid w:val="00085388"/>
    <w:rsid w:val="000C2F8A"/>
    <w:rsid w:val="000D41DC"/>
    <w:rsid w:val="000E684B"/>
    <w:rsid w:val="00125D37"/>
    <w:rsid w:val="00127C1A"/>
    <w:rsid w:val="00140A13"/>
    <w:rsid w:val="00150D81"/>
    <w:rsid w:val="00165977"/>
    <w:rsid w:val="00166CEB"/>
    <w:rsid w:val="001730B8"/>
    <w:rsid w:val="00183CB9"/>
    <w:rsid w:val="00184A9A"/>
    <w:rsid w:val="001947DF"/>
    <w:rsid w:val="001B22BB"/>
    <w:rsid w:val="001B278E"/>
    <w:rsid w:val="001B619C"/>
    <w:rsid w:val="001D1D3C"/>
    <w:rsid w:val="001E693B"/>
    <w:rsid w:val="001F4854"/>
    <w:rsid w:val="00203364"/>
    <w:rsid w:val="002205D4"/>
    <w:rsid w:val="00222C3A"/>
    <w:rsid w:val="00226D31"/>
    <w:rsid w:val="00236401"/>
    <w:rsid w:val="002370CE"/>
    <w:rsid w:val="00242974"/>
    <w:rsid w:val="00250C71"/>
    <w:rsid w:val="002554B6"/>
    <w:rsid w:val="002565CF"/>
    <w:rsid w:val="00260D29"/>
    <w:rsid w:val="00280962"/>
    <w:rsid w:val="002976D4"/>
    <w:rsid w:val="002A5577"/>
    <w:rsid w:val="002A5F12"/>
    <w:rsid w:val="002B4AA4"/>
    <w:rsid w:val="002E71BA"/>
    <w:rsid w:val="002F1C01"/>
    <w:rsid w:val="002F5066"/>
    <w:rsid w:val="003003FD"/>
    <w:rsid w:val="00310245"/>
    <w:rsid w:val="00316C95"/>
    <w:rsid w:val="00331E0E"/>
    <w:rsid w:val="003458DB"/>
    <w:rsid w:val="003523D3"/>
    <w:rsid w:val="00362E8A"/>
    <w:rsid w:val="00364C35"/>
    <w:rsid w:val="003701A5"/>
    <w:rsid w:val="0038300C"/>
    <w:rsid w:val="003843DE"/>
    <w:rsid w:val="00396F60"/>
    <w:rsid w:val="003A51D6"/>
    <w:rsid w:val="003B125E"/>
    <w:rsid w:val="003B2A5E"/>
    <w:rsid w:val="003B3D3B"/>
    <w:rsid w:val="003C7C97"/>
    <w:rsid w:val="003D4FC6"/>
    <w:rsid w:val="003F1CFC"/>
    <w:rsid w:val="00406B8D"/>
    <w:rsid w:val="00410068"/>
    <w:rsid w:val="00412D3A"/>
    <w:rsid w:val="00413225"/>
    <w:rsid w:val="0041618E"/>
    <w:rsid w:val="004218E9"/>
    <w:rsid w:val="0042295C"/>
    <w:rsid w:val="00426EEC"/>
    <w:rsid w:val="00427ACC"/>
    <w:rsid w:val="004466C3"/>
    <w:rsid w:val="004552CE"/>
    <w:rsid w:val="00456508"/>
    <w:rsid w:val="00481FF7"/>
    <w:rsid w:val="00487FC9"/>
    <w:rsid w:val="00490E67"/>
    <w:rsid w:val="004A22FC"/>
    <w:rsid w:val="004A78DE"/>
    <w:rsid w:val="004B6B8F"/>
    <w:rsid w:val="004D1EE6"/>
    <w:rsid w:val="00500295"/>
    <w:rsid w:val="00501AAF"/>
    <w:rsid w:val="005079ED"/>
    <w:rsid w:val="00512E45"/>
    <w:rsid w:val="00525A9A"/>
    <w:rsid w:val="00527AFA"/>
    <w:rsid w:val="005419DA"/>
    <w:rsid w:val="00557630"/>
    <w:rsid w:val="005678AC"/>
    <w:rsid w:val="005709B1"/>
    <w:rsid w:val="00572B3B"/>
    <w:rsid w:val="005836D2"/>
    <w:rsid w:val="00583D9A"/>
    <w:rsid w:val="00587C58"/>
    <w:rsid w:val="005A7FD4"/>
    <w:rsid w:val="005B035E"/>
    <w:rsid w:val="005B1A84"/>
    <w:rsid w:val="005B5C2E"/>
    <w:rsid w:val="005D1AF9"/>
    <w:rsid w:val="005D5457"/>
    <w:rsid w:val="005E2699"/>
    <w:rsid w:val="005E44B5"/>
    <w:rsid w:val="005F0427"/>
    <w:rsid w:val="00612DEA"/>
    <w:rsid w:val="00614572"/>
    <w:rsid w:val="00620BBA"/>
    <w:rsid w:val="006232DF"/>
    <w:rsid w:val="00631F2E"/>
    <w:rsid w:val="00634D18"/>
    <w:rsid w:val="00642E79"/>
    <w:rsid w:val="006457C0"/>
    <w:rsid w:val="00647041"/>
    <w:rsid w:val="00652BB7"/>
    <w:rsid w:val="00661758"/>
    <w:rsid w:val="00674C59"/>
    <w:rsid w:val="0067612C"/>
    <w:rsid w:val="00676FEB"/>
    <w:rsid w:val="00683A43"/>
    <w:rsid w:val="006912C4"/>
    <w:rsid w:val="006A5CFC"/>
    <w:rsid w:val="006A670F"/>
    <w:rsid w:val="006A6A4B"/>
    <w:rsid w:val="006A72D8"/>
    <w:rsid w:val="006C5138"/>
    <w:rsid w:val="006C689B"/>
    <w:rsid w:val="006E005C"/>
    <w:rsid w:val="006E6EE5"/>
    <w:rsid w:val="006F0029"/>
    <w:rsid w:val="007138EF"/>
    <w:rsid w:val="007632A9"/>
    <w:rsid w:val="00774092"/>
    <w:rsid w:val="00782830"/>
    <w:rsid w:val="0078352D"/>
    <w:rsid w:val="0078664A"/>
    <w:rsid w:val="00792CD2"/>
    <w:rsid w:val="007A7EF7"/>
    <w:rsid w:val="007B0F6D"/>
    <w:rsid w:val="007B2036"/>
    <w:rsid w:val="007C62C3"/>
    <w:rsid w:val="007D25AA"/>
    <w:rsid w:val="007E0354"/>
    <w:rsid w:val="007F0873"/>
    <w:rsid w:val="00804924"/>
    <w:rsid w:val="00805726"/>
    <w:rsid w:val="00815117"/>
    <w:rsid w:val="0084351E"/>
    <w:rsid w:val="008520F8"/>
    <w:rsid w:val="00855F34"/>
    <w:rsid w:val="00872076"/>
    <w:rsid w:val="008826B6"/>
    <w:rsid w:val="008A42D2"/>
    <w:rsid w:val="008B0B22"/>
    <w:rsid w:val="008C51AE"/>
    <w:rsid w:val="008C58B0"/>
    <w:rsid w:val="008C591B"/>
    <w:rsid w:val="008C6182"/>
    <w:rsid w:val="008E1C20"/>
    <w:rsid w:val="008F097B"/>
    <w:rsid w:val="008F3C1F"/>
    <w:rsid w:val="00926458"/>
    <w:rsid w:val="00933720"/>
    <w:rsid w:val="00940B1B"/>
    <w:rsid w:val="00946AAD"/>
    <w:rsid w:val="009770DB"/>
    <w:rsid w:val="009A4591"/>
    <w:rsid w:val="009C7E52"/>
    <w:rsid w:val="009E4934"/>
    <w:rsid w:val="009E51F3"/>
    <w:rsid w:val="009F40A7"/>
    <w:rsid w:val="009F5CE6"/>
    <w:rsid w:val="00A035CD"/>
    <w:rsid w:val="00A04749"/>
    <w:rsid w:val="00A32CFB"/>
    <w:rsid w:val="00A34B2E"/>
    <w:rsid w:val="00A50E80"/>
    <w:rsid w:val="00A513B0"/>
    <w:rsid w:val="00A53321"/>
    <w:rsid w:val="00A63F7F"/>
    <w:rsid w:val="00A667CE"/>
    <w:rsid w:val="00A75042"/>
    <w:rsid w:val="00A774BC"/>
    <w:rsid w:val="00A77632"/>
    <w:rsid w:val="00A8073D"/>
    <w:rsid w:val="00A82678"/>
    <w:rsid w:val="00A946CB"/>
    <w:rsid w:val="00AA77C8"/>
    <w:rsid w:val="00AB7572"/>
    <w:rsid w:val="00AC7BE2"/>
    <w:rsid w:val="00AE35BF"/>
    <w:rsid w:val="00B1067E"/>
    <w:rsid w:val="00B334B6"/>
    <w:rsid w:val="00B51F6C"/>
    <w:rsid w:val="00B73B30"/>
    <w:rsid w:val="00B81790"/>
    <w:rsid w:val="00B81BBC"/>
    <w:rsid w:val="00BD03D5"/>
    <w:rsid w:val="00BE613E"/>
    <w:rsid w:val="00BF34E1"/>
    <w:rsid w:val="00C10753"/>
    <w:rsid w:val="00C274CC"/>
    <w:rsid w:val="00C318A3"/>
    <w:rsid w:val="00C3215E"/>
    <w:rsid w:val="00C45272"/>
    <w:rsid w:val="00C47770"/>
    <w:rsid w:val="00C54CF0"/>
    <w:rsid w:val="00C661AF"/>
    <w:rsid w:val="00C75856"/>
    <w:rsid w:val="00C76567"/>
    <w:rsid w:val="00C85A7C"/>
    <w:rsid w:val="00C95214"/>
    <w:rsid w:val="00CC3F59"/>
    <w:rsid w:val="00CD0388"/>
    <w:rsid w:val="00CD1495"/>
    <w:rsid w:val="00CD4774"/>
    <w:rsid w:val="00D04AD0"/>
    <w:rsid w:val="00D10AAF"/>
    <w:rsid w:val="00D27540"/>
    <w:rsid w:val="00D4006B"/>
    <w:rsid w:val="00D40D7A"/>
    <w:rsid w:val="00D64A0D"/>
    <w:rsid w:val="00D750B4"/>
    <w:rsid w:val="00D81C18"/>
    <w:rsid w:val="00D8461A"/>
    <w:rsid w:val="00D95CAF"/>
    <w:rsid w:val="00DA2592"/>
    <w:rsid w:val="00DA2B32"/>
    <w:rsid w:val="00DB12FA"/>
    <w:rsid w:val="00DB5A03"/>
    <w:rsid w:val="00DB60B6"/>
    <w:rsid w:val="00DC1CC6"/>
    <w:rsid w:val="00DE3459"/>
    <w:rsid w:val="00E067A8"/>
    <w:rsid w:val="00E13924"/>
    <w:rsid w:val="00E15FD5"/>
    <w:rsid w:val="00E1725A"/>
    <w:rsid w:val="00E23F08"/>
    <w:rsid w:val="00E33758"/>
    <w:rsid w:val="00E47AE5"/>
    <w:rsid w:val="00E53E5E"/>
    <w:rsid w:val="00E64325"/>
    <w:rsid w:val="00E673C5"/>
    <w:rsid w:val="00E67967"/>
    <w:rsid w:val="00E7200F"/>
    <w:rsid w:val="00E82723"/>
    <w:rsid w:val="00E86974"/>
    <w:rsid w:val="00EA29A5"/>
    <w:rsid w:val="00EA7819"/>
    <w:rsid w:val="00EC107C"/>
    <w:rsid w:val="00EC119A"/>
    <w:rsid w:val="00EC60EF"/>
    <w:rsid w:val="00EC7EBE"/>
    <w:rsid w:val="00EC7FD2"/>
    <w:rsid w:val="00ED5964"/>
    <w:rsid w:val="00F1259C"/>
    <w:rsid w:val="00F15412"/>
    <w:rsid w:val="00F1720B"/>
    <w:rsid w:val="00F36ADC"/>
    <w:rsid w:val="00F514B7"/>
    <w:rsid w:val="00F605C6"/>
    <w:rsid w:val="00F6785B"/>
    <w:rsid w:val="00F719E4"/>
    <w:rsid w:val="00F848A9"/>
    <w:rsid w:val="00F85673"/>
    <w:rsid w:val="00F9009C"/>
    <w:rsid w:val="00F915D6"/>
    <w:rsid w:val="00F924AD"/>
    <w:rsid w:val="00F95AF3"/>
    <w:rsid w:val="00FD3CE8"/>
    <w:rsid w:val="00FF2B0A"/>
    <w:rsid w:val="00FF5D0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FAC6C0"/>
  <w15:docId w15:val="{B5A2E0EC-585D-4F5D-A281-05CA8006A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BalloonText">
    <w:name w:val="Balloon Text"/>
    <w:basedOn w:val="Normal"/>
    <w:link w:val="BalloonTextChar"/>
    <w:uiPriority w:val="99"/>
    <w:semiHidden/>
    <w:unhideWhenUsed/>
    <w:rsid w:val="00F125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259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574048289">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mmh.nhs.uk/manchester-cmhts/" TargetMode="External"/><Relationship Id="rId18" Type="http://schemas.openxmlformats.org/officeDocument/2006/relationships/hyperlink" Target="https://pharmrxiv.de/servlets/MCRFileNodeServlet/pharmrxiv_derivate_00021846/52_4_s2.pdf" TargetMode="External"/><Relationship Id="rId26" Type="http://schemas.openxmlformats.org/officeDocument/2006/relationships/hyperlink" Target="https://brill.com/view/journals/ehmh/aop/article-10.1163-26667711-20262009/article-10.1163-26667711-20262009.xml" TargetMode="External"/><Relationship Id="rId3" Type="http://schemas.openxmlformats.org/officeDocument/2006/relationships/styles" Target="styles.xml"/><Relationship Id="rId21" Type="http://schemas.openxmlformats.org/officeDocument/2006/relationships/hyperlink" Target="https://www.mdpi.com/2226-4787/11/2/56" TargetMode="External"/><Relationship Id="rId7" Type="http://schemas.openxmlformats.org/officeDocument/2006/relationships/endnotes" Target="endnotes.xml"/><Relationship Id="rId12" Type="http://schemas.openxmlformats.org/officeDocument/2006/relationships/hyperlink" Target="https://books.google.com/books?hl=en&amp;lr=&amp;id=3QZsIy5xXqYC&amp;oi=fnd&amp;pg=PR1&amp;dq=UNDERSTANDING%09HEALTH%09AND%09SOCIAL+CARE+Jon%09Glasby+Second%09Edition&amp;ots=iRPi4CQgTg&amp;sig=az_ju870dOGLygPywv_nXsNqIZc" TargetMode="External"/><Relationship Id="rId17" Type="http://schemas.openxmlformats.org/officeDocument/2006/relationships/hyperlink" Target="https://books.google.com/books?hl=en&amp;lr=&amp;id=HUZLEQAAQBAJ&amp;oi=fnd&amp;pg=PA2004&amp;dq=+Care+Act+2014+states,+whereby+the+local+authorities+are+supposed+to+ensure+that+they+take+measures+to+prevent+or+postpone+the+acquisition+of+care+and+support+needs&amp;ots=DK3tsmwIPT&amp;sig=wMD1SGkk_uLG5JYVfq3LGjFYSb0" TargetMode="External"/><Relationship Id="rId25" Type="http://schemas.openxmlformats.org/officeDocument/2006/relationships/hyperlink" Target="https://www.mdpi.com/2226-4787/12/5/139" TargetMode="External"/><Relationship Id="rId2" Type="http://schemas.openxmlformats.org/officeDocument/2006/relationships/numbering" Target="numbering.xml"/><Relationship Id="rId16" Type="http://schemas.openxmlformats.org/officeDocument/2006/relationships/hyperlink" Target="https://www.thelancet.com/journals/lanpsy/article/PIIS2215-0366(21)00467-3/abstract" TargetMode="External"/><Relationship Id="rId20" Type="http://schemas.openxmlformats.org/officeDocument/2006/relationships/hyperlink" Target="https://commonslibrary.parliament.uk/research-briefings/cbp-9854/"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186/s12913-023-09198-w" TargetMode="External"/><Relationship Id="rId24" Type="http://schemas.openxmlformats.org/officeDocument/2006/relationships/hyperlink" Target="https://www.gov.uk/government/news/340m-pharmacy-boost-brings-faster-care-to-your-high-street" TargetMode="External"/><Relationship Id="rId5" Type="http://schemas.openxmlformats.org/officeDocument/2006/relationships/webSettings" Target="webSettings.xml"/><Relationship Id="rId15" Type="http://schemas.openxmlformats.org/officeDocument/2006/relationships/hyperlink" Target="https://onlinelibrary.wiley.com/doi/abs/10.1111/inm.70271" TargetMode="External"/><Relationship Id="rId23" Type="http://schemas.openxmlformats.org/officeDocument/2006/relationships/hyperlink" Target="https://onlinelibrary.wiley.com/doi/abs/10.1186/s13047-022-00541-8" TargetMode="External"/><Relationship Id="rId28" Type="http://schemas.openxmlformats.org/officeDocument/2006/relationships/fontTable" Target="fontTable.xml"/><Relationship Id="rId10" Type="http://schemas.openxmlformats.org/officeDocument/2006/relationships/hyperlink" Target="https://pmc.ncbi.nlm.nih.gov/articles/PMC8751555/" TargetMode="External"/><Relationship Id="rId19" Type="http://schemas.openxmlformats.org/officeDocument/2006/relationships/hyperlink" Target="https://www.bshp.org/history-of-pharmacy" TargetMode="External"/><Relationship Id="rId4" Type="http://schemas.openxmlformats.org/officeDocument/2006/relationships/settings" Target="settings.xml"/><Relationship Id="rId9" Type="http://schemas.openxmlformats.org/officeDocument/2006/relationships/hyperlink" Target="https://www.emerald.com/jica/article/30/2/146/216431" TargetMode="External"/><Relationship Id="rId14" Type="http://schemas.openxmlformats.org/officeDocument/2006/relationships/hyperlink" Target="https://www.legislation.gov.uk/ukpga/2014/23/section/1" TargetMode="External"/><Relationship Id="rId22" Type="http://schemas.openxmlformats.org/officeDocument/2006/relationships/hyperlink" Target="https://www.england.nhs.uk/long-read/launch-of-nhs-pharmacy-first-advanced-service/"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DE4610-7CAD-45D5-B6DD-38846FBECE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11</Pages>
  <Words>2701</Words>
  <Characters>15400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Florence</dc:creator>
  <cp:keywords/>
  <dc:description/>
  <cp:lastModifiedBy>Florence Amma Bangnira (2537504)</cp:lastModifiedBy>
  <cp:revision>2</cp:revision>
  <dcterms:created xsi:type="dcterms:W3CDTF">2026-10-18T15:15:00Z</dcterms:created>
  <dcterms:modified xsi:type="dcterms:W3CDTF">2026-10-18T15:15:00Z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