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689D4" w14:textId="77777777"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BD3C94E" wp14:editId="56DE7CF7">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52124CC7" w14:textId="77777777" w:rsidR="00F735D4" w:rsidRPr="00A406E5"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A406E5" w14:paraId="74AB3C7F" w14:textId="77777777" w:rsidTr="009760B4">
        <w:tc>
          <w:tcPr>
            <w:tcW w:w="9922" w:type="dxa"/>
            <w:shd w:val="clear" w:color="auto" w:fill="C0C0C0"/>
          </w:tcPr>
          <w:p w14:paraId="23184211" w14:textId="77777777" w:rsidR="00F735D4" w:rsidRPr="00A406E5" w:rsidRDefault="00F735D4" w:rsidP="009760B4">
            <w:pPr>
              <w:pStyle w:val="Heading4"/>
              <w:rPr>
                <w:rFonts w:ascii="Arial" w:hAnsi="Arial" w:cs="Arial"/>
                <w:b/>
                <w:bCs/>
              </w:rPr>
            </w:pPr>
            <w:r w:rsidRPr="6D4D0207">
              <w:rPr>
                <w:rFonts w:ascii="Arial" w:hAnsi="Arial" w:cs="Arial"/>
                <w:b/>
                <w:bCs/>
              </w:rPr>
              <w:t xml:space="preserve">LEVEL 6 ASSESSMENT SPECIFICATION </w:t>
            </w:r>
          </w:p>
        </w:tc>
      </w:tr>
    </w:tbl>
    <w:p w14:paraId="683CC86C" w14:textId="77777777" w:rsidR="00F735D4" w:rsidRPr="00A406E5" w:rsidRDefault="00F735D4" w:rsidP="00F735D4">
      <w:pPr>
        <w:jc w:val="center"/>
        <w:rPr>
          <w:rFonts w:ascii="Arial" w:hAnsi="Arial" w:cs="Arial"/>
          <w:b/>
          <w:i/>
          <w:sz w:val="32"/>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6"/>
        <w:gridCol w:w="3293"/>
        <w:gridCol w:w="2268"/>
        <w:gridCol w:w="2155"/>
      </w:tblGrid>
      <w:tr w:rsidR="00F735D4" w:rsidRPr="00A406E5" w14:paraId="58C7B35B" w14:textId="77777777" w:rsidTr="00237A59">
        <w:tc>
          <w:tcPr>
            <w:tcW w:w="2916" w:type="dxa"/>
            <w:shd w:val="clear" w:color="auto" w:fill="auto"/>
          </w:tcPr>
          <w:p w14:paraId="7EE1D3D6"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3888BB91" w14:textId="77777777" w:rsidR="00F735D4" w:rsidRPr="00A406E5" w:rsidRDefault="009760B4" w:rsidP="009760B4">
            <w:pPr>
              <w:spacing w:before="120" w:after="120"/>
              <w:jc w:val="both"/>
              <w:rPr>
                <w:rFonts w:ascii="Arial" w:hAnsi="Arial" w:cs="Arial"/>
                <w:b/>
                <w:sz w:val="22"/>
                <w:szCs w:val="22"/>
              </w:rPr>
            </w:pPr>
            <w:r>
              <w:rPr>
                <w:rFonts w:ascii="Arial" w:hAnsi="Arial" w:cs="Arial"/>
                <w:b/>
                <w:sz w:val="22"/>
                <w:szCs w:val="22"/>
              </w:rPr>
              <w:t>Alan Limb</w:t>
            </w:r>
          </w:p>
        </w:tc>
        <w:tc>
          <w:tcPr>
            <w:tcW w:w="2268" w:type="dxa"/>
            <w:shd w:val="clear" w:color="auto" w:fill="D9D9D9" w:themeFill="background1" w:themeFillShade="D9"/>
          </w:tcPr>
          <w:p w14:paraId="70908935"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155" w:type="dxa"/>
          </w:tcPr>
          <w:p w14:paraId="73ECA6CB" w14:textId="77777777" w:rsidR="00F735D4" w:rsidRPr="00A406E5" w:rsidRDefault="009760B4" w:rsidP="009760B4">
            <w:pPr>
              <w:spacing w:before="120" w:after="120"/>
              <w:jc w:val="both"/>
              <w:rPr>
                <w:rFonts w:ascii="Arial" w:hAnsi="Arial" w:cs="Arial"/>
                <w:b/>
                <w:sz w:val="22"/>
                <w:szCs w:val="22"/>
              </w:rPr>
            </w:pPr>
            <w:r>
              <w:rPr>
                <w:rFonts w:ascii="Arial" w:hAnsi="Arial" w:cs="Arial"/>
                <w:b/>
                <w:sz w:val="22"/>
                <w:szCs w:val="22"/>
              </w:rPr>
              <w:t>1803459</w:t>
            </w:r>
          </w:p>
        </w:tc>
      </w:tr>
      <w:tr w:rsidR="00F735D4" w:rsidRPr="00A406E5" w14:paraId="0EAD8D66" w14:textId="77777777" w:rsidTr="00237A59">
        <w:tc>
          <w:tcPr>
            <w:tcW w:w="2916" w:type="dxa"/>
            <w:shd w:val="clear" w:color="auto" w:fill="auto"/>
          </w:tcPr>
          <w:p w14:paraId="00387C69"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716" w:type="dxa"/>
            <w:gridSpan w:val="3"/>
          </w:tcPr>
          <w:p w14:paraId="12096D2A"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Secondary PGCE</w:t>
            </w:r>
          </w:p>
        </w:tc>
      </w:tr>
      <w:tr w:rsidR="00F735D4" w:rsidRPr="00A406E5" w14:paraId="702AA6D7" w14:textId="77777777" w:rsidTr="00237A59">
        <w:tc>
          <w:tcPr>
            <w:tcW w:w="2916" w:type="dxa"/>
            <w:shd w:val="clear" w:color="auto" w:fill="auto"/>
          </w:tcPr>
          <w:p w14:paraId="3316392F"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Module:</w:t>
            </w:r>
          </w:p>
        </w:tc>
        <w:tc>
          <w:tcPr>
            <w:tcW w:w="7716" w:type="dxa"/>
            <w:gridSpan w:val="3"/>
            <w:shd w:val="clear" w:color="auto" w:fill="auto"/>
          </w:tcPr>
          <w:p w14:paraId="769C95C5"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14:paraId="31E9987E" w14:textId="77777777" w:rsidTr="00237A59">
        <w:tc>
          <w:tcPr>
            <w:tcW w:w="2916" w:type="dxa"/>
            <w:shd w:val="clear" w:color="auto" w:fill="auto"/>
          </w:tcPr>
          <w:p w14:paraId="2F4F851C"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18B25885"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0CFA9586" w14:textId="77777777" w:rsidR="00F735D4" w:rsidRPr="004D5E9B" w:rsidRDefault="00F735D4" w:rsidP="009760B4">
            <w:pPr>
              <w:pStyle w:val="Heading2"/>
              <w:rPr>
                <w:rFonts w:ascii="Arial" w:hAnsi="Arial" w:cs="Arial"/>
                <w:sz w:val="22"/>
                <w:szCs w:val="22"/>
              </w:rPr>
            </w:pPr>
            <w:r w:rsidRPr="6D4D0207">
              <w:rPr>
                <w:rFonts w:ascii="Arial" w:hAnsi="Arial" w:cs="Arial"/>
                <w:sz w:val="22"/>
                <w:szCs w:val="22"/>
              </w:rPr>
              <w:t>Contribution to Overall Module Assessment (%):</w:t>
            </w:r>
          </w:p>
        </w:tc>
        <w:tc>
          <w:tcPr>
            <w:tcW w:w="2155" w:type="dxa"/>
          </w:tcPr>
          <w:p w14:paraId="0446F9CB"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50%</w:t>
            </w:r>
          </w:p>
        </w:tc>
      </w:tr>
      <w:tr w:rsidR="00F735D4" w:rsidRPr="00A406E5" w14:paraId="71F6EF70" w14:textId="77777777" w:rsidTr="00237A59">
        <w:tc>
          <w:tcPr>
            <w:tcW w:w="2916" w:type="dxa"/>
            <w:shd w:val="clear" w:color="auto" w:fill="auto"/>
          </w:tcPr>
          <w:p w14:paraId="698BF901"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39DC9665"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5E828445"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155" w:type="dxa"/>
          </w:tcPr>
          <w:p w14:paraId="50193444" w14:textId="77777777" w:rsidR="00F735D4" w:rsidRPr="00A406E5" w:rsidRDefault="00F735D4" w:rsidP="009760B4">
            <w:pPr>
              <w:spacing w:before="120" w:after="120"/>
              <w:jc w:val="both"/>
              <w:rPr>
                <w:rFonts w:ascii="Arial" w:hAnsi="Arial" w:cs="Arial"/>
                <w:b/>
                <w:sz w:val="22"/>
                <w:szCs w:val="22"/>
              </w:rPr>
            </w:pPr>
          </w:p>
        </w:tc>
      </w:tr>
      <w:tr w:rsidR="00F735D4" w:rsidRPr="00A406E5" w14:paraId="4FBFC831" w14:textId="77777777" w:rsidTr="00237A59">
        <w:tc>
          <w:tcPr>
            <w:tcW w:w="2916" w:type="dxa"/>
            <w:shd w:val="clear" w:color="auto" w:fill="auto"/>
          </w:tcPr>
          <w:p w14:paraId="294C9A9E"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7AD46DD8"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4286FE7D"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155" w:type="dxa"/>
          </w:tcPr>
          <w:p w14:paraId="4FDDE789" w14:textId="77777777" w:rsidR="00F735D4"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14:paraId="0F0862B7" w14:textId="77777777" w:rsidR="00F735D4" w:rsidRPr="006E02E8"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F735D4" w:rsidRPr="00A406E5" w14:paraId="53D6B10B" w14:textId="77777777" w:rsidTr="00237A59">
        <w:tc>
          <w:tcPr>
            <w:tcW w:w="2916" w:type="dxa"/>
            <w:shd w:val="clear" w:color="auto" w:fill="auto"/>
          </w:tcPr>
          <w:p w14:paraId="0B6FE51B"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5EB50676"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61C5CBE9"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155" w:type="dxa"/>
          </w:tcPr>
          <w:p w14:paraId="7C2C8AD3" w14:textId="77777777" w:rsidR="00F735D4" w:rsidRPr="00A406E5" w:rsidRDefault="00F735D4" w:rsidP="009760B4">
            <w:pPr>
              <w:spacing w:before="120" w:after="120"/>
              <w:jc w:val="both"/>
              <w:rPr>
                <w:rFonts w:ascii="Arial" w:hAnsi="Arial" w:cs="Arial"/>
                <w:b/>
                <w:sz w:val="22"/>
                <w:szCs w:val="22"/>
              </w:rPr>
            </w:pPr>
            <w:r>
              <w:rPr>
                <w:rFonts w:ascii="Arial" w:hAnsi="Arial" w:cs="Arial"/>
                <w:b/>
                <w:sz w:val="22"/>
                <w:szCs w:val="22"/>
              </w:rPr>
              <w:t>17 December 2018</w:t>
            </w:r>
          </w:p>
        </w:tc>
      </w:tr>
      <w:tr w:rsidR="00F735D4" w:rsidRPr="00A406E5" w14:paraId="10EDE226" w14:textId="77777777" w:rsidTr="00237A59">
        <w:tc>
          <w:tcPr>
            <w:tcW w:w="2916" w:type="dxa"/>
            <w:shd w:val="clear" w:color="auto" w:fill="auto"/>
          </w:tcPr>
          <w:p w14:paraId="6E52DE84"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716" w:type="dxa"/>
            <w:gridSpan w:val="3"/>
            <w:shd w:val="clear" w:color="auto" w:fill="auto"/>
          </w:tcPr>
          <w:p w14:paraId="7C2F60E4" w14:textId="77777777" w:rsidR="00F735D4" w:rsidRPr="00A406E5" w:rsidRDefault="00F735D4" w:rsidP="009760B4">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A4FD3E"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14941B74" w14:textId="77777777" w:rsidR="00F735D4" w:rsidRPr="00A406E5" w:rsidRDefault="00F735D4" w:rsidP="009760B4">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F735D4" w:rsidRPr="00A406E5" w14:paraId="6ED1CBFE" w14:textId="77777777" w:rsidTr="00237A59">
        <w:tc>
          <w:tcPr>
            <w:tcW w:w="2916" w:type="dxa"/>
            <w:shd w:val="clear" w:color="auto" w:fill="auto"/>
          </w:tcPr>
          <w:p w14:paraId="11097757" w14:textId="77777777" w:rsidR="00F735D4" w:rsidRPr="00A406E5" w:rsidRDefault="00F735D4" w:rsidP="009760B4">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716" w:type="dxa"/>
            <w:gridSpan w:val="3"/>
            <w:shd w:val="clear" w:color="auto" w:fill="auto"/>
          </w:tcPr>
          <w:p w14:paraId="33340C8A" w14:textId="77777777" w:rsidR="00F735D4" w:rsidRPr="00A406E5" w:rsidRDefault="00F735D4" w:rsidP="009760B4">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18BC284" w14:textId="77777777" w:rsidR="00F735D4" w:rsidRPr="00A406E5" w:rsidRDefault="00F735D4" w:rsidP="00F735D4">
      <w:pPr>
        <w:rPr>
          <w:rFonts w:ascii="Arial" w:hAnsi="Arial" w:cs="Arial"/>
          <w:sz w:val="32"/>
        </w:rPr>
      </w:pPr>
    </w:p>
    <w:p w14:paraId="69B20383" w14:textId="77777777" w:rsidR="00F735D4" w:rsidRPr="00A406E5" w:rsidRDefault="00F735D4" w:rsidP="00F735D4">
      <w:pPr>
        <w:rPr>
          <w:rFonts w:ascii="Arial" w:hAnsi="Arial" w:cs="Arial"/>
          <w:sz w:val="32"/>
        </w:rPr>
      </w:pPr>
    </w:p>
    <w:p w14:paraId="6D3DB651" w14:textId="77777777" w:rsidR="00F735D4" w:rsidRPr="00A406E5" w:rsidRDefault="00F735D4" w:rsidP="00F735D4">
      <w:pPr>
        <w:rPr>
          <w:rFonts w:ascii="Arial" w:hAnsi="Arial" w:cs="Arial"/>
          <w:sz w:val="32"/>
        </w:rPr>
      </w:pPr>
    </w:p>
    <w:p w14:paraId="73884526" w14:textId="77777777" w:rsidR="00F735D4" w:rsidRPr="00A406E5" w:rsidRDefault="00F735D4" w:rsidP="00F735D4">
      <w:pPr>
        <w:rPr>
          <w:rFonts w:ascii="Arial" w:hAnsi="Arial" w:cs="Arial"/>
          <w:sz w:val="32"/>
        </w:rPr>
      </w:pPr>
    </w:p>
    <w:p w14:paraId="4DD1A93B" w14:textId="77777777" w:rsidR="00F735D4" w:rsidRPr="00A406E5" w:rsidRDefault="00F735D4" w:rsidP="00F735D4">
      <w:pPr>
        <w:rPr>
          <w:rFonts w:ascii="Arial" w:hAnsi="Arial" w:cs="Arial"/>
          <w:sz w:val="32"/>
        </w:rPr>
      </w:pPr>
    </w:p>
    <w:p w14:paraId="7F5621F5" w14:textId="77777777" w:rsidR="00F735D4" w:rsidRDefault="00F735D4" w:rsidP="00F735D4">
      <w:pPr>
        <w:rPr>
          <w:rFonts w:ascii="Arial" w:hAnsi="Arial" w:cs="Arial"/>
          <w:sz w:val="32"/>
        </w:rPr>
      </w:pPr>
    </w:p>
    <w:p w14:paraId="2661B8EE" w14:textId="77777777" w:rsidR="009760B4" w:rsidRDefault="009760B4" w:rsidP="00F735D4">
      <w:pPr>
        <w:rPr>
          <w:rFonts w:ascii="Arial" w:hAnsi="Arial" w:cs="Arial"/>
          <w:sz w:val="32"/>
        </w:rPr>
      </w:pPr>
    </w:p>
    <w:p w14:paraId="0E003EEE" w14:textId="6CB6B3E3" w:rsidR="005B696D" w:rsidRDefault="005B696D" w:rsidP="005B696D">
      <w:pPr>
        <w:pStyle w:val="Default"/>
        <w:rPr>
          <w:b/>
          <w:bCs/>
          <w:sz w:val="22"/>
          <w:szCs w:val="22"/>
        </w:rPr>
      </w:pPr>
      <w:r w:rsidRPr="00D813C4">
        <w:rPr>
          <w:b/>
          <w:bCs/>
          <w:sz w:val="22"/>
          <w:szCs w:val="22"/>
        </w:rPr>
        <w:lastRenderedPageBreak/>
        <w:t xml:space="preserve">Part B </w:t>
      </w:r>
    </w:p>
    <w:p w14:paraId="38200AB2" w14:textId="77777777" w:rsidR="00C217CB" w:rsidRPr="00D813C4" w:rsidRDefault="00C217CB" w:rsidP="005B696D">
      <w:pPr>
        <w:pStyle w:val="Default"/>
        <w:rPr>
          <w:sz w:val="22"/>
          <w:szCs w:val="22"/>
        </w:rPr>
      </w:pPr>
    </w:p>
    <w:p w14:paraId="3A7AFA57" w14:textId="16A27F10" w:rsidR="005B696D" w:rsidRDefault="005B696D" w:rsidP="005B696D">
      <w:pPr>
        <w:pStyle w:val="Default"/>
        <w:rPr>
          <w:b/>
          <w:sz w:val="22"/>
          <w:szCs w:val="22"/>
        </w:rPr>
      </w:pPr>
      <w:r w:rsidRPr="00C217CB">
        <w:rPr>
          <w:b/>
          <w:sz w:val="22"/>
          <w:szCs w:val="22"/>
        </w:rPr>
        <w:t xml:space="preserve">(i) Use selected literature and professional documents to explain the learning principles which underpin the scheme of work, teaching session and resources. Consider the sequence of your scheme of work or syllabus requirements, differentiation and learning, Y Cwricwlwm Cymreig, Literacy and Numeracy framework, Digital Competence Framework, etc. </w:t>
      </w:r>
    </w:p>
    <w:p w14:paraId="72F14128" w14:textId="77777777" w:rsidR="00CA6317" w:rsidRPr="00C217CB" w:rsidRDefault="00CA6317" w:rsidP="005B696D">
      <w:pPr>
        <w:pStyle w:val="Default"/>
        <w:rPr>
          <w:b/>
          <w:sz w:val="22"/>
          <w:szCs w:val="22"/>
        </w:rPr>
      </w:pPr>
    </w:p>
    <w:p w14:paraId="4A496E8E" w14:textId="2D1ADA70" w:rsidR="003638E3" w:rsidRPr="00C217CB" w:rsidRDefault="002A330B" w:rsidP="005B696D">
      <w:pPr>
        <w:pStyle w:val="Default"/>
        <w:rPr>
          <w:b/>
          <w:sz w:val="22"/>
          <w:szCs w:val="22"/>
        </w:rPr>
      </w:pPr>
      <w:r w:rsidRPr="00C217CB">
        <w:rPr>
          <w:b/>
          <w:sz w:val="22"/>
          <w:szCs w:val="22"/>
        </w:rPr>
        <w:t>(Approx. 1,500 words)</w:t>
      </w:r>
    </w:p>
    <w:p w14:paraId="7A3AB953" w14:textId="77777777" w:rsidR="004D1BC6" w:rsidRDefault="004D1BC6" w:rsidP="005B696D">
      <w:pPr>
        <w:pStyle w:val="Default"/>
        <w:rPr>
          <w:sz w:val="22"/>
          <w:szCs w:val="22"/>
        </w:rPr>
      </w:pPr>
    </w:p>
    <w:p w14:paraId="1AE2B932" w14:textId="77777777" w:rsidR="00994979" w:rsidRDefault="00994979" w:rsidP="005B696D">
      <w:pPr>
        <w:pStyle w:val="Default"/>
        <w:rPr>
          <w:sz w:val="22"/>
          <w:szCs w:val="22"/>
        </w:rPr>
      </w:pPr>
    </w:p>
    <w:p w14:paraId="06E761A0" w14:textId="1C043A19" w:rsidR="00994979" w:rsidRDefault="00101569" w:rsidP="005B696D">
      <w:pPr>
        <w:pStyle w:val="Default"/>
        <w:rPr>
          <w:sz w:val="22"/>
          <w:szCs w:val="22"/>
        </w:rPr>
      </w:pPr>
      <w:r>
        <w:rPr>
          <w:sz w:val="22"/>
          <w:szCs w:val="22"/>
        </w:rPr>
        <w:t>I address</w:t>
      </w:r>
      <w:r w:rsidR="00994979">
        <w:rPr>
          <w:sz w:val="22"/>
          <w:szCs w:val="22"/>
        </w:rPr>
        <w:t xml:space="preserve"> this question </w:t>
      </w:r>
      <w:r w:rsidR="004D1BC6">
        <w:rPr>
          <w:sz w:val="22"/>
          <w:szCs w:val="22"/>
        </w:rPr>
        <w:t>us</w:t>
      </w:r>
      <w:r>
        <w:rPr>
          <w:sz w:val="22"/>
          <w:szCs w:val="22"/>
        </w:rPr>
        <w:t>ing</w:t>
      </w:r>
      <w:r w:rsidR="00994979">
        <w:rPr>
          <w:sz w:val="22"/>
          <w:szCs w:val="22"/>
        </w:rPr>
        <w:t xml:space="preserve"> the five Moodle task</w:t>
      </w:r>
      <w:r w:rsidR="00910076">
        <w:rPr>
          <w:sz w:val="22"/>
          <w:szCs w:val="22"/>
        </w:rPr>
        <w:t xml:space="preserve"> subject headings set</w:t>
      </w:r>
      <w:r w:rsidR="00994979">
        <w:rPr>
          <w:sz w:val="22"/>
          <w:szCs w:val="22"/>
        </w:rPr>
        <w:t xml:space="preserve"> in the initial weeks of the PGCE Course.</w:t>
      </w:r>
    </w:p>
    <w:p w14:paraId="7598DBE9" w14:textId="77777777" w:rsidR="00994979" w:rsidRDefault="00994979" w:rsidP="005B696D">
      <w:pPr>
        <w:pStyle w:val="Default"/>
        <w:rPr>
          <w:sz w:val="22"/>
          <w:szCs w:val="22"/>
        </w:rPr>
      </w:pPr>
    </w:p>
    <w:p w14:paraId="043980F8" w14:textId="27585723" w:rsidR="00994979" w:rsidRDefault="00994979" w:rsidP="005B696D">
      <w:pPr>
        <w:pStyle w:val="Default"/>
        <w:rPr>
          <w:b/>
          <w:sz w:val="22"/>
          <w:szCs w:val="22"/>
        </w:rPr>
      </w:pPr>
      <w:r w:rsidRPr="0068343F">
        <w:rPr>
          <w:b/>
          <w:sz w:val="22"/>
          <w:szCs w:val="22"/>
        </w:rPr>
        <w:t>Addressing the needs of a range of learners</w:t>
      </w:r>
    </w:p>
    <w:p w14:paraId="0313AE9D" w14:textId="5B0D3413" w:rsidR="002A1B40" w:rsidRDefault="002A1B40" w:rsidP="005B696D">
      <w:pPr>
        <w:pStyle w:val="Default"/>
        <w:rPr>
          <w:b/>
          <w:sz w:val="22"/>
          <w:szCs w:val="22"/>
        </w:rPr>
      </w:pPr>
    </w:p>
    <w:p w14:paraId="2493952B" w14:textId="63C5A5AB" w:rsidR="00336762" w:rsidRDefault="00336762" w:rsidP="005B696D">
      <w:pPr>
        <w:pStyle w:val="Default"/>
        <w:rPr>
          <w:sz w:val="22"/>
          <w:szCs w:val="22"/>
        </w:rPr>
      </w:pPr>
      <w:r>
        <w:rPr>
          <w:sz w:val="22"/>
          <w:szCs w:val="22"/>
        </w:rPr>
        <w:t>Coffey (2011, p. 200)</w:t>
      </w:r>
      <w:r w:rsidR="00853052">
        <w:rPr>
          <w:sz w:val="22"/>
          <w:szCs w:val="22"/>
        </w:rPr>
        <w:t xml:space="preserve"> states that the needs of individual learners in </w:t>
      </w:r>
      <w:r w:rsidR="00910076">
        <w:rPr>
          <w:sz w:val="22"/>
          <w:szCs w:val="22"/>
        </w:rPr>
        <w:t>class</w:t>
      </w:r>
      <w:r w:rsidR="00853052">
        <w:rPr>
          <w:sz w:val="22"/>
          <w:szCs w:val="22"/>
        </w:rPr>
        <w:t xml:space="preserve"> are addressed through </w:t>
      </w:r>
      <w:r w:rsidR="005203DD">
        <w:rPr>
          <w:sz w:val="22"/>
          <w:szCs w:val="22"/>
        </w:rPr>
        <w:t>d</w:t>
      </w:r>
      <w:r w:rsidR="00853052">
        <w:rPr>
          <w:sz w:val="22"/>
          <w:szCs w:val="22"/>
        </w:rPr>
        <w:t xml:space="preserve">ifferentiation. </w:t>
      </w:r>
      <w:r w:rsidR="00246E08">
        <w:rPr>
          <w:sz w:val="22"/>
          <w:szCs w:val="22"/>
        </w:rPr>
        <w:t>T</w:t>
      </w:r>
      <w:r w:rsidR="00AE3197">
        <w:rPr>
          <w:sz w:val="22"/>
          <w:szCs w:val="22"/>
        </w:rPr>
        <w:t>his involves offering each learner challenge specific to their needs in order that all pupils succeed in learning. However, he is keen to stress that individual lessons should</w:t>
      </w:r>
      <w:r w:rsidR="0015339A">
        <w:rPr>
          <w:sz w:val="22"/>
          <w:szCs w:val="22"/>
        </w:rPr>
        <w:t xml:space="preserve"> not</w:t>
      </w:r>
      <w:r w:rsidR="00AE3197">
        <w:rPr>
          <w:sz w:val="22"/>
          <w:szCs w:val="22"/>
        </w:rPr>
        <w:t xml:space="preserve"> be taught to each student. Coffey (2011, p. 200) suggests that, even if this were possible, it would undermine the group dynamic of the class. Coffey (2011, pp. 203-205) continues with his analysis by pointing out that</w:t>
      </w:r>
      <w:r w:rsidR="0015339A">
        <w:rPr>
          <w:sz w:val="22"/>
          <w:szCs w:val="22"/>
        </w:rPr>
        <w:t>, instead,</w:t>
      </w:r>
      <w:r w:rsidR="00AE3197">
        <w:rPr>
          <w:sz w:val="22"/>
          <w:szCs w:val="22"/>
        </w:rPr>
        <w:t xml:space="preserve"> differentiation can be achieved from the tasks given to learners or the outcomes from them.</w:t>
      </w:r>
    </w:p>
    <w:p w14:paraId="262ABB83" w14:textId="50685A78" w:rsidR="00AE3197" w:rsidRDefault="00AE3197" w:rsidP="005B696D">
      <w:pPr>
        <w:pStyle w:val="Default"/>
        <w:rPr>
          <w:sz w:val="22"/>
          <w:szCs w:val="22"/>
        </w:rPr>
      </w:pPr>
    </w:p>
    <w:p w14:paraId="4E638B2E" w14:textId="78C88A84" w:rsidR="00AE3197" w:rsidRDefault="005203DD" w:rsidP="005B696D">
      <w:pPr>
        <w:pStyle w:val="Default"/>
        <w:rPr>
          <w:sz w:val="22"/>
          <w:szCs w:val="22"/>
        </w:rPr>
      </w:pPr>
      <w:r>
        <w:rPr>
          <w:sz w:val="22"/>
          <w:szCs w:val="22"/>
        </w:rPr>
        <w:t>Southall (2015, p.144) warns against the temptation to focus differentiation on less able pupils. He proposes creating challenge for all through a questioning strategy that is appropriate to each student’s breadth and depth of knowledge.</w:t>
      </w:r>
      <w:r w:rsidR="00290F74">
        <w:rPr>
          <w:sz w:val="22"/>
          <w:szCs w:val="22"/>
        </w:rPr>
        <w:t xml:space="preserve"> Indeed, Pollard (2008, p.267) supports this view</w:t>
      </w:r>
      <w:r w:rsidR="00246E08">
        <w:rPr>
          <w:sz w:val="22"/>
          <w:szCs w:val="22"/>
        </w:rPr>
        <w:t>,</w:t>
      </w:r>
      <w:r w:rsidR="00290F74">
        <w:rPr>
          <w:sz w:val="22"/>
          <w:szCs w:val="22"/>
        </w:rPr>
        <w:t xml:space="preserve"> highlighting that </w:t>
      </w:r>
      <w:r w:rsidR="00860905">
        <w:rPr>
          <w:sz w:val="22"/>
          <w:szCs w:val="22"/>
        </w:rPr>
        <w:t xml:space="preserve">teachers need to establish learners’ prior knowledge as part of achieving differentiation. Elliott (2004, p.105) </w:t>
      </w:r>
      <w:r w:rsidR="00E84E73">
        <w:rPr>
          <w:sz w:val="22"/>
          <w:szCs w:val="22"/>
        </w:rPr>
        <w:t>develops this point</w:t>
      </w:r>
      <w:r w:rsidR="00246E08">
        <w:rPr>
          <w:sz w:val="22"/>
          <w:szCs w:val="22"/>
        </w:rPr>
        <w:t>,</w:t>
      </w:r>
      <w:r w:rsidR="003B1C51">
        <w:rPr>
          <w:sz w:val="22"/>
          <w:szCs w:val="22"/>
        </w:rPr>
        <w:t xml:space="preserve"> stating that all pupils should be involved in differentiated questioning using appropriate questions for each one.</w:t>
      </w:r>
    </w:p>
    <w:p w14:paraId="69EF0B0F" w14:textId="12882388" w:rsidR="00245539" w:rsidRDefault="00245539" w:rsidP="005B696D">
      <w:pPr>
        <w:pStyle w:val="Default"/>
        <w:rPr>
          <w:sz w:val="22"/>
          <w:szCs w:val="22"/>
        </w:rPr>
      </w:pPr>
    </w:p>
    <w:p w14:paraId="0BC7CD29" w14:textId="48B60BD4" w:rsidR="00245539" w:rsidRPr="00336762" w:rsidRDefault="00245539" w:rsidP="005B696D">
      <w:pPr>
        <w:pStyle w:val="Default"/>
        <w:rPr>
          <w:sz w:val="22"/>
          <w:szCs w:val="22"/>
        </w:rPr>
      </w:pPr>
      <w:r>
        <w:rPr>
          <w:sz w:val="22"/>
          <w:szCs w:val="22"/>
        </w:rPr>
        <w:t xml:space="preserve">I embraced this theory in my lesson as far as practicable. I established learners’ prior knowledge of the specific topic and Business generally in my discussions with Geography students when we were observing their lessons the previous day. I employed </w:t>
      </w:r>
      <w:r w:rsidR="006316EC">
        <w:rPr>
          <w:sz w:val="22"/>
          <w:szCs w:val="22"/>
        </w:rPr>
        <w:t>a</w:t>
      </w:r>
      <w:r>
        <w:rPr>
          <w:sz w:val="22"/>
          <w:szCs w:val="22"/>
        </w:rPr>
        <w:t xml:space="preserve"> differentiated questioning strategy</w:t>
      </w:r>
      <w:r w:rsidR="006316EC">
        <w:rPr>
          <w:sz w:val="22"/>
          <w:szCs w:val="22"/>
        </w:rPr>
        <w:t xml:space="preserve"> to </w:t>
      </w:r>
      <w:r w:rsidR="00910076">
        <w:rPr>
          <w:sz w:val="22"/>
          <w:szCs w:val="22"/>
        </w:rPr>
        <w:t>involve all pupils</w:t>
      </w:r>
      <w:r w:rsidR="006316EC">
        <w:rPr>
          <w:sz w:val="22"/>
          <w:szCs w:val="22"/>
        </w:rPr>
        <w:t>. The more challenging questions were addressed to the Business students. The Geographers were questioned based upon my perception of their prior knowledge with my differentiation being revisited if my initial assessment proved to be inaccurate. This approach generated positive feedback from learners.</w:t>
      </w:r>
    </w:p>
    <w:p w14:paraId="2D155F5F" w14:textId="77777777" w:rsidR="00994979" w:rsidRDefault="00994979" w:rsidP="005B696D">
      <w:pPr>
        <w:pStyle w:val="Default"/>
        <w:rPr>
          <w:sz w:val="22"/>
          <w:szCs w:val="22"/>
        </w:rPr>
      </w:pPr>
    </w:p>
    <w:p w14:paraId="27F8789C" w14:textId="512A651A" w:rsidR="00994979" w:rsidRDefault="00994979" w:rsidP="005B696D">
      <w:pPr>
        <w:pStyle w:val="Default"/>
        <w:rPr>
          <w:b/>
          <w:sz w:val="22"/>
          <w:szCs w:val="22"/>
        </w:rPr>
      </w:pPr>
      <w:r w:rsidRPr="003B19D6">
        <w:rPr>
          <w:b/>
          <w:sz w:val="22"/>
          <w:szCs w:val="22"/>
        </w:rPr>
        <w:t>Theories of learning and pedagogy</w:t>
      </w:r>
    </w:p>
    <w:p w14:paraId="62756D5C" w14:textId="4DF1573C" w:rsidR="00E807D9" w:rsidRDefault="00E807D9" w:rsidP="005B696D">
      <w:pPr>
        <w:pStyle w:val="Default"/>
        <w:rPr>
          <w:b/>
          <w:sz w:val="22"/>
          <w:szCs w:val="22"/>
        </w:rPr>
      </w:pPr>
    </w:p>
    <w:p w14:paraId="3EAC7974" w14:textId="5EECF988" w:rsidR="00E807D9" w:rsidRDefault="00E807D9" w:rsidP="005B696D">
      <w:pPr>
        <w:pStyle w:val="Default"/>
        <w:rPr>
          <w:sz w:val="22"/>
          <w:szCs w:val="22"/>
        </w:rPr>
      </w:pPr>
      <w:r>
        <w:rPr>
          <w:sz w:val="22"/>
          <w:szCs w:val="22"/>
        </w:rPr>
        <w:t>Pollard</w:t>
      </w:r>
      <w:r w:rsidR="00610C71">
        <w:rPr>
          <w:sz w:val="22"/>
          <w:szCs w:val="22"/>
        </w:rPr>
        <w:t xml:space="preserve"> (2008, p.182) </w:t>
      </w:r>
      <w:r w:rsidR="00F8120C">
        <w:rPr>
          <w:sz w:val="22"/>
          <w:szCs w:val="22"/>
        </w:rPr>
        <w:t>helpfully describes</w:t>
      </w:r>
      <w:r w:rsidR="00610C71">
        <w:rPr>
          <w:sz w:val="22"/>
          <w:szCs w:val="22"/>
        </w:rPr>
        <w:t xml:space="preserve"> pupil activity where learning is conducted</w:t>
      </w:r>
      <w:r w:rsidR="007C2C1A">
        <w:rPr>
          <w:sz w:val="22"/>
          <w:szCs w:val="22"/>
        </w:rPr>
        <w:t>,</w:t>
      </w:r>
      <w:r w:rsidR="00610C71">
        <w:rPr>
          <w:sz w:val="22"/>
          <w:szCs w:val="22"/>
        </w:rPr>
        <w:t xml:space="preserve"> using each of the three most common learning models. In a Behaviourist environment, the class</w:t>
      </w:r>
      <w:r w:rsidR="007C2C1A">
        <w:rPr>
          <w:sz w:val="22"/>
          <w:szCs w:val="22"/>
        </w:rPr>
        <w:t xml:space="preserve"> </w:t>
      </w:r>
      <w:r w:rsidR="00610C71">
        <w:rPr>
          <w:sz w:val="22"/>
          <w:szCs w:val="22"/>
        </w:rPr>
        <w:t>passively listen</w:t>
      </w:r>
      <w:r w:rsidR="007C2C1A">
        <w:rPr>
          <w:sz w:val="22"/>
          <w:szCs w:val="22"/>
        </w:rPr>
        <w:t>s</w:t>
      </w:r>
      <w:r w:rsidR="00610C71">
        <w:rPr>
          <w:sz w:val="22"/>
          <w:szCs w:val="22"/>
        </w:rPr>
        <w:t xml:space="preserve"> to the teacher. Constructivist learners </w:t>
      </w:r>
      <w:r w:rsidR="007C2C1A">
        <w:rPr>
          <w:sz w:val="22"/>
          <w:szCs w:val="22"/>
        </w:rPr>
        <w:t>are</w:t>
      </w:r>
      <w:r w:rsidR="00610C71">
        <w:rPr>
          <w:sz w:val="22"/>
          <w:szCs w:val="22"/>
        </w:rPr>
        <w:t xml:space="preserve"> involved in individual activity whereas, in a Social Constructivist classroom, pupils participate in group activity.</w:t>
      </w:r>
    </w:p>
    <w:p w14:paraId="334B67D7" w14:textId="6EDB6EC8" w:rsidR="00610C71" w:rsidRDefault="00610C71" w:rsidP="005B696D">
      <w:pPr>
        <w:pStyle w:val="Default"/>
        <w:rPr>
          <w:sz w:val="22"/>
          <w:szCs w:val="22"/>
        </w:rPr>
      </w:pPr>
    </w:p>
    <w:p w14:paraId="7335DA07" w14:textId="1295AFE4" w:rsidR="00610C71" w:rsidRDefault="00610C71" w:rsidP="005B696D">
      <w:pPr>
        <w:pStyle w:val="Default"/>
        <w:rPr>
          <w:sz w:val="22"/>
          <w:szCs w:val="22"/>
        </w:rPr>
      </w:pPr>
      <w:r>
        <w:rPr>
          <w:sz w:val="22"/>
          <w:szCs w:val="22"/>
        </w:rPr>
        <w:t>Muijs (2004, pp. 45-47)</w:t>
      </w:r>
      <w:r w:rsidR="00784042">
        <w:rPr>
          <w:sz w:val="22"/>
          <w:szCs w:val="22"/>
        </w:rPr>
        <w:t xml:space="preserve"> </w:t>
      </w:r>
      <w:r w:rsidR="0071187C">
        <w:rPr>
          <w:sz w:val="22"/>
          <w:szCs w:val="22"/>
        </w:rPr>
        <w:t>states that Behaviourist theory resulted from the research of psychologists such as Skinner and Pavlov. This noted how animals’ behaviour was conditioned by its response to an external stimulus. It has formed the basis of further research on effective teaching in schools. However</w:t>
      </w:r>
      <w:r w:rsidR="007317FA">
        <w:rPr>
          <w:sz w:val="22"/>
          <w:szCs w:val="22"/>
        </w:rPr>
        <w:t>, Muijs (2004, pp. 45-47) points out that the theory is</w:t>
      </w:r>
      <w:r w:rsidR="005814E1">
        <w:rPr>
          <w:sz w:val="22"/>
          <w:szCs w:val="22"/>
        </w:rPr>
        <w:t xml:space="preserve"> too</w:t>
      </w:r>
      <w:r w:rsidR="007317FA">
        <w:rPr>
          <w:sz w:val="22"/>
          <w:szCs w:val="22"/>
        </w:rPr>
        <w:t xml:space="preserve"> limited </w:t>
      </w:r>
      <w:r w:rsidR="00F8120C">
        <w:rPr>
          <w:sz w:val="22"/>
          <w:szCs w:val="22"/>
        </w:rPr>
        <w:t>to</w:t>
      </w:r>
      <w:r w:rsidR="007317FA">
        <w:rPr>
          <w:sz w:val="22"/>
          <w:szCs w:val="22"/>
        </w:rPr>
        <w:t xml:space="preserve"> explain </w:t>
      </w:r>
      <w:r w:rsidR="00764E8E">
        <w:rPr>
          <w:sz w:val="22"/>
          <w:szCs w:val="22"/>
        </w:rPr>
        <w:t>human learning.</w:t>
      </w:r>
    </w:p>
    <w:p w14:paraId="56C079AD" w14:textId="77777777" w:rsidR="00B92EBC" w:rsidRDefault="00B92EBC" w:rsidP="005B696D">
      <w:pPr>
        <w:pStyle w:val="Default"/>
        <w:rPr>
          <w:sz w:val="22"/>
          <w:szCs w:val="22"/>
        </w:rPr>
      </w:pPr>
    </w:p>
    <w:p w14:paraId="3ED81B15" w14:textId="0393C8C7" w:rsidR="005814E1" w:rsidRDefault="005814E1" w:rsidP="005B696D">
      <w:pPr>
        <w:pStyle w:val="Default"/>
        <w:rPr>
          <w:sz w:val="22"/>
          <w:szCs w:val="22"/>
        </w:rPr>
      </w:pPr>
    </w:p>
    <w:p w14:paraId="578A2D18" w14:textId="77777777" w:rsidR="005814E1" w:rsidRDefault="005814E1" w:rsidP="005B696D">
      <w:pPr>
        <w:pStyle w:val="Default"/>
        <w:rPr>
          <w:sz w:val="22"/>
          <w:szCs w:val="22"/>
        </w:rPr>
      </w:pPr>
    </w:p>
    <w:p w14:paraId="763B7E3B" w14:textId="636684FC" w:rsidR="00C57182" w:rsidRDefault="00C57182" w:rsidP="005B696D">
      <w:pPr>
        <w:pStyle w:val="Default"/>
        <w:rPr>
          <w:sz w:val="22"/>
          <w:szCs w:val="22"/>
        </w:rPr>
      </w:pPr>
    </w:p>
    <w:p w14:paraId="6F089295" w14:textId="26F4EA8E" w:rsidR="00C57182" w:rsidRDefault="00C57182" w:rsidP="005B696D">
      <w:pPr>
        <w:pStyle w:val="Default"/>
        <w:rPr>
          <w:sz w:val="22"/>
          <w:szCs w:val="22"/>
        </w:rPr>
      </w:pPr>
      <w:r>
        <w:rPr>
          <w:sz w:val="22"/>
          <w:szCs w:val="22"/>
        </w:rPr>
        <w:lastRenderedPageBreak/>
        <w:t>Muijs &amp; Reynolds (2001, p</w:t>
      </w:r>
      <w:r w:rsidR="00C3213F">
        <w:rPr>
          <w:sz w:val="22"/>
          <w:szCs w:val="22"/>
        </w:rPr>
        <w:t>.</w:t>
      </w:r>
      <w:r>
        <w:rPr>
          <w:sz w:val="22"/>
          <w:szCs w:val="22"/>
        </w:rPr>
        <w:t xml:space="preserve">79) summarise Piaget’s Constructivist theories. He believed that children’s cognitive development </w:t>
      </w:r>
      <w:r w:rsidR="003B6CCE">
        <w:rPr>
          <w:sz w:val="22"/>
          <w:szCs w:val="22"/>
        </w:rPr>
        <w:t>occurs</w:t>
      </w:r>
      <w:r>
        <w:rPr>
          <w:sz w:val="22"/>
          <w:szCs w:val="22"/>
        </w:rPr>
        <w:t xml:space="preserve"> through maturation, the unlocking of</w:t>
      </w:r>
      <w:r w:rsidR="00C3213F">
        <w:rPr>
          <w:sz w:val="22"/>
          <w:szCs w:val="22"/>
        </w:rPr>
        <w:t xml:space="preserve"> changes programmed into us before </w:t>
      </w:r>
      <w:r w:rsidR="003B6CCE">
        <w:rPr>
          <w:sz w:val="22"/>
          <w:szCs w:val="22"/>
        </w:rPr>
        <w:t>birth</w:t>
      </w:r>
      <w:r w:rsidR="00C3213F">
        <w:rPr>
          <w:sz w:val="22"/>
          <w:szCs w:val="22"/>
        </w:rPr>
        <w:t xml:space="preserve">. This causes youngsters to learn in four, distinct developmental stages, which end at age twelve. </w:t>
      </w:r>
      <w:r w:rsidR="00774689">
        <w:rPr>
          <w:sz w:val="22"/>
          <w:szCs w:val="22"/>
        </w:rPr>
        <w:t xml:space="preserve">Vygotsky (1978, cited in </w:t>
      </w:r>
      <w:proofErr w:type="spellStart"/>
      <w:r w:rsidR="00C3213F">
        <w:rPr>
          <w:sz w:val="22"/>
          <w:szCs w:val="22"/>
        </w:rPr>
        <w:t>Denby</w:t>
      </w:r>
      <w:proofErr w:type="spellEnd"/>
      <w:r w:rsidR="00774689">
        <w:rPr>
          <w:sz w:val="22"/>
          <w:szCs w:val="22"/>
        </w:rPr>
        <w:t xml:space="preserve">, </w:t>
      </w:r>
      <w:r w:rsidR="00C3213F">
        <w:rPr>
          <w:sz w:val="22"/>
          <w:szCs w:val="22"/>
        </w:rPr>
        <w:t>2015</w:t>
      </w:r>
      <w:r w:rsidR="00EA7106">
        <w:rPr>
          <w:sz w:val="22"/>
          <w:szCs w:val="22"/>
        </w:rPr>
        <w:t>a</w:t>
      </w:r>
      <w:r w:rsidR="00C3213F">
        <w:rPr>
          <w:sz w:val="22"/>
          <w:szCs w:val="22"/>
        </w:rPr>
        <w:t>, p</w:t>
      </w:r>
      <w:r w:rsidR="00774689">
        <w:rPr>
          <w:sz w:val="22"/>
          <w:szCs w:val="22"/>
        </w:rPr>
        <w:t>.</w:t>
      </w:r>
      <w:r w:rsidR="00C3213F">
        <w:rPr>
          <w:sz w:val="22"/>
          <w:szCs w:val="22"/>
        </w:rPr>
        <w:t xml:space="preserve"> 162)</w:t>
      </w:r>
      <w:r w:rsidR="00775F15">
        <w:rPr>
          <w:sz w:val="22"/>
          <w:szCs w:val="22"/>
        </w:rPr>
        <w:t xml:space="preserve"> propose</w:t>
      </w:r>
      <w:r w:rsidR="00774689">
        <w:rPr>
          <w:sz w:val="22"/>
          <w:szCs w:val="22"/>
        </w:rPr>
        <w:t>s</w:t>
      </w:r>
      <w:r w:rsidR="00775F15">
        <w:rPr>
          <w:sz w:val="22"/>
          <w:szCs w:val="22"/>
        </w:rPr>
        <w:t xml:space="preserve"> an opposing, Social Constructivist view that learning </w:t>
      </w:r>
      <w:r w:rsidR="00774689">
        <w:rPr>
          <w:sz w:val="22"/>
          <w:szCs w:val="22"/>
        </w:rPr>
        <w:t>is</w:t>
      </w:r>
      <w:r w:rsidR="00775F15">
        <w:rPr>
          <w:sz w:val="22"/>
          <w:szCs w:val="22"/>
        </w:rPr>
        <w:t xml:space="preserve"> continuous. </w:t>
      </w:r>
      <w:r w:rsidR="009F4700">
        <w:rPr>
          <w:sz w:val="22"/>
          <w:szCs w:val="22"/>
        </w:rPr>
        <w:t xml:space="preserve">It is achieved by the </w:t>
      </w:r>
      <w:r w:rsidR="003B6CCE">
        <w:rPr>
          <w:sz w:val="22"/>
          <w:szCs w:val="22"/>
        </w:rPr>
        <w:t>student</w:t>
      </w:r>
      <w:r w:rsidR="009F4700">
        <w:rPr>
          <w:sz w:val="22"/>
          <w:szCs w:val="22"/>
        </w:rPr>
        <w:t xml:space="preserve"> being in a Zone of Proximal Development where they learn most effectively. The teacher provides scaffolding to support the pupil</w:t>
      </w:r>
      <w:r w:rsidR="005452FF">
        <w:rPr>
          <w:sz w:val="22"/>
          <w:szCs w:val="22"/>
        </w:rPr>
        <w:t xml:space="preserve"> in their </w:t>
      </w:r>
      <w:r w:rsidR="00E00F86">
        <w:rPr>
          <w:sz w:val="22"/>
          <w:szCs w:val="22"/>
        </w:rPr>
        <w:t>development,</w:t>
      </w:r>
      <w:r w:rsidR="005452FF">
        <w:rPr>
          <w:sz w:val="22"/>
          <w:szCs w:val="22"/>
        </w:rPr>
        <w:t xml:space="preserve"> but peer learning and collaboration contribute greatly to the process.</w:t>
      </w:r>
    </w:p>
    <w:p w14:paraId="30430A21" w14:textId="16E84F8F" w:rsidR="00F02076" w:rsidRDefault="00F02076" w:rsidP="005B696D">
      <w:pPr>
        <w:pStyle w:val="Default"/>
        <w:rPr>
          <w:sz w:val="22"/>
          <w:szCs w:val="22"/>
        </w:rPr>
      </w:pPr>
    </w:p>
    <w:p w14:paraId="6940E3EF" w14:textId="678A8FCA" w:rsidR="00F02076" w:rsidRDefault="00F02076" w:rsidP="005B696D">
      <w:pPr>
        <w:pStyle w:val="Default"/>
        <w:rPr>
          <w:sz w:val="22"/>
          <w:szCs w:val="22"/>
        </w:rPr>
      </w:pPr>
      <w:r>
        <w:rPr>
          <w:sz w:val="22"/>
          <w:szCs w:val="22"/>
        </w:rPr>
        <w:t>Wilkinson &amp; Anderson (2007, p. 163)</w:t>
      </w:r>
      <w:r w:rsidR="00B40687">
        <w:rPr>
          <w:sz w:val="22"/>
          <w:szCs w:val="22"/>
        </w:rPr>
        <w:t xml:space="preserve"> continue Vygotsky’s theme</w:t>
      </w:r>
      <w:r w:rsidR="00A7138F">
        <w:rPr>
          <w:sz w:val="22"/>
          <w:szCs w:val="22"/>
        </w:rPr>
        <w:t>,</w:t>
      </w:r>
      <w:r w:rsidR="00B40687">
        <w:rPr>
          <w:sz w:val="22"/>
          <w:szCs w:val="22"/>
        </w:rPr>
        <w:t xml:space="preserve"> indicating that pupils should be taught how to learn as well as the curriculum subject matter. Th</w:t>
      </w:r>
      <w:r w:rsidR="00CF4B79">
        <w:rPr>
          <w:sz w:val="22"/>
          <w:szCs w:val="22"/>
        </w:rPr>
        <w:t xml:space="preserve">ey will be able to apply this skill to conquer new concepts </w:t>
      </w:r>
      <w:r w:rsidR="003B6CCE">
        <w:rPr>
          <w:sz w:val="22"/>
          <w:szCs w:val="22"/>
        </w:rPr>
        <w:t>independently</w:t>
      </w:r>
      <w:r w:rsidR="00CF4B79">
        <w:rPr>
          <w:sz w:val="22"/>
          <w:szCs w:val="22"/>
        </w:rPr>
        <w:t xml:space="preserve">. However, Hattie &amp; Yates (2014, pp. 64-69) </w:t>
      </w:r>
      <w:r w:rsidR="007201C9">
        <w:rPr>
          <w:sz w:val="22"/>
          <w:szCs w:val="22"/>
        </w:rPr>
        <w:t xml:space="preserve">warn that feedback is an intrinsic part of the process for both pupil and teacher to ensure that learning </w:t>
      </w:r>
      <w:r w:rsidR="003B6CCE">
        <w:rPr>
          <w:sz w:val="22"/>
          <w:szCs w:val="22"/>
        </w:rPr>
        <w:t>occurs</w:t>
      </w:r>
      <w:r w:rsidR="007201C9">
        <w:rPr>
          <w:sz w:val="22"/>
          <w:szCs w:val="22"/>
        </w:rPr>
        <w:t xml:space="preserve"> as intended.</w:t>
      </w:r>
    </w:p>
    <w:p w14:paraId="73A5A735" w14:textId="350CA393" w:rsidR="00AB3410" w:rsidRDefault="00AB3410" w:rsidP="005B696D">
      <w:pPr>
        <w:pStyle w:val="Default"/>
        <w:rPr>
          <w:sz w:val="22"/>
          <w:szCs w:val="22"/>
        </w:rPr>
      </w:pPr>
    </w:p>
    <w:p w14:paraId="0617D7CB" w14:textId="492CE2AC" w:rsidR="0017446C" w:rsidRDefault="00AB3410" w:rsidP="005B696D">
      <w:pPr>
        <w:pStyle w:val="Default"/>
        <w:rPr>
          <w:sz w:val="22"/>
          <w:szCs w:val="22"/>
        </w:rPr>
      </w:pPr>
      <w:r>
        <w:rPr>
          <w:sz w:val="22"/>
          <w:szCs w:val="22"/>
        </w:rPr>
        <w:t xml:space="preserve">The time limited nature of the micro teach lesson </w:t>
      </w:r>
      <w:r w:rsidR="009901E1">
        <w:rPr>
          <w:sz w:val="22"/>
          <w:szCs w:val="22"/>
        </w:rPr>
        <w:t>necessitated me delivering</w:t>
      </w:r>
      <w:r w:rsidR="004979AA">
        <w:rPr>
          <w:sz w:val="22"/>
          <w:szCs w:val="22"/>
        </w:rPr>
        <w:t xml:space="preserve"> activities that were more </w:t>
      </w:r>
      <w:r w:rsidR="009901E1">
        <w:rPr>
          <w:sz w:val="22"/>
          <w:szCs w:val="22"/>
        </w:rPr>
        <w:t>C</w:t>
      </w:r>
      <w:r w:rsidR="004979AA">
        <w:rPr>
          <w:sz w:val="22"/>
          <w:szCs w:val="22"/>
        </w:rPr>
        <w:t xml:space="preserve">onstructivist and </w:t>
      </w:r>
      <w:r w:rsidR="00A7138F">
        <w:rPr>
          <w:sz w:val="22"/>
          <w:szCs w:val="22"/>
        </w:rPr>
        <w:t>T</w:t>
      </w:r>
      <w:r w:rsidR="004979AA">
        <w:rPr>
          <w:sz w:val="22"/>
          <w:szCs w:val="22"/>
        </w:rPr>
        <w:t>eacher</w:t>
      </w:r>
      <w:r w:rsidR="00A7138F">
        <w:rPr>
          <w:sz w:val="22"/>
          <w:szCs w:val="22"/>
        </w:rPr>
        <w:t>-</w:t>
      </w:r>
      <w:r w:rsidR="004979AA">
        <w:rPr>
          <w:sz w:val="22"/>
          <w:szCs w:val="22"/>
        </w:rPr>
        <w:t xml:space="preserve">led. My </w:t>
      </w:r>
      <w:r w:rsidR="00EA7106">
        <w:rPr>
          <w:sz w:val="22"/>
          <w:szCs w:val="22"/>
        </w:rPr>
        <w:t>S</w:t>
      </w:r>
      <w:r w:rsidR="004979AA">
        <w:rPr>
          <w:sz w:val="22"/>
          <w:szCs w:val="22"/>
        </w:rPr>
        <w:t xml:space="preserve">cheme of </w:t>
      </w:r>
      <w:r w:rsidR="00EA7106">
        <w:rPr>
          <w:sz w:val="22"/>
          <w:szCs w:val="22"/>
        </w:rPr>
        <w:t>W</w:t>
      </w:r>
      <w:r w:rsidR="004979AA">
        <w:rPr>
          <w:sz w:val="22"/>
          <w:szCs w:val="22"/>
        </w:rPr>
        <w:t>ork</w:t>
      </w:r>
      <w:r w:rsidR="00EA7106">
        <w:rPr>
          <w:sz w:val="22"/>
          <w:szCs w:val="22"/>
        </w:rPr>
        <w:t xml:space="preserve"> (“Scheme”)</w:t>
      </w:r>
      <w:r w:rsidR="004979AA">
        <w:rPr>
          <w:sz w:val="22"/>
          <w:szCs w:val="22"/>
        </w:rPr>
        <w:t xml:space="preserve"> </w:t>
      </w:r>
      <w:r w:rsidR="0025498C">
        <w:rPr>
          <w:sz w:val="22"/>
          <w:szCs w:val="22"/>
        </w:rPr>
        <w:t>contains</w:t>
      </w:r>
      <w:r w:rsidR="004979AA">
        <w:rPr>
          <w:sz w:val="22"/>
          <w:szCs w:val="22"/>
        </w:rPr>
        <w:t xml:space="preserve"> a variety of tasks, including many that promote </w:t>
      </w:r>
      <w:r w:rsidR="00A7138F">
        <w:rPr>
          <w:sz w:val="22"/>
          <w:szCs w:val="22"/>
        </w:rPr>
        <w:t>P</w:t>
      </w:r>
      <w:r w:rsidR="004979AA">
        <w:rPr>
          <w:sz w:val="22"/>
          <w:szCs w:val="22"/>
        </w:rPr>
        <w:t xml:space="preserve">eer </w:t>
      </w:r>
      <w:r w:rsidR="00A7138F">
        <w:rPr>
          <w:sz w:val="22"/>
          <w:szCs w:val="22"/>
        </w:rPr>
        <w:t>L</w:t>
      </w:r>
      <w:r w:rsidR="004979AA">
        <w:rPr>
          <w:sz w:val="22"/>
          <w:szCs w:val="22"/>
        </w:rPr>
        <w:t>earning. Also, the use of the Exit Ticket at the end of the lesson provide</w:t>
      </w:r>
      <w:r w:rsidR="000A2666">
        <w:rPr>
          <w:sz w:val="22"/>
          <w:szCs w:val="22"/>
        </w:rPr>
        <w:t>d</w:t>
      </w:r>
      <w:r w:rsidR="004979AA">
        <w:rPr>
          <w:sz w:val="22"/>
          <w:szCs w:val="22"/>
        </w:rPr>
        <w:t xml:space="preserve"> feedback on the knowledge that learners ha</w:t>
      </w:r>
      <w:r w:rsidR="0025498C">
        <w:rPr>
          <w:sz w:val="22"/>
          <w:szCs w:val="22"/>
        </w:rPr>
        <w:t>d</w:t>
      </w:r>
      <w:r w:rsidR="004979AA">
        <w:rPr>
          <w:sz w:val="22"/>
          <w:szCs w:val="22"/>
        </w:rPr>
        <w:t xml:space="preserve"> acquired and the effectiveness of my teaching itself.</w:t>
      </w:r>
    </w:p>
    <w:p w14:paraId="4C7BE304" w14:textId="77777777" w:rsidR="00482C91" w:rsidRPr="003B19D6" w:rsidRDefault="00482C91" w:rsidP="005B696D">
      <w:pPr>
        <w:pStyle w:val="Default"/>
        <w:rPr>
          <w:b/>
          <w:sz w:val="22"/>
          <w:szCs w:val="22"/>
        </w:rPr>
      </w:pPr>
    </w:p>
    <w:p w14:paraId="0237BBE3" w14:textId="77777777" w:rsidR="00994979" w:rsidRDefault="00994979" w:rsidP="005B696D">
      <w:pPr>
        <w:pStyle w:val="Default"/>
        <w:rPr>
          <w:sz w:val="22"/>
          <w:szCs w:val="22"/>
        </w:rPr>
      </w:pPr>
    </w:p>
    <w:p w14:paraId="2F2FA452" w14:textId="77777777" w:rsidR="00994979" w:rsidRDefault="00994979" w:rsidP="005B696D">
      <w:pPr>
        <w:pStyle w:val="Default"/>
        <w:rPr>
          <w:b/>
          <w:sz w:val="22"/>
          <w:szCs w:val="22"/>
        </w:rPr>
      </w:pPr>
      <w:r w:rsidRPr="004221D1">
        <w:rPr>
          <w:b/>
          <w:sz w:val="22"/>
          <w:szCs w:val="22"/>
        </w:rPr>
        <w:t>Curriculum Cwmreig</w:t>
      </w:r>
    </w:p>
    <w:p w14:paraId="51BFA1C0" w14:textId="77777777" w:rsidR="00B24083" w:rsidRDefault="00B24083" w:rsidP="005B696D">
      <w:pPr>
        <w:pStyle w:val="Default"/>
        <w:rPr>
          <w:b/>
          <w:sz w:val="22"/>
          <w:szCs w:val="22"/>
        </w:rPr>
      </w:pPr>
    </w:p>
    <w:p w14:paraId="3FAD29ED" w14:textId="3C952103" w:rsidR="00B24083" w:rsidRDefault="00B24083" w:rsidP="005B696D">
      <w:pPr>
        <w:pStyle w:val="Default"/>
        <w:rPr>
          <w:sz w:val="22"/>
          <w:szCs w:val="22"/>
        </w:rPr>
      </w:pPr>
      <w:r>
        <w:rPr>
          <w:sz w:val="22"/>
          <w:szCs w:val="22"/>
        </w:rPr>
        <w:t>Bruner (1996</w:t>
      </w:r>
      <w:r w:rsidR="00E33028">
        <w:rPr>
          <w:sz w:val="22"/>
          <w:szCs w:val="22"/>
        </w:rPr>
        <w:t xml:space="preserve">, </w:t>
      </w:r>
      <w:r w:rsidR="00CD0EFF">
        <w:rPr>
          <w:sz w:val="22"/>
          <w:szCs w:val="22"/>
        </w:rPr>
        <w:t>p. 3</w:t>
      </w:r>
      <w:r>
        <w:rPr>
          <w:sz w:val="22"/>
          <w:szCs w:val="22"/>
        </w:rPr>
        <w:t xml:space="preserve">) explains that our understanding of education is formed by our perception of culture and its purpose. </w:t>
      </w:r>
      <w:r w:rsidR="00654955">
        <w:rPr>
          <w:sz w:val="22"/>
          <w:szCs w:val="22"/>
        </w:rPr>
        <w:t xml:space="preserve">In Wales, this is facilitated through the use of Curriculum Cwmreig (“YCC”). </w:t>
      </w:r>
      <w:r w:rsidR="0089737C">
        <w:rPr>
          <w:sz w:val="22"/>
          <w:szCs w:val="22"/>
        </w:rPr>
        <w:t>The liter</w:t>
      </w:r>
      <w:r w:rsidR="00654955">
        <w:rPr>
          <w:sz w:val="22"/>
          <w:szCs w:val="22"/>
        </w:rPr>
        <w:t>al translation of YCC</w:t>
      </w:r>
      <w:r w:rsidR="0089737C">
        <w:rPr>
          <w:sz w:val="22"/>
          <w:szCs w:val="22"/>
        </w:rPr>
        <w:t xml:space="preserve"> is</w:t>
      </w:r>
      <w:r w:rsidR="00AE63C4">
        <w:rPr>
          <w:sz w:val="22"/>
          <w:szCs w:val="22"/>
        </w:rPr>
        <w:t xml:space="preserve"> “the Curriculum of Wales”. Qualifications, Curriculum and Assessment Authority for Wales</w:t>
      </w:r>
      <w:r w:rsidR="0089737C">
        <w:rPr>
          <w:sz w:val="22"/>
          <w:szCs w:val="22"/>
        </w:rPr>
        <w:t xml:space="preserve"> (2003)</w:t>
      </w:r>
      <w:r w:rsidR="00AE63C4">
        <w:rPr>
          <w:sz w:val="22"/>
          <w:szCs w:val="22"/>
        </w:rPr>
        <w:t xml:space="preserve"> highlights that YCC enables </w:t>
      </w:r>
      <w:r w:rsidR="00654955">
        <w:rPr>
          <w:sz w:val="22"/>
          <w:szCs w:val="22"/>
        </w:rPr>
        <w:t>pupils</w:t>
      </w:r>
      <w:r w:rsidR="00AE63C4">
        <w:rPr>
          <w:sz w:val="22"/>
          <w:szCs w:val="22"/>
        </w:rPr>
        <w:t xml:space="preserve"> to embrace the distinctive nature of Welsh </w:t>
      </w:r>
      <w:r w:rsidR="00994992">
        <w:rPr>
          <w:sz w:val="22"/>
          <w:szCs w:val="22"/>
        </w:rPr>
        <w:t>c</w:t>
      </w:r>
      <w:r w:rsidR="00AE63C4">
        <w:rPr>
          <w:sz w:val="22"/>
          <w:szCs w:val="22"/>
        </w:rPr>
        <w:t>ulture</w:t>
      </w:r>
      <w:r w:rsidR="00654955">
        <w:rPr>
          <w:sz w:val="22"/>
          <w:szCs w:val="22"/>
        </w:rPr>
        <w:t xml:space="preserve"> in their learning.</w:t>
      </w:r>
    </w:p>
    <w:p w14:paraId="712E4781" w14:textId="77777777" w:rsidR="007E2FD4" w:rsidRDefault="007E2FD4" w:rsidP="005B696D">
      <w:pPr>
        <w:pStyle w:val="Default"/>
        <w:rPr>
          <w:sz w:val="22"/>
          <w:szCs w:val="22"/>
        </w:rPr>
      </w:pPr>
    </w:p>
    <w:p w14:paraId="177A1AF9" w14:textId="32DD99C6" w:rsidR="007E2FD4" w:rsidRDefault="007E2FD4" w:rsidP="005B696D">
      <w:pPr>
        <w:pStyle w:val="Default"/>
        <w:rPr>
          <w:sz w:val="22"/>
          <w:szCs w:val="22"/>
        </w:rPr>
      </w:pPr>
      <w:r>
        <w:rPr>
          <w:sz w:val="22"/>
          <w:szCs w:val="22"/>
        </w:rPr>
        <w:t xml:space="preserve">Welsh Government (2013) </w:t>
      </w:r>
      <w:r w:rsidR="00994992">
        <w:rPr>
          <w:sz w:val="22"/>
          <w:szCs w:val="22"/>
        </w:rPr>
        <w:t>states that YCC exists within the framework of the National Curriculum.</w:t>
      </w:r>
      <w:r w:rsidR="00654955">
        <w:rPr>
          <w:sz w:val="22"/>
          <w:szCs w:val="22"/>
        </w:rPr>
        <w:t xml:space="preserve"> Indeed, Pollard (2014</w:t>
      </w:r>
      <w:r w:rsidR="007C20D3">
        <w:rPr>
          <w:sz w:val="22"/>
          <w:szCs w:val="22"/>
        </w:rPr>
        <w:t>, p.253</w:t>
      </w:r>
      <w:r w:rsidR="00654955">
        <w:rPr>
          <w:sz w:val="22"/>
          <w:szCs w:val="22"/>
        </w:rPr>
        <w:t xml:space="preserve">) suggests that, </w:t>
      </w:r>
      <w:r w:rsidR="00120617">
        <w:rPr>
          <w:sz w:val="22"/>
          <w:szCs w:val="22"/>
        </w:rPr>
        <w:t>following</w:t>
      </w:r>
      <w:r w:rsidR="00654955">
        <w:rPr>
          <w:sz w:val="22"/>
          <w:szCs w:val="22"/>
        </w:rPr>
        <w:t xml:space="preserve"> devolution, Welsh people preserve their culture by teaching Welsh in their schools whilst the education system introduces </w:t>
      </w:r>
      <w:r w:rsidR="00B76AC9">
        <w:rPr>
          <w:sz w:val="22"/>
          <w:szCs w:val="22"/>
        </w:rPr>
        <w:t>learners to the culture of the United Kingdom as a whole.</w:t>
      </w:r>
    </w:p>
    <w:p w14:paraId="5831AB3B" w14:textId="0482DE70" w:rsidR="00306AD8" w:rsidRDefault="00306AD8" w:rsidP="005B696D">
      <w:pPr>
        <w:pStyle w:val="Default"/>
        <w:rPr>
          <w:sz w:val="22"/>
          <w:szCs w:val="22"/>
        </w:rPr>
      </w:pPr>
    </w:p>
    <w:p w14:paraId="2B9C26A9" w14:textId="34CBF03C" w:rsidR="00306AD8" w:rsidRDefault="00306AD8" w:rsidP="005B696D">
      <w:pPr>
        <w:pStyle w:val="Default"/>
        <w:rPr>
          <w:sz w:val="22"/>
          <w:szCs w:val="22"/>
        </w:rPr>
      </w:pPr>
      <w:r>
        <w:rPr>
          <w:sz w:val="22"/>
          <w:szCs w:val="22"/>
        </w:rPr>
        <w:t>Estyn (2006)</w:t>
      </w:r>
      <w:r w:rsidR="0028414F">
        <w:rPr>
          <w:sz w:val="22"/>
          <w:szCs w:val="22"/>
        </w:rPr>
        <w:t xml:space="preserve"> assesses</w:t>
      </w:r>
      <w:r w:rsidR="007F7E6D">
        <w:rPr>
          <w:sz w:val="22"/>
          <w:szCs w:val="22"/>
        </w:rPr>
        <w:t xml:space="preserve"> schools</w:t>
      </w:r>
      <w:r w:rsidR="00BB114A">
        <w:rPr>
          <w:sz w:val="22"/>
          <w:szCs w:val="22"/>
        </w:rPr>
        <w:t>’</w:t>
      </w:r>
      <w:r w:rsidR="007F7E6D">
        <w:rPr>
          <w:sz w:val="22"/>
          <w:szCs w:val="22"/>
        </w:rPr>
        <w:t xml:space="preserve"> progress in implementing YCC in Key Stages 3, 4 and 5.</w:t>
      </w:r>
      <w:r w:rsidR="00364702">
        <w:rPr>
          <w:sz w:val="22"/>
          <w:szCs w:val="22"/>
        </w:rPr>
        <w:t xml:space="preserve"> Its survey reveals that </w:t>
      </w:r>
      <w:r w:rsidR="00BB114A">
        <w:rPr>
          <w:sz w:val="22"/>
          <w:szCs w:val="22"/>
        </w:rPr>
        <w:t>YCC provide</w:t>
      </w:r>
      <w:r w:rsidR="00907207">
        <w:rPr>
          <w:sz w:val="22"/>
          <w:szCs w:val="22"/>
        </w:rPr>
        <w:t>s</w:t>
      </w:r>
      <w:r w:rsidR="00BB114A">
        <w:rPr>
          <w:sz w:val="22"/>
          <w:szCs w:val="22"/>
        </w:rPr>
        <w:t xml:space="preserve"> purpose to pupils’ learning in three quarters of schools examined. However, in the remainder, work relating to YCC </w:t>
      </w:r>
      <w:r w:rsidR="00907207">
        <w:rPr>
          <w:sz w:val="22"/>
          <w:szCs w:val="22"/>
        </w:rPr>
        <w:t>is</w:t>
      </w:r>
      <w:r w:rsidR="00BB114A">
        <w:rPr>
          <w:sz w:val="22"/>
          <w:szCs w:val="22"/>
        </w:rPr>
        <w:t xml:space="preserve"> poor and students’ knowledge of it </w:t>
      </w:r>
      <w:r w:rsidR="00907207">
        <w:rPr>
          <w:sz w:val="22"/>
          <w:szCs w:val="22"/>
        </w:rPr>
        <w:t>is</w:t>
      </w:r>
      <w:r w:rsidR="00BB114A">
        <w:rPr>
          <w:sz w:val="22"/>
          <w:szCs w:val="22"/>
        </w:rPr>
        <w:t xml:space="preserve"> lacking. This analysis is continued by Tuppen (2014</w:t>
      </w:r>
      <w:r w:rsidR="00F572B6">
        <w:rPr>
          <w:sz w:val="22"/>
          <w:szCs w:val="22"/>
        </w:rPr>
        <w:t>, p. 62</w:t>
      </w:r>
      <w:r w:rsidR="00BB114A">
        <w:rPr>
          <w:sz w:val="22"/>
          <w:szCs w:val="22"/>
        </w:rPr>
        <w:t>).</w:t>
      </w:r>
      <w:r w:rsidR="008D4067">
        <w:rPr>
          <w:sz w:val="22"/>
          <w:szCs w:val="22"/>
        </w:rPr>
        <w:t xml:space="preserve"> He believes that, if Welsh culture fits naturally into teaching, YCC is successful. However, this does not apply if it is included purely for the sake of compliance. Tuppen (2014</w:t>
      </w:r>
      <w:r w:rsidR="00F572B6">
        <w:rPr>
          <w:sz w:val="22"/>
          <w:szCs w:val="22"/>
        </w:rPr>
        <w:t>, p.62</w:t>
      </w:r>
      <w:r w:rsidR="008D4067">
        <w:rPr>
          <w:sz w:val="22"/>
          <w:szCs w:val="22"/>
        </w:rPr>
        <w:t>)</w:t>
      </w:r>
      <w:r w:rsidR="006E13BB">
        <w:rPr>
          <w:sz w:val="22"/>
          <w:szCs w:val="22"/>
        </w:rPr>
        <w:t xml:space="preserve"> concludes by questioning the extent to which YCC actually has educated learners in Welsh beliefs, values and culture.</w:t>
      </w:r>
    </w:p>
    <w:p w14:paraId="1C4F3732" w14:textId="60901A08" w:rsidR="006E13BB" w:rsidRDefault="006E13BB" w:rsidP="005B696D">
      <w:pPr>
        <w:pStyle w:val="Default"/>
        <w:rPr>
          <w:sz w:val="22"/>
          <w:szCs w:val="22"/>
        </w:rPr>
      </w:pPr>
    </w:p>
    <w:p w14:paraId="13439CCB" w14:textId="51DF431A" w:rsidR="00C5048D" w:rsidRDefault="00756BCC" w:rsidP="005B696D">
      <w:pPr>
        <w:pStyle w:val="Default"/>
        <w:rPr>
          <w:sz w:val="22"/>
          <w:szCs w:val="22"/>
        </w:rPr>
      </w:pPr>
      <w:r>
        <w:rPr>
          <w:sz w:val="22"/>
          <w:szCs w:val="22"/>
        </w:rPr>
        <w:t>Nevertheless</w:t>
      </w:r>
      <w:r w:rsidR="007A03BE">
        <w:rPr>
          <w:sz w:val="22"/>
          <w:szCs w:val="22"/>
        </w:rPr>
        <w:t>, Donaldson (2015)</w:t>
      </w:r>
      <w:r w:rsidR="00400BD8">
        <w:rPr>
          <w:sz w:val="22"/>
          <w:szCs w:val="22"/>
        </w:rPr>
        <w:t xml:space="preserve"> proposes that one of the purposes</w:t>
      </w:r>
      <w:r w:rsidR="003C54F3">
        <w:rPr>
          <w:sz w:val="22"/>
          <w:szCs w:val="22"/>
        </w:rPr>
        <w:t xml:space="preserve"> of a new curriculum should be that Welsh learners are “ethical, informed, citizens” “of Wales and the world” (Donaldson, 2015, 30).</w:t>
      </w:r>
      <w:r w:rsidR="00BC5F70">
        <w:rPr>
          <w:sz w:val="22"/>
          <w:szCs w:val="22"/>
        </w:rPr>
        <w:t xml:space="preserve"> He recommends that all pupils should study the Welsh language to the age of 16 and acquire knowledge about their community and culture generally.</w:t>
      </w:r>
    </w:p>
    <w:p w14:paraId="5D043168" w14:textId="04E83E7F" w:rsidR="00BC5F70" w:rsidRDefault="00BC5F70" w:rsidP="005B696D">
      <w:pPr>
        <w:pStyle w:val="Default"/>
        <w:rPr>
          <w:sz w:val="22"/>
          <w:szCs w:val="22"/>
        </w:rPr>
      </w:pPr>
    </w:p>
    <w:p w14:paraId="5CB24E33" w14:textId="3A03BC0C" w:rsidR="00BC5F70" w:rsidRDefault="00BC5F70" w:rsidP="005B696D">
      <w:pPr>
        <w:pStyle w:val="Default"/>
        <w:rPr>
          <w:sz w:val="22"/>
          <w:szCs w:val="22"/>
        </w:rPr>
      </w:pPr>
      <w:r>
        <w:rPr>
          <w:sz w:val="22"/>
          <w:szCs w:val="22"/>
        </w:rPr>
        <w:t>The requirement to reflect</w:t>
      </w:r>
      <w:r w:rsidR="00BD4329">
        <w:rPr>
          <w:sz w:val="22"/>
          <w:szCs w:val="22"/>
        </w:rPr>
        <w:t xml:space="preserve"> YCC in Welsh education is enshrined in The Qualified Teacher Status Standards Wales 2009</w:t>
      </w:r>
      <w:r w:rsidR="009F7E29">
        <w:rPr>
          <w:sz w:val="22"/>
          <w:szCs w:val="22"/>
        </w:rPr>
        <w:t xml:space="preserve"> (“QTS”)</w:t>
      </w:r>
      <w:r w:rsidR="00BD4329">
        <w:rPr>
          <w:sz w:val="22"/>
          <w:szCs w:val="22"/>
        </w:rPr>
        <w:t>. These state that Welsh learners should be allowed to develop their understanding of YCC. Similarly, teachers are required to make appropriate use of YCC in their work.</w:t>
      </w:r>
    </w:p>
    <w:p w14:paraId="0042BFBE" w14:textId="1BC29472" w:rsidR="003B6CCE" w:rsidRDefault="003B6CCE" w:rsidP="005B696D">
      <w:pPr>
        <w:pStyle w:val="Default"/>
        <w:rPr>
          <w:sz w:val="22"/>
          <w:szCs w:val="22"/>
        </w:rPr>
      </w:pPr>
    </w:p>
    <w:p w14:paraId="12C5AAA4" w14:textId="4430138B" w:rsidR="003B6CCE" w:rsidRDefault="003B6CCE" w:rsidP="005B696D">
      <w:pPr>
        <w:pStyle w:val="Default"/>
        <w:rPr>
          <w:sz w:val="22"/>
          <w:szCs w:val="22"/>
        </w:rPr>
      </w:pPr>
    </w:p>
    <w:p w14:paraId="036A9DA8" w14:textId="77777777" w:rsidR="003B6CCE" w:rsidRDefault="003B6CCE" w:rsidP="005B696D">
      <w:pPr>
        <w:pStyle w:val="Default"/>
        <w:rPr>
          <w:sz w:val="22"/>
          <w:szCs w:val="22"/>
        </w:rPr>
      </w:pPr>
    </w:p>
    <w:p w14:paraId="40F76F62" w14:textId="6F78D060" w:rsidR="00BD4329" w:rsidRDefault="00BD4329" w:rsidP="005B696D">
      <w:pPr>
        <w:pStyle w:val="Default"/>
        <w:rPr>
          <w:sz w:val="22"/>
          <w:szCs w:val="22"/>
        </w:rPr>
      </w:pPr>
    </w:p>
    <w:p w14:paraId="08DEE18C" w14:textId="4EC0CE41" w:rsidR="00BD4329" w:rsidRDefault="00BD4329" w:rsidP="005B696D">
      <w:pPr>
        <w:pStyle w:val="Default"/>
        <w:rPr>
          <w:sz w:val="22"/>
          <w:szCs w:val="22"/>
        </w:rPr>
      </w:pPr>
      <w:r>
        <w:rPr>
          <w:sz w:val="22"/>
          <w:szCs w:val="22"/>
        </w:rPr>
        <w:t xml:space="preserve">Consequently, I prepared my </w:t>
      </w:r>
      <w:r w:rsidR="00A114E7">
        <w:rPr>
          <w:sz w:val="22"/>
          <w:szCs w:val="22"/>
        </w:rPr>
        <w:t>Lesson Plan</w:t>
      </w:r>
      <w:r>
        <w:rPr>
          <w:sz w:val="22"/>
          <w:szCs w:val="22"/>
        </w:rPr>
        <w:t xml:space="preserve"> and Scheme to </w:t>
      </w:r>
      <w:r w:rsidR="00B0069E">
        <w:rPr>
          <w:sz w:val="22"/>
          <w:szCs w:val="22"/>
        </w:rPr>
        <w:t>reflect</w:t>
      </w:r>
      <w:r>
        <w:rPr>
          <w:sz w:val="22"/>
          <w:szCs w:val="22"/>
        </w:rPr>
        <w:t xml:space="preserve"> YCC as</w:t>
      </w:r>
      <w:r w:rsidR="0019565D">
        <w:rPr>
          <w:sz w:val="22"/>
          <w:szCs w:val="22"/>
        </w:rPr>
        <w:t xml:space="preserve"> suggested by Donaldson (2015) and not reflect the criticisms voiced by Tuppen (2014</w:t>
      </w:r>
      <w:r w:rsidR="00667FB8">
        <w:rPr>
          <w:sz w:val="22"/>
          <w:szCs w:val="22"/>
        </w:rPr>
        <w:t>, p.62</w:t>
      </w:r>
      <w:r w:rsidR="0019565D">
        <w:rPr>
          <w:sz w:val="22"/>
          <w:szCs w:val="22"/>
        </w:rPr>
        <w:t xml:space="preserve">). I </w:t>
      </w:r>
      <w:r w:rsidR="00AC19BA">
        <w:rPr>
          <w:sz w:val="22"/>
          <w:szCs w:val="22"/>
        </w:rPr>
        <w:t>included</w:t>
      </w:r>
      <w:r w:rsidR="0019565D">
        <w:rPr>
          <w:sz w:val="22"/>
          <w:szCs w:val="22"/>
        </w:rPr>
        <w:t xml:space="preserve"> examples of Welsh businesses (Amazon and Sidoli’s) in my Scheme for the lessons on Product and Place respectively. In delivering my teaching, I used a variety of incidental Welsh phrases learned in the “Cwmraeg I bawb” lectures that I had attended as part of the PGCE Course.</w:t>
      </w:r>
    </w:p>
    <w:p w14:paraId="30FD327A" w14:textId="77777777" w:rsidR="00994979" w:rsidRDefault="00994979" w:rsidP="005B696D">
      <w:pPr>
        <w:pStyle w:val="Default"/>
        <w:rPr>
          <w:sz w:val="22"/>
          <w:szCs w:val="22"/>
        </w:rPr>
      </w:pPr>
    </w:p>
    <w:p w14:paraId="7C86324E" w14:textId="16AD2128" w:rsidR="00994979" w:rsidRDefault="00994979" w:rsidP="005B696D">
      <w:pPr>
        <w:pStyle w:val="Default"/>
        <w:rPr>
          <w:b/>
          <w:sz w:val="22"/>
          <w:szCs w:val="22"/>
        </w:rPr>
      </w:pPr>
      <w:r w:rsidRPr="003B19D6">
        <w:rPr>
          <w:b/>
          <w:sz w:val="22"/>
          <w:szCs w:val="22"/>
        </w:rPr>
        <w:t>Introduction to Assessment</w:t>
      </w:r>
    </w:p>
    <w:p w14:paraId="0ADDBFB8" w14:textId="7810B48E" w:rsidR="007243D9" w:rsidRDefault="007243D9" w:rsidP="005B696D">
      <w:pPr>
        <w:pStyle w:val="Default"/>
        <w:rPr>
          <w:b/>
          <w:sz w:val="22"/>
          <w:szCs w:val="22"/>
        </w:rPr>
      </w:pPr>
    </w:p>
    <w:p w14:paraId="33EBAD10" w14:textId="56DA8E1B" w:rsidR="007243D9" w:rsidRDefault="007243D9" w:rsidP="005B696D">
      <w:pPr>
        <w:pStyle w:val="Default"/>
        <w:rPr>
          <w:sz w:val="22"/>
          <w:szCs w:val="22"/>
        </w:rPr>
      </w:pPr>
      <w:r>
        <w:rPr>
          <w:sz w:val="22"/>
          <w:szCs w:val="22"/>
        </w:rPr>
        <w:t>Brooks (2004, p.111) explains the distinction between formative assessment (assessment for learning) and summative assessment (assessment of learning).</w:t>
      </w:r>
    </w:p>
    <w:p w14:paraId="198A7F9F" w14:textId="714EBA1F" w:rsidR="00E352D9" w:rsidRDefault="00E352D9" w:rsidP="005B696D">
      <w:pPr>
        <w:pStyle w:val="Default"/>
        <w:rPr>
          <w:sz w:val="22"/>
          <w:szCs w:val="22"/>
        </w:rPr>
      </w:pPr>
    </w:p>
    <w:p w14:paraId="74471C69" w14:textId="18C6F744" w:rsidR="00E352D9" w:rsidRDefault="00C34316" w:rsidP="005B696D">
      <w:pPr>
        <w:pStyle w:val="Default"/>
        <w:rPr>
          <w:sz w:val="22"/>
          <w:szCs w:val="22"/>
        </w:rPr>
      </w:pPr>
      <w:r>
        <w:rPr>
          <w:sz w:val="22"/>
          <w:szCs w:val="22"/>
        </w:rPr>
        <w:t>Black &amp; Wiliam (2010, cited in Dixson &amp; Worrell, 2016, p.153)</w:t>
      </w:r>
      <w:r w:rsidR="007D2AA7">
        <w:rPr>
          <w:sz w:val="22"/>
          <w:szCs w:val="22"/>
        </w:rPr>
        <w:t>, expand on this definition of formative assessment.</w:t>
      </w:r>
      <w:r w:rsidR="00FC5BD6">
        <w:rPr>
          <w:sz w:val="22"/>
          <w:szCs w:val="22"/>
        </w:rPr>
        <w:t xml:space="preserve"> It encompasses tasks that teachers and students undertake which provide feedback that modifies learning activities. These help students learn more effectively. The assessments are usually informal and low stakes, occurring both before and during instruction. Brooks (2004, pp. 110-111) introduces the concept of </w:t>
      </w:r>
      <w:r w:rsidR="007D7933">
        <w:rPr>
          <w:sz w:val="22"/>
          <w:szCs w:val="22"/>
        </w:rPr>
        <w:t>f</w:t>
      </w:r>
      <w:r w:rsidR="00FC5BD6">
        <w:rPr>
          <w:sz w:val="22"/>
          <w:szCs w:val="22"/>
        </w:rPr>
        <w:t>eedforward, where feedback is used to improve future teaching and learning.</w:t>
      </w:r>
    </w:p>
    <w:p w14:paraId="1F060B98" w14:textId="45F78B61" w:rsidR="00FC5BD6" w:rsidRDefault="00FC5BD6" w:rsidP="005B696D">
      <w:pPr>
        <w:pStyle w:val="Default"/>
        <w:rPr>
          <w:sz w:val="22"/>
          <w:szCs w:val="22"/>
        </w:rPr>
      </w:pPr>
    </w:p>
    <w:p w14:paraId="44AAD4D1" w14:textId="3113DB93" w:rsidR="00FC5BD6" w:rsidRDefault="00FC5BD6" w:rsidP="005B696D">
      <w:pPr>
        <w:pStyle w:val="Default"/>
        <w:rPr>
          <w:sz w:val="22"/>
          <w:szCs w:val="22"/>
        </w:rPr>
      </w:pPr>
      <w:r>
        <w:rPr>
          <w:sz w:val="22"/>
          <w:szCs w:val="22"/>
        </w:rPr>
        <w:t>Related to this is the Exit Ticket described by Cornelius (2014, p. 116)</w:t>
      </w:r>
      <w:r w:rsidR="007C6D9D">
        <w:rPr>
          <w:sz w:val="22"/>
          <w:szCs w:val="22"/>
        </w:rPr>
        <w:t>. The teacher poses a question at the end of the period, based on that lesson. Students submit a written response to the teacher as they exit the classroom. These are reviewed by the teacher and the topic is discussed in groups at the start of the next lesson.</w:t>
      </w:r>
    </w:p>
    <w:p w14:paraId="61DB6141" w14:textId="382EE610" w:rsidR="006E785C" w:rsidRDefault="006E785C" w:rsidP="005B696D">
      <w:pPr>
        <w:pStyle w:val="Default"/>
        <w:rPr>
          <w:sz w:val="22"/>
          <w:szCs w:val="22"/>
        </w:rPr>
      </w:pPr>
    </w:p>
    <w:p w14:paraId="7A3CB96B" w14:textId="56BBACE1" w:rsidR="006E785C" w:rsidRDefault="006E785C" w:rsidP="005B696D">
      <w:pPr>
        <w:pStyle w:val="Default"/>
        <w:rPr>
          <w:sz w:val="22"/>
          <w:szCs w:val="22"/>
        </w:rPr>
      </w:pPr>
      <w:r>
        <w:rPr>
          <w:sz w:val="22"/>
          <w:szCs w:val="22"/>
        </w:rPr>
        <w:t xml:space="preserve">Gardner (2010, cited in Dixson &amp; Worrell, 2016, p. 156) </w:t>
      </w:r>
      <w:r w:rsidR="00096E87">
        <w:rPr>
          <w:sz w:val="22"/>
          <w:szCs w:val="22"/>
        </w:rPr>
        <w:t>explains</w:t>
      </w:r>
      <w:r w:rsidR="00AF1AEB">
        <w:rPr>
          <w:sz w:val="22"/>
          <w:szCs w:val="22"/>
        </w:rPr>
        <w:t xml:space="preserve"> that summative assessments are generally high stakes, providing a final assessment of how much learning has occurred. Consequently, they are less frequent than formative assessments. </w:t>
      </w:r>
    </w:p>
    <w:p w14:paraId="71FCEA5A" w14:textId="57B72FCB" w:rsidR="007243D9" w:rsidRDefault="007243D9" w:rsidP="005B696D">
      <w:pPr>
        <w:pStyle w:val="Default"/>
        <w:rPr>
          <w:sz w:val="22"/>
          <w:szCs w:val="22"/>
        </w:rPr>
      </w:pPr>
    </w:p>
    <w:p w14:paraId="29B1591C" w14:textId="53919108" w:rsidR="00AF1AEB" w:rsidRDefault="00CE607B" w:rsidP="005B696D">
      <w:pPr>
        <w:pStyle w:val="Default"/>
        <w:rPr>
          <w:sz w:val="22"/>
          <w:szCs w:val="22"/>
        </w:rPr>
      </w:pPr>
      <w:r>
        <w:rPr>
          <w:sz w:val="22"/>
          <w:szCs w:val="22"/>
        </w:rPr>
        <w:t xml:space="preserve">In conclusion, </w:t>
      </w:r>
      <w:r w:rsidR="00AF1AEB">
        <w:rPr>
          <w:sz w:val="22"/>
          <w:szCs w:val="22"/>
        </w:rPr>
        <w:t>Hattie (2003, p.8)</w:t>
      </w:r>
      <w:r>
        <w:rPr>
          <w:sz w:val="22"/>
          <w:szCs w:val="22"/>
        </w:rPr>
        <w:t>, reminds us that decision making by educators in the classroom is of greater importance than whether they use formative or summative assessment in delivering their teaching.</w:t>
      </w:r>
    </w:p>
    <w:p w14:paraId="306990DB" w14:textId="625EE62A" w:rsidR="007243D9" w:rsidRDefault="007243D9" w:rsidP="005B696D">
      <w:pPr>
        <w:pStyle w:val="Default"/>
        <w:rPr>
          <w:sz w:val="22"/>
          <w:szCs w:val="22"/>
        </w:rPr>
      </w:pPr>
    </w:p>
    <w:p w14:paraId="6DB0C035" w14:textId="0FE44926" w:rsidR="008B56A3" w:rsidRPr="007243D9" w:rsidRDefault="008B56A3" w:rsidP="005B696D">
      <w:pPr>
        <w:pStyle w:val="Default"/>
        <w:rPr>
          <w:sz w:val="22"/>
          <w:szCs w:val="22"/>
        </w:rPr>
      </w:pPr>
      <w:r>
        <w:rPr>
          <w:sz w:val="22"/>
          <w:szCs w:val="22"/>
        </w:rPr>
        <w:t>My Scheme was prepared to use assessment for learning throughout all lessons. As a novice teacher, feedback from learners is vital to me in informing my planning and assessing how I need to vary my approach</w:t>
      </w:r>
      <w:r w:rsidR="00096E87">
        <w:rPr>
          <w:sz w:val="22"/>
          <w:szCs w:val="22"/>
        </w:rPr>
        <w:t>,</w:t>
      </w:r>
      <w:r>
        <w:rPr>
          <w:sz w:val="22"/>
          <w:szCs w:val="22"/>
        </w:rPr>
        <w:t xml:space="preserve"> </w:t>
      </w:r>
      <w:r w:rsidR="00424876">
        <w:rPr>
          <w:sz w:val="22"/>
          <w:szCs w:val="22"/>
        </w:rPr>
        <w:t>to progress all pupils’</w:t>
      </w:r>
      <w:r>
        <w:rPr>
          <w:sz w:val="22"/>
          <w:szCs w:val="22"/>
        </w:rPr>
        <w:t xml:space="preserve"> learning. In my micro teach lesson, the Exit Ticket exercise provided invaluable feedback on pupils’ understanding</w:t>
      </w:r>
      <w:r w:rsidR="00FF6DEF">
        <w:rPr>
          <w:sz w:val="22"/>
          <w:szCs w:val="22"/>
        </w:rPr>
        <w:t xml:space="preserve"> and the effectiveness of my teaching. </w:t>
      </w:r>
      <w:r w:rsidR="00096E87">
        <w:rPr>
          <w:sz w:val="22"/>
          <w:szCs w:val="22"/>
        </w:rPr>
        <w:t>T</w:t>
      </w:r>
      <w:r w:rsidR="00FF6DEF">
        <w:rPr>
          <w:sz w:val="22"/>
          <w:szCs w:val="22"/>
        </w:rPr>
        <w:t>his would have been used in the next lesson as suggested by Cornelius (2014, p. 116).</w:t>
      </w:r>
    </w:p>
    <w:p w14:paraId="4344DF2F" w14:textId="77777777" w:rsidR="00994979" w:rsidRDefault="00994979" w:rsidP="005B696D">
      <w:pPr>
        <w:pStyle w:val="Default"/>
        <w:rPr>
          <w:sz w:val="22"/>
          <w:szCs w:val="22"/>
        </w:rPr>
      </w:pPr>
    </w:p>
    <w:p w14:paraId="4432E9DD" w14:textId="3FF3E746" w:rsidR="00994979" w:rsidRDefault="00994979" w:rsidP="005B696D">
      <w:pPr>
        <w:pStyle w:val="Default"/>
        <w:rPr>
          <w:b/>
          <w:sz w:val="22"/>
          <w:szCs w:val="22"/>
        </w:rPr>
      </w:pPr>
      <w:r w:rsidRPr="00AD046B">
        <w:rPr>
          <w:b/>
          <w:sz w:val="22"/>
          <w:szCs w:val="22"/>
        </w:rPr>
        <w:t>Behaviour Management</w:t>
      </w:r>
    </w:p>
    <w:p w14:paraId="0AFC3BE7" w14:textId="0992CDBC" w:rsidR="00C60537" w:rsidRDefault="00C60537" w:rsidP="005B696D">
      <w:pPr>
        <w:pStyle w:val="Default"/>
        <w:rPr>
          <w:b/>
          <w:sz w:val="22"/>
          <w:szCs w:val="22"/>
        </w:rPr>
      </w:pPr>
    </w:p>
    <w:p w14:paraId="5FEB5D57" w14:textId="1A34AF16" w:rsidR="00C60537" w:rsidRPr="00C60537" w:rsidRDefault="001D38FD" w:rsidP="005B696D">
      <w:pPr>
        <w:pStyle w:val="Default"/>
        <w:rPr>
          <w:sz w:val="22"/>
          <w:szCs w:val="22"/>
        </w:rPr>
      </w:pPr>
      <w:r>
        <w:rPr>
          <w:sz w:val="22"/>
          <w:szCs w:val="22"/>
        </w:rPr>
        <w:t>Here</w:t>
      </w:r>
      <w:r w:rsidR="00C60537">
        <w:rPr>
          <w:sz w:val="22"/>
          <w:szCs w:val="22"/>
        </w:rPr>
        <w:t xml:space="preserve">, I comment on three techniques for managing behaviour that I </w:t>
      </w:r>
      <w:r w:rsidR="008B730F">
        <w:rPr>
          <w:sz w:val="22"/>
          <w:szCs w:val="22"/>
        </w:rPr>
        <w:t>employ</w:t>
      </w:r>
      <w:r w:rsidR="00C60537">
        <w:rPr>
          <w:sz w:val="22"/>
          <w:szCs w:val="22"/>
        </w:rPr>
        <w:t xml:space="preserve">ed in my lesson: </w:t>
      </w:r>
      <w:r w:rsidR="008B730F">
        <w:rPr>
          <w:sz w:val="22"/>
          <w:szCs w:val="22"/>
        </w:rPr>
        <w:t>preparing</w:t>
      </w:r>
      <w:r w:rsidR="00C60537">
        <w:rPr>
          <w:sz w:val="22"/>
          <w:szCs w:val="22"/>
        </w:rPr>
        <w:t xml:space="preserve"> a seating plan; greeting pupils at the door; and the use of learners’ names.</w:t>
      </w:r>
    </w:p>
    <w:p w14:paraId="759836F5" w14:textId="6B815BDF" w:rsidR="00AD046B" w:rsidRDefault="00AD046B" w:rsidP="005B696D">
      <w:pPr>
        <w:pStyle w:val="Default"/>
        <w:rPr>
          <w:b/>
          <w:sz w:val="22"/>
          <w:szCs w:val="22"/>
        </w:rPr>
      </w:pPr>
    </w:p>
    <w:p w14:paraId="5CAE786A" w14:textId="0A19C62C" w:rsidR="00AD046B" w:rsidRDefault="00AD046B" w:rsidP="005B696D">
      <w:pPr>
        <w:pStyle w:val="Default"/>
        <w:rPr>
          <w:sz w:val="22"/>
          <w:szCs w:val="22"/>
        </w:rPr>
      </w:pPr>
      <w:r>
        <w:rPr>
          <w:sz w:val="22"/>
          <w:szCs w:val="22"/>
        </w:rPr>
        <w:t>Wong &amp; Wong (1998</w:t>
      </w:r>
      <w:r w:rsidR="00667FB8">
        <w:rPr>
          <w:sz w:val="22"/>
          <w:szCs w:val="22"/>
        </w:rPr>
        <w:t>, p</w:t>
      </w:r>
      <w:r w:rsidR="00A628FA">
        <w:rPr>
          <w:sz w:val="22"/>
          <w:szCs w:val="22"/>
        </w:rPr>
        <w:t>p</w:t>
      </w:r>
      <w:r w:rsidR="00667FB8">
        <w:rPr>
          <w:sz w:val="22"/>
          <w:szCs w:val="22"/>
        </w:rPr>
        <w:t>.</w:t>
      </w:r>
      <w:r w:rsidR="00A628FA">
        <w:rPr>
          <w:sz w:val="22"/>
          <w:szCs w:val="22"/>
        </w:rPr>
        <w:t xml:space="preserve"> 108,</w:t>
      </w:r>
      <w:r w:rsidR="00667FB8">
        <w:rPr>
          <w:sz w:val="22"/>
          <w:szCs w:val="22"/>
        </w:rPr>
        <w:t>119</w:t>
      </w:r>
      <w:r>
        <w:rPr>
          <w:sz w:val="22"/>
          <w:szCs w:val="22"/>
        </w:rPr>
        <w:t>)</w:t>
      </w:r>
      <w:r w:rsidR="00C60537">
        <w:rPr>
          <w:sz w:val="22"/>
          <w:szCs w:val="22"/>
        </w:rPr>
        <w:t xml:space="preserve"> claim that using a seating plan results in a more effective class for the majority of the time. </w:t>
      </w:r>
      <w:r w:rsidR="00A628FA">
        <w:rPr>
          <w:sz w:val="22"/>
          <w:szCs w:val="22"/>
        </w:rPr>
        <w:t>They</w:t>
      </w:r>
      <w:r w:rsidR="00C60537">
        <w:rPr>
          <w:sz w:val="22"/>
          <w:szCs w:val="22"/>
        </w:rPr>
        <w:t xml:space="preserve"> recommend displaying the plan</w:t>
      </w:r>
      <w:r w:rsidR="00667FB8">
        <w:rPr>
          <w:sz w:val="22"/>
          <w:szCs w:val="22"/>
        </w:rPr>
        <w:t>,</w:t>
      </w:r>
      <w:r w:rsidR="00C60537">
        <w:rPr>
          <w:sz w:val="22"/>
          <w:szCs w:val="22"/>
        </w:rPr>
        <w:t xml:space="preserve"> so it is visible to students as they enter the room</w:t>
      </w:r>
      <w:r w:rsidR="00AC19BA">
        <w:rPr>
          <w:sz w:val="22"/>
          <w:szCs w:val="22"/>
        </w:rPr>
        <w:t>,</w:t>
      </w:r>
      <w:r w:rsidR="00C60537">
        <w:rPr>
          <w:sz w:val="22"/>
          <w:szCs w:val="22"/>
        </w:rPr>
        <w:t xml:space="preserve"> </w:t>
      </w:r>
      <w:r w:rsidR="001D38FD">
        <w:rPr>
          <w:sz w:val="22"/>
          <w:szCs w:val="22"/>
        </w:rPr>
        <w:t>enabling them to</w:t>
      </w:r>
      <w:r w:rsidR="00C60537">
        <w:rPr>
          <w:sz w:val="22"/>
          <w:szCs w:val="22"/>
        </w:rPr>
        <w:t xml:space="preserve"> move </w:t>
      </w:r>
      <w:r w:rsidR="001D38FD">
        <w:rPr>
          <w:sz w:val="22"/>
          <w:szCs w:val="22"/>
        </w:rPr>
        <w:t>directly</w:t>
      </w:r>
      <w:r w:rsidR="00C60537">
        <w:rPr>
          <w:sz w:val="22"/>
          <w:szCs w:val="22"/>
        </w:rPr>
        <w:t xml:space="preserve"> to their assigned place.</w:t>
      </w:r>
      <w:r w:rsidR="00AC19BA">
        <w:rPr>
          <w:sz w:val="22"/>
          <w:szCs w:val="22"/>
        </w:rPr>
        <w:t xml:space="preserve"> Consequently, in my micro teaching lesson, the plan was visible on the whiteboard at the beginning of the period.</w:t>
      </w:r>
    </w:p>
    <w:p w14:paraId="19D444DA" w14:textId="77777777" w:rsidR="001D38FD" w:rsidRDefault="001D38FD" w:rsidP="005B696D">
      <w:pPr>
        <w:pStyle w:val="Default"/>
        <w:rPr>
          <w:sz w:val="22"/>
          <w:szCs w:val="22"/>
        </w:rPr>
      </w:pPr>
    </w:p>
    <w:p w14:paraId="657DF6AC" w14:textId="2C6D0BBD" w:rsidR="00AC19BA" w:rsidRDefault="00AC19BA" w:rsidP="005B696D">
      <w:pPr>
        <w:pStyle w:val="Default"/>
        <w:rPr>
          <w:sz w:val="22"/>
          <w:szCs w:val="22"/>
        </w:rPr>
      </w:pPr>
    </w:p>
    <w:p w14:paraId="6E6810AC" w14:textId="74A5722B" w:rsidR="00AC19BA" w:rsidRDefault="00B2179B" w:rsidP="005B696D">
      <w:pPr>
        <w:pStyle w:val="Default"/>
        <w:rPr>
          <w:sz w:val="22"/>
          <w:szCs w:val="22"/>
        </w:rPr>
      </w:pPr>
      <w:r>
        <w:rPr>
          <w:sz w:val="22"/>
          <w:szCs w:val="22"/>
        </w:rPr>
        <w:t xml:space="preserve">My plan was for a largely </w:t>
      </w:r>
      <w:r w:rsidR="001D38FD">
        <w:rPr>
          <w:sz w:val="22"/>
          <w:szCs w:val="22"/>
        </w:rPr>
        <w:t>Teacher-led</w:t>
      </w:r>
      <w:r>
        <w:rPr>
          <w:sz w:val="22"/>
          <w:szCs w:val="22"/>
        </w:rPr>
        <w:t xml:space="preserve"> lesson, interacting with the class as I delivered content to them. As a result, I rearranged the classroom to sit pupils in rows. </w:t>
      </w:r>
      <w:r w:rsidR="00AC19BA">
        <w:rPr>
          <w:sz w:val="22"/>
          <w:szCs w:val="22"/>
        </w:rPr>
        <w:t>Muijs &amp; Reynolds (2001</w:t>
      </w:r>
      <w:r w:rsidR="00667FB8">
        <w:rPr>
          <w:sz w:val="22"/>
          <w:szCs w:val="22"/>
        </w:rPr>
        <w:t>, pp. 38-39)</w:t>
      </w:r>
      <w:r>
        <w:rPr>
          <w:sz w:val="22"/>
          <w:szCs w:val="22"/>
        </w:rPr>
        <w:t xml:space="preserve"> suggest that this</w:t>
      </w:r>
      <w:r w:rsidR="00FA0DB2">
        <w:rPr>
          <w:sz w:val="22"/>
          <w:szCs w:val="22"/>
        </w:rPr>
        <w:t xml:space="preserve"> layout</w:t>
      </w:r>
      <w:r>
        <w:rPr>
          <w:sz w:val="22"/>
          <w:szCs w:val="22"/>
        </w:rPr>
        <w:t xml:space="preserve"> is effective for whole-class teaching.</w:t>
      </w:r>
    </w:p>
    <w:p w14:paraId="7DABD296" w14:textId="43BABD34" w:rsidR="00105BFD" w:rsidRDefault="00105BFD" w:rsidP="005B696D">
      <w:pPr>
        <w:pStyle w:val="Default"/>
        <w:rPr>
          <w:sz w:val="22"/>
          <w:szCs w:val="22"/>
        </w:rPr>
      </w:pPr>
    </w:p>
    <w:p w14:paraId="6DF93F57" w14:textId="05EB5773" w:rsidR="00105BFD" w:rsidRDefault="00105BFD" w:rsidP="005B696D">
      <w:pPr>
        <w:pStyle w:val="Default"/>
        <w:rPr>
          <w:sz w:val="22"/>
          <w:szCs w:val="22"/>
        </w:rPr>
      </w:pPr>
      <w:r>
        <w:rPr>
          <w:sz w:val="22"/>
          <w:szCs w:val="22"/>
        </w:rPr>
        <w:t xml:space="preserve">I ensured that learners were aware of the seating plan by greeting them at the door. Crozier, </w:t>
      </w:r>
      <w:r w:rsidR="00667FB8">
        <w:rPr>
          <w:sz w:val="22"/>
          <w:szCs w:val="22"/>
        </w:rPr>
        <w:t>(</w:t>
      </w:r>
      <w:r>
        <w:rPr>
          <w:sz w:val="22"/>
          <w:szCs w:val="22"/>
        </w:rPr>
        <w:t>2004</w:t>
      </w:r>
      <w:r w:rsidR="00667FB8">
        <w:rPr>
          <w:sz w:val="22"/>
          <w:szCs w:val="22"/>
        </w:rPr>
        <w:t>, p.143)</w:t>
      </w:r>
      <w:r w:rsidR="004F2E3F">
        <w:rPr>
          <w:sz w:val="22"/>
          <w:szCs w:val="22"/>
        </w:rPr>
        <w:t xml:space="preserve"> proposes this in order to remind students of the classroom rules. Rogers (2015, p. 5</w:t>
      </w:r>
      <w:r w:rsidR="00A628FA">
        <w:rPr>
          <w:sz w:val="22"/>
          <w:szCs w:val="22"/>
        </w:rPr>
        <w:t>5-56</w:t>
      </w:r>
      <w:r w:rsidR="004F2E3F">
        <w:rPr>
          <w:sz w:val="22"/>
          <w:szCs w:val="22"/>
        </w:rPr>
        <w:t>)</w:t>
      </w:r>
      <w:r w:rsidR="00A628FA">
        <w:rPr>
          <w:sz w:val="22"/>
          <w:szCs w:val="22"/>
        </w:rPr>
        <w:t xml:space="preserve"> confirms that this initial contact, if correctly handled by the teacher, can assist in managing pupils’ transition from a boisterous physical environment outside t</w:t>
      </w:r>
      <w:r w:rsidR="00D71A4A">
        <w:rPr>
          <w:sz w:val="22"/>
          <w:szCs w:val="22"/>
        </w:rPr>
        <w:t>he classroom to a calmer one within.</w:t>
      </w:r>
    </w:p>
    <w:p w14:paraId="22C24B62" w14:textId="30867B58" w:rsidR="00AC19BA" w:rsidRDefault="00AC19BA" w:rsidP="005B696D">
      <w:pPr>
        <w:pStyle w:val="Default"/>
        <w:rPr>
          <w:sz w:val="22"/>
          <w:szCs w:val="22"/>
        </w:rPr>
      </w:pPr>
    </w:p>
    <w:p w14:paraId="28151823" w14:textId="7892B16F" w:rsidR="00E060E3" w:rsidRDefault="00D71A4A" w:rsidP="005B696D">
      <w:pPr>
        <w:pStyle w:val="Default"/>
        <w:rPr>
          <w:sz w:val="22"/>
          <w:szCs w:val="22"/>
        </w:rPr>
      </w:pPr>
      <w:r>
        <w:rPr>
          <w:sz w:val="22"/>
          <w:szCs w:val="22"/>
        </w:rPr>
        <w:t xml:space="preserve">Bennett (2015) points out that ignorance of pupils’ names will prevent a teacher from controlling them. </w:t>
      </w:r>
      <w:r w:rsidR="00E060E3">
        <w:rPr>
          <w:sz w:val="22"/>
          <w:szCs w:val="22"/>
        </w:rPr>
        <w:t xml:space="preserve">Similarly, </w:t>
      </w:r>
      <w:r>
        <w:rPr>
          <w:sz w:val="22"/>
          <w:szCs w:val="22"/>
        </w:rPr>
        <w:t>Rogers (2015, p.69)</w:t>
      </w:r>
      <w:r w:rsidR="00E060E3">
        <w:rPr>
          <w:sz w:val="22"/>
          <w:szCs w:val="22"/>
        </w:rPr>
        <w:t xml:space="preserve"> stresses that knowing and using student</w:t>
      </w:r>
      <w:r w:rsidR="00AC2226">
        <w:rPr>
          <w:sz w:val="22"/>
          <w:szCs w:val="22"/>
        </w:rPr>
        <w:t xml:space="preserve">s’ </w:t>
      </w:r>
      <w:r w:rsidR="00E060E3">
        <w:rPr>
          <w:sz w:val="22"/>
          <w:szCs w:val="22"/>
        </w:rPr>
        <w:t xml:space="preserve">names is essential, not only for classroom management, but also for building relationships with them. </w:t>
      </w:r>
    </w:p>
    <w:p w14:paraId="0EDB1F52" w14:textId="77777777" w:rsidR="00E060E3" w:rsidRDefault="00E060E3" w:rsidP="005B696D">
      <w:pPr>
        <w:pStyle w:val="Default"/>
        <w:rPr>
          <w:sz w:val="22"/>
          <w:szCs w:val="22"/>
        </w:rPr>
      </w:pPr>
    </w:p>
    <w:p w14:paraId="3236AB06" w14:textId="33552822" w:rsidR="00D71A4A" w:rsidRDefault="00E060E3" w:rsidP="005B696D">
      <w:pPr>
        <w:pStyle w:val="Default"/>
        <w:rPr>
          <w:sz w:val="22"/>
          <w:szCs w:val="22"/>
        </w:rPr>
      </w:pPr>
      <w:r>
        <w:rPr>
          <w:sz w:val="22"/>
          <w:szCs w:val="22"/>
        </w:rPr>
        <w:t>When preparing my lesson, I used the PGCE Student List circulated for the Bridging Days to obtain the names of the Geography Students who would be present. That enabled me to prepare the seating plan referred to above. Additionally, I used a copy of</w:t>
      </w:r>
      <w:r w:rsidR="008B730F">
        <w:rPr>
          <w:sz w:val="22"/>
          <w:szCs w:val="22"/>
        </w:rPr>
        <w:t xml:space="preserve"> the plan throughout my teaching to recall and use pupils’ names, thereby improving my confidence and impact.</w:t>
      </w:r>
    </w:p>
    <w:p w14:paraId="64F178D7" w14:textId="1EB5BDCE" w:rsidR="00E4499C" w:rsidRDefault="00E4499C" w:rsidP="005B696D">
      <w:pPr>
        <w:pStyle w:val="Default"/>
        <w:rPr>
          <w:sz w:val="22"/>
          <w:szCs w:val="22"/>
        </w:rPr>
      </w:pPr>
    </w:p>
    <w:p w14:paraId="3D3F3851" w14:textId="7619A8F6" w:rsidR="00E4499C" w:rsidRDefault="00FC339B" w:rsidP="005B696D">
      <w:pPr>
        <w:pStyle w:val="Default"/>
        <w:rPr>
          <w:b/>
          <w:sz w:val="22"/>
          <w:szCs w:val="22"/>
        </w:rPr>
      </w:pPr>
      <w:r w:rsidRPr="00C217CB">
        <w:rPr>
          <w:b/>
          <w:sz w:val="22"/>
          <w:szCs w:val="22"/>
        </w:rPr>
        <w:t>1,650 Words</w:t>
      </w:r>
    </w:p>
    <w:p w14:paraId="5173D7B5" w14:textId="64271BC9" w:rsidR="003A2CBC" w:rsidRDefault="003A2CBC" w:rsidP="005B696D">
      <w:pPr>
        <w:pStyle w:val="Default"/>
        <w:rPr>
          <w:b/>
          <w:sz w:val="22"/>
          <w:szCs w:val="22"/>
        </w:rPr>
      </w:pPr>
    </w:p>
    <w:p w14:paraId="4B61D07A" w14:textId="77777777" w:rsidR="003A2CBC" w:rsidRDefault="003A2CBC" w:rsidP="005B696D">
      <w:pPr>
        <w:pStyle w:val="Default"/>
        <w:rPr>
          <w:b/>
          <w:sz w:val="22"/>
          <w:szCs w:val="22"/>
        </w:rPr>
      </w:pPr>
    </w:p>
    <w:p w14:paraId="01A2544D" w14:textId="4B88CF16" w:rsidR="00C217CB" w:rsidRDefault="00C217CB" w:rsidP="005B696D">
      <w:pPr>
        <w:pStyle w:val="Default"/>
        <w:rPr>
          <w:b/>
          <w:sz w:val="22"/>
          <w:szCs w:val="22"/>
        </w:rPr>
      </w:pPr>
    </w:p>
    <w:p w14:paraId="4C5BA674" w14:textId="77777777" w:rsidR="00C217CB" w:rsidRPr="00CA6317" w:rsidRDefault="00C217CB" w:rsidP="00C217CB">
      <w:pPr>
        <w:autoSpaceDE w:val="0"/>
        <w:autoSpaceDN w:val="0"/>
        <w:adjustRightInd w:val="0"/>
        <w:rPr>
          <w:rFonts w:ascii="Arial" w:eastAsiaTheme="minorHAnsi" w:hAnsi="Arial" w:cs="Arial"/>
          <w:b/>
          <w:color w:val="000000"/>
          <w:sz w:val="22"/>
          <w:szCs w:val="22"/>
          <w:lang w:eastAsia="en-US"/>
        </w:rPr>
      </w:pPr>
      <w:r w:rsidRPr="00CA6317">
        <w:rPr>
          <w:rFonts w:ascii="Arial" w:eastAsiaTheme="minorHAnsi" w:hAnsi="Arial" w:cs="Arial"/>
          <w:b/>
          <w:color w:val="000000"/>
          <w:sz w:val="22"/>
          <w:szCs w:val="22"/>
          <w:lang w:eastAsia="en-US"/>
        </w:rPr>
        <w:t xml:space="preserve">(ii) In light of your first teaching experience, revisit your micro-teaching lesson and address the following: </w:t>
      </w:r>
    </w:p>
    <w:p w14:paraId="08E06C0C" w14:textId="757408BB" w:rsidR="00C217CB" w:rsidRDefault="00C217CB" w:rsidP="00C217CB">
      <w:pPr>
        <w:autoSpaceDE w:val="0"/>
        <w:autoSpaceDN w:val="0"/>
        <w:adjustRightInd w:val="0"/>
        <w:rPr>
          <w:rFonts w:ascii="Arial" w:eastAsiaTheme="minorHAnsi" w:hAnsi="Arial" w:cs="Arial"/>
          <w:b/>
          <w:color w:val="000000"/>
          <w:sz w:val="22"/>
          <w:szCs w:val="22"/>
          <w:lang w:eastAsia="en-US"/>
        </w:rPr>
      </w:pPr>
      <w:r w:rsidRPr="00CA6317">
        <w:rPr>
          <w:rFonts w:ascii="Arial" w:eastAsiaTheme="minorHAnsi" w:hAnsi="Arial" w:cs="Arial"/>
          <w:b/>
          <w:color w:val="000000"/>
          <w:sz w:val="22"/>
          <w:szCs w:val="22"/>
          <w:lang w:eastAsia="en-US"/>
        </w:rPr>
        <w:t xml:space="preserve">• Critically evaluate your lesson in light of your first professional teaching experience. </w:t>
      </w:r>
    </w:p>
    <w:p w14:paraId="7F7FF720" w14:textId="6B388DDE" w:rsidR="00CA6317" w:rsidRDefault="00CA6317" w:rsidP="00C217CB">
      <w:pPr>
        <w:autoSpaceDE w:val="0"/>
        <w:autoSpaceDN w:val="0"/>
        <w:adjustRightInd w:val="0"/>
        <w:rPr>
          <w:rFonts w:ascii="Arial" w:eastAsiaTheme="minorHAnsi" w:hAnsi="Arial" w:cs="Arial"/>
          <w:b/>
          <w:color w:val="000000"/>
          <w:sz w:val="22"/>
          <w:szCs w:val="22"/>
          <w:lang w:eastAsia="en-US"/>
        </w:rPr>
      </w:pPr>
    </w:p>
    <w:p w14:paraId="73A7789A" w14:textId="528C9C2C" w:rsidR="00CA6317" w:rsidRDefault="00CA6317" w:rsidP="00C217CB">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This response uses the headings adopted in (i) above and evaluates my lesson in the context of my Bridging Days at Coedcae and Olchfa as well as my PTE1 at Ysgol Gyfun Emlyn (“YGE”).</w:t>
      </w:r>
    </w:p>
    <w:p w14:paraId="1ADD838C" w14:textId="3F0C5512" w:rsidR="00CA6317" w:rsidRDefault="00CA6317" w:rsidP="00C217CB">
      <w:pPr>
        <w:autoSpaceDE w:val="0"/>
        <w:autoSpaceDN w:val="0"/>
        <w:adjustRightInd w:val="0"/>
        <w:rPr>
          <w:rFonts w:ascii="Arial" w:eastAsiaTheme="minorHAnsi" w:hAnsi="Arial" w:cs="Arial"/>
          <w:color w:val="000000"/>
          <w:sz w:val="22"/>
          <w:szCs w:val="22"/>
          <w:lang w:eastAsia="en-US"/>
        </w:rPr>
      </w:pPr>
    </w:p>
    <w:p w14:paraId="44945870" w14:textId="77777777" w:rsidR="00CA6317" w:rsidRDefault="00CA6317" w:rsidP="00CA6317">
      <w:pPr>
        <w:pStyle w:val="Default"/>
        <w:rPr>
          <w:b/>
          <w:sz w:val="22"/>
          <w:szCs w:val="22"/>
        </w:rPr>
      </w:pPr>
      <w:r w:rsidRPr="0068343F">
        <w:rPr>
          <w:b/>
          <w:sz w:val="22"/>
          <w:szCs w:val="22"/>
        </w:rPr>
        <w:t>Addressing the needs of a range of learners</w:t>
      </w:r>
    </w:p>
    <w:p w14:paraId="57286AC1" w14:textId="0A1190DD" w:rsidR="00CA6317" w:rsidRDefault="00CA6317" w:rsidP="00C217CB">
      <w:pPr>
        <w:autoSpaceDE w:val="0"/>
        <w:autoSpaceDN w:val="0"/>
        <w:adjustRightInd w:val="0"/>
        <w:rPr>
          <w:rFonts w:ascii="Arial" w:eastAsiaTheme="minorHAnsi" w:hAnsi="Arial" w:cs="Arial"/>
          <w:color w:val="000000"/>
          <w:sz w:val="22"/>
          <w:szCs w:val="22"/>
          <w:lang w:eastAsia="en-US"/>
        </w:rPr>
      </w:pPr>
    </w:p>
    <w:p w14:paraId="5EEF2F65" w14:textId="2EADEEDB" w:rsidR="00CA6317" w:rsidRDefault="00842D12" w:rsidP="00C217CB">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One example of the artificial environment in which my lesson was conducted, was the absence of pupils with Additional Learning Needs (“ALN”). </w:t>
      </w:r>
      <w:proofErr w:type="spellStart"/>
      <w:r>
        <w:rPr>
          <w:rFonts w:ascii="Arial" w:eastAsiaTheme="minorHAnsi" w:hAnsi="Arial" w:cs="Arial"/>
          <w:color w:val="000000"/>
          <w:sz w:val="22"/>
          <w:szCs w:val="22"/>
          <w:lang w:eastAsia="en-US"/>
        </w:rPr>
        <w:t>Denby</w:t>
      </w:r>
      <w:proofErr w:type="spellEnd"/>
      <w:r>
        <w:rPr>
          <w:rFonts w:ascii="Arial" w:eastAsiaTheme="minorHAnsi" w:hAnsi="Arial" w:cs="Arial"/>
          <w:color w:val="000000"/>
          <w:sz w:val="22"/>
          <w:szCs w:val="22"/>
          <w:lang w:eastAsia="en-US"/>
        </w:rPr>
        <w:t xml:space="preserve"> (2015</w:t>
      </w:r>
      <w:r w:rsidR="00AC2226">
        <w:rPr>
          <w:rFonts w:ascii="Arial" w:eastAsiaTheme="minorHAnsi" w:hAnsi="Arial" w:cs="Arial"/>
          <w:color w:val="000000"/>
          <w:sz w:val="22"/>
          <w:szCs w:val="22"/>
          <w:lang w:eastAsia="en-US"/>
        </w:rPr>
        <w:t>b</w:t>
      </w:r>
      <w:r>
        <w:rPr>
          <w:rFonts w:ascii="Arial" w:eastAsiaTheme="minorHAnsi" w:hAnsi="Arial" w:cs="Arial"/>
          <w:color w:val="000000"/>
          <w:sz w:val="22"/>
          <w:szCs w:val="22"/>
          <w:lang w:eastAsia="en-US"/>
        </w:rPr>
        <w:t>, pp. 199-200)</w:t>
      </w:r>
      <w:r w:rsidR="00DD4B67">
        <w:rPr>
          <w:rFonts w:ascii="Arial" w:eastAsiaTheme="minorHAnsi" w:hAnsi="Arial" w:cs="Arial"/>
          <w:color w:val="000000"/>
          <w:sz w:val="22"/>
          <w:szCs w:val="22"/>
          <w:lang w:eastAsia="en-US"/>
        </w:rPr>
        <w:t xml:space="preserve"> illustrates the range of backgrounds, needs and methods of learning that pupils possess. He</w:t>
      </w:r>
      <w:r w:rsidR="000808A4">
        <w:rPr>
          <w:rFonts w:ascii="Arial" w:eastAsiaTheme="minorHAnsi" w:hAnsi="Arial" w:cs="Arial"/>
          <w:color w:val="000000"/>
          <w:sz w:val="22"/>
          <w:szCs w:val="22"/>
          <w:lang w:eastAsia="en-US"/>
        </w:rPr>
        <w:t xml:space="preserve"> highlights the challenge of considering these when delivering differentiated </w:t>
      </w:r>
      <w:r w:rsidR="00045445">
        <w:rPr>
          <w:rFonts w:ascii="Arial" w:eastAsiaTheme="minorHAnsi" w:hAnsi="Arial" w:cs="Arial"/>
          <w:color w:val="000000"/>
          <w:sz w:val="22"/>
          <w:szCs w:val="22"/>
          <w:lang w:eastAsia="en-US"/>
        </w:rPr>
        <w:t>teaching</w:t>
      </w:r>
      <w:r w:rsidR="000808A4">
        <w:rPr>
          <w:rFonts w:ascii="Arial" w:eastAsiaTheme="minorHAnsi" w:hAnsi="Arial" w:cs="Arial"/>
          <w:color w:val="000000"/>
          <w:sz w:val="22"/>
          <w:szCs w:val="22"/>
          <w:lang w:eastAsia="en-US"/>
        </w:rPr>
        <w:t xml:space="preserve"> in class.</w:t>
      </w:r>
    </w:p>
    <w:p w14:paraId="292D592D" w14:textId="4BC2DC41" w:rsidR="000808A4" w:rsidRDefault="000808A4" w:rsidP="00C217CB">
      <w:pPr>
        <w:autoSpaceDE w:val="0"/>
        <w:autoSpaceDN w:val="0"/>
        <w:adjustRightInd w:val="0"/>
        <w:rPr>
          <w:rFonts w:ascii="Arial" w:eastAsiaTheme="minorHAnsi" w:hAnsi="Arial" w:cs="Arial"/>
          <w:color w:val="000000"/>
          <w:sz w:val="22"/>
          <w:szCs w:val="22"/>
          <w:lang w:eastAsia="en-US"/>
        </w:rPr>
      </w:pPr>
    </w:p>
    <w:p w14:paraId="0D887957" w14:textId="6750A641" w:rsidR="000808A4" w:rsidRDefault="000808A4" w:rsidP="00C217CB">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At YGE, I observed </w:t>
      </w:r>
      <w:r w:rsidR="00045445">
        <w:rPr>
          <w:rFonts w:ascii="Arial" w:eastAsiaTheme="minorHAnsi" w:hAnsi="Arial" w:cs="Arial"/>
          <w:color w:val="000000"/>
          <w:sz w:val="22"/>
          <w:szCs w:val="22"/>
          <w:lang w:eastAsia="en-US"/>
        </w:rPr>
        <w:t>how this is addressed in class</w:t>
      </w:r>
      <w:r>
        <w:rPr>
          <w:rFonts w:ascii="Arial" w:eastAsiaTheme="minorHAnsi" w:hAnsi="Arial" w:cs="Arial"/>
          <w:color w:val="000000"/>
          <w:sz w:val="22"/>
          <w:szCs w:val="22"/>
          <w:lang w:eastAsia="en-US"/>
        </w:rPr>
        <w:t>. In a Year 9 Science lesson</w:t>
      </w:r>
      <w:r w:rsidR="00045445">
        <w:rPr>
          <w:rFonts w:ascii="Arial" w:eastAsiaTheme="minorHAnsi" w:hAnsi="Arial" w:cs="Arial"/>
          <w:color w:val="000000"/>
          <w:sz w:val="22"/>
          <w:szCs w:val="22"/>
          <w:lang w:eastAsia="en-US"/>
        </w:rPr>
        <w:t>,</w:t>
      </w:r>
      <w:r>
        <w:rPr>
          <w:rFonts w:ascii="Arial" w:eastAsiaTheme="minorHAnsi" w:hAnsi="Arial" w:cs="Arial"/>
          <w:color w:val="000000"/>
          <w:sz w:val="22"/>
          <w:szCs w:val="22"/>
          <w:lang w:eastAsia="en-US"/>
        </w:rPr>
        <w:t xml:space="preserve"> </w:t>
      </w:r>
      <w:r w:rsidR="00045445">
        <w:rPr>
          <w:rFonts w:ascii="Arial" w:eastAsiaTheme="minorHAnsi" w:hAnsi="Arial" w:cs="Arial"/>
          <w:color w:val="000000"/>
          <w:sz w:val="22"/>
          <w:szCs w:val="22"/>
          <w:lang w:eastAsia="en-US"/>
        </w:rPr>
        <w:t>t</w:t>
      </w:r>
      <w:r>
        <w:rPr>
          <w:rFonts w:ascii="Arial" w:eastAsiaTheme="minorHAnsi" w:hAnsi="Arial" w:cs="Arial"/>
          <w:color w:val="000000"/>
          <w:sz w:val="22"/>
          <w:szCs w:val="22"/>
          <w:lang w:eastAsia="en-US"/>
        </w:rPr>
        <w:t>hree pupils with ALN were present. To meet their needs, the teacher divided the learning into</w:t>
      </w:r>
      <w:r w:rsidR="0026056E">
        <w:rPr>
          <w:rFonts w:ascii="Arial" w:eastAsiaTheme="minorHAnsi" w:hAnsi="Arial" w:cs="Arial"/>
          <w:color w:val="000000"/>
          <w:sz w:val="22"/>
          <w:szCs w:val="22"/>
          <w:lang w:eastAsia="en-US"/>
        </w:rPr>
        <w:t xml:space="preserve"> distinct,</w:t>
      </w:r>
      <w:r>
        <w:rPr>
          <w:rFonts w:ascii="Arial" w:eastAsiaTheme="minorHAnsi" w:hAnsi="Arial" w:cs="Arial"/>
          <w:color w:val="000000"/>
          <w:sz w:val="22"/>
          <w:szCs w:val="22"/>
          <w:lang w:eastAsia="en-US"/>
        </w:rPr>
        <w:t xml:space="preserve"> relatively brief activities. He allowed the ALN pupils extra time to respond</w:t>
      </w:r>
      <w:r w:rsidR="0026056E">
        <w:rPr>
          <w:rFonts w:ascii="Arial" w:eastAsiaTheme="minorHAnsi" w:hAnsi="Arial" w:cs="Arial"/>
          <w:color w:val="000000"/>
          <w:sz w:val="22"/>
          <w:szCs w:val="22"/>
          <w:lang w:eastAsia="en-US"/>
        </w:rPr>
        <w:t xml:space="preserve"> to directed questioning. Consequently, they were fully involved.</w:t>
      </w:r>
    </w:p>
    <w:p w14:paraId="5C0F2D15" w14:textId="4D416DD2" w:rsidR="00356405" w:rsidRDefault="00356405" w:rsidP="00C217CB">
      <w:pPr>
        <w:autoSpaceDE w:val="0"/>
        <w:autoSpaceDN w:val="0"/>
        <w:adjustRightInd w:val="0"/>
        <w:rPr>
          <w:rFonts w:ascii="Arial" w:eastAsiaTheme="minorHAnsi" w:hAnsi="Arial" w:cs="Arial"/>
          <w:color w:val="000000"/>
          <w:sz w:val="22"/>
          <w:szCs w:val="22"/>
          <w:lang w:eastAsia="en-US"/>
        </w:rPr>
      </w:pPr>
    </w:p>
    <w:p w14:paraId="5A5F7DEE" w14:textId="77777777" w:rsidR="00356405" w:rsidRDefault="00356405" w:rsidP="00356405">
      <w:pPr>
        <w:pStyle w:val="Default"/>
        <w:rPr>
          <w:b/>
          <w:sz w:val="22"/>
          <w:szCs w:val="22"/>
        </w:rPr>
      </w:pPr>
      <w:r w:rsidRPr="003B19D6">
        <w:rPr>
          <w:b/>
          <w:sz w:val="22"/>
          <w:szCs w:val="22"/>
        </w:rPr>
        <w:t>Theories of learning and pedagogy</w:t>
      </w:r>
    </w:p>
    <w:p w14:paraId="621F0068" w14:textId="1C6EFFBC" w:rsidR="00356405" w:rsidRDefault="00356405" w:rsidP="00C217CB">
      <w:pPr>
        <w:autoSpaceDE w:val="0"/>
        <w:autoSpaceDN w:val="0"/>
        <w:adjustRightInd w:val="0"/>
        <w:rPr>
          <w:rFonts w:ascii="Arial" w:eastAsiaTheme="minorHAnsi" w:hAnsi="Arial" w:cs="Arial"/>
          <w:color w:val="000000"/>
          <w:sz w:val="22"/>
          <w:szCs w:val="22"/>
          <w:lang w:eastAsia="en-US"/>
        </w:rPr>
      </w:pPr>
    </w:p>
    <w:p w14:paraId="695594D4" w14:textId="357ABFA5" w:rsidR="00356405" w:rsidRDefault="00356405" w:rsidP="00C217CB">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The feedback on </w:t>
      </w:r>
      <w:r w:rsidR="00045445">
        <w:rPr>
          <w:rFonts w:ascii="Arial" w:eastAsiaTheme="minorHAnsi" w:hAnsi="Arial" w:cs="Arial"/>
          <w:color w:val="000000"/>
          <w:sz w:val="22"/>
          <w:szCs w:val="22"/>
          <w:lang w:eastAsia="en-US"/>
        </w:rPr>
        <w:t>the</w:t>
      </w:r>
      <w:r>
        <w:rPr>
          <w:rFonts w:ascii="Arial" w:eastAsiaTheme="minorHAnsi" w:hAnsi="Arial" w:cs="Arial"/>
          <w:color w:val="000000"/>
          <w:sz w:val="22"/>
          <w:szCs w:val="22"/>
          <w:lang w:eastAsia="en-US"/>
        </w:rPr>
        <w:t xml:space="preserve"> lesson from my peers and Tutor identified it as being excessively </w:t>
      </w:r>
      <w:r w:rsidR="009F0AD9">
        <w:rPr>
          <w:rFonts w:ascii="Arial" w:eastAsiaTheme="minorHAnsi" w:hAnsi="Arial" w:cs="Arial"/>
          <w:color w:val="000000"/>
          <w:sz w:val="22"/>
          <w:szCs w:val="22"/>
          <w:lang w:eastAsia="en-US"/>
        </w:rPr>
        <w:t xml:space="preserve">Constructivist. </w:t>
      </w:r>
      <w:r w:rsidR="00432B2A">
        <w:rPr>
          <w:rFonts w:ascii="Arial" w:eastAsiaTheme="minorHAnsi" w:hAnsi="Arial" w:cs="Arial"/>
          <w:color w:val="000000"/>
          <w:sz w:val="22"/>
          <w:szCs w:val="22"/>
          <w:lang w:eastAsia="en-US"/>
        </w:rPr>
        <w:t xml:space="preserve">My goal is to deliver the type of </w:t>
      </w:r>
      <w:r w:rsidR="00045445">
        <w:rPr>
          <w:rFonts w:ascii="Arial" w:eastAsiaTheme="minorHAnsi" w:hAnsi="Arial" w:cs="Arial"/>
          <w:color w:val="000000"/>
          <w:sz w:val="22"/>
          <w:szCs w:val="22"/>
          <w:lang w:eastAsia="en-US"/>
        </w:rPr>
        <w:t>teaching</w:t>
      </w:r>
      <w:r w:rsidR="00432B2A">
        <w:rPr>
          <w:rFonts w:ascii="Arial" w:eastAsiaTheme="minorHAnsi" w:hAnsi="Arial" w:cs="Arial"/>
          <w:color w:val="000000"/>
          <w:sz w:val="22"/>
          <w:szCs w:val="22"/>
          <w:lang w:eastAsia="en-US"/>
        </w:rPr>
        <w:t xml:space="preserve"> described by Hattie &amp; Yates (2014, p.107) where learners mainly work on tasks that promote deep understanding.</w:t>
      </w:r>
    </w:p>
    <w:p w14:paraId="7DC91E07" w14:textId="2791F765" w:rsidR="00432B2A" w:rsidRDefault="00432B2A" w:rsidP="00C217CB">
      <w:pPr>
        <w:autoSpaceDE w:val="0"/>
        <w:autoSpaceDN w:val="0"/>
        <w:adjustRightInd w:val="0"/>
        <w:rPr>
          <w:rFonts w:ascii="Arial" w:eastAsiaTheme="minorHAnsi" w:hAnsi="Arial" w:cs="Arial"/>
          <w:color w:val="000000"/>
          <w:sz w:val="22"/>
          <w:szCs w:val="22"/>
          <w:lang w:eastAsia="en-US"/>
        </w:rPr>
      </w:pPr>
    </w:p>
    <w:p w14:paraId="25CC931E" w14:textId="1C0701DA" w:rsidR="00432B2A" w:rsidRDefault="00432B2A" w:rsidP="00C217CB">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At Olchfa, I observed a Year 13 Business Lesson that was far closer to this target. This included Deliberate Practice, as described by Hattie &amp; Yates (2014, p. </w:t>
      </w:r>
      <w:r w:rsidR="00CD24BE">
        <w:rPr>
          <w:rFonts w:ascii="Arial" w:eastAsiaTheme="minorHAnsi" w:hAnsi="Arial" w:cs="Arial"/>
          <w:color w:val="000000"/>
          <w:sz w:val="22"/>
          <w:szCs w:val="22"/>
          <w:lang w:eastAsia="en-US"/>
        </w:rPr>
        <w:t>96), where pupils answered a challenging written question. The teacher had modelled the technique to demonstrate higher level learning in the GCSE Exam.</w:t>
      </w:r>
    </w:p>
    <w:p w14:paraId="53DED3CC" w14:textId="77777777" w:rsidR="00045445" w:rsidRDefault="00045445" w:rsidP="00C217CB">
      <w:pPr>
        <w:autoSpaceDE w:val="0"/>
        <w:autoSpaceDN w:val="0"/>
        <w:adjustRightInd w:val="0"/>
        <w:rPr>
          <w:rFonts w:ascii="Arial" w:eastAsiaTheme="minorHAnsi" w:hAnsi="Arial" w:cs="Arial"/>
          <w:color w:val="000000"/>
          <w:sz w:val="22"/>
          <w:szCs w:val="22"/>
          <w:lang w:eastAsia="en-US"/>
        </w:rPr>
      </w:pPr>
    </w:p>
    <w:p w14:paraId="38B2076F" w14:textId="26CCB5BB" w:rsidR="00CA6317" w:rsidRDefault="00CA6317" w:rsidP="00C217CB">
      <w:pPr>
        <w:autoSpaceDE w:val="0"/>
        <w:autoSpaceDN w:val="0"/>
        <w:adjustRightInd w:val="0"/>
        <w:rPr>
          <w:rFonts w:ascii="Arial" w:eastAsiaTheme="minorHAnsi" w:hAnsi="Arial" w:cs="Arial"/>
          <w:color w:val="000000"/>
          <w:sz w:val="22"/>
          <w:szCs w:val="22"/>
          <w:lang w:eastAsia="en-US"/>
        </w:rPr>
      </w:pPr>
    </w:p>
    <w:p w14:paraId="166492C4" w14:textId="2B5F15C9" w:rsidR="00C0580D" w:rsidRDefault="00C0580D" w:rsidP="00C217CB">
      <w:pPr>
        <w:autoSpaceDE w:val="0"/>
        <w:autoSpaceDN w:val="0"/>
        <w:adjustRightInd w:val="0"/>
        <w:rPr>
          <w:rFonts w:ascii="Arial" w:eastAsiaTheme="minorHAnsi" w:hAnsi="Arial" w:cs="Arial"/>
          <w:color w:val="000000"/>
          <w:sz w:val="22"/>
          <w:szCs w:val="22"/>
          <w:lang w:eastAsia="en-US"/>
        </w:rPr>
      </w:pPr>
    </w:p>
    <w:p w14:paraId="79D39CC7" w14:textId="4632798D" w:rsidR="00C0580D" w:rsidRDefault="00C0580D" w:rsidP="00C217CB">
      <w:pPr>
        <w:autoSpaceDE w:val="0"/>
        <w:autoSpaceDN w:val="0"/>
        <w:adjustRightInd w:val="0"/>
        <w:rPr>
          <w:rFonts w:ascii="Arial" w:eastAsiaTheme="minorHAnsi" w:hAnsi="Arial" w:cs="Arial"/>
          <w:color w:val="000000"/>
          <w:sz w:val="22"/>
          <w:szCs w:val="22"/>
          <w:lang w:eastAsia="en-US"/>
        </w:rPr>
      </w:pPr>
    </w:p>
    <w:p w14:paraId="6A738FF0" w14:textId="7942C4D6" w:rsidR="004C3ABA" w:rsidRDefault="004C3ABA" w:rsidP="004C3ABA">
      <w:pPr>
        <w:pStyle w:val="Default"/>
        <w:rPr>
          <w:b/>
          <w:sz w:val="22"/>
          <w:szCs w:val="22"/>
        </w:rPr>
      </w:pPr>
      <w:r w:rsidRPr="004221D1">
        <w:rPr>
          <w:b/>
          <w:sz w:val="22"/>
          <w:szCs w:val="22"/>
        </w:rPr>
        <w:lastRenderedPageBreak/>
        <w:t xml:space="preserve">Curriculum </w:t>
      </w:r>
      <w:proofErr w:type="spellStart"/>
      <w:r w:rsidRPr="004221D1">
        <w:rPr>
          <w:b/>
          <w:sz w:val="22"/>
          <w:szCs w:val="22"/>
        </w:rPr>
        <w:t>Cwmreig</w:t>
      </w:r>
      <w:proofErr w:type="spellEnd"/>
    </w:p>
    <w:p w14:paraId="1186311E" w14:textId="64170A9D" w:rsidR="00DF09C8" w:rsidRDefault="00DF09C8" w:rsidP="004C3ABA">
      <w:pPr>
        <w:pStyle w:val="Default"/>
        <w:rPr>
          <w:b/>
          <w:sz w:val="22"/>
          <w:szCs w:val="22"/>
        </w:rPr>
      </w:pPr>
    </w:p>
    <w:p w14:paraId="4FE2994C" w14:textId="5A61000C" w:rsidR="00994058" w:rsidRDefault="00045445" w:rsidP="004C3ABA">
      <w:pPr>
        <w:pStyle w:val="Default"/>
        <w:rPr>
          <w:sz w:val="22"/>
          <w:szCs w:val="22"/>
        </w:rPr>
      </w:pPr>
      <w:r>
        <w:rPr>
          <w:sz w:val="22"/>
          <w:szCs w:val="22"/>
        </w:rPr>
        <w:t>M</w:t>
      </w:r>
      <w:r w:rsidR="00DF09C8">
        <w:rPr>
          <w:sz w:val="22"/>
          <w:szCs w:val="22"/>
        </w:rPr>
        <w:t>y lesson reflected YCC to the extent expected through the use of incidental Welsh vocabulary and reference to Welsh businesses.</w:t>
      </w:r>
      <w:r w:rsidR="00994058">
        <w:rPr>
          <w:sz w:val="22"/>
          <w:szCs w:val="22"/>
        </w:rPr>
        <w:t xml:space="preserve"> However, based upon my initial teaching experience, it is unclear how best practice in the use of YCC is being assessed.</w:t>
      </w:r>
    </w:p>
    <w:p w14:paraId="35BCC441" w14:textId="77777777" w:rsidR="00994058" w:rsidRDefault="00994058" w:rsidP="004C3ABA">
      <w:pPr>
        <w:pStyle w:val="Default"/>
        <w:rPr>
          <w:sz w:val="22"/>
          <w:szCs w:val="22"/>
        </w:rPr>
      </w:pPr>
    </w:p>
    <w:p w14:paraId="62FF0425" w14:textId="5F053AFF" w:rsidR="00DF09C8" w:rsidRDefault="00F055D7" w:rsidP="004C3ABA">
      <w:pPr>
        <w:pStyle w:val="Default"/>
        <w:rPr>
          <w:sz w:val="22"/>
          <w:szCs w:val="22"/>
        </w:rPr>
      </w:pPr>
      <w:r>
        <w:rPr>
          <w:sz w:val="22"/>
          <w:szCs w:val="22"/>
        </w:rPr>
        <w:t xml:space="preserve">Smith (2015, p.23) </w:t>
      </w:r>
      <w:r w:rsidR="00994058">
        <w:rPr>
          <w:sz w:val="22"/>
          <w:szCs w:val="22"/>
        </w:rPr>
        <w:t xml:space="preserve">publishes the outcome of his research </w:t>
      </w:r>
      <w:r w:rsidR="00045445">
        <w:rPr>
          <w:sz w:val="22"/>
          <w:szCs w:val="22"/>
        </w:rPr>
        <w:t>revealing</w:t>
      </w:r>
      <w:r w:rsidR="00994058">
        <w:rPr>
          <w:sz w:val="22"/>
          <w:szCs w:val="22"/>
        </w:rPr>
        <w:t xml:space="preserve"> that schools’ focus in teaching YCC is on learning and use of </w:t>
      </w:r>
      <w:r w:rsidR="00AC2226">
        <w:rPr>
          <w:sz w:val="22"/>
          <w:szCs w:val="22"/>
        </w:rPr>
        <w:t xml:space="preserve">the </w:t>
      </w:r>
      <w:r w:rsidR="00994058">
        <w:rPr>
          <w:sz w:val="22"/>
          <w:szCs w:val="22"/>
        </w:rPr>
        <w:t>Welsh language. This reflects the criteria adopted by Estyn when conducting inspections. At Olchfa, the school had recently been graded as Excellent (Estyn, 2018).</w:t>
      </w:r>
      <w:r w:rsidR="00063613">
        <w:rPr>
          <w:sz w:val="22"/>
          <w:szCs w:val="22"/>
        </w:rPr>
        <w:t xml:space="preserve"> The school did not appear to be teaching the non-language aspects of YCC </w:t>
      </w:r>
      <w:r w:rsidR="00BB7696">
        <w:rPr>
          <w:sz w:val="22"/>
          <w:szCs w:val="22"/>
        </w:rPr>
        <w:t>at this level.</w:t>
      </w:r>
    </w:p>
    <w:p w14:paraId="6512C8F7" w14:textId="1CB486B2" w:rsidR="00BB7696" w:rsidRDefault="00BB7696" w:rsidP="004C3ABA">
      <w:pPr>
        <w:pStyle w:val="Default"/>
        <w:rPr>
          <w:sz w:val="22"/>
          <w:szCs w:val="22"/>
        </w:rPr>
      </w:pPr>
    </w:p>
    <w:p w14:paraId="1E3C6ADE" w14:textId="77777777" w:rsidR="00BB7696" w:rsidRDefault="00BB7696" w:rsidP="00BB7696">
      <w:pPr>
        <w:pStyle w:val="Default"/>
        <w:rPr>
          <w:b/>
          <w:sz w:val="22"/>
          <w:szCs w:val="22"/>
        </w:rPr>
      </w:pPr>
      <w:r w:rsidRPr="003B19D6">
        <w:rPr>
          <w:b/>
          <w:sz w:val="22"/>
          <w:szCs w:val="22"/>
        </w:rPr>
        <w:t>Introduction to Assessment</w:t>
      </w:r>
    </w:p>
    <w:p w14:paraId="54A021C5" w14:textId="0EDC9A7F" w:rsidR="00BB7696" w:rsidRDefault="00BB7696" w:rsidP="004C3ABA">
      <w:pPr>
        <w:pStyle w:val="Default"/>
        <w:rPr>
          <w:sz w:val="22"/>
          <w:szCs w:val="22"/>
        </w:rPr>
      </w:pPr>
    </w:p>
    <w:p w14:paraId="401FB76E" w14:textId="47775CEF" w:rsidR="00BB7696" w:rsidRDefault="0076438F" w:rsidP="004C3ABA">
      <w:pPr>
        <w:pStyle w:val="Default"/>
        <w:rPr>
          <w:sz w:val="22"/>
          <w:szCs w:val="22"/>
        </w:rPr>
      </w:pPr>
      <w:r>
        <w:rPr>
          <w:sz w:val="22"/>
          <w:szCs w:val="22"/>
        </w:rPr>
        <w:t>Whilst the feedback on my lesson was broadly positive, its greater value was in the constructive, written critique by my fellow students. Adey (2011, p. 384) stresses the benefit to teachers</w:t>
      </w:r>
      <w:r w:rsidR="00094E43">
        <w:rPr>
          <w:sz w:val="22"/>
          <w:szCs w:val="22"/>
        </w:rPr>
        <w:t xml:space="preserve"> in their development</w:t>
      </w:r>
      <w:r>
        <w:rPr>
          <w:sz w:val="22"/>
          <w:szCs w:val="22"/>
        </w:rPr>
        <w:t xml:space="preserve"> of being able to discuss performance with peers</w:t>
      </w:r>
      <w:r w:rsidR="00094E43">
        <w:rPr>
          <w:sz w:val="22"/>
          <w:szCs w:val="22"/>
        </w:rPr>
        <w:t>.</w:t>
      </w:r>
    </w:p>
    <w:p w14:paraId="45604447" w14:textId="19284052" w:rsidR="00094E43" w:rsidRDefault="00094E43" w:rsidP="004C3ABA">
      <w:pPr>
        <w:pStyle w:val="Default"/>
        <w:rPr>
          <w:sz w:val="22"/>
          <w:szCs w:val="22"/>
        </w:rPr>
      </w:pPr>
    </w:p>
    <w:p w14:paraId="38384C2D" w14:textId="7D382EDD" w:rsidR="00094E43" w:rsidRDefault="00094E43" w:rsidP="004C3ABA">
      <w:pPr>
        <w:pStyle w:val="Default"/>
        <w:rPr>
          <w:sz w:val="22"/>
          <w:szCs w:val="22"/>
        </w:rPr>
      </w:pPr>
      <w:r>
        <w:rPr>
          <w:sz w:val="22"/>
          <w:szCs w:val="22"/>
        </w:rPr>
        <w:t>At YGE, I have not observed that the opportunity for peer review exists for teachers once qualified, other than as part of a structured assessment by the Head Teacher. However, I have witnessed instances of pupils providing feedback. For example, a Year 10 Business class were asked to describe their Facebook status on their learning from a lesson.</w:t>
      </w:r>
    </w:p>
    <w:p w14:paraId="413AE26B" w14:textId="0B0CFA3E" w:rsidR="00E476C9" w:rsidRDefault="00E476C9" w:rsidP="004C3ABA">
      <w:pPr>
        <w:pStyle w:val="Default"/>
        <w:rPr>
          <w:sz w:val="22"/>
          <w:szCs w:val="22"/>
        </w:rPr>
      </w:pPr>
    </w:p>
    <w:p w14:paraId="18080477" w14:textId="77777777" w:rsidR="00E476C9" w:rsidRDefault="00E476C9" w:rsidP="00E476C9">
      <w:pPr>
        <w:pStyle w:val="Default"/>
        <w:rPr>
          <w:b/>
          <w:sz w:val="22"/>
          <w:szCs w:val="22"/>
        </w:rPr>
      </w:pPr>
      <w:r w:rsidRPr="00AD046B">
        <w:rPr>
          <w:b/>
          <w:sz w:val="22"/>
          <w:szCs w:val="22"/>
        </w:rPr>
        <w:t>Behaviour Management</w:t>
      </w:r>
    </w:p>
    <w:p w14:paraId="0BE8C80F" w14:textId="06A01630" w:rsidR="00E476C9" w:rsidRDefault="00E476C9" w:rsidP="004C3ABA">
      <w:pPr>
        <w:pStyle w:val="Default"/>
        <w:rPr>
          <w:sz w:val="22"/>
          <w:szCs w:val="22"/>
        </w:rPr>
      </w:pPr>
    </w:p>
    <w:p w14:paraId="467FD174" w14:textId="5C04A5D8" w:rsidR="00E476C9" w:rsidRDefault="00E476C9" w:rsidP="004C3ABA">
      <w:pPr>
        <w:pStyle w:val="Default"/>
        <w:rPr>
          <w:sz w:val="22"/>
          <w:szCs w:val="22"/>
        </w:rPr>
      </w:pPr>
      <w:r>
        <w:rPr>
          <w:sz w:val="22"/>
          <w:szCs w:val="22"/>
        </w:rPr>
        <w:t xml:space="preserve">The effectiveness of my lesson was facilitated by </w:t>
      </w:r>
      <w:r w:rsidR="00F16706">
        <w:rPr>
          <w:sz w:val="22"/>
          <w:szCs w:val="22"/>
        </w:rPr>
        <w:t>well-behaved,</w:t>
      </w:r>
      <w:r>
        <w:rPr>
          <w:sz w:val="22"/>
          <w:szCs w:val="22"/>
        </w:rPr>
        <w:t xml:space="preserve"> respectful</w:t>
      </w:r>
      <w:r w:rsidR="00F16706">
        <w:rPr>
          <w:sz w:val="22"/>
          <w:szCs w:val="22"/>
        </w:rPr>
        <w:t xml:space="preserve"> pupils;</w:t>
      </w:r>
      <w:r>
        <w:rPr>
          <w:sz w:val="22"/>
          <w:szCs w:val="22"/>
        </w:rPr>
        <w:t xml:space="preserve"> a luxury not </w:t>
      </w:r>
      <w:r w:rsidR="00F16706">
        <w:rPr>
          <w:sz w:val="22"/>
          <w:szCs w:val="22"/>
        </w:rPr>
        <w:t>always</w:t>
      </w:r>
      <w:r>
        <w:rPr>
          <w:sz w:val="22"/>
          <w:szCs w:val="22"/>
        </w:rPr>
        <w:t xml:space="preserve"> enjoyed in </w:t>
      </w:r>
      <w:r w:rsidR="00003392">
        <w:rPr>
          <w:sz w:val="22"/>
          <w:szCs w:val="22"/>
        </w:rPr>
        <w:t>class</w:t>
      </w:r>
      <w:r>
        <w:rPr>
          <w:sz w:val="22"/>
          <w:szCs w:val="22"/>
        </w:rPr>
        <w:t>.</w:t>
      </w:r>
      <w:r w:rsidR="00003392">
        <w:rPr>
          <w:sz w:val="22"/>
          <w:szCs w:val="22"/>
        </w:rPr>
        <w:t xml:space="preserve"> Muijs &amp; Reynolds (2001, p.42) explain the benefit to both pupils and teachers of a whole school behaviour policy that can be consistently understood and applied.</w:t>
      </w:r>
      <w:r w:rsidR="001E2B41">
        <w:rPr>
          <w:sz w:val="22"/>
          <w:szCs w:val="22"/>
        </w:rPr>
        <w:t xml:space="preserve"> Learners are aware of behaviour that is unacceptable in lessons and educators avoid spending time reinforcing the rules in class. The policy can be displayed throughout the building to promote awareness.</w:t>
      </w:r>
    </w:p>
    <w:p w14:paraId="395B4003" w14:textId="7CB3862F" w:rsidR="001E2B41" w:rsidRDefault="001E2B41" w:rsidP="004C3ABA">
      <w:pPr>
        <w:pStyle w:val="Default"/>
        <w:rPr>
          <w:sz w:val="22"/>
          <w:szCs w:val="22"/>
        </w:rPr>
      </w:pPr>
    </w:p>
    <w:p w14:paraId="0E2FA3C7" w14:textId="7A5BFEED" w:rsidR="001E2B41" w:rsidRDefault="001E2B41" w:rsidP="004C3ABA">
      <w:pPr>
        <w:pStyle w:val="Default"/>
        <w:rPr>
          <w:sz w:val="22"/>
          <w:szCs w:val="22"/>
        </w:rPr>
      </w:pPr>
      <w:r>
        <w:rPr>
          <w:sz w:val="22"/>
          <w:szCs w:val="22"/>
        </w:rPr>
        <w:t>During a Bridging visit, I observed a newly created whole school behaviour policy</w:t>
      </w:r>
      <w:r w:rsidR="00B16B7F">
        <w:rPr>
          <w:sz w:val="22"/>
          <w:szCs w:val="22"/>
        </w:rPr>
        <w:t xml:space="preserve"> that appeared to have been successfully integrated.</w:t>
      </w:r>
      <w:r>
        <w:rPr>
          <w:sz w:val="22"/>
          <w:szCs w:val="22"/>
        </w:rPr>
        <w:t xml:space="preserve"> </w:t>
      </w:r>
    </w:p>
    <w:p w14:paraId="2A368F5B" w14:textId="0A26548D" w:rsidR="00003392" w:rsidRDefault="00003392" w:rsidP="004C3ABA">
      <w:pPr>
        <w:pStyle w:val="Default"/>
        <w:rPr>
          <w:sz w:val="22"/>
          <w:szCs w:val="22"/>
        </w:rPr>
      </w:pPr>
    </w:p>
    <w:p w14:paraId="7E7A24D3" w14:textId="2EE3AEE3" w:rsidR="00F16706" w:rsidRDefault="00F16706" w:rsidP="004C3ABA">
      <w:pPr>
        <w:pStyle w:val="Default"/>
        <w:rPr>
          <w:sz w:val="22"/>
          <w:szCs w:val="22"/>
        </w:rPr>
      </w:pPr>
    </w:p>
    <w:p w14:paraId="7FA712F0" w14:textId="7343A896" w:rsidR="00551226" w:rsidRPr="00CA6317" w:rsidRDefault="00F16706" w:rsidP="00F16706">
      <w:pPr>
        <w:pStyle w:val="Default"/>
        <w:rPr>
          <w:b/>
          <w:sz w:val="22"/>
          <w:szCs w:val="22"/>
        </w:rPr>
      </w:pPr>
      <w:r>
        <w:rPr>
          <w:b/>
          <w:sz w:val="22"/>
          <w:szCs w:val="22"/>
        </w:rPr>
        <w:t>5</w:t>
      </w:r>
      <w:r w:rsidR="00480493">
        <w:rPr>
          <w:b/>
          <w:sz w:val="22"/>
          <w:szCs w:val="22"/>
        </w:rPr>
        <w:t>5</w:t>
      </w:r>
      <w:r w:rsidR="00C0580D">
        <w:rPr>
          <w:b/>
          <w:sz w:val="22"/>
          <w:szCs w:val="22"/>
        </w:rPr>
        <w:t>1</w:t>
      </w:r>
      <w:r>
        <w:rPr>
          <w:b/>
          <w:sz w:val="22"/>
          <w:szCs w:val="22"/>
        </w:rPr>
        <w:t xml:space="preserve"> Words</w:t>
      </w:r>
    </w:p>
    <w:p w14:paraId="3E57A9E9" w14:textId="441E1C85" w:rsidR="00551226" w:rsidRPr="00CA6317" w:rsidRDefault="00551226" w:rsidP="00C217CB">
      <w:pPr>
        <w:autoSpaceDE w:val="0"/>
        <w:autoSpaceDN w:val="0"/>
        <w:adjustRightInd w:val="0"/>
        <w:rPr>
          <w:rFonts w:ascii="Arial" w:eastAsiaTheme="minorHAnsi" w:hAnsi="Arial" w:cs="Arial"/>
          <w:b/>
          <w:color w:val="000000"/>
          <w:sz w:val="22"/>
          <w:szCs w:val="22"/>
          <w:lang w:eastAsia="en-US"/>
        </w:rPr>
      </w:pPr>
    </w:p>
    <w:p w14:paraId="52390217" w14:textId="77777777" w:rsidR="00551226" w:rsidRPr="00CA6317" w:rsidRDefault="00551226" w:rsidP="00C217CB">
      <w:pPr>
        <w:autoSpaceDE w:val="0"/>
        <w:autoSpaceDN w:val="0"/>
        <w:adjustRightInd w:val="0"/>
        <w:rPr>
          <w:rFonts w:ascii="Arial" w:eastAsiaTheme="minorHAnsi" w:hAnsi="Arial" w:cs="Arial"/>
          <w:b/>
          <w:color w:val="000000"/>
          <w:sz w:val="22"/>
          <w:szCs w:val="22"/>
          <w:lang w:eastAsia="en-US"/>
        </w:rPr>
      </w:pPr>
    </w:p>
    <w:p w14:paraId="7404BA30" w14:textId="749FAB19" w:rsidR="00C217CB" w:rsidRDefault="00C217CB" w:rsidP="00C217CB">
      <w:pPr>
        <w:autoSpaceDE w:val="0"/>
        <w:autoSpaceDN w:val="0"/>
        <w:adjustRightInd w:val="0"/>
        <w:rPr>
          <w:rFonts w:ascii="Arial" w:eastAsiaTheme="minorHAnsi" w:hAnsi="Arial" w:cs="Arial"/>
          <w:b/>
          <w:sz w:val="22"/>
          <w:szCs w:val="22"/>
          <w:lang w:eastAsia="en-US"/>
        </w:rPr>
      </w:pPr>
      <w:r w:rsidRPr="00CA6317">
        <w:rPr>
          <w:rFonts w:ascii="Arial" w:eastAsiaTheme="minorHAnsi" w:hAnsi="Arial" w:cs="Arial"/>
          <w:b/>
          <w:sz w:val="22"/>
          <w:szCs w:val="22"/>
          <w:lang w:eastAsia="en-US"/>
        </w:rPr>
        <w:t xml:space="preserve">• Discuss how you might approach this exercise in a different manner and how this might improve upon your practice. How might these changes impact upon the teaching and learning process? </w:t>
      </w:r>
    </w:p>
    <w:p w14:paraId="2C73CBC7" w14:textId="715D6822" w:rsidR="009709D4" w:rsidRDefault="009709D4" w:rsidP="00C217CB">
      <w:pPr>
        <w:autoSpaceDE w:val="0"/>
        <w:autoSpaceDN w:val="0"/>
        <w:adjustRightInd w:val="0"/>
        <w:rPr>
          <w:rFonts w:ascii="Arial" w:eastAsiaTheme="minorHAnsi" w:hAnsi="Arial" w:cs="Arial"/>
          <w:b/>
          <w:sz w:val="22"/>
          <w:szCs w:val="22"/>
          <w:lang w:eastAsia="en-US"/>
        </w:rPr>
      </w:pPr>
    </w:p>
    <w:p w14:paraId="691ABE1D" w14:textId="1F2164A6" w:rsidR="00C176A4" w:rsidRDefault="00C176A4"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Here, with reference to the feedback on my lesson, I comment on two suggested improvements; the use of praise and </w:t>
      </w:r>
      <w:r w:rsidR="004B5A2F">
        <w:rPr>
          <w:rFonts w:ascii="Arial" w:eastAsiaTheme="minorHAnsi" w:hAnsi="Arial" w:cs="Arial"/>
          <w:sz w:val="22"/>
          <w:szCs w:val="22"/>
          <w:lang w:eastAsia="en-US"/>
        </w:rPr>
        <w:t>peer assessment</w:t>
      </w:r>
      <w:r>
        <w:rPr>
          <w:rFonts w:ascii="Arial" w:eastAsiaTheme="minorHAnsi" w:hAnsi="Arial" w:cs="Arial"/>
          <w:sz w:val="22"/>
          <w:szCs w:val="22"/>
          <w:lang w:eastAsia="en-US"/>
        </w:rPr>
        <w:t>.</w:t>
      </w:r>
      <w:r w:rsidR="00156F32">
        <w:rPr>
          <w:rFonts w:ascii="Arial" w:eastAsiaTheme="minorHAnsi" w:hAnsi="Arial" w:cs="Arial"/>
          <w:sz w:val="22"/>
          <w:szCs w:val="22"/>
          <w:lang w:eastAsia="en-US"/>
        </w:rPr>
        <w:t xml:space="preserve"> I believe that adopting them to approach this exercise differently would increase my effectiveness.</w:t>
      </w:r>
    </w:p>
    <w:p w14:paraId="5F1EF69D" w14:textId="41E7DBB9" w:rsidR="009709D4" w:rsidRDefault="009709D4" w:rsidP="00C217CB">
      <w:pPr>
        <w:autoSpaceDE w:val="0"/>
        <w:autoSpaceDN w:val="0"/>
        <w:adjustRightInd w:val="0"/>
        <w:rPr>
          <w:rFonts w:ascii="Arial" w:eastAsiaTheme="minorHAnsi" w:hAnsi="Arial" w:cs="Arial"/>
          <w:sz w:val="22"/>
          <w:szCs w:val="22"/>
          <w:lang w:eastAsia="en-US"/>
        </w:rPr>
      </w:pPr>
    </w:p>
    <w:p w14:paraId="76E51741" w14:textId="491F0EE5" w:rsidR="009709D4" w:rsidRPr="009709D4" w:rsidRDefault="009709D4" w:rsidP="00C217CB">
      <w:pPr>
        <w:autoSpaceDE w:val="0"/>
        <w:autoSpaceDN w:val="0"/>
        <w:adjustRightInd w:val="0"/>
        <w:rPr>
          <w:rFonts w:ascii="Arial" w:eastAsiaTheme="minorHAnsi" w:hAnsi="Arial" w:cs="Arial"/>
          <w:b/>
          <w:sz w:val="22"/>
          <w:szCs w:val="22"/>
          <w:lang w:eastAsia="en-US"/>
        </w:rPr>
      </w:pPr>
      <w:r>
        <w:rPr>
          <w:rFonts w:ascii="Arial" w:eastAsiaTheme="minorHAnsi" w:hAnsi="Arial" w:cs="Arial"/>
          <w:b/>
          <w:sz w:val="22"/>
          <w:szCs w:val="22"/>
          <w:lang w:eastAsia="en-US"/>
        </w:rPr>
        <w:t>The Use of Praise</w:t>
      </w:r>
    </w:p>
    <w:p w14:paraId="55C4B38A" w14:textId="7628A227" w:rsidR="00156F32" w:rsidRDefault="00156F32" w:rsidP="00C217CB">
      <w:pPr>
        <w:autoSpaceDE w:val="0"/>
        <w:autoSpaceDN w:val="0"/>
        <w:adjustRightInd w:val="0"/>
        <w:rPr>
          <w:rFonts w:ascii="Arial" w:eastAsiaTheme="minorHAnsi" w:hAnsi="Arial" w:cs="Arial"/>
          <w:sz w:val="22"/>
          <w:szCs w:val="22"/>
          <w:lang w:eastAsia="en-US"/>
        </w:rPr>
      </w:pPr>
    </w:p>
    <w:p w14:paraId="0FE19706" w14:textId="287DE628" w:rsidR="00156F32" w:rsidRDefault="00156F32"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Crozier (2004, p. 145)</w:t>
      </w:r>
      <w:r w:rsidR="00B32FAA">
        <w:rPr>
          <w:rFonts w:ascii="Arial" w:eastAsiaTheme="minorHAnsi" w:hAnsi="Arial" w:cs="Arial"/>
          <w:sz w:val="22"/>
          <w:szCs w:val="22"/>
          <w:lang w:eastAsia="en-US"/>
        </w:rPr>
        <w:t xml:space="preserve"> proposes the use of praise in teaching, recommending that it should be employed openly and often so that the recipient, and others nearby, know what is being praised. However, as </w:t>
      </w:r>
      <w:r w:rsidR="008978F7">
        <w:rPr>
          <w:rFonts w:ascii="Arial" w:eastAsiaTheme="minorHAnsi" w:hAnsi="Arial" w:cs="Arial"/>
          <w:sz w:val="22"/>
          <w:szCs w:val="22"/>
          <w:lang w:eastAsia="en-US"/>
        </w:rPr>
        <w:t>learners become older, it may be preferable for praise to be offered more discreetly to avoid embarrassment.</w:t>
      </w:r>
    </w:p>
    <w:p w14:paraId="00F36493" w14:textId="14661F4A" w:rsidR="006F5913" w:rsidRDefault="006F5913" w:rsidP="00C217CB">
      <w:pPr>
        <w:autoSpaceDE w:val="0"/>
        <w:autoSpaceDN w:val="0"/>
        <w:adjustRightInd w:val="0"/>
        <w:rPr>
          <w:rFonts w:ascii="Arial" w:eastAsiaTheme="minorHAnsi" w:hAnsi="Arial" w:cs="Arial"/>
          <w:sz w:val="22"/>
          <w:szCs w:val="22"/>
          <w:lang w:eastAsia="en-US"/>
        </w:rPr>
      </w:pPr>
    </w:p>
    <w:p w14:paraId="2CCB2317" w14:textId="77777777" w:rsidR="006F5913" w:rsidRDefault="006F5913" w:rsidP="00C217CB">
      <w:pPr>
        <w:autoSpaceDE w:val="0"/>
        <w:autoSpaceDN w:val="0"/>
        <w:adjustRightInd w:val="0"/>
        <w:rPr>
          <w:rFonts w:ascii="Arial" w:eastAsiaTheme="minorHAnsi" w:hAnsi="Arial" w:cs="Arial"/>
          <w:sz w:val="22"/>
          <w:szCs w:val="22"/>
          <w:lang w:eastAsia="en-US"/>
        </w:rPr>
      </w:pPr>
    </w:p>
    <w:p w14:paraId="394FAF96" w14:textId="2C511B67" w:rsidR="00156F32" w:rsidRDefault="00156F32" w:rsidP="00C217CB">
      <w:pPr>
        <w:autoSpaceDE w:val="0"/>
        <w:autoSpaceDN w:val="0"/>
        <w:adjustRightInd w:val="0"/>
        <w:rPr>
          <w:rFonts w:ascii="Arial" w:eastAsiaTheme="minorHAnsi" w:hAnsi="Arial" w:cs="Arial"/>
          <w:sz w:val="22"/>
          <w:szCs w:val="22"/>
          <w:lang w:eastAsia="en-US"/>
        </w:rPr>
      </w:pPr>
    </w:p>
    <w:p w14:paraId="3E9509B9" w14:textId="3435D98A" w:rsidR="008978F7" w:rsidRDefault="006F5913"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Consequently, I would need to use praise appropriately, for it to impact positively upon teaching and learning. </w:t>
      </w:r>
      <w:r w:rsidR="008978F7">
        <w:rPr>
          <w:rFonts w:ascii="Arial" w:eastAsiaTheme="minorHAnsi" w:hAnsi="Arial" w:cs="Arial"/>
          <w:sz w:val="22"/>
          <w:szCs w:val="22"/>
          <w:lang w:eastAsia="en-US"/>
        </w:rPr>
        <w:t>Hattie &amp; Yates (2004, pp. 67-68)</w:t>
      </w:r>
      <w:r>
        <w:rPr>
          <w:rFonts w:ascii="Arial" w:eastAsiaTheme="minorHAnsi" w:hAnsi="Arial" w:cs="Arial"/>
          <w:sz w:val="22"/>
          <w:szCs w:val="22"/>
          <w:lang w:eastAsia="en-US"/>
        </w:rPr>
        <w:t xml:space="preserve"> warn that praise, in itself, does not assist in learning. Furthermore, providing continuous praise can cause </w:t>
      </w:r>
      <w:r w:rsidR="00C22B03">
        <w:rPr>
          <w:rFonts w:ascii="Arial" w:eastAsiaTheme="minorHAnsi" w:hAnsi="Arial" w:cs="Arial"/>
          <w:sz w:val="22"/>
          <w:szCs w:val="22"/>
          <w:lang w:eastAsia="en-US"/>
        </w:rPr>
        <w:t>students</w:t>
      </w:r>
      <w:r>
        <w:rPr>
          <w:rFonts w:ascii="Arial" w:eastAsiaTheme="minorHAnsi" w:hAnsi="Arial" w:cs="Arial"/>
          <w:sz w:val="22"/>
          <w:szCs w:val="22"/>
          <w:lang w:eastAsia="en-US"/>
        </w:rPr>
        <w:t xml:space="preserve"> to question why more meaningful feedback is not being provided.</w:t>
      </w:r>
    </w:p>
    <w:p w14:paraId="039B99D2" w14:textId="0368BF32" w:rsidR="00D10E99" w:rsidRDefault="00D10E99" w:rsidP="00C217CB">
      <w:pPr>
        <w:autoSpaceDE w:val="0"/>
        <w:autoSpaceDN w:val="0"/>
        <w:adjustRightInd w:val="0"/>
        <w:rPr>
          <w:rFonts w:ascii="Arial" w:eastAsiaTheme="minorHAnsi" w:hAnsi="Arial" w:cs="Arial"/>
          <w:sz w:val="22"/>
          <w:szCs w:val="22"/>
          <w:lang w:eastAsia="en-US"/>
        </w:rPr>
      </w:pPr>
    </w:p>
    <w:p w14:paraId="647B9397" w14:textId="1FA7B7CD" w:rsidR="00D10E99" w:rsidRDefault="00D10E99"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Dweck (1999, cited in Hattie &amp; Yates, 2014, p. 68), </w:t>
      </w:r>
      <w:r w:rsidR="00425D6C">
        <w:rPr>
          <w:rFonts w:ascii="Arial" w:eastAsiaTheme="minorHAnsi" w:hAnsi="Arial" w:cs="Arial"/>
          <w:sz w:val="22"/>
          <w:szCs w:val="22"/>
          <w:lang w:eastAsia="en-US"/>
        </w:rPr>
        <w:t xml:space="preserve">found that </w:t>
      </w:r>
      <w:r w:rsidR="003A49D8">
        <w:rPr>
          <w:rFonts w:ascii="Arial" w:eastAsiaTheme="minorHAnsi" w:hAnsi="Arial" w:cs="Arial"/>
          <w:sz w:val="22"/>
          <w:szCs w:val="22"/>
          <w:lang w:eastAsia="en-US"/>
        </w:rPr>
        <w:t>pupils’ performance in solving problems can wane if they are praised for intelligence on initial, easier activities. Consequently, Dweck (2006, cited in Gault, 2015, p. 287) concludes that linking praise to effort can inspire students and promote their learning.</w:t>
      </w:r>
    </w:p>
    <w:p w14:paraId="050BBCF1" w14:textId="36F72AFD" w:rsidR="00D10E99" w:rsidRDefault="00D10E99" w:rsidP="00C217CB">
      <w:pPr>
        <w:autoSpaceDE w:val="0"/>
        <w:autoSpaceDN w:val="0"/>
        <w:adjustRightInd w:val="0"/>
        <w:rPr>
          <w:rFonts w:ascii="Arial" w:eastAsiaTheme="minorHAnsi" w:hAnsi="Arial" w:cs="Arial"/>
          <w:sz w:val="22"/>
          <w:szCs w:val="22"/>
          <w:lang w:eastAsia="en-US"/>
        </w:rPr>
      </w:pPr>
    </w:p>
    <w:p w14:paraId="43390CA5" w14:textId="478B472D" w:rsidR="0057794C" w:rsidRDefault="0057794C"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Brophy (1981, cited in Muijs &amp; Reynolds, 2001, p. 54), supports this view and summarises criteria for effective praise. </w:t>
      </w:r>
      <w:r w:rsidR="00C22B03">
        <w:rPr>
          <w:rFonts w:ascii="Arial" w:eastAsiaTheme="minorHAnsi" w:hAnsi="Arial" w:cs="Arial"/>
          <w:sz w:val="22"/>
          <w:szCs w:val="22"/>
          <w:lang w:eastAsia="en-US"/>
        </w:rPr>
        <w:t>These include that it should: be offered by exception; reward specific achievement relevant to prior attainment; and recognise performance against defined measures (which can include effort).</w:t>
      </w:r>
    </w:p>
    <w:p w14:paraId="453656F9" w14:textId="50B36F30" w:rsidR="009709D4" w:rsidRDefault="009709D4" w:rsidP="00C217CB">
      <w:pPr>
        <w:autoSpaceDE w:val="0"/>
        <w:autoSpaceDN w:val="0"/>
        <w:adjustRightInd w:val="0"/>
        <w:rPr>
          <w:rFonts w:ascii="Arial" w:eastAsiaTheme="minorHAnsi" w:hAnsi="Arial" w:cs="Arial"/>
          <w:sz w:val="22"/>
          <w:szCs w:val="22"/>
          <w:lang w:eastAsia="en-US"/>
        </w:rPr>
      </w:pPr>
    </w:p>
    <w:p w14:paraId="0EBD7163" w14:textId="4D329092" w:rsidR="009709D4" w:rsidRPr="009709D4" w:rsidRDefault="009709D4" w:rsidP="00C217CB">
      <w:pPr>
        <w:autoSpaceDE w:val="0"/>
        <w:autoSpaceDN w:val="0"/>
        <w:adjustRightInd w:val="0"/>
        <w:rPr>
          <w:rFonts w:ascii="Arial" w:eastAsiaTheme="minorHAnsi" w:hAnsi="Arial" w:cs="Arial"/>
          <w:b/>
          <w:sz w:val="22"/>
          <w:szCs w:val="22"/>
          <w:lang w:eastAsia="en-US"/>
        </w:rPr>
      </w:pPr>
      <w:r w:rsidRPr="009709D4">
        <w:rPr>
          <w:rFonts w:ascii="Arial" w:eastAsiaTheme="minorHAnsi" w:hAnsi="Arial" w:cs="Arial"/>
          <w:b/>
          <w:sz w:val="22"/>
          <w:szCs w:val="22"/>
          <w:lang w:eastAsia="en-US"/>
        </w:rPr>
        <w:t>Peer Assessment</w:t>
      </w:r>
    </w:p>
    <w:p w14:paraId="7ADFA43C" w14:textId="70AC9119" w:rsidR="001305D5" w:rsidRDefault="001305D5" w:rsidP="00C217CB">
      <w:pPr>
        <w:autoSpaceDE w:val="0"/>
        <w:autoSpaceDN w:val="0"/>
        <w:adjustRightInd w:val="0"/>
        <w:rPr>
          <w:rFonts w:ascii="Arial" w:eastAsiaTheme="minorHAnsi" w:hAnsi="Arial" w:cs="Arial"/>
          <w:sz w:val="22"/>
          <w:szCs w:val="22"/>
          <w:lang w:eastAsia="en-US"/>
        </w:rPr>
      </w:pPr>
    </w:p>
    <w:p w14:paraId="27475D4D" w14:textId="2A3CB2AF" w:rsidR="001305D5" w:rsidRDefault="00212FB5"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Gault (2015, p. </w:t>
      </w:r>
      <w:r w:rsidR="00E80825">
        <w:rPr>
          <w:rFonts w:ascii="Arial" w:eastAsiaTheme="minorHAnsi" w:hAnsi="Arial" w:cs="Arial"/>
          <w:sz w:val="22"/>
          <w:szCs w:val="22"/>
          <w:lang w:eastAsia="en-US"/>
        </w:rPr>
        <w:t xml:space="preserve">285) explains that Peer </w:t>
      </w:r>
      <w:r w:rsidR="009709D4">
        <w:rPr>
          <w:rFonts w:ascii="Arial" w:eastAsiaTheme="minorHAnsi" w:hAnsi="Arial" w:cs="Arial"/>
          <w:sz w:val="22"/>
          <w:szCs w:val="22"/>
          <w:lang w:eastAsia="en-US"/>
        </w:rPr>
        <w:t>A</w:t>
      </w:r>
      <w:r w:rsidR="00E80825">
        <w:rPr>
          <w:rFonts w:ascii="Arial" w:eastAsiaTheme="minorHAnsi" w:hAnsi="Arial" w:cs="Arial"/>
          <w:sz w:val="22"/>
          <w:szCs w:val="22"/>
          <w:lang w:eastAsia="en-US"/>
        </w:rPr>
        <w:t>ssessment enables learners to assess each other’s work. To do so, they must understand both the subject matter and assessment criteria. Consequently, pupils can set targets to improve their learning and take ownership of progressing it. Thus, students are actively involved</w:t>
      </w:r>
      <w:r w:rsidR="00A705A5">
        <w:rPr>
          <w:rFonts w:ascii="Arial" w:eastAsiaTheme="minorHAnsi" w:hAnsi="Arial" w:cs="Arial"/>
          <w:sz w:val="22"/>
          <w:szCs w:val="22"/>
          <w:lang w:eastAsia="en-US"/>
        </w:rPr>
        <w:t>,</w:t>
      </w:r>
      <w:r w:rsidR="00E80825">
        <w:rPr>
          <w:rFonts w:ascii="Arial" w:eastAsiaTheme="minorHAnsi" w:hAnsi="Arial" w:cs="Arial"/>
          <w:sz w:val="22"/>
          <w:szCs w:val="22"/>
          <w:lang w:eastAsia="en-US"/>
        </w:rPr>
        <w:t xml:space="preserve"> creating understanding about their learning. Furthermore, learners </w:t>
      </w:r>
      <w:r w:rsidR="004355E5">
        <w:rPr>
          <w:rFonts w:ascii="Arial" w:eastAsiaTheme="minorHAnsi" w:hAnsi="Arial" w:cs="Arial"/>
          <w:sz w:val="22"/>
          <w:szCs w:val="22"/>
          <w:lang w:eastAsia="en-US"/>
        </w:rPr>
        <w:t>are able to evaluate their own work more proficiently by assessing their peers’ efforts.</w:t>
      </w:r>
    </w:p>
    <w:p w14:paraId="387E2746" w14:textId="5AB5717C" w:rsidR="00406206" w:rsidRDefault="00406206" w:rsidP="00C217CB">
      <w:pPr>
        <w:autoSpaceDE w:val="0"/>
        <w:autoSpaceDN w:val="0"/>
        <w:adjustRightInd w:val="0"/>
        <w:rPr>
          <w:rFonts w:ascii="Arial" w:eastAsiaTheme="minorHAnsi" w:hAnsi="Arial" w:cs="Arial"/>
          <w:sz w:val="22"/>
          <w:szCs w:val="22"/>
          <w:lang w:eastAsia="en-US"/>
        </w:rPr>
      </w:pPr>
    </w:p>
    <w:p w14:paraId="7DCF7FB4" w14:textId="24699584" w:rsidR="00406206" w:rsidRDefault="00406206"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Pollard (2014, p. 367) suggests that Peer </w:t>
      </w:r>
      <w:r w:rsidR="009709D4">
        <w:rPr>
          <w:rFonts w:ascii="Arial" w:eastAsiaTheme="minorHAnsi" w:hAnsi="Arial" w:cs="Arial"/>
          <w:sz w:val="22"/>
          <w:szCs w:val="22"/>
          <w:lang w:eastAsia="en-US"/>
        </w:rPr>
        <w:t>A</w:t>
      </w:r>
      <w:r>
        <w:rPr>
          <w:rFonts w:ascii="Arial" w:eastAsiaTheme="minorHAnsi" w:hAnsi="Arial" w:cs="Arial"/>
          <w:sz w:val="22"/>
          <w:szCs w:val="22"/>
          <w:lang w:eastAsia="en-US"/>
        </w:rPr>
        <w:t>ssessment can result in immediate improvement. If learners discuss work together, and suggested amendments are actioned straight away, then this removes the need for traditional marking to occur. This supports the learning of pupils whose literacy skills are weaker and who may be less able to provide written feedback to others.</w:t>
      </w:r>
      <w:r w:rsidR="009C5531">
        <w:rPr>
          <w:rFonts w:ascii="Arial" w:eastAsiaTheme="minorHAnsi" w:hAnsi="Arial" w:cs="Arial"/>
          <w:sz w:val="22"/>
          <w:szCs w:val="22"/>
          <w:lang w:eastAsia="en-US"/>
        </w:rPr>
        <w:t xml:space="preserve"> Also, collective collaboration to improve work helps students appreciate the value of their classmates’ opinion and encourages them to seek it. This is more effective if they can target the aspect of their work where feedback should be directed.</w:t>
      </w:r>
    </w:p>
    <w:p w14:paraId="2A1FE9E8" w14:textId="0A1D4135" w:rsidR="005712C1" w:rsidRDefault="005712C1"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w:t>
      </w:r>
    </w:p>
    <w:p w14:paraId="01921FBA" w14:textId="4508BBB3" w:rsidR="005712C1" w:rsidRDefault="005712C1"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James (1998, cited in Fautley &amp; Savage, 2008</w:t>
      </w:r>
      <w:r w:rsidR="00747BE5">
        <w:rPr>
          <w:rFonts w:ascii="Arial" w:eastAsiaTheme="minorHAnsi" w:hAnsi="Arial" w:cs="Arial"/>
          <w:sz w:val="22"/>
          <w:szCs w:val="22"/>
          <w:lang w:eastAsia="en-US"/>
        </w:rPr>
        <w:t>, p. 52)</w:t>
      </w:r>
      <w:r w:rsidR="00C3067F">
        <w:rPr>
          <w:rFonts w:ascii="Arial" w:eastAsiaTheme="minorHAnsi" w:hAnsi="Arial" w:cs="Arial"/>
          <w:sz w:val="22"/>
          <w:szCs w:val="22"/>
          <w:lang w:eastAsia="en-US"/>
        </w:rPr>
        <w:t xml:space="preserve"> confirms how Peer </w:t>
      </w:r>
      <w:r w:rsidR="009709D4">
        <w:rPr>
          <w:rFonts w:ascii="Arial" w:eastAsiaTheme="minorHAnsi" w:hAnsi="Arial" w:cs="Arial"/>
          <w:sz w:val="22"/>
          <w:szCs w:val="22"/>
          <w:lang w:eastAsia="en-US"/>
        </w:rPr>
        <w:t>A</w:t>
      </w:r>
      <w:r w:rsidR="00C3067F">
        <w:rPr>
          <w:rFonts w:ascii="Arial" w:eastAsiaTheme="minorHAnsi" w:hAnsi="Arial" w:cs="Arial"/>
          <w:sz w:val="22"/>
          <w:szCs w:val="22"/>
          <w:lang w:eastAsia="en-US"/>
        </w:rPr>
        <w:t>ssessment enhances the teaching and learning process.</w:t>
      </w:r>
      <w:r w:rsidR="009709D4">
        <w:rPr>
          <w:rFonts w:ascii="Arial" w:eastAsiaTheme="minorHAnsi" w:hAnsi="Arial" w:cs="Arial"/>
          <w:sz w:val="22"/>
          <w:szCs w:val="22"/>
          <w:lang w:eastAsia="en-US"/>
        </w:rPr>
        <w:t xml:space="preserve"> He points out that, in order for learners to improve, they must assess the difference between their actual and target performance as well as discovering the cause of it. This enables them to devise methods for bridging that gap in future. Only students can </w:t>
      </w:r>
      <w:r w:rsidR="00F30B5F">
        <w:rPr>
          <w:rFonts w:ascii="Arial" w:eastAsiaTheme="minorHAnsi" w:hAnsi="Arial" w:cs="Arial"/>
          <w:sz w:val="22"/>
          <w:szCs w:val="22"/>
          <w:lang w:eastAsia="en-US"/>
        </w:rPr>
        <w:t>conduct</w:t>
      </w:r>
      <w:r w:rsidR="009709D4">
        <w:rPr>
          <w:rFonts w:ascii="Arial" w:eastAsiaTheme="minorHAnsi" w:hAnsi="Arial" w:cs="Arial"/>
          <w:sz w:val="22"/>
          <w:szCs w:val="22"/>
          <w:lang w:eastAsia="en-US"/>
        </w:rPr>
        <w:t xml:space="preserve"> this analysis. Their teachers </w:t>
      </w:r>
      <w:r w:rsidR="00F30B5F">
        <w:rPr>
          <w:rFonts w:ascii="Arial" w:eastAsiaTheme="minorHAnsi" w:hAnsi="Arial" w:cs="Arial"/>
          <w:sz w:val="22"/>
          <w:szCs w:val="22"/>
          <w:lang w:eastAsia="en-US"/>
        </w:rPr>
        <w:t>are not able to do it for them.</w:t>
      </w:r>
    </w:p>
    <w:p w14:paraId="7B158948" w14:textId="04408566" w:rsidR="00985A8E" w:rsidRDefault="00985A8E" w:rsidP="00C217CB">
      <w:pPr>
        <w:autoSpaceDE w:val="0"/>
        <w:autoSpaceDN w:val="0"/>
        <w:adjustRightInd w:val="0"/>
        <w:rPr>
          <w:rFonts w:ascii="Arial" w:eastAsiaTheme="minorHAnsi" w:hAnsi="Arial" w:cs="Arial"/>
          <w:sz w:val="22"/>
          <w:szCs w:val="22"/>
          <w:lang w:eastAsia="en-US"/>
        </w:rPr>
      </w:pPr>
    </w:p>
    <w:p w14:paraId="3A4A3F72" w14:textId="76BFFADB" w:rsidR="00985A8E" w:rsidRDefault="00985A8E"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Fautley &amp; Savage (2008, p. 51) highlight</w:t>
      </w:r>
      <w:r w:rsidR="00CB2DF9">
        <w:rPr>
          <w:rFonts w:ascii="Arial" w:eastAsiaTheme="minorHAnsi" w:hAnsi="Arial" w:cs="Arial"/>
          <w:sz w:val="22"/>
          <w:szCs w:val="22"/>
          <w:lang w:eastAsia="en-US"/>
        </w:rPr>
        <w:t xml:space="preserve"> that some trainee teachers struggle with the concept of using Peer Assessment in class. Moreover, the approach necessitates preparation for both teachers and learners before it can be implemented effectively. The fact that it may be a rare practice for trainee teachers to encounter during their placements, does not reduce its validity.</w:t>
      </w:r>
    </w:p>
    <w:p w14:paraId="3E07A33D" w14:textId="0AE694FE" w:rsidR="00D00D0A" w:rsidRDefault="00D00D0A" w:rsidP="00C217CB">
      <w:pPr>
        <w:autoSpaceDE w:val="0"/>
        <w:autoSpaceDN w:val="0"/>
        <w:adjustRightInd w:val="0"/>
        <w:rPr>
          <w:rFonts w:ascii="Arial" w:eastAsiaTheme="minorHAnsi" w:hAnsi="Arial" w:cs="Arial"/>
          <w:sz w:val="22"/>
          <w:szCs w:val="22"/>
          <w:lang w:eastAsia="en-US"/>
        </w:rPr>
      </w:pPr>
    </w:p>
    <w:p w14:paraId="4AEE9250" w14:textId="30298BC1" w:rsidR="00D00D0A" w:rsidRDefault="00D00D0A" w:rsidP="00C217CB">
      <w:pPr>
        <w:autoSpaceDE w:val="0"/>
        <w:autoSpaceDN w:val="0"/>
        <w:adjustRightInd w:val="0"/>
        <w:rPr>
          <w:rFonts w:ascii="Arial" w:eastAsiaTheme="minorHAnsi" w:hAnsi="Arial" w:cs="Arial"/>
          <w:b/>
          <w:sz w:val="22"/>
          <w:szCs w:val="22"/>
          <w:lang w:eastAsia="en-US"/>
        </w:rPr>
      </w:pPr>
      <w:r>
        <w:rPr>
          <w:rFonts w:ascii="Arial" w:eastAsiaTheme="minorHAnsi" w:hAnsi="Arial" w:cs="Arial"/>
          <w:b/>
          <w:sz w:val="22"/>
          <w:szCs w:val="22"/>
          <w:lang w:eastAsia="en-US"/>
        </w:rPr>
        <w:t>542 Words</w:t>
      </w:r>
    </w:p>
    <w:p w14:paraId="44E330CC" w14:textId="5AD3D91A" w:rsidR="007D167C" w:rsidRDefault="007D167C" w:rsidP="00C217CB">
      <w:pPr>
        <w:autoSpaceDE w:val="0"/>
        <w:autoSpaceDN w:val="0"/>
        <w:adjustRightInd w:val="0"/>
        <w:rPr>
          <w:rFonts w:ascii="Arial" w:eastAsiaTheme="minorHAnsi" w:hAnsi="Arial" w:cs="Arial"/>
          <w:b/>
          <w:sz w:val="22"/>
          <w:szCs w:val="22"/>
          <w:lang w:eastAsia="en-US"/>
        </w:rPr>
      </w:pPr>
    </w:p>
    <w:p w14:paraId="0C3C8FDE" w14:textId="0A67EDD3" w:rsidR="007D167C" w:rsidRDefault="007D167C" w:rsidP="00C217CB">
      <w:pPr>
        <w:autoSpaceDE w:val="0"/>
        <w:autoSpaceDN w:val="0"/>
        <w:adjustRightInd w:val="0"/>
        <w:rPr>
          <w:rFonts w:ascii="Arial" w:eastAsiaTheme="minorHAnsi" w:hAnsi="Arial" w:cs="Arial"/>
          <w:b/>
          <w:sz w:val="22"/>
          <w:szCs w:val="22"/>
          <w:lang w:eastAsia="en-US"/>
        </w:rPr>
      </w:pPr>
    </w:p>
    <w:p w14:paraId="501B77A4" w14:textId="48C9AD10" w:rsidR="007D167C" w:rsidRDefault="007D167C" w:rsidP="00C217CB">
      <w:pPr>
        <w:autoSpaceDE w:val="0"/>
        <w:autoSpaceDN w:val="0"/>
        <w:adjustRightInd w:val="0"/>
        <w:rPr>
          <w:rFonts w:ascii="Arial" w:eastAsiaTheme="minorHAnsi" w:hAnsi="Arial" w:cs="Arial"/>
          <w:b/>
          <w:sz w:val="22"/>
          <w:szCs w:val="22"/>
          <w:lang w:eastAsia="en-US"/>
        </w:rPr>
      </w:pPr>
    </w:p>
    <w:p w14:paraId="7C011A85" w14:textId="51636D1B" w:rsidR="007D167C" w:rsidRDefault="007D167C" w:rsidP="00C217CB">
      <w:pPr>
        <w:autoSpaceDE w:val="0"/>
        <w:autoSpaceDN w:val="0"/>
        <w:adjustRightInd w:val="0"/>
        <w:rPr>
          <w:rFonts w:ascii="Arial" w:eastAsiaTheme="minorHAnsi" w:hAnsi="Arial" w:cs="Arial"/>
          <w:b/>
          <w:sz w:val="22"/>
          <w:szCs w:val="22"/>
          <w:lang w:eastAsia="en-US"/>
        </w:rPr>
      </w:pPr>
    </w:p>
    <w:p w14:paraId="6E5D8A55" w14:textId="1590E3CE" w:rsidR="007D167C" w:rsidRDefault="007D167C" w:rsidP="00C217CB">
      <w:pPr>
        <w:autoSpaceDE w:val="0"/>
        <w:autoSpaceDN w:val="0"/>
        <w:adjustRightInd w:val="0"/>
        <w:rPr>
          <w:rFonts w:ascii="Arial" w:eastAsiaTheme="minorHAnsi" w:hAnsi="Arial" w:cs="Arial"/>
          <w:b/>
          <w:sz w:val="22"/>
          <w:szCs w:val="22"/>
          <w:lang w:eastAsia="en-US"/>
        </w:rPr>
      </w:pPr>
    </w:p>
    <w:p w14:paraId="7280124D" w14:textId="77777777" w:rsidR="007D167C" w:rsidRDefault="007D167C" w:rsidP="00C217CB">
      <w:pPr>
        <w:autoSpaceDE w:val="0"/>
        <w:autoSpaceDN w:val="0"/>
        <w:adjustRightInd w:val="0"/>
        <w:rPr>
          <w:rFonts w:ascii="Arial" w:eastAsiaTheme="minorHAnsi" w:hAnsi="Arial" w:cs="Arial"/>
          <w:b/>
          <w:sz w:val="22"/>
          <w:szCs w:val="22"/>
          <w:lang w:eastAsia="en-US"/>
        </w:rPr>
      </w:pPr>
    </w:p>
    <w:p w14:paraId="00FFDF54" w14:textId="73274CD7" w:rsidR="00151745" w:rsidRDefault="00151745" w:rsidP="00C217CB">
      <w:pPr>
        <w:autoSpaceDE w:val="0"/>
        <w:autoSpaceDN w:val="0"/>
        <w:adjustRightInd w:val="0"/>
        <w:rPr>
          <w:rFonts w:ascii="Arial" w:eastAsiaTheme="minorHAnsi" w:hAnsi="Arial" w:cs="Arial"/>
          <w:b/>
          <w:sz w:val="22"/>
          <w:szCs w:val="22"/>
          <w:lang w:eastAsia="en-US"/>
        </w:rPr>
      </w:pPr>
    </w:p>
    <w:p w14:paraId="7467C283" w14:textId="242D7C28" w:rsidR="00C217CB" w:rsidRDefault="00C217CB" w:rsidP="00C217CB">
      <w:pPr>
        <w:autoSpaceDE w:val="0"/>
        <w:autoSpaceDN w:val="0"/>
        <w:adjustRightInd w:val="0"/>
        <w:rPr>
          <w:rFonts w:ascii="Arial" w:eastAsiaTheme="minorHAnsi" w:hAnsi="Arial" w:cs="Arial"/>
          <w:b/>
          <w:sz w:val="22"/>
          <w:szCs w:val="22"/>
          <w:lang w:eastAsia="en-US"/>
        </w:rPr>
      </w:pPr>
      <w:r w:rsidRPr="00CA6317">
        <w:rPr>
          <w:rFonts w:ascii="Arial" w:eastAsiaTheme="minorHAnsi" w:hAnsi="Arial" w:cs="Arial"/>
          <w:b/>
          <w:sz w:val="22"/>
          <w:szCs w:val="22"/>
          <w:lang w:eastAsia="en-US"/>
        </w:rPr>
        <w:lastRenderedPageBreak/>
        <w:t xml:space="preserve">• Critically evaluate the influence of these features on pupils’ thinking, learning and behaviour in the light of suggested changes. </w:t>
      </w:r>
    </w:p>
    <w:p w14:paraId="0000D829" w14:textId="06F6A717" w:rsidR="00EF0759" w:rsidRDefault="00EF0759" w:rsidP="00C217CB">
      <w:pPr>
        <w:autoSpaceDE w:val="0"/>
        <w:autoSpaceDN w:val="0"/>
        <w:adjustRightInd w:val="0"/>
        <w:rPr>
          <w:rFonts w:ascii="Arial" w:eastAsiaTheme="minorHAnsi" w:hAnsi="Arial" w:cs="Arial"/>
          <w:b/>
          <w:sz w:val="22"/>
          <w:szCs w:val="22"/>
          <w:lang w:eastAsia="en-US"/>
        </w:rPr>
      </w:pPr>
    </w:p>
    <w:p w14:paraId="3F74D1A8" w14:textId="046994DB" w:rsidR="00EF0759" w:rsidRDefault="00E4113C"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Rogers (2006,</w:t>
      </w:r>
      <w:r w:rsidR="00B51154">
        <w:rPr>
          <w:rFonts w:ascii="Arial" w:eastAsiaTheme="minorHAnsi" w:hAnsi="Arial" w:cs="Arial"/>
          <w:sz w:val="22"/>
          <w:szCs w:val="22"/>
          <w:lang w:eastAsia="en-US"/>
        </w:rPr>
        <w:t xml:space="preserve"> pp. 99-100) sets out the impact that praise can have on challenging individuals and classes if teachers consciously respond to learners’ positive actions. This can be done either openly or with individuals discreetly</w:t>
      </w:r>
      <w:r w:rsidR="008048E3">
        <w:rPr>
          <w:rFonts w:ascii="Arial" w:eastAsiaTheme="minorHAnsi" w:hAnsi="Arial" w:cs="Arial"/>
          <w:sz w:val="22"/>
          <w:szCs w:val="22"/>
          <w:lang w:eastAsia="en-US"/>
        </w:rPr>
        <w:t>. The time investment necessary to develop this skill is justified</w:t>
      </w:r>
      <w:r w:rsidR="007D167C">
        <w:rPr>
          <w:rFonts w:ascii="Arial" w:eastAsiaTheme="minorHAnsi" w:hAnsi="Arial" w:cs="Arial"/>
          <w:sz w:val="22"/>
          <w:szCs w:val="22"/>
          <w:lang w:eastAsia="en-US"/>
        </w:rPr>
        <w:t xml:space="preserve"> because it creates a far more positive learning environment with pupils individually and collectively. The process transmits faith in students’ ability to develop.</w:t>
      </w:r>
    </w:p>
    <w:p w14:paraId="61804E6D" w14:textId="124DA6A2" w:rsidR="007D167C" w:rsidRDefault="007D167C" w:rsidP="00C217CB">
      <w:pPr>
        <w:autoSpaceDE w:val="0"/>
        <w:autoSpaceDN w:val="0"/>
        <w:adjustRightInd w:val="0"/>
        <w:rPr>
          <w:rFonts w:ascii="Arial" w:eastAsiaTheme="minorHAnsi" w:hAnsi="Arial" w:cs="Arial"/>
          <w:sz w:val="22"/>
          <w:szCs w:val="22"/>
          <w:lang w:eastAsia="en-US"/>
        </w:rPr>
      </w:pPr>
    </w:p>
    <w:p w14:paraId="47FE5211" w14:textId="7DD4BAD6" w:rsidR="007D167C" w:rsidRDefault="007D167C"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Rogers (2015, pp. 150-151) develops his own analysis by claiming that, as learners </w:t>
      </w:r>
      <w:r w:rsidR="002A7638">
        <w:rPr>
          <w:rFonts w:ascii="Arial" w:eastAsiaTheme="minorHAnsi" w:hAnsi="Arial" w:cs="Arial"/>
          <w:sz w:val="22"/>
          <w:szCs w:val="22"/>
          <w:lang w:eastAsia="en-US"/>
        </w:rPr>
        <w:t xml:space="preserve">become teenagers, open praise for their school work may not be so well received. Consequently, a few words in private are more </w:t>
      </w:r>
      <w:r w:rsidR="00176BF2">
        <w:rPr>
          <w:rFonts w:ascii="Arial" w:eastAsiaTheme="minorHAnsi" w:hAnsi="Arial" w:cs="Arial"/>
          <w:sz w:val="22"/>
          <w:szCs w:val="22"/>
          <w:lang w:eastAsia="en-US"/>
        </w:rPr>
        <w:t>appropriate</w:t>
      </w:r>
      <w:r w:rsidR="002A7638">
        <w:rPr>
          <w:rFonts w:ascii="Arial" w:eastAsiaTheme="minorHAnsi" w:hAnsi="Arial" w:cs="Arial"/>
          <w:sz w:val="22"/>
          <w:szCs w:val="22"/>
          <w:lang w:eastAsia="en-US"/>
        </w:rPr>
        <w:t xml:space="preserve">. Similarly, a note or letter sent home by a teacher to a </w:t>
      </w:r>
      <w:r w:rsidR="00176BF2">
        <w:rPr>
          <w:rFonts w:ascii="Arial" w:eastAsiaTheme="minorHAnsi" w:hAnsi="Arial" w:cs="Arial"/>
          <w:sz w:val="22"/>
          <w:szCs w:val="22"/>
          <w:lang w:eastAsia="en-US"/>
        </w:rPr>
        <w:t>student</w:t>
      </w:r>
      <w:r w:rsidR="002A7638">
        <w:rPr>
          <w:rFonts w:ascii="Arial" w:eastAsiaTheme="minorHAnsi" w:hAnsi="Arial" w:cs="Arial"/>
          <w:sz w:val="22"/>
          <w:szCs w:val="22"/>
          <w:lang w:eastAsia="en-US"/>
        </w:rPr>
        <w:t>’s parents can have added impact through the recipient adding their own encouragement to the pupil.</w:t>
      </w:r>
    </w:p>
    <w:p w14:paraId="13AD68E2" w14:textId="7E9D5291" w:rsidR="00DE01A4" w:rsidRDefault="00DE01A4" w:rsidP="00C217CB">
      <w:pPr>
        <w:autoSpaceDE w:val="0"/>
        <w:autoSpaceDN w:val="0"/>
        <w:adjustRightInd w:val="0"/>
        <w:rPr>
          <w:rFonts w:ascii="Arial" w:eastAsiaTheme="minorHAnsi" w:hAnsi="Arial" w:cs="Arial"/>
          <w:sz w:val="22"/>
          <w:szCs w:val="22"/>
          <w:lang w:eastAsia="en-US"/>
        </w:rPr>
      </w:pPr>
    </w:p>
    <w:p w14:paraId="74759087" w14:textId="759FBA30" w:rsidR="00DE01A4" w:rsidRDefault="00921191"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Finally, Rogers (1998, pp</w:t>
      </w:r>
      <w:r w:rsidR="00A705A5">
        <w:rPr>
          <w:rFonts w:ascii="Arial" w:eastAsiaTheme="minorHAnsi" w:hAnsi="Arial" w:cs="Arial"/>
          <w:sz w:val="22"/>
          <w:szCs w:val="22"/>
          <w:lang w:eastAsia="en-US"/>
        </w:rPr>
        <w:t>.</w:t>
      </w:r>
      <w:r>
        <w:rPr>
          <w:rFonts w:ascii="Arial" w:eastAsiaTheme="minorHAnsi" w:hAnsi="Arial" w:cs="Arial"/>
          <w:sz w:val="22"/>
          <w:szCs w:val="22"/>
          <w:lang w:eastAsia="en-US"/>
        </w:rPr>
        <w:t xml:space="preserve"> 232,235) emphasises the difference between praise and encouragement</w:t>
      </w:r>
      <w:r w:rsidR="00176BF2">
        <w:rPr>
          <w:rFonts w:ascii="Arial" w:eastAsiaTheme="minorHAnsi" w:hAnsi="Arial" w:cs="Arial"/>
          <w:sz w:val="22"/>
          <w:szCs w:val="22"/>
          <w:lang w:eastAsia="en-US"/>
        </w:rPr>
        <w:t>,</w:t>
      </w:r>
      <w:r>
        <w:rPr>
          <w:rFonts w:ascii="Arial" w:eastAsiaTheme="minorHAnsi" w:hAnsi="Arial" w:cs="Arial"/>
          <w:sz w:val="22"/>
          <w:szCs w:val="22"/>
          <w:lang w:eastAsia="en-US"/>
        </w:rPr>
        <w:t xml:space="preserve"> stressing that the latter should be used because it helps the learner understand why their behaviour is praiseworthy. The message </w:t>
      </w:r>
      <w:r w:rsidR="00176BF2">
        <w:rPr>
          <w:rFonts w:ascii="Arial" w:eastAsiaTheme="minorHAnsi" w:hAnsi="Arial" w:cs="Arial"/>
          <w:sz w:val="22"/>
          <w:szCs w:val="22"/>
          <w:lang w:eastAsia="en-US"/>
        </w:rPr>
        <w:t>must</w:t>
      </w:r>
      <w:r>
        <w:rPr>
          <w:rFonts w:ascii="Arial" w:eastAsiaTheme="minorHAnsi" w:hAnsi="Arial" w:cs="Arial"/>
          <w:sz w:val="22"/>
          <w:szCs w:val="22"/>
          <w:lang w:eastAsia="en-US"/>
        </w:rPr>
        <w:t xml:space="preserve"> be succinct to ensure it is not diluted by subordinate, qualifying comments.</w:t>
      </w:r>
      <w:r w:rsidR="0026608F">
        <w:rPr>
          <w:rFonts w:ascii="Arial" w:eastAsiaTheme="minorHAnsi" w:hAnsi="Arial" w:cs="Arial"/>
          <w:sz w:val="22"/>
          <w:szCs w:val="22"/>
          <w:lang w:eastAsia="en-US"/>
        </w:rPr>
        <w:t xml:space="preserve"> It promotes learning because it acknowledges the pupil’s effort instead of simply concentrating on the outcome from it.</w:t>
      </w:r>
      <w:r w:rsidR="00BC6F80">
        <w:rPr>
          <w:rFonts w:ascii="Arial" w:eastAsiaTheme="minorHAnsi" w:hAnsi="Arial" w:cs="Arial"/>
          <w:sz w:val="22"/>
          <w:szCs w:val="22"/>
          <w:lang w:eastAsia="en-US"/>
        </w:rPr>
        <w:t xml:space="preserve"> Furthermore, Hattie &amp; Yates (2014, p.69) illustrate the impact of encouragement on learning, even if pupils are not necessarily successful. </w:t>
      </w:r>
      <w:r w:rsidR="0077644E">
        <w:rPr>
          <w:rFonts w:ascii="Arial" w:eastAsiaTheme="minorHAnsi" w:hAnsi="Arial" w:cs="Arial"/>
          <w:sz w:val="22"/>
          <w:szCs w:val="22"/>
          <w:lang w:eastAsia="en-US"/>
        </w:rPr>
        <w:t>If they understand that facing challenge is an integral part of learning</w:t>
      </w:r>
      <w:r w:rsidR="00604B5A">
        <w:rPr>
          <w:rFonts w:ascii="Arial" w:eastAsiaTheme="minorHAnsi" w:hAnsi="Arial" w:cs="Arial"/>
          <w:sz w:val="22"/>
          <w:szCs w:val="22"/>
          <w:lang w:eastAsia="en-US"/>
        </w:rPr>
        <w:t>,</w:t>
      </w:r>
      <w:r w:rsidR="0077644E">
        <w:rPr>
          <w:rFonts w:ascii="Arial" w:eastAsiaTheme="minorHAnsi" w:hAnsi="Arial" w:cs="Arial"/>
          <w:sz w:val="22"/>
          <w:szCs w:val="22"/>
          <w:lang w:eastAsia="en-US"/>
        </w:rPr>
        <w:t xml:space="preserve"> then isolated incidents of failure do not have a detrimental effect overall.</w:t>
      </w:r>
    </w:p>
    <w:p w14:paraId="2F270079" w14:textId="0649F282" w:rsidR="00E45B21" w:rsidRDefault="00E45B21" w:rsidP="00C217CB">
      <w:pPr>
        <w:autoSpaceDE w:val="0"/>
        <w:autoSpaceDN w:val="0"/>
        <w:adjustRightInd w:val="0"/>
        <w:rPr>
          <w:rFonts w:ascii="Arial" w:eastAsiaTheme="minorHAnsi" w:hAnsi="Arial" w:cs="Arial"/>
          <w:sz w:val="22"/>
          <w:szCs w:val="22"/>
          <w:lang w:eastAsia="en-US"/>
        </w:rPr>
      </w:pPr>
    </w:p>
    <w:p w14:paraId="4A2EAC98" w14:textId="33C5C53E" w:rsidR="007137E9" w:rsidRDefault="00E45B21"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Hattie and Timperley (2007, cited in Allison and Tharby, pp. 169-170)</w:t>
      </w:r>
      <w:r w:rsidR="00AA5950">
        <w:rPr>
          <w:rFonts w:ascii="Arial" w:eastAsiaTheme="minorHAnsi" w:hAnsi="Arial" w:cs="Arial"/>
          <w:sz w:val="22"/>
          <w:szCs w:val="22"/>
          <w:lang w:eastAsia="en-US"/>
        </w:rPr>
        <w:t xml:space="preserve"> also indicate that, to </w:t>
      </w:r>
      <w:r w:rsidR="002650F7">
        <w:rPr>
          <w:rFonts w:ascii="Arial" w:eastAsiaTheme="minorHAnsi" w:hAnsi="Arial" w:cs="Arial"/>
          <w:sz w:val="22"/>
          <w:szCs w:val="22"/>
          <w:lang w:eastAsia="en-US"/>
        </w:rPr>
        <w:t>have an</w:t>
      </w:r>
      <w:r w:rsidR="00AA5950">
        <w:rPr>
          <w:rFonts w:ascii="Arial" w:eastAsiaTheme="minorHAnsi" w:hAnsi="Arial" w:cs="Arial"/>
          <w:sz w:val="22"/>
          <w:szCs w:val="22"/>
          <w:lang w:eastAsia="en-US"/>
        </w:rPr>
        <w:t xml:space="preserve"> effective</w:t>
      </w:r>
      <w:r w:rsidR="002650F7">
        <w:rPr>
          <w:rFonts w:ascii="Arial" w:eastAsiaTheme="minorHAnsi" w:hAnsi="Arial" w:cs="Arial"/>
          <w:sz w:val="22"/>
          <w:szCs w:val="22"/>
          <w:lang w:eastAsia="en-US"/>
        </w:rPr>
        <w:t xml:space="preserve"> impact on learning</w:t>
      </w:r>
      <w:r w:rsidR="00AA5950">
        <w:rPr>
          <w:rFonts w:ascii="Arial" w:eastAsiaTheme="minorHAnsi" w:hAnsi="Arial" w:cs="Arial"/>
          <w:sz w:val="22"/>
          <w:szCs w:val="22"/>
          <w:lang w:eastAsia="en-US"/>
        </w:rPr>
        <w:t>, praise communicated to a pupil should concentrate not on their</w:t>
      </w:r>
      <w:r w:rsidR="00927F44">
        <w:rPr>
          <w:rFonts w:ascii="Arial" w:eastAsiaTheme="minorHAnsi" w:hAnsi="Arial" w:cs="Arial"/>
          <w:sz w:val="22"/>
          <w:szCs w:val="22"/>
          <w:lang w:eastAsia="en-US"/>
        </w:rPr>
        <w:t xml:space="preserve"> ability but their effort. However, this form of feedback is the least effective of four types mentioned. In order of impact, the following should be used instead: feedback on the task (which enables learners to acquire the surface knowledge necessary for higher-level learning); feedback on the process used to create the task (this should identify errors, enabling them to be addressed forthwith); and feedback from self-assessment (how students intend to assess their own work).</w:t>
      </w:r>
    </w:p>
    <w:p w14:paraId="452CAF71" w14:textId="5E536CAC" w:rsidR="009D5327" w:rsidRDefault="009D5327" w:rsidP="00C217CB">
      <w:pPr>
        <w:autoSpaceDE w:val="0"/>
        <w:autoSpaceDN w:val="0"/>
        <w:adjustRightInd w:val="0"/>
        <w:rPr>
          <w:rFonts w:ascii="Arial" w:eastAsiaTheme="minorHAnsi" w:hAnsi="Arial" w:cs="Arial"/>
          <w:sz w:val="22"/>
          <w:szCs w:val="22"/>
          <w:lang w:eastAsia="en-US"/>
        </w:rPr>
      </w:pPr>
    </w:p>
    <w:p w14:paraId="417CEE88" w14:textId="6C99E84C" w:rsidR="009D5327" w:rsidRDefault="009D5327"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Coloroso (1994, cited in Wong and Wong, p. 183)</w:t>
      </w:r>
      <w:r w:rsidR="00A43798">
        <w:rPr>
          <w:rFonts w:ascii="Arial" w:eastAsiaTheme="minorHAnsi" w:hAnsi="Arial" w:cs="Arial"/>
          <w:sz w:val="22"/>
          <w:szCs w:val="22"/>
          <w:lang w:eastAsia="en-US"/>
        </w:rPr>
        <w:t xml:space="preserve"> promotes the concept of specific praise, focussing on the action rather than the pupil, which will increase the likelihood of them repeating it. </w:t>
      </w:r>
      <w:r w:rsidR="0030073D">
        <w:rPr>
          <w:rFonts w:ascii="Arial" w:eastAsiaTheme="minorHAnsi" w:hAnsi="Arial" w:cs="Arial"/>
          <w:sz w:val="22"/>
          <w:szCs w:val="22"/>
          <w:lang w:eastAsia="en-US"/>
        </w:rPr>
        <w:t>Praising the action supports the learner in taking pride in their achievement and fosters the concept of accomplishment within them. Both traits assist the student in succeeding in life.</w:t>
      </w:r>
    </w:p>
    <w:p w14:paraId="28A2D8AA" w14:textId="0A5EABAE" w:rsidR="00F13880" w:rsidRDefault="00F13880" w:rsidP="00C217CB">
      <w:pPr>
        <w:autoSpaceDE w:val="0"/>
        <w:autoSpaceDN w:val="0"/>
        <w:adjustRightInd w:val="0"/>
        <w:rPr>
          <w:rFonts w:ascii="Arial" w:eastAsiaTheme="minorHAnsi" w:hAnsi="Arial" w:cs="Arial"/>
          <w:sz w:val="22"/>
          <w:szCs w:val="22"/>
          <w:lang w:eastAsia="en-US"/>
        </w:rPr>
      </w:pPr>
    </w:p>
    <w:p w14:paraId="6CECF558" w14:textId="669D5FD0" w:rsidR="00F13880" w:rsidRDefault="00F13880"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Fautley </w:t>
      </w:r>
      <w:r w:rsidR="00CF6508">
        <w:rPr>
          <w:rFonts w:ascii="Arial" w:eastAsiaTheme="minorHAnsi" w:hAnsi="Arial" w:cs="Arial"/>
          <w:sz w:val="22"/>
          <w:szCs w:val="22"/>
          <w:lang w:eastAsia="en-US"/>
        </w:rPr>
        <w:t>and Savage (2008, pp 17,87) consider praise as a behaviourist approach when positive reinforcement is applied to desired behaviour. If learners’ efforts are praised honestly, frequently and systematically, then this will</w:t>
      </w:r>
      <w:r w:rsidR="00C85EE8">
        <w:rPr>
          <w:rFonts w:ascii="Arial" w:eastAsiaTheme="minorHAnsi" w:hAnsi="Arial" w:cs="Arial"/>
          <w:sz w:val="22"/>
          <w:szCs w:val="22"/>
          <w:lang w:eastAsia="en-US"/>
        </w:rPr>
        <w:t xml:space="preserve"> enhance belief in their ability to learn. Additionally, the school environment will be conducive to achievement.</w:t>
      </w:r>
    </w:p>
    <w:p w14:paraId="1E53A134" w14:textId="77777777" w:rsidR="00927F44" w:rsidRDefault="00927F44" w:rsidP="00C217CB">
      <w:pPr>
        <w:autoSpaceDE w:val="0"/>
        <w:autoSpaceDN w:val="0"/>
        <w:adjustRightInd w:val="0"/>
        <w:rPr>
          <w:rFonts w:ascii="Arial" w:eastAsiaTheme="minorHAnsi" w:hAnsi="Arial" w:cs="Arial"/>
          <w:sz w:val="22"/>
          <w:szCs w:val="22"/>
          <w:lang w:eastAsia="en-US"/>
        </w:rPr>
      </w:pPr>
    </w:p>
    <w:p w14:paraId="496D8FC6" w14:textId="6D263D64" w:rsidR="007137E9" w:rsidRDefault="00B82CE2"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Boulton (2011, p. 159)</w:t>
      </w:r>
      <w:r w:rsidR="00313DEC">
        <w:rPr>
          <w:rFonts w:ascii="Arial" w:eastAsiaTheme="minorHAnsi" w:hAnsi="Arial" w:cs="Arial"/>
          <w:sz w:val="22"/>
          <w:szCs w:val="22"/>
          <w:lang w:eastAsia="en-US"/>
        </w:rPr>
        <w:t xml:space="preserve"> comments on the influence of Peer Assessment on learning if it is conducted as part of reflection and feedback at the end of a lesson. This allows pupils to set future targets for their learning and development. Additionally, formative assessment of all </w:t>
      </w:r>
      <w:r w:rsidR="009D5327">
        <w:rPr>
          <w:rFonts w:ascii="Arial" w:eastAsiaTheme="minorHAnsi" w:hAnsi="Arial" w:cs="Arial"/>
          <w:sz w:val="22"/>
          <w:szCs w:val="22"/>
          <w:lang w:eastAsia="en-US"/>
        </w:rPr>
        <w:t>learners’</w:t>
      </w:r>
      <w:r w:rsidR="00313DEC">
        <w:rPr>
          <w:rFonts w:ascii="Arial" w:eastAsiaTheme="minorHAnsi" w:hAnsi="Arial" w:cs="Arial"/>
          <w:sz w:val="22"/>
          <w:szCs w:val="22"/>
          <w:lang w:eastAsia="en-US"/>
        </w:rPr>
        <w:t xml:space="preserve"> targets for a class by their teacher will inform future lesson plans and help deliver the learning desired by students.</w:t>
      </w:r>
    </w:p>
    <w:p w14:paraId="6F0E1D23" w14:textId="0B80B2A4" w:rsidR="00176BF2" w:rsidRDefault="00176BF2" w:rsidP="00C217CB">
      <w:pPr>
        <w:autoSpaceDE w:val="0"/>
        <w:autoSpaceDN w:val="0"/>
        <w:adjustRightInd w:val="0"/>
        <w:rPr>
          <w:rFonts w:ascii="Arial" w:eastAsiaTheme="minorHAnsi" w:hAnsi="Arial" w:cs="Arial"/>
          <w:sz w:val="22"/>
          <w:szCs w:val="22"/>
          <w:lang w:eastAsia="en-US"/>
        </w:rPr>
      </w:pPr>
    </w:p>
    <w:p w14:paraId="6351F8D8" w14:textId="30474153" w:rsidR="00176BF2" w:rsidRPr="00176BF2" w:rsidRDefault="00176BF2" w:rsidP="00C217CB">
      <w:pPr>
        <w:autoSpaceDE w:val="0"/>
        <w:autoSpaceDN w:val="0"/>
        <w:adjustRightInd w:val="0"/>
        <w:rPr>
          <w:rFonts w:ascii="Arial" w:eastAsiaTheme="minorHAnsi" w:hAnsi="Arial" w:cs="Arial"/>
          <w:b/>
          <w:sz w:val="22"/>
          <w:szCs w:val="22"/>
          <w:lang w:eastAsia="en-US"/>
        </w:rPr>
      </w:pPr>
      <w:r>
        <w:rPr>
          <w:rFonts w:ascii="Arial" w:eastAsiaTheme="minorHAnsi" w:hAnsi="Arial" w:cs="Arial"/>
          <w:b/>
          <w:sz w:val="22"/>
          <w:szCs w:val="22"/>
          <w:lang w:eastAsia="en-US"/>
        </w:rPr>
        <w:t>520 Words</w:t>
      </w:r>
    </w:p>
    <w:p w14:paraId="75DA3E2D" w14:textId="50904A2B" w:rsidR="00BC6F80" w:rsidRDefault="00BC6F80" w:rsidP="00C217CB">
      <w:pPr>
        <w:autoSpaceDE w:val="0"/>
        <w:autoSpaceDN w:val="0"/>
        <w:adjustRightInd w:val="0"/>
        <w:rPr>
          <w:rFonts w:ascii="Arial" w:eastAsiaTheme="minorHAnsi" w:hAnsi="Arial" w:cs="Arial"/>
          <w:sz w:val="22"/>
          <w:szCs w:val="22"/>
          <w:lang w:eastAsia="en-US"/>
        </w:rPr>
      </w:pPr>
    </w:p>
    <w:p w14:paraId="4A7A3D58" w14:textId="77777777" w:rsidR="00BC6F80" w:rsidRDefault="00BC6F80" w:rsidP="00C217CB">
      <w:pPr>
        <w:autoSpaceDE w:val="0"/>
        <w:autoSpaceDN w:val="0"/>
        <w:adjustRightInd w:val="0"/>
        <w:rPr>
          <w:rFonts w:ascii="Arial" w:eastAsiaTheme="minorHAnsi" w:hAnsi="Arial" w:cs="Arial"/>
          <w:sz w:val="22"/>
          <w:szCs w:val="22"/>
          <w:lang w:eastAsia="en-US"/>
        </w:rPr>
      </w:pPr>
    </w:p>
    <w:p w14:paraId="33702FD8" w14:textId="71E82E9C" w:rsidR="007D167C" w:rsidRDefault="007D167C" w:rsidP="00C217CB">
      <w:pPr>
        <w:autoSpaceDE w:val="0"/>
        <w:autoSpaceDN w:val="0"/>
        <w:adjustRightInd w:val="0"/>
        <w:rPr>
          <w:rFonts w:ascii="Arial" w:eastAsiaTheme="minorHAnsi" w:hAnsi="Arial" w:cs="Arial"/>
          <w:sz w:val="22"/>
          <w:szCs w:val="22"/>
          <w:lang w:eastAsia="en-US"/>
        </w:rPr>
      </w:pPr>
    </w:p>
    <w:p w14:paraId="4B9E1E31" w14:textId="5454F975" w:rsidR="00C217CB" w:rsidRDefault="00C217CB" w:rsidP="00C217CB">
      <w:pPr>
        <w:autoSpaceDE w:val="0"/>
        <w:autoSpaceDN w:val="0"/>
        <w:adjustRightInd w:val="0"/>
        <w:rPr>
          <w:rFonts w:ascii="Arial" w:eastAsiaTheme="minorHAnsi" w:hAnsi="Arial" w:cs="Arial"/>
          <w:b/>
          <w:sz w:val="22"/>
          <w:szCs w:val="22"/>
          <w:lang w:eastAsia="en-US"/>
        </w:rPr>
      </w:pPr>
      <w:r w:rsidRPr="00CA6317">
        <w:rPr>
          <w:rFonts w:ascii="Arial" w:eastAsiaTheme="minorHAnsi" w:hAnsi="Arial" w:cs="Arial"/>
          <w:b/>
          <w:sz w:val="22"/>
          <w:szCs w:val="22"/>
          <w:lang w:eastAsia="en-US"/>
        </w:rPr>
        <w:lastRenderedPageBreak/>
        <w:t xml:space="preserve">• Evaluate the development of your own thinking as a teacher using QTS standards. </w:t>
      </w:r>
    </w:p>
    <w:p w14:paraId="5AF2CD87" w14:textId="2FC38D95" w:rsidR="00431394" w:rsidRDefault="00431394" w:rsidP="00C217CB">
      <w:pPr>
        <w:autoSpaceDE w:val="0"/>
        <w:autoSpaceDN w:val="0"/>
        <w:adjustRightInd w:val="0"/>
        <w:rPr>
          <w:rFonts w:ascii="Arial" w:eastAsiaTheme="minorHAnsi" w:hAnsi="Arial" w:cs="Arial"/>
          <w:b/>
          <w:sz w:val="22"/>
          <w:szCs w:val="22"/>
          <w:lang w:eastAsia="en-US"/>
        </w:rPr>
      </w:pPr>
    </w:p>
    <w:p w14:paraId="7C1B694A" w14:textId="6B82C50F" w:rsidR="00431394" w:rsidRDefault="00431394"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Pollard (2014, pp. 74-75) mentions that standards provide guidelines for the training of teachers. They are useful in setting and managing expectations for all who are involved in the process. However, they do not act as a permanent, rigid benchmark that a trainee will </w:t>
      </w:r>
      <w:r w:rsidR="004233A7">
        <w:rPr>
          <w:rFonts w:ascii="Arial" w:eastAsiaTheme="minorHAnsi" w:hAnsi="Arial" w:cs="Arial"/>
          <w:sz w:val="22"/>
          <w:szCs w:val="22"/>
          <w:lang w:eastAsia="en-US"/>
        </w:rPr>
        <w:t>be scored</w:t>
      </w:r>
      <w:r>
        <w:rPr>
          <w:rFonts w:ascii="Arial" w:eastAsiaTheme="minorHAnsi" w:hAnsi="Arial" w:cs="Arial"/>
          <w:sz w:val="22"/>
          <w:szCs w:val="22"/>
          <w:lang w:eastAsia="en-US"/>
        </w:rPr>
        <w:t xml:space="preserve"> against for the whole of their teaching career. Indeed, whilst my PGCE year is being conducted under QTS, Welsh Government (2018) </w:t>
      </w:r>
      <w:r w:rsidR="006E0119">
        <w:rPr>
          <w:rFonts w:ascii="Arial" w:eastAsiaTheme="minorHAnsi" w:hAnsi="Arial" w:cs="Arial"/>
          <w:sz w:val="22"/>
          <w:szCs w:val="22"/>
          <w:lang w:eastAsia="en-US"/>
        </w:rPr>
        <w:t>has announced details of the new standards that will replace them.</w:t>
      </w:r>
    </w:p>
    <w:p w14:paraId="75160BD5" w14:textId="69D0D18E" w:rsidR="001F385F" w:rsidRDefault="001F385F" w:rsidP="00C217CB">
      <w:pPr>
        <w:autoSpaceDE w:val="0"/>
        <w:autoSpaceDN w:val="0"/>
        <w:adjustRightInd w:val="0"/>
        <w:rPr>
          <w:rFonts w:ascii="Arial" w:eastAsiaTheme="minorHAnsi" w:hAnsi="Arial" w:cs="Arial"/>
          <w:sz w:val="22"/>
          <w:szCs w:val="22"/>
          <w:lang w:eastAsia="en-US"/>
        </w:rPr>
      </w:pPr>
    </w:p>
    <w:p w14:paraId="0B041313" w14:textId="3A4A5BC4" w:rsidR="001F385F" w:rsidRDefault="00067356"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QTS are an example of the Professional Characteristics that </w:t>
      </w:r>
      <w:r w:rsidR="001F385F">
        <w:rPr>
          <w:rFonts w:ascii="Arial" w:eastAsiaTheme="minorHAnsi" w:hAnsi="Arial" w:cs="Arial"/>
          <w:sz w:val="22"/>
          <w:szCs w:val="22"/>
          <w:lang w:eastAsia="en-US"/>
        </w:rPr>
        <w:t>Hay McBer (</w:t>
      </w:r>
      <w:r w:rsidR="002267D7">
        <w:rPr>
          <w:rFonts w:ascii="Arial" w:eastAsiaTheme="minorHAnsi" w:hAnsi="Arial" w:cs="Arial"/>
          <w:sz w:val="22"/>
          <w:szCs w:val="22"/>
          <w:lang w:eastAsia="en-US"/>
        </w:rPr>
        <w:t>2000</w:t>
      </w:r>
      <w:r w:rsidR="00A4274D">
        <w:rPr>
          <w:rFonts w:ascii="Arial" w:eastAsiaTheme="minorHAnsi" w:hAnsi="Arial" w:cs="Arial"/>
          <w:sz w:val="22"/>
          <w:szCs w:val="22"/>
          <w:lang w:eastAsia="en-US"/>
        </w:rPr>
        <w:t xml:space="preserve">, pp. 6-7, 19) </w:t>
      </w:r>
      <w:r>
        <w:rPr>
          <w:rFonts w:ascii="Arial" w:eastAsiaTheme="minorHAnsi" w:hAnsi="Arial" w:cs="Arial"/>
          <w:sz w:val="22"/>
          <w:szCs w:val="22"/>
          <w:lang w:eastAsia="en-US"/>
        </w:rPr>
        <w:t xml:space="preserve">includes in its report. </w:t>
      </w:r>
      <w:r w:rsidR="00541CF3">
        <w:rPr>
          <w:rFonts w:ascii="Arial" w:eastAsiaTheme="minorHAnsi" w:hAnsi="Arial" w:cs="Arial"/>
          <w:sz w:val="22"/>
          <w:szCs w:val="22"/>
          <w:lang w:eastAsia="en-US"/>
        </w:rPr>
        <w:t xml:space="preserve">They are instinctive examples of behaviour that combine to create outstanding teachers. The greater the frequency and degree to which they are demonstrated by a teacher, the higher is the level of their </w:t>
      </w:r>
      <w:r w:rsidR="00875964">
        <w:rPr>
          <w:rFonts w:ascii="Arial" w:eastAsiaTheme="minorHAnsi" w:hAnsi="Arial" w:cs="Arial"/>
          <w:sz w:val="22"/>
          <w:szCs w:val="22"/>
          <w:lang w:eastAsia="en-US"/>
        </w:rPr>
        <w:t xml:space="preserve">performance. </w:t>
      </w:r>
      <w:r w:rsidR="00DF2419">
        <w:rPr>
          <w:rFonts w:ascii="Arial" w:eastAsiaTheme="minorHAnsi" w:hAnsi="Arial" w:cs="Arial"/>
          <w:sz w:val="22"/>
          <w:szCs w:val="22"/>
          <w:lang w:eastAsia="en-US"/>
        </w:rPr>
        <w:t xml:space="preserve">In achieving this, the Professional Characteristics are combined with Teaching Skills and Classroom Climate to influence pupil progress. </w:t>
      </w:r>
      <w:r w:rsidR="0089647F">
        <w:rPr>
          <w:rFonts w:ascii="Arial" w:eastAsiaTheme="minorHAnsi" w:hAnsi="Arial" w:cs="Arial"/>
          <w:sz w:val="22"/>
          <w:szCs w:val="22"/>
          <w:lang w:eastAsia="en-US"/>
        </w:rPr>
        <w:t xml:space="preserve">However, there is not </w:t>
      </w:r>
      <w:r w:rsidR="005F6B89">
        <w:rPr>
          <w:rFonts w:ascii="Arial" w:eastAsiaTheme="minorHAnsi" w:hAnsi="Arial" w:cs="Arial"/>
          <w:sz w:val="22"/>
          <w:szCs w:val="22"/>
          <w:lang w:eastAsia="en-US"/>
        </w:rPr>
        <w:t>just</w:t>
      </w:r>
      <w:r w:rsidR="0089647F">
        <w:rPr>
          <w:rFonts w:ascii="Arial" w:eastAsiaTheme="minorHAnsi" w:hAnsi="Arial" w:cs="Arial"/>
          <w:sz w:val="22"/>
          <w:szCs w:val="22"/>
          <w:lang w:eastAsia="en-US"/>
        </w:rPr>
        <w:t xml:space="preserve"> one way of combining these factors to achieve success in any given situation. Similarly, in view of the variables involved, an effective mix of factors in one lesson will not necessarily work in another environment with different learners.</w:t>
      </w:r>
    </w:p>
    <w:p w14:paraId="150CBE34" w14:textId="24E97CBA" w:rsidR="00CF4311" w:rsidRDefault="00CF4311" w:rsidP="00C217CB">
      <w:pPr>
        <w:autoSpaceDE w:val="0"/>
        <w:autoSpaceDN w:val="0"/>
        <w:adjustRightInd w:val="0"/>
        <w:rPr>
          <w:rFonts w:ascii="Arial" w:eastAsiaTheme="minorHAnsi" w:hAnsi="Arial" w:cs="Arial"/>
          <w:sz w:val="22"/>
          <w:szCs w:val="22"/>
          <w:lang w:eastAsia="en-US"/>
        </w:rPr>
      </w:pPr>
    </w:p>
    <w:p w14:paraId="2C62A903" w14:textId="52DA7136" w:rsidR="00CF4311" w:rsidRDefault="005546F5"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I set out below how my thinking has developed, with reference to three of the QTS. These are reflected in my Action Plan.</w:t>
      </w:r>
    </w:p>
    <w:p w14:paraId="21360893" w14:textId="30F3AEB8" w:rsidR="005546F5" w:rsidRDefault="005546F5" w:rsidP="00C217CB">
      <w:pPr>
        <w:autoSpaceDE w:val="0"/>
        <w:autoSpaceDN w:val="0"/>
        <w:adjustRightInd w:val="0"/>
        <w:rPr>
          <w:rFonts w:ascii="Arial" w:eastAsiaTheme="minorHAnsi" w:hAnsi="Arial" w:cs="Arial"/>
          <w:sz w:val="22"/>
          <w:szCs w:val="22"/>
          <w:lang w:eastAsia="en-US"/>
        </w:rPr>
      </w:pPr>
    </w:p>
    <w:p w14:paraId="0F828EFB" w14:textId="5598AC1A" w:rsidR="005546F5" w:rsidRDefault="00BB4151" w:rsidP="00C217CB">
      <w:pPr>
        <w:autoSpaceDE w:val="0"/>
        <w:autoSpaceDN w:val="0"/>
        <w:adjustRightInd w:val="0"/>
        <w:rPr>
          <w:rFonts w:ascii="Arial" w:eastAsiaTheme="minorHAnsi" w:hAnsi="Arial" w:cs="Arial"/>
          <w:b/>
          <w:sz w:val="22"/>
          <w:szCs w:val="22"/>
          <w:lang w:eastAsia="en-US"/>
        </w:rPr>
      </w:pPr>
      <w:r>
        <w:rPr>
          <w:rFonts w:ascii="Arial" w:eastAsiaTheme="minorHAnsi" w:hAnsi="Arial" w:cs="Arial"/>
          <w:b/>
          <w:sz w:val="22"/>
          <w:szCs w:val="22"/>
          <w:lang w:eastAsia="en-US"/>
        </w:rPr>
        <w:t>S</w:t>
      </w:r>
      <w:r w:rsidR="005546F5" w:rsidRPr="005546F5">
        <w:rPr>
          <w:rFonts w:ascii="Arial" w:eastAsiaTheme="minorHAnsi" w:hAnsi="Arial" w:cs="Arial"/>
          <w:b/>
          <w:sz w:val="22"/>
          <w:szCs w:val="22"/>
          <w:lang w:eastAsia="en-US"/>
        </w:rPr>
        <w:t>3.3.9 – Learners’ Behaviour and Classroom Discipline</w:t>
      </w:r>
    </w:p>
    <w:p w14:paraId="2AD1B5C6" w14:textId="4A372520" w:rsidR="005546F5" w:rsidRDefault="005546F5" w:rsidP="00C217CB">
      <w:pPr>
        <w:autoSpaceDE w:val="0"/>
        <w:autoSpaceDN w:val="0"/>
        <w:adjustRightInd w:val="0"/>
        <w:rPr>
          <w:rFonts w:ascii="Arial" w:eastAsiaTheme="minorHAnsi" w:hAnsi="Arial" w:cs="Arial"/>
          <w:b/>
          <w:sz w:val="22"/>
          <w:szCs w:val="22"/>
          <w:lang w:eastAsia="en-US"/>
        </w:rPr>
      </w:pPr>
    </w:p>
    <w:p w14:paraId="40981F4E" w14:textId="4E98FE58" w:rsidR="005546F5" w:rsidRDefault="009B4FF8"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In my career to date, I have often presented and lectured on Business. However, this has always been to a respectful, professional audience where having to manage their behaviour has not been necessary. </w:t>
      </w:r>
      <w:r w:rsidR="005546F5">
        <w:rPr>
          <w:rFonts w:ascii="Arial" w:eastAsiaTheme="minorHAnsi" w:hAnsi="Arial" w:cs="Arial"/>
          <w:sz w:val="22"/>
          <w:szCs w:val="22"/>
          <w:lang w:eastAsia="en-US"/>
        </w:rPr>
        <w:t>Crozier (2004, p. 135)</w:t>
      </w:r>
      <w:r>
        <w:rPr>
          <w:rFonts w:ascii="Arial" w:eastAsiaTheme="minorHAnsi" w:hAnsi="Arial" w:cs="Arial"/>
          <w:sz w:val="22"/>
          <w:szCs w:val="22"/>
          <w:lang w:eastAsia="en-US"/>
        </w:rPr>
        <w:t xml:space="preserve"> states that, as part of growing up, teenagers will challenge the authority of their teachers. Furthermore, some learners’ approach to education is clouded by their home environment and life outside school.</w:t>
      </w:r>
    </w:p>
    <w:p w14:paraId="5E62549A" w14:textId="7D548197" w:rsidR="00CD7C5A" w:rsidRDefault="00CD7C5A" w:rsidP="00C217CB">
      <w:pPr>
        <w:autoSpaceDE w:val="0"/>
        <w:autoSpaceDN w:val="0"/>
        <w:adjustRightInd w:val="0"/>
        <w:rPr>
          <w:rFonts w:ascii="Arial" w:eastAsiaTheme="minorHAnsi" w:hAnsi="Arial" w:cs="Arial"/>
          <w:sz w:val="22"/>
          <w:szCs w:val="22"/>
          <w:lang w:eastAsia="en-US"/>
        </w:rPr>
      </w:pPr>
    </w:p>
    <w:p w14:paraId="2DFC8268" w14:textId="5D0F4B78" w:rsidR="00CD7C5A" w:rsidRDefault="00CD7C5A"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The standard refers to establishing rules for appropriate behaviour </w:t>
      </w:r>
      <w:r w:rsidR="00BB4151">
        <w:rPr>
          <w:rFonts w:ascii="Arial" w:eastAsiaTheme="minorHAnsi" w:hAnsi="Arial" w:cs="Arial"/>
          <w:sz w:val="22"/>
          <w:szCs w:val="22"/>
          <w:lang w:eastAsia="en-US"/>
        </w:rPr>
        <w:t>in class as well as both anticipating and responding constructively to actions that infringe what is acceptable. In addressing this I am seeking to understand and apply the Behaviour Policy at my Placement School proactively. My aim is to prevent incidents from escalating, keep students in class and avoid their actions preventing them and others from learning.</w:t>
      </w:r>
    </w:p>
    <w:p w14:paraId="2ECF1542" w14:textId="596F5692" w:rsidR="00BB4151" w:rsidRDefault="00BB4151" w:rsidP="00C217CB">
      <w:pPr>
        <w:autoSpaceDE w:val="0"/>
        <w:autoSpaceDN w:val="0"/>
        <w:adjustRightInd w:val="0"/>
        <w:rPr>
          <w:rFonts w:ascii="Arial" w:eastAsiaTheme="minorHAnsi" w:hAnsi="Arial" w:cs="Arial"/>
          <w:sz w:val="22"/>
          <w:szCs w:val="22"/>
          <w:lang w:eastAsia="en-US"/>
        </w:rPr>
      </w:pPr>
    </w:p>
    <w:p w14:paraId="1F5917D3" w14:textId="088D74C4" w:rsidR="00BB4151" w:rsidRDefault="00BB4151" w:rsidP="00C217CB">
      <w:pPr>
        <w:autoSpaceDE w:val="0"/>
        <w:autoSpaceDN w:val="0"/>
        <w:adjustRightInd w:val="0"/>
        <w:rPr>
          <w:rFonts w:ascii="Arial" w:eastAsiaTheme="minorHAnsi" w:hAnsi="Arial" w:cs="Arial"/>
          <w:b/>
          <w:sz w:val="22"/>
          <w:szCs w:val="22"/>
          <w:lang w:eastAsia="en-US"/>
        </w:rPr>
      </w:pPr>
      <w:r>
        <w:rPr>
          <w:rFonts w:ascii="Arial" w:eastAsiaTheme="minorHAnsi" w:hAnsi="Arial" w:cs="Arial"/>
          <w:b/>
          <w:sz w:val="22"/>
          <w:szCs w:val="22"/>
          <w:lang w:eastAsia="en-US"/>
        </w:rPr>
        <w:t>S3.1.2 – Supporting learners’ varying needs so all make good progress</w:t>
      </w:r>
    </w:p>
    <w:p w14:paraId="35C53BB3" w14:textId="6A901A37" w:rsidR="00BB4151" w:rsidRDefault="00BB4151" w:rsidP="00C217CB">
      <w:pPr>
        <w:autoSpaceDE w:val="0"/>
        <w:autoSpaceDN w:val="0"/>
        <w:adjustRightInd w:val="0"/>
        <w:rPr>
          <w:rFonts w:ascii="Arial" w:eastAsiaTheme="minorHAnsi" w:hAnsi="Arial" w:cs="Arial"/>
          <w:b/>
          <w:sz w:val="22"/>
          <w:szCs w:val="22"/>
          <w:lang w:eastAsia="en-US"/>
        </w:rPr>
      </w:pPr>
    </w:p>
    <w:p w14:paraId="354AA82B" w14:textId="07B705F7" w:rsidR="00BB4151" w:rsidRDefault="000031A0"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Pollard (2014, p. 313) </w:t>
      </w:r>
      <w:r w:rsidR="00F61BB7">
        <w:rPr>
          <w:rFonts w:ascii="Arial" w:eastAsiaTheme="minorHAnsi" w:hAnsi="Arial" w:cs="Arial"/>
          <w:sz w:val="22"/>
          <w:szCs w:val="22"/>
          <w:lang w:eastAsia="en-US"/>
        </w:rPr>
        <w:t xml:space="preserve">explains that an effective teacher </w:t>
      </w:r>
      <w:proofErr w:type="gramStart"/>
      <w:r w:rsidR="00F61BB7">
        <w:rPr>
          <w:rFonts w:ascii="Arial" w:eastAsiaTheme="minorHAnsi" w:hAnsi="Arial" w:cs="Arial"/>
          <w:sz w:val="22"/>
          <w:szCs w:val="22"/>
          <w:lang w:eastAsia="en-US"/>
        </w:rPr>
        <w:t>is able to</w:t>
      </w:r>
      <w:proofErr w:type="gramEnd"/>
      <w:r w:rsidR="00F61BB7">
        <w:rPr>
          <w:rFonts w:ascii="Arial" w:eastAsiaTheme="minorHAnsi" w:hAnsi="Arial" w:cs="Arial"/>
          <w:sz w:val="22"/>
          <w:szCs w:val="22"/>
          <w:lang w:eastAsia="en-US"/>
        </w:rPr>
        <w:t xml:space="preserve"> demonstrate all facets of pedagogy to varying degrees. Their repertoire must be skilled and wide-ranging </w:t>
      </w:r>
      <w:proofErr w:type="gramStart"/>
      <w:r w:rsidR="00F61BB7">
        <w:rPr>
          <w:rFonts w:ascii="Arial" w:eastAsiaTheme="minorHAnsi" w:hAnsi="Arial" w:cs="Arial"/>
          <w:sz w:val="22"/>
          <w:szCs w:val="22"/>
          <w:lang w:eastAsia="en-US"/>
        </w:rPr>
        <w:t>in order for</w:t>
      </w:r>
      <w:proofErr w:type="gramEnd"/>
      <w:r w:rsidR="00F61BB7">
        <w:rPr>
          <w:rFonts w:ascii="Arial" w:eastAsiaTheme="minorHAnsi" w:hAnsi="Arial" w:cs="Arial"/>
          <w:sz w:val="22"/>
          <w:szCs w:val="22"/>
          <w:lang w:eastAsia="en-US"/>
        </w:rPr>
        <w:t xml:space="preserve"> pupils to access learning fully. This is addressed by the standard in con</w:t>
      </w:r>
      <w:r w:rsidR="00721972">
        <w:rPr>
          <w:rFonts w:ascii="Arial" w:eastAsiaTheme="minorHAnsi" w:hAnsi="Arial" w:cs="Arial"/>
          <w:sz w:val="22"/>
          <w:szCs w:val="22"/>
          <w:lang w:eastAsia="en-US"/>
        </w:rPr>
        <w:t>sid</w:t>
      </w:r>
      <w:r w:rsidR="00F61BB7">
        <w:rPr>
          <w:rFonts w:ascii="Arial" w:eastAsiaTheme="minorHAnsi" w:hAnsi="Arial" w:cs="Arial"/>
          <w:sz w:val="22"/>
          <w:szCs w:val="22"/>
          <w:lang w:eastAsia="en-US"/>
        </w:rPr>
        <w:t xml:space="preserve">ering how </w:t>
      </w:r>
      <w:r w:rsidR="00721972">
        <w:rPr>
          <w:rFonts w:ascii="Arial" w:eastAsiaTheme="minorHAnsi" w:hAnsi="Arial" w:cs="Arial"/>
          <w:sz w:val="22"/>
          <w:szCs w:val="22"/>
          <w:lang w:eastAsia="en-US"/>
        </w:rPr>
        <w:t>the differing needs of all students will be catered for in Lesson Plans and Schemes so that all learners make good progress.</w:t>
      </w:r>
    </w:p>
    <w:p w14:paraId="136C830A" w14:textId="44EBD3D9" w:rsidR="00721972" w:rsidRDefault="00721972" w:rsidP="00C217CB">
      <w:pPr>
        <w:autoSpaceDE w:val="0"/>
        <w:autoSpaceDN w:val="0"/>
        <w:adjustRightInd w:val="0"/>
        <w:rPr>
          <w:rFonts w:ascii="Arial" w:eastAsiaTheme="minorHAnsi" w:hAnsi="Arial" w:cs="Arial"/>
          <w:sz w:val="22"/>
          <w:szCs w:val="22"/>
          <w:lang w:eastAsia="en-US"/>
        </w:rPr>
      </w:pPr>
    </w:p>
    <w:p w14:paraId="262B1509" w14:textId="136388F8" w:rsidR="00721972" w:rsidRDefault="00721972"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I am addressing this point during my Placement. Student behaviour apparent in my Lesson Observations has been discussed with the relevant teacher, referring to Pupil Data that analyses those learners with ALN</w:t>
      </w:r>
      <w:r w:rsidR="003E44F0">
        <w:rPr>
          <w:rFonts w:ascii="Arial" w:eastAsiaTheme="minorHAnsi" w:hAnsi="Arial" w:cs="Arial"/>
          <w:sz w:val="22"/>
          <w:szCs w:val="22"/>
          <w:lang w:eastAsia="en-US"/>
        </w:rPr>
        <w:t>. This has assisted</w:t>
      </w:r>
      <w:r w:rsidR="00C0580D">
        <w:rPr>
          <w:rFonts w:ascii="Arial" w:eastAsiaTheme="minorHAnsi" w:hAnsi="Arial" w:cs="Arial"/>
          <w:sz w:val="22"/>
          <w:szCs w:val="22"/>
          <w:lang w:eastAsia="en-US"/>
        </w:rPr>
        <w:t xml:space="preserve"> </w:t>
      </w:r>
      <w:r w:rsidR="003E44F0">
        <w:rPr>
          <w:rFonts w:ascii="Arial" w:eastAsiaTheme="minorHAnsi" w:hAnsi="Arial" w:cs="Arial"/>
          <w:sz w:val="22"/>
          <w:szCs w:val="22"/>
          <w:lang w:eastAsia="en-US"/>
        </w:rPr>
        <w:t>in developing skills that apply the theories of differentiation in planning lessons to be accessible for all students.</w:t>
      </w:r>
      <w:r w:rsidR="00D308EA">
        <w:rPr>
          <w:rFonts w:ascii="Arial" w:eastAsiaTheme="minorHAnsi" w:hAnsi="Arial" w:cs="Arial"/>
          <w:sz w:val="22"/>
          <w:szCs w:val="22"/>
          <w:lang w:eastAsia="en-US"/>
        </w:rPr>
        <w:t xml:space="preserve"> My Mentors play a fundamental part in developing me in this area.</w:t>
      </w:r>
    </w:p>
    <w:p w14:paraId="7C9F1DBA" w14:textId="7F446938" w:rsidR="00285D21" w:rsidRDefault="00285D21" w:rsidP="00C217CB">
      <w:pPr>
        <w:autoSpaceDE w:val="0"/>
        <w:autoSpaceDN w:val="0"/>
        <w:adjustRightInd w:val="0"/>
        <w:rPr>
          <w:rFonts w:ascii="Arial" w:eastAsiaTheme="minorHAnsi" w:hAnsi="Arial" w:cs="Arial"/>
          <w:sz w:val="22"/>
          <w:szCs w:val="22"/>
          <w:lang w:eastAsia="en-US"/>
        </w:rPr>
      </w:pPr>
    </w:p>
    <w:p w14:paraId="7E8584E6" w14:textId="544E3798" w:rsidR="00285D21" w:rsidRDefault="00285D21" w:rsidP="00C217CB">
      <w:pPr>
        <w:autoSpaceDE w:val="0"/>
        <w:autoSpaceDN w:val="0"/>
        <w:adjustRightInd w:val="0"/>
        <w:rPr>
          <w:rFonts w:ascii="Arial" w:eastAsiaTheme="minorHAnsi" w:hAnsi="Arial" w:cs="Arial"/>
          <w:b/>
          <w:sz w:val="22"/>
          <w:szCs w:val="22"/>
          <w:lang w:eastAsia="en-US"/>
        </w:rPr>
      </w:pPr>
      <w:r>
        <w:rPr>
          <w:rFonts w:ascii="Arial" w:eastAsiaTheme="minorHAnsi" w:hAnsi="Arial" w:cs="Arial"/>
          <w:b/>
          <w:sz w:val="22"/>
          <w:szCs w:val="22"/>
          <w:lang w:eastAsia="en-US"/>
        </w:rPr>
        <w:t>S1.6 – Recognise the contribution provided by support staff and other professionals</w:t>
      </w:r>
    </w:p>
    <w:p w14:paraId="57B79DDB" w14:textId="3A2FBA05" w:rsidR="00285D21" w:rsidRDefault="00285D21" w:rsidP="00C217CB">
      <w:pPr>
        <w:autoSpaceDE w:val="0"/>
        <w:autoSpaceDN w:val="0"/>
        <w:adjustRightInd w:val="0"/>
        <w:rPr>
          <w:rFonts w:ascii="Arial" w:eastAsiaTheme="minorHAnsi" w:hAnsi="Arial" w:cs="Arial"/>
          <w:b/>
          <w:sz w:val="22"/>
          <w:szCs w:val="22"/>
          <w:lang w:eastAsia="en-US"/>
        </w:rPr>
      </w:pPr>
    </w:p>
    <w:p w14:paraId="54001507" w14:textId="1DEE5597" w:rsidR="00285D21" w:rsidRPr="00285D21" w:rsidRDefault="00285D21" w:rsidP="00C217CB">
      <w:pPr>
        <w:autoSpaceDE w:val="0"/>
        <w:autoSpaceDN w:val="0"/>
        <w:adjustRightInd w:val="0"/>
        <w:rPr>
          <w:rFonts w:ascii="Arial" w:eastAsiaTheme="minorHAnsi" w:hAnsi="Arial" w:cs="Arial"/>
          <w:sz w:val="22"/>
          <w:szCs w:val="22"/>
          <w:lang w:eastAsia="en-US"/>
        </w:rPr>
      </w:pPr>
      <w:proofErr w:type="spellStart"/>
      <w:r>
        <w:rPr>
          <w:rFonts w:ascii="Arial" w:eastAsiaTheme="minorHAnsi" w:hAnsi="Arial" w:cs="Arial"/>
          <w:sz w:val="22"/>
          <w:szCs w:val="22"/>
          <w:lang w:eastAsia="en-US"/>
        </w:rPr>
        <w:t>Cowley</w:t>
      </w:r>
      <w:proofErr w:type="spellEnd"/>
      <w:r>
        <w:rPr>
          <w:rFonts w:ascii="Arial" w:eastAsiaTheme="minorHAnsi" w:hAnsi="Arial" w:cs="Arial"/>
          <w:sz w:val="22"/>
          <w:szCs w:val="22"/>
          <w:lang w:eastAsia="en-US"/>
        </w:rPr>
        <w:t xml:space="preserve"> (2003, pp. 137-138) </w:t>
      </w:r>
      <w:r w:rsidR="00F44FC5">
        <w:rPr>
          <w:rFonts w:ascii="Arial" w:eastAsiaTheme="minorHAnsi" w:hAnsi="Arial" w:cs="Arial"/>
          <w:sz w:val="22"/>
          <w:szCs w:val="22"/>
          <w:lang w:eastAsia="en-US"/>
        </w:rPr>
        <w:t>highlights the need to forge relationships</w:t>
      </w:r>
      <w:r w:rsidR="004B5496">
        <w:rPr>
          <w:rFonts w:ascii="Arial" w:eastAsiaTheme="minorHAnsi" w:hAnsi="Arial" w:cs="Arial"/>
          <w:sz w:val="22"/>
          <w:szCs w:val="22"/>
          <w:lang w:eastAsia="en-US"/>
        </w:rPr>
        <w:t xml:space="preserve"> in school</w:t>
      </w:r>
      <w:r w:rsidR="00F44FC5">
        <w:rPr>
          <w:rFonts w:ascii="Arial" w:eastAsiaTheme="minorHAnsi" w:hAnsi="Arial" w:cs="Arial"/>
          <w:sz w:val="22"/>
          <w:szCs w:val="22"/>
          <w:lang w:eastAsia="en-US"/>
        </w:rPr>
        <w:t xml:space="preserve"> with colleagues who</w:t>
      </w:r>
      <w:r w:rsidR="004B5496">
        <w:rPr>
          <w:rFonts w:ascii="Arial" w:eastAsiaTheme="minorHAnsi" w:hAnsi="Arial" w:cs="Arial"/>
          <w:sz w:val="22"/>
          <w:szCs w:val="22"/>
          <w:lang w:eastAsia="en-US"/>
        </w:rPr>
        <w:t xml:space="preserve"> can make your working life much easier. This includes support staff as well as teach</w:t>
      </w:r>
      <w:r w:rsidR="0091083E">
        <w:rPr>
          <w:rFonts w:ascii="Arial" w:eastAsiaTheme="minorHAnsi" w:hAnsi="Arial" w:cs="Arial"/>
          <w:sz w:val="22"/>
          <w:szCs w:val="22"/>
          <w:lang w:eastAsia="en-US"/>
        </w:rPr>
        <w:t>ers</w:t>
      </w:r>
      <w:r w:rsidR="004B5496">
        <w:rPr>
          <w:rFonts w:ascii="Arial" w:eastAsiaTheme="minorHAnsi" w:hAnsi="Arial" w:cs="Arial"/>
          <w:sz w:val="22"/>
          <w:szCs w:val="22"/>
          <w:lang w:eastAsia="en-US"/>
        </w:rPr>
        <w:t xml:space="preserve">. </w:t>
      </w:r>
    </w:p>
    <w:p w14:paraId="1776FBCA" w14:textId="351428E7" w:rsidR="00BB4151" w:rsidRDefault="00BB4151" w:rsidP="00C217CB">
      <w:pPr>
        <w:autoSpaceDE w:val="0"/>
        <w:autoSpaceDN w:val="0"/>
        <w:adjustRightInd w:val="0"/>
        <w:rPr>
          <w:rFonts w:ascii="Arial" w:eastAsiaTheme="minorHAnsi" w:hAnsi="Arial" w:cs="Arial"/>
          <w:sz w:val="22"/>
          <w:szCs w:val="22"/>
          <w:lang w:eastAsia="en-US"/>
        </w:rPr>
      </w:pPr>
    </w:p>
    <w:p w14:paraId="6171F591" w14:textId="02A6E518" w:rsidR="004B5496" w:rsidRDefault="0091083E"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lastRenderedPageBreak/>
        <w:t xml:space="preserve">I have prioritised developing these links </w:t>
      </w:r>
      <w:r w:rsidR="008A5F25">
        <w:rPr>
          <w:rFonts w:ascii="Arial" w:eastAsiaTheme="minorHAnsi" w:hAnsi="Arial" w:cs="Arial"/>
          <w:sz w:val="22"/>
          <w:szCs w:val="22"/>
          <w:lang w:eastAsia="en-US"/>
        </w:rPr>
        <w:t xml:space="preserve">in school </w:t>
      </w:r>
      <w:r>
        <w:rPr>
          <w:rFonts w:ascii="Arial" w:eastAsiaTheme="minorHAnsi" w:hAnsi="Arial" w:cs="Arial"/>
          <w:sz w:val="22"/>
          <w:szCs w:val="22"/>
          <w:lang w:eastAsia="en-US"/>
        </w:rPr>
        <w:t>whilst</w:t>
      </w:r>
      <w:r w:rsidR="008A5F25">
        <w:rPr>
          <w:rFonts w:ascii="Arial" w:eastAsiaTheme="minorHAnsi" w:hAnsi="Arial" w:cs="Arial"/>
          <w:sz w:val="22"/>
          <w:szCs w:val="22"/>
          <w:lang w:eastAsia="en-US"/>
        </w:rPr>
        <w:t xml:space="preserve"> learning the practical skills necessary to operate effectively as a teacher. An example are the staff who operate the school’s Reprographic machines. Their input and goodwill are vital in ensuring that resources are printed and copied in time for my lessons.</w:t>
      </w:r>
    </w:p>
    <w:p w14:paraId="6675F083" w14:textId="38418A9D" w:rsidR="00BB4151" w:rsidRDefault="0091083E" w:rsidP="00C217CB">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  </w:t>
      </w:r>
    </w:p>
    <w:p w14:paraId="0E67929A" w14:textId="2CBA054A" w:rsidR="007E6F61" w:rsidRDefault="0091083E" w:rsidP="00C217CB">
      <w:pPr>
        <w:autoSpaceDE w:val="0"/>
        <w:autoSpaceDN w:val="0"/>
        <w:adjustRightInd w:val="0"/>
        <w:rPr>
          <w:rFonts w:ascii="Arial" w:eastAsiaTheme="minorHAnsi" w:hAnsi="Arial" w:cs="Arial"/>
          <w:b/>
          <w:sz w:val="22"/>
          <w:szCs w:val="22"/>
          <w:lang w:eastAsia="en-US"/>
        </w:rPr>
      </w:pPr>
      <w:r>
        <w:rPr>
          <w:rFonts w:ascii="Arial" w:eastAsiaTheme="minorHAnsi" w:hAnsi="Arial" w:cs="Arial"/>
          <w:b/>
          <w:sz w:val="22"/>
          <w:szCs w:val="22"/>
          <w:lang w:eastAsia="en-US"/>
        </w:rPr>
        <w:t>5</w:t>
      </w:r>
      <w:r w:rsidR="00B12130">
        <w:rPr>
          <w:rFonts w:ascii="Arial" w:eastAsiaTheme="minorHAnsi" w:hAnsi="Arial" w:cs="Arial"/>
          <w:b/>
          <w:sz w:val="22"/>
          <w:szCs w:val="22"/>
          <w:lang w:eastAsia="en-US"/>
        </w:rPr>
        <w:t>88</w:t>
      </w:r>
      <w:r>
        <w:rPr>
          <w:rFonts w:ascii="Arial" w:eastAsiaTheme="minorHAnsi" w:hAnsi="Arial" w:cs="Arial"/>
          <w:b/>
          <w:sz w:val="22"/>
          <w:szCs w:val="22"/>
          <w:lang w:eastAsia="en-US"/>
        </w:rPr>
        <w:t xml:space="preserve"> Words</w:t>
      </w:r>
    </w:p>
    <w:p w14:paraId="79E497DC" w14:textId="51A2DD17" w:rsidR="007E6F61" w:rsidRDefault="007E6F61" w:rsidP="00C217CB">
      <w:pPr>
        <w:autoSpaceDE w:val="0"/>
        <w:autoSpaceDN w:val="0"/>
        <w:adjustRightInd w:val="0"/>
        <w:rPr>
          <w:rFonts w:ascii="Arial" w:eastAsiaTheme="minorHAnsi" w:hAnsi="Arial" w:cs="Arial"/>
          <w:b/>
          <w:sz w:val="22"/>
          <w:szCs w:val="22"/>
          <w:lang w:eastAsia="en-US"/>
        </w:rPr>
      </w:pPr>
    </w:p>
    <w:p w14:paraId="70089318" w14:textId="77777777" w:rsidR="007E6F61" w:rsidRPr="00CA6317" w:rsidRDefault="007E6F61" w:rsidP="00C217CB">
      <w:pPr>
        <w:autoSpaceDE w:val="0"/>
        <w:autoSpaceDN w:val="0"/>
        <w:adjustRightInd w:val="0"/>
        <w:rPr>
          <w:rFonts w:ascii="Arial" w:eastAsiaTheme="minorHAnsi" w:hAnsi="Arial" w:cs="Arial"/>
          <w:b/>
          <w:sz w:val="22"/>
          <w:szCs w:val="22"/>
          <w:lang w:eastAsia="en-US"/>
        </w:rPr>
      </w:pPr>
    </w:p>
    <w:p w14:paraId="0BF9085C" w14:textId="77777777" w:rsidR="00C217CB" w:rsidRPr="00CA6317" w:rsidRDefault="00C217CB" w:rsidP="00C217CB">
      <w:pPr>
        <w:autoSpaceDE w:val="0"/>
        <w:autoSpaceDN w:val="0"/>
        <w:adjustRightInd w:val="0"/>
        <w:rPr>
          <w:rFonts w:ascii="Arial" w:eastAsiaTheme="minorHAnsi" w:hAnsi="Arial" w:cs="Arial"/>
          <w:b/>
          <w:sz w:val="22"/>
          <w:szCs w:val="22"/>
          <w:lang w:eastAsia="en-US"/>
        </w:rPr>
      </w:pPr>
      <w:r w:rsidRPr="00CA6317">
        <w:rPr>
          <w:rFonts w:ascii="Arial" w:eastAsiaTheme="minorHAnsi" w:hAnsi="Arial" w:cs="Arial"/>
          <w:b/>
          <w:sz w:val="22"/>
          <w:szCs w:val="22"/>
          <w:lang w:eastAsia="en-US"/>
        </w:rPr>
        <w:t xml:space="preserve">• Conclude with an appended QTS-referenced Action Plan (not included in word count) </w:t>
      </w:r>
    </w:p>
    <w:p w14:paraId="5A7D52E9" w14:textId="578E39DD" w:rsidR="00C217CB" w:rsidRDefault="00C217CB" w:rsidP="00C217CB">
      <w:pPr>
        <w:pStyle w:val="Default"/>
        <w:rPr>
          <w:b/>
          <w:color w:val="auto"/>
          <w:sz w:val="22"/>
          <w:szCs w:val="22"/>
        </w:rPr>
      </w:pPr>
      <w:r w:rsidRPr="00CA6317">
        <w:rPr>
          <w:b/>
          <w:color w:val="auto"/>
          <w:sz w:val="22"/>
          <w:szCs w:val="22"/>
        </w:rPr>
        <w:t>(Approx. 2,000 words)</w:t>
      </w:r>
    </w:p>
    <w:p w14:paraId="064EAC3B" w14:textId="1331F7DA" w:rsidR="009234DF" w:rsidRDefault="009234DF" w:rsidP="00C217CB">
      <w:pPr>
        <w:pStyle w:val="Default"/>
        <w:rPr>
          <w:b/>
          <w:sz w:val="22"/>
          <w:szCs w:val="22"/>
        </w:rPr>
      </w:pPr>
    </w:p>
    <w:p w14:paraId="7EFE244F" w14:textId="497BB73D" w:rsidR="009234DF" w:rsidRPr="00CA6317" w:rsidRDefault="009234DF" w:rsidP="00C217CB">
      <w:pPr>
        <w:pStyle w:val="Default"/>
        <w:rPr>
          <w:b/>
          <w:sz w:val="22"/>
          <w:szCs w:val="22"/>
        </w:rPr>
      </w:pPr>
      <w:r>
        <w:rPr>
          <w:b/>
          <w:sz w:val="22"/>
          <w:szCs w:val="22"/>
        </w:rPr>
        <w:t>Total</w:t>
      </w:r>
      <w:r w:rsidR="009F7E29">
        <w:rPr>
          <w:b/>
          <w:sz w:val="22"/>
          <w:szCs w:val="22"/>
        </w:rPr>
        <w:t xml:space="preserve"> for Part B (ii):</w:t>
      </w:r>
      <w:r>
        <w:rPr>
          <w:b/>
          <w:sz w:val="22"/>
          <w:szCs w:val="22"/>
        </w:rPr>
        <w:t xml:space="preserve"> </w:t>
      </w:r>
      <w:r w:rsidR="001C6FBE">
        <w:rPr>
          <w:b/>
          <w:sz w:val="22"/>
          <w:szCs w:val="22"/>
        </w:rPr>
        <w:t xml:space="preserve">2,200 </w:t>
      </w:r>
      <w:r w:rsidR="009F7E29">
        <w:rPr>
          <w:b/>
          <w:sz w:val="22"/>
          <w:szCs w:val="22"/>
        </w:rPr>
        <w:t>Words</w:t>
      </w:r>
    </w:p>
    <w:p w14:paraId="3935A1AF" w14:textId="77777777" w:rsidR="00AC19BA" w:rsidRPr="00AD046B" w:rsidRDefault="00AC19BA" w:rsidP="005B696D">
      <w:pPr>
        <w:pStyle w:val="Default"/>
        <w:rPr>
          <w:sz w:val="22"/>
          <w:szCs w:val="22"/>
        </w:rPr>
      </w:pPr>
    </w:p>
    <w:p w14:paraId="70428A51" w14:textId="5FD32496" w:rsidR="009760B4" w:rsidRDefault="009760B4" w:rsidP="005B696D">
      <w:pPr>
        <w:rPr>
          <w:rFonts w:ascii="Arial" w:hAnsi="Arial" w:cs="Arial"/>
          <w:sz w:val="32"/>
        </w:rPr>
      </w:pPr>
    </w:p>
    <w:p w14:paraId="422F79DD" w14:textId="3262F84A" w:rsidR="00F23C5C" w:rsidRDefault="00F23C5C" w:rsidP="005B696D">
      <w:pPr>
        <w:rPr>
          <w:rFonts w:ascii="Arial" w:hAnsi="Arial" w:cs="Arial"/>
          <w:sz w:val="32"/>
        </w:rPr>
      </w:pPr>
    </w:p>
    <w:p w14:paraId="19DC0308" w14:textId="286CFCB6" w:rsidR="00F23C5C" w:rsidRDefault="00F23C5C" w:rsidP="005B696D">
      <w:pPr>
        <w:rPr>
          <w:rFonts w:ascii="Arial" w:hAnsi="Arial" w:cs="Arial"/>
          <w:sz w:val="32"/>
        </w:rPr>
      </w:pPr>
    </w:p>
    <w:p w14:paraId="78278B6F" w14:textId="201D1FCE" w:rsidR="00F23C5C" w:rsidRDefault="00F23C5C" w:rsidP="005B696D">
      <w:pPr>
        <w:rPr>
          <w:rFonts w:ascii="Arial" w:hAnsi="Arial" w:cs="Arial"/>
          <w:sz w:val="32"/>
        </w:rPr>
      </w:pPr>
    </w:p>
    <w:p w14:paraId="1859ECB1" w14:textId="4CDA0762" w:rsidR="00F23C5C" w:rsidRDefault="00F23C5C" w:rsidP="005B696D">
      <w:pPr>
        <w:rPr>
          <w:rFonts w:ascii="Arial" w:hAnsi="Arial" w:cs="Arial"/>
          <w:sz w:val="32"/>
        </w:rPr>
      </w:pPr>
    </w:p>
    <w:p w14:paraId="635A2692" w14:textId="1486A56E" w:rsidR="00F23C5C" w:rsidRDefault="00F23C5C" w:rsidP="005B696D">
      <w:pPr>
        <w:rPr>
          <w:rFonts w:ascii="Arial" w:hAnsi="Arial" w:cs="Arial"/>
          <w:sz w:val="32"/>
        </w:rPr>
      </w:pPr>
    </w:p>
    <w:p w14:paraId="0C852024" w14:textId="6A2EBAE0" w:rsidR="00F23C5C" w:rsidRDefault="00F23C5C" w:rsidP="005B696D">
      <w:pPr>
        <w:rPr>
          <w:rFonts w:ascii="Arial" w:hAnsi="Arial" w:cs="Arial"/>
          <w:sz w:val="32"/>
        </w:rPr>
      </w:pPr>
    </w:p>
    <w:p w14:paraId="1DC40D40" w14:textId="053D1CFB" w:rsidR="00F23C5C" w:rsidRDefault="00F23C5C" w:rsidP="005B696D">
      <w:pPr>
        <w:rPr>
          <w:rFonts w:ascii="Arial" w:hAnsi="Arial" w:cs="Arial"/>
          <w:sz w:val="32"/>
        </w:rPr>
      </w:pPr>
    </w:p>
    <w:p w14:paraId="148D7CAA" w14:textId="12F43112" w:rsidR="00F23C5C" w:rsidRDefault="00F23C5C" w:rsidP="005B696D">
      <w:pPr>
        <w:rPr>
          <w:rFonts w:ascii="Arial" w:hAnsi="Arial" w:cs="Arial"/>
          <w:sz w:val="32"/>
        </w:rPr>
      </w:pPr>
    </w:p>
    <w:p w14:paraId="3D0B3291" w14:textId="719FB2E6" w:rsidR="00F23C5C" w:rsidRDefault="00F23C5C" w:rsidP="005B696D">
      <w:pPr>
        <w:rPr>
          <w:rFonts w:ascii="Arial" w:hAnsi="Arial" w:cs="Arial"/>
          <w:sz w:val="32"/>
        </w:rPr>
      </w:pPr>
    </w:p>
    <w:p w14:paraId="169F13AC" w14:textId="6FC27989" w:rsidR="00F23C5C" w:rsidRDefault="00F23C5C" w:rsidP="005B696D">
      <w:pPr>
        <w:rPr>
          <w:rFonts w:ascii="Arial" w:hAnsi="Arial" w:cs="Arial"/>
          <w:sz w:val="32"/>
        </w:rPr>
      </w:pPr>
    </w:p>
    <w:p w14:paraId="12BD64A0" w14:textId="06C9F850" w:rsidR="00F23C5C" w:rsidRDefault="00F23C5C" w:rsidP="005B696D">
      <w:pPr>
        <w:rPr>
          <w:rFonts w:ascii="Arial" w:hAnsi="Arial" w:cs="Arial"/>
          <w:sz w:val="32"/>
        </w:rPr>
      </w:pPr>
    </w:p>
    <w:p w14:paraId="0D47D2A8" w14:textId="17693659" w:rsidR="00F23C5C" w:rsidRDefault="00F23C5C" w:rsidP="005B696D">
      <w:pPr>
        <w:rPr>
          <w:rFonts w:ascii="Arial" w:hAnsi="Arial" w:cs="Arial"/>
          <w:sz w:val="32"/>
        </w:rPr>
      </w:pPr>
    </w:p>
    <w:p w14:paraId="3A56BA77" w14:textId="2C3C41AC" w:rsidR="00F23C5C" w:rsidRDefault="00F23C5C" w:rsidP="005B696D">
      <w:pPr>
        <w:rPr>
          <w:rFonts w:ascii="Arial" w:hAnsi="Arial" w:cs="Arial"/>
          <w:sz w:val="32"/>
        </w:rPr>
      </w:pPr>
    </w:p>
    <w:p w14:paraId="1EB0202E" w14:textId="65CF3D21" w:rsidR="00F23C5C" w:rsidRDefault="00F23C5C" w:rsidP="005B696D">
      <w:pPr>
        <w:rPr>
          <w:rFonts w:ascii="Arial" w:hAnsi="Arial" w:cs="Arial"/>
          <w:sz w:val="32"/>
        </w:rPr>
      </w:pPr>
    </w:p>
    <w:p w14:paraId="5A691293" w14:textId="0BFA6759" w:rsidR="00F23C5C" w:rsidRDefault="00F23C5C" w:rsidP="005B696D">
      <w:pPr>
        <w:rPr>
          <w:rFonts w:ascii="Arial" w:hAnsi="Arial" w:cs="Arial"/>
          <w:sz w:val="32"/>
        </w:rPr>
      </w:pPr>
    </w:p>
    <w:p w14:paraId="205B81EC" w14:textId="7194043D" w:rsidR="00F23C5C" w:rsidRDefault="00F23C5C" w:rsidP="005B696D">
      <w:pPr>
        <w:rPr>
          <w:rFonts w:ascii="Arial" w:hAnsi="Arial" w:cs="Arial"/>
          <w:sz w:val="32"/>
        </w:rPr>
      </w:pPr>
    </w:p>
    <w:p w14:paraId="56737944" w14:textId="27000F21" w:rsidR="00F23C5C" w:rsidRDefault="00F23C5C" w:rsidP="005B696D">
      <w:pPr>
        <w:rPr>
          <w:rFonts w:ascii="Arial" w:hAnsi="Arial" w:cs="Arial"/>
          <w:sz w:val="32"/>
        </w:rPr>
      </w:pPr>
    </w:p>
    <w:p w14:paraId="48512E45" w14:textId="6D68D944" w:rsidR="00F23C5C" w:rsidRDefault="00F23C5C" w:rsidP="005B696D">
      <w:pPr>
        <w:rPr>
          <w:rFonts w:ascii="Arial" w:hAnsi="Arial" w:cs="Arial"/>
          <w:sz w:val="32"/>
        </w:rPr>
      </w:pPr>
    </w:p>
    <w:p w14:paraId="6A63FB7D" w14:textId="18B3D8EF" w:rsidR="00F23C5C" w:rsidRDefault="00F23C5C" w:rsidP="005B696D">
      <w:pPr>
        <w:rPr>
          <w:rFonts w:ascii="Arial" w:hAnsi="Arial" w:cs="Arial"/>
          <w:sz w:val="32"/>
        </w:rPr>
      </w:pPr>
    </w:p>
    <w:p w14:paraId="4695F93A" w14:textId="02870CF3" w:rsidR="00F23C5C" w:rsidRDefault="00F23C5C" w:rsidP="005B696D">
      <w:pPr>
        <w:rPr>
          <w:rFonts w:ascii="Arial" w:hAnsi="Arial" w:cs="Arial"/>
          <w:sz w:val="32"/>
        </w:rPr>
      </w:pPr>
    </w:p>
    <w:p w14:paraId="120888D1" w14:textId="6C7578CA" w:rsidR="00F23C5C" w:rsidRDefault="00F23C5C" w:rsidP="005B696D">
      <w:pPr>
        <w:rPr>
          <w:rFonts w:ascii="Arial" w:hAnsi="Arial" w:cs="Arial"/>
          <w:sz w:val="32"/>
        </w:rPr>
      </w:pPr>
    </w:p>
    <w:p w14:paraId="71A7DD6F" w14:textId="4FE6D57F" w:rsidR="00F23C5C" w:rsidRDefault="00F23C5C" w:rsidP="005B696D">
      <w:pPr>
        <w:rPr>
          <w:rFonts w:ascii="Arial" w:hAnsi="Arial" w:cs="Arial"/>
          <w:sz w:val="32"/>
        </w:rPr>
      </w:pPr>
    </w:p>
    <w:p w14:paraId="659951CF" w14:textId="45E468E3" w:rsidR="00F23C5C" w:rsidRDefault="00F23C5C" w:rsidP="005B696D">
      <w:pPr>
        <w:rPr>
          <w:rFonts w:ascii="Arial" w:hAnsi="Arial" w:cs="Arial"/>
          <w:sz w:val="32"/>
        </w:rPr>
      </w:pPr>
    </w:p>
    <w:p w14:paraId="66989B83" w14:textId="0792E2A2" w:rsidR="00F23C5C" w:rsidRDefault="00F23C5C" w:rsidP="005B696D">
      <w:pPr>
        <w:rPr>
          <w:rFonts w:ascii="Arial" w:hAnsi="Arial" w:cs="Arial"/>
          <w:sz w:val="32"/>
        </w:rPr>
      </w:pPr>
    </w:p>
    <w:p w14:paraId="290D25DD" w14:textId="78724DEC" w:rsidR="00F23C5C" w:rsidRDefault="00F23C5C" w:rsidP="005B696D">
      <w:pPr>
        <w:rPr>
          <w:rFonts w:ascii="Arial" w:hAnsi="Arial" w:cs="Arial"/>
          <w:sz w:val="32"/>
        </w:rPr>
      </w:pPr>
    </w:p>
    <w:p w14:paraId="5424513E" w14:textId="104D90C4" w:rsidR="00F23C5C" w:rsidRDefault="00F23C5C" w:rsidP="005B696D">
      <w:pPr>
        <w:rPr>
          <w:rFonts w:ascii="Arial" w:hAnsi="Arial" w:cs="Arial"/>
          <w:sz w:val="32"/>
        </w:rPr>
      </w:pPr>
    </w:p>
    <w:p w14:paraId="0AB76F7F" w14:textId="3A3D08C5" w:rsidR="00F23C5C" w:rsidRDefault="00F23C5C" w:rsidP="005B696D">
      <w:pPr>
        <w:rPr>
          <w:rFonts w:ascii="Arial" w:hAnsi="Arial" w:cs="Arial"/>
          <w:sz w:val="32"/>
        </w:rPr>
      </w:pPr>
    </w:p>
    <w:p w14:paraId="43C126C2" w14:textId="77777777" w:rsidR="008949A2" w:rsidRPr="00AD046B" w:rsidRDefault="008949A2" w:rsidP="005B696D">
      <w:pPr>
        <w:rPr>
          <w:rFonts w:ascii="Arial" w:hAnsi="Arial" w:cs="Arial"/>
          <w:b/>
          <w:sz w:val="22"/>
          <w:szCs w:val="22"/>
        </w:rPr>
      </w:pPr>
      <w:r w:rsidRPr="00AD046B">
        <w:rPr>
          <w:rFonts w:ascii="Arial" w:hAnsi="Arial" w:cs="Arial"/>
          <w:b/>
          <w:sz w:val="22"/>
          <w:szCs w:val="22"/>
        </w:rPr>
        <w:lastRenderedPageBreak/>
        <w:t>References</w:t>
      </w:r>
    </w:p>
    <w:p w14:paraId="63F8B884" w14:textId="77777777" w:rsidR="008949A2" w:rsidRDefault="008949A2" w:rsidP="005B696D">
      <w:pPr>
        <w:rPr>
          <w:rFonts w:ascii="Arial" w:hAnsi="Arial" w:cs="Arial"/>
          <w:sz w:val="22"/>
          <w:szCs w:val="22"/>
        </w:rPr>
      </w:pPr>
    </w:p>
    <w:p w14:paraId="55E7E1C0" w14:textId="49067058" w:rsidR="0076438F" w:rsidRDefault="0076438F" w:rsidP="0076438F">
      <w:pPr>
        <w:rPr>
          <w:rFonts w:ascii="Arial" w:hAnsi="Arial" w:cs="Arial"/>
          <w:sz w:val="22"/>
          <w:szCs w:val="22"/>
        </w:rPr>
      </w:pPr>
      <w:r>
        <w:rPr>
          <w:rFonts w:ascii="Arial" w:hAnsi="Arial" w:cs="Arial"/>
          <w:sz w:val="22"/>
          <w:szCs w:val="22"/>
        </w:rPr>
        <w:t>Adey, P. (2011) “What’s next? CPD and the whole school” in Dillon, J. and Maguire, M. (eds.) Becoming a teacher. Maidenhead: Open University Press.</w:t>
      </w:r>
    </w:p>
    <w:p w14:paraId="1710B803" w14:textId="77700EF9" w:rsidR="00673E17" w:rsidRDefault="00673E17" w:rsidP="0076438F">
      <w:pPr>
        <w:rPr>
          <w:rFonts w:ascii="Arial" w:hAnsi="Arial" w:cs="Arial"/>
          <w:sz w:val="22"/>
          <w:szCs w:val="22"/>
        </w:rPr>
      </w:pPr>
    </w:p>
    <w:p w14:paraId="20FB5607" w14:textId="42483840" w:rsidR="00673E17" w:rsidRDefault="00673E17" w:rsidP="0076438F">
      <w:pPr>
        <w:rPr>
          <w:rFonts w:ascii="Arial" w:hAnsi="Arial" w:cs="Arial"/>
          <w:sz w:val="22"/>
          <w:szCs w:val="22"/>
        </w:rPr>
      </w:pPr>
      <w:r>
        <w:rPr>
          <w:rFonts w:ascii="Arial" w:hAnsi="Arial" w:cs="Arial"/>
          <w:sz w:val="22"/>
          <w:szCs w:val="22"/>
        </w:rPr>
        <w:t>Allison, S. and Tharby, A. (2015) Making Every Lesson Count. Carmarthen: Crown House Publishing Limited.</w:t>
      </w:r>
    </w:p>
    <w:p w14:paraId="2CA15B27" w14:textId="77777777" w:rsidR="0076438F" w:rsidRDefault="0076438F" w:rsidP="005B696D">
      <w:pPr>
        <w:rPr>
          <w:rFonts w:ascii="Arial" w:hAnsi="Arial" w:cs="Arial"/>
          <w:sz w:val="22"/>
          <w:szCs w:val="22"/>
        </w:rPr>
      </w:pPr>
    </w:p>
    <w:p w14:paraId="5C3C5187" w14:textId="122CC919" w:rsidR="007243D9" w:rsidRDefault="00D71A4A" w:rsidP="005B696D">
      <w:pPr>
        <w:rPr>
          <w:rFonts w:ascii="Arial" w:hAnsi="Arial" w:cs="Arial"/>
          <w:sz w:val="22"/>
          <w:szCs w:val="22"/>
        </w:rPr>
      </w:pPr>
      <w:r>
        <w:rPr>
          <w:rFonts w:ascii="Arial" w:hAnsi="Arial" w:cs="Arial"/>
          <w:sz w:val="22"/>
          <w:szCs w:val="22"/>
        </w:rPr>
        <w:t xml:space="preserve">Bennett, T. (2015) Managing Difficult Behaviour in Schools. Available at: </w:t>
      </w:r>
      <w:hyperlink r:id="rId9" w:history="1">
        <w:r w:rsidRPr="00BF01C7">
          <w:rPr>
            <w:rStyle w:val="Hyperlink"/>
            <w:rFonts w:ascii="Arial" w:hAnsi="Arial" w:cs="Arial"/>
            <w:sz w:val="22"/>
            <w:szCs w:val="22"/>
          </w:rPr>
          <w:t>https://www.unison.org.uk/content/uploads/2015/04/On-line-Catalogue22970.pdf</w:t>
        </w:r>
      </w:hyperlink>
      <w:r>
        <w:rPr>
          <w:rFonts w:ascii="Arial" w:hAnsi="Arial" w:cs="Arial"/>
          <w:sz w:val="22"/>
          <w:szCs w:val="22"/>
        </w:rPr>
        <w:t xml:space="preserve"> (Accessed 14 November 2018).</w:t>
      </w:r>
    </w:p>
    <w:p w14:paraId="1ACE4857" w14:textId="77777777" w:rsidR="00B82CE2" w:rsidRDefault="00B82CE2" w:rsidP="007243D9">
      <w:pPr>
        <w:rPr>
          <w:rFonts w:ascii="Arial" w:hAnsi="Arial" w:cs="Arial"/>
          <w:sz w:val="22"/>
          <w:szCs w:val="22"/>
        </w:rPr>
      </w:pPr>
    </w:p>
    <w:p w14:paraId="5692F169" w14:textId="776C59BD" w:rsidR="00B82CE2" w:rsidRDefault="00B82CE2" w:rsidP="007243D9">
      <w:pPr>
        <w:rPr>
          <w:rFonts w:ascii="Arial" w:hAnsi="Arial" w:cs="Arial"/>
          <w:sz w:val="22"/>
          <w:szCs w:val="22"/>
        </w:rPr>
      </w:pPr>
      <w:r>
        <w:rPr>
          <w:rFonts w:ascii="Arial" w:hAnsi="Arial" w:cs="Arial"/>
          <w:sz w:val="22"/>
          <w:szCs w:val="22"/>
        </w:rPr>
        <w:t>Boulton, H. (2011) “Assessment and Feedback</w:t>
      </w:r>
      <w:r w:rsidR="004233A7">
        <w:rPr>
          <w:rFonts w:ascii="Arial" w:hAnsi="Arial" w:cs="Arial"/>
          <w:sz w:val="22"/>
          <w:szCs w:val="22"/>
        </w:rPr>
        <w:t>”,</w:t>
      </w:r>
      <w:r>
        <w:rPr>
          <w:rFonts w:ascii="Arial" w:hAnsi="Arial" w:cs="Arial"/>
          <w:sz w:val="22"/>
          <w:szCs w:val="22"/>
        </w:rPr>
        <w:t xml:space="preserve"> in Hramiak, A. and Hudson, T.. (eds) Understanding Learning &amp; Teaching in Secondary Schools. Harlow: Pearson Education Limited.</w:t>
      </w:r>
    </w:p>
    <w:p w14:paraId="76DC70C5" w14:textId="77777777" w:rsidR="00B82CE2" w:rsidRDefault="00B82CE2" w:rsidP="007243D9">
      <w:pPr>
        <w:rPr>
          <w:rFonts w:ascii="Arial" w:hAnsi="Arial" w:cs="Arial"/>
          <w:sz w:val="22"/>
          <w:szCs w:val="22"/>
        </w:rPr>
      </w:pPr>
    </w:p>
    <w:p w14:paraId="61EF7B33" w14:textId="448556A3" w:rsidR="007243D9" w:rsidRDefault="007243D9" w:rsidP="007243D9">
      <w:pPr>
        <w:rPr>
          <w:rFonts w:ascii="Arial" w:hAnsi="Arial" w:cs="Arial"/>
          <w:sz w:val="22"/>
          <w:szCs w:val="22"/>
        </w:rPr>
      </w:pPr>
      <w:r>
        <w:rPr>
          <w:rFonts w:ascii="Arial" w:hAnsi="Arial" w:cs="Arial"/>
          <w:sz w:val="22"/>
          <w:szCs w:val="22"/>
        </w:rPr>
        <w:t xml:space="preserve">Brooks, V. (2004) “Using Assessment </w:t>
      </w:r>
      <w:r w:rsidR="004233A7">
        <w:rPr>
          <w:rFonts w:ascii="Arial" w:hAnsi="Arial" w:cs="Arial"/>
          <w:sz w:val="22"/>
          <w:szCs w:val="22"/>
        </w:rPr>
        <w:t>for</w:t>
      </w:r>
      <w:r>
        <w:rPr>
          <w:rFonts w:ascii="Arial" w:hAnsi="Arial" w:cs="Arial"/>
          <w:sz w:val="22"/>
          <w:szCs w:val="22"/>
        </w:rPr>
        <w:t xml:space="preserve"> Formative Purposes”, in Brooks, V., Abbott, I. and Bills, L. (eds.) Preparing to Teach in Secondary Schools. Maidenhead: Open University Press.</w:t>
      </w:r>
    </w:p>
    <w:p w14:paraId="2937C5D8" w14:textId="5BADAB2F" w:rsidR="00397349" w:rsidRDefault="00397349" w:rsidP="007243D9">
      <w:pPr>
        <w:rPr>
          <w:rFonts w:ascii="Arial" w:hAnsi="Arial" w:cs="Arial"/>
          <w:sz w:val="22"/>
          <w:szCs w:val="22"/>
        </w:rPr>
      </w:pPr>
    </w:p>
    <w:p w14:paraId="36023EDC" w14:textId="06B0AF19" w:rsidR="00397349" w:rsidRDefault="00397349" w:rsidP="007243D9">
      <w:pPr>
        <w:rPr>
          <w:rFonts w:ascii="Arial" w:hAnsi="Arial" w:cs="Arial"/>
          <w:sz w:val="22"/>
          <w:szCs w:val="22"/>
        </w:rPr>
      </w:pPr>
      <w:r>
        <w:rPr>
          <w:rFonts w:ascii="Arial" w:hAnsi="Arial" w:cs="Arial"/>
          <w:sz w:val="22"/>
          <w:szCs w:val="22"/>
        </w:rPr>
        <w:t>Black, P. &amp; Wiliam, D. (2010) “Inside the black box: Raising standards through classroom assessment”, Phi Delta Kappan.,92, (1), 81-90.</w:t>
      </w:r>
    </w:p>
    <w:p w14:paraId="45F6B75D" w14:textId="35DF1660" w:rsidR="007243D9" w:rsidRDefault="007243D9" w:rsidP="005B696D">
      <w:pPr>
        <w:rPr>
          <w:rFonts w:ascii="Arial" w:hAnsi="Arial" w:cs="Arial"/>
          <w:sz w:val="22"/>
          <w:szCs w:val="22"/>
        </w:rPr>
      </w:pPr>
    </w:p>
    <w:p w14:paraId="57CB8A33" w14:textId="57426528" w:rsidR="008949A2" w:rsidRDefault="00B24083" w:rsidP="005B696D">
      <w:pPr>
        <w:rPr>
          <w:rFonts w:ascii="Arial" w:hAnsi="Arial" w:cs="Arial"/>
          <w:sz w:val="22"/>
          <w:szCs w:val="22"/>
        </w:rPr>
      </w:pPr>
      <w:r>
        <w:rPr>
          <w:rFonts w:ascii="Arial" w:hAnsi="Arial" w:cs="Arial"/>
          <w:sz w:val="22"/>
          <w:szCs w:val="22"/>
        </w:rPr>
        <w:t>Bruner, J. (1996)</w:t>
      </w:r>
      <w:r w:rsidR="00AE63C4">
        <w:rPr>
          <w:rFonts w:ascii="Arial" w:hAnsi="Arial" w:cs="Arial"/>
          <w:sz w:val="22"/>
          <w:szCs w:val="22"/>
        </w:rPr>
        <w:t xml:space="preserve"> </w:t>
      </w:r>
      <w:r>
        <w:rPr>
          <w:rFonts w:ascii="Arial" w:hAnsi="Arial" w:cs="Arial"/>
          <w:sz w:val="22"/>
          <w:szCs w:val="22"/>
        </w:rPr>
        <w:t>The Culture of Education</w:t>
      </w:r>
      <w:r w:rsidR="00AE63C4">
        <w:rPr>
          <w:rFonts w:ascii="Arial" w:hAnsi="Arial" w:cs="Arial"/>
          <w:sz w:val="22"/>
          <w:szCs w:val="22"/>
        </w:rPr>
        <w:t>.</w:t>
      </w:r>
      <w:r>
        <w:rPr>
          <w:rFonts w:ascii="Arial" w:hAnsi="Arial" w:cs="Arial"/>
          <w:sz w:val="22"/>
          <w:szCs w:val="22"/>
        </w:rPr>
        <w:t xml:space="preserve"> </w:t>
      </w:r>
      <w:r w:rsidR="00542DF1">
        <w:rPr>
          <w:rFonts w:ascii="Arial" w:hAnsi="Arial" w:cs="Arial"/>
          <w:sz w:val="22"/>
          <w:szCs w:val="22"/>
        </w:rPr>
        <w:t>London</w:t>
      </w:r>
      <w:r>
        <w:rPr>
          <w:rFonts w:ascii="Arial" w:hAnsi="Arial" w:cs="Arial"/>
          <w:sz w:val="22"/>
          <w:szCs w:val="22"/>
        </w:rPr>
        <w:t>: Harvard University Press</w:t>
      </w:r>
      <w:r w:rsidR="00FC339B">
        <w:rPr>
          <w:rFonts w:ascii="Arial" w:hAnsi="Arial" w:cs="Arial"/>
          <w:sz w:val="22"/>
          <w:szCs w:val="22"/>
        </w:rPr>
        <w:t>.</w:t>
      </w:r>
    </w:p>
    <w:p w14:paraId="292F8C12" w14:textId="201D4E88" w:rsidR="00E47874" w:rsidRDefault="00E47874" w:rsidP="005B696D">
      <w:pPr>
        <w:rPr>
          <w:rFonts w:ascii="Arial" w:hAnsi="Arial" w:cs="Arial"/>
          <w:sz w:val="22"/>
          <w:szCs w:val="22"/>
        </w:rPr>
      </w:pPr>
    </w:p>
    <w:p w14:paraId="1F5A6F88" w14:textId="3CC90825" w:rsidR="00E47874" w:rsidRDefault="00E47874" w:rsidP="005B696D">
      <w:pPr>
        <w:rPr>
          <w:rFonts w:ascii="Arial" w:hAnsi="Arial" w:cs="Arial"/>
          <w:sz w:val="22"/>
          <w:szCs w:val="22"/>
        </w:rPr>
      </w:pPr>
      <w:r>
        <w:rPr>
          <w:rFonts w:ascii="Arial" w:hAnsi="Arial" w:cs="Arial"/>
          <w:sz w:val="22"/>
          <w:szCs w:val="22"/>
        </w:rPr>
        <w:t>Brophy, J. (1981) “Teacher praise: a functional analysis”, Review of Educational Research., 88 (2), 5-32.</w:t>
      </w:r>
    </w:p>
    <w:p w14:paraId="3CDD785C" w14:textId="175F41B5" w:rsidR="009D5327" w:rsidRDefault="009D5327" w:rsidP="005B696D">
      <w:pPr>
        <w:rPr>
          <w:rFonts w:ascii="Arial" w:hAnsi="Arial" w:cs="Arial"/>
          <w:sz w:val="22"/>
          <w:szCs w:val="22"/>
        </w:rPr>
      </w:pPr>
    </w:p>
    <w:p w14:paraId="3C687FE4" w14:textId="186D31F3" w:rsidR="009D5327" w:rsidRDefault="009D5327" w:rsidP="005B696D">
      <w:pPr>
        <w:rPr>
          <w:rFonts w:ascii="Arial" w:hAnsi="Arial" w:cs="Arial"/>
          <w:sz w:val="22"/>
          <w:szCs w:val="22"/>
        </w:rPr>
      </w:pPr>
      <w:r>
        <w:rPr>
          <w:rFonts w:ascii="Arial" w:hAnsi="Arial" w:cs="Arial"/>
          <w:sz w:val="22"/>
          <w:szCs w:val="22"/>
        </w:rPr>
        <w:t>Coloroso, B. (1994) Kids Are Worth It: Giving Your Child the Gift of Inner Discipline. Toronto</w:t>
      </w:r>
      <w:r w:rsidR="000301A0">
        <w:rPr>
          <w:rFonts w:ascii="Arial" w:hAnsi="Arial" w:cs="Arial"/>
          <w:sz w:val="22"/>
          <w:szCs w:val="22"/>
        </w:rPr>
        <w:t>: Somerville House Publishing.</w:t>
      </w:r>
    </w:p>
    <w:p w14:paraId="4793AC69" w14:textId="074A1117" w:rsidR="00AB46ED" w:rsidRDefault="00AB46ED" w:rsidP="005B696D">
      <w:pPr>
        <w:rPr>
          <w:rFonts w:ascii="Arial" w:hAnsi="Arial" w:cs="Arial"/>
          <w:sz w:val="22"/>
          <w:szCs w:val="22"/>
        </w:rPr>
      </w:pPr>
    </w:p>
    <w:p w14:paraId="3F7E43C5" w14:textId="6E85EDB6" w:rsidR="00AB46ED" w:rsidRDefault="00AB46ED" w:rsidP="005B696D">
      <w:pPr>
        <w:rPr>
          <w:rFonts w:ascii="Arial" w:hAnsi="Arial" w:cs="Arial"/>
          <w:sz w:val="22"/>
          <w:szCs w:val="22"/>
        </w:rPr>
      </w:pPr>
      <w:r>
        <w:rPr>
          <w:rFonts w:ascii="Arial" w:hAnsi="Arial" w:cs="Arial"/>
          <w:sz w:val="22"/>
          <w:szCs w:val="22"/>
        </w:rPr>
        <w:t>Coffey, S. (2011) “Differentiation in theory and practice”, in Dillon, J. and Maguire, M. (eds.) Becoming a teacher. Maidenhead: Open University Press.</w:t>
      </w:r>
    </w:p>
    <w:p w14:paraId="22FD5F06" w14:textId="6D331F0D" w:rsidR="00AB6D1B" w:rsidRDefault="00AB6D1B" w:rsidP="005B696D">
      <w:pPr>
        <w:rPr>
          <w:rFonts w:ascii="Arial" w:hAnsi="Arial" w:cs="Arial"/>
          <w:sz w:val="22"/>
          <w:szCs w:val="22"/>
        </w:rPr>
      </w:pPr>
    </w:p>
    <w:p w14:paraId="5D3B2690" w14:textId="4D2B2ACE" w:rsidR="00AB6D1B" w:rsidRDefault="00AB6D1B" w:rsidP="005B696D">
      <w:pPr>
        <w:rPr>
          <w:rFonts w:ascii="Arial" w:hAnsi="Arial" w:cs="Arial"/>
          <w:sz w:val="22"/>
          <w:szCs w:val="22"/>
        </w:rPr>
      </w:pPr>
      <w:r>
        <w:rPr>
          <w:rFonts w:ascii="Arial" w:hAnsi="Arial" w:cs="Arial"/>
          <w:sz w:val="22"/>
          <w:szCs w:val="22"/>
        </w:rPr>
        <w:t>Cornelius, K. (2014) “Formative Assessment Made Easy</w:t>
      </w:r>
      <w:r w:rsidR="00BB0EA2">
        <w:rPr>
          <w:rFonts w:ascii="Arial" w:hAnsi="Arial" w:cs="Arial"/>
          <w:sz w:val="22"/>
          <w:szCs w:val="22"/>
        </w:rPr>
        <w:t>: Templates for Collecting Daily Data in Inclusive Classrooms”, Teaching Exceptional Children., 47 (2), 112-118.</w:t>
      </w:r>
    </w:p>
    <w:p w14:paraId="1E712571" w14:textId="75B6334B" w:rsidR="00285D21" w:rsidRDefault="00285D21" w:rsidP="005B696D">
      <w:pPr>
        <w:rPr>
          <w:rFonts w:ascii="Arial" w:hAnsi="Arial" w:cs="Arial"/>
          <w:sz w:val="22"/>
          <w:szCs w:val="22"/>
        </w:rPr>
      </w:pPr>
    </w:p>
    <w:p w14:paraId="69DABCE1" w14:textId="7C50AD92" w:rsidR="00285D21" w:rsidRDefault="00285D21" w:rsidP="005B696D">
      <w:pPr>
        <w:rPr>
          <w:rFonts w:ascii="Arial" w:hAnsi="Arial" w:cs="Arial"/>
          <w:sz w:val="22"/>
          <w:szCs w:val="22"/>
        </w:rPr>
      </w:pPr>
      <w:proofErr w:type="spellStart"/>
      <w:r>
        <w:rPr>
          <w:rFonts w:ascii="Arial" w:hAnsi="Arial" w:cs="Arial"/>
          <w:sz w:val="22"/>
          <w:szCs w:val="22"/>
        </w:rPr>
        <w:t>Cowley</w:t>
      </w:r>
      <w:proofErr w:type="spellEnd"/>
      <w:r>
        <w:rPr>
          <w:rFonts w:ascii="Arial" w:hAnsi="Arial" w:cs="Arial"/>
          <w:sz w:val="22"/>
          <w:szCs w:val="22"/>
        </w:rPr>
        <w:t>, S. (2003) How to Survive Your First Year in Teaching. London: Continuum.</w:t>
      </w:r>
    </w:p>
    <w:p w14:paraId="39900B64" w14:textId="6611BD43" w:rsidR="00667FB8" w:rsidRDefault="00667FB8" w:rsidP="005B696D">
      <w:pPr>
        <w:rPr>
          <w:rFonts w:ascii="Arial" w:hAnsi="Arial" w:cs="Arial"/>
          <w:sz w:val="22"/>
          <w:szCs w:val="22"/>
        </w:rPr>
      </w:pPr>
    </w:p>
    <w:p w14:paraId="5196AD8C" w14:textId="0AE8983D" w:rsidR="00667FB8" w:rsidRDefault="00667FB8" w:rsidP="005B696D">
      <w:pPr>
        <w:rPr>
          <w:rFonts w:ascii="Arial" w:hAnsi="Arial" w:cs="Arial"/>
          <w:sz w:val="22"/>
          <w:szCs w:val="22"/>
        </w:rPr>
      </w:pPr>
      <w:r>
        <w:rPr>
          <w:rFonts w:ascii="Arial" w:hAnsi="Arial" w:cs="Arial"/>
          <w:sz w:val="22"/>
          <w:szCs w:val="22"/>
        </w:rPr>
        <w:t>Crozier, J. (2004)</w:t>
      </w:r>
      <w:r w:rsidR="004F2E3F">
        <w:rPr>
          <w:rFonts w:ascii="Arial" w:hAnsi="Arial" w:cs="Arial"/>
          <w:sz w:val="22"/>
          <w:szCs w:val="22"/>
        </w:rPr>
        <w:t xml:space="preserve"> “Positive Approaches to Supporting Pupil </w:t>
      </w:r>
      <w:r w:rsidR="00E00F86">
        <w:rPr>
          <w:rFonts w:ascii="Arial" w:hAnsi="Arial" w:cs="Arial"/>
          <w:sz w:val="22"/>
          <w:szCs w:val="22"/>
        </w:rPr>
        <w:t>Behaviour</w:t>
      </w:r>
      <w:r w:rsidR="004F2E3F">
        <w:rPr>
          <w:rFonts w:ascii="Arial" w:hAnsi="Arial" w:cs="Arial"/>
          <w:sz w:val="22"/>
          <w:szCs w:val="22"/>
        </w:rPr>
        <w:t>”, in Brooks, V., Abbott, I. and Bills, L. (eds.) Preparing to Teach in Secondary Schools. Maidenhead: Open University Press.</w:t>
      </w:r>
    </w:p>
    <w:p w14:paraId="7C0589C1" w14:textId="7B82AC71" w:rsidR="00C3213F" w:rsidRDefault="00C3213F" w:rsidP="005B696D">
      <w:pPr>
        <w:rPr>
          <w:rFonts w:ascii="Arial" w:hAnsi="Arial" w:cs="Arial"/>
          <w:sz w:val="22"/>
          <w:szCs w:val="22"/>
        </w:rPr>
      </w:pPr>
    </w:p>
    <w:p w14:paraId="5F1E6AA7" w14:textId="498A5899" w:rsidR="00C3213F" w:rsidRDefault="00C3213F" w:rsidP="005B696D">
      <w:pPr>
        <w:rPr>
          <w:rFonts w:ascii="Arial" w:hAnsi="Arial" w:cs="Arial"/>
          <w:sz w:val="22"/>
          <w:szCs w:val="22"/>
        </w:rPr>
      </w:pPr>
      <w:r>
        <w:rPr>
          <w:rFonts w:ascii="Arial" w:hAnsi="Arial" w:cs="Arial"/>
          <w:sz w:val="22"/>
          <w:szCs w:val="22"/>
        </w:rPr>
        <w:t>Denby, N. (2015</w:t>
      </w:r>
      <w:r w:rsidR="00EA7106">
        <w:rPr>
          <w:rFonts w:ascii="Arial" w:hAnsi="Arial" w:cs="Arial"/>
          <w:sz w:val="22"/>
          <w:szCs w:val="22"/>
        </w:rPr>
        <w:t>a</w:t>
      </w:r>
      <w:r>
        <w:rPr>
          <w:rFonts w:ascii="Arial" w:hAnsi="Arial" w:cs="Arial"/>
          <w:sz w:val="22"/>
          <w:szCs w:val="22"/>
        </w:rPr>
        <w:t xml:space="preserve">) “Beginning to Understand How Young People Learn”, in Denby, N. (ed.) Training to Teach (Third edition). London: Sage Publications Ltd. </w:t>
      </w:r>
    </w:p>
    <w:p w14:paraId="247E06F8" w14:textId="11DE15FD" w:rsidR="00DD4B67" w:rsidRDefault="00DD4B67" w:rsidP="005B696D">
      <w:pPr>
        <w:rPr>
          <w:rFonts w:ascii="Arial" w:hAnsi="Arial" w:cs="Arial"/>
          <w:sz w:val="22"/>
          <w:szCs w:val="22"/>
        </w:rPr>
      </w:pPr>
    </w:p>
    <w:p w14:paraId="27DFEB50" w14:textId="5B75B621" w:rsidR="00DD4B67" w:rsidRDefault="00DD4B67" w:rsidP="00DD4B67">
      <w:pPr>
        <w:rPr>
          <w:rFonts w:ascii="Arial" w:hAnsi="Arial" w:cs="Arial"/>
          <w:sz w:val="22"/>
          <w:szCs w:val="22"/>
        </w:rPr>
      </w:pPr>
      <w:r>
        <w:rPr>
          <w:rFonts w:ascii="Arial" w:hAnsi="Arial" w:cs="Arial"/>
          <w:sz w:val="22"/>
          <w:szCs w:val="22"/>
        </w:rPr>
        <w:t>Denby, N. (2015</w:t>
      </w:r>
      <w:r w:rsidR="00EA7106">
        <w:rPr>
          <w:rFonts w:ascii="Arial" w:hAnsi="Arial" w:cs="Arial"/>
          <w:sz w:val="22"/>
          <w:szCs w:val="22"/>
        </w:rPr>
        <w:t>b</w:t>
      </w:r>
      <w:r>
        <w:rPr>
          <w:rFonts w:ascii="Arial" w:hAnsi="Arial" w:cs="Arial"/>
          <w:sz w:val="22"/>
          <w:szCs w:val="22"/>
        </w:rPr>
        <w:t xml:space="preserve">) “Approaches to Teaching and Learning 3: Differentiation and Personalising Provision”, in in Denby, N. (ed.) Training to Teach (Third edition). London: Sage Publications Ltd. </w:t>
      </w:r>
    </w:p>
    <w:p w14:paraId="222DE50F" w14:textId="55B9226D" w:rsidR="00397349" w:rsidRDefault="00397349" w:rsidP="005B696D">
      <w:pPr>
        <w:rPr>
          <w:rFonts w:ascii="Arial" w:hAnsi="Arial" w:cs="Arial"/>
          <w:sz w:val="22"/>
          <w:szCs w:val="22"/>
        </w:rPr>
      </w:pPr>
    </w:p>
    <w:p w14:paraId="67D86274" w14:textId="0C949131" w:rsidR="00FC339B" w:rsidRDefault="00397349" w:rsidP="005B696D">
      <w:pPr>
        <w:rPr>
          <w:rFonts w:ascii="Arial" w:hAnsi="Arial" w:cs="Arial"/>
          <w:sz w:val="22"/>
          <w:szCs w:val="22"/>
        </w:rPr>
      </w:pPr>
      <w:r>
        <w:rPr>
          <w:rFonts w:ascii="Arial" w:hAnsi="Arial" w:cs="Arial"/>
          <w:sz w:val="22"/>
          <w:szCs w:val="22"/>
        </w:rPr>
        <w:t>Dixson</w:t>
      </w:r>
      <w:r w:rsidR="007D2AA7">
        <w:rPr>
          <w:rFonts w:ascii="Arial" w:hAnsi="Arial" w:cs="Arial"/>
          <w:sz w:val="22"/>
          <w:szCs w:val="22"/>
        </w:rPr>
        <w:t xml:space="preserve">, D. &amp; Worrell, C. (2016) “Formative and Summative Assessment in the Classroom”, Theory </w:t>
      </w:r>
      <w:r w:rsidR="004233A7">
        <w:rPr>
          <w:rFonts w:ascii="Arial" w:hAnsi="Arial" w:cs="Arial"/>
          <w:sz w:val="22"/>
          <w:szCs w:val="22"/>
        </w:rPr>
        <w:t>into</w:t>
      </w:r>
      <w:r w:rsidR="007D2AA7">
        <w:rPr>
          <w:rFonts w:ascii="Arial" w:hAnsi="Arial" w:cs="Arial"/>
          <w:sz w:val="22"/>
          <w:szCs w:val="22"/>
        </w:rPr>
        <w:t xml:space="preserve"> Practice., 55, 153-159.</w:t>
      </w:r>
    </w:p>
    <w:p w14:paraId="3A92CE88" w14:textId="77777777" w:rsidR="00A114E7" w:rsidRDefault="00A114E7" w:rsidP="005B696D">
      <w:pPr>
        <w:rPr>
          <w:rFonts w:ascii="Arial" w:hAnsi="Arial" w:cs="Arial"/>
          <w:sz w:val="22"/>
          <w:szCs w:val="22"/>
        </w:rPr>
      </w:pPr>
    </w:p>
    <w:p w14:paraId="79F9A957" w14:textId="79E27420" w:rsidR="00E27FDA" w:rsidRDefault="00E27FDA" w:rsidP="005B696D">
      <w:pPr>
        <w:rPr>
          <w:rFonts w:ascii="Arial" w:hAnsi="Arial" w:cs="Arial"/>
          <w:sz w:val="22"/>
          <w:szCs w:val="22"/>
        </w:rPr>
      </w:pPr>
    </w:p>
    <w:p w14:paraId="7F8DE3D6" w14:textId="6A86B4F6" w:rsidR="00E27FDA" w:rsidRDefault="00E27FDA" w:rsidP="005B696D">
      <w:pPr>
        <w:rPr>
          <w:rFonts w:ascii="Arial" w:hAnsi="Arial" w:cs="Arial"/>
          <w:sz w:val="22"/>
          <w:szCs w:val="22"/>
        </w:rPr>
      </w:pPr>
      <w:r>
        <w:rPr>
          <w:rFonts w:ascii="Arial" w:hAnsi="Arial" w:cs="Arial"/>
          <w:sz w:val="22"/>
          <w:szCs w:val="22"/>
        </w:rPr>
        <w:lastRenderedPageBreak/>
        <w:t xml:space="preserve">Donaldson, G. (2015) Successful Futures: Independent Review of Curriculum and Assessment Arrangements in Wales. </w:t>
      </w:r>
      <w:r w:rsidR="00F572B6">
        <w:rPr>
          <w:rFonts w:ascii="Arial" w:hAnsi="Arial" w:cs="Arial"/>
          <w:sz w:val="22"/>
          <w:szCs w:val="22"/>
        </w:rPr>
        <w:t xml:space="preserve">Available at: </w:t>
      </w:r>
      <w:hyperlink r:id="rId10" w:history="1">
        <w:r w:rsidR="00667FB8" w:rsidRPr="00BF01C7">
          <w:rPr>
            <w:rStyle w:val="Hyperlink"/>
            <w:rFonts w:ascii="Arial" w:hAnsi="Arial" w:cs="Arial"/>
            <w:sz w:val="22"/>
            <w:szCs w:val="22"/>
          </w:rPr>
          <w:t>https://gov.wales/docs/dcells/publications/150225-successful-futures-en.pdf</w:t>
        </w:r>
      </w:hyperlink>
      <w:r w:rsidR="00667FB8">
        <w:rPr>
          <w:rFonts w:ascii="Arial" w:hAnsi="Arial" w:cs="Arial"/>
          <w:sz w:val="22"/>
          <w:szCs w:val="22"/>
        </w:rPr>
        <w:t xml:space="preserve"> (Accessed 14 November 2018).</w:t>
      </w:r>
    </w:p>
    <w:p w14:paraId="4CD940F8" w14:textId="459E50BF" w:rsidR="001F385F" w:rsidRDefault="001F385F" w:rsidP="005B696D">
      <w:pPr>
        <w:rPr>
          <w:rFonts w:ascii="Arial" w:hAnsi="Arial" w:cs="Arial"/>
          <w:sz w:val="22"/>
          <w:szCs w:val="22"/>
        </w:rPr>
      </w:pPr>
    </w:p>
    <w:p w14:paraId="658C8361" w14:textId="0B90BF09" w:rsidR="001F385F" w:rsidRDefault="001F385F" w:rsidP="005B696D">
      <w:pPr>
        <w:rPr>
          <w:rFonts w:ascii="Arial" w:hAnsi="Arial" w:cs="Arial"/>
          <w:sz w:val="22"/>
          <w:szCs w:val="22"/>
        </w:rPr>
      </w:pPr>
      <w:r>
        <w:rPr>
          <w:rFonts w:ascii="Arial" w:hAnsi="Arial" w:cs="Arial"/>
          <w:sz w:val="22"/>
          <w:szCs w:val="22"/>
        </w:rPr>
        <w:t xml:space="preserve">Hay McBer (2000) Research into Teacher Effectiveness. Available at </w:t>
      </w:r>
      <w:hyperlink r:id="rId11" w:history="1">
        <w:r w:rsidR="00D03E31" w:rsidRPr="00380F40">
          <w:rPr>
            <w:rStyle w:val="Hyperlink"/>
            <w:rFonts w:ascii="Arial" w:hAnsi="Arial" w:cs="Arial"/>
            <w:sz w:val="22"/>
            <w:szCs w:val="22"/>
          </w:rPr>
          <w:t>http://dera.ioe.ac.uk/4566/1/RR216.pdf</w:t>
        </w:r>
      </w:hyperlink>
      <w:r w:rsidR="00D03E31">
        <w:rPr>
          <w:rFonts w:ascii="Arial" w:hAnsi="Arial" w:cs="Arial"/>
          <w:sz w:val="22"/>
          <w:szCs w:val="22"/>
        </w:rPr>
        <w:t xml:space="preserve"> . (Accessed 24 November 2018).</w:t>
      </w:r>
    </w:p>
    <w:p w14:paraId="754B72F9" w14:textId="77777777" w:rsidR="001F385F" w:rsidRDefault="001F385F" w:rsidP="005B696D">
      <w:pPr>
        <w:rPr>
          <w:rFonts w:ascii="Arial" w:hAnsi="Arial" w:cs="Arial"/>
          <w:sz w:val="22"/>
          <w:szCs w:val="22"/>
        </w:rPr>
      </w:pPr>
    </w:p>
    <w:p w14:paraId="5B603748" w14:textId="4CD986F3" w:rsidR="00D10E99" w:rsidRDefault="00D10E99" w:rsidP="005B696D">
      <w:pPr>
        <w:rPr>
          <w:rFonts w:ascii="Arial" w:hAnsi="Arial" w:cs="Arial"/>
          <w:sz w:val="22"/>
          <w:szCs w:val="22"/>
        </w:rPr>
      </w:pPr>
      <w:r>
        <w:rPr>
          <w:rFonts w:ascii="Arial" w:hAnsi="Arial" w:cs="Arial"/>
          <w:sz w:val="22"/>
          <w:szCs w:val="22"/>
        </w:rPr>
        <w:t>Dweck, C. (1999) “Caution: Praise can be dangerous”, American Educator., 23 (1), 1-5.</w:t>
      </w:r>
    </w:p>
    <w:p w14:paraId="501AECF2" w14:textId="3400E37F" w:rsidR="00C804CF" w:rsidRDefault="00C804CF" w:rsidP="005B696D">
      <w:pPr>
        <w:rPr>
          <w:rFonts w:ascii="Arial" w:hAnsi="Arial" w:cs="Arial"/>
          <w:sz w:val="22"/>
          <w:szCs w:val="22"/>
        </w:rPr>
      </w:pPr>
    </w:p>
    <w:p w14:paraId="212441FA" w14:textId="4ED5E135" w:rsidR="00C804CF" w:rsidRDefault="00C804CF" w:rsidP="005B696D">
      <w:pPr>
        <w:rPr>
          <w:rFonts w:ascii="Arial" w:hAnsi="Arial" w:cs="Arial"/>
          <w:sz w:val="22"/>
          <w:szCs w:val="22"/>
        </w:rPr>
      </w:pPr>
      <w:r>
        <w:rPr>
          <w:rFonts w:ascii="Arial" w:hAnsi="Arial" w:cs="Arial"/>
          <w:sz w:val="22"/>
          <w:szCs w:val="22"/>
        </w:rPr>
        <w:t>Dweck, C. (2006) Mindset: the new psychology of success. New York: Random House.</w:t>
      </w:r>
    </w:p>
    <w:p w14:paraId="62E2C9FE" w14:textId="316C090A" w:rsidR="00830DF2" w:rsidRDefault="00830DF2" w:rsidP="005B696D">
      <w:pPr>
        <w:rPr>
          <w:rFonts w:ascii="Arial" w:hAnsi="Arial" w:cs="Arial"/>
          <w:sz w:val="22"/>
          <w:szCs w:val="22"/>
        </w:rPr>
      </w:pPr>
    </w:p>
    <w:p w14:paraId="115FC032" w14:textId="77777777" w:rsidR="00830DF2" w:rsidRDefault="00830DF2" w:rsidP="00830DF2">
      <w:pPr>
        <w:rPr>
          <w:rFonts w:ascii="Arial" w:hAnsi="Arial" w:cs="Arial"/>
          <w:sz w:val="22"/>
          <w:szCs w:val="22"/>
        </w:rPr>
      </w:pPr>
      <w:r>
        <w:rPr>
          <w:rFonts w:ascii="Arial" w:hAnsi="Arial" w:cs="Arial"/>
          <w:sz w:val="22"/>
          <w:szCs w:val="22"/>
        </w:rPr>
        <w:t>Elliott, P. (2004) “Communication in the Classroom”, in Brooks, V., Abbott, I. and Bills, L. (eds.) Preparing to Teach in Secondary Schools. Maidenhead: Open University Press.</w:t>
      </w:r>
    </w:p>
    <w:p w14:paraId="29BE4600" w14:textId="03903AE1" w:rsidR="0028414F" w:rsidRDefault="0028414F" w:rsidP="005B696D">
      <w:pPr>
        <w:rPr>
          <w:rFonts w:ascii="Arial" w:hAnsi="Arial" w:cs="Arial"/>
          <w:sz w:val="22"/>
          <w:szCs w:val="22"/>
        </w:rPr>
      </w:pPr>
    </w:p>
    <w:p w14:paraId="4F2F8B26" w14:textId="37E47F17" w:rsidR="0028414F" w:rsidRDefault="0028414F" w:rsidP="005B696D">
      <w:pPr>
        <w:rPr>
          <w:rFonts w:ascii="Arial" w:hAnsi="Arial" w:cs="Arial"/>
          <w:sz w:val="22"/>
          <w:szCs w:val="22"/>
        </w:rPr>
      </w:pPr>
      <w:r>
        <w:rPr>
          <w:rFonts w:ascii="Arial" w:hAnsi="Arial" w:cs="Arial"/>
          <w:sz w:val="22"/>
          <w:szCs w:val="22"/>
        </w:rPr>
        <w:t>Estyn (2006)</w:t>
      </w:r>
      <w:r w:rsidR="007F7E6D">
        <w:rPr>
          <w:rFonts w:ascii="Arial" w:hAnsi="Arial" w:cs="Arial"/>
          <w:sz w:val="22"/>
          <w:szCs w:val="22"/>
        </w:rPr>
        <w:t xml:space="preserve">, Cwricwlwm Cymreig Phase 2. </w:t>
      </w:r>
      <w:r w:rsidR="00F572B6">
        <w:rPr>
          <w:rFonts w:ascii="Arial" w:hAnsi="Arial" w:cs="Arial"/>
          <w:sz w:val="22"/>
          <w:szCs w:val="22"/>
        </w:rPr>
        <w:t xml:space="preserve">Available at: </w:t>
      </w:r>
      <w:hyperlink r:id="rId12" w:history="1">
        <w:r w:rsidR="00F572B6" w:rsidRPr="00BF01C7">
          <w:rPr>
            <w:rStyle w:val="Hyperlink"/>
            <w:rFonts w:ascii="Arial" w:hAnsi="Arial" w:cs="Arial"/>
            <w:sz w:val="22"/>
            <w:szCs w:val="22"/>
          </w:rPr>
          <w:t>https://moodle.uwtsd.ac.uk/pluginfile.php/185257/mod_book/chapter/4211/Cwricwlwm_Cymreig_Phase_2_-_2006%5B1%5D-2%5B1%5D.pdf</w:t>
        </w:r>
      </w:hyperlink>
      <w:r w:rsidR="00F572B6">
        <w:rPr>
          <w:rFonts w:ascii="Arial" w:hAnsi="Arial" w:cs="Arial"/>
          <w:sz w:val="22"/>
          <w:szCs w:val="22"/>
        </w:rPr>
        <w:t xml:space="preserve"> (Accessed 12 November 2018).</w:t>
      </w:r>
    </w:p>
    <w:p w14:paraId="53EC63BB" w14:textId="2EBAD6A0" w:rsidR="00063613" w:rsidRDefault="00063613" w:rsidP="005B696D">
      <w:pPr>
        <w:rPr>
          <w:rFonts w:ascii="Arial" w:hAnsi="Arial" w:cs="Arial"/>
          <w:sz w:val="22"/>
          <w:szCs w:val="22"/>
        </w:rPr>
      </w:pPr>
    </w:p>
    <w:p w14:paraId="6A95FDB3" w14:textId="597B0FCE" w:rsidR="00386FC0" w:rsidRDefault="00063613" w:rsidP="005B696D">
      <w:pPr>
        <w:rPr>
          <w:rFonts w:ascii="Arial" w:hAnsi="Arial" w:cs="Arial"/>
          <w:sz w:val="22"/>
          <w:szCs w:val="22"/>
        </w:rPr>
      </w:pPr>
      <w:r>
        <w:rPr>
          <w:rFonts w:ascii="Arial" w:hAnsi="Arial" w:cs="Arial"/>
          <w:sz w:val="22"/>
          <w:szCs w:val="22"/>
        </w:rPr>
        <w:t xml:space="preserve">Estyn (2018), A Report on Olchfa School. Available at: </w:t>
      </w:r>
      <w:hyperlink r:id="rId13" w:history="1">
        <w:r w:rsidRPr="001A68A7">
          <w:rPr>
            <w:rStyle w:val="Hyperlink"/>
            <w:rFonts w:ascii="Arial" w:hAnsi="Arial" w:cs="Arial"/>
            <w:sz w:val="22"/>
            <w:szCs w:val="22"/>
          </w:rPr>
          <w:t>https://www.estyn.gov.wales/sites/default/files/documents/Olchfa%20School_0.pdf</w:t>
        </w:r>
      </w:hyperlink>
      <w:r>
        <w:rPr>
          <w:rFonts w:ascii="Arial" w:hAnsi="Arial" w:cs="Arial"/>
          <w:sz w:val="22"/>
          <w:szCs w:val="22"/>
        </w:rPr>
        <w:t xml:space="preserve"> (Accessed 18 November 2018).</w:t>
      </w:r>
      <w:r w:rsidR="005E0BE7">
        <w:rPr>
          <w:rFonts w:ascii="Arial" w:hAnsi="Arial" w:cs="Arial"/>
          <w:sz w:val="22"/>
          <w:szCs w:val="22"/>
        </w:rPr>
        <w:t xml:space="preserve"> </w:t>
      </w:r>
    </w:p>
    <w:p w14:paraId="04D48B54" w14:textId="77777777" w:rsidR="00654F68" w:rsidRDefault="00654F68" w:rsidP="005B696D">
      <w:pPr>
        <w:rPr>
          <w:rFonts w:ascii="Arial" w:hAnsi="Arial" w:cs="Arial"/>
          <w:sz w:val="22"/>
          <w:szCs w:val="22"/>
        </w:rPr>
      </w:pPr>
    </w:p>
    <w:p w14:paraId="1F7081AC" w14:textId="5C3F2F0D" w:rsidR="00654F68" w:rsidRDefault="00654F68" w:rsidP="005B696D">
      <w:pPr>
        <w:rPr>
          <w:rFonts w:ascii="Arial" w:hAnsi="Arial" w:cs="Arial"/>
          <w:sz w:val="22"/>
          <w:szCs w:val="22"/>
        </w:rPr>
      </w:pPr>
      <w:r>
        <w:rPr>
          <w:rFonts w:ascii="Arial" w:hAnsi="Arial" w:cs="Arial"/>
          <w:sz w:val="22"/>
          <w:szCs w:val="22"/>
        </w:rPr>
        <w:t>Fautley, M., &amp; Savage, J. (2008) Assessment for Learning and Teaching. Exeter: Learning Matters.</w:t>
      </w:r>
    </w:p>
    <w:p w14:paraId="2C5AA58A" w14:textId="77777777" w:rsidR="00654F68" w:rsidRDefault="00654F68" w:rsidP="005B696D">
      <w:pPr>
        <w:rPr>
          <w:rFonts w:ascii="Arial" w:hAnsi="Arial" w:cs="Arial"/>
          <w:sz w:val="22"/>
          <w:szCs w:val="22"/>
        </w:rPr>
      </w:pPr>
    </w:p>
    <w:p w14:paraId="0CAEC02D" w14:textId="3A2B5B4E" w:rsidR="00386FC0" w:rsidRDefault="005A2788" w:rsidP="005B696D">
      <w:pPr>
        <w:rPr>
          <w:rFonts w:ascii="Arial" w:hAnsi="Arial" w:cs="Arial"/>
          <w:sz w:val="22"/>
          <w:szCs w:val="22"/>
        </w:rPr>
      </w:pPr>
      <w:r>
        <w:rPr>
          <w:rFonts w:ascii="Arial" w:hAnsi="Arial" w:cs="Arial"/>
          <w:sz w:val="22"/>
          <w:szCs w:val="22"/>
        </w:rPr>
        <w:t>Gardner, J. (2010) “Developing teacher assessments: An introduction”, in Gardner, J. et al. (eds.), Developing teacher assessment. New York: Open University Press.</w:t>
      </w:r>
    </w:p>
    <w:p w14:paraId="347813DB" w14:textId="7D9E96F7" w:rsidR="009F6236" w:rsidRDefault="009F6236" w:rsidP="005B696D">
      <w:pPr>
        <w:rPr>
          <w:rFonts w:ascii="Arial" w:hAnsi="Arial" w:cs="Arial"/>
          <w:sz w:val="22"/>
          <w:szCs w:val="22"/>
        </w:rPr>
      </w:pPr>
    </w:p>
    <w:p w14:paraId="48127CD6" w14:textId="127C7D24" w:rsidR="009F6236" w:rsidRDefault="009F6236" w:rsidP="005B696D">
      <w:pPr>
        <w:rPr>
          <w:rFonts w:ascii="Arial" w:hAnsi="Arial" w:cs="Arial"/>
          <w:sz w:val="22"/>
          <w:szCs w:val="22"/>
        </w:rPr>
      </w:pPr>
      <w:r>
        <w:rPr>
          <w:rFonts w:ascii="Arial" w:hAnsi="Arial" w:cs="Arial"/>
          <w:sz w:val="22"/>
          <w:szCs w:val="22"/>
        </w:rPr>
        <w:t xml:space="preserve">Gault, A. (2015) “Understanding and Using Assessment and Feedback”, in </w:t>
      </w:r>
      <w:r w:rsidR="00C804CF">
        <w:rPr>
          <w:rFonts w:ascii="Arial" w:hAnsi="Arial" w:cs="Arial"/>
          <w:sz w:val="22"/>
          <w:szCs w:val="22"/>
        </w:rPr>
        <w:t xml:space="preserve">Denby, N. (ed.) Training to Teach (Third edition). London: Sage Publications Ltd. </w:t>
      </w:r>
    </w:p>
    <w:p w14:paraId="6E4F9538" w14:textId="7E1C70B6" w:rsidR="00AF1AEB" w:rsidRDefault="00AF1AEB" w:rsidP="005B696D">
      <w:pPr>
        <w:rPr>
          <w:rFonts w:ascii="Arial" w:hAnsi="Arial" w:cs="Arial"/>
          <w:sz w:val="22"/>
          <w:szCs w:val="22"/>
        </w:rPr>
      </w:pPr>
    </w:p>
    <w:p w14:paraId="241D0190" w14:textId="611A3F87" w:rsidR="00AF1AEB" w:rsidRDefault="00AF1AEB" w:rsidP="005B696D">
      <w:pPr>
        <w:rPr>
          <w:rFonts w:ascii="Arial" w:hAnsi="Arial" w:cs="Arial"/>
          <w:sz w:val="22"/>
          <w:szCs w:val="22"/>
        </w:rPr>
      </w:pPr>
      <w:r>
        <w:rPr>
          <w:rFonts w:ascii="Arial" w:hAnsi="Arial" w:cs="Arial"/>
          <w:sz w:val="22"/>
          <w:szCs w:val="22"/>
        </w:rPr>
        <w:t xml:space="preserve">Hattie, J. (2003) “Formative and Summative Interpretations of Assessment Information”. Available at: </w:t>
      </w:r>
      <w:hyperlink r:id="rId14" w:history="1">
        <w:r w:rsidR="00075CFB" w:rsidRPr="00E6713A">
          <w:rPr>
            <w:rStyle w:val="Hyperlink"/>
            <w:rFonts w:ascii="Arial" w:hAnsi="Arial" w:cs="Arial"/>
            <w:sz w:val="22"/>
            <w:szCs w:val="22"/>
          </w:rPr>
          <w:t>https://cdn.auckland.ac.nz/assets/education/hattie/docs/formative-and-summative-assessment-(2003).pdf</w:t>
        </w:r>
      </w:hyperlink>
      <w:r w:rsidR="00075CFB">
        <w:rPr>
          <w:rFonts w:ascii="Arial" w:hAnsi="Arial" w:cs="Arial"/>
          <w:sz w:val="22"/>
          <w:szCs w:val="22"/>
        </w:rPr>
        <w:t xml:space="preserve"> </w:t>
      </w:r>
      <w:r w:rsidR="00FC339B">
        <w:rPr>
          <w:rFonts w:ascii="Arial" w:hAnsi="Arial" w:cs="Arial"/>
          <w:sz w:val="22"/>
          <w:szCs w:val="22"/>
        </w:rPr>
        <w:t>(Accessed 17 November 2018)</w:t>
      </w:r>
      <w:r w:rsidR="00F055D7">
        <w:rPr>
          <w:rFonts w:ascii="Arial" w:hAnsi="Arial" w:cs="Arial"/>
          <w:sz w:val="22"/>
          <w:szCs w:val="22"/>
        </w:rPr>
        <w:t>.</w:t>
      </w:r>
    </w:p>
    <w:p w14:paraId="47041B3F" w14:textId="03962DBC" w:rsidR="005E0BE7" w:rsidRDefault="005E0BE7" w:rsidP="005B696D">
      <w:pPr>
        <w:rPr>
          <w:rFonts w:ascii="Arial" w:hAnsi="Arial" w:cs="Arial"/>
          <w:sz w:val="22"/>
          <w:szCs w:val="22"/>
        </w:rPr>
      </w:pPr>
    </w:p>
    <w:p w14:paraId="336543B7" w14:textId="0B20F5C0" w:rsidR="005E0BE7" w:rsidRDefault="005E0BE7" w:rsidP="005B696D">
      <w:pPr>
        <w:rPr>
          <w:rFonts w:ascii="Arial" w:hAnsi="Arial" w:cs="Arial"/>
          <w:sz w:val="22"/>
          <w:szCs w:val="22"/>
        </w:rPr>
      </w:pPr>
      <w:r>
        <w:rPr>
          <w:rFonts w:ascii="Arial" w:hAnsi="Arial" w:cs="Arial"/>
          <w:sz w:val="22"/>
          <w:szCs w:val="22"/>
        </w:rPr>
        <w:t>Hattie, J. and Timperley, H. (2007), “The Power of Feedback”, Review of Educational Research</w:t>
      </w:r>
      <w:r w:rsidR="00871848">
        <w:rPr>
          <w:rFonts w:ascii="Arial" w:hAnsi="Arial" w:cs="Arial"/>
          <w:sz w:val="22"/>
          <w:szCs w:val="22"/>
        </w:rPr>
        <w:t>., 77(1): 81 – 112.</w:t>
      </w:r>
    </w:p>
    <w:p w14:paraId="5EA98548" w14:textId="286AFDB0" w:rsidR="00E4659B" w:rsidRDefault="00E4659B" w:rsidP="005B696D">
      <w:pPr>
        <w:rPr>
          <w:rFonts w:ascii="Arial" w:hAnsi="Arial" w:cs="Arial"/>
          <w:sz w:val="22"/>
          <w:szCs w:val="22"/>
        </w:rPr>
      </w:pPr>
    </w:p>
    <w:p w14:paraId="2B931D4F" w14:textId="5FD5339C" w:rsidR="00E4659B" w:rsidRDefault="00E4659B" w:rsidP="005B696D">
      <w:pPr>
        <w:rPr>
          <w:rFonts w:ascii="Arial" w:hAnsi="Arial" w:cs="Arial"/>
          <w:sz w:val="22"/>
          <w:szCs w:val="22"/>
        </w:rPr>
      </w:pPr>
      <w:r>
        <w:rPr>
          <w:rFonts w:ascii="Arial" w:hAnsi="Arial" w:cs="Arial"/>
          <w:sz w:val="22"/>
          <w:szCs w:val="22"/>
        </w:rPr>
        <w:t>Hattie, J. &amp; Yates, G. (2014) Visible Learning and the Science of How We Learn. Abingdon: Routledge.</w:t>
      </w:r>
    </w:p>
    <w:p w14:paraId="1129DAFD" w14:textId="0DC2E44B" w:rsidR="009A3AF1" w:rsidRDefault="009A3AF1" w:rsidP="005B696D">
      <w:pPr>
        <w:rPr>
          <w:rFonts w:ascii="Arial" w:hAnsi="Arial" w:cs="Arial"/>
          <w:sz w:val="22"/>
          <w:szCs w:val="22"/>
        </w:rPr>
      </w:pPr>
    </w:p>
    <w:p w14:paraId="08BCD68F" w14:textId="10D06A62" w:rsidR="009A3AF1" w:rsidRDefault="009A3AF1" w:rsidP="005B696D">
      <w:pPr>
        <w:rPr>
          <w:rFonts w:ascii="Arial" w:hAnsi="Arial" w:cs="Arial"/>
          <w:sz w:val="22"/>
          <w:szCs w:val="22"/>
        </w:rPr>
      </w:pPr>
      <w:r>
        <w:rPr>
          <w:rFonts w:ascii="Arial" w:hAnsi="Arial" w:cs="Arial"/>
          <w:sz w:val="22"/>
          <w:szCs w:val="22"/>
        </w:rPr>
        <w:t>James, M. (2008) Using Assessment for School Improvement. Oxford: Heinemann Educational.</w:t>
      </w:r>
    </w:p>
    <w:p w14:paraId="4E307F4A" w14:textId="35901200" w:rsidR="009A3F07" w:rsidRDefault="009A3F07" w:rsidP="005B696D">
      <w:pPr>
        <w:rPr>
          <w:rFonts w:ascii="Arial" w:hAnsi="Arial" w:cs="Arial"/>
          <w:sz w:val="22"/>
          <w:szCs w:val="22"/>
        </w:rPr>
      </w:pPr>
    </w:p>
    <w:p w14:paraId="730F54DA" w14:textId="1042D712" w:rsidR="009A3F07" w:rsidRDefault="009A3F07" w:rsidP="005B696D">
      <w:pPr>
        <w:rPr>
          <w:rFonts w:ascii="Arial" w:hAnsi="Arial" w:cs="Arial"/>
          <w:sz w:val="22"/>
          <w:szCs w:val="22"/>
        </w:rPr>
      </w:pPr>
      <w:r>
        <w:rPr>
          <w:rFonts w:ascii="Arial" w:hAnsi="Arial" w:cs="Arial"/>
          <w:sz w:val="22"/>
          <w:szCs w:val="22"/>
        </w:rPr>
        <w:t>Muijs, D. (2004) “Understanding how pupils learn: Theories of learning and intelligence” in Brooks, V., Abbott, I. and Bills, L. (eds.) Preparing to Teach in Secondary Schools. Maidenhead: Open University Press.</w:t>
      </w:r>
    </w:p>
    <w:p w14:paraId="222F8797" w14:textId="14717883" w:rsidR="00AC19BA" w:rsidRDefault="00AC19BA" w:rsidP="005B696D">
      <w:pPr>
        <w:rPr>
          <w:rFonts w:ascii="Arial" w:hAnsi="Arial" w:cs="Arial"/>
          <w:sz w:val="22"/>
          <w:szCs w:val="22"/>
        </w:rPr>
      </w:pPr>
    </w:p>
    <w:p w14:paraId="6028E618" w14:textId="1DBEE1C7" w:rsidR="00AC19BA" w:rsidRDefault="00AC19BA" w:rsidP="005B696D">
      <w:pPr>
        <w:rPr>
          <w:rFonts w:ascii="Arial" w:hAnsi="Arial" w:cs="Arial"/>
          <w:sz w:val="22"/>
          <w:szCs w:val="22"/>
        </w:rPr>
      </w:pPr>
      <w:r>
        <w:rPr>
          <w:rFonts w:ascii="Arial" w:hAnsi="Arial" w:cs="Arial"/>
          <w:sz w:val="22"/>
          <w:szCs w:val="22"/>
        </w:rPr>
        <w:t>Muijs, D. &amp; Reynolds, D. (2001) Effective Teaching: Evidence and Practice. London: Paul Chapman Publishing.</w:t>
      </w:r>
    </w:p>
    <w:p w14:paraId="6D2F9C88" w14:textId="5694F242" w:rsidR="00654955" w:rsidRDefault="00654955" w:rsidP="005B696D">
      <w:pPr>
        <w:rPr>
          <w:rFonts w:ascii="Arial" w:hAnsi="Arial" w:cs="Arial"/>
          <w:sz w:val="22"/>
          <w:szCs w:val="22"/>
        </w:rPr>
      </w:pPr>
    </w:p>
    <w:p w14:paraId="2B1EBAB3" w14:textId="6AA0C6DF" w:rsidR="00654955" w:rsidRDefault="00654955" w:rsidP="005B696D">
      <w:pPr>
        <w:rPr>
          <w:rFonts w:ascii="Arial" w:hAnsi="Arial" w:cs="Arial"/>
          <w:sz w:val="22"/>
          <w:szCs w:val="22"/>
        </w:rPr>
      </w:pPr>
      <w:r>
        <w:rPr>
          <w:rFonts w:ascii="Arial" w:hAnsi="Arial" w:cs="Arial"/>
          <w:sz w:val="22"/>
          <w:szCs w:val="22"/>
        </w:rPr>
        <w:t>Pollard, A. (ed.) (20</w:t>
      </w:r>
      <w:r w:rsidR="005203DD">
        <w:rPr>
          <w:rFonts w:ascii="Arial" w:hAnsi="Arial" w:cs="Arial"/>
          <w:sz w:val="22"/>
          <w:szCs w:val="22"/>
        </w:rPr>
        <w:t>1</w:t>
      </w:r>
      <w:r>
        <w:rPr>
          <w:rFonts w:ascii="Arial" w:hAnsi="Arial" w:cs="Arial"/>
          <w:sz w:val="22"/>
          <w:szCs w:val="22"/>
        </w:rPr>
        <w:t>4) Reflective Teaching in Schools (Fourth edition). London: Bloomsbury Academic</w:t>
      </w:r>
      <w:r w:rsidR="00E33028">
        <w:rPr>
          <w:rFonts w:ascii="Arial" w:hAnsi="Arial" w:cs="Arial"/>
          <w:sz w:val="22"/>
          <w:szCs w:val="22"/>
        </w:rPr>
        <w:t>.</w:t>
      </w:r>
    </w:p>
    <w:p w14:paraId="34FA3A92" w14:textId="7EA5B98B" w:rsidR="003866F4" w:rsidRDefault="003866F4" w:rsidP="005B696D">
      <w:pPr>
        <w:rPr>
          <w:rFonts w:ascii="Arial" w:hAnsi="Arial" w:cs="Arial"/>
          <w:sz w:val="22"/>
          <w:szCs w:val="22"/>
        </w:rPr>
      </w:pPr>
    </w:p>
    <w:p w14:paraId="36CC06C7" w14:textId="4C519054" w:rsidR="003866F4" w:rsidRDefault="003866F4" w:rsidP="005B696D">
      <w:pPr>
        <w:rPr>
          <w:rFonts w:ascii="Arial" w:hAnsi="Arial" w:cs="Arial"/>
          <w:sz w:val="22"/>
          <w:szCs w:val="22"/>
        </w:rPr>
      </w:pPr>
      <w:r>
        <w:rPr>
          <w:rFonts w:ascii="Arial" w:hAnsi="Arial" w:cs="Arial"/>
          <w:sz w:val="22"/>
          <w:szCs w:val="22"/>
        </w:rPr>
        <w:lastRenderedPageBreak/>
        <w:t>Pollard, A. (ed) (2008) Reflective Teachi</w:t>
      </w:r>
      <w:r w:rsidR="00C3213F">
        <w:rPr>
          <w:rFonts w:ascii="Arial" w:hAnsi="Arial" w:cs="Arial"/>
          <w:sz w:val="22"/>
          <w:szCs w:val="22"/>
        </w:rPr>
        <w:t>n</w:t>
      </w:r>
      <w:r>
        <w:rPr>
          <w:rFonts w:ascii="Arial" w:hAnsi="Arial" w:cs="Arial"/>
          <w:sz w:val="22"/>
          <w:szCs w:val="22"/>
        </w:rPr>
        <w:t>g (Third edition). London: Continuum International Publishing Group.</w:t>
      </w:r>
    </w:p>
    <w:p w14:paraId="5422B1AC" w14:textId="5206EA07" w:rsidR="00E33028" w:rsidRDefault="00E33028" w:rsidP="005B696D">
      <w:pPr>
        <w:rPr>
          <w:rFonts w:ascii="Arial" w:hAnsi="Arial" w:cs="Arial"/>
          <w:sz w:val="22"/>
          <w:szCs w:val="22"/>
        </w:rPr>
      </w:pPr>
    </w:p>
    <w:p w14:paraId="6E4CE083" w14:textId="55DC4BFD" w:rsidR="00E33028" w:rsidRDefault="00E33028" w:rsidP="005B696D">
      <w:pPr>
        <w:rPr>
          <w:rFonts w:ascii="Arial" w:hAnsi="Arial" w:cs="Arial"/>
          <w:sz w:val="22"/>
          <w:szCs w:val="22"/>
        </w:rPr>
      </w:pPr>
      <w:r w:rsidRPr="00AE63C4">
        <w:rPr>
          <w:rFonts w:ascii="Arial" w:hAnsi="Arial" w:cs="Arial"/>
          <w:sz w:val="22"/>
          <w:szCs w:val="22"/>
        </w:rPr>
        <w:t>Qualifications, Curriculum and Assessment Authority for Wales</w:t>
      </w:r>
      <w:r>
        <w:rPr>
          <w:rFonts w:ascii="Arial" w:hAnsi="Arial" w:cs="Arial"/>
          <w:sz w:val="22"/>
          <w:szCs w:val="22"/>
        </w:rPr>
        <w:t xml:space="preserve"> (2003), Developing the Curriculum Cymreig. </w:t>
      </w:r>
      <w:r w:rsidR="00F572B6">
        <w:rPr>
          <w:rFonts w:ascii="Arial" w:hAnsi="Arial" w:cs="Arial"/>
          <w:sz w:val="22"/>
          <w:szCs w:val="22"/>
        </w:rPr>
        <w:t xml:space="preserve">Available at: </w:t>
      </w:r>
      <w:hyperlink r:id="rId15" w:history="1">
        <w:r w:rsidR="00F572B6" w:rsidRPr="00BF01C7">
          <w:rPr>
            <w:rStyle w:val="Hyperlink"/>
            <w:rFonts w:ascii="Arial" w:hAnsi="Arial" w:cs="Arial"/>
            <w:sz w:val="22"/>
            <w:szCs w:val="22"/>
          </w:rPr>
          <w:t>https://moodle.uwtsd.ac.uk/pluginfile.php/185257/mod_book/chapter/4211/090902curriculumcymreigen%20copy.pdf</w:t>
        </w:r>
      </w:hyperlink>
      <w:r w:rsidR="00F572B6">
        <w:rPr>
          <w:rFonts w:ascii="Arial" w:hAnsi="Arial" w:cs="Arial"/>
          <w:sz w:val="22"/>
          <w:szCs w:val="22"/>
        </w:rPr>
        <w:t xml:space="preserve"> (Accessed: 12 November 2018).</w:t>
      </w:r>
    </w:p>
    <w:p w14:paraId="7F5C18ED" w14:textId="0B352B25" w:rsidR="004F2E3F" w:rsidRDefault="004F2E3F" w:rsidP="005B696D">
      <w:pPr>
        <w:rPr>
          <w:rFonts w:ascii="Arial" w:hAnsi="Arial" w:cs="Arial"/>
          <w:sz w:val="22"/>
          <w:szCs w:val="22"/>
        </w:rPr>
      </w:pPr>
    </w:p>
    <w:p w14:paraId="32AAD8E7" w14:textId="5051E507" w:rsidR="00921191" w:rsidRDefault="00921191" w:rsidP="005B696D">
      <w:pPr>
        <w:rPr>
          <w:rFonts w:ascii="Arial" w:hAnsi="Arial" w:cs="Arial"/>
          <w:sz w:val="22"/>
          <w:szCs w:val="22"/>
        </w:rPr>
      </w:pPr>
      <w:r>
        <w:rPr>
          <w:rFonts w:ascii="Arial" w:hAnsi="Arial" w:cs="Arial"/>
          <w:sz w:val="22"/>
          <w:szCs w:val="22"/>
        </w:rPr>
        <w:t>Rogers, B. (1998) You Know the Fair Rule (Second edition). Harlow: Pearson Education Limited.</w:t>
      </w:r>
    </w:p>
    <w:p w14:paraId="1931F134" w14:textId="77777777" w:rsidR="00921191" w:rsidRDefault="00921191" w:rsidP="005B696D">
      <w:pPr>
        <w:rPr>
          <w:rFonts w:ascii="Arial" w:hAnsi="Arial" w:cs="Arial"/>
          <w:sz w:val="22"/>
          <w:szCs w:val="22"/>
        </w:rPr>
      </w:pPr>
    </w:p>
    <w:p w14:paraId="18C388BF" w14:textId="5F4FF334" w:rsidR="00921191" w:rsidRDefault="00921191" w:rsidP="005B696D">
      <w:pPr>
        <w:rPr>
          <w:rFonts w:ascii="Arial" w:hAnsi="Arial" w:cs="Arial"/>
          <w:sz w:val="22"/>
          <w:szCs w:val="22"/>
        </w:rPr>
      </w:pPr>
      <w:r>
        <w:rPr>
          <w:rFonts w:ascii="Arial" w:hAnsi="Arial" w:cs="Arial"/>
          <w:sz w:val="22"/>
          <w:szCs w:val="22"/>
        </w:rPr>
        <w:t>Rogers, B. (2006) Cracking the Hard Class (Second edition). London: Sage Publications Ltd.</w:t>
      </w:r>
    </w:p>
    <w:p w14:paraId="5FE5E67B" w14:textId="77777777" w:rsidR="00921191" w:rsidRDefault="00921191" w:rsidP="005B696D">
      <w:pPr>
        <w:rPr>
          <w:rFonts w:ascii="Arial" w:hAnsi="Arial" w:cs="Arial"/>
          <w:sz w:val="22"/>
          <w:szCs w:val="22"/>
        </w:rPr>
      </w:pPr>
    </w:p>
    <w:p w14:paraId="11C4E56A" w14:textId="2061B83E" w:rsidR="004F2E3F" w:rsidRDefault="004F2E3F" w:rsidP="005B696D">
      <w:pPr>
        <w:rPr>
          <w:rFonts w:ascii="Arial" w:hAnsi="Arial" w:cs="Arial"/>
          <w:sz w:val="22"/>
          <w:szCs w:val="22"/>
        </w:rPr>
      </w:pPr>
      <w:r>
        <w:rPr>
          <w:rFonts w:ascii="Arial" w:hAnsi="Arial" w:cs="Arial"/>
          <w:sz w:val="22"/>
          <w:szCs w:val="22"/>
        </w:rPr>
        <w:t>Rogers, B. (2015) Classroom Behaviour (Fourth edition). London: Sage Publications Ltd.</w:t>
      </w:r>
    </w:p>
    <w:p w14:paraId="469FF094" w14:textId="00DD307E" w:rsidR="00F055D7" w:rsidRDefault="00F055D7" w:rsidP="005B696D">
      <w:pPr>
        <w:rPr>
          <w:rFonts w:ascii="Arial" w:hAnsi="Arial" w:cs="Arial"/>
          <w:sz w:val="22"/>
          <w:szCs w:val="22"/>
        </w:rPr>
      </w:pPr>
    </w:p>
    <w:p w14:paraId="5714A052" w14:textId="0B91EBC1" w:rsidR="00F055D7" w:rsidRPr="00F055D7" w:rsidRDefault="00F055D7" w:rsidP="00F055D7">
      <w:pPr>
        <w:rPr>
          <w:rFonts w:ascii="Arial" w:hAnsi="Arial" w:cs="Arial"/>
          <w:bCs/>
          <w:sz w:val="22"/>
          <w:szCs w:val="22"/>
        </w:rPr>
      </w:pPr>
      <w:r>
        <w:rPr>
          <w:rFonts w:ascii="Arial" w:hAnsi="Arial" w:cs="Arial"/>
          <w:sz w:val="22"/>
          <w:szCs w:val="22"/>
        </w:rPr>
        <w:t>Smith, K.</w:t>
      </w:r>
      <w:r w:rsidR="00454462">
        <w:rPr>
          <w:rFonts w:ascii="Arial" w:hAnsi="Arial" w:cs="Arial"/>
          <w:sz w:val="22"/>
          <w:szCs w:val="22"/>
        </w:rPr>
        <w:t xml:space="preserve"> (2015)</w:t>
      </w:r>
      <w:r>
        <w:rPr>
          <w:rFonts w:ascii="Arial" w:hAnsi="Arial" w:cs="Arial"/>
          <w:sz w:val="22"/>
          <w:szCs w:val="22"/>
        </w:rPr>
        <w:t xml:space="preserve"> “</w:t>
      </w:r>
      <w:r w:rsidRPr="00F055D7">
        <w:rPr>
          <w:rFonts w:ascii="Arial" w:hAnsi="Arial" w:cs="Arial"/>
          <w:bCs/>
          <w:sz w:val="22"/>
          <w:szCs w:val="22"/>
        </w:rPr>
        <w:t>Learning Welshness: Does the Curriculum Cymreig positively affect pupils’</w:t>
      </w:r>
    </w:p>
    <w:p w14:paraId="4099F344" w14:textId="176C1EF2" w:rsidR="00F055D7" w:rsidRPr="00F055D7" w:rsidRDefault="00F055D7" w:rsidP="00F055D7">
      <w:pPr>
        <w:rPr>
          <w:rFonts w:ascii="Arial" w:hAnsi="Arial" w:cs="Arial"/>
          <w:sz w:val="22"/>
          <w:szCs w:val="22"/>
        </w:rPr>
      </w:pPr>
      <w:r w:rsidRPr="00F055D7">
        <w:rPr>
          <w:rFonts w:ascii="Arial" w:hAnsi="Arial" w:cs="Arial"/>
          <w:bCs/>
          <w:sz w:val="22"/>
          <w:szCs w:val="22"/>
        </w:rPr>
        <w:t>orientations to Wales and Welshness?</w:t>
      </w:r>
      <w:r>
        <w:rPr>
          <w:rFonts w:ascii="Arial" w:hAnsi="Arial" w:cs="Arial"/>
          <w:bCs/>
          <w:sz w:val="22"/>
          <w:szCs w:val="22"/>
        </w:rPr>
        <w:t xml:space="preserve">” Available at: </w:t>
      </w:r>
      <w:hyperlink r:id="rId16" w:history="1">
        <w:r w:rsidRPr="001A68A7">
          <w:rPr>
            <w:rStyle w:val="Hyperlink"/>
            <w:rFonts w:ascii="Arial" w:hAnsi="Arial" w:cs="Arial"/>
            <w:bCs/>
            <w:sz w:val="22"/>
            <w:szCs w:val="22"/>
          </w:rPr>
          <w:t>https://orca.cf.ac.uk/71681/1/K_smith%20submission%20Learning%20Welshness.pdf</w:t>
        </w:r>
      </w:hyperlink>
      <w:r>
        <w:rPr>
          <w:rFonts w:ascii="Arial" w:hAnsi="Arial" w:cs="Arial"/>
          <w:bCs/>
          <w:sz w:val="22"/>
          <w:szCs w:val="22"/>
        </w:rPr>
        <w:t xml:space="preserve"> (Accessed 18 November 2018).</w:t>
      </w:r>
    </w:p>
    <w:p w14:paraId="05855085" w14:textId="666EA49A" w:rsidR="005203DD" w:rsidRDefault="005203DD" w:rsidP="005B696D">
      <w:pPr>
        <w:rPr>
          <w:rFonts w:ascii="Arial" w:hAnsi="Arial" w:cs="Arial"/>
          <w:sz w:val="22"/>
          <w:szCs w:val="22"/>
        </w:rPr>
      </w:pPr>
    </w:p>
    <w:p w14:paraId="3DADA12E" w14:textId="4CB9DB96" w:rsidR="005203DD" w:rsidRDefault="005203DD" w:rsidP="005B696D">
      <w:pPr>
        <w:rPr>
          <w:rFonts w:ascii="Arial" w:hAnsi="Arial" w:cs="Arial"/>
          <w:sz w:val="22"/>
          <w:szCs w:val="22"/>
        </w:rPr>
      </w:pPr>
      <w:r>
        <w:rPr>
          <w:rFonts w:ascii="Arial" w:hAnsi="Arial" w:cs="Arial"/>
          <w:sz w:val="22"/>
          <w:szCs w:val="22"/>
        </w:rPr>
        <w:t>Southall, E. (2015) “Behaviour Strategies in Challenging Classrooms”, in Denby</w:t>
      </w:r>
      <w:r w:rsidR="00C3213F">
        <w:rPr>
          <w:rFonts w:ascii="Arial" w:hAnsi="Arial" w:cs="Arial"/>
          <w:sz w:val="22"/>
          <w:szCs w:val="22"/>
        </w:rPr>
        <w:t>,</w:t>
      </w:r>
      <w:r>
        <w:rPr>
          <w:rFonts w:ascii="Arial" w:hAnsi="Arial" w:cs="Arial"/>
          <w:sz w:val="22"/>
          <w:szCs w:val="22"/>
        </w:rPr>
        <w:t xml:space="preserve"> N. (ed.) Training to Teach (Third edition). London: Sage Publications Ltd.</w:t>
      </w:r>
    </w:p>
    <w:p w14:paraId="07BF5ADA" w14:textId="530D1FA8" w:rsidR="00BD4329" w:rsidRDefault="00BD4329" w:rsidP="005B696D">
      <w:pPr>
        <w:rPr>
          <w:rFonts w:ascii="Arial" w:hAnsi="Arial" w:cs="Arial"/>
          <w:sz w:val="22"/>
          <w:szCs w:val="22"/>
        </w:rPr>
      </w:pPr>
    </w:p>
    <w:p w14:paraId="742041D4" w14:textId="4BD0D7A5" w:rsidR="00DB2C60" w:rsidRDefault="00BD4329" w:rsidP="005B696D">
      <w:pPr>
        <w:rPr>
          <w:rFonts w:ascii="Arial" w:hAnsi="Arial" w:cs="Arial"/>
          <w:sz w:val="22"/>
          <w:szCs w:val="22"/>
        </w:rPr>
      </w:pPr>
      <w:r>
        <w:rPr>
          <w:rFonts w:ascii="Arial" w:hAnsi="Arial" w:cs="Arial"/>
          <w:sz w:val="22"/>
          <w:szCs w:val="22"/>
        </w:rPr>
        <w:t xml:space="preserve">The Qualified Teacher Status Standards Wales 2009 (SI 2009/25). Available at: </w:t>
      </w:r>
      <w:hyperlink r:id="rId17" w:history="1">
        <w:r w:rsidRPr="006A3775">
          <w:rPr>
            <w:rStyle w:val="Hyperlink"/>
            <w:rFonts w:ascii="Arial" w:hAnsi="Arial" w:cs="Arial"/>
            <w:sz w:val="22"/>
            <w:szCs w:val="22"/>
          </w:rPr>
          <w:t>https://gov.wales/legislation/subordinate/nonsi/educationwales/2009/3220099/?lang=en</w:t>
        </w:r>
      </w:hyperlink>
      <w:r>
        <w:rPr>
          <w:rFonts w:ascii="Arial" w:hAnsi="Arial" w:cs="Arial"/>
          <w:sz w:val="22"/>
          <w:szCs w:val="22"/>
        </w:rPr>
        <w:t xml:space="preserve"> (Accessed: 13 November 2018).</w:t>
      </w:r>
    </w:p>
    <w:p w14:paraId="57BBF297" w14:textId="605679AC" w:rsidR="007E3EE2" w:rsidRDefault="007E3EE2" w:rsidP="005B696D">
      <w:pPr>
        <w:rPr>
          <w:rFonts w:ascii="Arial" w:hAnsi="Arial" w:cs="Arial"/>
          <w:sz w:val="22"/>
          <w:szCs w:val="22"/>
        </w:rPr>
      </w:pPr>
    </w:p>
    <w:p w14:paraId="3681B619" w14:textId="595657E8" w:rsidR="00AE63C4" w:rsidRDefault="008D4067" w:rsidP="005B696D">
      <w:pPr>
        <w:rPr>
          <w:rFonts w:ascii="Arial" w:hAnsi="Arial" w:cs="Arial"/>
          <w:sz w:val="22"/>
          <w:szCs w:val="22"/>
        </w:rPr>
      </w:pPr>
      <w:r>
        <w:rPr>
          <w:rFonts w:ascii="Arial" w:hAnsi="Arial" w:cs="Arial"/>
          <w:sz w:val="22"/>
          <w:szCs w:val="22"/>
        </w:rPr>
        <w:t>Tuppen, S. (2014) “Y Cwricwlwm Cymreig: Necessary to protect the culture of a proud nation or irrelevant in an increasingly international society?”, The Student Researcher.,3, (1), 55-63.</w:t>
      </w:r>
      <w:r w:rsidR="00DB2C60">
        <w:rPr>
          <w:rFonts w:ascii="Arial" w:hAnsi="Arial" w:cs="Arial"/>
          <w:sz w:val="22"/>
          <w:szCs w:val="22"/>
        </w:rPr>
        <w:t xml:space="preserve"> Available at: </w:t>
      </w:r>
      <w:hyperlink r:id="rId18" w:history="1">
        <w:r w:rsidR="00DB2C60" w:rsidRPr="00D615BE">
          <w:rPr>
            <w:rStyle w:val="Hyperlink"/>
            <w:rFonts w:ascii="Arial" w:hAnsi="Arial" w:cs="Arial"/>
            <w:sz w:val="22"/>
            <w:szCs w:val="22"/>
          </w:rPr>
          <w:t>https://www.uwtsd.ac.uk/media/uwtsd-website/content-assets/documents/library-and-learning-resources/the-student-researcher/Student-Research-3-1_WEB.pdf</w:t>
        </w:r>
      </w:hyperlink>
      <w:r w:rsidR="00DB2C60">
        <w:rPr>
          <w:rFonts w:ascii="Arial" w:hAnsi="Arial" w:cs="Arial"/>
          <w:sz w:val="22"/>
          <w:szCs w:val="22"/>
        </w:rPr>
        <w:t xml:space="preserve"> (Accessed: 5 November 2018).</w:t>
      </w:r>
    </w:p>
    <w:p w14:paraId="0B0CB199" w14:textId="0105FFAC" w:rsidR="00774689" w:rsidRDefault="00774689" w:rsidP="005B696D">
      <w:pPr>
        <w:rPr>
          <w:rFonts w:ascii="Arial" w:hAnsi="Arial" w:cs="Arial"/>
          <w:sz w:val="22"/>
          <w:szCs w:val="22"/>
        </w:rPr>
      </w:pPr>
    </w:p>
    <w:p w14:paraId="5E2E143B" w14:textId="18E6E650" w:rsidR="00774689" w:rsidRDefault="00774689" w:rsidP="005B696D">
      <w:pPr>
        <w:rPr>
          <w:rFonts w:ascii="Arial" w:hAnsi="Arial" w:cs="Arial"/>
          <w:sz w:val="22"/>
          <w:szCs w:val="22"/>
        </w:rPr>
      </w:pPr>
      <w:r>
        <w:rPr>
          <w:rFonts w:ascii="Arial" w:hAnsi="Arial" w:cs="Arial"/>
          <w:sz w:val="22"/>
          <w:szCs w:val="22"/>
        </w:rPr>
        <w:t>Vygotsky, L. (1978) Mind and society: the development of higher mental processes. Cambridge, MA: Harvard University Press.</w:t>
      </w:r>
    </w:p>
    <w:p w14:paraId="3CE6D0F9" w14:textId="77777777" w:rsidR="00CF6247" w:rsidRDefault="00CF6247" w:rsidP="005B696D">
      <w:pPr>
        <w:rPr>
          <w:rFonts w:ascii="Arial" w:hAnsi="Arial" w:cs="Arial"/>
          <w:sz w:val="22"/>
          <w:szCs w:val="22"/>
        </w:rPr>
      </w:pPr>
    </w:p>
    <w:p w14:paraId="7DEBA83C" w14:textId="38E139D4" w:rsidR="00CF6247" w:rsidRDefault="00CF6247" w:rsidP="005B696D">
      <w:pPr>
        <w:rPr>
          <w:rFonts w:ascii="Arial" w:hAnsi="Arial" w:cs="Arial"/>
          <w:sz w:val="22"/>
          <w:szCs w:val="22"/>
        </w:rPr>
      </w:pPr>
      <w:r>
        <w:rPr>
          <w:rFonts w:ascii="Arial" w:hAnsi="Arial" w:cs="Arial"/>
          <w:sz w:val="22"/>
          <w:szCs w:val="22"/>
        </w:rPr>
        <w:t xml:space="preserve">Welsh Government (2013), The Curriculum Cymreig, history and story of Wales. </w:t>
      </w:r>
      <w:r w:rsidR="002C03ED">
        <w:rPr>
          <w:rFonts w:ascii="Arial" w:hAnsi="Arial" w:cs="Arial"/>
          <w:sz w:val="22"/>
          <w:szCs w:val="22"/>
        </w:rPr>
        <w:t xml:space="preserve">Available  at: </w:t>
      </w:r>
      <w:hyperlink r:id="rId19" w:history="1">
        <w:r w:rsidR="002C03ED" w:rsidRPr="00BF01C7">
          <w:rPr>
            <w:rStyle w:val="Hyperlink"/>
            <w:rFonts w:ascii="Arial" w:hAnsi="Arial" w:cs="Arial"/>
            <w:sz w:val="22"/>
            <w:szCs w:val="22"/>
          </w:rPr>
          <w:t>http://learning.gov.wales/docs/learningwales/publications/190920-cwricwlwm-cymreig-final-report-en.pdf</w:t>
        </w:r>
      </w:hyperlink>
      <w:r w:rsidR="002C03ED">
        <w:rPr>
          <w:rFonts w:ascii="Arial" w:hAnsi="Arial" w:cs="Arial"/>
          <w:sz w:val="22"/>
          <w:szCs w:val="22"/>
        </w:rPr>
        <w:t xml:space="preserve"> (Accessed: 12 November 2018).</w:t>
      </w:r>
    </w:p>
    <w:p w14:paraId="33744C70" w14:textId="0FA53709" w:rsidR="00FD271D" w:rsidRDefault="00FD271D" w:rsidP="005B696D">
      <w:pPr>
        <w:rPr>
          <w:rFonts w:ascii="Arial" w:hAnsi="Arial" w:cs="Arial"/>
          <w:sz w:val="22"/>
          <w:szCs w:val="22"/>
        </w:rPr>
      </w:pPr>
    </w:p>
    <w:p w14:paraId="503D1FA6" w14:textId="2A0F9D15" w:rsidR="00FD271D" w:rsidRDefault="00FD271D" w:rsidP="005B696D">
      <w:pPr>
        <w:rPr>
          <w:rFonts w:ascii="Arial" w:hAnsi="Arial" w:cs="Arial"/>
          <w:sz w:val="22"/>
          <w:szCs w:val="22"/>
        </w:rPr>
      </w:pPr>
      <w:r>
        <w:rPr>
          <w:rFonts w:ascii="Arial" w:hAnsi="Arial" w:cs="Arial"/>
          <w:sz w:val="22"/>
          <w:szCs w:val="22"/>
        </w:rPr>
        <w:t xml:space="preserve">Welsh Government (2018), An introduction to the professional standards for teaching and leadership. Available at </w:t>
      </w:r>
      <w:hyperlink r:id="rId20" w:history="1">
        <w:r w:rsidRPr="00380F40">
          <w:rPr>
            <w:rStyle w:val="Hyperlink"/>
            <w:rFonts w:ascii="Arial" w:hAnsi="Arial" w:cs="Arial"/>
            <w:sz w:val="22"/>
            <w:szCs w:val="22"/>
          </w:rPr>
          <w:t>http://learning.gov.wales/docs/learningwales/publications/180319-professional-standards-for-teaching-and-leadership-guide-en.pdf</w:t>
        </w:r>
      </w:hyperlink>
      <w:r>
        <w:rPr>
          <w:rFonts w:ascii="Arial" w:hAnsi="Arial" w:cs="Arial"/>
          <w:sz w:val="22"/>
          <w:szCs w:val="22"/>
        </w:rPr>
        <w:t xml:space="preserve"> (Accessed 24 November 2018).</w:t>
      </w:r>
    </w:p>
    <w:p w14:paraId="18E9B23A" w14:textId="58671C7B" w:rsidR="00FE2A11" w:rsidRDefault="00FE2A11" w:rsidP="005B696D">
      <w:pPr>
        <w:rPr>
          <w:rFonts w:ascii="Arial" w:hAnsi="Arial" w:cs="Arial"/>
          <w:sz w:val="22"/>
          <w:szCs w:val="22"/>
        </w:rPr>
      </w:pPr>
    </w:p>
    <w:p w14:paraId="06BC8A7B" w14:textId="1394ABAA" w:rsidR="00FE2A11" w:rsidRDefault="00FE2A11" w:rsidP="005B696D">
      <w:pPr>
        <w:rPr>
          <w:rFonts w:ascii="Arial" w:hAnsi="Arial" w:cs="Arial"/>
          <w:sz w:val="22"/>
          <w:szCs w:val="22"/>
        </w:rPr>
      </w:pPr>
      <w:r>
        <w:rPr>
          <w:rFonts w:ascii="Arial" w:hAnsi="Arial" w:cs="Arial"/>
          <w:sz w:val="22"/>
          <w:szCs w:val="22"/>
        </w:rPr>
        <w:t>Wilkinson, I. &amp; Anderson, R.</w:t>
      </w:r>
      <w:r w:rsidR="00EA7106">
        <w:rPr>
          <w:rFonts w:ascii="Arial" w:hAnsi="Arial" w:cs="Arial"/>
          <w:sz w:val="22"/>
          <w:szCs w:val="22"/>
        </w:rPr>
        <w:t xml:space="preserve"> (2007),</w:t>
      </w:r>
      <w:r>
        <w:rPr>
          <w:rFonts w:ascii="Arial" w:hAnsi="Arial" w:cs="Arial"/>
          <w:sz w:val="22"/>
          <w:szCs w:val="22"/>
        </w:rPr>
        <w:t xml:space="preserve"> “Teaching for learning: a summary”, in Nuthall, G. (ed.) The Hidden Lives of Learners. Wellington: NZCER Press.</w:t>
      </w:r>
    </w:p>
    <w:p w14:paraId="21605B01" w14:textId="088FEA1E" w:rsidR="00AD046B" w:rsidRDefault="00AD046B" w:rsidP="005B696D">
      <w:pPr>
        <w:rPr>
          <w:rFonts w:ascii="Arial" w:hAnsi="Arial" w:cs="Arial"/>
          <w:sz w:val="22"/>
          <w:szCs w:val="22"/>
        </w:rPr>
      </w:pPr>
    </w:p>
    <w:p w14:paraId="77229E16" w14:textId="2F04D7C8" w:rsidR="00AE63C4" w:rsidRDefault="00AD046B" w:rsidP="005B696D">
      <w:pPr>
        <w:rPr>
          <w:rFonts w:ascii="Arial" w:hAnsi="Arial" w:cs="Arial"/>
          <w:sz w:val="22"/>
          <w:szCs w:val="22"/>
        </w:rPr>
      </w:pPr>
      <w:r>
        <w:rPr>
          <w:rFonts w:ascii="Arial" w:hAnsi="Arial" w:cs="Arial"/>
          <w:sz w:val="22"/>
          <w:szCs w:val="22"/>
        </w:rPr>
        <w:t>Wong, H. &amp; Wong, R.</w:t>
      </w:r>
      <w:r w:rsidR="004F2E3F">
        <w:rPr>
          <w:rFonts w:ascii="Arial" w:hAnsi="Arial" w:cs="Arial"/>
          <w:sz w:val="22"/>
          <w:szCs w:val="22"/>
        </w:rPr>
        <w:t xml:space="preserve"> (1998)</w:t>
      </w:r>
      <w:r>
        <w:rPr>
          <w:rFonts w:ascii="Arial" w:hAnsi="Arial" w:cs="Arial"/>
          <w:sz w:val="22"/>
          <w:szCs w:val="22"/>
        </w:rPr>
        <w:t xml:space="preserve"> The First Days of School (Second edition). Mountain View: Harry K. Wong Publications, Inc</w:t>
      </w:r>
      <w:r w:rsidR="00EA7106">
        <w:rPr>
          <w:rFonts w:ascii="Arial" w:hAnsi="Arial" w:cs="Arial"/>
          <w:sz w:val="22"/>
          <w:szCs w:val="22"/>
        </w:rPr>
        <w:t>.</w:t>
      </w:r>
    </w:p>
    <w:p w14:paraId="0617A4B6" w14:textId="77777777" w:rsidR="00AE63C4" w:rsidRPr="008949A2" w:rsidRDefault="00AE63C4" w:rsidP="005B696D">
      <w:pPr>
        <w:rPr>
          <w:rFonts w:ascii="Arial" w:hAnsi="Arial" w:cs="Arial"/>
          <w:sz w:val="22"/>
          <w:szCs w:val="22"/>
        </w:rPr>
      </w:pPr>
    </w:p>
    <w:p w14:paraId="00CCCBB0" w14:textId="77777777" w:rsidR="009760B4" w:rsidRPr="00A406E5" w:rsidRDefault="009760B4" w:rsidP="00F735D4">
      <w:pPr>
        <w:rPr>
          <w:rFonts w:ascii="Arial" w:hAnsi="Arial" w:cs="Arial"/>
          <w:sz w:val="32"/>
        </w:rPr>
      </w:pPr>
      <w:bookmarkStart w:id="0" w:name="_GoBack"/>
      <w:bookmarkEnd w:id="0"/>
    </w:p>
    <w:p w14:paraId="4BAECBF8" w14:textId="77777777" w:rsidR="009760B4" w:rsidRPr="00F735D4" w:rsidRDefault="009760B4">
      <w:pPr>
        <w:rPr>
          <w:rFonts w:ascii="Arial" w:hAnsi="Arial" w:cs="Arial"/>
          <w:sz w:val="32"/>
        </w:rPr>
      </w:pPr>
    </w:p>
    <w:sectPr w:rsidR="009760B4" w:rsidRPr="00F735D4" w:rsidSect="00EB729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A90BA" w14:textId="77777777" w:rsidR="00BE5657" w:rsidRDefault="00BE5657" w:rsidP="00EB7296">
      <w:r>
        <w:separator/>
      </w:r>
    </w:p>
  </w:endnote>
  <w:endnote w:type="continuationSeparator" w:id="0">
    <w:p w14:paraId="64B079AB" w14:textId="77777777" w:rsidR="00BE5657" w:rsidRDefault="00BE5657" w:rsidP="00EB7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365244"/>
      <w:docPartObj>
        <w:docPartGallery w:val="Page Numbers (Bottom of Page)"/>
        <w:docPartUnique/>
      </w:docPartObj>
    </w:sdtPr>
    <w:sdtEndPr/>
    <w:sdtContent>
      <w:sdt>
        <w:sdtPr>
          <w:id w:val="-1705238520"/>
          <w:docPartObj>
            <w:docPartGallery w:val="Page Numbers (Top of Page)"/>
            <w:docPartUnique/>
          </w:docPartObj>
        </w:sdtPr>
        <w:sdtEndPr/>
        <w:sdtContent>
          <w:p w14:paraId="676EC8C6" w14:textId="06E5AC37" w:rsidR="00EB7296" w:rsidRDefault="00EB7296" w:rsidP="00EB729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BF49D7A" w14:textId="77777777" w:rsidR="00EB7296" w:rsidRDefault="00EB7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EB546" w14:textId="77777777" w:rsidR="00BE5657" w:rsidRDefault="00BE5657" w:rsidP="00EB7296">
      <w:r>
        <w:separator/>
      </w:r>
    </w:p>
  </w:footnote>
  <w:footnote w:type="continuationSeparator" w:id="0">
    <w:p w14:paraId="0C332727" w14:textId="77777777" w:rsidR="00BE5657" w:rsidRDefault="00BE5657" w:rsidP="00EB72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5D4"/>
    <w:rsid w:val="000005BF"/>
    <w:rsid w:val="000031A0"/>
    <w:rsid w:val="00003392"/>
    <w:rsid w:val="00003672"/>
    <w:rsid w:val="0001236F"/>
    <w:rsid w:val="00015964"/>
    <w:rsid w:val="000167E4"/>
    <w:rsid w:val="00020F8D"/>
    <w:rsid w:val="00025069"/>
    <w:rsid w:val="00026F0D"/>
    <w:rsid w:val="000301A0"/>
    <w:rsid w:val="00034E05"/>
    <w:rsid w:val="00036665"/>
    <w:rsid w:val="00037A38"/>
    <w:rsid w:val="00037DC1"/>
    <w:rsid w:val="000414E7"/>
    <w:rsid w:val="00044FC2"/>
    <w:rsid w:val="00045445"/>
    <w:rsid w:val="00047C64"/>
    <w:rsid w:val="00054059"/>
    <w:rsid w:val="000554F6"/>
    <w:rsid w:val="000629C1"/>
    <w:rsid w:val="00063613"/>
    <w:rsid w:val="00067356"/>
    <w:rsid w:val="000755E0"/>
    <w:rsid w:val="00075CFB"/>
    <w:rsid w:val="000808A4"/>
    <w:rsid w:val="00090C9A"/>
    <w:rsid w:val="0009198F"/>
    <w:rsid w:val="00093247"/>
    <w:rsid w:val="00093BEB"/>
    <w:rsid w:val="00094C37"/>
    <w:rsid w:val="00094E43"/>
    <w:rsid w:val="00096E87"/>
    <w:rsid w:val="000A2666"/>
    <w:rsid w:val="000A6460"/>
    <w:rsid w:val="000B1840"/>
    <w:rsid w:val="000B28EC"/>
    <w:rsid w:val="000B39C5"/>
    <w:rsid w:val="000B3F8A"/>
    <w:rsid w:val="000B4BF6"/>
    <w:rsid w:val="000C7991"/>
    <w:rsid w:val="000D0CEE"/>
    <w:rsid w:val="000D5408"/>
    <w:rsid w:val="000D77B6"/>
    <w:rsid w:val="000E0C94"/>
    <w:rsid w:val="000E3777"/>
    <w:rsid w:val="000E7EA0"/>
    <w:rsid w:val="000F4442"/>
    <w:rsid w:val="000F680C"/>
    <w:rsid w:val="000F7114"/>
    <w:rsid w:val="00101569"/>
    <w:rsid w:val="00105BFD"/>
    <w:rsid w:val="00106A42"/>
    <w:rsid w:val="0011114D"/>
    <w:rsid w:val="0011533E"/>
    <w:rsid w:val="001153BE"/>
    <w:rsid w:val="00120617"/>
    <w:rsid w:val="001305D5"/>
    <w:rsid w:val="001317BB"/>
    <w:rsid w:val="0013360F"/>
    <w:rsid w:val="00146B87"/>
    <w:rsid w:val="0014728B"/>
    <w:rsid w:val="00151745"/>
    <w:rsid w:val="0015339A"/>
    <w:rsid w:val="001548E5"/>
    <w:rsid w:val="00156F32"/>
    <w:rsid w:val="00165D64"/>
    <w:rsid w:val="0017446C"/>
    <w:rsid w:val="00176BF2"/>
    <w:rsid w:val="00177266"/>
    <w:rsid w:val="001812C9"/>
    <w:rsid w:val="00185DE9"/>
    <w:rsid w:val="001875A8"/>
    <w:rsid w:val="001879B4"/>
    <w:rsid w:val="00187BA6"/>
    <w:rsid w:val="0019565D"/>
    <w:rsid w:val="001A13CE"/>
    <w:rsid w:val="001A54E7"/>
    <w:rsid w:val="001A5C34"/>
    <w:rsid w:val="001A6F31"/>
    <w:rsid w:val="001B1AA8"/>
    <w:rsid w:val="001B4E45"/>
    <w:rsid w:val="001B63D2"/>
    <w:rsid w:val="001C2CDD"/>
    <w:rsid w:val="001C4C16"/>
    <w:rsid w:val="001C5929"/>
    <w:rsid w:val="001C6DC5"/>
    <w:rsid w:val="001C6FBE"/>
    <w:rsid w:val="001D38FD"/>
    <w:rsid w:val="001E2B41"/>
    <w:rsid w:val="001F01B0"/>
    <w:rsid w:val="001F1D89"/>
    <w:rsid w:val="001F2FF6"/>
    <w:rsid w:val="001F385F"/>
    <w:rsid w:val="001F53BD"/>
    <w:rsid w:val="001F7F98"/>
    <w:rsid w:val="00200CE4"/>
    <w:rsid w:val="00201BBC"/>
    <w:rsid w:val="00204D19"/>
    <w:rsid w:val="00210A97"/>
    <w:rsid w:val="00212FB5"/>
    <w:rsid w:val="002205ED"/>
    <w:rsid w:val="00224740"/>
    <w:rsid w:val="002257C2"/>
    <w:rsid w:val="002267D7"/>
    <w:rsid w:val="0023376B"/>
    <w:rsid w:val="002374AA"/>
    <w:rsid w:val="00237A59"/>
    <w:rsid w:val="00241090"/>
    <w:rsid w:val="00245539"/>
    <w:rsid w:val="00246E08"/>
    <w:rsid w:val="00247579"/>
    <w:rsid w:val="0025180D"/>
    <w:rsid w:val="0025498C"/>
    <w:rsid w:val="00255727"/>
    <w:rsid w:val="0026056E"/>
    <w:rsid w:val="002612CD"/>
    <w:rsid w:val="0026167C"/>
    <w:rsid w:val="002632C4"/>
    <w:rsid w:val="002650F7"/>
    <w:rsid w:val="0026608F"/>
    <w:rsid w:val="00270363"/>
    <w:rsid w:val="00280B65"/>
    <w:rsid w:val="0028414F"/>
    <w:rsid w:val="00285D21"/>
    <w:rsid w:val="00290427"/>
    <w:rsid w:val="00290F74"/>
    <w:rsid w:val="00294329"/>
    <w:rsid w:val="002A1B40"/>
    <w:rsid w:val="002A330B"/>
    <w:rsid w:val="002A4B3C"/>
    <w:rsid w:val="002A7638"/>
    <w:rsid w:val="002B6475"/>
    <w:rsid w:val="002B7FDC"/>
    <w:rsid w:val="002C03ED"/>
    <w:rsid w:val="002C0484"/>
    <w:rsid w:val="002C6641"/>
    <w:rsid w:val="002D1A28"/>
    <w:rsid w:val="002D408E"/>
    <w:rsid w:val="002E2053"/>
    <w:rsid w:val="002E2539"/>
    <w:rsid w:val="002E27D1"/>
    <w:rsid w:val="002F2A6D"/>
    <w:rsid w:val="002F335C"/>
    <w:rsid w:val="002F7207"/>
    <w:rsid w:val="0030073D"/>
    <w:rsid w:val="00300AA9"/>
    <w:rsid w:val="00303D92"/>
    <w:rsid w:val="00306AD8"/>
    <w:rsid w:val="003104F5"/>
    <w:rsid w:val="003125C0"/>
    <w:rsid w:val="00313DA0"/>
    <w:rsid w:val="00313DEC"/>
    <w:rsid w:val="00321E01"/>
    <w:rsid w:val="00322226"/>
    <w:rsid w:val="00325D32"/>
    <w:rsid w:val="00335BFA"/>
    <w:rsid w:val="00336762"/>
    <w:rsid w:val="00337952"/>
    <w:rsid w:val="003447AF"/>
    <w:rsid w:val="003524D7"/>
    <w:rsid w:val="00352D94"/>
    <w:rsid w:val="00356405"/>
    <w:rsid w:val="00363499"/>
    <w:rsid w:val="003638E3"/>
    <w:rsid w:val="00364702"/>
    <w:rsid w:val="00365913"/>
    <w:rsid w:val="003724B1"/>
    <w:rsid w:val="00381CFB"/>
    <w:rsid w:val="003829BA"/>
    <w:rsid w:val="003866F4"/>
    <w:rsid w:val="00386FC0"/>
    <w:rsid w:val="0039694D"/>
    <w:rsid w:val="00397349"/>
    <w:rsid w:val="003A147B"/>
    <w:rsid w:val="003A1914"/>
    <w:rsid w:val="003A2CBC"/>
    <w:rsid w:val="003A49D8"/>
    <w:rsid w:val="003A565C"/>
    <w:rsid w:val="003B19D6"/>
    <w:rsid w:val="003B1C51"/>
    <w:rsid w:val="003B461A"/>
    <w:rsid w:val="003B64EF"/>
    <w:rsid w:val="003B6CCE"/>
    <w:rsid w:val="003C54F3"/>
    <w:rsid w:val="003E06A3"/>
    <w:rsid w:val="003E44F0"/>
    <w:rsid w:val="003F0A0D"/>
    <w:rsid w:val="00400BD8"/>
    <w:rsid w:val="00403380"/>
    <w:rsid w:val="00405C28"/>
    <w:rsid w:val="00406206"/>
    <w:rsid w:val="0041036B"/>
    <w:rsid w:val="00413291"/>
    <w:rsid w:val="004135FD"/>
    <w:rsid w:val="00414DF9"/>
    <w:rsid w:val="004163E7"/>
    <w:rsid w:val="0041641F"/>
    <w:rsid w:val="00416815"/>
    <w:rsid w:val="00420FD7"/>
    <w:rsid w:val="004221D1"/>
    <w:rsid w:val="004233A7"/>
    <w:rsid w:val="00424876"/>
    <w:rsid w:val="00425D6C"/>
    <w:rsid w:val="00431394"/>
    <w:rsid w:val="00431D80"/>
    <w:rsid w:val="00432B2A"/>
    <w:rsid w:val="00432E3E"/>
    <w:rsid w:val="004355E5"/>
    <w:rsid w:val="00436C1E"/>
    <w:rsid w:val="00436FAA"/>
    <w:rsid w:val="00440204"/>
    <w:rsid w:val="00444706"/>
    <w:rsid w:val="00445D19"/>
    <w:rsid w:val="00446A55"/>
    <w:rsid w:val="00446FED"/>
    <w:rsid w:val="00450C14"/>
    <w:rsid w:val="00453513"/>
    <w:rsid w:val="00454462"/>
    <w:rsid w:val="00457F58"/>
    <w:rsid w:val="00464CEC"/>
    <w:rsid w:val="004661E2"/>
    <w:rsid w:val="00466657"/>
    <w:rsid w:val="00472306"/>
    <w:rsid w:val="00476B43"/>
    <w:rsid w:val="00480493"/>
    <w:rsid w:val="00482C91"/>
    <w:rsid w:val="00483109"/>
    <w:rsid w:val="004853F5"/>
    <w:rsid w:val="004868C1"/>
    <w:rsid w:val="00492E69"/>
    <w:rsid w:val="00494B4D"/>
    <w:rsid w:val="004955EC"/>
    <w:rsid w:val="004979AA"/>
    <w:rsid w:val="004A5BAE"/>
    <w:rsid w:val="004B5496"/>
    <w:rsid w:val="004B5A2F"/>
    <w:rsid w:val="004B5EBD"/>
    <w:rsid w:val="004C3ABA"/>
    <w:rsid w:val="004D1BC6"/>
    <w:rsid w:val="004D4114"/>
    <w:rsid w:val="004D5ABE"/>
    <w:rsid w:val="004D699E"/>
    <w:rsid w:val="004E0ED8"/>
    <w:rsid w:val="004E1F82"/>
    <w:rsid w:val="004F2E3F"/>
    <w:rsid w:val="004F7385"/>
    <w:rsid w:val="00500521"/>
    <w:rsid w:val="005006C4"/>
    <w:rsid w:val="00501563"/>
    <w:rsid w:val="00502404"/>
    <w:rsid w:val="005051C0"/>
    <w:rsid w:val="00505F32"/>
    <w:rsid w:val="0050616D"/>
    <w:rsid w:val="00512580"/>
    <w:rsid w:val="005203DD"/>
    <w:rsid w:val="00520D79"/>
    <w:rsid w:val="00522F2C"/>
    <w:rsid w:val="005242BA"/>
    <w:rsid w:val="005252AD"/>
    <w:rsid w:val="0052553F"/>
    <w:rsid w:val="00541CF3"/>
    <w:rsid w:val="00542DF1"/>
    <w:rsid w:val="005452FF"/>
    <w:rsid w:val="00547CB1"/>
    <w:rsid w:val="0055050E"/>
    <w:rsid w:val="00551226"/>
    <w:rsid w:val="00551904"/>
    <w:rsid w:val="005546F5"/>
    <w:rsid w:val="00554BB7"/>
    <w:rsid w:val="00560AF6"/>
    <w:rsid w:val="0056412E"/>
    <w:rsid w:val="005679F8"/>
    <w:rsid w:val="005704EB"/>
    <w:rsid w:val="005712C1"/>
    <w:rsid w:val="005721A9"/>
    <w:rsid w:val="0057794C"/>
    <w:rsid w:val="005814E1"/>
    <w:rsid w:val="00587E6C"/>
    <w:rsid w:val="00591F94"/>
    <w:rsid w:val="005923FC"/>
    <w:rsid w:val="00597E1B"/>
    <w:rsid w:val="005A2788"/>
    <w:rsid w:val="005B208A"/>
    <w:rsid w:val="005B2DD0"/>
    <w:rsid w:val="005B3DA5"/>
    <w:rsid w:val="005B696D"/>
    <w:rsid w:val="005C3076"/>
    <w:rsid w:val="005C4F54"/>
    <w:rsid w:val="005D1FDA"/>
    <w:rsid w:val="005D24FE"/>
    <w:rsid w:val="005E0BE7"/>
    <w:rsid w:val="005E217B"/>
    <w:rsid w:val="005E2B80"/>
    <w:rsid w:val="005F04F9"/>
    <w:rsid w:val="005F1B40"/>
    <w:rsid w:val="005F6B89"/>
    <w:rsid w:val="00604B5A"/>
    <w:rsid w:val="00605A2B"/>
    <w:rsid w:val="00605A82"/>
    <w:rsid w:val="00610C71"/>
    <w:rsid w:val="00611C7E"/>
    <w:rsid w:val="0061356B"/>
    <w:rsid w:val="00616335"/>
    <w:rsid w:val="00616CAD"/>
    <w:rsid w:val="00622819"/>
    <w:rsid w:val="006250E0"/>
    <w:rsid w:val="006309B1"/>
    <w:rsid w:val="006316EC"/>
    <w:rsid w:val="00631898"/>
    <w:rsid w:val="00636C09"/>
    <w:rsid w:val="0064218F"/>
    <w:rsid w:val="006427ED"/>
    <w:rsid w:val="00647EDF"/>
    <w:rsid w:val="00654955"/>
    <w:rsid w:val="00654F68"/>
    <w:rsid w:val="00657E2B"/>
    <w:rsid w:val="006609D5"/>
    <w:rsid w:val="00661219"/>
    <w:rsid w:val="006637FA"/>
    <w:rsid w:val="00667FB8"/>
    <w:rsid w:val="00671010"/>
    <w:rsid w:val="00673E17"/>
    <w:rsid w:val="00674739"/>
    <w:rsid w:val="0067583C"/>
    <w:rsid w:val="00675901"/>
    <w:rsid w:val="006820F4"/>
    <w:rsid w:val="0068343F"/>
    <w:rsid w:val="00685928"/>
    <w:rsid w:val="006908D5"/>
    <w:rsid w:val="00696928"/>
    <w:rsid w:val="006A1CF4"/>
    <w:rsid w:val="006A2232"/>
    <w:rsid w:val="006A59B3"/>
    <w:rsid w:val="006B279A"/>
    <w:rsid w:val="006B34A5"/>
    <w:rsid w:val="006B566F"/>
    <w:rsid w:val="006B7BDA"/>
    <w:rsid w:val="006C164C"/>
    <w:rsid w:val="006C4750"/>
    <w:rsid w:val="006C597A"/>
    <w:rsid w:val="006D6BB7"/>
    <w:rsid w:val="006E0119"/>
    <w:rsid w:val="006E13BB"/>
    <w:rsid w:val="006E5318"/>
    <w:rsid w:val="006E785C"/>
    <w:rsid w:val="006F5913"/>
    <w:rsid w:val="006F595F"/>
    <w:rsid w:val="00702532"/>
    <w:rsid w:val="007053EE"/>
    <w:rsid w:val="007074D6"/>
    <w:rsid w:val="00711694"/>
    <w:rsid w:val="0071187C"/>
    <w:rsid w:val="00712AC9"/>
    <w:rsid w:val="007137E9"/>
    <w:rsid w:val="007162C4"/>
    <w:rsid w:val="007201C9"/>
    <w:rsid w:val="00721468"/>
    <w:rsid w:val="00721972"/>
    <w:rsid w:val="007243D9"/>
    <w:rsid w:val="00730426"/>
    <w:rsid w:val="00730C8E"/>
    <w:rsid w:val="007317FA"/>
    <w:rsid w:val="007348AE"/>
    <w:rsid w:val="00741601"/>
    <w:rsid w:val="00747BE5"/>
    <w:rsid w:val="00756BCC"/>
    <w:rsid w:val="00761186"/>
    <w:rsid w:val="007641F7"/>
    <w:rsid w:val="0076438F"/>
    <w:rsid w:val="00764E8E"/>
    <w:rsid w:val="00772610"/>
    <w:rsid w:val="00774689"/>
    <w:rsid w:val="00775F15"/>
    <w:rsid w:val="0077644E"/>
    <w:rsid w:val="00784042"/>
    <w:rsid w:val="007872EB"/>
    <w:rsid w:val="0079282D"/>
    <w:rsid w:val="00794C24"/>
    <w:rsid w:val="007A00DE"/>
    <w:rsid w:val="007A03BE"/>
    <w:rsid w:val="007A086E"/>
    <w:rsid w:val="007B2B25"/>
    <w:rsid w:val="007C20D3"/>
    <w:rsid w:val="007C2C1A"/>
    <w:rsid w:val="007C6D9D"/>
    <w:rsid w:val="007D085E"/>
    <w:rsid w:val="007D1541"/>
    <w:rsid w:val="007D167C"/>
    <w:rsid w:val="007D2AA7"/>
    <w:rsid w:val="007D2B34"/>
    <w:rsid w:val="007D5B33"/>
    <w:rsid w:val="007D78B8"/>
    <w:rsid w:val="007D7933"/>
    <w:rsid w:val="007D7C8A"/>
    <w:rsid w:val="007D7EE9"/>
    <w:rsid w:val="007E0222"/>
    <w:rsid w:val="007E197A"/>
    <w:rsid w:val="007E2FD4"/>
    <w:rsid w:val="007E36C8"/>
    <w:rsid w:val="007E3EE2"/>
    <w:rsid w:val="007E6F61"/>
    <w:rsid w:val="007F5B95"/>
    <w:rsid w:val="007F7E6D"/>
    <w:rsid w:val="00800326"/>
    <w:rsid w:val="0080066D"/>
    <w:rsid w:val="008048E3"/>
    <w:rsid w:val="00812B47"/>
    <w:rsid w:val="00812E6B"/>
    <w:rsid w:val="00824FAF"/>
    <w:rsid w:val="00830DF2"/>
    <w:rsid w:val="00836818"/>
    <w:rsid w:val="00842D12"/>
    <w:rsid w:val="00850F9F"/>
    <w:rsid w:val="00851C9B"/>
    <w:rsid w:val="00853052"/>
    <w:rsid w:val="008543A7"/>
    <w:rsid w:val="00855AA6"/>
    <w:rsid w:val="00856458"/>
    <w:rsid w:val="00860905"/>
    <w:rsid w:val="008639B9"/>
    <w:rsid w:val="00871848"/>
    <w:rsid w:val="00875964"/>
    <w:rsid w:val="0087676B"/>
    <w:rsid w:val="00876A4A"/>
    <w:rsid w:val="00877088"/>
    <w:rsid w:val="00881FF4"/>
    <w:rsid w:val="0088273D"/>
    <w:rsid w:val="00884231"/>
    <w:rsid w:val="008848BD"/>
    <w:rsid w:val="008918E9"/>
    <w:rsid w:val="008949A2"/>
    <w:rsid w:val="00896274"/>
    <w:rsid w:val="0089647F"/>
    <w:rsid w:val="00896C80"/>
    <w:rsid w:val="0089737C"/>
    <w:rsid w:val="008978F7"/>
    <w:rsid w:val="008A013E"/>
    <w:rsid w:val="008A5F25"/>
    <w:rsid w:val="008A6956"/>
    <w:rsid w:val="008B56A3"/>
    <w:rsid w:val="008B730F"/>
    <w:rsid w:val="008C2036"/>
    <w:rsid w:val="008C3CD3"/>
    <w:rsid w:val="008C3F1F"/>
    <w:rsid w:val="008D4067"/>
    <w:rsid w:val="008D6CE2"/>
    <w:rsid w:val="008E71B6"/>
    <w:rsid w:val="008E7B39"/>
    <w:rsid w:val="008F258A"/>
    <w:rsid w:val="008F3197"/>
    <w:rsid w:val="00901A0E"/>
    <w:rsid w:val="00902E3E"/>
    <w:rsid w:val="00904052"/>
    <w:rsid w:val="00907207"/>
    <w:rsid w:val="009076C7"/>
    <w:rsid w:val="00910076"/>
    <w:rsid w:val="0091083E"/>
    <w:rsid w:val="0091667C"/>
    <w:rsid w:val="00921191"/>
    <w:rsid w:val="00921AD6"/>
    <w:rsid w:val="009234DF"/>
    <w:rsid w:val="00926D42"/>
    <w:rsid w:val="00927F44"/>
    <w:rsid w:val="00936287"/>
    <w:rsid w:val="00936CDE"/>
    <w:rsid w:val="009419DF"/>
    <w:rsid w:val="0094717C"/>
    <w:rsid w:val="009653AD"/>
    <w:rsid w:val="009709D4"/>
    <w:rsid w:val="009760B4"/>
    <w:rsid w:val="00977BAC"/>
    <w:rsid w:val="00985A8E"/>
    <w:rsid w:val="00985C46"/>
    <w:rsid w:val="009901E1"/>
    <w:rsid w:val="0099234C"/>
    <w:rsid w:val="00992EA7"/>
    <w:rsid w:val="00994058"/>
    <w:rsid w:val="00994979"/>
    <w:rsid w:val="00994992"/>
    <w:rsid w:val="00995136"/>
    <w:rsid w:val="009A3ABE"/>
    <w:rsid w:val="009A3AF1"/>
    <w:rsid w:val="009A3F07"/>
    <w:rsid w:val="009B4FF8"/>
    <w:rsid w:val="009B7383"/>
    <w:rsid w:val="009C47A6"/>
    <w:rsid w:val="009C5531"/>
    <w:rsid w:val="009D0A09"/>
    <w:rsid w:val="009D5327"/>
    <w:rsid w:val="009D56A9"/>
    <w:rsid w:val="009D6DAF"/>
    <w:rsid w:val="009D7A5A"/>
    <w:rsid w:val="009E2081"/>
    <w:rsid w:val="009E2347"/>
    <w:rsid w:val="009E4AF3"/>
    <w:rsid w:val="009E53BB"/>
    <w:rsid w:val="009E5CC8"/>
    <w:rsid w:val="009E748A"/>
    <w:rsid w:val="009F0AD9"/>
    <w:rsid w:val="009F4700"/>
    <w:rsid w:val="009F6236"/>
    <w:rsid w:val="009F7626"/>
    <w:rsid w:val="009F7E29"/>
    <w:rsid w:val="00A051CD"/>
    <w:rsid w:val="00A07C02"/>
    <w:rsid w:val="00A07C76"/>
    <w:rsid w:val="00A114E7"/>
    <w:rsid w:val="00A1781D"/>
    <w:rsid w:val="00A34E55"/>
    <w:rsid w:val="00A378BA"/>
    <w:rsid w:val="00A4274D"/>
    <w:rsid w:val="00A43798"/>
    <w:rsid w:val="00A47911"/>
    <w:rsid w:val="00A53DE0"/>
    <w:rsid w:val="00A628FA"/>
    <w:rsid w:val="00A64421"/>
    <w:rsid w:val="00A705A5"/>
    <w:rsid w:val="00A7138F"/>
    <w:rsid w:val="00A73C0E"/>
    <w:rsid w:val="00A76324"/>
    <w:rsid w:val="00A84C7C"/>
    <w:rsid w:val="00A935C8"/>
    <w:rsid w:val="00AA3572"/>
    <w:rsid w:val="00AA5950"/>
    <w:rsid w:val="00AB3410"/>
    <w:rsid w:val="00AB46ED"/>
    <w:rsid w:val="00AB6D1B"/>
    <w:rsid w:val="00AC19BA"/>
    <w:rsid w:val="00AC1FB7"/>
    <w:rsid w:val="00AC2226"/>
    <w:rsid w:val="00AC6F6D"/>
    <w:rsid w:val="00AC725E"/>
    <w:rsid w:val="00AD046B"/>
    <w:rsid w:val="00AD390E"/>
    <w:rsid w:val="00AD5EA4"/>
    <w:rsid w:val="00AE23EB"/>
    <w:rsid w:val="00AE3197"/>
    <w:rsid w:val="00AE63C4"/>
    <w:rsid w:val="00AF1AEB"/>
    <w:rsid w:val="00AF6AFF"/>
    <w:rsid w:val="00B00032"/>
    <w:rsid w:val="00B0069E"/>
    <w:rsid w:val="00B00708"/>
    <w:rsid w:val="00B06984"/>
    <w:rsid w:val="00B11211"/>
    <w:rsid w:val="00B12130"/>
    <w:rsid w:val="00B13324"/>
    <w:rsid w:val="00B16B7F"/>
    <w:rsid w:val="00B20039"/>
    <w:rsid w:val="00B212E8"/>
    <w:rsid w:val="00B2179B"/>
    <w:rsid w:val="00B217D0"/>
    <w:rsid w:val="00B24083"/>
    <w:rsid w:val="00B24C29"/>
    <w:rsid w:val="00B32FAA"/>
    <w:rsid w:val="00B40687"/>
    <w:rsid w:val="00B413A1"/>
    <w:rsid w:val="00B51154"/>
    <w:rsid w:val="00B55146"/>
    <w:rsid w:val="00B668F7"/>
    <w:rsid w:val="00B709A5"/>
    <w:rsid w:val="00B76AC9"/>
    <w:rsid w:val="00B826A6"/>
    <w:rsid w:val="00B82CE2"/>
    <w:rsid w:val="00B9157B"/>
    <w:rsid w:val="00B92EBC"/>
    <w:rsid w:val="00B951AD"/>
    <w:rsid w:val="00BA09F2"/>
    <w:rsid w:val="00BA50F5"/>
    <w:rsid w:val="00BB0EA2"/>
    <w:rsid w:val="00BB114A"/>
    <w:rsid w:val="00BB2C62"/>
    <w:rsid w:val="00BB4151"/>
    <w:rsid w:val="00BB6ABC"/>
    <w:rsid w:val="00BB7696"/>
    <w:rsid w:val="00BC4335"/>
    <w:rsid w:val="00BC5F70"/>
    <w:rsid w:val="00BC6F80"/>
    <w:rsid w:val="00BC71B3"/>
    <w:rsid w:val="00BD26B7"/>
    <w:rsid w:val="00BD37DD"/>
    <w:rsid w:val="00BD4329"/>
    <w:rsid w:val="00BE5657"/>
    <w:rsid w:val="00BF11DC"/>
    <w:rsid w:val="00BF6F71"/>
    <w:rsid w:val="00C0580D"/>
    <w:rsid w:val="00C176A4"/>
    <w:rsid w:val="00C200B0"/>
    <w:rsid w:val="00C2154E"/>
    <w:rsid w:val="00C217CB"/>
    <w:rsid w:val="00C22B03"/>
    <w:rsid w:val="00C3067F"/>
    <w:rsid w:val="00C3213F"/>
    <w:rsid w:val="00C34316"/>
    <w:rsid w:val="00C3497A"/>
    <w:rsid w:val="00C40B45"/>
    <w:rsid w:val="00C5048D"/>
    <w:rsid w:val="00C51CD0"/>
    <w:rsid w:val="00C5387C"/>
    <w:rsid w:val="00C53947"/>
    <w:rsid w:val="00C57182"/>
    <w:rsid w:val="00C57A45"/>
    <w:rsid w:val="00C60537"/>
    <w:rsid w:val="00C6058F"/>
    <w:rsid w:val="00C6180E"/>
    <w:rsid w:val="00C63B2A"/>
    <w:rsid w:val="00C772B4"/>
    <w:rsid w:val="00C804CF"/>
    <w:rsid w:val="00C83DFF"/>
    <w:rsid w:val="00C85190"/>
    <w:rsid w:val="00C85EE8"/>
    <w:rsid w:val="00C8614F"/>
    <w:rsid w:val="00C86B7F"/>
    <w:rsid w:val="00C86B86"/>
    <w:rsid w:val="00C907E2"/>
    <w:rsid w:val="00C93A71"/>
    <w:rsid w:val="00C96055"/>
    <w:rsid w:val="00CA02C9"/>
    <w:rsid w:val="00CA1DEA"/>
    <w:rsid w:val="00CA6317"/>
    <w:rsid w:val="00CA75AC"/>
    <w:rsid w:val="00CB2DF9"/>
    <w:rsid w:val="00CB2F08"/>
    <w:rsid w:val="00CB63BD"/>
    <w:rsid w:val="00CC1F67"/>
    <w:rsid w:val="00CC4FCA"/>
    <w:rsid w:val="00CC50E1"/>
    <w:rsid w:val="00CC679F"/>
    <w:rsid w:val="00CD0D43"/>
    <w:rsid w:val="00CD0EFF"/>
    <w:rsid w:val="00CD24BE"/>
    <w:rsid w:val="00CD5A90"/>
    <w:rsid w:val="00CD7C5A"/>
    <w:rsid w:val="00CE084E"/>
    <w:rsid w:val="00CE49E8"/>
    <w:rsid w:val="00CE5826"/>
    <w:rsid w:val="00CE607B"/>
    <w:rsid w:val="00CF0AF1"/>
    <w:rsid w:val="00CF4311"/>
    <w:rsid w:val="00CF4B79"/>
    <w:rsid w:val="00CF50E1"/>
    <w:rsid w:val="00CF6247"/>
    <w:rsid w:val="00CF6508"/>
    <w:rsid w:val="00D00D0A"/>
    <w:rsid w:val="00D0176E"/>
    <w:rsid w:val="00D027B0"/>
    <w:rsid w:val="00D03E31"/>
    <w:rsid w:val="00D050DF"/>
    <w:rsid w:val="00D101DD"/>
    <w:rsid w:val="00D10E99"/>
    <w:rsid w:val="00D12EDA"/>
    <w:rsid w:val="00D22D8E"/>
    <w:rsid w:val="00D25E32"/>
    <w:rsid w:val="00D26C16"/>
    <w:rsid w:val="00D308EA"/>
    <w:rsid w:val="00D44526"/>
    <w:rsid w:val="00D45E72"/>
    <w:rsid w:val="00D50EFA"/>
    <w:rsid w:val="00D62C72"/>
    <w:rsid w:val="00D6766E"/>
    <w:rsid w:val="00D707D9"/>
    <w:rsid w:val="00D70AF8"/>
    <w:rsid w:val="00D71A4A"/>
    <w:rsid w:val="00D72ECF"/>
    <w:rsid w:val="00D72F28"/>
    <w:rsid w:val="00D762B9"/>
    <w:rsid w:val="00D77458"/>
    <w:rsid w:val="00D813C4"/>
    <w:rsid w:val="00D87152"/>
    <w:rsid w:val="00D975F4"/>
    <w:rsid w:val="00DA0443"/>
    <w:rsid w:val="00DA5A49"/>
    <w:rsid w:val="00DA62A9"/>
    <w:rsid w:val="00DB2C60"/>
    <w:rsid w:val="00DB5103"/>
    <w:rsid w:val="00DC0DF7"/>
    <w:rsid w:val="00DC0E15"/>
    <w:rsid w:val="00DC1488"/>
    <w:rsid w:val="00DC7121"/>
    <w:rsid w:val="00DD2F5E"/>
    <w:rsid w:val="00DD4B67"/>
    <w:rsid w:val="00DE01A4"/>
    <w:rsid w:val="00DE32EC"/>
    <w:rsid w:val="00DE589D"/>
    <w:rsid w:val="00DE62FD"/>
    <w:rsid w:val="00DF0412"/>
    <w:rsid w:val="00DF09C8"/>
    <w:rsid w:val="00DF2419"/>
    <w:rsid w:val="00DF6174"/>
    <w:rsid w:val="00DF6944"/>
    <w:rsid w:val="00E00F86"/>
    <w:rsid w:val="00E040DC"/>
    <w:rsid w:val="00E04D76"/>
    <w:rsid w:val="00E060E3"/>
    <w:rsid w:val="00E11D1A"/>
    <w:rsid w:val="00E26742"/>
    <w:rsid w:val="00E270BC"/>
    <w:rsid w:val="00E27FDA"/>
    <w:rsid w:val="00E33028"/>
    <w:rsid w:val="00E34C43"/>
    <w:rsid w:val="00E352D9"/>
    <w:rsid w:val="00E35FA6"/>
    <w:rsid w:val="00E36CC0"/>
    <w:rsid w:val="00E40C0F"/>
    <w:rsid w:val="00E4113C"/>
    <w:rsid w:val="00E42A7D"/>
    <w:rsid w:val="00E4334E"/>
    <w:rsid w:val="00E4499C"/>
    <w:rsid w:val="00E45B21"/>
    <w:rsid w:val="00E4659B"/>
    <w:rsid w:val="00E46B11"/>
    <w:rsid w:val="00E476C9"/>
    <w:rsid w:val="00E47874"/>
    <w:rsid w:val="00E554A1"/>
    <w:rsid w:val="00E55C18"/>
    <w:rsid w:val="00E60A86"/>
    <w:rsid w:val="00E72B61"/>
    <w:rsid w:val="00E7620C"/>
    <w:rsid w:val="00E7697B"/>
    <w:rsid w:val="00E76D8B"/>
    <w:rsid w:val="00E807D9"/>
    <w:rsid w:val="00E80825"/>
    <w:rsid w:val="00E82EF9"/>
    <w:rsid w:val="00E84864"/>
    <w:rsid w:val="00E84E73"/>
    <w:rsid w:val="00E873A0"/>
    <w:rsid w:val="00E90722"/>
    <w:rsid w:val="00E91404"/>
    <w:rsid w:val="00E94E46"/>
    <w:rsid w:val="00EA309C"/>
    <w:rsid w:val="00EA7106"/>
    <w:rsid w:val="00EB0360"/>
    <w:rsid w:val="00EB1CA2"/>
    <w:rsid w:val="00EB7296"/>
    <w:rsid w:val="00EB7EC0"/>
    <w:rsid w:val="00EC643C"/>
    <w:rsid w:val="00EC68CA"/>
    <w:rsid w:val="00ED04DF"/>
    <w:rsid w:val="00ED0E1C"/>
    <w:rsid w:val="00ED3D6D"/>
    <w:rsid w:val="00ED4F85"/>
    <w:rsid w:val="00EE1136"/>
    <w:rsid w:val="00EE5863"/>
    <w:rsid w:val="00EE5F13"/>
    <w:rsid w:val="00EE67AF"/>
    <w:rsid w:val="00EE7777"/>
    <w:rsid w:val="00EF0759"/>
    <w:rsid w:val="00EF33E7"/>
    <w:rsid w:val="00F02076"/>
    <w:rsid w:val="00F055D7"/>
    <w:rsid w:val="00F12147"/>
    <w:rsid w:val="00F13880"/>
    <w:rsid w:val="00F16706"/>
    <w:rsid w:val="00F168CE"/>
    <w:rsid w:val="00F21260"/>
    <w:rsid w:val="00F237B0"/>
    <w:rsid w:val="00F23C5C"/>
    <w:rsid w:val="00F24EEB"/>
    <w:rsid w:val="00F26AD8"/>
    <w:rsid w:val="00F30A7E"/>
    <w:rsid w:val="00F30B5F"/>
    <w:rsid w:val="00F35CCC"/>
    <w:rsid w:val="00F371EE"/>
    <w:rsid w:val="00F407F9"/>
    <w:rsid w:val="00F40B47"/>
    <w:rsid w:val="00F44FC5"/>
    <w:rsid w:val="00F4769A"/>
    <w:rsid w:val="00F572B6"/>
    <w:rsid w:val="00F61BB7"/>
    <w:rsid w:val="00F67AFF"/>
    <w:rsid w:val="00F704ED"/>
    <w:rsid w:val="00F735D4"/>
    <w:rsid w:val="00F73624"/>
    <w:rsid w:val="00F77585"/>
    <w:rsid w:val="00F8120C"/>
    <w:rsid w:val="00F86B41"/>
    <w:rsid w:val="00F87574"/>
    <w:rsid w:val="00F87766"/>
    <w:rsid w:val="00F92755"/>
    <w:rsid w:val="00F92EA7"/>
    <w:rsid w:val="00F95311"/>
    <w:rsid w:val="00FA07C1"/>
    <w:rsid w:val="00FA0DB2"/>
    <w:rsid w:val="00FA3F3A"/>
    <w:rsid w:val="00FA59BD"/>
    <w:rsid w:val="00FB0328"/>
    <w:rsid w:val="00FB53E4"/>
    <w:rsid w:val="00FB5801"/>
    <w:rsid w:val="00FC275D"/>
    <w:rsid w:val="00FC339B"/>
    <w:rsid w:val="00FC3798"/>
    <w:rsid w:val="00FC5BD6"/>
    <w:rsid w:val="00FD0629"/>
    <w:rsid w:val="00FD0695"/>
    <w:rsid w:val="00FD120B"/>
    <w:rsid w:val="00FD187D"/>
    <w:rsid w:val="00FD271D"/>
    <w:rsid w:val="00FD31C1"/>
    <w:rsid w:val="00FD749B"/>
    <w:rsid w:val="00FE2A11"/>
    <w:rsid w:val="00FE71E2"/>
    <w:rsid w:val="00FF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03ACC6"/>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customStyle="1" w:styleId="Default">
    <w:name w:val="Default"/>
    <w:rsid w:val="005B696D"/>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BD4329"/>
    <w:rPr>
      <w:color w:val="0563C1" w:themeColor="hyperlink"/>
      <w:u w:val="single"/>
    </w:rPr>
  </w:style>
  <w:style w:type="character" w:styleId="UnresolvedMention">
    <w:name w:val="Unresolved Mention"/>
    <w:basedOn w:val="DefaultParagraphFont"/>
    <w:uiPriority w:val="99"/>
    <w:semiHidden/>
    <w:unhideWhenUsed/>
    <w:rsid w:val="00BD4329"/>
    <w:rPr>
      <w:color w:val="605E5C"/>
      <w:shd w:val="clear" w:color="auto" w:fill="E1DFDD"/>
    </w:rPr>
  </w:style>
  <w:style w:type="paragraph" w:styleId="Footer">
    <w:name w:val="footer"/>
    <w:basedOn w:val="Normal"/>
    <w:link w:val="FooterChar"/>
    <w:uiPriority w:val="99"/>
    <w:unhideWhenUsed/>
    <w:rsid w:val="00EB7296"/>
    <w:pPr>
      <w:tabs>
        <w:tab w:val="center" w:pos="4513"/>
        <w:tab w:val="right" w:pos="9026"/>
      </w:tabs>
    </w:pPr>
  </w:style>
  <w:style w:type="character" w:customStyle="1" w:styleId="FooterChar">
    <w:name w:val="Footer Char"/>
    <w:basedOn w:val="DefaultParagraphFont"/>
    <w:link w:val="Footer"/>
    <w:uiPriority w:val="99"/>
    <w:rsid w:val="00EB729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EA71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7106"/>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styn.gov.wales/sites/default/files/documents/Olchfa%20School_0.pdf" TargetMode="External"/><Relationship Id="rId18" Type="http://schemas.openxmlformats.org/officeDocument/2006/relationships/hyperlink" Target="https://www.uwtsd.ac.uk/media/uwtsd-website/content-assets/documents/library-and-learning-resources/the-student-researcher/Student-Research-3-1_WEB.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moodle.uwtsd.ac.uk/pluginfile.php/185257/mod_book/chapter/4211/Cwricwlwm_Cymreig_Phase_2_-_2006%5B1%5D-2%5B1%5D.pdf" TargetMode="External"/><Relationship Id="rId17" Type="http://schemas.openxmlformats.org/officeDocument/2006/relationships/hyperlink" Target="https://gov.wales/legislation/subordinate/nonsi/educationwales/2009/3220099/?lang=en" TargetMode="External"/><Relationship Id="rId2" Type="http://schemas.openxmlformats.org/officeDocument/2006/relationships/styles" Target="styles.xml"/><Relationship Id="rId16" Type="http://schemas.openxmlformats.org/officeDocument/2006/relationships/hyperlink" Target="https://orca.cf.ac.uk/71681/1/K_smith%20submission%20Learning%20Welshness.pdf" TargetMode="External"/><Relationship Id="rId20" Type="http://schemas.openxmlformats.org/officeDocument/2006/relationships/hyperlink" Target="http://learning.gov.wales/docs/learningwales/publications/180319-professional-standards-for-teaching-and-leadership-guide-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era.ioe.ac.uk/4566/1/RR216.pdf" TargetMode="External"/><Relationship Id="rId5" Type="http://schemas.openxmlformats.org/officeDocument/2006/relationships/footnotes" Target="footnotes.xml"/><Relationship Id="rId15" Type="http://schemas.openxmlformats.org/officeDocument/2006/relationships/hyperlink" Target="https://moodle.uwtsd.ac.uk/pluginfile.php/185257/mod_book/chapter/4211/090902curriculumcymreigen%20copy.pdf" TargetMode="External"/><Relationship Id="rId23" Type="http://schemas.openxmlformats.org/officeDocument/2006/relationships/theme" Target="theme/theme1.xml"/><Relationship Id="rId10" Type="http://schemas.openxmlformats.org/officeDocument/2006/relationships/hyperlink" Target="https://gov.wales/docs/dcells/publications/150225-successful-futures-en.pdf" TargetMode="External"/><Relationship Id="rId19" Type="http://schemas.openxmlformats.org/officeDocument/2006/relationships/hyperlink" Target="http://learning.gov.wales/docs/learningwales/publications/190920-cwricwlwm-cymreig-final-report-en.pdf" TargetMode="External"/><Relationship Id="rId4" Type="http://schemas.openxmlformats.org/officeDocument/2006/relationships/webSettings" Target="webSettings.xml"/><Relationship Id="rId9" Type="http://schemas.openxmlformats.org/officeDocument/2006/relationships/hyperlink" Target="https://www.unison.org.uk/content/uploads/2015/04/On-line-Catalogue22970.pdf" TargetMode="External"/><Relationship Id="rId14" Type="http://schemas.openxmlformats.org/officeDocument/2006/relationships/hyperlink" Target="https://cdn.auckland.ac.nz/assets/education/hattie/docs/formative-and-summative-assessment-(2003).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2105</TotalTime>
  <Pages>13</Pages>
  <Words>5377</Words>
  <Characters>30654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Alan Limb</cp:lastModifiedBy>
  <cp:revision>194</cp:revision>
  <cp:lastPrinted>2018-11-24T19:02:00Z</cp:lastPrinted>
  <dcterms:created xsi:type="dcterms:W3CDTF">2018-11-12T18:31:00Z</dcterms:created>
  <dcterms:modified xsi:type="dcterms:W3CDTF">2018-11-24T21:01:00Z</dcterms:modified>
</cp:coreProperties>
</file>