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2E91F1" w14:textId="0C78FBA5" w:rsidR="00341BBD" w:rsidRPr="00276A5B" w:rsidRDefault="00115D82" w:rsidP="00341BBD">
      <w:pPr>
        <w:jc w:val="center"/>
        <w:rPr>
          <w:rFonts w:ascii="Arial" w:hAnsi="Arial" w:cs="Arial"/>
          <w:b/>
          <w:color w:val="000000" w:themeColor="text1"/>
          <w:u w:val="single"/>
        </w:rPr>
      </w:pPr>
      <w:r>
        <w:rPr>
          <w:rFonts w:ascii="Arial" w:hAnsi="Arial" w:cs="Arial"/>
          <w:b/>
          <w:color w:val="000000" w:themeColor="text1"/>
          <w:u w:val="single"/>
        </w:rPr>
        <w:t xml:space="preserve">Resubmission - </w:t>
      </w:r>
      <w:r w:rsidR="00341BBD" w:rsidRPr="00276A5B">
        <w:rPr>
          <w:rFonts w:ascii="Arial" w:hAnsi="Arial" w:cs="Arial"/>
          <w:b/>
          <w:color w:val="000000" w:themeColor="text1"/>
          <w:u w:val="single"/>
        </w:rPr>
        <w:t>Employment Law</w:t>
      </w:r>
      <w:r w:rsidR="008619F8" w:rsidRPr="00276A5B">
        <w:rPr>
          <w:rFonts w:ascii="Arial" w:hAnsi="Arial" w:cs="Arial"/>
          <w:b/>
          <w:color w:val="000000" w:themeColor="text1"/>
          <w:u w:val="single"/>
        </w:rPr>
        <w:t xml:space="preserve"> – BMHR7003</w:t>
      </w:r>
    </w:p>
    <w:p w14:paraId="1EA18FF0" w14:textId="5024E94D" w:rsidR="00341BBD" w:rsidRPr="00276A5B" w:rsidRDefault="00341BBD" w:rsidP="00341BBD">
      <w:pPr>
        <w:spacing w:line="480" w:lineRule="auto"/>
        <w:jc w:val="center"/>
        <w:rPr>
          <w:rFonts w:ascii="Arial" w:hAnsi="Arial" w:cs="Arial"/>
          <w:b/>
          <w:color w:val="000000" w:themeColor="text1"/>
          <w:u w:val="single"/>
        </w:rPr>
      </w:pPr>
    </w:p>
    <w:p w14:paraId="371BA54F" w14:textId="77777777" w:rsidR="00341BBD" w:rsidRPr="00276A5B" w:rsidRDefault="008619F8" w:rsidP="00341BBD">
      <w:pPr>
        <w:rPr>
          <w:rFonts w:ascii="Arial" w:hAnsi="Arial" w:cs="Arial"/>
          <w:color w:val="000000" w:themeColor="text1"/>
        </w:rPr>
      </w:pPr>
      <w:r w:rsidRPr="00276A5B">
        <w:rPr>
          <w:rFonts w:ascii="Arial" w:hAnsi="Arial" w:cs="Arial"/>
          <w:b/>
          <w:bCs/>
          <w:color w:val="000000" w:themeColor="text1"/>
        </w:rPr>
        <w:t>Assignment</w:t>
      </w:r>
      <w:r w:rsidR="00341BBD" w:rsidRPr="00276A5B">
        <w:rPr>
          <w:rFonts w:ascii="Arial" w:hAnsi="Arial" w:cs="Arial"/>
          <w:b/>
          <w:bCs/>
          <w:color w:val="000000" w:themeColor="text1"/>
        </w:rPr>
        <w:t xml:space="preserve"> Title:</w:t>
      </w:r>
      <w:r w:rsidR="00341BBD" w:rsidRPr="00276A5B">
        <w:rPr>
          <w:rFonts w:ascii="Arial" w:hAnsi="Arial" w:cs="Arial"/>
          <w:color w:val="000000" w:themeColor="text1"/>
        </w:rPr>
        <w:t xml:space="preserve"> </w:t>
      </w:r>
      <w:r w:rsidRPr="00276A5B">
        <w:rPr>
          <w:rFonts w:ascii="Arial" w:hAnsi="Arial" w:cs="Arial"/>
          <w:color w:val="000000" w:themeColor="text1"/>
        </w:rPr>
        <w:t>HRM Issues at Big Buses Limited</w:t>
      </w:r>
    </w:p>
    <w:p w14:paraId="3AA1873D" w14:textId="77777777" w:rsidR="00341BBD" w:rsidRPr="00276A5B" w:rsidRDefault="00341BBD" w:rsidP="00341BBD">
      <w:pPr>
        <w:rPr>
          <w:rFonts w:ascii="Arial" w:hAnsi="Arial" w:cs="Arial"/>
          <w:color w:val="000000" w:themeColor="text1"/>
        </w:rPr>
      </w:pPr>
    </w:p>
    <w:p w14:paraId="61CE0A32" w14:textId="77777777" w:rsidR="00341BBD" w:rsidRPr="00276A5B" w:rsidRDefault="00341BBD" w:rsidP="00341BBD">
      <w:pPr>
        <w:rPr>
          <w:rFonts w:ascii="Arial" w:hAnsi="Arial" w:cs="Arial"/>
          <w:color w:val="000000" w:themeColor="text1"/>
        </w:rPr>
      </w:pPr>
    </w:p>
    <w:p w14:paraId="386A149A" w14:textId="77777777" w:rsidR="00341BBD" w:rsidRPr="00276A5B" w:rsidRDefault="00341BBD" w:rsidP="00341BBD">
      <w:pPr>
        <w:rPr>
          <w:rFonts w:ascii="Arial" w:hAnsi="Arial" w:cs="Arial"/>
          <w:color w:val="000000" w:themeColor="text1"/>
        </w:rPr>
      </w:pPr>
    </w:p>
    <w:p w14:paraId="58A53C20" w14:textId="77777777" w:rsidR="00341BBD" w:rsidRPr="00276A5B" w:rsidRDefault="00341BBD" w:rsidP="00341BBD">
      <w:pPr>
        <w:rPr>
          <w:rFonts w:ascii="Arial" w:hAnsi="Arial" w:cs="Arial"/>
          <w:color w:val="000000" w:themeColor="text1"/>
        </w:rPr>
      </w:pPr>
      <w:r w:rsidRPr="00276A5B">
        <w:rPr>
          <w:rFonts w:ascii="Arial" w:hAnsi="Arial" w:cs="Arial"/>
          <w:b/>
          <w:bCs/>
          <w:color w:val="000000" w:themeColor="text1"/>
        </w:rPr>
        <w:t>Course Title/Module:</w:t>
      </w:r>
      <w:r w:rsidRPr="00276A5B">
        <w:rPr>
          <w:rFonts w:ascii="Arial" w:hAnsi="Arial" w:cs="Arial"/>
          <w:color w:val="000000" w:themeColor="text1"/>
        </w:rPr>
        <w:t xml:space="preserve"> Postgraduate Diplom</w:t>
      </w:r>
      <w:r w:rsidR="008619F8" w:rsidRPr="00276A5B">
        <w:rPr>
          <w:rFonts w:ascii="Arial" w:hAnsi="Arial" w:cs="Arial"/>
          <w:color w:val="000000" w:themeColor="text1"/>
        </w:rPr>
        <w:t>a in Human Resources Management/ Employment Law</w:t>
      </w:r>
    </w:p>
    <w:p w14:paraId="56006BD8" w14:textId="77777777" w:rsidR="00341BBD" w:rsidRPr="00276A5B" w:rsidRDefault="00341BBD" w:rsidP="00341BBD">
      <w:pPr>
        <w:rPr>
          <w:rFonts w:ascii="Arial" w:hAnsi="Arial" w:cs="Arial"/>
          <w:color w:val="000000" w:themeColor="text1"/>
        </w:rPr>
      </w:pPr>
    </w:p>
    <w:p w14:paraId="69361D99" w14:textId="77777777" w:rsidR="00341BBD" w:rsidRPr="00276A5B" w:rsidRDefault="00341BBD" w:rsidP="00341BBD">
      <w:pPr>
        <w:rPr>
          <w:rFonts w:ascii="Arial" w:hAnsi="Arial" w:cs="Arial"/>
          <w:color w:val="000000" w:themeColor="text1"/>
        </w:rPr>
      </w:pPr>
    </w:p>
    <w:p w14:paraId="5C1A7882" w14:textId="77777777" w:rsidR="00341BBD" w:rsidRPr="00276A5B" w:rsidRDefault="00341BBD" w:rsidP="00341BBD">
      <w:pPr>
        <w:rPr>
          <w:rFonts w:ascii="Arial" w:hAnsi="Arial" w:cs="Arial"/>
          <w:color w:val="000000" w:themeColor="text1"/>
        </w:rPr>
      </w:pPr>
    </w:p>
    <w:p w14:paraId="7E8DEBB7"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Name:</w:t>
      </w:r>
      <w:r w:rsidRPr="00276A5B">
        <w:rPr>
          <w:rFonts w:ascii="Arial" w:hAnsi="Arial" w:cs="Arial"/>
          <w:color w:val="000000" w:themeColor="text1"/>
        </w:rPr>
        <w:t xml:space="preserve">  Dayna James</w:t>
      </w:r>
    </w:p>
    <w:p w14:paraId="2598B92D" w14:textId="77777777" w:rsidR="00341BBD" w:rsidRPr="00276A5B" w:rsidRDefault="00341BBD" w:rsidP="00341BBD">
      <w:pPr>
        <w:spacing w:line="480" w:lineRule="auto"/>
        <w:rPr>
          <w:rFonts w:ascii="Arial" w:hAnsi="Arial" w:cs="Arial"/>
          <w:color w:val="000000" w:themeColor="text1"/>
        </w:rPr>
      </w:pPr>
    </w:p>
    <w:p w14:paraId="6F04CA30"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 xml:space="preserve">Student Number: </w:t>
      </w:r>
      <w:r w:rsidRPr="00276A5B">
        <w:rPr>
          <w:rFonts w:ascii="Arial" w:hAnsi="Arial" w:cs="Arial"/>
          <w:color w:val="000000" w:themeColor="text1"/>
        </w:rPr>
        <w:t>1709313</w:t>
      </w:r>
    </w:p>
    <w:p w14:paraId="25CD8149" w14:textId="77777777" w:rsidR="00341BBD" w:rsidRPr="00276A5B" w:rsidRDefault="00341BBD" w:rsidP="00341BBD">
      <w:pPr>
        <w:spacing w:line="480" w:lineRule="auto"/>
        <w:rPr>
          <w:rFonts w:ascii="Arial" w:hAnsi="Arial" w:cs="Arial"/>
          <w:b/>
          <w:bCs/>
          <w:color w:val="000000" w:themeColor="text1"/>
        </w:rPr>
      </w:pPr>
    </w:p>
    <w:p w14:paraId="57E58C15"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CIPD Membership Number:</w:t>
      </w:r>
      <w:r w:rsidRPr="00276A5B">
        <w:rPr>
          <w:rFonts w:ascii="Arial" w:hAnsi="Arial" w:cs="Arial"/>
          <w:color w:val="000000" w:themeColor="text1"/>
        </w:rPr>
        <w:t xml:space="preserve">  49165316</w:t>
      </w:r>
    </w:p>
    <w:p w14:paraId="1C3BF52C" w14:textId="77777777" w:rsidR="00341BBD" w:rsidRPr="00276A5B" w:rsidRDefault="00341BBD" w:rsidP="00341BBD">
      <w:pPr>
        <w:spacing w:line="480" w:lineRule="auto"/>
        <w:rPr>
          <w:rFonts w:ascii="Arial" w:hAnsi="Arial" w:cs="Arial"/>
          <w:color w:val="000000" w:themeColor="text1"/>
        </w:rPr>
      </w:pPr>
    </w:p>
    <w:p w14:paraId="43394FE8" w14:textId="0A85306A"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 xml:space="preserve">Date: </w:t>
      </w:r>
      <w:r w:rsidR="00FD2BFD">
        <w:rPr>
          <w:rFonts w:ascii="Arial" w:hAnsi="Arial" w:cs="Arial"/>
          <w:color w:val="000000" w:themeColor="text1"/>
        </w:rPr>
        <w:t>R</w:t>
      </w:r>
      <w:r w:rsidR="00115D82">
        <w:rPr>
          <w:rFonts w:ascii="Arial" w:hAnsi="Arial" w:cs="Arial"/>
          <w:color w:val="000000" w:themeColor="text1"/>
        </w:rPr>
        <w:t xml:space="preserve">esubmission </w:t>
      </w:r>
      <w:r w:rsidR="00FD2BFD">
        <w:rPr>
          <w:rFonts w:ascii="Arial" w:hAnsi="Arial" w:cs="Arial"/>
          <w:color w:val="000000" w:themeColor="text1"/>
        </w:rPr>
        <w:t>19</w:t>
      </w:r>
      <w:r w:rsidR="00FD2BFD" w:rsidRPr="00FD2BFD">
        <w:rPr>
          <w:rFonts w:ascii="Arial" w:hAnsi="Arial" w:cs="Arial"/>
          <w:color w:val="000000" w:themeColor="text1"/>
          <w:vertAlign w:val="superscript"/>
        </w:rPr>
        <w:t>th</w:t>
      </w:r>
      <w:r w:rsidR="00FD2BFD">
        <w:rPr>
          <w:rFonts w:ascii="Arial" w:hAnsi="Arial" w:cs="Arial"/>
          <w:color w:val="000000" w:themeColor="text1"/>
        </w:rPr>
        <w:t xml:space="preserve"> July 2021</w:t>
      </w:r>
    </w:p>
    <w:p w14:paraId="08BB5698" w14:textId="77777777" w:rsidR="00341BBD" w:rsidRPr="00276A5B" w:rsidRDefault="00341BBD" w:rsidP="00341BBD">
      <w:pPr>
        <w:spacing w:line="480" w:lineRule="auto"/>
        <w:rPr>
          <w:rFonts w:ascii="Arial" w:hAnsi="Arial" w:cs="Arial"/>
          <w:color w:val="000000" w:themeColor="text1"/>
        </w:rPr>
      </w:pPr>
    </w:p>
    <w:p w14:paraId="0AA30809" w14:textId="2B328877" w:rsidR="003253A9" w:rsidRPr="003253A9" w:rsidRDefault="00341BBD" w:rsidP="00341BBD">
      <w:pPr>
        <w:spacing w:line="480" w:lineRule="auto"/>
        <w:rPr>
          <w:rFonts w:ascii="Arial" w:hAnsi="Arial" w:cs="Arial"/>
          <w:bCs/>
          <w:color w:val="000000" w:themeColor="text1"/>
        </w:rPr>
      </w:pPr>
      <w:r w:rsidRPr="00276A5B">
        <w:rPr>
          <w:rFonts w:ascii="Arial" w:hAnsi="Arial" w:cs="Arial"/>
          <w:b/>
          <w:color w:val="000000" w:themeColor="text1"/>
        </w:rPr>
        <w:t>Word count:</w:t>
      </w:r>
      <w:r w:rsidRPr="00276A5B">
        <w:rPr>
          <w:rFonts w:ascii="Arial" w:hAnsi="Arial" w:cs="Arial"/>
          <w:bCs/>
          <w:color w:val="000000" w:themeColor="text1"/>
        </w:rPr>
        <w:t xml:space="preserve"> </w:t>
      </w:r>
      <w:r w:rsidR="008619F8" w:rsidRPr="00276A5B">
        <w:rPr>
          <w:rFonts w:ascii="Arial" w:hAnsi="Arial" w:cs="Arial"/>
          <w:bCs/>
          <w:color w:val="000000" w:themeColor="text1"/>
        </w:rPr>
        <w:t>4,</w:t>
      </w:r>
      <w:r w:rsidR="00E91650">
        <w:rPr>
          <w:rFonts w:ascii="Arial" w:hAnsi="Arial" w:cs="Arial"/>
          <w:bCs/>
          <w:color w:val="000000" w:themeColor="text1"/>
        </w:rPr>
        <w:t>436</w:t>
      </w:r>
      <w:bookmarkStart w:id="0" w:name="_GoBack"/>
      <w:bookmarkEnd w:id="0"/>
      <w:r w:rsidR="00BA5C2E" w:rsidRPr="00276A5B">
        <w:rPr>
          <w:rFonts w:ascii="Arial" w:hAnsi="Arial" w:cs="Arial"/>
          <w:bCs/>
          <w:color w:val="000000" w:themeColor="text1"/>
        </w:rPr>
        <w:t xml:space="preserve"> (excluding</w:t>
      </w:r>
      <w:r w:rsidR="00B15F17">
        <w:rPr>
          <w:rFonts w:ascii="Arial" w:hAnsi="Arial" w:cs="Arial"/>
          <w:bCs/>
          <w:color w:val="000000" w:themeColor="text1"/>
        </w:rPr>
        <w:t xml:space="preserve"> titles, and footnotes</w:t>
      </w:r>
      <w:r w:rsidR="00BA5C2E" w:rsidRPr="00276A5B">
        <w:rPr>
          <w:rFonts w:ascii="Arial" w:hAnsi="Arial" w:cs="Arial"/>
          <w:bCs/>
          <w:color w:val="000000" w:themeColor="text1"/>
        </w:rPr>
        <w:t>)</w:t>
      </w:r>
      <w:r w:rsidR="00FD2BFD">
        <w:rPr>
          <w:rFonts w:ascii="Arial" w:hAnsi="Arial" w:cs="Arial"/>
          <w:bCs/>
          <w:color w:val="000000" w:themeColor="text1"/>
        </w:rPr>
        <w:t xml:space="preserve"> </w:t>
      </w:r>
    </w:p>
    <w:p w14:paraId="0F00533C" w14:textId="77777777" w:rsidR="00341BBD" w:rsidRPr="00276A5B" w:rsidRDefault="00341BBD" w:rsidP="00341BBD">
      <w:pPr>
        <w:spacing w:line="480" w:lineRule="auto"/>
        <w:rPr>
          <w:rFonts w:ascii="Arial" w:hAnsi="Arial" w:cs="Arial"/>
          <w:b/>
          <w:color w:val="000000" w:themeColor="text1"/>
        </w:rPr>
      </w:pPr>
    </w:p>
    <w:p w14:paraId="1A85E803" w14:textId="77777777" w:rsidR="00341BBD" w:rsidRPr="00276A5B" w:rsidRDefault="00341BBD" w:rsidP="00341BBD">
      <w:pPr>
        <w:spacing w:line="480" w:lineRule="auto"/>
        <w:rPr>
          <w:rFonts w:ascii="Arial" w:hAnsi="Arial" w:cs="Arial"/>
          <w:b/>
          <w:color w:val="000000" w:themeColor="text1"/>
        </w:rPr>
      </w:pPr>
    </w:p>
    <w:p w14:paraId="1E226BF2"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color w:val="000000" w:themeColor="text1"/>
        </w:rPr>
        <w:t>I declare that this assignment is my own work and that any information obtained from books and other sources have been appropriately referenced.</w:t>
      </w:r>
    </w:p>
    <w:p w14:paraId="2993E6E0" w14:textId="77777777" w:rsidR="00341BBD" w:rsidRPr="00276A5B" w:rsidRDefault="00341BBD" w:rsidP="00341BBD">
      <w:pPr>
        <w:spacing w:line="480" w:lineRule="auto"/>
        <w:rPr>
          <w:rFonts w:ascii="Arial" w:hAnsi="Arial" w:cs="Arial"/>
          <w:color w:val="000000" w:themeColor="text1"/>
        </w:rPr>
      </w:pPr>
    </w:p>
    <w:p w14:paraId="2A0CEF8D" w14:textId="5F012008" w:rsidR="00341BBD" w:rsidRPr="00276A5B" w:rsidRDefault="00341BBD" w:rsidP="00341BBD">
      <w:pPr>
        <w:spacing w:line="480" w:lineRule="auto"/>
        <w:rPr>
          <w:rFonts w:ascii="Arial" w:hAnsi="Arial" w:cs="Arial"/>
          <w:color w:val="000000" w:themeColor="text1"/>
        </w:rPr>
      </w:pPr>
      <w:r w:rsidRPr="00276A5B">
        <w:rPr>
          <w:rFonts w:ascii="Arial" w:hAnsi="Arial" w:cs="Arial"/>
          <w:color w:val="000000" w:themeColor="text1"/>
        </w:rPr>
        <w:t>Signed:</w:t>
      </w:r>
      <w:r w:rsidR="009118ED" w:rsidRPr="00276A5B">
        <w:rPr>
          <w:rFonts w:ascii="Arial" w:hAnsi="Arial" w:cs="Arial"/>
          <w:noProof/>
          <w:color w:val="000000" w:themeColor="text1"/>
        </w:rPr>
        <w:drawing>
          <wp:inline distT="0" distB="0" distL="0" distR="0" wp14:anchorId="1CD0759C" wp14:editId="043CA317">
            <wp:extent cx="2241550" cy="1085850"/>
            <wp:effectExtent l="0" t="0" r="0" b="0"/>
            <wp:docPr id="1"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picture containing drawing&#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1550" cy="1085850"/>
                    </a:xfrm>
                    <a:prstGeom prst="rect">
                      <a:avLst/>
                    </a:prstGeom>
                    <a:noFill/>
                    <a:ln>
                      <a:noFill/>
                    </a:ln>
                  </pic:spPr>
                </pic:pic>
              </a:graphicData>
            </a:graphic>
          </wp:inline>
        </w:drawing>
      </w:r>
      <w:r w:rsidRPr="00276A5B">
        <w:rPr>
          <w:rFonts w:ascii="Arial" w:hAnsi="Arial" w:cs="Arial"/>
          <w:color w:val="000000" w:themeColor="text1"/>
        </w:rPr>
        <w:tab/>
        <w:t xml:space="preserve">Date: </w:t>
      </w:r>
      <w:r w:rsidR="00FD2BFD">
        <w:rPr>
          <w:rFonts w:ascii="Arial" w:hAnsi="Arial" w:cs="Arial"/>
          <w:color w:val="000000" w:themeColor="text1"/>
        </w:rPr>
        <w:t>19</w:t>
      </w:r>
      <w:r w:rsidR="00FD2BFD" w:rsidRPr="00FD2BFD">
        <w:rPr>
          <w:rFonts w:ascii="Arial" w:hAnsi="Arial" w:cs="Arial"/>
          <w:color w:val="000000" w:themeColor="text1"/>
          <w:vertAlign w:val="superscript"/>
        </w:rPr>
        <w:t>th</w:t>
      </w:r>
      <w:r w:rsidR="00FD2BFD">
        <w:rPr>
          <w:rFonts w:ascii="Arial" w:hAnsi="Arial" w:cs="Arial"/>
          <w:color w:val="000000" w:themeColor="text1"/>
        </w:rPr>
        <w:t xml:space="preserve"> July 2021</w:t>
      </w:r>
    </w:p>
    <w:p w14:paraId="4D4EB556" w14:textId="77777777" w:rsidR="00E4515A" w:rsidRPr="00276A5B" w:rsidRDefault="00E4515A" w:rsidP="00341BBD">
      <w:pPr>
        <w:spacing w:line="480" w:lineRule="auto"/>
        <w:rPr>
          <w:rFonts w:ascii="Arial" w:hAnsi="Arial" w:cs="Arial"/>
          <w:color w:val="000000" w:themeColor="text1"/>
        </w:rPr>
      </w:pPr>
    </w:p>
    <w:p w14:paraId="5F8F7829" w14:textId="77777777" w:rsidR="00257930" w:rsidRPr="00276A5B" w:rsidRDefault="00257930"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1E01A785" w14:textId="77777777" w:rsidR="00B22E4A" w:rsidRPr="00276A5B" w:rsidRDefault="00B22E4A"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276A5B">
        <w:rPr>
          <w:rFonts w:ascii="Arial" w:hAnsi="Arial" w:cs="Arial"/>
          <w:b/>
          <w:bCs/>
          <w:color w:val="000000" w:themeColor="text1"/>
          <w:u w:val="single"/>
        </w:rPr>
        <w:t>Glossary of Terms</w:t>
      </w:r>
    </w:p>
    <w:p w14:paraId="40845F00" w14:textId="77777777" w:rsidR="00945B91" w:rsidRPr="00276A5B" w:rsidRDefault="00945B91"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Gethin</w:t>
      </w:r>
      <w:r w:rsidR="00850129" w:rsidRPr="00276A5B">
        <w:rPr>
          <w:rFonts w:ascii="Arial" w:hAnsi="Arial" w:cs="Arial"/>
          <w:color w:val="000000" w:themeColor="text1"/>
        </w:rPr>
        <w:t xml:space="preserve"> Rees -</w:t>
      </w:r>
      <w:r w:rsidRPr="00276A5B">
        <w:rPr>
          <w:rFonts w:ascii="Arial" w:hAnsi="Arial" w:cs="Arial"/>
          <w:color w:val="000000" w:themeColor="text1"/>
        </w:rPr>
        <w:t xml:space="preserve"> GR</w:t>
      </w:r>
    </w:p>
    <w:p w14:paraId="313D59FE" w14:textId="77777777" w:rsidR="00850129" w:rsidRPr="00276A5B" w:rsidRDefault="00850129"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ACAS Code of Practice </w:t>
      </w:r>
      <w:r w:rsidR="00D86E9B" w:rsidRPr="00276A5B">
        <w:rPr>
          <w:rFonts w:ascii="Arial" w:hAnsi="Arial" w:cs="Arial"/>
          <w:color w:val="000000" w:themeColor="text1"/>
        </w:rPr>
        <w:t>–</w:t>
      </w:r>
      <w:r w:rsidRPr="00276A5B">
        <w:rPr>
          <w:rFonts w:ascii="Arial" w:hAnsi="Arial" w:cs="Arial"/>
          <w:color w:val="000000" w:themeColor="text1"/>
        </w:rPr>
        <w:t xml:space="preserve"> ACASCoP</w:t>
      </w:r>
    </w:p>
    <w:p w14:paraId="19B23AB2" w14:textId="77777777" w:rsidR="00F554BC" w:rsidRPr="00276A5B" w:rsidRDefault="00B13F8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BB -</w:t>
      </w:r>
      <w:r w:rsidR="00F554BC" w:rsidRPr="00276A5B">
        <w:rPr>
          <w:rFonts w:ascii="Arial" w:hAnsi="Arial" w:cs="Arial"/>
          <w:color w:val="000000" w:themeColor="text1"/>
        </w:rPr>
        <w:t xml:space="preserve"> Big Buses Ltd</w:t>
      </w:r>
    </w:p>
    <w:p w14:paraId="658274D6" w14:textId="77777777"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Trade Union – TU </w:t>
      </w:r>
    </w:p>
    <w:p w14:paraId="58C91C18" w14:textId="77777777"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Steve Smith </w:t>
      </w:r>
      <w:r w:rsidR="00BC4B66" w:rsidRPr="00276A5B">
        <w:rPr>
          <w:rFonts w:ascii="Arial" w:hAnsi="Arial" w:cs="Arial"/>
          <w:color w:val="000000" w:themeColor="text1"/>
        </w:rPr>
        <w:t>–</w:t>
      </w:r>
      <w:r w:rsidRPr="00276A5B">
        <w:rPr>
          <w:rFonts w:ascii="Arial" w:hAnsi="Arial" w:cs="Arial"/>
          <w:color w:val="000000" w:themeColor="text1"/>
        </w:rPr>
        <w:t xml:space="preserve"> SS</w:t>
      </w:r>
    </w:p>
    <w:p w14:paraId="3647A334" w14:textId="77777777" w:rsidR="00BC4B66" w:rsidRPr="00276A5B" w:rsidRDefault="00BC4B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Health &amp; Safety – H&amp;S</w:t>
      </w:r>
    </w:p>
    <w:p w14:paraId="754CDD9A" w14:textId="77777777" w:rsidR="00BC4B66" w:rsidRPr="00276A5B" w:rsidRDefault="00BC4B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Employment Rights Act </w:t>
      </w:r>
      <w:r w:rsidR="007107B3" w:rsidRPr="00276A5B">
        <w:rPr>
          <w:rFonts w:ascii="Arial" w:hAnsi="Arial" w:cs="Arial"/>
          <w:color w:val="000000" w:themeColor="text1"/>
        </w:rPr>
        <w:t xml:space="preserve">1998 </w:t>
      </w:r>
      <w:r w:rsidR="005D3964" w:rsidRPr="00276A5B">
        <w:rPr>
          <w:rFonts w:ascii="Arial" w:hAnsi="Arial" w:cs="Arial"/>
          <w:color w:val="000000" w:themeColor="text1"/>
        </w:rPr>
        <w:t>–</w:t>
      </w:r>
      <w:r w:rsidRPr="00276A5B">
        <w:rPr>
          <w:rFonts w:ascii="Arial" w:hAnsi="Arial" w:cs="Arial"/>
          <w:color w:val="000000" w:themeColor="text1"/>
        </w:rPr>
        <w:t xml:space="preserve"> ERA</w:t>
      </w:r>
      <w:r w:rsidR="007107B3" w:rsidRPr="00276A5B">
        <w:rPr>
          <w:rFonts w:ascii="Arial" w:hAnsi="Arial" w:cs="Arial"/>
          <w:color w:val="000000" w:themeColor="text1"/>
        </w:rPr>
        <w:t xml:space="preserve"> 1998</w:t>
      </w:r>
    </w:p>
    <w:p w14:paraId="20DE4360" w14:textId="77777777" w:rsidR="005D3964" w:rsidRPr="00276A5B" w:rsidRDefault="005D396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Employment Relations Act </w:t>
      </w:r>
      <w:r w:rsidR="003A5E69" w:rsidRPr="00276A5B">
        <w:rPr>
          <w:rFonts w:ascii="Arial" w:hAnsi="Arial" w:cs="Arial"/>
          <w:color w:val="000000" w:themeColor="text1"/>
        </w:rPr>
        <w:t>1999 –</w:t>
      </w:r>
      <w:r w:rsidRPr="00276A5B">
        <w:rPr>
          <w:rFonts w:ascii="Arial" w:hAnsi="Arial" w:cs="Arial"/>
          <w:color w:val="000000" w:themeColor="text1"/>
        </w:rPr>
        <w:t xml:space="preserve"> EmpRA</w:t>
      </w:r>
      <w:r w:rsidR="003A5E69" w:rsidRPr="00276A5B">
        <w:rPr>
          <w:rFonts w:ascii="Arial" w:hAnsi="Arial" w:cs="Arial"/>
          <w:color w:val="000000" w:themeColor="text1"/>
        </w:rPr>
        <w:t xml:space="preserve"> 1999</w:t>
      </w:r>
    </w:p>
    <w:p w14:paraId="09CB790B" w14:textId="77777777" w:rsidR="00444620" w:rsidRPr="00276A5B" w:rsidRDefault="00444620"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DEF5331"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157617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0438DFD"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009DCF0" w14:textId="255D85CC" w:rsidR="00115D82" w:rsidRDefault="00115D82"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0FE2B1CA" w14:textId="77777777" w:rsidR="00115D82" w:rsidRPr="00276A5B" w:rsidRDefault="00115D82"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37807201" w14:textId="77777777" w:rsidR="0049160B" w:rsidRPr="00276A5B" w:rsidRDefault="0049160B"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71F0EE21"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2EC4BC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7E24827C"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9AEC3C9"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099CFDC"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7C7FC98"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E322C9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5E62AE6"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A08854F"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p>
    <w:p w14:paraId="210714BB" w14:textId="77777777" w:rsidR="00B22E4A" w:rsidRPr="00276A5B" w:rsidRDefault="00B22E4A"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lastRenderedPageBreak/>
        <w:t>Section A</w:t>
      </w:r>
    </w:p>
    <w:p w14:paraId="27B31E74"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p>
    <w:p w14:paraId="1DA41DC9" w14:textId="18E3A85D" w:rsidR="00D2162C" w:rsidRPr="00276A5B" w:rsidRDefault="00D2162C" w:rsidP="00D2162C">
      <w:pPr>
        <w:pBdr>
          <w:top w:val="double" w:sz="6" w:space="8" w:color="404040"/>
          <w:bottom w:val="double" w:sz="6" w:space="8" w:color="404040"/>
        </w:pBdr>
        <w:spacing w:beforeLines="50" w:before="120" w:afterLines="50" w:after="120" w:line="360" w:lineRule="auto"/>
        <w:contextualSpacing/>
        <w:jc w:val="center"/>
        <w:rPr>
          <w:rFonts w:ascii="Arial" w:hAnsi="Arial" w:cs="Arial"/>
          <w:b/>
          <w:caps/>
          <w:color w:val="000000" w:themeColor="text1"/>
          <w:spacing w:val="20"/>
          <w:lang w:val="en-US" w:eastAsia="en-US"/>
        </w:rPr>
      </w:pPr>
      <w:r w:rsidRPr="00276A5B">
        <w:rPr>
          <w:rFonts w:ascii="Arial" w:hAnsi="Arial" w:cs="Arial"/>
          <w:b/>
          <w:caps/>
          <w:color w:val="000000" w:themeColor="text1"/>
          <w:spacing w:val="20"/>
          <w:lang w:val="en-US" w:eastAsia="en-US"/>
        </w:rPr>
        <w:t>memorandum</w:t>
      </w:r>
    </w:p>
    <w:tbl>
      <w:tblPr>
        <w:tblW w:w="5000" w:type="pct"/>
        <w:tblLayout w:type="fixed"/>
        <w:tblCellMar>
          <w:left w:w="0" w:type="dxa"/>
          <w:right w:w="0" w:type="dxa"/>
        </w:tblCellMar>
        <w:tblLook w:val="04A0" w:firstRow="1" w:lastRow="0" w:firstColumn="1" w:lastColumn="0" w:noHBand="0" w:noVBand="1"/>
      </w:tblPr>
      <w:tblGrid>
        <w:gridCol w:w="1417"/>
        <w:gridCol w:w="7603"/>
      </w:tblGrid>
      <w:tr w:rsidR="00A60C3B" w:rsidRPr="00276A5B" w14:paraId="321D7226" w14:textId="77777777" w:rsidTr="000C7075">
        <w:trPr>
          <w:cantSplit/>
        </w:trPr>
        <w:tc>
          <w:tcPr>
            <w:tcW w:w="1357" w:type="dxa"/>
          </w:tcPr>
          <w:p w14:paraId="3C177319"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Pr>
          <w:p w14:paraId="6AA76012"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r w:rsidR="00A60C3B" w:rsidRPr="00276A5B" w14:paraId="2B53411C" w14:textId="77777777" w:rsidTr="000C7075">
        <w:trPr>
          <w:cantSplit/>
        </w:trPr>
        <w:tc>
          <w:tcPr>
            <w:tcW w:w="1357" w:type="dxa"/>
          </w:tcPr>
          <w:p w14:paraId="2EB0ECF4"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Pr>
          <w:p w14:paraId="547F1B9D"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r w:rsidR="00A60C3B" w:rsidRPr="00276A5B" w14:paraId="1864399D" w14:textId="77777777" w:rsidTr="000C7075">
        <w:trPr>
          <w:cantSplit/>
        </w:trPr>
        <w:tc>
          <w:tcPr>
            <w:tcW w:w="1357" w:type="dxa"/>
          </w:tcPr>
          <w:p w14:paraId="33F5984E"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to:</w:t>
            </w:r>
          </w:p>
        </w:tc>
        <w:tc>
          <w:tcPr>
            <w:tcW w:w="7283" w:type="dxa"/>
          </w:tcPr>
          <w:p w14:paraId="6FE0A699" w14:textId="2753D2CE"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mr dave thomas</w:t>
            </w:r>
            <w:r w:rsidR="00796F32" w:rsidRPr="00276A5B">
              <w:rPr>
                <w:rFonts w:ascii="Arial" w:hAnsi="Arial" w:cs="Arial"/>
                <w:caps/>
                <w:color w:val="000000" w:themeColor="text1"/>
                <w:lang w:val="en-US" w:eastAsia="en-US"/>
              </w:rPr>
              <w:t>, Managing Director</w:t>
            </w:r>
          </w:p>
        </w:tc>
      </w:tr>
      <w:tr w:rsidR="00796F32" w:rsidRPr="00276A5B" w14:paraId="566D9034" w14:textId="77777777" w:rsidTr="000C7075">
        <w:trPr>
          <w:cantSplit/>
        </w:trPr>
        <w:tc>
          <w:tcPr>
            <w:tcW w:w="1357" w:type="dxa"/>
          </w:tcPr>
          <w:p w14:paraId="6A15C26A" w14:textId="3F9DED29" w:rsidR="00796F32" w:rsidRPr="00276A5B" w:rsidRDefault="00796F32"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FRom:</w:t>
            </w:r>
          </w:p>
        </w:tc>
        <w:tc>
          <w:tcPr>
            <w:tcW w:w="7283" w:type="dxa"/>
          </w:tcPr>
          <w:p w14:paraId="5FD05584" w14:textId="164175C0" w:rsidR="00796F32" w:rsidRPr="00276A5B" w:rsidRDefault="00796F32"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Miss Dayna James, HR Consultant</w:t>
            </w:r>
          </w:p>
        </w:tc>
      </w:tr>
      <w:tr w:rsidR="00A60C3B" w:rsidRPr="00276A5B" w14:paraId="4E6A2C6D" w14:textId="77777777" w:rsidTr="000C7075">
        <w:trPr>
          <w:cantSplit/>
        </w:trPr>
        <w:tc>
          <w:tcPr>
            <w:tcW w:w="1357" w:type="dxa"/>
          </w:tcPr>
          <w:p w14:paraId="58030397"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Case:</w:t>
            </w:r>
          </w:p>
        </w:tc>
        <w:tc>
          <w:tcPr>
            <w:tcW w:w="7283" w:type="dxa"/>
          </w:tcPr>
          <w:p w14:paraId="06ADA39B"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gethin rees v big buses limited</w:t>
            </w:r>
          </w:p>
        </w:tc>
      </w:tr>
      <w:tr w:rsidR="00A60C3B" w:rsidRPr="00276A5B" w14:paraId="590FF035" w14:textId="77777777" w:rsidTr="000C7075">
        <w:trPr>
          <w:cantSplit/>
        </w:trPr>
        <w:tc>
          <w:tcPr>
            <w:tcW w:w="1357" w:type="dxa"/>
          </w:tcPr>
          <w:p w14:paraId="5A373780"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Number:</w:t>
            </w:r>
          </w:p>
        </w:tc>
        <w:tc>
          <w:tcPr>
            <w:tcW w:w="7283" w:type="dxa"/>
          </w:tcPr>
          <w:p w14:paraId="1359048A"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37898</w:t>
            </w:r>
          </w:p>
        </w:tc>
      </w:tr>
      <w:tr w:rsidR="00A60C3B" w:rsidRPr="00276A5B" w14:paraId="64C57FA1" w14:textId="77777777" w:rsidTr="000C7075">
        <w:trPr>
          <w:cantSplit/>
        </w:trPr>
        <w:tc>
          <w:tcPr>
            <w:tcW w:w="1357" w:type="dxa"/>
          </w:tcPr>
          <w:p w14:paraId="537F056F"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date:</w:t>
            </w:r>
          </w:p>
        </w:tc>
        <w:tc>
          <w:tcPr>
            <w:tcW w:w="7283" w:type="dxa"/>
          </w:tcPr>
          <w:p w14:paraId="4B00478B"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10</w:t>
            </w:r>
            <w:r w:rsidRPr="00276A5B">
              <w:rPr>
                <w:rFonts w:ascii="Arial" w:hAnsi="Arial" w:cs="Arial"/>
                <w:caps/>
                <w:color w:val="000000" w:themeColor="text1"/>
                <w:vertAlign w:val="superscript"/>
                <w:lang w:val="en-US" w:eastAsia="en-US"/>
              </w:rPr>
              <w:t>th</w:t>
            </w:r>
            <w:r w:rsidRPr="00276A5B">
              <w:rPr>
                <w:rFonts w:ascii="Arial" w:hAnsi="Arial" w:cs="Arial"/>
                <w:caps/>
                <w:color w:val="000000" w:themeColor="text1"/>
                <w:lang w:val="en-US" w:eastAsia="en-US"/>
              </w:rPr>
              <w:t xml:space="preserve"> May 2021</w:t>
            </w:r>
          </w:p>
        </w:tc>
      </w:tr>
      <w:tr w:rsidR="00A60C3B" w:rsidRPr="00276A5B" w14:paraId="33C01B50" w14:textId="77777777" w:rsidTr="000C7075">
        <w:trPr>
          <w:cantSplit/>
        </w:trPr>
        <w:tc>
          <w:tcPr>
            <w:tcW w:w="1357" w:type="dxa"/>
            <w:tcBorders>
              <w:bottom w:val="single" w:sz="4" w:space="0" w:color="auto"/>
            </w:tcBorders>
            <w:tcMar>
              <w:bottom w:w="259" w:type="dxa"/>
            </w:tcMar>
          </w:tcPr>
          <w:p w14:paraId="07BE1F0E"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Borders>
              <w:bottom w:val="single" w:sz="4" w:space="0" w:color="auto"/>
            </w:tcBorders>
            <w:tcMar>
              <w:bottom w:w="259" w:type="dxa"/>
            </w:tcMar>
          </w:tcPr>
          <w:p w14:paraId="23BA0E37"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bl>
    <w:p w14:paraId="6BE4A2E7" w14:textId="77777777" w:rsidR="00D2162C" w:rsidRPr="00276A5B" w:rsidRDefault="00D2162C" w:rsidP="00D2162C">
      <w:pPr>
        <w:spacing w:beforeLines="50" w:before="120" w:afterLines="50" w:after="120" w:line="360" w:lineRule="auto"/>
        <w:rPr>
          <w:rFonts w:ascii="Arial" w:hAnsi="Arial" w:cs="Arial"/>
          <w:color w:val="000000" w:themeColor="text1"/>
        </w:rPr>
      </w:pPr>
    </w:p>
    <w:p w14:paraId="6A2ECEC4" w14:textId="354F9B6F" w:rsidR="00444620" w:rsidRPr="00276A5B" w:rsidRDefault="003B474F"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In response to </w:t>
      </w:r>
      <w:r w:rsidR="005B6AF4">
        <w:rPr>
          <w:rFonts w:ascii="Arial" w:hAnsi="Arial" w:cs="Arial"/>
          <w:color w:val="000000" w:themeColor="text1"/>
        </w:rPr>
        <w:t>the</w:t>
      </w:r>
      <w:r w:rsidRPr="00276A5B">
        <w:rPr>
          <w:rFonts w:ascii="Arial" w:hAnsi="Arial" w:cs="Arial"/>
          <w:color w:val="000000" w:themeColor="text1"/>
        </w:rPr>
        <w:t xml:space="preserve"> tribunal claim made </w:t>
      </w:r>
      <w:r w:rsidR="00F554BC" w:rsidRPr="00276A5B">
        <w:rPr>
          <w:rFonts w:ascii="Arial" w:hAnsi="Arial" w:cs="Arial"/>
          <w:color w:val="000000" w:themeColor="text1"/>
        </w:rPr>
        <w:t>by GR,</w:t>
      </w:r>
      <w:r w:rsidR="008619F8" w:rsidRPr="00276A5B">
        <w:rPr>
          <w:rFonts w:ascii="Arial" w:hAnsi="Arial" w:cs="Arial"/>
          <w:color w:val="000000" w:themeColor="text1"/>
        </w:rPr>
        <w:t xml:space="preserve"> Mechanic</w:t>
      </w:r>
      <w:r w:rsidR="00945B91" w:rsidRPr="00276A5B">
        <w:rPr>
          <w:rFonts w:ascii="Arial" w:hAnsi="Arial" w:cs="Arial"/>
          <w:color w:val="000000" w:themeColor="text1"/>
        </w:rPr>
        <w:t>,</w:t>
      </w:r>
      <w:r w:rsidRPr="00276A5B">
        <w:rPr>
          <w:rFonts w:ascii="Arial" w:hAnsi="Arial" w:cs="Arial"/>
          <w:color w:val="000000" w:themeColor="text1"/>
        </w:rPr>
        <w:t xml:space="preserve"> </w:t>
      </w:r>
      <w:r w:rsidR="00945B91" w:rsidRPr="00276A5B">
        <w:rPr>
          <w:rFonts w:ascii="Arial" w:hAnsi="Arial" w:cs="Arial"/>
          <w:color w:val="000000" w:themeColor="text1"/>
        </w:rPr>
        <w:t xml:space="preserve">I write to you </w:t>
      </w:r>
      <w:r w:rsidR="005B6AF4">
        <w:rPr>
          <w:rFonts w:ascii="Arial" w:hAnsi="Arial" w:cs="Arial"/>
          <w:color w:val="000000" w:themeColor="text1"/>
        </w:rPr>
        <w:t xml:space="preserve">regarding the </w:t>
      </w:r>
      <w:r w:rsidR="00945B91" w:rsidRPr="00276A5B">
        <w:rPr>
          <w:rFonts w:ascii="Arial" w:hAnsi="Arial" w:cs="Arial"/>
          <w:color w:val="000000" w:themeColor="text1"/>
        </w:rPr>
        <w:t>summary of</w:t>
      </w:r>
      <w:r w:rsidRPr="00276A5B">
        <w:rPr>
          <w:rFonts w:ascii="Arial" w:hAnsi="Arial" w:cs="Arial"/>
          <w:color w:val="000000" w:themeColor="text1"/>
        </w:rPr>
        <w:t xml:space="preserve"> claim</w:t>
      </w:r>
      <w:r w:rsidR="00945B91" w:rsidRPr="00276A5B">
        <w:rPr>
          <w:rFonts w:ascii="Arial" w:hAnsi="Arial" w:cs="Arial"/>
          <w:color w:val="000000" w:themeColor="text1"/>
        </w:rPr>
        <w:t>/s and advise the following;</w:t>
      </w:r>
    </w:p>
    <w:p w14:paraId="20BF28BF" w14:textId="77777777" w:rsidR="003B474F"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u w:val="single"/>
        </w:rPr>
      </w:pPr>
      <w:r w:rsidRPr="00276A5B">
        <w:rPr>
          <w:rFonts w:ascii="Arial" w:hAnsi="Arial" w:cs="Arial"/>
          <w:color w:val="000000" w:themeColor="text1"/>
          <w:u w:val="single"/>
        </w:rPr>
        <w:t xml:space="preserve">1. </w:t>
      </w:r>
      <w:r w:rsidR="00D2162C" w:rsidRPr="00276A5B">
        <w:rPr>
          <w:rFonts w:ascii="Arial" w:hAnsi="Arial" w:cs="Arial"/>
          <w:color w:val="000000" w:themeColor="text1"/>
          <w:u w:val="single"/>
        </w:rPr>
        <w:t>Process</w:t>
      </w:r>
      <w:r w:rsidR="003B474F" w:rsidRPr="00276A5B">
        <w:rPr>
          <w:rFonts w:ascii="Arial" w:hAnsi="Arial" w:cs="Arial"/>
          <w:color w:val="000000" w:themeColor="text1"/>
          <w:u w:val="single"/>
        </w:rPr>
        <w:t xml:space="preserve"> and times</w:t>
      </w:r>
      <w:r w:rsidR="00257930" w:rsidRPr="00276A5B">
        <w:rPr>
          <w:rFonts w:ascii="Arial" w:hAnsi="Arial" w:cs="Arial"/>
          <w:color w:val="000000" w:themeColor="text1"/>
          <w:u w:val="single"/>
        </w:rPr>
        <w:t>cales for responding to the ET1;</w:t>
      </w:r>
    </w:p>
    <w:p w14:paraId="608ADE4F" w14:textId="346E1478" w:rsidR="00257930" w:rsidRPr="00276A5B" w:rsidRDefault="004274CB"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I understand</w:t>
      </w:r>
      <w:r w:rsidR="00850129" w:rsidRPr="00276A5B">
        <w:rPr>
          <w:rFonts w:ascii="Arial" w:hAnsi="Arial" w:cs="Arial"/>
          <w:color w:val="000000" w:themeColor="text1"/>
        </w:rPr>
        <w:t xml:space="preserve"> </w:t>
      </w:r>
      <w:r w:rsidR="00D356D6">
        <w:rPr>
          <w:rFonts w:ascii="Arial" w:hAnsi="Arial" w:cs="Arial"/>
          <w:color w:val="000000" w:themeColor="text1"/>
        </w:rPr>
        <w:t xml:space="preserve">you </w:t>
      </w:r>
      <w:r w:rsidR="003B5EBA" w:rsidRPr="00276A5B">
        <w:rPr>
          <w:rFonts w:ascii="Arial" w:hAnsi="Arial" w:cs="Arial"/>
          <w:color w:val="000000" w:themeColor="text1"/>
        </w:rPr>
        <w:t>have received an ET2</w:t>
      </w:r>
      <w:r w:rsidR="003B474F" w:rsidRPr="00276A5B">
        <w:rPr>
          <w:rFonts w:ascii="Arial" w:hAnsi="Arial" w:cs="Arial"/>
          <w:color w:val="000000" w:themeColor="text1"/>
        </w:rPr>
        <w:t xml:space="preserve"> dated </w:t>
      </w:r>
      <w:r w:rsidR="00EF5163" w:rsidRPr="00276A5B">
        <w:rPr>
          <w:rFonts w:ascii="Arial" w:hAnsi="Arial" w:cs="Arial"/>
          <w:color w:val="000000" w:themeColor="text1"/>
        </w:rPr>
        <w:t>06</w:t>
      </w:r>
      <w:r w:rsidR="00EF5163" w:rsidRPr="00276A5B">
        <w:rPr>
          <w:rFonts w:ascii="Arial" w:hAnsi="Arial" w:cs="Arial"/>
          <w:color w:val="000000" w:themeColor="text1"/>
          <w:vertAlign w:val="superscript"/>
        </w:rPr>
        <w:t>th</w:t>
      </w:r>
      <w:r w:rsidR="00EF5163" w:rsidRPr="00276A5B">
        <w:rPr>
          <w:rFonts w:ascii="Arial" w:hAnsi="Arial" w:cs="Arial"/>
          <w:color w:val="000000" w:themeColor="text1"/>
        </w:rPr>
        <w:t xml:space="preserve"> December 2020</w:t>
      </w:r>
      <w:r>
        <w:rPr>
          <w:rFonts w:ascii="Arial" w:hAnsi="Arial" w:cs="Arial"/>
          <w:color w:val="000000" w:themeColor="text1"/>
        </w:rPr>
        <w:t xml:space="preserve">, from this you </w:t>
      </w:r>
      <w:r w:rsidR="003B474F" w:rsidRPr="00276A5B">
        <w:rPr>
          <w:rFonts w:ascii="Arial" w:hAnsi="Arial" w:cs="Arial"/>
          <w:color w:val="000000" w:themeColor="text1"/>
        </w:rPr>
        <w:t xml:space="preserve">have </w:t>
      </w:r>
      <w:r w:rsidR="003B474F" w:rsidRPr="004274CB">
        <w:rPr>
          <w:rFonts w:ascii="Arial" w:hAnsi="Arial" w:cs="Arial"/>
          <w:b/>
          <w:bCs/>
          <w:color w:val="000000" w:themeColor="text1"/>
        </w:rPr>
        <w:t>28 days</w:t>
      </w:r>
      <w:r w:rsidR="003B474F" w:rsidRPr="00276A5B">
        <w:rPr>
          <w:rFonts w:ascii="Arial" w:hAnsi="Arial" w:cs="Arial"/>
          <w:color w:val="000000" w:themeColor="text1"/>
        </w:rPr>
        <w:t xml:space="preserve"> to respond </w:t>
      </w:r>
      <w:r w:rsidR="00E748E9">
        <w:rPr>
          <w:rFonts w:ascii="Arial" w:hAnsi="Arial" w:cs="Arial"/>
          <w:color w:val="000000" w:themeColor="text1"/>
        </w:rPr>
        <w:t>moreover</w:t>
      </w:r>
      <w:r w:rsidR="00FC447E" w:rsidRPr="00276A5B">
        <w:rPr>
          <w:rFonts w:ascii="Arial" w:hAnsi="Arial" w:cs="Arial"/>
          <w:color w:val="000000" w:themeColor="text1"/>
        </w:rPr>
        <w:t xml:space="preserve"> </w:t>
      </w:r>
      <w:r w:rsidR="00D356D6">
        <w:rPr>
          <w:rFonts w:ascii="Arial" w:hAnsi="Arial" w:cs="Arial"/>
          <w:color w:val="000000" w:themeColor="text1"/>
        </w:rPr>
        <w:t>have the</w:t>
      </w:r>
      <w:r w:rsidR="00FC447E" w:rsidRPr="00276A5B">
        <w:rPr>
          <w:rFonts w:ascii="Arial" w:hAnsi="Arial" w:cs="Arial"/>
          <w:color w:val="000000" w:themeColor="text1"/>
        </w:rPr>
        <w:t xml:space="preserve"> opportunity to present </w:t>
      </w:r>
      <w:r>
        <w:rPr>
          <w:rFonts w:ascii="Arial" w:hAnsi="Arial" w:cs="Arial"/>
          <w:color w:val="000000" w:themeColor="text1"/>
        </w:rPr>
        <w:t>your version of events</w:t>
      </w:r>
      <w:r w:rsidR="00447DBD" w:rsidRPr="00276A5B">
        <w:rPr>
          <w:rStyle w:val="FootnoteReference"/>
          <w:rFonts w:ascii="Arial" w:hAnsi="Arial" w:cs="Arial"/>
          <w:color w:val="000000" w:themeColor="text1"/>
        </w:rPr>
        <w:footnoteReference w:id="1"/>
      </w:r>
      <w:r w:rsidR="003B5EBA" w:rsidRPr="00276A5B">
        <w:rPr>
          <w:rFonts w:ascii="Arial" w:hAnsi="Arial" w:cs="Arial"/>
          <w:color w:val="000000" w:themeColor="text1"/>
        </w:rPr>
        <w:t xml:space="preserve">. </w:t>
      </w:r>
      <w:r w:rsidR="003B474F" w:rsidRPr="00276A5B">
        <w:rPr>
          <w:rFonts w:ascii="Arial" w:hAnsi="Arial" w:cs="Arial"/>
          <w:color w:val="000000" w:themeColor="text1"/>
        </w:rPr>
        <w:t xml:space="preserve">Please </w:t>
      </w:r>
      <w:r w:rsidR="002661AE">
        <w:rPr>
          <w:rFonts w:ascii="Arial" w:hAnsi="Arial" w:cs="Arial"/>
          <w:color w:val="000000" w:themeColor="text1"/>
        </w:rPr>
        <w:t xml:space="preserve">clarify the employment details, </w:t>
      </w:r>
      <w:r w:rsidR="003B474F" w:rsidRPr="00276A5B">
        <w:rPr>
          <w:rFonts w:ascii="Arial" w:hAnsi="Arial" w:cs="Arial"/>
          <w:color w:val="000000" w:themeColor="text1"/>
        </w:rPr>
        <w:t xml:space="preserve">and understand the claims before responding </w:t>
      </w:r>
      <w:r w:rsidR="002661AE">
        <w:rPr>
          <w:rFonts w:ascii="Arial" w:hAnsi="Arial" w:cs="Arial"/>
          <w:color w:val="000000" w:themeColor="text1"/>
        </w:rPr>
        <w:t>via the</w:t>
      </w:r>
      <w:r w:rsidR="003B474F" w:rsidRPr="00276A5B">
        <w:rPr>
          <w:rFonts w:ascii="Arial" w:hAnsi="Arial" w:cs="Arial"/>
          <w:color w:val="000000" w:themeColor="text1"/>
        </w:rPr>
        <w:t xml:space="preserve"> ET3</w:t>
      </w:r>
      <w:r w:rsidR="00945B91" w:rsidRPr="00276A5B">
        <w:rPr>
          <w:rFonts w:ascii="Arial" w:hAnsi="Arial" w:cs="Arial"/>
          <w:color w:val="000000" w:themeColor="text1"/>
        </w:rPr>
        <w:t xml:space="preserve"> </w:t>
      </w:r>
      <w:r w:rsidR="00945B91" w:rsidRPr="00276A5B">
        <w:rPr>
          <w:rFonts w:ascii="Arial" w:hAnsi="Arial" w:cs="Arial"/>
          <w:b/>
          <w:i/>
          <w:color w:val="000000" w:themeColor="text1"/>
        </w:rPr>
        <w:t>by 03rd January 2021.</w:t>
      </w:r>
      <w:r w:rsidR="00945B91" w:rsidRPr="00276A5B">
        <w:rPr>
          <w:rFonts w:ascii="Arial" w:hAnsi="Arial" w:cs="Arial"/>
          <w:b/>
          <w:color w:val="000000" w:themeColor="text1"/>
        </w:rPr>
        <w:t xml:space="preserve"> </w:t>
      </w:r>
      <w:r w:rsidR="003B474F" w:rsidRPr="00276A5B">
        <w:rPr>
          <w:rFonts w:ascii="Arial" w:hAnsi="Arial" w:cs="Arial"/>
          <w:color w:val="000000" w:themeColor="text1"/>
        </w:rPr>
        <w:t xml:space="preserve"> </w:t>
      </w:r>
      <w:r w:rsidR="00D356D6">
        <w:rPr>
          <w:rFonts w:ascii="Arial" w:hAnsi="Arial" w:cs="Arial"/>
          <w:color w:val="000000" w:themeColor="text1"/>
        </w:rPr>
        <w:t xml:space="preserve">Your </w:t>
      </w:r>
      <w:r w:rsidR="003B474F" w:rsidRPr="00276A5B">
        <w:rPr>
          <w:rFonts w:ascii="Arial" w:hAnsi="Arial" w:cs="Arial"/>
          <w:color w:val="000000" w:themeColor="text1"/>
        </w:rPr>
        <w:t>ET3 response</w:t>
      </w:r>
      <w:r w:rsidR="00D356D6">
        <w:rPr>
          <w:rFonts w:ascii="Arial" w:hAnsi="Arial" w:cs="Arial"/>
          <w:color w:val="000000" w:themeColor="text1"/>
        </w:rPr>
        <w:t xml:space="preserve"> should </w:t>
      </w:r>
      <w:r w:rsidR="003B474F" w:rsidRPr="00276A5B">
        <w:rPr>
          <w:rFonts w:ascii="Arial" w:hAnsi="Arial" w:cs="Arial"/>
          <w:color w:val="000000" w:themeColor="text1"/>
        </w:rPr>
        <w:t xml:space="preserve">advise if </w:t>
      </w:r>
      <w:r w:rsidR="00D356D6">
        <w:rPr>
          <w:rFonts w:ascii="Arial" w:hAnsi="Arial" w:cs="Arial"/>
          <w:color w:val="000000" w:themeColor="text1"/>
        </w:rPr>
        <w:t>BB</w:t>
      </w:r>
      <w:r w:rsidR="003B474F" w:rsidRPr="00276A5B">
        <w:rPr>
          <w:rFonts w:ascii="Arial" w:hAnsi="Arial" w:cs="Arial"/>
          <w:color w:val="000000" w:themeColor="text1"/>
        </w:rPr>
        <w:t xml:space="preserve"> are defending the claim</w:t>
      </w:r>
      <w:r w:rsidR="00945B91" w:rsidRPr="00276A5B">
        <w:rPr>
          <w:rFonts w:ascii="Arial" w:hAnsi="Arial" w:cs="Arial"/>
          <w:color w:val="000000" w:themeColor="text1"/>
        </w:rPr>
        <w:t>/</w:t>
      </w:r>
      <w:r w:rsidR="003B474F" w:rsidRPr="00276A5B">
        <w:rPr>
          <w:rFonts w:ascii="Arial" w:hAnsi="Arial" w:cs="Arial"/>
          <w:color w:val="000000" w:themeColor="text1"/>
        </w:rPr>
        <w:t>s</w:t>
      </w:r>
      <w:r w:rsidR="00447DBD" w:rsidRPr="00276A5B">
        <w:rPr>
          <w:rStyle w:val="FootnoteReference"/>
          <w:rFonts w:ascii="Arial" w:hAnsi="Arial" w:cs="Arial"/>
          <w:color w:val="000000" w:themeColor="text1"/>
        </w:rPr>
        <w:footnoteReference w:id="2"/>
      </w:r>
      <w:r>
        <w:rPr>
          <w:rFonts w:ascii="Arial" w:hAnsi="Arial" w:cs="Arial"/>
          <w:color w:val="000000" w:themeColor="text1"/>
        </w:rPr>
        <w:t xml:space="preserve">, </w:t>
      </w:r>
      <w:r w:rsidR="00F554BC" w:rsidRPr="00276A5B">
        <w:rPr>
          <w:rFonts w:ascii="Arial" w:hAnsi="Arial" w:cs="Arial"/>
          <w:color w:val="000000" w:themeColor="text1"/>
        </w:rPr>
        <w:t xml:space="preserve">assess the merits of the claim, </w:t>
      </w:r>
      <w:r w:rsidR="00D356D6">
        <w:rPr>
          <w:rFonts w:ascii="Arial" w:hAnsi="Arial" w:cs="Arial"/>
          <w:color w:val="000000" w:themeColor="text1"/>
        </w:rPr>
        <w:t xml:space="preserve">and </w:t>
      </w:r>
      <w:r w:rsidR="00F554BC" w:rsidRPr="00276A5B">
        <w:rPr>
          <w:rFonts w:ascii="Arial" w:hAnsi="Arial" w:cs="Arial"/>
          <w:color w:val="000000" w:themeColor="text1"/>
        </w:rPr>
        <w:t>follow ACASCoP</w:t>
      </w:r>
      <w:r w:rsidR="00447DBD" w:rsidRPr="00276A5B">
        <w:rPr>
          <w:rStyle w:val="FootnoteReference"/>
          <w:rFonts w:ascii="Arial" w:hAnsi="Arial" w:cs="Arial"/>
          <w:color w:val="000000" w:themeColor="text1"/>
        </w:rPr>
        <w:footnoteReference w:id="3"/>
      </w:r>
      <w:r w:rsidR="00F554BC" w:rsidRPr="00276A5B">
        <w:rPr>
          <w:rFonts w:ascii="Arial" w:hAnsi="Arial" w:cs="Arial"/>
          <w:color w:val="000000" w:themeColor="text1"/>
        </w:rPr>
        <w:t xml:space="preserve">. </w:t>
      </w:r>
      <w:r w:rsidR="002661AE">
        <w:rPr>
          <w:rFonts w:ascii="Arial" w:hAnsi="Arial" w:cs="Arial"/>
          <w:color w:val="000000" w:themeColor="text1"/>
        </w:rPr>
        <w:t xml:space="preserve">Please check the paperwork attached to the ET1 for any scheduled hearings. The completed </w:t>
      </w:r>
      <w:r w:rsidR="00D356D6">
        <w:rPr>
          <w:rFonts w:ascii="Arial" w:hAnsi="Arial" w:cs="Arial"/>
          <w:color w:val="000000" w:themeColor="text1"/>
        </w:rPr>
        <w:t xml:space="preserve">ET3 </w:t>
      </w:r>
      <w:r w:rsidR="003B474F" w:rsidRPr="00276A5B">
        <w:rPr>
          <w:rFonts w:ascii="Arial" w:hAnsi="Arial" w:cs="Arial"/>
          <w:color w:val="000000" w:themeColor="text1"/>
        </w:rPr>
        <w:t xml:space="preserve">response can be </w:t>
      </w:r>
      <w:r w:rsidR="00945B91" w:rsidRPr="00276A5B">
        <w:rPr>
          <w:rFonts w:ascii="Arial" w:hAnsi="Arial" w:cs="Arial"/>
          <w:color w:val="000000" w:themeColor="text1"/>
        </w:rPr>
        <w:t xml:space="preserve">sent to the tribunals via email, </w:t>
      </w:r>
      <w:r w:rsidR="003B474F" w:rsidRPr="00276A5B">
        <w:rPr>
          <w:rFonts w:ascii="Arial" w:hAnsi="Arial" w:cs="Arial"/>
          <w:color w:val="000000" w:themeColor="text1"/>
        </w:rPr>
        <w:t>a conf</w:t>
      </w:r>
      <w:r w:rsidR="000C7075">
        <w:rPr>
          <w:rFonts w:ascii="Arial" w:hAnsi="Arial" w:cs="Arial"/>
          <w:color w:val="000000" w:themeColor="text1"/>
        </w:rPr>
        <w:t>irmation</w:t>
      </w:r>
      <w:r w:rsidR="003B474F" w:rsidRPr="00276A5B">
        <w:rPr>
          <w:rFonts w:ascii="Arial" w:hAnsi="Arial" w:cs="Arial"/>
          <w:color w:val="000000" w:themeColor="text1"/>
        </w:rPr>
        <w:t xml:space="preserve"> email </w:t>
      </w:r>
      <w:r w:rsidR="00FC447E" w:rsidRPr="00276A5B">
        <w:rPr>
          <w:rFonts w:ascii="Arial" w:hAnsi="Arial" w:cs="Arial"/>
          <w:color w:val="000000" w:themeColor="text1"/>
        </w:rPr>
        <w:t>returned</w:t>
      </w:r>
      <w:r w:rsidR="00945B91" w:rsidRPr="00276A5B">
        <w:rPr>
          <w:rFonts w:ascii="Arial" w:hAnsi="Arial" w:cs="Arial"/>
          <w:color w:val="000000" w:themeColor="text1"/>
        </w:rPr>
        <w:t xml:space="preserve"> once </w:t>
      </w:r>
      <w:r w:rsidR="003B474F" w:rsidRPr="00276A5B">
        <w:rPr>
          <w:rFonts w:ascii="Arial" w:hAnsi="Arial" w:cs="Arial"/>
          <w:color w:val="000000" w:themeColor="text1"/>
        </w:rPr>
        <w:t xml:space="preserve">received. </w:t>
      </w:r>
      <w:r w:rsidR="00D356D6">
        <w:rPr>
          <w:rFonts w:ascii="Arial" w:hAnsi="Arial" w:cs="Arial"/>
          <w:color w:val="000000" w:themeColor="text1"/>
        </w:rPr>
        <w:t>In</w:t>
      </w:r>
      <w:r w:rsidR="00FC447E" w:rsidRPr="00276A5B">
        <w:rPr>
          <w:rFonts w:ascii="Arial" w:hAnsi="Arial" w:cs="Arial"/>
          <w:color w:val="000000" w:themeColor="text1"/>
        </w:rPr>
        <w:t xml:space="preserve"> receipt of the ET3, </w:t>
      </w:r>
      <w:r w:rsidR="00115494" w:rsidRPr="00276A5B">
        <w:rPr>
          <w:rFonts w:ascii="Arial" w:hAnsi="Arial" w:cs="Arial"/>
          <w:color w:val="000000" w:themeColor="text1"/>
        </w:rPr>
        <w:t xml:space="preserve">an employment judge will usually sift and </w:t>
      </w:r>
      <w:r w:rsidR="00FC447E" w:rsidRPr="00276A5B">
        <w:rPr>
          <w:rFonts w:ascii="Arial" w:hAnsi="Arial" w:cs="Arial"/>
          <w:color w:val="000000" w:themeColor="text1"/>
        </w:rPr>
        <w:t xml:space="preserve">decide whether there will be a full hearing to decide on your case and </w:t>
      </w:r>
      <w:r w:rsidR="00115494" w:rsidRPr="00276A5B">
        <w:rPr>
          <w:rFonts w:ascii="Arial" w:hAnsi="Arial" w:cs="Arial"/>
          <w:color w:val="000000" w:themeColor="text1"/>
        </w:rPr>
        <w:t>issue a case management order setting out steps for both parties to take</w:t>
      </w:r>
      <w:r w:rsidR="00FC447E" w:rsidRPr="00276A5B">
        <w:rPr>
          <w:rFonts w:ascii="Arial" w:hAnsi="Arial" w:cs="Arial"/>
          <w:color w:val="000000" w:themeColor="text1"/>
        </w:rPr>
        <w:t>. If you do not submit the ET3 response, the tribunal will decide the outcome without your in</w:t>
      </w:r>
      <w:r w:rsidR="00257930" w:rsidRPr="00276A5B">
        <w:rPr>
          <w:rFonts w:ascii="Arial" w:hAnsi="Arial" w:cs="Arial"/>
          <w:color w:val="000000" w:themeColor="text1"/>
        </w:rPr>
        <w:t>put</w:t>
      </w:r>
      <w:r w:rsidR="00850129" w:rsidRPr="00276A5B">
        <w:rPr>
          <w:rFonts w:ascii="Arial" w:hAnsi="Arial" w:cs="Arial"/>
          <w:color w:val="000000" w:themeColor="text1"/>
        </w:rPr>
        <w:t xml:space="preserve"> which is called a ‘default judgement’</w:t>
      </w:r>
      <w:r w:rsidR="00447DBD" w:rsidRPr="00276A5B">
        <w:rPr>
          <w:rStyle w:val="FootnoteReference"/>
          <w:rFonts w:ascii="Arial" w:hAnsi="Arial" w:cs="Arial"/>
          <w:color w:val="000000" w:themeColor="text1"/>
        </w:rPr>
        <w:footnoteReference w:id="4"/>
      </w:r>
      <w:r w:rsidR="00115494" w:rsidRPr="00276A5B">
        <w:rPr>
          <w:rFonts w:ascii="Arial" w:hAnsi="Arial" w:cs="Arial"/>
          <w:color w:val="000000" w:themeColor="text1"/>
        </w:rPr>
        <w:t xml:space="preserve">. The judge may also list a preliminary hearing </w:t>
      </w:r>
      <w:r w:rsidR="00115494" w:rsidRPr="00276A5B">
        <w:rPr>
          <w:rFonts w:ascii="Arial" w:hAnsi="Arial" w:cs="Arial"/>
          <w:color w:val="000000" w:themeColor="text1"/>
        </w:rPr>
        <w:lastRenderedPageBreak/>
        <w:t xml:space="preserve">to consider case management issues. The hearing itself is generally less formal than other courts. </w:t>
      </w:r>
    </w:p>
    <w:p w14:paraId="4A7F5C02" w14:textId="77777777" w:rsidR="00257930" w:rsidRPr="002661AE" w:rsidRDefault="00257930" w:rsidP="00D2162C">
      <w:pPr>
        <w:spacing w:beforeLines="50" w:before="120" w:afterLines="50" w:after="120" w:line="360" w:lineRule="auto"/>
        <w:rPr>
          <w:rFonts w:ascii="Arial" w:hAnsi="Arial" w:cs="Arial"/>
          <w:b/>
          <w:color w:val="000000" w:themeColor="text1"/>
        </w:rPr>
      </w:pPr>
      <w:r w:rsidRPr="002661AE">
        <w:rPr>
          <w:rFonts w:ascii="Arial" w:hAnsi="Arial" w:cs="Arial"/>
          <w:b/>
          <w:color w:val="000000" w:themeColor="text1"/>
        </w:rPr>
        <w:t>Costs;</w:t>
      </w:r>
    </w:p>
    <w:p w14:paraId="12F9945E" w14:textId="77777777" w:rsidR="00115494" w:rsidRPr="00276A5B" w:rsidRDefault="00115494"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Costs do not ‘follow the event’ in employment tribunals as they do in civil courts. In other words, if a party is successful in bringing or defending a claim, the tribunal will not necessarily make an order that the unsuccessful party pays their costs. </w:t>
      </w:r>
    </w:p>
    <w:p w14:paraId="0BBD933F" w14:textId="77777777" w:rsidR="00257930" w:rsidRPr="002661AE" w:rsidRDefault="00257930" w:rsidP="00D2162C">
      <w:pPr>
        <w:spacing w:beforeLines="50" w:before="120" w:afterLines="50" w:after="120" w:line="360" w:lineRule="auto"/>
        <w:rPr>
          <w:rFonts w:ascii="Arial" w:hAnsi="Arial" w:cs="Arial"/>
          <w:b/>
          <w:color w:val="000000" w:themeColor="text1"/>
        </w:rPr>
      </w:pPr>
      <w:r w:rsidRPr="002661AE">
        <w:rPr>
          <w:rFonts w:ascii="Arial" w:hAnsi="Arial" w:cs="Arial"/>
          <w:b/>
          <w:color w:val="000000" w:themeColor="text1"/>
        </w:rPr>
        <w:t>Covid-19;</w:t>
      </w:r>
    </w:p>
    <w:p w14:paraId="59C17EEF" w14:textId="519ED706" w:rsidR="00444620" w:rsidRPr="00276A5B" w:rsidRDefault="00257930"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Hearings may be postponed and </w:t>
      </w:r>
      <w:r w:rsidR="00963E9D" w:rsidRPr="00276A5B">
        <w:rPr>
          <w:rFonts w:ascii="Arial" w:hAnsi="Arial" w:cs="Arial"/>
          <w:color w:val="000000" w:themeColor="text1"/>
        </w:rPr>
        <w:t xml:space="preserve">may </w:t>
      </w:r>
      <w:r w:rsidRPr="00276A5B">
        <w:rPr>
          <w:rFonts w:ascii="Arial" w:hAnsi="Arial" w:cs="Arial"/>
          <w:color w:val="000000" w:themeColor="text1"/>
        </w:rPr>
        <w:t>take place by phone or video</w:t>
      </w:r>
      <w:r w:rsidR="00447DBD" w:rsidRPr="00276A5B">
        <w:rPr>
          <w:rStyle w:val="FootnoteReference"/>
          <w:rFonts w:ascii="Arial" w:hAnsi="Arial" w:cs="Arial"/>
          <w:color w:val="000000" w:themeColor="text1"/>
        </w:rPr>
        <w:footnoteReference w:id="5"/>
      </w:r>
      <w:r w:rsidR="00447DBD" w:rsidRPr="00276A5B">
        <w:rPr>
          <w:rFonts w:ascii="Arial" w:hAnsi="Arial" w:cs="Arial"/>
          <w:color w:val="000000" w:themeColor="text1"/>
        </w:rPr>
        <w:t>.</w:t>
      </w:r>
      <w:r w:rsidR="00D356D6">
        <w:rPr>
          <w:rFonts w:ascii="Arial" w:hAnsi="Arial" w:cs="Arial"/>
          <w:color w:val="000000" w:themeColor="text1"/>
        </w:rPr>
        <w:t xml:space="preserve"> </w:t>
      </w:r>
      <w:r w:rsidR="003F06C9">
        <w:rPr>
          <w:rFonts w:ascii="Arial" w:hAnsi="Arial" w:cs="Arial"/>
          <w:color w:val="000000" w:themeColor="text1"/>
        </w:rPr>
        <w:t>Moreover</w:t>
      </w:r>
      <w:r w:rsidR="00F554BC" w:rsidRPr="00276A5B">
        <w:rPr>
          <w:rFonts w:ascii="Arial" w:hAnsi="Arial" w:cs="Arial"/>
          <w:color w:val="000000" w:themeColor="text1"/>
        </w:rPr>
        <w:t>, early conciliation can be offered</w:t>
      </w:r>
      <w:r w:rsidR="000C7075">
        <w:rPr>
          <w:rFonts w:ascii="Arial" w:hAnsi="Arial" w:cs="Arial"/>
          <w:color w:val="000000" w:themeColor="text1"/>
        </w:rPr>
        <w:t>. I</w:t>
      </w:r>
      <w:r w:rsidR="00F554BC" w:rsidRPr="00276A5B">
        <w:rPr>
          <w:rFonts w:ascii="Arial" w:hAnsi="Arial" w:cs="Arial"/>
          <w:color w:val="000000" w:themeColor="text1"/>
        </w:rPr>
        <w:t xml:space="preserve">f </w:t>
      </w:r>
      <w:r w:rsidR="000C7075">
        <w:rPr>
          <w:rFonts w:ascii="Arial" w:hAnsi="Arial" w:cs="Arial"/>
          <w:color w:val="000000" w:themeColor="text1"/>
        </w:rPr>
        <w:t xml:space="preserve">GR </w:t>
      </w:r>
      <w:r w:rsidR="00F554BC" w:rsidRPr="00276A5B">
        <w:rPr>
          <w:rFonts w:ascii="Arial" w:hAnsi="Arial" w:cs="Arial"/>
          <w:color w:val="000000" w:themeColor="text1"/>
        </w:rPr>
        <w:t xml:space="preserve">agrees </w:t>
      </w:r>
      <w:r w:rsidR="000C7075">
        <w:rPr>
          <w:rFonts w:ascii="Arial" w:hAnsi="Arial" w:cs="Arial"/>
          <w:color w:val="000000" w:themeColor="text1"/>
        </w:rPr>
        <w:t>to early conciliation then BB</w:t>
      </w:r>
      <w:r w:rsidR="00F554BC" w:rsidRPr="00276A5B">
        <w:rPr>
          <w:rFonts w:ascii="Arial" w:hAnsi="Arial" w:cs="Arial"/>
          <w:color w:val="000000" w:themeColor="text1"/>
        </w:rPr>
        <w:t xml:space="preserve"> will not need to go to tribunal</w:t>
      </w:r>
      <w:r w:rsidR="000C7075">
        <w:rPr>
          <w:rFonts w:ascii="Arial" w:hAnsi="Arial" w:cs="Arial"/>
          <w:color w:val="000000" w:themeColor="text1"/>
        </w:rPr>
        <w:t xml:space="preserve"> </w:t>
      </w:r>
      <w:r w:rsidR="00447DBD" w:rsidRPr="00276A5B">
        <w:rPr>
          <w:rStyle w:val="FootnoteReference"/>
          <w:rFonts w:ascii="Arial" w:hAnsi="Arial" w:cs="Arial"/>
          <w:color w:val="000000" w:themeColor="text1"/>
        </w:rPr>
        <w:footnoteReference w:id="6"/>
      </w:r>
      <w:r w:rsidR="00447DBD" w:rsidRPr="00276A5B">
        <w:rPr>
          <w:rFonts w:ascii="Arial" w:hAnsi="Arial" w:cs="Arial"/>
          <w:color w:val="000000" w:themeColor="text1"/>
        </w:rPr>
        <w:t>.</w:t>
      </w:r>
      <w:r w:rsidR="000C7075">
        <w:rPr>
          <w:rFonts w:ascii="Arial" w:hAnsi="Arial" w:cs="Arial"/>
          <w:color w:val="000000" w:themeColor="text1"/>
        </w:rPr>
        <w:t xml:space="preserve"> Otherwise, if </w:t>
      </w:r>
      <w:r w:rsidR="004274CB">
        <w:rPr>
          <w:rFonts w:ascii="Arial" w:hAnsi="Arial" w:cs="Arial"/>
          <w:color w:val="000000" w:themeColor="text1"/>
        </w:rPr>
        <w:t xml:space="preserve">conciliation fails the ET </w:t>
      </w:r>
      <w:r w:rsidR="000C7075">
        <w:rPr>
          <w:rFonts w:ascii="Arial" w:hAnsi="Arial" w:cs="Arial"/>
          <w:color w:val="000000" w:themeColor="text1"/>
        </w:rPr>
        <w:t>proceedings will continue to go ahead.</w:t>
      </w:r>
    </w:p>
    <w:p w14:paraId="6F2F7DFF" w14:textId="47F55590" w:rsidR="00A23900" w:rsidRPr="005A5083" w:rsidRDefault="00D80D66" w:rsidP="00D2162C">
      <w:pPr>
        <w:pStyle w:val="NormalWeb"/>
        <w:spacing w:beforeLines="50" w:before="120" w:beforeAutospacing="0" w:afterLines="50" w:after="120" w:afterAutospacing="0" w:line="360" w:lineRule="auto"/>
        <w:rPr>
          <w:rFonts w:ascii="Arial" w:hAnsi="Arial" w:cs="Arial"/>
          <w:b/>
          <w:color w:val="000000" w:themeColor="text1"/>
          <w:u w:val="single"/>
        </w:rPr>
      </w:pPr>
      <w:r w:rsidRPr="005A5083">
        <w:rPr>
          <w:rFonts w:ascii="Arial" w:hAnsi="Arial" w:cs="Arial"/>
          <w:b/>
          <w:color w:val="000000" w:themeColor="text1"/>
          <w:u w:val="single"/>
        </w:rPr>
        <w:t xml:space="preserve">2. </w:t>
      </w:r>
      <w:r w:rsidR="003B474F" w:rsidRPr="005A5083">
        <w:rPr>
          <w:rFonts w:ascii="Arial" w:hAnsi="Arial" w:cs="Arial"/>
          <w:b/>
          <w:color w:val="000000" w:themeColor="text1"/>
          <w:u w:val="single"/>
        </w:rPr>
        <w:t>D</w:t>
      </w:r>
      <w:r w:rsidR="00A23900" w:rsidRPr="005A5083">
        <w:rPr>
          <w:rFonts w:ascii="Arial" w:hAnsi="Arial" w:cs="Arial"/>
          <w:b/>
          <w:color w:val="000000" w:themeColor="text1"/>
          <w:u w:val="single"/>
        </w:rPr>
        <w:t>etails of the ground(s</w:t>
      </w:r>
      <w:r w:rsidR="00257930" w:rsidRPr="005A5083">
        <w:rPr>
          <w:rFonts w:ascii="Arial" w:hAnsi="Arial" w:cs="Arial"/>
          <w:b/>
          <w:color w:val="000000" w:themeColor="text1"/>
          <w:u w:val="single"/>
        </w:rPr>
        <w:t>) of any claim(s) being brought</w:t>
      </w:r>
      <w:r w:rsidR="00FA67E0" w:rsidRPr="005A5083">
        <w:rPr>
          <w:rFonts w:ascii="Arial" w:hAnsi="Arial" w:cs="Arial"/>
          <w:b/>
          <w:color w:val="000000" w:themeColor="text1"/>
          <w:u w:val="single"/>
        </w:rPr>
        <w:t xml:space="preserve"> and defence;</w:t>
      </w:r>
    </w:p>
    <w:p w14:paraId="72796F2A" w14:textId="328D6A1B" w:rsidR="00D86E9B" w:rsidRPr="00276A5B" w:rsidRDefault="00D86E9B" w:rsidP="00DC2B4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A dismissal for misconduct will only be fair if, </w:t>
      </w:r>
      <w:r w:rsidRPr="00AC3A07">
        <w:rPr>
          <w:rFonts w:ascii="Arial" w:hAnsi="Arial" w:cs="Arial"/>
          <w:color w:val="000000" w:themeColor="text1"/>
        </w:rPr>
        <w:t>at the time of dismissal</w:t>
      </w:r>
      <w:r w:rsidR="00D356D6" w:rsidRPr="00AC3A07">
        <w:rPr>
          <w:rStyle w:val="FootnoteReference"/>
          <w:rFonts w:ascii="Arial" w:hAnsi="Arial" w:cs="Arial"/>
          <w:color w:val="000000" w:themeColor="text1"/>
        </w:rPr>
        <w:footnoteReference w:id="7"/>
      </w:r>
      <w:r w:rsidR="000C7075" w:rsidRPr="00AC3A07">
        <w:rPr>
          <w:rFonts w:ascii="Arial" w:hAnsi="Arial" w:cs="Arial"/>
          <w:color w:val="000000" w:themeColor="text1"/>
        </w:rPr>
        <w:t xml:space="preserve"> BB believed GR to be guilty of misconduct and BB can evidence that they had a </w:t>
      </w:r>
      <w:r w:rsidR="00AC3A07" w:rsidRPr="00AC3A07">
        <w:rPr>
          <w:rFonts w:ascii="Arial" w:hAnsi="Arial" w:cs="Arial"/>
          <w:color w:val="000000" w:themeColor="text1"/>
        </w:rPr>
        <w:t>reasonable ground</w:t>
      </w:r>
      <w:r w:rsidR="000C7075" w:rsidRPr="00AC3A07">
        <w:rPr>
          <w:rFonts w:ascii="Arial" w:hAnsi="Arial" w:cs="Arial"/>
          <w:color w:val="000000" w:themeColor="text1"/>
        </w:rPr>
        <w:t xml:space="preserve"> for believing that GR was guilty of that misconduct and that a reasonable investigation was carried out </w:t>
      </w:r>
      <w:r w:rsidR="00D61C3D">
        <w:rPr>
          <w:rFonts w:ascii="Arial" w:hAnsi="Arial" w:cs="Arial"/>
          <w:color w:val="000000" w:themeColor="text1"/>
        </w:rPr>
        <w:t>obeying</w:t>
      </w:r>
      <w:r w:rsidR="00D61C3D" w:rsidRPr="00AC3A07">
        <w:rPr>
          <w:rFonts w:ascii="Arial" w:hAnsi="Arial" w:cs="Arial"/>
          <w:color w:val="000000" w:themeColor="text1"/>
        </w:rPr>
        <w:t xml:space="preserve"> </w:t>
      </w:r>
      <w:r w:rsidR="000C7075" w:rsidRPr="00AC3A07">
        <w:rPr>
          <w:rFonts w:ascii="Arial" w:hAnsi="Arial" w:cs="Arial"/>
          <w:color w:val="000000" w:themeColor="text1"/>
        </w:rPr>
        <w:t>Burchell test.</w:t>
      </w:r>
      <w:r w:rsidR="000C7075">
        <w:rPr>
          <w:rFonts w:ascii="Arial" w:hAnsi="Arial" w:cs="Arial"/>
          <w:color w:val="000000" w:themeColor="text1"/>
          <w:u w:val="single"/>
        </w:rPr>
        <w:t xml:space="preserve"> </w:t>
      </w:r>
    </w:p>
    <w:p w14:paraId="1F1AEB83" w14:textId="660949AB" w:rsidR="00AC3A07" w:rsidRPr="005A5083" w:rsidRDefault="00D80D66" w:rsidP="00D2162C">
      <w:pPr>
        <w:pStyle w:val="NormalWeb"/>
        <w:spacing w:beforeLines="50" w:before="120" w:beforeAutospacing="0" w:afterLines="50" w:after="120" w:afterAutospacing="0" w:line="360" w:lineRule="auto"/>
        <w:rPr>
          <w:rFonts w:ascii="Arial" w:hAnsi="Arial" w:cs="Arial"/>
          <w:b/>
          <w:color w:val="000000" w:themeColor="text1"/>
        </w:rPr>
      </w:pPr>
      <w:r w:rsidRPr="005A5083">
        <w:rPr>
          <w:rFonts w:ascii="Arial" w:hAnsi="Arial" w:cs="Arial"/>
          <w:b/>
          <w:color w:val="000000" w:themeColor="text1"/>
        </w:rPr>
        <w:t xml:space="preserve">A) </w:t>
      </w:r>
      <w:r w:rsidR="00115D82" w:rsidRPr="005A5083">
        <w:rPr>
          <w:rFonts w:ascii="Arial" w:hAnsi="Arial" w:cs="Arial"/>
          <w:b/>
          <w:color w:val="000000" w:themeColor="text1"/>
        </w:rPr>
        <w:t xml:space="preserve">Ordinary </w:t>
      </w:r>
      <w:r w:rsidR="00115494" w:rsidRPr="005A5083">
        <w:rPr>
          <w:rFonts w:ascii="Arial" w:hAnsi="Arial" w:cs="Arial"/>
          <w:b/>
          <w:color w:val="000000" w:themeColor="text1"/>
        </w:rPr>
        <w:t>U</w:t>
      </w:r>
      <w:r w:rsidR="00A23900" w:rsidRPr="005A5083">
        <w:rPr>
          <w:rFonts w:ascii="Arial" w:hAnsi="Arial" w:cs="Arial"/>
          <w:b/>
          <w:color w:val="000000" w:themeColor="text1"/>
        </w:rPr>
        <w:t xml:space="preserve">nfair </w:t>
      </w:r>
      <w:r w:rsidR="00115494" w:rsidRPr="005A5083">
        <w:rPr>
          <w:rFonts w:ascii="Arial" w:hAnsi="Arial" w:cs="Arial"/>
          <w:b/>
          <w:color w:val="000000" w:themeColor="text1"/>
        </w:rPr>
        <w:t>D</w:t>
      </w:r>
      <w:r w:rsidR="00A23900" w:rsidRPr="005A5083">
        <w:rPr>
          <w:rFonts w:ascii="Arial" w:hAnsi="Arial" w:cs="Arial"/>
          <w:b/>
          <w:color w:val="000000" w:themeColor="text1"/>
        </w:rPr>
        <w:t>ismissal</w:t>
      </w:r>
      <w:r w:rsidR="00404C89" w:rsidRPr="005A5083">
        <w:rPr>
          <w:rFonts w:ascii="Arial" w:hAnsi="Arial" w:cs="Arial"/>
          <w:b/>
          <w:color w:val="000000" w:themeColor="text1"/>
        </w:rPr>
        <w:t xml:space="preserve"> </w:t>
      </w:r>
      <w:r w:rsidR="00404C89" w:rsidRPr="00266462">
        <w:rPr>
          <w:rFonts w:ascii="Arial" w:hAnsi="Arial" w:cs="Arial"/>
          <w:color w:val="000000" w:themeColor="text1"/>
        </w:rPr>
        <w:t>(</w:t>
      </w:r>
      <w:r w:rsidR="008B08B9" w:rsidRPr="00266462">
        <w:rPr>
          <w:rFonts w:ascii="Arial" w:hAnsi="Arial" w:cs="Arial"/>
          <w:color w:val="000000" w:themeColor="text1"/>
        </w:rPr>
        <w:t>minimum of two years</w:t>
      </w:r>
      <w:r w:rsidR="00841313" w:rsidRPr="00266462">
        <w:rPr>
          <w:rFonts w:ascii="Arial" w:hAnsi="Arial" w:cs="Arial"/>
          <w:color w:val="000000" w:themeColor="text1"/>
        </w:rPr>
        <w:t xml:space="preserve"> service</w:t>
      </w:r>
      <w:r w:rsidR="00447DBD" w:rsidRPr="00266462">
        <w:rPr>
          <w:rStyle w:val="FootnoteReference"/>
          <w:rFonts w:ascii="Arial" w:hAnsi="Arial" w:cs="Arial"/>
          <w:color w:val="000000" w:themeColor="text1"/>
        </w:rPr>
        <w:footnoteReference w:id="8"/>
      </w:r>
      <w:r w:rsidR="002343A5" w:rsidRPr="00266462">
        <w:rPr>
          <w:rFonts w:ascii="Arial" w:hAnsi="Arial" w:cs="Arial"/>
          <w:noProof/>
          <w:color w:val="000000" w:themeColor="text1"/>
        </w:rPr>
        <w:t>)</w:t>
      </w:r>
    </w:p>
    <w:p w14:paraId="6D74EA73" w14:textId="43EEAC1F" w:rsidR="00074300" w:rsidRDefault="00AC3A07"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 xml:space="preserve">Whilst BB considers the dismissal of GR to be gross misconduct, which is ‘fair’ under your </w:t>
      </w:r>
      <w:r w:rsidR="004F3823">
        <w:rPr>
          <w:rFonts w:ascii="Arial" w:hAnsi="Arial" w:cs="Arial"/>
          <w:color w:val="000000" w:themeColor="text1"/>
        </w:rPr>
        <w:t xml:space="preserve">employer </w:t>
      </w:r>
      <w:r>
        <w:rPr>
          <w:rFonts w:ascii="Arial" w:hAnsi="Arial" w:cs="Arial"/>
          <w:color w:val="000000" w:themeColor="text1"/>
        </w:rPr>
        <w:t xml:space="preserve">rights to dismiss an employee for </w:t>
      </w:r>
      <w:r w:rsidR="00841313">
        <w:rPr>
          <w:rFonts w:ascii="Arial" w:hAnsi="Arial" w:cs="Arial"/>
          <w:color w:val="000000" w:themeColor="text1"/>
        </w:rPr>
        <w:t xml:space="preserve">the </w:t>
      </w:r>
      <w:r>
        <w:rPr>
          <w:rFonts w:ascii="Arial" w:hAnsi="Arial" w:cs="Arial"/>
          <w:color w:val="000000" w:themeColor="text1"/>
        </w:rPr>
        <w:t>behaviour in question</w:t>
      </w:r>
      <w:r w:rsidR="004F3823">
        <w:rPr>
          <w:rFonts w:ascii="Arial" w:hAnsi="Arial" w:cs="Arial"/>
          <w:color w:val="000000" w:themeColor="text1"/>
        </w:rPr>
        <w:t>, t</w:t>
      </w:r>
      <w:r>
        <w:rPr>
          <w:rFonts w:ascii="Arial" w:hAnsi="Arial" w:cs="Arial"/>
          <w:color w:val="000000" w:themeColor="text1"/>
        </w:rPr>
        <w:t xml:space="preserve">he ET will look at whether </w:t>
      </w:r>
      <w:r w:rsidR="00850129" w:rsidRPr="00276A5B">
        <w:rPr>
          <w:rFonts w:ascii="Arial" w:hAnsi="Arial" w:cs="Arial"/>
          <w:color w:val="000000" w:themeColor="text1"/>
        </w:rPr>
        <w:t>BB</w:t>
      </w:r>
      <w:r w:rsidR="003B474F" w:rsidRPr="00276A5B">
        <w:rPr>
          <w:rFonts w:ascii="Arial" w:hAnsi="Arial" w:cs="Arial"/>
          <w:color w:val="000000" w:themeColor="text1"/>
        </w:rPr>
        <w:t xml:space="preserve"> </w:t>
      </w:r>
      <w:r w:rsidR="00A23900" w:rsidRPr="00276A5B">
        <w:rPr>
          <w:rFonts w:ascii="Arial" w:hAnsi="Arial" w:cs="Arial"/>
          <w:color w:val="000000" w:themeColor="text1"/>
        </w:rPr>
        <w:t>follow</w:t>
      </w:r>
      <w:r>
        <w:rPr>
          <w:rFonts w:ascii="Arial" w:hAnsi="Arial" w:cs="Arial"/>
          <w:color w:val="000000" w:themeColor="text1"/>
        </w:rPr>
        <w:t>ed</w:t>
      </w:r>
      <w:r w:rsidR="003B474F" w:rsidRPr="00276A5B">
        <w:rPr>
          <w:rFonts w:ascii="Arial" w:hAnsi="Arial" w:cs="Arial"/>
          <w:color w:val="000000" w:themeColor="text1"/>
        </w:rPr>
        <w:t xml:space="preserve"> </w:t>
      </w:r>
      <w:r>
        <w:rPr>
          <w:rFonts w:ascii="Arial" w:hAnsi="Arial" w:cs="Arial"/>
          <w:color w:val="000000" w:themeColor="text1"/>
        </w:rPr>
        <w:t xml:space="preserve">fair process </w:t>
      </w:r>
      <w:r w:rsidR="00F62811">
        <w:rPr>
          <w:rFonts w:ascii="Arial" w:hAnsi="Arial" w:cs="Arial"/>
          <w:color w:val="000000" w:themeColor="text1"/>
        </w:rPr>
        <w:t>according to</w:t>
      </w:r>
      <w:r>
        <w:rPr>
          <w:rFonts w:ascii="Arial" w:hAnsi="Arial" w:cs="Arial"/>
          <w:color w:val="000000" w:themeColor="text1"/>
        </w:rPr>
        <w:t xml:space="preserve"> </w:t>
      </w:r>
      <w:r w:rsidR="00850129" w:rsidRPr="00276A5B">
        <w:rPr>
          <w:rFonts w:ascii="Arial" w:hAnsi="Arial" w:cs="Arial"/>
          <w:color w:val="000000" w:themeColor="text1"/>
        </w:rPr>
        <w:t>ACASCoP</w:t>
      </w:r>
      <w:r w:rsidR="00447DBD" w:rsidRPr="00276A5B">
        <w:rPr>
          <w:rStyle w:val="FootnoteReference"/>
          <w:rFonts w:ascii="Arial" w:hAnsi="Arial" w:cs="Arial"/>
          <w:color w:val="000000" w:themeColor="text1"/>
        </w:rPr>
        <w:footnoteReference w:id="9"/>
      </w:r>
      <w:r>
        <w:rPr>
          <w:rFonts w:ascii="Arial" w:hAnsi="Arial" w:cs="Arial"/>
          <w:color w:val="000000" w:themeColor="text1"/>
        </w:rPr>
        <w:t xml:space="preserve">. </w:t>
      </w:r>
      <w:r w:rsidR="00FA67E0">
        <w:rPr>
          <w:rFonts w:ascii="Arial" w:hAnsi="Arial" w:cs="Arial"/>
          <w:color w:val="000000" w:themeColor="text1"/>
        </w:rPr>
        <w:t xml:space="preserve">GR will likely argue that </w:t>
      </w:r>
      <w:r w:rsidR="00074300">
        <w:rPr>
          <w:rFonts w:ascii="Arial" w:hAnsi="Arial" w:cs="Arial"/>
          <w:color w:val="000000" w:themeColor="text1"/>
        </w:rPr>
        <w:t>BB</w:t>
      </w:r>
      <w:r w:rsidR="00FA67E0">
        <w:rPr>
          <w:rFonts w:ascii="Arial" w:hAnsi="Arial" w:cs="Arial"/>
          <w:color w:val="000000" w:themeColor="text1"/>
        </w:rPr>
        <w:t xml:space="preserve"> did not allow</w:t>
      </w:r>
      <w:r w:rsidR="003B474F" w:rsidRPr="00276A5B">
        <w:rPr>
          <w:rFonts w:ascii="Arial" w:hAnsi="Arial" w:cs="Arial"/>
          <w:color w:val="000000" w:themeColor="text1"/>
        </w:rPr>
        <w:t xml:space="preserve"> </w:t>
      </w:r>
      <w:r w:rsidR="00074300">
        <w:rPr>
          <w:rFonts w:ascii="Arial" w:hAnsi="Arial" w:cs="Arial"/>
          <w:color w:val="000000" w:themeColor="text1"/>
        </w:rPr>
        <w:t xml:space="preserve">fair process and </w:t>
      </w:r>
      <w:r w:rsidR="00A23900" w:rsidRPr="00276A5B">
        <w:rPr>
          <w:rFonts w:ascii="Arial" w:hAnsi="Arial" w:cs="Arial"/>
          <w:color w:val="000000" w:themeColor="text1"/>
        </w:rPr>
        <w:t>ade</w:t>
      </w:r>
      <w:r w:rsidR="00D80D66" w:rsidRPr="00276A5B">
        <w:rPr>
          <w:rFonts w:ascii="Arial" w:hAnsi="Arial" w:cs="Arial"/>
          <w:color w:val="000000" w:themeColor="text1"/>
        </w:rPr>
        <w:t>quate time for appeal</w:t>
      </w:r>
      <w:r w:rsidR="004F3823">
        <w:rPr>
          <w:rFonts w:ascii="Arial" w:hAnsi="Arial" w:cs="Arial"/>
          <w:color w:val="000000" w:themeColor="text1"/>
        </w:rPr>
        <w:t>, this is likely to</w:t>
      </w:r>
      <w:r w:rsidR="00074300">
        <w:rPr>
          <w:rFonts w:ascii="Arial" w:hAnsi="Arial" w:cs="Arial"/>
          <w:color w:val="000000" w:themeColor="text1"/>
        </w:rPr>
        <w:t xml:space="preserve"> leave BB open to risk in terms of procedural fairness</w:t>
      </w:r>
      <w:r w:rsidR="00447DBD" w:rsidRPr="00276A5B">
        <w:rPr>
          <w:rStyle w:val="FootnoteReference"/>
          <w:rFonts w:ascii="Arial" w:hAnsi="Arial" w:cs="Arial"/>
          <w:color w:val="000000" w:themeColor="text1"/>
        </w:rPr>
        <w:footnoteReference w:id="10"/>
      </w:r>
      <w:r w:rsidR="003B474F" w:rsidRPr="00276A5B">
        <w:rPr>
          <w:rFonts w:ascii="Arial" w:hAnsi="Arial" w:cs="Arial"/>
          <w:color w:val="000000" w:themeColor="text1"/>
        </w:rPr>
        <w:t>.</w:t>
      </w:r>
      <w:r w:rsidR="00266462">
        <w:rPr>
          <w:rFonts w:ascii="Arial" w:hAnsi="Arial" w:cs="Arial"/>
          <w:color w:val="000000" w:themeColor="text1"/>
        </w:rPr>
        <w:t xml:space="preserve"> </w:t>
      </w:r>
      <w:r w:rsidR="00266462" w:rsidRPr="00276A5B">
        <w:rPr>
          <w:rFonts w:ascii="Arial" w:hAnsi="Arial" w:cs="Arial"/>
          <w:color w:val="000000" w:themeColor="text1"/>
        </w:rPr>
        <w:t xml:space="preserve">Based on the ground that BB failed to consult, </w:t>
      </w:r>
      <w:r w:rsidR="004F3823">
        <w:rPr>
          <w:rFonts w:ascii="Arial" w:hAnsi="Arial" w:cs="Arial"/>
          <w:color w:val="000000" w:themeColor="text1"/>
        </w:rPr>
        <w:t>GR</w:t>
      </w:r>
      <w:r w:rsidR="00266462" w:rsidRPr="00276A5B">
        <w:rPr>
          <w:rFonts w:ascii="Arial" w:hAnsi="Arial" w:cs="Arial"/>
          <w:color w:val="000000" w:themeColor="text1"/>
        </w:rPr>
        <w:t xml:space="preserve"> could bring this claim of unfair dismissal</w:t>
      </w:r>
      <w:r w:rsidR="00266462" w:rsidRPr="00276A5B">
        <w:rPr>
          <w:rStyle w:val="FootnoteReference"/>
          <w:rFonts w:ascii="Arial" w:hAnsi="Arial" w:cs="Arial"/>
          <w:color w:val="000000" w:themeColor="text1"/>
        </w:rPr>
        <w:footnoteReference w:id="11"/>
      </w:r>
      <w:r w:rsidR="00266462" w:rsidRPr="00276A5B">
        <w:rPr>
          <w:rFonts w:ascii="Arial" w:hAnsi="Arial" w:cs="Arial"/>
          <w:color w:val="000000" w:themeColor="text1"/>
        </w:rPr>
        <w:t xml:space="preserve"> </w:t>
      </w:r>
      <w:r w:rsidR="004F3823">
        <w:rPr>
          <w:rFonts w:ascii="Arial" w:hAnsi="Arial" w:cs="Arial"/>
          <w:color w:val="000000" w:themeColor="text1"/>
        </w:rPr>
        <w:t>assessed against the</w:t>
      </w:r>
      <w:r w:rsidR="00266462" w:rsidRPr="00276A5B">
        <w:rPr>
          <w:rFonts w:ascii="Arial" w:hAnsi="Arial" w:cs="Arial"/>
          <w:color w:val="000000" w:themeColor="text1"/>
        </w:rPr>
        <w:t xml:space="preserve"> reasonableness test set out in The ERA 1996, section 98</w:t>
      </w:r>
      <w:r w:rsidR="00266462" w:rsidRPr="00276A5B">
        <w:rPr>
          <w:rStyle w:val="FootnoteReference"/>
          <w:rFonts w:ascii="Arial" w:hAnsi="Arial" w:cs="Arial"/>
          <w:color w:val="000000" w:themeColor="text1"/>
        </w:rPr>
        <w:footnoteReference w:id="12"/>
      </w:r>
      <w:r w:rsidR="00266462" w:rsidRPr="00276A5B">
        <w:rPr>
          <w:rFonts w:ascii="Arial" w:hAnsi="Arial" w:cs="Arial"/>
          <w:color w:val="000000" w:themeColor="text1"/>
        </w:rPr>
        <w:t xml:space="preserve">, supported in the case of John-Charles v NHS Business Services Authority for not being told about the </w:t>
      </w:r>
      <w:r w:rsidR="00266462" w:rsidRPr="00276A5B">
        <w:rPr>
          <w:rFonts w:ascii="Arial" w:hAnsi="Arial" w:cs="Arial"/>
          <w:color w:val="000000" w:themeColor="text1"/>
        </w:rPr>
        <w:lastRenderedPageBreak/>
        <w:t>significance of the process ‘breach of the rules of national justice’</w:t>
      </w:r>
      <w:r w:rsidR="00266462" w:rsidRPr="00276A5B">
        <w:rPr>
          <w:rStyle w:val="FootnoteReference"/>
          <w:rFonts w:ascii="Arial" w:hAnsi="Arial" w:cs="Arial"/>
          <w:color w:val="000000" w:themeColor="text1"/>
        </w:rPr>
        <w:footnoteReference w:id="13"/>
      </w:r>
      <w:r w:rsidR="00266462" w:rsidRPr="00276A5B">
        <w:rPr>
          <w:rFonts w:ascii="Arial" w:hAnsi="Arial" w:cs="Arial"/>
          <w:color w:val="000000" w:themeColor="text1"/>
        </w:rPr>
        <w:t xml:space="preserve">. </w:t>
      </w:r>
      <w:r w:rsidR="003F06C9">
        <w:rPr>
          <w:rFonts w:ascii="Arial" w:hAnsi="Arial" w:cs="Arial"/>
          <w:color w:val="000000" w:themeColor="text1"/>
        </w:rPr>
        <w:t>Moreover</w:t>
      </w:r>
      <w:r w:rsidR="004A148D" w:rsidRPr="00276A5B">
        <w:rPr>
          <w:rFonts w:ascii="Arial" w:hAnsi="Arial" w:cs="Arial"/>
          <w:color w:val="000000" w:themeColor="text1"/>
        </w:rPr>
        <w:t>,</w:t>
      </w:r>
      <w:r w:rsidR="003B474F" w:rsidRPr="00276A5B">
        <w:rPr>
          <w:rFonts w:ascii="Arial" w:hAnsi="Arial" w:cs="Arial"/>
          <w:color w:val="000000" w:themeColor="text1"/>
        </w:rPr>
        <w:t xml:space="preserve"> </w:t>
      </w:r>
      <w:r w:rsidR="00074300">
        <w:rPr>
          <w:rFonts w:ascii="Arial" w:hAnsi="Arial" w:cs="Arial"/>
          <w:color w:val="000000" w:themeColor="text1"/>
        </w:rPr>
        <w:t xml:space="preserve">GR is likely to argue that </w:t>
      </w:r>
      <w:r w:rsidR="00D86E9B" w:rsidRPr="00276A5B">
        <w:rPr>
          <w:rFonts w:ascii="Arial" w:hAnsi="Arial" w:cs="Arial"/>
          <w:color w:val="000000" w:themeColor="text1"/>
        </w:rPr>
        <w:t xml:space="preserve">TU </w:t>
      </w:r>
      <w:r w:rsidR="004A148D" w:rsidRPr="00276A5B">
        <w:rPr>
          <w:rFonts w:ascii="Arial" w:hAnsi="Arial" w:cs="Arial"/>
          <w:color w:val="000000" w:themeColor="text1"/>
        </w:rPr>
        <w:t>representation</w:t>
      </w:r>
      <w:r w:rsidR="00DC2B4C">
        <w:rPr>
          <w:rFonts w:ascii="Arial" w:hAnsi="Arial" w:cs="Arial"/>
          <w:color w:val="000000" w:themeColor="text1"/>
        </w:rPr>
        <w:t xml:space="preserve"> or the right to be accompanied</w:t>
      </w:r>
      <w:r w:rsidR="004A148D" w:rsidRPr="00276A5B">
        <w:rPr>
          <w:rFonts w:ascii="Arial" w:hAnsi="Arial" w:cs="Arial"/>
          <w:color w:val="000000" w:themeColor="text1"/>
        </w:rPr>
        <w:t xml:space="preserve"> was </w:t>
      </w:r>
      <w:r w:rsidR="00E65262" w:rsidRPr="00276A5B">
        <w:rPr>
          <w:rFonts w:ascii="Arial" w:hAnsi="Arial" w:cs="Arial"/>
          <w:color w:val="000000" w:themeColor="text1"/>
        </w:rPr>
        <w:t xml:space="preserve">not </w:t>
      </w:r>
      <w:r w:rsidR="007352EF">
        <w:rPr>
          <w:rFonts w:ascii="Arial" w:hAnsi="Arial" w:cs="Arial"/>
          <w:color w:val="000000" w:themeColor="text1"/>
        </w:rPr>
        <w:t>provided</w:t>
      </w:r>
      <w:r w:rsidR="004F3823">
        <w:rPr>
          <w:rFonts w:ascii="Arial" w:hAnsi="Arial" w:cs="Arial"/>
          <w:color w:val="000000" w:themeColor="text1"/>
        </w:rPr>
        <w:t>, which is not</w:t>
      </w:r>
      <w:r w:rsidR="00074300">
        <w:rPr>
          <w:rFonts w:ascii="Arial" w:hAnsi="Arial" w:cs="Arial"/>
          <w:color w:val="000000" w:themeColor="text1"/>
        </w:rPr>
        <w:t xml:space="preserve"> evidenced in </w:t>
      </w:r>
      <w:r w:rsidR="007352EF">
        <w:rPr>
          <w:rFonts w:ascii="Arial" w:hAnsi="Arial" w:cs="Arial"/>
          <w:color w:val="000000" w:themeColor="text1"/>
        </w:rPr>
        <w:t xml:space="preserve">written </w:t>
      </w:r>
      <w:r w:rsidR="00CC6917">
        <w:rPr>
          <w:rFonts w:ascii="Arial" w:hAnsi="Arial" w:cs="Arial"/>
          <w:color w:val="000000" w:themeColor="text1"/>
        </w:rPr>
        <w:t>correspondence</w:t>
      </w:r>
      <w:r w:rsidR="00447DBD" w:rsidRPr="00276A5B">
        <w:rPr>
          <w:rStyle w:val="FootnoteReference"/>
          <w:rFonts w:ascii="Arial" w:hAnsi="Arial" w:cs="Arial"/>
          <w:color w:val="000000" w:themeColor="text1"/>
        </w:rPr>
        <w:footnoteReference w:id="14"/>
      </w:r>
      <w:r w:rsidR="00496D8A" w:rsidRPr="00276A5B">
        <w:rPr>
          <w:rStyle w:val="FootnoteReference"/>
          <w:rFonts w:ascii="Arial" w:hAnsi="Arial" w:cs="Arial"/>
          <w:color w:val="000000" w:themeColor="text1"/>
        </w:rPr>
        <w:footnoteReference w:id="15"/>
      </w:r>
      <w:r w:rsidR="00074300">
        <w:rPr>
          <w:rFonts w:ascii="Arial" w:hAnsi="Arial" w:cs="Arial"/>
          <w:color w:val="000000" w:themeColor="text1"/>
        </w:rPr>
        <w:t>, leaving BB open to criticism by the ET</w:t>
      </w:r>
      <w:r w:rsidR="00447DBD" w:rsidRPr="00276A5B">
        <w:rPr>
          <w:rFonts w:ascii="Arial" w:hAnsi="Arial" w:cs="Arial"/>
          <w:color w:val="000000" w:themeColor="text1"/>
        </w:rPr>
        <w:t xml:space="preserve">. </w:t>
      </w:r>
      <w:r w:rsidR="004F3823">
        <w:rPr>
          <w:rFonts w:ascii="Arial" w:hAnsi="Arial" w:cs="Arial"/>
          <w:color w:val="000000" w:themeColor="text1"/>
        </w:rPr>
        <w:t>It is likely that GR will argue that he was not given sight of documentation prior to the hearing and that a ‘fair’ investigation was not conducted</w:t>
      </w:r>
      <w:r w:rsidR="004F3823" w:rsidRPr="00276A5B">
        <w:rPr>
          <w:rStyle w:val="FootnoteReference"/>
          <w:rFonts w:ascii="Arial" w:hAnsi="Arial" w:cs="Arial"/>
          <w:color w:val="000000" w:themeColor="text1"/>
        </w:rPr>
        <w:footnoteReference w:id="16"/>
      </w:r>
      <w:r w:rsidR="004F3823" w:rsidRPr="005A5083">
        <w:rPr>
          <w:rStyle w:val="FootnoteReference"/>
          <w:rFonts w:ascii="Arial" w:hAnsi="Arial" w:cs="Arial"/>
          <w:color w:val="000000" w:themeColor="text1"/>
        </w:rPr>
        <w:footnoteReference w:id="17"/>
      </w:r>
      <w:r w:rsidR="008662FC">
        <w:rPr>
          <w:rFonts w:ascii="Arial" w:hAnsi="Arial" w:cs="Arial"/>
          <w:color w:val="000000" w:themeColor="text1"/>
        </w:rPr>
        <w:t xml:space="preserve"> as illustrated in the case of Archer and another V Solvent Resource Management Limited (2009)</w:t>
      </w:r>
      <w:r w:rsidR="004F3823" w:rsidRPr="005A5083">
        <w:rPr>
          <w:rFonts w:ascii="Arial" w:hAnsi="Arial" w:cs="Arial"/>
          <w:color w:val="000000" w:themeColor="text1"/>
        </w:rPr>
        <w:t>.</w:t>
      </w:r>
      <w:r w:rsidR="004F3823">
        <w:rPr>
          <w:rFonts w:ascii="Arial" w:hAnsi="Arial" w:cs="Arial"/>
          <w:color w:val="000000" w:themeColor="text1"/>
        </w:rPr>
        <w:t xml:space="preserve"> </w:t>
      </w:r>
      <w:r w:rsidR="00074300">
        <w:rPr>
          <w:rFonts w:ascii="Arial" w:hAnsi="Arial" w:cs="Arial"/>
          <w:color w:val="000000" w:themeColor="text1"/>
        </w:rPr>
        <w:t xml:space="preserve">I would suggest that BB would need to review its internal policy and procedure relating to disciplinary </w:t>
      </w:r>
      <w:r w:rsidR="00F62811">
        <w:rPr>
          <w:rFonts w:ascii="Arial" w:hAnsi="Arial" w:cs="Arial"/>
          <w:color w:val="000000" w:themeColor="text1"/>
        </w:rPr>
        <w:t>according to</w:t>
      </w:r>
      <w:r w:rsidR="00074300">
        <w:rPr>
          <w:rFonts w:ascii="Arial" w:hAnsi="Arial" w:cs="Arial"/>
          <w:color w:val="000000" w:themeColor="text1"/>
        </w:rPr>
        <w:t xml:space="preserve"> ACASCoP practices</w:t>
      </w:r>
      <w:r w:rsidR="00447DBD" w:rsidRPr="00276A5B">
        <w:rPr>
          <w:rStyle w:val="FootnoteReference"/>
          <w:rFonts w:ascii="Arial" w:hAnsi="Arial" w:cs="Arial"/>
          <w:color w:val="000000" w:themeColor="text1"/>
        </w:rPr>
        <w:footnoteReference w:id="18"/>
      </w:r>
      <w:r w:rsidR="00FA67E0">
        <w:rPr>
          <w:rFonts w:ascii="Arial" w:hAnsi="Arial" w:cs="Arial"/>
          <w:color w:val="000000" w:themeColor="text1"/>
        </w:rPr>
        <w:t xml:space="preserve">. </w:t>
      </w:r>
    </w:p>
    <w:p w14:paraId="7495C484" w14:textId="42D391DB" w:rsidR="004F3823" w:rsidRPr="00FD0956" w:rsidRDefault="00FA67E0" w:rsidP="0052535C">
      <w:pPr>
        <w:pStyle w:val="NormalWeb"/>
        <w:spacing w:beforeLines="50" w:before="120" w:beforeAutospacing="0" w:afterLines="50" w:after="120" w:afterAutospacing="0" w:line="360" w:lineRule="auto"/>
        <w:rPr>
          <w:rFonts w:ascii="Arial" w:hAnsi="Arial" w:cs="Arial"/>
          <w:b/>
          <w:color w:val="000000" w:themeColor="text1"/>
        </w:rPr>
      </w:pPr>
      <w:r>
        <w:rPr>
          <w:rFonts w:ascii="Arial" w:hAnsi="Arial" w:cs="Arial"/>
          <w:color w:val="000000" w:themeColor="text1"/>
        </w:rPr>
        <w:t>B</w:t>
      </w:r>
      <w:r w:rsidR="004A148D" w:rsidRPr="00276A5B">
        <w:rPr>
          <w:rFonts w:ascii="Arial" w:hAnsi="Arial" w:cs="Arial"/>
          <w:color w:val="000000" w:themeColor="text1"/>
        </w:rPr>
        <w:t>ased on the</w:t>
      </w:r>
      <w:r w:rsidR="00D80D66" w:rsidRPr="00276A5B">
        <w:rPr>
          <w:rFonts w:ascii="Arial" w:hAnsi="Arial" w:cs="Arial"/>
          <w:color w:val="000000" w:themeColor="text1"/>
        </w:rPr>
        <w:t xml:space="preserve"> application of the</w:t>
      </w:r>
      <w:r w:rsidR="004A148D" w:rsidRPr="00276A5B">
        <w:rPr>
          <w:rFonts w:ascii="Arial" w:hAnsi="Arial" w:cs="Arial"/>
          <w:color w:val="000000" w:themeColor="text1"/>
        </w:rPr>
        <w:t xml:space="preserve"> Burchell test</w:t>
      </w:r>
      <w:r w:rsidR="004957F1" w:rsidRPr="00276A5B">
        <w:rPr>
          <w:rStyle w:val="FootnoteReference"/>
          <w:rFonts w:ascii="Arial" w:hAnsi="Arial" w:cs="Arial"/>
          <w:color w:val="000000" w:themeColor="text1"/>
        </w:rPr>
        <w:footnoteReference w:id="19"/>
      </w:r>
      <w:r w:rsidR="004A148D" w:rsidRPr="00276A5B">
        <w:rPr>
          <w:rFonts w:ascii="Arial" w:hAnsi="Arial" w:cs="Arial"/>
          <w:color w:val="000000" w:themeColor="text1"/>
        </w:rPr>
        <w:t>,</w:t>
      </w:r>
      <w:r w:rsidR="00841313">
        <w:rPr>
          <w:rFonts w:ascii="Arial" w:hAnsi="Arial" w:cs="Arial"/>
          <w:color w:val="000000" w:themeColor="text1"/>
        </w:rPr>
        <w:t xml:space="preserve"> </w:t>
      </w:r>
      <w:r w:rsidR="008619F8" w:rsidRPr="00276A5B">
        <w:rPr>
          <w:rFonts w:ascii="Arial" w:hAnsi="Arial" w:cs="Arial"/>
          <w:color w:val="000000" w:themeColor="text1"/>
        </w:rPr>
        <w:t xml:space="preserve">would </w:t>
      </w:r>
      <w:r w:rsidR="007C1EEF" w:rsidRPr="00276A5B">
        <w:rPr>
          <w:rFonts w:ascii="Arial" w:hAnsi="Arial" w:cs="Arial"/>
          <w:color w:val="000000" w:themeColor="text1"/>
        </w:rPr>
        <w:t>BB</w:t>
      </w:r>
      <w:r w:rsidR="003B474F" w:rsidRPr="00276A5B">
        <w:rPr>
          <w:rFonts w:ascii="Arial" w:hAnsi="Arial" w:cs="Arial"/>
          <w:color w:val="000000" w:themeColor="text1"/>
        </w:rPr>
        <w:t xml:space="preserve"> be able to defend the claim </w:t>
      </w:r>
      <w:r w:rsidR="00D80D66" w:rsidRPr="00276A5B">
        <w:rPr>
          <w:rFonts w:ascii="Arial" w:hAnsi="Arial" w:cs="Arial"/>
          <w:color w:val="000000" w:themeColor="text1"/>
        </w:rPr>
        <w:t>of</w:t>
      </w:r>
      <w:r w:rsidR="003B474F" w:rsidRPr="00276A5B">
        <w:rPr>
          <w:rFonts w:ascii="Arial" w:hAnsi="Arial" w:cs="Arial"/>
          <w:color w:val="000000" w:themeColor="text1"/>
        </w:rPr>
        <w:t xml:space="preserve"> ordinary unfair dism</w:t>
      </w:r>
      <w:r w:rsidR="008619F8" w:rsidRPr="00276A5B">
        <w:rPr>
          <w:rFonts w:ascii="Arial" w:hAnsi="Arial" w:cs="Arial"/>
          <w:color w:val="000000" w:themeColor="text1"/>
        </w:rPr>
        <w:t xml:space="preserve">issal </w:t>
      </w:r>
      <w:r w:rsidR="00D80D66" w:rsidRPr="00276A5B">
        <w:rPr>
          <w:rFonts w:ascii="Arial" w:hAnsi="Arial" w:cs="Arial"/>
          <w:color w:val="000000" w:themeColor="text1"/>
        </w:rPr>
        <w:t>linked to the</w:t>
      </w:r>
      <w:r w:rsidR="00FC5468" w:rsidRPr="00276A5B">
        <w:rPr>
          <w:rFonts w:ascii="Arial" w:hAnsi="Arial" w:cs="Arial"/>
          <w:color w:val="000000" w:themeColor="text1"/>
        </w:rPr>
        <w:t xml:space="preserve"> 5 potential fair reasons for dismissal, </w:t>
      </w:r>
      <w:r w:rsidR="008619F8" w:rsidRPr="00276A5B">
        <w:rPr>
          <w:rFonts w:ascii="Arial" w:hAnsi="Arial" w:cs="Arial"/>
          <w:color w:val="000000" w:themeColor="text1"/>
        </w:rPr>
        <w:t xml:space="preserve">and evidence that </w:t>
      </w:r>
      <w:r w:rsidR="007C1EEF" w:rsidRPr="00276A5B">
        <w:rPr>
          <w:rFonts w:ascii="Arial" w:hAnsi="Arial" w:cs="Arial"/>
          <w:color w:val="000000" w:themeColor="text1"/>
        </w:rPr>
        <w:t>BB</w:t>
      </w:r>
      <w:r w:rsidR="003B474F" w:rsidRPr="00276A5B">
        <w:rPr>
          <w:rFonts w:ascii="Arial" w:hAnsi="Arial" w:cs="Arial"/>
          <w:color w:val="000000" w:themeColor="text1"/>
        </w:rPr>
        <w:t xml:space="preserve"> had a genuine belief </w:t>
      </w:r>
      <w:r w:rsidR="00257930" w:rsidRPr="00276A5B">
        <w:rPr>
          <w:rFonts w:ascii="Arial" w:hAnsi="Arial" w:cs="Arial"/>
          <w:color w:val="000000" w:themeColor="text1"/>
        </w:rPr>
        <w:t>GR</w:t>
      </w:r>
      <w:r w:rsidR="003B474F" w:rsidRPr="00276A5B">
        <w:rPr>
          <w:rFonts w:ascii="Arial" w:hAnsi="Arial" w:cs="Arial"/>
          <w:color w:val="000000" w:themeColor="text1"/>
        </w:rPr>
        <w:t xml:space="preserve"> committed the </w:t>
      </w:r>
      <w:r w:rsidR="004F3823">
        <w:rPr>
          <w:rFonts w:ascii="Arial" w:hAnsi="Arial" w:cs="Arial"/>
          <w:color w:val="000000" w:themeColor="text1"/>
        </w:rPr>
        <w:t xml:space="preserve">act of </w:t>
      </w:r>
      <w:r w:rsidR="007352EF">
        <w:rPr>
          <w:rFonts w:ascii="Arial" w:hAnsi="Arial" w:cs="Arial"/>
          <w:color w:val="000000" w:themeColor="text1"/>
        </w:rPr>
        <w:t>gross misconduct</w:t>
      </w:r>
      <w:r w:rsidR="003B474F" w:rsidRPr="00276A5B">
        <w:rPr>
          <w:rFonts w:ascii="Arial" w:hAnsi="Arial" w:cs="Arial"/>
          <w:color w:val="000000" w:themeColor="text1"/>
        </w:rPr>
        <w:t xml:space="preserve">, </w:t>
      </w:r>
      <w:r w:rsidR="007352EF">
        <w:rPr>
          <w:rFonts w:ascii="Arial" w:hAnsi="Arial" w:cs="Arial"/>
          <w:color w:val="000000" w:themeColor="text1"/>
        </w:rPr>
        <w:t xml:space="preserve">providing </w:t>
      </w:r>
      <w:r w:rsidR="004F3823">
        <w:rPr>
          <w:rFonts w:ascii="Arial" w:hAnsi="Arial" w:cs="Arial"/>
          <w:color w:val="000000" w:themeColor="text1"/>
        </w:rPr>
        <w:t xml:space="preserve">a </w:t>
      </w:r>
      <w:r w:rsidR="003B474F" w:rsidRPr="00276A5B">
        <w:rPr>
          <w:rFonts w:ascii="Arial" w:hAnsi="Arial" w:cs="Arial"/>
          <w:color w:val="000000" w:themeColor="text1"/>
        </w:rPr>
        <w:t>reasonable ground</w:t>
      </w:r>
      <w:r w:rsidR="007352EF">
        <w:rPr>
          <w:rFonts w:ascii="Arial" w:hAnsi="Arial" w:cs="Arial"/>
          <w:color w:val="000000" w:themeColor="text1"/>
        </w:rPr>
        <w:t xml:space="preserve"> for </w:t>
      </w:r>
      <w:r w:rsidR="000E566F">
        <w:rPr>
          <w:rFonts w:ascii="Arial" w:hAnsi="Arial" w:cs="Arial"/>
          <w:color w:val="000000" w:themeColor="text1"/>
        </w:rPr>
        <w:t>dismissing</w:t>
      </w:r>
      <w:r w:rsidR="00D80D66" w:rsidRPr="00276A5B">
        <w:rPr>
          <w:rFonts w:ascii="Arial" w:hAnsi="Arial" w:cs="Arial"/>
          <w:color w:val="000000" w:themeColor="text1"/>
        </w:rPr>
        <w:t>,</w:t>
      </w:r>
      <w:r w:rsidR="003B474F" w:rsidRPr="00276A5B">
        <w:rPr>
          <w:rFonts w:ascii="Arial" w:hAnsi="Arial" w:cs="Arial"/>
          <w:color w:val="000000" w:themeColor="text1"/>
        </w:rPr>
        <w:t xml:space="preserve"> follow</w:t>
      </w:r>
      <w:r w:rsidR="004F3823">
        <w:rPr>
          <w:rFonts w:ascii="Arial" w:hAnsi="Arial" w:cs="Arial"/>
          <w:color w:val="000000" w:themeColor="text1"/>
        </w:rPr>
        <w:t>ing</w:t>
      </w:r>
      <w:r w:rsidR="003B474F" w:rsidRPr="00276A5B">
        <w:rPr>
          <w:rFonts w:ascii="Arial" w:hAnsi="Arial" w:cs="Arial"/>
          <w:color w:val="000000" w:themeColor="text1"/>
        </w:rPr>
        <w:t xml:space="preserve"> a r</w:t>
      </w:r>
      <w:r w:rsidR="00D80D66" w:rsidRPr="00276A5B">
        <w:rPr>
          <w:rFonts w:ascii="Arial" w:hAnsi="Arial" w:cs="Arial"/>
          <w:color w:val="000000" w:themeColor="text1"/>
        </w:rPr>
        <w:t xml:space="preserve">easonable </w:t>
      </w:r>
      <w:r w:rsidR="00841313">
        <w:rPr>
          <w:rFonts w:ascii="Arial" w:hAnsi="Arial" w:cs="Arial"/>
          <w:color w:val="000000" w:themeColor="text1"/>
        </w:rPr>
        <w:t>investigation</w:t>
      </w:r>
      <w:r w:rsidR="004F3823">
        <w:rPr>
          <w:rFonts w:ascii="Arial" w:hAnsi="Arial" w:cs="Arial"/>
          <w:color w:val="000000" w:themeColor="text1"/>
        </w:rPr>
        <w:t xml:space="preserve">, </w:t>
      </w:r>
      <w:r w:rsidR="00841313">
        <w:rPr>
          <w:rFonts w:ascii="Arial" w:hAnsi="Arial" w:cs="Arial"/>
          <w:color w:val="000000" w:themeColor="text1"/>
        </w:rPr>
        <w:t>and p</w:t>
      </w:r>
      <w:r w:rsidR="00FC5468" w:rsidRPr="00276A5B">
        <w:rPr>
          <w:rFonts w:ascii="Arial" w:hAnsi="Arial" w:cs="Arial"/>
          <w:color w:val="000000" w:themeColor="text1"/>
        </w:rPr>
        <w:t>rocedural</w:t>
      </w:r>
      <w:r w:rsidR="007C3FE7" w:rsidRPr="00276A5B">
        <w:rPr>
          <w:rFonts w:ascii="Arial" w:hAnsi="Arial" w:cs="Arial"/>
          <w:color w:val="000000" w:themeColor="text1"/>
        </w:rPr>
        <w:t>ly</w:t>
      </w:r>
      <w:r w:rsidR="00FC5468" w:rsidRPr="00276A5B">
        <w:rPr>
          <w:rFonts w:ascii="Arial" w:hAnsi="Arial" w:cs="Arial"/>
          <w:color w:val="000000" w:themeColor="text1"/>
        </w:rPr>
        <w:t xml:space="preserve"> </w:t>
      </w:r>
      <w:r w:rsidR="00D80D66" w:rsidRPr="00276A5B">
        <w:rPr>
          <w:rFonts w:ascii="Arial" w:hAnsi="Arial" w:cs="Arial"/>
          <w:color w:val="000000" w:themeColor="text1"/>
        </w:rPr>
        <w:t>was</w:t>
      </w:r>
      <w:r w:rsidR="00FC5468" w:rsidRPr="00276A5B">
        <w:rPr>
          <w:rFonts w:ascii="Arial" w:hAnsi="Arial" w:cs="Arial"/>
          <w:color w:val="000000" w:themeColor="text1"/>
        </w:rPr>
        <w:t xml:space="preserve"> GR given every o</w:t>
      </w:r>
      <w:r w:rsidR="00D80D66" w:rsidRPr="00276A5B">
        <w:rPr>
          <w:rFonts w:ascii="Arial" w:hAnsi="Arial" w:cs="Arial"/>
          <w:color w:val="000000" w:themeColor="text1"/>
        </w:rPr>
        <w:t xml:space="preserve">pportunity in accordance with </w:t>
      </w:r>
      <w:r w:rsidR="00FC5468" w:rsidRPr="00276A5B">
        <w:rPr>
          <w:rFonts w:ascii="Arial" w:hAnsi="Arial" w:cs="Arial"/>
          <w:color w:val="000000" w:themeColor="text1"/>
        </w:rPr>
        <w:t>fair process for him to defend himself</w:t>
      </w:r>
      <w:r w:rsidR="00074300">
        <w:rPr>
          <w:rFonts w:ascii="Arial" w:hAnsi="Arial" w:cs="Arial"/>
          <w:color w:val="000000" w:themeColor="text1"/>
        </w:rPr>
        <w:t xml:space="preserve"> as outlined in </w:t>
      </w:r>
      <w:r w:rsidR="00FC5468" w:rsidRPr="00276A5B">
        <w:rPr>
          <w:rFonts w:ascii="Arial" w:hAnsi="Arial" w:cs="Arial"/>
          <w:color w:val="000000" w:themeColor="text1"/>
        </w:rPr>
        <w:t>The ERA</w:t>
      </w:r>
      <w:r w:rsidR="007107B3" w:rsidRPr="00276A5B">
        <w:rPr>
          <w:rFonts w:ascii="Arial" w:hAnsi="Arial" w:cs="Arial"/>
          <w:color w:val="000000" w:themeColor="text1"/>
        </w:rPr>
        <w:t xml:space="preserve"> 199</w:t>
      </w:r>
      <w:r w:rsidR="00DC2B4C">
        <w:rPr>
          <w:rFonts w:ascii="Arial" w:hAnsi="Arial" w:cs="Arial"/>
          <w:color w:val="000000" w:themeColor="text1"/>
        </w:rPr>
        <w:t>6</w:t>
      </w:r>
      <w:r w:rsidR="00A079EA">
        <w:rPr>
          <w:rFonts w:ascii="Arial" w:hAnsi="Arial" w:cs="Arial"/>
          <w:color w:val="000000" w:themeColor="text1"/>
        </w:rPr>
        <w:t>,</w:t>
      </w:r>
      <w:r w:rsidR="00D80D66" w:rsidRPr="00276A5B">
        <w:rPr>
          <w:rFonts w:ascii="Arial" w:hAnsi="Arial" w:cs="Arial"/>
          <w:color w:val="000000" w:themeColor="text1"/>
        </w:rPr>
        <w:t xml:space="preserve"> Section 98</w:t>
      </w:r>
      <w:r w:rsidR="004957F1" w:rsidRPr="00276A5B">
        <w:rPr>
          <w:rStyle w:val="FootnoteReference"/>
          <w:rFonts w:ascii="Arial" w:hAnsi="Arial" w:cs="Arial"/>
          <w:color w:val="000000" w:themeColor="text1"/>
        </w:rPr>
        <w:footnoteReference w:id="20"/>
      </w:r>
      <w:r w:rsidR="004957F1" w:rsidRPr="00276A5B">
        <w:rPr>
          <w:rFonts w:ascii="Arial" w:hAnsi="Arial" w:cs="Arial"/>
          <w:color w:val="000000" w:themeColor="text1"/>
        </w:rPr>
        <w:t>.</w:t>
      </w:r>
      <w:r w:rsidR="00A079EA">
        <w:rPr>
          <w:rFonts w:ascii="Arial" w:hAnsi="Arial" w:cs="Arial"/>
          <w:color w:val="000000" w:themeColor="text1"/>
        </w:rPr>
        <w:t xml:space="preserve"> </w:t>
      </w:r>
      <w:r w:rsidR="00074300">
        <w:rPr>
          <w:rFonts w:ascii="Arial" w:hAnsi="Arial" w:cs="Arial"/>
          <w:color w:val="000000" w:themeColor="text1"/>
        </w:rPr>
        <w:t>The ET will also consider whether another employer</w:t>
      </w:r>
      <w:r w:rsidR="00FD0956">
        <w:rPr>
          <w:rFonts w:ascii="Arial" w:hAnsi="Arial" w:cs="Arial"/>
          <w:color w:val="000000" w:themeColor="text1"/>
        </w:rPr>
        <w:t xml:space="preserve"> </w:t>
      </w:r>
      <w:r w:rsidR="00FD0956" w:rsidRPr="00276A5B">
        <w:rPr>
          <w:rFonts w:ascii="Arial" w:hAnsi="Arial" w:cs="Arial"/>
          <w:color w:val="000000" w:themeColor="text1"/>
          <w:shd w:val="clear" w:color="auto" w:fill="F8F8F8"/>
        </w:rPr>
        <w:t>in “truly parallel” circumstances are treated differently</w:t>
      </w:r>
      <w:r w:rsidR="00FD0956" w:rsidRPr="00276A5B">
        <w:rPr>
          <w:rStyle w:val="FootnoteReference"/>
          <w:rFonts w:ascii="Arial" w:hAnsi="Arial" w:cs="Arial"/>
          <w:color w:val="000000" w:themeColor="text1"/>
          <w:shd w:val="clear" w:color="auto" w:fill="F8F8F8"/>
        </w:rPr>
        <w:footnoteReference w:id="21"/>
      </w:r>
      <w:r w:rsidR="00FD0956">
        <w:rPr>
          <w:rFonts w:ascii="Arial" w:hAnsi="Arial" w:cs="Arial"/>
          <w:color w:val="000000" w:themeColor="text1"/>
          <w:shd w:val="clear" w:color="auto" w:fill="F8F8F8"/>
        </w:rPr>
        <w:t xml:space="preserve"> and would</w:t>
      </w:r>
      <w:r w:rsidR="00FD0956" w:rsidRPr="00276A5B">
        <w:rPr>
          <w:rFonts w:ascii="Arial" w:hAnsi="Arial" w:cs="Arial"/>
          <w:color w:val="000000" w:themeColor="text1"/>
          <w:shd w:val="clear" w:color="auto" w:fill="F8F8F8"/>
        </w:rPr>
        <w:t xml:space="preserve"> </w:t>
      </w:r>
      <w:r w:rsidR="00074300">
        <w:rPr>
          <w:rFonts w:ascii="Arial" w:hAnsi="Arial" w:cs="Arial"/>
          <w:color w:val="000000" w:themeColor="text1"/>
        </w:rPr>
        <w:t xml:space="preserve">similar circumstances would have reasonably dismissed and </w:t>
      </w:r>
      <w:r w:rsidR="004F3823">
        <w:rPr>
          <w:rFonts w:ascii="Arial" w:hAnsi="Arial" w:cs="Arial"/>
          <w:color w:val="000000" w:themeColor="text1"/>
        </w:rPr>
        <w:t xml:space="preserve">on the balance of probabilities </w:t>
      </w:r>
      <w:r w:rsidR="00074300">
        <w:rPr>
          <w:rFonts w:ascii="Arial" w:hAnsi="Arial" w:cs="Arial"/>
          <w:color w:val="000000" w:themeColor="text1"/>
        </w:rPr>
        <w:t>the Burchell test</w:t>
      </w:r>
      <w:r w:rsidR="004F3823">
        <w:rPr>
          <w:rFonts w:ascii="Arial" w:hAnsi="Arial" w:cs="Arial"/>
          <w:color w:val="000000" w:themeColor="text1"/>
        </w:rPr>
        <w:t xml:space="preserve"> is satisfied</w:t>
      </w:r>
      <w:r w:rsidR="00FD0956" w:rsidRPr="00276A5B">
        <w:rPr>
          <w:rFonts w:ascii="Arial" w:hAnsi="Arial" w:cs="Arial"/>
          <w:color w:val="000000" w:themeColor="text1"/>
          <w:shd w:val="clear" w:color="auto" w:fill="F8F8F8"/>
        </w:rPr>
        <w:t xml:space="preserve"> </w:t>
      </w:r>
    </w:p>
    <w:p w14:paraId="5394DC2D" w14:textId="20E5723A" w:rsidR="0052535C" w:rsidRPr="00276A5B" w:rsidRDefault="00C03157"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color w:val="000000" w:themeColor="text1"/>
        </w:rPr>
        <w:t xml:space="preserve">Documents 1, point 8 mentions RT had provoked GR. However, RT denies claim. It is important to note that nothing happened to RT that shows inconsistency of treatment which GR is able to bring a further claim. </w:t>
      </w:r>
      <w:r w:rsidR="0052535C">
        <w:rPr>
          <w:rFonts w:ascii="Arial" w:hAnsi="Arial" w:cs="Arial"/>
          <w:bCs/>
          <w:color w:val="000000" w:themeColor="text1"/>
        </w:rPr>
        <w:t xml:space="preserve">The </w:t>
      </w:r>
      <w:r w:rsidR="0052535C" w:rsidRPr="00276A5B">
        <w:rPr>
          <w:rFonts w:ascii="Arial" w:hAnsi="Arial" w:cs="Arial"/>
          <w:bCs/>
          <w:color w:val="000000" w:themeColor="text1"/>
        </w:rPr>
        <w:t xml:space="preserve">ET will determine what workplace disciplinary have been identify as unacceptable conduct, the degree of severity with it is regarded </w:t>
      </w:r>
      <w:r w:rsidR="00E748E9">
        <w:rPr>
          <w:rFonts w:ascii="Arial" w:hAnsi="Arial" w:cs="Arial"/>
          <w:bCs/>
          <w:color w:val="000000" w:themeColor="text1"/>
        </w:rPr>
        <w:t>furthermore</w:t>
      </w:r>
      <w:r w:rsidR="0052535C" w:rsidRPr="00276A5B">
        <w:rPr>
          <w:rFonts w:ascii="Arial" w:hAnsi="Arial" w:cs="Arial"/>
          <w:bCs/>
          <w:color w:val="000000" w:themeColor="text1"/>
        </w:rPr>
        <w:t xml:space="preserve"> how acts of misconduct in the workplace will be dealt with</w:t>
      </w:r>
      <w:r w:rsidR="0052535C" w:rsidRPr="00276A5B">
        <w:rPr>
          <w:rStyle w:val="FootnoteReference"/>
          <w:rFonts w:ascii="Arial" w:hAnsi="Arial" w:cs="Arial"/>
          <w:bCs/>
          <w:color w:val="000000" w:themeColor="text1"/>
        </w:rPr>
        <w:footnoteReference w:id="22"/>
      </w:r>
      <w:r w:rsidR="0052535C" w:rsidRPr="00276A5B">
        <w:rPr>
          <w:rFonts w:ascii="Arial" w:hAnsi="Arial" w:cs="Arial"/>
          <w:bCs/>
          <w:noProof/>
          <w:color w:val="000000" w:themeColor="text1"/>
        </w:rPr>
        <w:t xml:space="preserve">. </w:t>
      </w:r>
      <w:r w:rsidR="0052535C">
        <w:rPr>
          <w:rFonts w:ascii="Arial" w:hAnsi="Arial" w:cs="Arial"/>
          <w:bCs/>
          <w:color w:val="000000" w:themeColor="text1"/>
        </w:rPr>
        <w:t>E</w:t>
      </w:r>
      <w:r w:rsidR="0052535C" w:rsidRPr="00276A5B">
        <w:rPr>
          <w:rFonts w:ascii="Arial" w:hAnsi="Arial" w:cs="Arial"/>
          <w:bCs/>
          <w:color w:val="000000" w:themeColor="text1"/>
        </w:rPr>
        <w:t>vidence</w:t>
      </w:r>
      <w:r w:rsidR="0052535C">
        <w:rPr>
          <w:rFonts w:ascii="Arial" w:hAnsi="Arial" w:cs="Arial"/>
          <w:bCs/>
          <w:color w:val="000000" w:themeColor="text1"/>
        </w:rPr>
        <w:t xml:space="preserve"> that can be considered</w:t>
      </w:r>
      <w:r w:rsidR="0052535C" w:rsidRPr="00276A5B">
        <w:rPr>
          <w:rFonts w:ascii="Arial" w:hAnsi="Arial" w:cs="Arial"/>
          <w:bCs/>
          <w:color w:val="000000" w:themeColor="text1"/>
        </w:rPr>
        <w:t xml:space="preserve">; </w:t>
      </w:r>
    </w:p>
    <w:p w14:paraId="10CF82FE" w14:textId="77777777" w:rsidR="0052535C" w:rsidRPr="00276A5B" w:rsidRDefault="0052535C"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The misconduct was the reason for dismissal;</w:t>
      </w:r>
    </w:p>
    <w:p w14:paraId="03E0F92F" w14:textId="7E6921B2" w:rsidR="0052535C" w:rsidRPr="00276A5B" w:rsidRDefault="0052535C"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lastRenderedPageBreak/>
        <w:t xml:space="preserve">- That </w:t>
      </w:r>
      <w:r w:rsidR="004F3823">
        <w:rPr>
          <w:rFonts w:ascii="Arial" w:hAnsi="Arial" w:cs="Arial"/>
          <w:bCs/>
          <w:color w:val="000000" w:themeColor="text1"/>
        </w:rPr>
        <w:t>a fair</w:t>
      </w:r>
      <w:r w:rsidRPr="00276A5B">
        <w:rPr>
          <w:rFonts w:ascii="Arial" w:hAnsi="Arial" w:cs="Arial"/>
          <w:bCs/>
          <w:color w:val="000000" w:themeColor="text1"/>
        </w:rPr>
        <w:t xml:space="preserve"> process was followed;</w:t>
      </w:r>
    </w:p>
    <w:p w14:paraId="68C4284F" w14:textId="19A6FE72" w:rsidR="0052535C" w:rsidRPr="00276A5B" w:rsidRDefault="0052535C"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xml:space="preserve">- That dismissal was a proportionate and reasonable </w:t>
      </w:r>
      <w:r w:rsidR="004F3823">
        <w:rPr>
          <w:rFonts w:ascii="Arial" w:hAnsi="Arial" w:cs="Arial"/>
          <w:bCs/>
          <w:color w:val="000000" w:themeColor="text1"/>
        </w:rPr>
        <w:t>response</w:t>
      </w:r>
    </w:p>
    <w:p w14:paraId="2760A7C9" w14:textId="40F0CBD4" w:rsidR="00A079EA" w:rsidRPr="005A5083" w:rsidRDefault="00A079EA" w:rsidP="00D2162C">
      <w:pPr>
        <w:pStyle w:val="NormalWeb"/>
        <w:spacing w:beforeLines="50" w:before="120" w:beforeAutospacing="0" w:afterLines="50" w:after="120" w:afterAutospacing="0" w:line="360" w:lineRule="auto"/>
        <w:rPr>
          <w:rFonts w:ascii="Arial" w:hAnsi="Arial" w:cs="Arial"/>
          <w:b/>
          <w:color w:val="000000" w:themeColor="text1"/>
          <w:u w:val="single"/>
        </w:rPr>
      </w:pPr>
      <w:r w:rsidRPr="005A5083">
        <w:rPr>
          <w:rFonts w:ascii="Arial" w:hAnsi="Arial" w:cs="Arial"/>
          <w:b/>
          <w:color w:val="000000" w:themeColor="text1"/>
          <w:u w:val="single"/>
        </w:rPr>
        <w:t>Defence</w:t>
      </w:r>
    </w:p>
    <w:p w14:paraId="609479B0" w14:textId="34B537B9" w:rsidR="00372BF3" w:rsidRPr="00276A5B" w:rsidRDefault="004F3823" w:rsidP="00372BF3">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bCs/>
          <w:color w:val="000000" w:themeColor="text1"/>
        </w:rPr>
        <w:t>A</w:t>
      </w:r>
      <w:r w:rsidR="0052535C">
        <w:rPr>
          <w:rFonts w:ascii="Arial" w:hAnsi="Arial" w:cs="Arial"/>
          <w:bCs/>
          <w:color w:val="000000" w:themeColor="text1"/>
        </w:rPr>
        <w:t>s suggested, BB should consider the contents of their Disciplinary</w:t>
      </w:r>
      <w:r w:rsidR="005A5083">
        <w:rPr>
          <w:rFonts w:ascii="Arial" w:hAnsi="Arial" w:cs="Arial"/>
          <w:bCs/>
          <w:color w:val="000000" w:themeColor="text1"/>
        </w:rPr>
        <w:t xml:space="preserve"> </w:t>
      </w:r>
      <w:r w:rsidR="0052535C">
        <w:rPr>
          <w:rFonts w:ascii="Arial" w:hAnsi="Arial" w:cs="Arial"/>
          <w:bCs/>
          <w:color w:val="000000" w:themeColor="text1"/>
        </w:rPr>
        <w:t xml:space="preserve">process and procedure to determine procedural fairness. </w:t>
      </w:r>
      <w:r w:rsidR="00A079EA" w:rsidRPr="00A079EA">
        <w:rPr>
          <w:rFonts w:ascii="Arial" w:hAnsi="Arial" w:cs="Arial"/>
          <w:color w:val="000000" w:themeColor="text1"/>
        </w:rPr>
        <w:t>The ET will look into whether SS immediately reacted to the situation and rushed to arrange a disciplinary investigation before consulting with employees to establish the genuine event/s that took place.</w:t>
      </w:r>
      <w:r w:rsidR="0052535C">
        <w:rPr>
          <w:rFonts w:ascii="Arial" w:hAnsi="Arial" w:cs="Arial"/>
          <w:color w:val="000000" w:themeColor="text1"/>
        </w:rPr>
        <w:t xml:space="preserve"> I highlight that the ET will look to see if SS was a witness as the investigation did not uncover this aspect.</w:t>
      </w:r>
      <w:r w:rsidR="00A079EA" w:rsidRPr="00A079EA">
        <w:rPr>
          <w:rFonts w:ascii="Arial" w:hAnsi="Arial" w:cs="Arial"/>
          <w:color w:val="000000" w:themeColor="text1"/>
        </w:rPr>
        <w:t xml:space="preserve"> </w:t>
      </w:r>
      <w:r w:rsidR="0052535C">
        <w:rPr>
          <w:rFonts w:ascii="Arial" w:hAnsi="Arial" w:cs="Arial"/>
          <w:color w:val="000000" w:themeColor="text1"/>
        </w:rPr>
        <w:t xml:space="preserve">However, any witness to the incident should not </w:t>
      </w:r>
      <w:r w:rsidR="00D61C3D">
        <w:rPr>
          <w:rFonts w:ascii="Arial" w:hAnsi="Arial" w:cs="Arial"/>
          <w:color w:val="000000" w:themeColor="text1"/>
        </w:rPr>
        <w:t xml:space="preserve">be </w:t>
      </w:r>
      <w:r w:rsidR="0052535C">
        <w:rPr>
          <w:rFonts w:ascii="Arial" w:hAnsi="Arial" w:cs="Arial"/>
          <w:color w:val="000000" w:themeColor="text1"/>
        </w:rPr>
        <w:t xml:space="preserve">involved in the investigation and SS may need </w:t>
      </w:r>
      <w:r w:rsidR="00D61C3D">
        <w:rPr>
          <w:rFonts w:ascii="Arial" w:hAnsi="Arial" w:cs="Arial"/>
          <w:color w:val="000000" w:themeColor="text1"/>
        </w:rPr>
        <w:t xml:space="preserve">to </w:t>
      </w:r>
      <w:r w:rsidR="0052535C">
        <w:rPr>
          <w:rFonts w:ascii="Arial" w:hAnsi="Arial" w:cs="Arial"/>
          <w:color w:val="000000" w:themeColor="text1"/>
        </w:rPr>
        <w:t xml:space="preserve">attend the ET as a witness to defend the investigation he conducted. </w:t>
      </w:r>
      <w:r w:rsidR="00D61C3D">
        <w:rPr>
          <w:rFonts w:ascii="Arial" w:hAnsi="Arial" w:cs="Arial"/>
          <w:color w:val="000000" w:themeColor="text1"/>
        </w:rPr>
        <w:t>I</w:t>
      </w:r>
      <w:r w:rsidR="00C03157">
        <w:rPr>
          <w:rFonts w:ascii="Arial" w:hAnsi="Arial" w:cs="Arial"/>
          <w:color w:val="000000" w:themeColor="text1"/>
        </w:rPr>
        <w:t xml:space="preserve">n defence </w:t>
      </w:r>
      <w:r w:rsidR="008662FC">
        <w:rPr>
          <w:rFonts w:ascii="Arial" w:hAnsi="Arial" w:cs="Arial"/>
          <w:color w:val="000000" w:themeColor="text1"/>
        </w:rPr>
        <w:t xml:space="preserve">BB </w:t>
      </w:r>
      <w:r w:rsidR="00C03157">
        <w:rPr>
          <w:rFonts w:ascii="Arial" w:hAnsi="Arial" w:cs="Arial"/>
          <w:color w:val="000000" w:themeColor="text1"/>
        </w:rPr>
        <w:t xml:space="preserve">could argue that GR contributed to his dismissal and regardless of whether a fair investigation was conducted, he committed the act of gross misconduct </w:t>
      </w:r>
      <w:r w:rsidR="008662FC">
        <w:rPr>
          <w:rFonts w:ascii="Arial" w:hAnsi="Arial" w:cs="Arial"/>
          <w:color w:val="000000" w:themeColor="text1"/>
        </w:rPr>
        <w:t>where there ha</w:t>
      </w:r>
      <w:r w:rsidR="00D61C3D">
        <w:rPr>
          <w:rFonts w:ascii="Arial" w:hAnsi="Arial" w:cs="Arial"/>
          <w:color w:val="000000" w:themeColor="text1"/>
        </w:rPr>
        <w:t>ve</w:t>
      </w:r>
      <w:r w:rsidR="008662FC">
        <w:rPr>
          <w:rFonts w:ascii="Arial" w:hAnsi="Arial" w:cs="Arial"/>
          <w:color w:val="000000" w:themeColor="text1"/>
        </w:rPr>
        <w:t xml:space="preserve"> been</w:t>
      </w:r>
      <w:r w:rsidR="009F4592" w:rsidRPr="009F4592">
        <w:rPr>
          <w:rFonts w:ascii="Arial" w:hAnsi="Arial" w:cs="Arial"/>
          <w:color w:val="000000" w:themeColor="text1"/>
        </w:rPr>
        <w:t xml:space="preserve"> instances where misconduct is deficiently serious</w:t>
      </w:r>
      <w:r w:rsidR="008662FC">
        <w:rPr>
          <w:rFonts w:ascii="Arial" w:hAnsi="Arial" w:cs="Arial"/>
          <w:color w:val="000000" w:themeColor="text1"/>
        </w:rPr>
        <w:t xml:space="preserve"> and</w:t>
      </w:r>
      <w:r w:rsidR="009F4592" w:rsidRPr="009F4592">
        <w:rPr>
          <w:rFonts w:ascii="Arial" w:hAnsi="Arial" w:cs="Arial"/>
          <w:color w:val="000000" w:themeColor="text1"/>
        </w:rPr>
        <w:t xml:space="preserve"> an employee can be dismissed without warning</w:t>
      </w:r>
      <w:r w:rsidR="008662FC">
        <w:rPr>
          <w:rFonts w:ascii="Arial" w:hAnsi="Arial" w:cs="Arial"/>
          <w:color w:val="000000" w:themeColor="text1"/>
        </w:rPr>
        <w:t xml:space="preserve"> as written in the</w:t>
      </w:r>
      <w:r w:rsidR="009F4592" w:rsidRPr="009F4592">
        <w:rPr>
          <w:rFonts w:ascii="Arial" w:hAnsi="Arial" w:cs="Arial"/>
          <w:color w:val="000000" w:themeColor="text1"/>
        </w:rPr>
        <w:t xml:space="preserve"> ACASCoP, Paragraph 24,</w:t>
      </w:r>
      <w:r w:rsidR="008662FC">
        <w:rPr>
          <w:rFonts w:ascii="Arial" w:hAnsi="Arial" w:cs="Arial"/>
          <w:color w:val="000000" w:themeColor="text1"/>
        </w:rPr>
        <w:t xml:space="preserve"> but</w:t>
      </w:r>
      <w:r w:rsidR="009F4592" w:rsidRPr="009F4592">
        <w:rPr>
          <w:rFonts w:ascii="Arial" w:hAnsi="Arial" w:cs="Arial"/>
          <w:color w:val="000000" w:themeColor="text1"/>
        </w:rPr>
        <w:t xml:space="preserve"> </w:t>
      </w:r>
      <w:r w:rsidR="008662FC">
        <w:rPr>
          <w:rFonts w:ascii="Arial" w:hAnsi="Arial" w:cs="Arial"/>
          <w:color w:val="000000" w:themeColor="text1"/>
        </w:rPr>
        <w:t>it does note that an</w:t>
      </w:r>
      <w:r w:rsidR="009F4592" w:rsidRPr="009F4592">
        <w:rPr>
          <w:rFonts w:ascii="Arial" w:hAnsi="Arial" w:cs="Arial"/>
          <w:color w:val="000000" w:themeColor="text1"/>
        </w:rPr>
        <w:t xml:space="preserve"> employee should be given ‘examples of acts which the employer regards as acts of gross misconduct’</w:t>
      </w:r>
      <w:r w:rsidR="009F4592" w:rsidRPr="009F4592">
        <w:rPr>
          <w:rStyle w:val="FootnoteReference"/>
          <w:rFonts w:ascii="Arial" w:hAnsi="Arial" w:cs="Arial"/>
          <w:color w:val="000000" w:themeColor="text1"/>
        </w:rPr>
        <w:footnoteReference w:id="23"/>
      </w:r>
      <w:r w:rsidR="00D61C3D">
        <w:rPr>
          <w:rFonts w:ascii="Arial" w:hAnsi="Arial" w:cs="Arial"/>
          <w:color w:val="000000" w:themeColor="text1"/>
        </w:rPr>
        <w:t xml:space="preserve">, supported by the case of Johnson v Unisys Limited (2001). </w:t>
      </w:r>
      <w:r w:rsidR="00372BF3" w:rsidRPr="00276A5B">
        <w:rPr>
          <w:rFonts w:ascii="Arial" w:hAnsi="Arial" w:cs="Arial"/>
          <w:color w:val="000000" w:themeColor="text1"/>
        </w:rPr>
        <w:t>In summary, the tribunal will find that the dismissal of an employee is unfair unless the employer can show that</w:t>
      </w:r>
      <w:r w:rsidR="00372BF3" w:rsidRPr="00276A5B">
        <w:rPr>
          <w:rStyle w:val="FootnoteReference"/>
          <w:rFonts w:ascii="Arial" w:hAnsi="Arial" w:cs="Arial"/>
          <w:color w:val="000000" w:themeColor="text1"/>
        </w:rPr>
        <w:footnoteReference w:id="24"/>
      </w:r>
      <w:r w:rsidR="00372BF3" w:rsidRPr="00276A5B">
        <w:rPr>
          <w:rFonts w:ascii="Arial" w:hAnsi="Arial" w:cs="Arial"/>
          <w:color w:val="000000" w:themeColor="text1"/>
        </w:rPr>
        <w:t>;</w:t>
      </w:r>
    </w:p>
    <w:p w14:paraId="3B0D2C88" w14:textId="77777777" w:rsidR="00372BF3" w:rsidRPr="00276A5B" w:rsidRDefault="00372BF3" w:rsidP="00372BF3">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1. The reason for dismissal was one of the 5 potential fair reasons;</w:t>
      </w:r>
    </w:p>
    <w:p w14:paraId="03721DD9" w14:textId="77777777" w:rsidR="00372BF3" w:rsidRPr="00276A5B" w:rsidRDefault="00372BF3" w:rsidP="00372BF3">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2. A reasonable procedure was followed;</w:t>
      </w:r>
    </w:p>
    <w:p w14:paraId="63A4AE91" w14:textId="2F3BE500" w:rsidR="00FD0956" w:rsidRPr="00FD0956" w:rsidRDefault="00372BF3" w:rsidP="00372BF3">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3. That the dismissal was reasonable in the circumstances</w:t>
      </w:r>
    </w:p>
    <w:p w14:paraId="4A9D58BA" w14:textId="28845BB1" w:rsidR="00FD0956" w:rsidRPr="00FD0956" w:rsidRDefault="00FD0956" w:rsidP="00FD0956">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 xml:space="preserve">It will also rest on whether GR’s </w:t>
      </w:r>
      <w:r w:rsidRPr="00276A5B">
        <w:rPr>
          <w:rFonts w:ascii="Arial" w:hAnsi="Arial" w:cs="Arial"/>
          <w:color w:val="000000" w:themeColor="text1"/>
        </w:rPr>
        <w:t>counterargument could rest on the issue of provocation.</w:t>
      </w:r>
    </w:p>
    <w:p w14:paraId="5C963DA1" w14:textId="627CBD83" w:rsidR="00C03157" w:rsidRPr="005A5083" w:rsidRDefault="00D80D66" w:rsidP="00D2162C">
      <w:pPr>
        <w:pStyle w:val="NormalWeb"/>
        <w:spacing w:beforeLines="50" w:before="120" w:beforeAutospacing="0" w:afterLines="50" w:after="120" w:afterAutospacing="0" w:line="360" w:lineRule="auto"/>
        <w:rPr>
          <w:rFonts w:ascii="Arial" w:hAnsi="Arial" w:cs="Arial"/>
          <w:b/>
          <w:bCs/>
          <w:color w:val="000000" w:themeColor="text1"/>
        </w:rPr>
      </w:pPr>
      <w:r w:rsidRPr="005A5083">
        <w:rPr>
          <w:rFonts w:ascii="Arial" w:hAnsi="Arial" w:cs="Arial"/>
          <w:b/>
          <w:bCs/>
          <w:color w:val="000000" w:themeColor="text1"/>
        </w:rPr>
        <w:t xml:space="preserve">B) </w:t>
      </w:r>
      <w:r w:rsidR="00C03157" w:rsidRPr="005A5083">
        <w:rPr>
          <w:rFonts w:ascii="Arial" w:hAnsi="Arial" w:cs="Arial"/>
          <w:b/>
          <w:bCs/>
          <w:color w:val="000000" w:themeColor="text1"/>
        </w:rPr>
        <w:t xml:space="preserve">Automatic </w:t>
      </w:r>
      <w:r w:rsidR="007C3FE7" w:rsidRPr="005A5083">
        <w:rPr>
          <w:rFonts w:ascii="Arial" w:hAnsi="Arial" w:cs="Arial"/>
          <w:b/>
          <w:bCs/>
          <w:color w:val="000000" w:themeColor="text1"/>
        </w:rPr>
        <w:t>Unfair dismissal</w:t>
      </w:r>
    </w:p>
    <w:p w14:paraId="3616DD7D" w14:textId="7886F329" w:rsidR="000E566F" w:rsidRDefault="00D51EDA" w:rsidP="000E566F">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GR could claim unfairly dismissed on the grounds of making a </w:t>
      </w:r>
      <w:r>
        <w:rPr>
          <w:rFonts w:ascii="Arial" w:hAnsi="Arial" w:cs="Arial"/>
          <w:color w:val="000000" w:themeColor="text1"/>
        </w:rPr>
        <w:t>‘</w:t>
      </w:r>
      <w:r w:rsidRPr="00276A5B">
        <w:rPr>
          <w:rFonts w:ascii="Arial" w:hAnsi="Arial" w:cs="Arial"/>
          <w:color w:val="000000" w:themeColor="text1"/>
        </w:rPr>
        <w:t>protected disclosure</w:t>
      </w:r>
      <w:r>
        <w:rPr>
          <w:rFonts w:ascii="Arial" w:hAnsi="Arial" w:cs="Arial"/>
          <w:color w:val="000000" w:themeColor="text1"/>
        </w:rPr>
        <w:t>’</w:t>
      </w:r>
      <w:r w:rsidRPr="00276A5B">
        <w:rPr>
          <w:rFonts w:ascii="Arial" w:hAnsi="Arial" w:cs="Arial"/>
          <w:color w:val="000000" w:themeColor="text1"/>
        </w:rPr>
        <w:t xml:space="preserve"> </w:t>
      </w:r>
      <w:r>
        <w:rPr>
          <w:rFonts w:ascii="Arial" w:hAnsi="Arial" w:cs="Arial"/>
          <w:color w:val="000000" w:themeColor="text1"/>
        </w:rPr>
        <w:t>under the Public Interest Disclosure Act 1998</w:t>
      </w:r>
      <w:r w:rsidRPr="00276A5B">
        <w:rPr>
          <w:rStyle w:val="FootnoteReference"/>
          <w:rFonts w:ascii="Arial" w:hAnsi="Arial" w:cs="Arial"/>
          <w:color w:val="000000" w:themeColor="text1"/>
        </w:rPr>
        <w:footnoteReference w:id="25"/>
      </w:r>
      <w:r>
        <w:rPr>
          <w:rFonts w:ascii="Arial" w:hAnsi="Arial" w:cs="Arial"/>
          <w:color w:val="000000" w:themeColor="text1"/>
        </w:rPr>
        <w:t xml:space="preserve"> </w:t>
      </w:r>
      <w:r w:rsidRPr="00276A5B">
        <w:rPr>
          <w:rFonts w:ascii="Arial" w:hAnsi="Arial" w:cs="Arial"/>
          <w:color w:val="000000" w:themeColor="text1"/>
        </w:rPr>
        <w:t>after raising H&amp;S concerns surrounding BB not enforcing the wear of facemasks</w:t>
      </w:r>
      <w:r>
        <w:rPr>
          <w:rFonts w:ascii="Arial" w:hAnsi="Arial" w:cs="Arial"/>
          <w:color w:val="000000" w:themeColor="text1"/>
        </w:rPr>
        <w:t xml:space="preserve"> </w:t>
      </w:r>
      <w:r w:rsidRPr="00276A5B">
        <w:rPr>
          <w:rFonts w:ascii="Arial" w:hAnsi="Arial" w:cs="Arial"/>
          <w:color w:val="000000" w:themeColor="text1"/>
        </w:rPr>
        <w:t>which is covered in The</w:t>
      </w:r>
      <w:r w:rsidRPr="00276A5B">
        <w:rPr>
          <w:rFonts w:ascii="Arial" w:hAnsi="Arial" w:cs="Arial"/>
          <w:b/>
          <w:color w:val="000000" w:themeColor="text1"/>
        </w:rPr>
        <w:t xml:space="preserve"> </w:t>
      </w:r>
      <w:r w:rsidRPr="00276A5B">
        <w:rPr>
          <w:rFonts w:ascii="Arial" w:hAnsi="Arial" w:cs="Arial"/>
          <w:bCs/>
          <w:color w:val="000000" w:themeColor="text1"/>
        </w:rPr>
        <w:t xml:space="preserve">ERA </w:t>
      </w:r>
      <w:r w:rsidRPr="00276A5B">
        <w:rPr>
          <w:rFonts w:ascii="Arial" w:hAnsi="Arial" w:cs="Arial"/>
          <w:bCs/>
          <w:color w:val="000000" w:themeColor="text1"/>
        </w:rPr>
        <w:lastRenderedPageBreak/>
        <w:t>1996, Section 44</w:t>
      </w:r>
      <w:r w:rsidRPr="00276A5B">
        <w:rPr>
          <w:rStyle w:val="FootnoteReference"/>
          <w:rFonts w:ascii="Arial" w:hAnsi="Arial" w:cs="Arial"/>
          <w:bCs/>
          <w:color w:val="000000" w:themeColor="text1"/>
        </w:rPr>
        <w:footnoteReference w:id="26"/>
      </w:r>
      <w:r w:rsidRPr="00276A5B">
        <w:rPr>
          <w:rFonts w:ascii="Arial" w:hAnsi="Arial" w:cs="Arial"/>
          <w:color w:val="000000" w:themeColor="text1"/>
        </w:rPr>
        <w:t xml:space="preserve"> </w:t>
      </w:r>
      <w:r w:rsidR="00C373AD" w:rsidRPr="00276A5B">
        <w:rPr>
          <w:rStyle w:val="FootnoteReference"/>
          <w:rFonts w:ascii="Arial" w:hAnsi="Arial" w:cs="Arial"/>
          <w:color w:val="000000" w:themeColor="text1"/>
        </w:rPr>
        <w:footnoteReference w:id="27"/>
      </w:r>
      <w:r w:rsidR="00C373AD" w:rsidRPr="00276A5B">
        <w:rPr>
          <w:rFonts w:ascii="Arial" w:hAnsi="Arial" w:cs="Arial"/>
          <w:color w:val="000000" w:themeColor="text1"/>
        </w:rPr>
        <w:t>.</w:t>
      </w:r>
      <w:r w:rsidR="000E566F">
        <w:rPr>
          <w:rFonts w:ascii="Arial" w:hAnsi="Arial" w:cs="Arial"/>
          <w:color w:val="000000" w:themeColor="text1"/>
        </w:rPr>
        <w:t xml:space="preserve"> </w:t>
      </w:r>
      <w:r w:rsidR="00C373AD" w:rsidRPr="00276A5B">
        <w:rPr>
          <w:rFonts w:ascii="Arial" w:hAnsi="Arial" w:cs="Arial"/>
          <w:color w:val="000000" w:themeColor="text1"/>
        </w:rPr>
        <w:t xml:space="preserve"> </w:t>
      </w:r>
      <w:r w:rsidR="000E566F">
        <w:rPr>
          <w:rFonts w:ascii="Arial" w:hAnsi="Arial" w:cs="Arial"/>
          <w:color w:val="000000" w:themeColor="text1"/>
        </w:rPr>
        <w:t xml:space="preserve">The following legal principals apply </w:t>
      </w:r>
      <w:r w:rsidR="00A369E3">
        <w:rPr>
          <w:rFonts w:ascii="Arial" w:hAnsi="Arial" w:cs="Arial"/>
          <w:color w:val="000000" w:themeColor="text1"/>
        </w:rPr>
        <w:t xml:space="preserve">that </w:t>
      </w:r>
      <w:r w:rsidR="000E566F">
        <w:rPr>
          <w:rFonts w:ascii="Arial" w:hAnsi="Arial" w:cs="Arial"/>
          <w:color w:val="000000" w:themeColor="text1"/>
        </w:rPr>
        <w:t xml:space="preserve">determine </w:t>
      </w:r>
      <w:r w:rsidR="00D61C3D">
        <w:rPr>
          <w:rFonts w:ascii="Arial" w:hAnsi="Arial" w:cs="Arial"/>
          <w:color w:val="000000" w:themeColor="text1"/>
        </w:rPr>
        <w:t xml:space="preserve">if </w:t>
      </w:r>
      <w:r w:rsidR="000E566F">
        <w:rPr>
          <w:rFonts w:ascii="Arial" w:hAnsi="Arial" w:cs="Arial"/>
          <w:color w:val="000000" w:themeColor="text1"/>
        </w:rPr>
        <w:t>a qualifying disclosure was made. A disclosure was;</w:t>
      </w:r>
    </w:p>
    <w:p w14:paraId="263BD137"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of information;</w:t>
      </w:r>
    </w:p>
    <w:p w14:paraId="5FD5E56C"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was related to a ‘relevant failure’;</w:t>
      </w:r>
    </w:p>
    <w:p w14:paraId="2BCF5426"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if he had a reasonable belief;</w:t>
      </w:r>
    </w:p>
    <w:p w14:paraId="4BDC0F92"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if the disclosure was in the public interest and;</w:t>
      </w:r>
    </w:p>
    <w:p w14:paraId="544E1EBE"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if it was indeed a protected disclosure</w:t>
      </w:r>
      <w:r w:rsidRPr="000E566F">
        <w:rPr>
          <w:rFonts w:ascii="Arial" w:hAnsi="Arial" w:cs="Arial"/>
          <w:color w:val="000000" w:themeColor="text1"/>
        </w:rPr>
        <w:t xml:space="preserve"> </w:t>
      </w:r>
    </w:p>
    <w:p w14:paraId="7E131EB1" w14:textId="66B87C5C" w:rsidR="00FD0956" w:rsidRPr="00276A5B" w:rsidRDefault="00C373AD" w:rsidP="00FD0956">
      <w:pPr>
        <w:spacing w:beforeLines="50" w:before="120" w:afterLines="50" w:after="120" w:line="360" w:lineRule="auto"/>
      </w:pPr>
      <w:r>
        <w:rPr>
          <w:rFonts w:ascii="Arial" w:hAnsi="Arial" w:cs="Arial"/>
          <w:color w:val="000000" w:themeColor="text1"/>
        </w:rPr>
        <w:t>The ET m</w:t>
      </w:r>
      <w:r w:rsidR="008662FC">
        <w:rPr>
          <w:rFonts w:ascii="Arial" w:hAnsi="Arial" w:cs="Arial"/>
          <w:color w:val="000000" w:themeColor="text1"/>
        </w:rPr>
        <w:t>ay</w:t>
      </w:r>
      <w:r>
        <w:rPr>
          <w:rFonts w:ascii="Arial" w:hAnsi="Arial" w:cs="Arial"/>
          <w:color w:val="000000" w:themeColor="text1"/>
        </w:rPr>
        <w:t xml:space="preserve"> view this claim as BB’s failure to comply with their legal obligation under the Health and Safety at Work Act 1974</w:t>
      </w:r>
      <w:r w:rsidR="00D61C3D">
        <w:rPr>
          <w:rFonts w:ascii="Arial" w:hAnsi="Arial" w:cs="Arial"/>
          <w:color w:val="000000" w:themeColor="text1"/>
        </w:rPr>
        <w:t>,</w:t>
      </w:r>
      <w:r>
        <w:rPr>
          <w:rFonts w:ascii="Arial" w:hAnsi="Arial" w:cs="Arial"/>
          <w:color w:val="000000" w:themeColor="text1"/>
        </w:rPr>
        <w:t xml:space="preserve"> and government guidance surrounding a coronavirus safe environment.</w:t>
      </w:r>
      <w:r w:rsidR="002661AE">
        <w:rPr>
          <w:rFonts w:ascii="Arial" w:hAnsi="Arial" w:cs="Arial"/>
          <w:color w:val="000000" w:themeColor="text1"/>
        </w:rPr>
        <w:t xml:space="preserve"> </w:t>
      </w:r>
      <w:r w:rsidR="00D51EDA" w:rsidRPr="00276A5B">
        <w:rPr>
          <w:rFonts w:ascii="Arial" w:hAnsi="Arial" w:cs="Arial"/>
          <w:color w:val="000000" w:themeColor="text1"/>
        </w:rPr>
        <w:t xml:space="preserve">Subsequently, </w:t>
      </w:r>
      <w:r w:rsidR="00D51EDA" w:rsidRPr="006816B9">
        <w:rPr>
          <w:rFonts w:ascii="Arial" w:hAnsi="Arial" w:cs="Arial"/>
          <w:color w:val="000000" w:themeColor="text1"/>
        </w:rPr>
        <w:t>The ERA 1996 Section 100</w:t>
      </w:r>
      <w:r w:rsidR="002661AE" w:rsidRPr="006816B9">
        <w:rPr>
          <w:rFonts w:ascii="Arial" w:hAnsi="Arial" w:cs="Arial"/>
          <w:color w:val="000000" w:themeColor="text1"/>
        </w:rPr>
        <w:t xml:space="preserve"> </w:t>
      </w:r>
      <w:r w:rsidR="00D51EDA" w:rsidRPr="006816B9">
        <w:rPr>
          <w:rFonts w:ascii="Arial" w:hAnsi="Arial" w:cs="Arial"/>
          <w:color w:val="000000" w:themeColor="text1"/>
        </w:rPr>
        <w:t>(1,C)</w:t>
      </w:r>
      <w:r w:rsidR="00D51EDA" w:rsidRPr="006816B9">
        <w:rPr>
          <w:rStyle w:val="FootnoteReference"/>
          <w:rFonts w:ascii="Arial" w:hAnsi="Arial" w:cs="Arial"/>
          <w:color w:val="000000" w:themeColor="text1"/>
        </w:rPr>
        <w:footnoteReference w:id="28"/>
      </w:r>
      <w:r w:rsidR="00D51EDA" w:rsidRPr="006816B9">
        <w:rPr>
          <w:rFonts w:ascii="Arial" w:hAnsi="Arial" w:cs="Arial"/>
          <w:color w:val="000000" w:themeColor="text1"/>
        </w:rPr>
        <w:t xml:space="preserve">, an employee who was dismissed should be regarded for the purposes as being fairly dismissed if the reason for dismissal </w:t>
      </w:r>
      <w:r w:rsidR="006816B9">
        <w:rPr>
          <w:rFonts w:ascii="Arial" w:hAnsi="Arial" w:cs="Arial"/>
          <w:color w:val="000000" w:themeColor="text1"/>
        </w:rPr>
        <w:t xml:space="preserve">is </w:t>
      </w:r>
      <w:r w:rsidR="006816B9" w:rsidRPr="006816B9">
        <w:rPr>
          <w:rFonts w:ascii="Arial" w:hAnsi="Arial" w:cs="Arial"/>
          <w:color w:val="000000" w:themeColor="text1"/>
        </w:rPr>
        <w:t>that the employer</w:t>
      </w:r>
      <w:r w:rsidR="00D51EDA" w:rsidRPr="006816B9">
        <w:rPr>
          <w:rFonts w:ascii="Arial" w:hAnsi="Arial" w:cs="Arial"/>
          <w:color w:val="000000" w:themeColor="text1"/>
        </w:rPr>
        <w:t xml:space="preserve"> reasonably believe</w:t>
      </w:r>
      <w:r w:rsidR="006816B9" w:rsidRPr="006816B9">
        <w:rPr>
          <w:rFonts w:ascii="Arial" w:hAnsi="Arial" w:cs="Arial"/>
          <w:color w:val="000000" w:themeColor="text1"/>
        </w:rPr>
        <w:t>s the employee i</w:t>
      </w:r>
      <w:r w:rsidR="006816B9">
        <w:rPr>
          <w:rFonts w:ascii="Arial" w:hAnsi="Arial" w:cs="Arial"/>
          <w:color w:val="000000" w:themeColor="text1"/>
        </w:rPr>
        <w:t>s</w:t>
      </w:r>
      <w:r w:rsidR="00D51EDA" w:rsidRPr="006816B9">
        <w:rPr>
          <w:rFonts w:ascii="Arial" w:hAnsi="Arial" w:cs="Arial"/>
          <w:color w:val="000000" w:themeColor="text1"/>
        </w:rPr>
        <w:t xml:space="preserve"> harmful or potentially harmful to H&amp;S.</w:t>
      </w:r>
      <w:r w:rsidR="00D51EDA" w:rsidRPr="00276A5B">
        <w:rPr>
          <w:rFonts w:ascii="Arial" w:hAnsi="Arial" w:cs="Arial"/>
          <w:color w:val="000000" w:themeColor="text1"/>
        </w:rPr>
        <w:t xml:space="preserve"> </w:t>
      </w:r>
      <w:r w:rsidR="00D51EDA" w:rsidDel="00D51EDA">
        <w:rPr>
          <w:rFonts w:ascii="Arial" w:hAnsi="Arial" w:cs="Arial"/>
          <w:color w:val="000000" w:themeColor="text1"/>
        </w:rPr>
        <w:t xml:space="preserve"> </w:t>
      </w:r>
      <w:r w:rsidR="003F06C9">
        <w:rPr>
          <w:rFonts w:ascii="Arial" w:hAnsi="Arial" w:cs="Arial"/>
          <w:color w:val="000000" w:themeColor="text1"/>
        </w:rPr>
        <w:t>Moreover</w:t>
      </w:r>
      <w:r w:rsidR="00D51EDA" w:rsidRPr="00276A5B">
        <w:rPr>
          <w:rFonts w:ascii="Arial" w:hAnsi="Arial" w:cs="Arial"/>
          <w:color w:val="000000" w:themeColor="text1"/>
        </w:rPr>
        <w:t>, GR could claim he was unfairly dismissal on the ground of asserting a statutory right under The ERA 1996, section 104(4)</w:t>
      </w:r>
      <w:r w:rsidR="00D51EDA" w:rsidRPr="00276A5B">
        <w:rPr>
          <w:rStyle w:val="FootnoteReference"/>
          <w:rFonts w:ascii="Arial" w:hAnsi="Arial" w:cs="Arial"/>
          <w:color w:val="000000" w:themeColor="text1"/>
        </w:rPr>
        <w:footnoteReference w:id="29"/>
      </w:r>
      <w:r w:rsidR="00D51EDA" w:rsidRPr="00276A5B">
        <w:rPr>
          <w:rFonts w:ascii="Arial" w:hAnsi="Arial" w:cs="Arial"/>
          <w:color w:val="000000" w:themeColor="text1"/>
        </w:rPr>
        <w:t>.</w:t>
      </w:r>
      <w:r w:rsidR="00266462">
        <w:rPr>
          <w:rFonts w:ascii="Arial" w:hAnsi="Arial" w:cs="Arial"/>
          <w:color w:val="000000" w:themeColor="text1"/>
        </w:rPr>
        <w:t xml:space="preserve"> </w:t>
      </w:r>
      <w:r w:rsidR="00266462" w:rsidRPr="00276A5B">
        <w:rPr>
          <w:rFonts w:ascii="Arial" w:hAnsi="Arial" w:cs="Arial"/>
          <w:color w:val="000000" w:themeColor="text1"/>
        </w:rPr>
        <w:t>Alternatively,</w:t>
      </w:r>
      <w:r w:rsidR="00266462">
        <w:rPr>
          <w:rFonts w:ascii="Arial" w:hAnsi="Arial" w:cs="Arial"/>
          <w:color w:val="000000" w:themeColor="text1"/>
        </w:rPr>
        <w:t xml:space="preserve"> GR may bring a </w:t>
      </w:r>
      <w:r w:rsidR="00266462" w:rsidRPr="00276A5B">
        <w:rPr>
          <w:rFonts w:ascii="Arial" w:hAnsi="Arial" w:cs="Arial"/>
          <w:color w:val="000000" w:themeColor="text1"/>
        </w:rPr>
        <w:t>potential claim of associative discrimination based on the grounds that a disclosure was made of GR’s mother’s health/ disability</w:t>
      </w:r>
      <w:r w:rsidR="008662FC">
        <w:rPr>
          <w:rFonts w:ascii="Arial" w:hAnsi="Arial" w:cs="Arial"/>
          <w:color w:val="000000" w:themeColor="text1"/>
        </w:rPr>
        <w:t xml:space="preserve">. However, </w:t>
      </w:r>
      <w:r w:rsidR="00D61C3D">
        <w:rPr>
          <w:rFonts w:ascii="Arial" w:hAnsi="Arial" w:cs="Arial"/>
          <w:color w:val="000000" w:themeColor="text1"/>
        </w:rPr>
        <w:t>there must be a</w:t>
      </w:r>
      <w:r w:rsidR="008662FC">
        <w:rPr>
          <w:rFonts w:ascii="Arial" w:hAnsi="Arial" w:cs="Arial"/>
          <w:color w:val="000000" w:themeColor="text1"/>
        </w:rPr>
        <w:t xml:space="preserve"> clear link between </w:t>
      </w:r>
      <w:r w:rsidR="00D61C3D">
        <w:rPr>
          <w:rFonts w:ascii="Arial" w:hAnsi="Arial" w:cs="Arial"/>
          <w:color w:val="000000" w:themeColor="text1"/>
        </w:rPr>
        <w:t xml:space="preserve">the discrimination </w:t>
      </w:r>
      <w:r w:rsidR="008662FC">
        <w:rPr>
          <w:rFonts w:ascii="Arial" w:hAnsi="Arial" w:cs="Arial"/>
          <w:color w:val="000000" w:themeColor="text1"/>
        </w:rPr>
        <w:t>and dismissal</w:t>
      </w:r>
      <w:r w:rsidR="00FD0956" w:rsidRPr="00276A5B">
        <w:rPr>
          <w:rStyle w:val="FootnoteReference"/>
          <w:rFonts w:ascii="Arial" w:hAnsi="Arial" w:cs="Arial"/>
          <w:color w:val="000000" w:themeColor="text1"/>
        </w:rPr>
        <w:footnoteReference w:id="30"/>
      </w:r>
      <w:r w:rsidR="00FD0956" w:rsidRPr="00276A5B">
        <w:rPr>
          <w:rStyle w:val="FootnoteReference"/>
          <w:rFonts w:ascii="Arial" w:hAnsi="Arial" w:cs="Arial"/>
          <w:color w:val="000000" w:themeColor="text1"/>
        </w:rPr>
        <w:footnoteReference w:id="31"/>
      </w:r>
      <w:r w:rsidR="00FD0956" w:rsidRPr="00276A5B">
        <w:rPr>
          <w:rFonts w:ascii="Arial" w:hAnsi="Arial" w:cs="Arial"/>
          <w:color w:val="000000" w:themeColor="text1"/>
        </w:rPr>
        <w:t>.</w:t>
      </w:r>
      <w:r w:rsidR="00FD0956" w:rsidRPr="00276A5B" w:rsidDel="0003599B">
        <w:t xml:space="preserve"> </w:t>
      </w:r>
    </w:p>
    <w:p w14:paraId="2E491A63" w14:textId="77777777" w:rsidR="00C373AD" w:rsidRPr="005A5083" w:rsidRDefault="00C373AD" w:rsidP="00C373AD">
      <w:pPr>
        <w:pStyle w:val="NormalWeb"/>
        <w:spacing w:beforeLines="50" w:before="120" w:beforeAutospacing="0" w:afterLines="50" w:after="120" w:afterAutospacing="0" w:line="360" w:lineRule="auto"/>
        <w:rPr>
          <w:rFonts w:ascii="Arial" w:hAnsi="Arial" w:cs="Arial"/>
          <w:b/>
          <w:bCs/>
          <w:color w:val="000000" w:themeColor="text1"/>
        </w:rPr>
      </w:pPr>
      <w:r w:rsidRPr="005A5083">
        <w:rPr>
          <w:rFonts w:ascii="Arial" w:hAnsi="Arial" w:cs="Arial"/>
          <w:b/>
          <w:bCs/>
          <w:color w:val="000000" w:themeColor="text1"/>
        </w:rPr>
        <w:t>Defence</w:t>
      </w:r>
    </w:p>
    <w:p w14:paraId="465C3EDC" w14:textId="4E87C118" w:rsidR="008662FC" w:rsidRDefault="005A5083" w:rsidP="005D6653">
      <w:pPr>
        <w:spacing w:line="360" w:lineRule="auto"/>
        <w:rPr>
          <w:rFonts w:ascii="Arial" w:hAnsi="Arial" w:cs="Arial"/>
          <w:bCs/>
          <w:color w:val="000000" w:themeColor="text1"/>
        </w:rPr>
      </w:pPr>
      <w:r w:rsidRPr="00276A5B">
        <w:rPr>
          <w:rFonts w:ascii="Arial" w:hAnsi="Arial" w:cs="Arial"/>
          <w:color w:val="000000" w:themeColor="text1"/>
        </w:rPr>
        <w:t xml:space="preserve">BB </w:t>
      </w:r>
      <w:r w:rsidR="00A369E3">
        <w:rPr>
          <w:rFonts w:ascii="Arial" w:hAnsi="Arial" w:cs="Arial"/>
          <w:color w:val="000000" w:themeColor="text1"/>
        </w:rPr>
        <w:t>may need to</w:t>
      </w:r>
      <w:r w:rsidRPr="00276A5B">
        <w:rPr>
          <w:rFonts w:ascii="Arial" w:hAnsi="Arial" w:cs="Arial"/>
          <w:color w:val="000000" w:themeColor="text1"/>
        </w:rPr>
        <w:t xml:space="preserve"> evidence that </w:t>
      </w:r>
      <w:r w:rsidR="00C373AD">
        <w:rPr>
          <w:rFonts w:ascii="Arial" w:hAnsi="Arial" w:cs="Arial"/>
          <w:color w:val="000000" w:themeColor="text1"/>
        </w:rPr>
        <w:t>coronavirus safe environment</w:t>
      </w:r>
      <w:r w:rsidR="00C373AD" w:rsidRPr="00276A5B">
        <w:rPr>
          <w:rFonts w:ascii="Arial" w:hAnsi="Arial" w:cs="Arial"/>
          <w:color w:val="000000" w:themeColor="text1"/>
        </w:rPr>
        <w:t xml:space="preserve"> </w:t>
      </w:r>
      <w:r w:rsidRPr="00276A5B">
        <w:rPr>
          <w:rFonts w:ascii="Arial" w:hAnsi="Arial" w:cs="Arial"/>
          <w:color w:val="000000" w:themeColor="text1"/>
        </w:rPr>
        <w:t>were in place</w:t>
      </w:r>
      <w:r w:rsidR="008662FC">
        <w:rPr>
          <w:rFonts w:ascii="Arial" w:hAnsi="Arial" w:cs="Arial"/>
          <w:color w:val="000000" w:themeColor="text1"/>
        </w:rPr>
        <w:t xml:space="preserve"> and information around the working environment and requirements w</w:t>
      </w:r>
      <w:r w:rsidR="00A369E3">
        <w:rPr>
          <w:rFonts w:ascii="Arial" w:hAnsi="Arial" w:cs="Arial"/>
          <w:color w:val="000000" w:themeColor="text1"/>
        </w:rPr>
        <w:t>ere</w:t>
      </w:r>
      <w:r w:rsidR="008662FC">
        <w:rPr>
          <w:rFonts w:ascii="Arial" w:hAnsi="Arial" w:cs="Arial"/>
          <w:color w:val="000000" w:themeColor="text1"/>
        </w:rPr>
        <w:t xml:space="preserve"> cascaded to staff.</w:t>
      </w:r>
      <w:r w:rsidR="00372BF3">
        <w:rPr>
          <w:rFonts w:ascii="Arial" w:hAnsi="Arial" w:cs="Arial"/>
          <w:color w:val="000000" w:themeColor="text1"/>
        </w:rPr>
        <w:t xml:space="preserve"> I suggest gathering facts of asserting the wear of face masks and noticeable signage. You may want to discuss with the relevant individuals to whether GR raised concerns previously. Subsequently, the</w:t>
      </w:r>
      <w:r w:rsidR="00496D8A">
        <w:rPr>
          <w:rFonts w:ascii="Arial" w:hAnsi="Arial" w:cs="Arial"/>
          <w:color w:val="000000" w:themeColor="text1"/>
        </w:rPr>
        <w:t xml:space="preserve"> </w:t>
      </w:r>
      <w:r w:rsidR="00C373AD">
        <w:rPr>
          <w:rFonts w:ascii="Arial" w:hAnsi="Arial" w:cs="Arial"/>
          <w:color w:val="000000" w:themeColor="text1"/>
        </w:rPr>
        <w:t xml:space="preserve">ET will look into </w:t>
      </w:r>
      <w:r w:rsidR="00372BF3">
        <w:rPr>
          <w:rFonts w:ascii="Arial" w:hAnsi="Arial" w:cs="Arial"/>
          <w:color w:val="000000" w:themeColor="text1"/>
        </w:rPr>
        <w:t>the legal principals listed and determine whether a qualifying disclosure</w:t>
      </w:r>
      <w:r w:rsidRPr="00276A5B">
        <w:rPr>
          <w:rStyle w:val="FootnoteReference"/>
          <w:rFonts w:ascii="Arial" w:hAnsi="Arial" w:cs="Arial"/>
          <w:color w:val="000000" w:themeColor="text1"/>
        </w:rPr>
        <w:footnoteReference w:id="32"/>
      </w:r>
      <w:r w:rsidRPr="00276A5B">
        <w:rPr>
          <w:rFonts w:ascii="Arial" w:hAnsi="Arial" w:cs="Arial"/>
          <w:color w:val="000000" w:themeColor="text1"/>
        </w:rPr>
        <w:t>.</w:t>
      </w:r>
      <w:r w:rsidR="000E566F">
        <w:rPr>
          <w:rFonts w:ascii="Arial" w:hAnsi="Arial" w:cs="Arial"/>
          <w:color w:val="000000" w:themeColor="text1"/>
        </w:rPr>
        <w:t xml:space="preserve"> GR</w:t>
      </w:r>
      <w:r w:rsidR="00C373AD" w:rsidRPr="000E566F">
        <w:rPr>
          <w:rFonts w:ascii="Arial" w:hAnsi="Arial" w:cs="Arial"/>
          <w:color w:val="000000" w:themeColor="text1"/>
        </w:rPr>
        <w:t xml:space="preserve"> </w:t>
      </w:r>
      <w:r w:rsidR="00372BF3">
        <w:rPr>
          <w:rFonts w:ascii="Arial" w:hAnsi="Arial" w:cs="Arial"/>
          <w:color w:val="000000" w:themeColor="text1"/>
        </w:rPr>
        <w:t xml:space="preserve">may provide </w:t>
      </w:r>
      <w:r w:rsidR="00C373AD" w:rsidRPr="000E566F">
        <w:rPr>
          <w:rFonts w:ascii="Arial" w:hAnsi="Arial" w:cs="Arial"/>
          <w:color w:val="000000" w:themeColor="text1"/>
        </w:rPr>
        <w:t>e</w:t>
      </w:r>
      <w:r w:rsidRPr="000E566F">
        <w:rPr>
          <w:rFonts w:ascii="Arial" w:hAnsi="Arial" w:cs="Arial"/>
          <w:color w:val="000000" w:themeColor="text1"/>
        </w:rPr>
        <w:t xml:space="preserve">vidence to support claim of </w:t>
      </w:r>
      <w:r w:rsidR="00C373AD" w:rsidRPr="000E566F">
        <w:rPr>
          <w:rFonts w:ascii="Arial" w:hAnsi="Arial" w:cs="Arial"/>
          <w:color w:val="000000" w:themeColor="text1"/>
        </w:rPr>
        <w:t xml:space="preserve">a ‘protected disclosure’ of </w:t>
      </w:r>
      <w:r w:rsidRPr="000E566F">
        <w:rPr>
          <w:rFonts w:ascii="Arial" w:hAnsi="Arial" w:cs="Arial"/>
          <w:color w:val="000000" w:themeColor="text1"/>
        </w:rPr>
        <w:t xml:space="preserve">H&amp;S </w:t>
      </w:r>
      <w:r w:rsidR="00C373AD" w:rsidRPr="000E566F">
        <w:rPr>
          <w:rFonts w:ascii="Arial" w:hAnsi="Arial" w:cs="Arial"/>
          <w:color w:val="000000" w:themeColor="text1"/>
        </w:rPr>
        <w:t>concerns</w:t>
      </w:r>
      <w:r w:rsidR="00A369E3">
        <w:rPr>
          <w:rFonts w:ascii="Arial" w:hAnsi="Arial" w:cs="Arial"/>
          <w:color w:val="000000" w:themeColor="text1"/>
        </w:rPr>
        <w:t>,</w:t>
      </w:r>
      <w:r w:rsidR="00C373AD" w:rsidRPr="000E566F">
        <w:rPr>
          <w:rFonts w:ascii="Arial" w:hAnsi="Arial" w:cs="Arial"/>
          <w:color w:val="000000" w:themeColor="text1"/>
        </w:rPr>
        <w:t xml:space="preserve"> </w:t>
      </w:r>
      <w:r w:rsidR="00372BF3">
        <w:rPr>
          <w:rFonts w:ascii="Arial" w:hAnsi="Arial" w:cs="Arial"/>
          <w:color w:val="000000" w:themeColor="text1"/>
        </w:rPr>
        <w:t xml:space="preserve">but it must fall into </w:t>
      </w:r>
      <w:r w:rsidRPr="000E566F">
        <w:rPr>
          <w:rFonts w:ascii="Arial" w:hAnsi="Arial" w:cs="Arial"/>
          <w:color w:val="000000" w:themeColor="text1"/>
        </w:rPr>
        <w:t>one of the six types of ‘relevant disclosures’</w:t>
      </w:r>
      <w:r w:rsidRPr="00276A5B">
        <w:rPr>
          <w:rStyle w:val="FootnoteReference"/>
          <w:rFonts w:ascii="Arial" w:hAnsi="Arial" w:cs="Arial"/>
          <w:color w:val="000000" w:themeColor="text1"/>
        </w:rPr>
        <w:footnoteReference w:id="33"/>
      </w:r>
      <w:r w:rsidRPr="000E566F">
        <w:rPr>
          <w:rFonts w:ascii="Arial" w:hAnsi="Arial" w:cs="Arial"/>
          <w:color w:val="000000" w:themeColor="text1"/>
        </w:rPr>
        <w:t>.</w:t>
      </w:r>
      <w:r w:rsidR="00496D8A">
        <w:rPr>
          <w:rFonts w:ascii="Arial" w:hAnsi="Arial" w:cs="Arial"/>
          <w:color w:val="000000" w:themeColor="text1"/>
        </w:rPr>
        <w:t xml:space="preserve"> Based on the facts presented, </w:t>
      </w:r>
      <w:r w:rsidR="008662FC" w:rsidRPr="000E566F">
        <w:rPr>
          <w:rFonts w:ascii="Arial" w:hAnsi="Arial" w:cs="Arial"/>
          <w:color w:val="000000" w:themeColor="text1"/>
        </w:rPr>
        <w:t xml:space="preserve">I </w:t>
      </w:r>
      <w:r w:rsidR="00404C89" w:rsidRPr="000E566F">
        <w:rPr>
          <w:rFonts w:ascii="Arial" w:hAnsi="Arial" w:cs="Arial"/>
          <w:color w:val="000000" w:themeColor="text1"/>
        </w:rPr>
        <w:t>belie</w:t>
      </w:r>
      <w:r w:rsidR="00496D8A">
        <w:rPr>
          <w:rFonts w:ascii="Arial" w:hAnsi="Arial" w:cs="Arial"/>
          <w:color w:val="000000" w:themeColor="text1"/>
        </w:rPr>
        <w:t>ve</w:t>
      </w:r>
      <w:r w:rsidR="00404C89" w:rsidRPr="000E566F">
        <w:rPr>
          <w:rFonts w:ascii="Arial" w:hAnsi="Arial" w:cs="Arial"/>
          <w:color w:val="000000" w:themeColor="text1"/>
        </w:rPr>
        <w:t xml:space="preserve"> </w:t>
      </w:r>
      <w:r w:rsidR="00A369E3">
        <w:rPr>
          <w:rFonts w:ascii="Arial" w:hAnsi="Arial" w:cs="Arial"/>
          <w:color w:val="000000" w:themeColor="text1"/>
        </w:rPr>
        <w:t>the</w:t>
      </w:r>
      <w:r w:rsidR="00404C89" w:rsidRPr="000E566F">
        <w:rPr>
          <w:rFonts w:ascii="Arial" w:hAnsi="Arial" w:cs="Arial"/>
          <w:color w:val="000000" w:themeColor="text1"/>
        </w:rPr>
        <w:t xml:space="preserve"> </w:t>
      </w:r>
      <w:r w:rsidR="00404C89" w:rsidRPr="000E566F">
        <w:rPr>
          <w:rFonts w:ascii="Arial" w:hAnsi="Arial" w:cs="Arial"/>
          <w:color w:val="000000" w:themeColor="text1"/>
        </w:rPr>
        <w:lastRenderedPageBreak/>
        <w:t xml:space="preserve">claim is </w:t>
      </w:r>
      <w:r w:rsidR="009B2A35" w:rsidRPr="000E566F">
        <w:rPr>
          <w:rFonts w:ascii="Arial" w:hAnsi="Arial" w:cs="Arial"/>
          <w:color w:val="000000" w:themeColor="text1"/>
        </w:rPr>
        <w:t>weak</w:t>
      </w:r>
      <w:r w:rsidR="00266462" w:rsidRPr="000E566F">
        <w:rPr>
          <w:rFonts w:ascii="Arial" w:hAnsi="Arial" w:cs="Arial"/>
          <w:color w:val="000000" w:themeColor="text1"/>
        </w:rPr>
        <w:t xml:space="preserve"> as there is no clear link </w:t>
      </w:r>
      <w:r w:rsidR="009F4592" w:rsidRPr="000E566F">
        <w:rPr>
          <w:rFonts w:ascii="Arial" w:hAnsi="Arial" w:cs="Arial"/>
          <w:color w:val="000000" w:themeColor="text1"/>
        </w:rPr>
        <w:t xml:space="preserve">between GR’s dismissal </w:t>
      </w:r>
      <w:r w:rsidR="00A369E3">
        <w:rPr>
          <w:rFonts w:ascii="Arial" w:hAnsi="Arial" w:cs="Arial"/>
          <w:color w:val="000000" w:themeColor="text1"/>
        </w:rPr>
        <w:t>and the</w:t>
      </w:r>
      <w:r w:rsidR="009F4592" w:rsidRPr="000E566F">
        <w:rPr>
          <w:rFonts w:ascii="Arial" w:hAnsi="Arial" w:cs="Arial"/>
          <w:color w:val="000000" w:themeColor="text1"/>
        </w:rPr>
        <w:t xml:space="preserve"> disclosure he may have raised</w:t>
      </w:r>
      <w:r w:rsidR="00A369E3">
        <w:rPr>
          <w:rFonts w:ascii="Arial" w:hAnsi="Arial" w:cs="Arial"/>
          <w:color w:val="000000" w:themeColor="text1"/>
        </w:rPr>
        <w:t xml:space="preserve">, </w:t>
      </w:r>
      <w:r w:rsidR="009F4592" w:rsidRPr="000E566F">
        <w:rPr>
          <w:rFonts w:ascii="Arial" w:hAnsi="Arial" w:cs="Arial"/>
          <w:color w:val="000000" w:themeColor="text1"/>
        </w:rPr>
        <w:t xml:space="preserve">and neither a link </w:t>
      </w:r>
      <w:r w:rsidR="00A369E3">
        <w:rPr>
          <w:rFonts w:ascii="Arial" w:hAnsi="Arial" w:cs="Arial"/>
          <w:color w:val="000000" w:themeColor="text1"/>
        </w:rPr>
        <w:t xml:space="preserve">of </w:t>
      </w:r>
      <w:r w:rsidR="00994423" w:rsidRPr="000E566F">
        <w:rPr>
          <w:rFonts w:ascii="Arial" w:hAnsi="Arial" w:cs="Arial"/>
          <w:color w:val="000000" w:themeColor="text1"/>
        </w:rPr>
        <w:t>associative</w:t>
      </w:r>
      <w:r w:rsidR="009B2A35" w:rsidRPr="000E566F">
        <w:rPr>
          <w:rFonts w:ascii="Arial" w:hAnsi="Arial" w:cs="Arial"/>
          <w:color w:val="000000" w:themeColor="text1"/>
        </w:rPr>
        <w:t xml:space="preserve"> discrimination </w:t>
      </w:r>
      <w:r w:rsidR="009F4592" w:rsidRPr="000E566F">
        <w:rPr>
          <w:rFonts w:ascii="Arial" w:hAnsi="Arial" w:cs="Arial"/>
          <w:color w:val="000000" w:themeColor="text1"/>
        </w:rPr>
        <w:t>of</w:t>
      </w:r>
      <w:r w:rsidR="00267ADE" w:rsidRPr="000E566F">
        <w:rPr>
          <w:rFonts w:ascii="Arial" w:hAnsi="Arial" w:cs="Arial"/>
          <w:color w:val="000000" w:themeColor="text1"/>
        </w:rPr>
        <w:t xml:space="preserve"> being treated less favourably</w:t>
      </w:r>
      <w:r w:rsidR="00BA45A7" w:rsidRPr="000E566F">
        <w:rPr>
          <w:rFonts w:ascii="Arial" w:hAnsi="Arial" w:cs="Arial"/>
          <w:color w:val="000000" w:themeColor="text1"/>
        </w:rPr>
        <w:t xml:space="preserve"> </w:t>
      </w:r>
      <w:r w:rsidR="005D6653">
        <w:rPr>
          <w:rFonts w:ascii="Arial" w:hAnsi="Arial" w:cs="Arial"/>
          <w:color w:val="000000" w:themeColor="text1"/>
        </w:rPr>
        <w:t>because</w:t>
      </w:r>
      <w:r w:rsidR="00BA45A7" w:rsidRPr="000E566F">
        <w:rPr>
          <w:rFonts w:ascii="Arial" w:hAnsi="Arial" w:cs="Arial"/>
          <w:color w:val="000000" w:themeColor="text1"/>
        </w:rPr>
        <w:t xml:space="preserve"> of the health/disability surrounding GR’s mother</w:t>
      </w:r>
      <w:r w:rsidR="004957F1" w:rsidRPr="00276A5B">
        <w:rPr>
          <w:rStyle w:val="FootnoteReference"/>
          <w:rFonts w:ascii="Arial" w:hAnsi="Arial" w:cs="Arial"/>
          <w:color w:val="000000" w:themeColor="text1"/>
        </w:rPr>
        <w:footnoteReference w:id="34"/>
      </w:r>
      <w:r w:rsidR="004957F1" w:rsidRPr="000E566F">
        <w:rPr>
          <w:rFonts w:ascii="Arial" w:hAnsi="Arial" w:cs="Arial"/>
          <w:color w:val="000000" w:themeColor="text1"/>
        </w:rPr>
        <w:t xml:space="preserve">. </w:t>
      </w:r>
      <w:r w:rsidR="009F4592" w:rsidRPr="000E566F">
        <w:rPr>
          <w:rFonts w:ascii="Arial" w:hAnsi="Arial" w:cs="Arial"/>
          <w:color w:val="000000" w:themeColor="text1"/>
        </w:rPr>
        <w:t>However, the ET may want to uncover and identify if there is a link</w:t>
      </w:r>
      <w:r w:rsidR="00FD1C08" w:rsidRPr="000E566F">
        <w:rPr>
          <w:rFonts w:ascii="Arial" w:hAnsi="Arial" w:cs="Arial"/>
          <w:color w:val="000000" w:themeColor="text1"/>
        </w:rPr>
        <w:t>.</w:t>
      </w:r>
      <w:r w:rsidR="007C3FE7" w:rsidRPr="000E566F">
        <w:rPr>
          <w:rFonts w:ascii="Arial" w:hAnsi="Arial" w:cs="Arial"/>
          <w:color w:val="000000" w:themeColor="text1"/>
        </w:rPr>
        <w:t xml:space="preserve"> </w:t>
      </w:r>
      <w:r w:rsidR="003F06C9">
        <w:rPr>
          <w:rFonts w:ascii="Arial" w:hAnsi="Arial" w:cs="Arial"/>
          <w:bCs/>
          <w:color w:val="000000" w:themeColor="text1"/>
        </w:rPr>
        <w:t>Moreover</w:t>
      </w:r>
      <w:r w:rsidR="008662FC">
        <w:rPr>
          <w:rFonts w:ascii="Arial" w:hAnsi="Arial" w:cs="Arial"/>
          <w:bCs/>
          <w:color w:val="000000" w:themeColor="text1"/>
        </w:rPr>
        <w:t>,</w:t>
      </w:r>
      <w:r w:rsidR="008662FC" w:rsidRPr="00276A5B">
        <w:rPr>
          <w:rFonts w:ascii="Arial" w:hAnsi="Arial" w:cs="Arial"/>
          <w:bCs/>
          <w:color w:val="000000" w:themeColor="text1"/>
        </w:rPr>
        <w:t xml:space="preserve"> GR </w:t>
      </w:r>
      <w:r w:rsidR="008662FC">
        <w:rPr>
          <w:rFonts w:ascii="Arial" w:hAnsi="Arial" w:cs="Arial"/>
          <w:bCs/>
          <w:color w:val="000000" w:themeColor="text1"/>
        </w:rPr>
        <w:t>may</w:t>
      </w:r>
      <w:r w:rsidR="008662FC" w:rsidRPr="00276A5B">
        <w:rPr>
          <w:rFonts w:ascii="Arial" w:hAnsi="Arial" w:cs="Arial"/>
          <w:bCs/>
          <w:color w:val="000000" w:themeColor="text1"/>
        </w:rPr>
        <w:t xml:space="preserve"> claim for interim relief that preserves his employment, at least as far as pay is concerned, until the tribunal has decided the claims for unfair dismissal. While </w:t>
      </w:r>
      <w:r w:rsidR="008662FC">
        <w:rPr>
          <w:rFonts w:ascii="Arial" w:hAnsi="Arial" w:cs="Arial"/>
          <w:bCs/>
          <w:color w:val="000000" w:themeColor="text1"/>
        </w:rPr>
        <w:t>interim relief</w:t>
      </w:r>
      <w:r w:rsidR="008662FC" w:rsidRPr="00276A5B">
        <w:rPr>
          <w:rFonts w:ascii="Arial" w:hAnsi="Arial" w:cs="Arial"/>
          <w:bCs/>
          <w:color w:val="000000" w:themeColor="text1"/>
        </w:rPr>
        <w:t xml:space="preserve"> applications were previously rare</w:t>
      </w:r>
      <w:r w:rsidR="008662FC">
        <w:rPr>
          <w:rFonts w:ascii="Arial" w:hAnsi="Arial" w:cs="Arial"/>
          <w:bCs/>
          <w:color w:val="000000" w:themeColor="text1"/>
        </w:rPr>
        <w:t xml:space="preserve">, </w:t>
      </w:r>
      <w:r w:rsidR="008662FC" w:rsidRPr="00276A5B">
        <w:rPr>
          <w:rFonts w:ascii="Arial" w:hAnsi="Arial" w:cs="Arial"/>
          <w:bCs/>
          <w:color w:val="000000" w:themeColor="text1"/>
        </w:rPr>
        <w:t>they can only be made in respect of certain claims, such as whistleblowing under PIDA</w:t>
      </w:r>
      <w:r w:rsidR="008662FC">
        <w:rPr>
          <w:rFonts w:ascii="Arial" w:hAnsi="Arial" w:cs="Arial"/>
          <w:bCs/>
          <w:color w:val="000000" w:themeColor="text1"/>
        </w:rPr>
        <w:t xml:space="preserve"> (after early conciliation)</w:t>
      </w:r>
      <w:r w:rsidR="008662FC" w:rsidRPr="00276A5B">
        <w:rPr>
          <w:rFonts w:ascii="Arial" w:hAnsi="Arial" w:cs="Arial"/>
          <w:bCs/>
          <w:color w:val="000000" w:themeColor="text1"/>
        </w:rPr>
        <w:t>. There ha</w:t>
      </w:r>
      <w:r w:rsidR="008662FC">
        <w:rPr>
          <w:rFonts w:ascii="Arial" w:hAnsi="Arial" w:cs="Arial"/>
          <w:bCs/>
          <w:color w:val="000000" w:themeColor="text1"/>
        </w:rPr>
        <w:t>s</w:t>
      </w:r>
      <w:r w:rsidR="008662FC" w:rsidRPr="00276A5B">
        <w:rPr>
          <w:rFonts w:ascii="Arial" w:hAnsi="Arial" w:cs="Arial"/>
          <w:bCs/>
          <w:color w:val="000000" w:themeColor="text1"/>
        </w:rPr>
        <w:t xml:space="preserve"> been a rise in these cases since Covid began</w:t>
      </w:r>
      <w:r w:rsidR="008662FC" w:rsidRPr="00276A5B">
        <w:rPr>
          <w:rStyle w:val="FootnoteReference"/>
          <w:rFonts w:ascii="Arial" w:hAnsi="Arial" w:cs="Arial"/>
          <w:bCs/>
          <w:color w:val="000000" w:themeColor="text1"/>
        </w:rPr>
        <w:footnoteReference w:id="35"/>
      </w:r>
      <w:r w:rsidR="008662FC" w:rsidRPr="00276A5B">
        <w:rPr>
          <w:rFonts w:ascii="Arial" w:hAnsi="Arial" w:cs="Arial"/>
          <w:bCs/>
          <w:color w:val="000000" w:themeColor="text1"/>
        </w:rPr>
        <w:t>.</w:t>
      </w:r>
    </w:p>
    <w:p w14:paraId="3C64A026" w14:textId="2A2BD8B9" w:rsidR="007476BA" w:rsidRDefault="00E91650" w:rsidP="00D2162C">
      <w:pPr>
        <w:spacing w:beforeLines="50" w:before="120" w:afterLines="50" w:after="120" w:line="360" w:lineRule="auto"/>
        <w:rPr>
          <w:rFonts w:ascii="Arial" w:hAnsi="Arial" w:cs="Arial"/>
          <w:color w:val="000000" w:themeColor="text1"/>
        </w:rPr>
      </w:pPr>
      <w:r>
        <w:rPr>
          <w:rFonts w:ascii="Arial" w:hAnsi="Arial" w:cs="Arial"/>
          <w:b/>
          <w:color w:val="000000" w:themeColor="text1"/>
        </w:rPr>
        <w:t>C</w:t>
      </w:r>
      <w:r w:rsidR="00D80D66" w:rsidRPr="007476BA">
        <w:rPr>
          <w:rFonts w:ascii="Arial" w:hAnsi="Arial" w:cs="Arial"/>
          <w:b/>
          <w:color w:val="000000" w:themeColor="text1"/>
        </w:rPr>
        <w:t>)</w:t>
      </w:r>
      <w:r w:rsidR="00F3136C" w:rsidRPr="007476BA">
        <w:rPr>
          <w:rFonts w:ascii="Arial" w:hAnsi="Arial" w:cs="Arial"/>
          <w:b/>
          <w:color w:val="000000" w:themeColor="text1"/>
        </w:rPr>
        <w:t xml:space="preserve"> </w:t>
      </w:r>
      <w:r w:rsidR="00FD1C08" w:rsidRPr="007476BA">
        <w:rPr>
          <w:rFonts w:ascii="Arial" w:hAnsi="Arial" w:cs="Arial"/>
          <w:b/>
          <w:color w:val="000000" w:themeColor="text1"/>
        </w:rPr>
        <w:t>Wrongful dismissal</w:t>
      </w:r>
      <w:r w:rsidR="00FD1C08" w:rsidRPr="00276A5B">
        <w:rPr>
          <w:rFonts w:ascii="Arial" w:hAnsi="Arial" w:cs="Arial"/>
          <w:color w:val="000000" w:themeColor="text1"/>
        </w:rPr>
        <w:t xml:space="preserve"> </w:t>
      </w:r>
    </w:p>
    <w:p w14:paraId="5D29191C" w14:textId="1F5AEC84" w:rsidR="00522F04" w:rsidRDefault="007107B3"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GR </w:t>
      </w:r>
      <w:r w:rsidR="00496D8A">
        <w:rPr>
          <w:rFonts w:ascii="Arial" w:hAnsi="Arial" w:cs="Arial"/>
          <w:color w:val="000000" w:themeColor="text1"/>
        </w:rPr>
        <w:t xml:space="preserve">may claim </w:t>
      </w:r>
      <w:r w:rsidR="005D6653">
        <w:rPr>
          <w:rFonts w:ascii="Arial" w:hAnsi="Arial" w:cs="Arial"/>
          <w:color w:val="000000" w:themeColor="text1"/>
        </w:rPr>
        <w:t xml:space="preserve">that he was </w:t>
      </w:r>
      <w:r w:rsidR="00496D8A">
        <w:rPr>
          <w:rFonts w:ascii="Arial" w:hAnsi="Arial" w:cs="Arial"/>
          <w:color w:val="000000" w:themeColor="text1"/>
        </w:rPr>
        <w:t>wrongful</w:t>
      </w:r>
      <w:r w:rsidR="005D6653">
        <w:rPr>
          <w:rFonts w:ascii="Arial" w:hAnsi="Arial" w:cs="Arial"/>
          <w:color w:val="000000" w:themeColor="text1"/>
        </w:rPr>
        <w:t>ly</w:t>
      </w:r>
      <w:r w:rsidR="00496D8A">
        <w:rPr>
          <w:rFonts w:ascii="Arial" w:hAnsi="Arial" w:cs="Arial"/>
          <w:color w:val="000000" w:themeColor="text1"/>
        </w:rPr>
        <w:t xml:space="preserve"> dismissal as a result of old common law principals that GR’s contact of employment was breached and as such BB would need to consider n</w:t>
      </w:r>
      <w:r w:rsidR="00994423" w:rsidRPr="00276A5B">
        <w:rPr>
          <w:rFonts w:ascii="Arial" w:hAnsi="Arial" w:cs="Arial"/>
          <w:color w:val="000000" w:themeColor="text1"/>
        </w:rPr>
        <w:t>otice</w:t>
      </w:r>
      <w:r w:rsidR="00FD1C08" w:rsidRPr="00276A5B">
        <w:rPr>
          <w:rFonts w:ascii="Arial" w:hAnsi="Arial" w:cs="Arial"/>
          <w:color w:val="000000" w:themeColor="text1"/>
        </w:rPr>
        <w:t xml:space="preserve"> pay</w:t>
      </w:r>
      <w:r w:rsidR="00496D8A">
        <w:rPr>
          <w:rFonts w:ascii="Arial" w:hAnsi="Arial" w:cs="Arial"/>
          <w:color w:val="000000" w:themeColor="text1"/>
        </w:rPr>
        <w:t xml:space="preserve">, accrued holiday pay (accrued during the notice period), pension contributions and any bonus payments </w:t>
      </w:r>
      <w:r w:rsidR="0052207D">
        <w:rPr>
          <w:rFonts w:ascii="Arial" w:hAnsi="Arial" w:cs="Arial"/>
          <w:color w:val="000000" w:themeColor="text1"/>
        </w:rPr>
        <w:t>that may</w:t>
      </w:r>
      <w:r w:rsidR="00496D8A">
        <w:rPr>
          <w:rFonts w:ascii="Arial" w:hAnsi="Arial" w:cs="Arial"/>
          <w:color w:val="000000" w:themeColor="text1"/>
        </w:rPr>
        <w:t xml:space="preserve"> have received if </w:t>
      </w:r>
      <w:r w:rsidR="0052207D">
        <w:rPr>
          <w:rFonts w:ascii="Arial" w:hAnsi="Arial" w:cs="Arial"/>
          <w:color w:val="000000" w:themeColor="text1"/>
        </w:rPr>
        <w:t>GR</w:t>
      </w:r>
      <w:r w:rsidR="00496D8A">
        <w:rPr>
          <w:rFonts w:ascii="Arial" w:hAnsi="Arial" w:cs="Arial"/>
          <w:color w:val="000000" w:themeColor="text1"/>
        </w:rPr>
        <w:t xml:space="preserve"> had remained employed,</w:t>
      </w:r>
      <w:r w:rsidR="00E4515A" w:rsidRPr="00276A5B">
        <w:rPr>
          <w:rFonts w:ascii="Arial" w:hAnsi="Arial" w:cs="Arial"/>
          <w:color w:val="000000" w:themeColor="text1"/>
        </w:rPr>
        <w:t xml:space="preserve"> which is a variation of his contract</w:t>
      </w:r>
      <w:r w:rsidRPr="00276A5B">
        <w:rPr>
          <w:rFonts w:ascii="Arial" w:hAnsi="Arial" w:cs="Arial"/>
          <w:color w:val="000000" w:themeColor="text1"/>
        </w:rPr>
        <w:t xml:space="preserve"> under ERA 1996, Section 86</w:t>
      </w:r>
      <w:r w:rsidR="00447DBD" w:rsidRPr="00276A5B">
        <w:rPr>
          <w:rStyle w:val="FootnoteReference"/>
          <w:rFonts w:ascii="Arial" w:hAnsi="Arial" w:cs="Arial"/>
          <w:color w:val="000000" w:themeColor="text1"/>
        </w:rPr>
        <w:footnoteReference w:id="36"/>
      </w:r>
      <w:r w:rsidR="00994423" w:rsidRPr="00276A5B">
        <w:rPr>
          <w:rFonts w:ascii="Arial" w:hAnsi="Arial" w:cs="Arial"/>
          <w:color w:val="000000" w:themeColor="text1"/>
        </w:rPr>
        <w:t>.</w:t>
      </w:r>
      <w:r w:rsidR="0052207D">
        <w:rPr>
          <w:rFonts w:ascii="Arial" w:hAnsi="Arial" w:cs="Arial"/>
          <w:color w:val="000000" w:themeColor="text1"/>
        </w:rPr>
        <w:t xml:space="preserve"> </w:t>
      </w:r>
      <w:r w:rsidR="00522F04" w:rsidRPr="00276A5B">
        <w:rPr>
          <w:rFonts w:ascii="Arial" w:hAnsi="Arial" w:cs="Arial"/>
          <w:color w:val="000000" w:themeColor="text1"/>
        </w:rPr>
        <w:t xml:space="preserve">Subsequently, </w:t>
      </w:r>
      <w:r w:rsidR="00EA598A">
        <w:rPr>
          <w:rFonts w:ascii="Arial" w:hAnsi="Arial" w:cs="Arial"/>
          <w:color w:val="000000" w:themeColor="text1"/>
        </w:rPr>
        <w:t>t</w:t>
      </w:r>
      <w:r w:rsidR="00EA598A" w:rsidRPr="00276A5B">
        <w:rPr>
          <w:rFonts w:ascii="Arial" w:hAnsi="Arial" w:cs="Arial"/>
          <w:color w:val="000000" w:themeColor="text1"/>
        </w:rPr>
        <w:t>he outcome should not be prejudged</w:t>
      </w:r>
      <w:r w:rsidR="00EA598A" w:rsidRPr="00276A5B">
        <w:rPr>
          <w:rStyle w:val="FootnoteReference"/>
          <w:rFonts w:ascii="Arial" w:hAnsi="Arial" w:cs="Arial"/>
          <w:color w:val="000000" w:themeColor="text1"/>
        </w:rPr>
        <w:footnoteReference w:id="37"/>
      </w:r>
      <w:r w:rsidR="00EA598A">
        <w:rPr>
          <w:rFonts w:ascii="Arial" w:hAnsi="Arial" w:cs="Arial"/>
          <w:color w:val="000000" w:themeColor="text1"/>
        </w:rPr>
        <w:t xml:space="preserve"> and</w:t>
      </w:r>
      <w:r w:rsidR="00522F04" w:rsidRPr="00276A5B">
        <w:rPr>
          <w:rFonts w:ascii="Arial" w:hAnsi="Arial" w:cs="Arial"/>
          <w:color w:val="000000" w:themeColor="text1"/>
        </w:rPr>
        <w:t xml:space="preserve"> employees </w:t>
      </w:r>
      <w:r w:rsidR="00EA598A">
        <w:rPr>
          <w:rFonts w:ascii="Arial" w:hAnsi="Arial" w:cs="Arial"/>
          <w:color w:val="000000" w:themeColor="text1"/>
        </w:rPr>
        <w:t xml:space="preserve">should be told </w:t>
      </w:r>
      <w:r w:rsidR="00522F04" w:rsidRPr="00276A5B">
        <w:rPr>
          <w:rFonts w:ascii="Arial" w:hAnsi="Arial" w:cs="Arial"/>
          <w:color w:val="000000" w:themeColor="text1"/>
        </w:rPr>
        <w:t>that</w:t>
      </w:r>
      <w:r w:rsidR="00EA598A">
        <w:rPr>
          <w:rFonts w:ascii="Arial" w:hAnsi="Arial" w:cs="Arial"/>
          <w:color w:val="000000" w:themeColor="text1"/>
        </w:rPr>
        <w:t xml:space="preserve"> the</w:t>
      </w:r>
      <w:r w:rsidR="00522F04" w:rsidRPr="00276A5B">
        <w:rPr>
          <w:rFonts w:ascii="Arial" w:hAnsi="Arial" w:cs="Arial"/>
          <w:color w:val="000000" w:themeColor="text1"/>
        </w:rPr>
        <w:t xml:space="preserve"> outcome may result in dismissal </w:t>
      </w:r>
      <w:r w:rsidR="00447DBD" w:rsidRPr="00276A5B">
        <w:rPr>
          <w:rStyle w:val="FootnoteReference"/>
          <w:rFonts w:ascii="Arial" w:hAnsi="Arial" w:cs="Arial"/>
          <w:color w:val="000000" w:themeColor="text1"/>
        </w:rPr>
        <w:footnoteReference w:id="38"/>
      </w:r>
      <w:r w:rsidR="003A223B" w:rsidRPr="00276A5B">
        <w:rPr>
          <w:rFonts w:ascii="Arial" w:hAnsi="Arial" w:cs="Arial"/>
          <w:color w:val="000000" w:themeColor="text1"/>
        </w:rPr>
        <w:t>. The tribunal will consider mitigating factors and whether b</w:t>
      </w:r>
      <w:r w:rsidR="007C3FE7" w:rsidRPr="00276A5B">
        <w:rPr>
          <w:rFonts w:ascii="Arial" w:hAnsi="Arial" w:cs="Arial"/>
          <w:color w:val="000000" w:themeColor="text1"/>
        </w:rPr>
        <w:t>ea</w:t>
      </w:r>
      <w:r w:rsidR="003A223B" w:rsidRPr="00276A5B">
        <w:rPr>
          <w:rFonts w:ascii="Arial" w:hAnsi="Arial" w:cs="Arial"/>
          <w:color w:val="000000" w:themeColor="text1"/>
        </w:rPr>
        <w:t xml:space="preserve">ring on the outcome. </w:t>
      </w:r>
      <w:r w:rsidR="0052207D" w:rsidRPr="00276A5B">
        <w:rPr>
          <w:rFonts w:ascii="Arial" w:hAnsi="Arial" w:cs="Arial"/>
          <w:color w:val="000000" w:themeColor="text1"/>
        </w:rPr>
        <w:t xml:space="preserve">If </w:t>
      </w:r>
      <w:r w:rsidR="0052207D">
        <w:rPr>
          <w:rFonts w:ascii="Arial" w:hAnsi="Arial" w:cs="Arial"/>
          <w:color w:val="000000" w:themeColor="text1"/>
        </w:rPr>
        <w:t xml:space="preserve">GR is </w:t>
      </w:r>
      <w:r w:rsidR="0052207D" w:rsidRPr="00276A5B">
        <w:rPr>
          <w:rFonts w:ascii="Arial" w:hAnsi="Arial" w:cs="Arial"/>
          <w:color w:val="000000" w:themeColor="text1"/>
        </w:rPr>
        <w:t xml:space="preserve">found to be wrongfully dismissed, claim of monies </w:t>
      </w:r>
      <w:r w:rsidR="0052207D">
        <w:rPr>
          <w:rFonts w:ascii="Arial" w:hAnsi="Arial" w:cs="Arial"/>
          <w:color w:val="000000" w:themeColor="text1"/>
        </w:rPr>
        <w:t>owed</w:t>
      </w:r>
      <w:r w:rsidR="0052207D" w:rsidRPr="00276A5B">
        <w:rPr>
          <w:rFonts w:ascii="Arial" w:hAnsi="Arial" w:cs="Arial"/>
          <w:color w:val="000000" w:themeColor="text1"/>
        </w:rPr>
        <w:t xml:space="preserve"> on the ground</w:t>
      </w:r>
      <w:r w:rsidR="0052207D">
        <w:rPr>
          <w:rFonts w:ascii="Arial" w:hAnsi="Arial" w:cs="Arial"/>
          <w:color w:val="000000" w:themeColor="text1"/>
        </w:rPr>
        <w:t>s of</w:t>
      </w:r>
      <w:r w:rsidR="0052207D" w:rsidRPr="00276A5B">
        <w:rPr>
          <w:rFonts w:ascii="Arial" w:hAnsi="Arial" w:cs="Arial"/>
          <w:color w:val="000000" w:themeColor="text1"/>
        </w:rPr>
        <w:t xml:space="preserve"> statutory notice </w:t>
      </w:r>
      <w:r w:rsidR="0052207D">
        <w:rPr>
          <w:rFonts w:ascii="Arial" w:hAnsi="Arial" w:cs="Arial"/>
          <w:color w:val="000000" w:themeColor="text1"/>
        </w:rPr>
        <w:t>may be granted</w:t>
      </w:r>
      <w:r w:rsidR="0052207D" w:rsidRPr="00276A5B">
        <w:rPr>
          <w:rStyle w:val="FootnoteReference"/>
          <w:rFonts w:ascii="Arial" w:hAnsi="Arial" w:cs="Arial"/>
          <w:color w:val="000000" w:themeColor="text1"/>
        </w:rPr>
        <w:footnoteReference w:id="39"/>
      </w:r>
      <w:r w:rsidR="0052207D" w:rsidRPr="00276A5B">
        <w:rPr>
          <w:rStyle w:val="FootnoteReference"/>
          <w:rFonts w:ascii="Arial" w:hAnsi="Arial" w:cs="Arial"/>
          <w:color w:val="000000" w:themeColor="text1"/>
        </w:rPr>
        <w:footnoteReference w:id="40"/>
      </w:r>
      <w:r w:rsidR="0052207D" w:rsidRPr="00276A5B">
        <w:rPr>
          <w:rFonts w:ascii="Arial" w:hAnsi="Arial" w:cs="Arial"/>
          <w:color w:val="000000" w:themeColor="text1"/>
        </w:rPr>
        <w:t>.</w:t>
      </w:r>
    </w:p>
    <w:p w14:paraId="7FC398C0" w14:textId="69A9102E" w:rsidR="0003599B" w:rsidRPr="007476BA" w:rsidRDefault="0003599B" w:rsidP="00D2162C">
      <w:pPr>
        <w:spacing w:beforeLines="50" w:before="120" w:afterLines="50" w:after="120" w:line="360" w:lineRule="auto"/>
        <w:rPr>
          <w:rFonts w:ascii="Arial" w:hAnsi="Arial" w:cs="Arial"/>
          <w:b/>
          <w:color w:val="000000" w:themeColor="text1"/>
        </w:rPr>
      </w:pPr>
      <w:r w:rsidRPr="007476BA">
        <w:rPr>
          <w:rFonts w:ascii="Arial" w:hAnsi="Arial" w:cs="Arial"/>
          <w:b/>
          <w:color w:val="000000" w:themeColor="text1"/>
        </w:rPr>
        <w:t>Defence</w:t>
      </w:r>
    </w:p>
    <w:p w14:paraId="15DEAE9F" w14:textId="6C3E3FF6" w:rsidR="0003599B" w:rsidRPr="00276A5B" w:rsidRDefault="00EA598A"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 xml:space="preserve">BB </w:t>
      </w:r>
      <w:r w:rsidR="0052207D">
        <w:rPr>
          <w:rFonts w:ascii="Arial" w:hAnsi="Arial" w:cs="Arial"/>
          <w:color w:val="000000" w:themeColor="text1"/>
        </w:rPr>
        <w:t>may</w:t>
      </w:r>
      <w:r>
        <w:rPr>
          <w:rFonts w:ascii="Arial" w:hAnsi="Arial" w:cs="Arial"/>
          <w:color w:val="000000" w:themeColor="text1"/>
        </w:rPr>
        <w:t xml:space="preserve"> need to evidence that the </w:t>
      </w:r>
      <w:r w:rsidR="0003599B" w:rsidRPr="00276A5B">
        <w:rPr>
          <w:rFonts w:ascii="Arial" w:hAnsi="Arial" w:cs="Arial"/>
          <w:color w:val="000000" w:themeColor="text1"/>
        </w:rPr>
        <w:t xml:space="preserve">dismissal outcome </w:t>
      </w:r>
      <w:r>
        <w:rPr>
          <w:rFonts w:ascii="Arial" w:hAnsi="Arial" w:cs="Arial"/>
          <w:color w:val="000000" w:themeColor="text1"/>
        </w:rPr>
        <w:t>is purely linked to</w:t>
      </w:r>
      <w:r w:rsidR="0003599B" w:rsidRPr="00276A5B">
        <w:rPr>
          <w:rFonts w:ascii="Arial" w:hAnsi="Arial" w:cs="Arial"/>
          <w:color w:val="000000" w:themeColor="text1"/>
        </w:rPr>
        <w:t xml:space="preserve"> gross misconduct</w:t>
      </w:r>
      <w:r>
        <w:rPr>
          <w:rFonts w:ascii="Arial" w:hAnsi="Arial" w:cs="Arial"/>
          <w:color w:val="000000" w:themeColor="text1"/>
        </w:rPr>
        <w:t xml:space="preserve"> and is indeed </w:t>
      </w:r>
      <w:r w:rsidR="00983695">
        <w:rPr>
          <w:rFonts w:ascii="Arial" w:hAnsi="Arial" w:cs="Arial"/>
          <w:color w:val="000000" w:themeColor="text1"/>
        </w:rPr>
        <w:t xml:space="preserve">a </w:t>
      </w:r>
      <w:r>
        <w:rPr>
          <w:rFonts w:ascii="Arial" w:hAnsi="Arial" w:cs="Arial"/>
          <w:color w:val="000000" w:themeColor="text1"/>
        </w:rPr>
        <w:t>fair and reasonable outcome</w:t>
      </w:r>
      <w:r w:rsidR="0052207D">
        <w:rPr>
          <w:rFonts w:ascii="Arial" w:hAnsi="Arial" w:cs="Arial"/>
          <w:color w:val="000000" w:themeColor="text1"/>
        </w:rPr>
        <w:t xml:space="preserve"> and</w:t>
      </w:r>
      <w:r>
        <w:rPr>
          <w:rFonts w:ascii="Arial" w:hAnsi="Arial" w:cs="Arial"/>
          <w:color w:val="000000" w:themeColor="text1"/>
        </w:rPr>
        <w:t xml:space="preserve"> </w:t>
      </w:r>
      <w:r w:rsidR="0003599B" w:rsidRPr="00276A5B">
        <w:rPr>
          <w:rFonts w:ascii="Arial" w:hAnsi="Arial" w:cs="Arial"/>
          <w:color w:val="000000" w:themeColor="text1"/>
        </w:rPr>
        <w:t xml:space="preserve">BB have </w:t>
      </w:r>
      <w:r w:rsidR="00983695">
        <w:rPr>
          <w:rFonts w:ascii="Arial" w:hAnsi="Arial" w:cs="Arial"/>
          <w:color w:val="000000" w:themeColor="text1"/>
        </w:rPr>
        <w:t xml:space="preserve">the </w:t>
      </w:r>
      <w:r w:rsidR="0003599B" w:rsidRPr="00276A5B">
        <w:rPr>
          <w:rFonts w:ascii="Arial" w:hAnsi="Arial" w:cs="Arial"/>
          <w:color w:val="000000" w:themeColor="text1"/>
        </w:rPr>
        <w:t xml:space="preserve">legal right to dismiss without notice or </w:t>
      </w:r>
      <w:r w:rsidR="00983695">
        <w:rPr>
          <w:rFonts w:ascii="Arial" w:hAnsi="Arial" w:cs="Arial"/>
          <w:color w:val="000000" w:themeColor="text1"/>
        </w:rPr>
        <w:t>without</w:t>
      </w:r>
      <w:r w:rsidR="00983695" w:rsidRPr="00276A5B">
        <w:rPr>
          <w:rFonts w:ascii="Arial" w:hAnsi="Arial" w:cs="Arial"/>
          <w:color w:val="000000" w:themeColor="text1"/>
        </w:rPr>
        <w:t xml:space="preserve"> </w:t>
      </w:r>
      <w:r w:rsidR="0003599B" w:rsidRPr="00276A5B">
        <w:rPr>
          <w:rFonts w:ascii="Arial" w:hAnsi="Arial" w:cs="Arial"/>
          <w:color w:val="000000" w:themeColor="text1"/>
        </w:rPr>
        <w:t>further payments</w:t>
      </w:r>
      <w:r w:rsidR="0052207D">
        <w:rPr>
          <w:rFonts w:ascii="Arial" w:hAnsi="Arial" w:cs="Arial"/>
          <w:color w:val="000000" w:themeColor="text1"/>
        </w:rPr>
        <w:t xml:space="preserve"> as a result</w:t>
      </w:r>
      <w:r w:rsidRPr="00276A5B">
        <w:rPr>
          <w:rStyle w:val="FootnoteReference"/>
          <w:rFonts w:ascii="Arial" w:hAnsi="Arial" w:cs="Arial"/>
          <w:color w:val="000000" w:themeColor="text1"/>
        </w:rPr>
        <w:footnoteReference w:id="41"/>
      </w:r>
      <w:r w:rsidR="00983695">
        <w:rPr>
          <w:rFonts w:ascii="Arial" w:hAnsi="Arial" w:cs="Arial"/>
          <w:color w:val="000000" w:themeColor="text1"/>
        </w:rPr>
        <w:t>.</w:t>
      </w:r>
      <w:r w:rsidR="0003599B" w:rsidRPr="00276A5B">
        <w:rPr>
          <w:rFonts w:ascii="Arial" w:hAnsi="Arial" w:cs="Arial"/>
          <w:color w:val="000000" w:themeColor="text1"/>
        </w:rPr>
        <w:t xml:space="preserve"> However, should </w:t>
      </w:r>
      <w:r w:rsidR="0052207D">
        <w:rPr>
          <w:rFonts w:ascii="Arial" w:hAnsi="Arial" w:cs="Arial"/>
          <w:color w:val="000000" w:themeColor="text1"/>
        </w:rPr>
        <w:t xml:space="preserve">the </w:t>
      </w:r>
      <w:r w:rsidR="0003599B" w:rsidRPr="00276A5B">
        <w:rPr>
          <w:rFonts w:ascii="Arial" w:hAnsi="Arial" w:cs="Arial"/>
          <w:color w:val="000000" w:themeColor="text1"/>
        </w:rPr>
        <w:t>ET find the attack resulted in GR being provoked then BB would be in breach of a contractual disciplinary procedure and statutory notice</w:t>
      </w:r>
      <w:r w:rsidR="0003599B" w:rsidRPr="00276A5B">
        <w:rPr>
          <w:rStyle w:val="FootnoteReference"/>
          <w:rFonts w:ascii="Arial" w:hAnsi="Arial" w:cs="Arial"/>
          <w:color w:val="000000" w:themeColor="text1"/>
        </w:rPr>
        <w:footnoteReference w:id="42"/>
      </w:r>
      <w:r w:rsidR="0052207D">
        <w:rPr>
          <w:rFonts w:ascii="Arial" w:hAnsi="Arial" w:cs="Arial"/>
          <w:color w:val="000000" w:themeColor="text1"/>
        </w:rPr>
        <w:t>.  A</w:t>
      </w:r>
      <w:r w:rsidR="0003599B" w:rsidRPr="00276A5B">
        <w:rPr>
          <w:rFonts w:ascii="Arial" w:hAnsi="Arial" w:cs="Arial"/>
          <w:color w:val="000000" w:themeColor="text1"/>
        </w:rPr>
        <w:t xml:space="preserve">n employee with more </w:t>
      </w:r>
      <w:r w:rsidR="0003599B" w:rsidRPr="00276A5B">
        <w:rPr>
          <w:rFonts w:ascii="Arial" w:hAnsi="Arial" w:cs="Arial"/>
          <w:color w:val="000000" w:themeColor="text1"/>
        </w:rPr>
        <w:lastRenderedPageBreak/>
        <w:t>than 2 years service</w:t>
      </w:r>
      <w:r w:rsidR="0052207D">
        <w:rPr>
          <w:rFonts w:ascii="Arial" w:hAnsi="Arial" w:cs="Arial"/>
          <w:color w:val="000000" w:themeColor="text1"/>
        </w:rPr>
        <w:t>,</w:t>
      </w:r>
      <w:r w:rsidR="0003599B" w:rsidRPr="00276A5B">
        <w:rPr>
          <w:rFonts w:ascii="Arial" w:hAnsi="Arial" w:cs="Arial"/>
          <w:color w:val="000000" w:themeColor="text1"/>
        </w:rPr>
        <w:t xml:space="preserve"> but less than 12 years are entitled to one weeks statutory notice for each year of continuous employment</w:t>
      </w:r>
      <w:r w:rsidR="0003599B" w:rsidRPr="00276A5B">
        <w:rPr>
          <w:rStyle w:val="FootnoteReference"/>
          <w:rFonts w:ascii="Arial" w:hAnsi="Arial" w:cs="Arial"/>
          <w:color w:val="000000" w:themeColor="text1"/>
        </w:rPr>
        <w:footnoteReference w:id="43"/>
      </w:r>
      <w:r w:rsidR="0003599B" w:rsidRPr="00276A5B">
        <w:rPr>
          <w:rFonts w:ascii="Arial" w:hAnsi="Arial" w:cs="Arial"/>
          <w:color w:val="000000" w:themeColor="text1"/>
        </w:rPr>
        <w:t>.</w:t>
      </w:r>
      <w:r w:rsidR="00983695">
        <w:rPr>
          <w:rFonts w:ascii="Arial" w:hAnsi="Arial" w:cs="Arial"/>
          <w:color w:val="000000" w:themeColor="text1"/>
        </w:rPr>
        <w:t xml:space="preserve"> </w:t>
      </w:r>
      <w:r w:rsidR="00983695" w:rsidRPr="00276A5B">
        <w:rPr>
          <w:rFonts w:ascii="Arial" w:hAnsi="Arial" w:cs="Arial"/>
          <w:color w:val="000000" w:themeColor="text1"/>
        </w:rPr>
        <w:t>GR’s 5 years service should equate to the statutory notice of a minimum of 5 weeks notice</w:t>
      </w:r>
      <w:r w:rsidR="00983695" w:rsidRPr="00276A5B">
        <w:rPr>
          <w:rStyle w:val="FootnoteReference"/>
          <w:rFonts w:ascii="Arial" w:hAnsi="Arial" w:cs="Arial"/>
          <w:color w:val="000000" w:themeColor="text1"/>
        </w:rPr>
        <w:footnoteReference w:id="44"/>
      </w:r>
      <w:r w:rsidR="00983695" w:rsidRPr="00276A5B">
        <w:rPr>
          <w:rFonts w:ascii="Arial" w:hAnsi="Arial" w:cs="Arial"/>
          <w:color w:val="000000" w:themeColor="text1"/>
        </w:rPr>
        <w:t>.</w:t>
      </w:r>
    </w:p>
    <w:p w14:paraId="002A66FF" w14:textId="743BDFB0" w:rsidR="001A6F44" w:rsidRPr="00E91650" w:rsidRDefault="00835A75"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E91650">
        <w:rPr>
          <w:rFonts w:ascii="Arial" w:hAnsi="Arial" w:cs="Arial"/>
          <w:b/>
          <w:bCs/>
          <w:color w:val="000000" w:themeColor="text1"/>
          <w:u w:val="single"/>
        </w:rPr>
        <w:t xml:space="preserve">4. </w:t>
      </w:r>
      <w:r w:rsidR="008940E5" w:rsidRPr="00E91650">
        <w:rPr>
          <w:rFonts w:ascii="Arial" w:hAnsi="Arial" w:cs="Arial"/>
          <w:b/>
          <w:bCs/>
          <w:color w:val="000000" w:themeColor="text1"/>
          <w:u w:val="single"/>
        </w:rPr>
        <w:t>A</w:t>
      </w:r>
      <w:r w:rsidR="00A23900" w:rsidRPr="00E91650">
        <w:rPr>
          <w:rFonts w:ascii="Arial" w:hAnsi="Arial" w:cs="Arial"/>
          <w:b/>
          <w:bCs/>
          <w:color w:val="000000" w:themeColor="text1"/>
          <w:u w:val="single"/>
        </w:rPr>
        <w:t xml:space="preserve">ssessment </w:t>
      </w:r>
      <w:r w:rsidRPr="00E91650">
        <w:rPr>
          <w:rFonts w:ascii="Arial" w:hAnsi="Arial" w:cs="Arial"/>
          <w:b/>
          <w:bCs/>
          <w:color w:val="000000" w:themeColor="text1"/>
          <w:u w:val="single"/>
        </w:rPr>
        <w:t>of the strengths and weaknesses</w:t>
      </w:r>
      <w:r w:rsidR="003F3D54" w:rsidRPr="00E91650">
        <w:rPr>
          <w:rFonts w:ascii="Arial" w:hAnsi="Arial" w:cs="Arial"/>
          <w:b/>
          <w:bCs/>
          <w:color w:val="000000" w:themeColor="text1"/>
          <w:u w:val="single"/>
        </w:rPr>
        <w:t xml:space="preserve"> of claims</w:t>
      </w:r>
    </w:p>
    <w:p w14:paraId="14CD17BC" w14:textId="4907903B" w:rsidR="001A6F44" w:rsidRDefault="00FD0956" w:rsidP="00D2162C">
      <w:pPr>
        <w:pStyle w:val="NormalWeb"/>
        <w:spacing w:beforeLines="50" w:before="120" w:beforeAutospacing="0" w:afterLines="50" w:after="120" w:afterAutospacing="0" w:line="360" w:lineRule="auto"/>
        <w:rPr>
          <w:rFonts w:ascii="Arial" w:hAnsi="Arial" w:cs="Arial"/>
          <w:color w:val="000000" w:themeColor="text1"/>
        </w:rPr>
      </w:pPr>
      <w:r w:rsidRPr="00656DD7">
        <w:rPr>
          <w:rFonts w:ascii="Arial" w:hAnsi="Arial" w:cs="Arial"/>
          <w:bCs/>
          <w:color w:val="000000" w:themeColor="text1"/>
        </w:rPr>
        <w:t xml:space="preserve">Based on the information provided, </w:t>
      </w:r>
      <w:r w:rsidR="00656DD7" w:rsidRPr="00656DD7">
        <w:rPr>
          <w:rFonts w:ascii="Arial" w:hAnsi="Arial" w:cs="Arial"/>
          <w:bCs/>
          <w:color w:val="000000" w:themeColor="text1"/>
        </w:rPr>
        <w:t>it does not appear that GR has any history of behaviour or poor conduct on his personnel record</w:t>
      </w:r>
      <w:r w:rsidR="00656DD7">
        <w:rPr>
          <w:rFonts w:ascii="Arial" w:hAnsi="Arial" w:cs="Arial"/>
          <w:bCs/>
          <w:color w:val="000000" w:themeColor="text1"/>
        </w:rPr>
        <w:t xml:space="preserve">. Therefore, </w:t>
      </w:r>
      <w:r w:rsidR="00656DD7" w:rsidRPr="00656DD7">
        <w:rPr>
          <w:rFonts w:ascii="Arial" w:hAnsi="Arial" w:cs="Arial"/>
          <w:bCs/>
          <w:color w:val="000000" w:themeColor="text1"/>
        </w:rPr>
        <w:t>S</w:t>
      </w:r>
      <w:r w:rsidR="002343A5" w:rsidRPr="00656DD7">
        <w:rPr>
          <w:rFonts w:ascii="Arial" w:hAnsi="Arial" w:cs="Arial"/>
          <w:color w:val="000000" w:themeColor="text1"/>
        </w:rPr>
        <w:t>S</w:t>
      </w:r>
      <w:r w:rsidR="00656DD7">
        <w:rPr>
          <w:rFonts w:ascii="Arial" w:hAnsi="Arial" w:cs="Arial"/>
          <w:color w:val="000000" w:themeColor="text1"/>
        </w:rPr>
        <w:t xml:space="preserve"> </w:t>
      </w:r>
      <w:r w:rsidR="0052207D">
        <w:rPr>
          <w:rFonts w:ascii="Arial" w:hAnsi="Arial" w:cs="Arial"/>
          <w:color w:val="000000" w:themeColor="text1"/>
        </w:rPr>
        <w:t xml:space="preserve">claim </w:t>
      </w:r>
      <w:r w:rsidR="00656DD7">
        <w:rPr>
          <w:rFonts w:ascii="Arial" w:hAnsi="Arial" w:cs="Arial"/>
          <w:color w:val="000000" w:themeColor="text1"/>
        </w:rPr>
        <w:t>where he noted he had had to speak to GR on ‘</w:t>
      </w:r>
      <w:r w:rsidR="00656DD7" w:rsidRPr="00276A5B">
        <w:rPr>
          <w:rFonts w:ascii="Arial" w:hAnsi="Arial" w:cs="Arial"/>
          <w:color w:val="000000" w:themeColor="text1"/>
        </w:rPr>
        <w:t>several occasions</w:t>
      </w:r>
      <w:r w:rsidR="006974AE">
        <w:rPr>
          <w:rFonts w:ascii="Arial" w:hAnsi="Arial" w:cs="Arial"/>
          <w:color w:val="000000" w:themeColor="text1"/>
        </w:rPr>
        <w:t>’</w:t>
      </w:r>
      <w:r w:rsidR="00656DD7" w:rsidRPr="00276A5B">
        <w:rPr>
          <w:rFonts w:ascii="Arial" w:hAnsi="Arial" w:cs="Arial"/>
          <w:color w:val="000000" w:themeColor="text1"/>
        </w:rPr>
        <w:t xml:space="preserve"> </w:t>
      </w:r>
      <w:r w:rsidR="00656DD7">
        <w:rPr>
          <w:rFonts w:ascii="Arial" w:hAnsi="Arial" w:cs="Arial"/>
          <w:color w:val="000000" w:themeColor="text1"/>
        </w:rPr>
        <w:t>is weak</w:t>
      </w:r>
      <w:r w:rsidR="006974AE">
        <w:rPr>
          <w:rFonts w:ascii="Arial" w:hAnsi="Arial" w:cs="Arial"/>
          <w:color w:val="000000" w:themeColor="text1"/>
        </w:rPr>
        <w:t>, and t</w:t>
      </w:r>
      <w:r w:rsidR="00656DD7">
        <w:rPr>
          <w:rFonts w:ascii="Arial" w:hAnsi="Arial" w:cs="Arial"/>
          <w:color w:val="000000" w:themeColor="text1"/>
        </w:rPr>
        <w:t xml:space="preserve">here is no record that </w:t>
      </w:r>
      <w:r w:rsidR="006974AE">
        <w:rPr>
          <w:rFonts w:ascii="Arial" w:hAnsi="Arial" w:cs="Arial"/>
          <w:color w:val="000000" w:themeColor="text1"/>
        </w:rPr>
        <w:t>SS had spoken to GR</w:t>
      </w:r>
      <w:r w:rsidR="00527D59">
        <w:rPr>
          <w:rFonts w:ascii="Arial" w:hAnsi="Arial" w:cs="Arial"/>
          <w:color w:val="000000" w:themeColor="text1"/>
        </w:rPr>
        <w:t xml:space="preserve">. The ET will likely look into whether </w:t>
      </w:r>
      <w:r w:rsidR="00527D59" w:rsidRPr="00276A5B">
        <w:rPr>
          <w:rFonts w:ascii="Arial" w:hAnsi="Arial" w:cs="Arial"/>
          <w:color w:val="000000" w:themeColor="text1"/>
        </w:rPr>
        <w:t xml:space="preserve">SS’s mind </w:t>
      </w:r>
      <w:r w:rsidR="00527D59">
        <w:rPr>
          <w:rFonts w:ascii="Arial" w:hAnsi="Arial" w:cs="Arial"/>
          <w:color w:val="000000" w:themeColor="text1"/>
        </w:rPr>
        <w:t xml:space="preserve">was </w:t>
      </w:r>
      <w:r w:rsidR="00527D59" w:rsidRPr="00276A5B">
        <w:rPr>
          <w:rFonts w:ascii="Arial" w:hAnsi="Arial" w:cs="Arial"/>
          <w:color w:val="000000" w:themeColor="text1"/>
        </w:rPr>
        <w:t>already made up</w:t>
      </w:r>
      <w:r w:rsidR="00527D59">
        <w:rPr>
          <w:rFonts w:ascii="Arial" w:hAnsi="Arial" w:cs="Arial"/>
          <w:color w:val="000000" w:themeColor="text1"/>
        </w:rPr>
        <w:t xml:space="preserve"> w</w:t>
      </w:r>
      <w:r w:rsidR="00527D59" w:rsidRPr="00276A5B">
        <w:rPr>
          <w:rFonts w:ascii="Arial" w:hAnsi="Arial" w:cs="Arial"/>
          <w:color w:val="000000" w:themeColor="text1"/>
        </w:rPr>
        <w:t xml:space="preserve">hich supports GR’s claim that SS has always been ‘out to get him’. </w:t>
      </w:r>
      <w:r w:rsidR="003F06C9">
        <w:rPr>
          <w:rFonts w:ascii="Arial" w:hAnsi="Arial" w:cs="Arial"/>
          <w:color w:val="000000" w:themeColor="text1"/>
        </w:rPr>
        <w:t>Furthermore</w:t>
      </w:r>
      <w:r w:rsidR="00656DD7">
        <w:rPr>
          <w:rFonts w:ascii="Arial" w:hAnsi="Arial" w:cs="Arial"/>
          <w:color w:val="000000" w:themeColor="text1"/>
        </w:rPr>
        <w:t xml:space="preserve">, GR length of service additionally supports </w:t>
      </w:r>
      <w:r w:rsidR="00527D59">
        <w:rPr>
          <w:rFonts w:ascii="Arial" w:hAnsi="Arial" w:cs="Arial"/>
          <w:color w:val="000000" w:themeColor="text1"/>
        </w:rPr>
        <w:t>his claim.</w:t>
      </w:r>
    </w:p>
    <w:p w14:paraId="411AAA09" w14:textId="61669B56" w:rsidR="00527D59" w:rsidRPr="00276A5B" w:rsidRDefault="00656DD7"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It is likely that GR will be dependent on</w:t>
      </w:r>
      <w:r w:rsidR="006974AE">
        <w:rPr>
          <w:rFonts w:ascii="Arial" w:hAnsi="Arial" w:cs="Arial"/>
          <w:color w:val="000000" w:themeColor="text1"/>
        </w:rPr>
        <w:t xml:space="preserve"> the</w:t>
      </w:r>
      <w:r>
        <w:rPr>
          <w:rFonts w:ascii="Arial" w:hAnsi="Arial" w:cs="Arial"/>
          <w:color w:val="000000" w:themeColor="text1"/>
        </w:rPr>
        <w:t xml:space="preserve"> failed investigation process </w:t>
      </w:r>
      <w:r w:rsidR="006974AE">
        <w:rPr>
          <w:rFonts w:ascii="Arial" w:hAnsi="Arial" w:cs="Arial"/>
          <w:color w:val="000000" w:themeColor="text1"/>
        </w:rPr>
        <w:t xml:space="preserve">in accordance with </w:t>
      </w:r>
      <w:r>
        <w:rPr>
          <w:rFonts w:ascii="Arial" w:hAnsi="Arial" w:cs="Arial"/>
          <w:color w:val="000000" w:themeColor="text1"/>
        </w:rPr>
        <w:t xml:space="preserve">ACASCoP, along with the involvement of SS and </w:t>
      </w:r>
      <w:r w:rsidR="006974AE">
        <w:rPr>
          <w:rFonts w:ascii="Arial" w:hAnsi="Arial" w:cs="Arial"/>
          <w:color w:val="000000" w:themeColor="text1"/>
        </w:rPr>
        <w:t xml:space="preserve">the </w:t>
      </w:r>
      <w:r>
        <w:rPr>
          <w:rFonts w:ascii="Arial" w:hAnsi="Arial" w:cs="Arial"/>
          <w:color w:val="000000" w:themeColor="text1"/>
        </w:rPr>
        <w:t>failure to follow a fair process.</w:t>
      </w:r>
      <w:r w:rsidR="00527D59">
        <w:rPr>
          <w:rFonts w:ascii="Arial" w:hAnsi="Arial" w:cs="Arial"/>
          <w:color w:val="000000" w:themeColor="text1"/>
        </w:rPr>
        <w:t xml:space="preserve"> SS was actively involved in the investigation, despite him being a witness to the incident. A</w:t>
      </w:r>
      <w:r w:rsidR="002343A5" w:rsidRPr="00276A5B">
        <w:rPr>
          <w:rFonts w:ascii="Arial" w:hAnsi="Arial" w:cs="Arial"/>
          <w:color w:val="000000" w:themeColor="text1"/>
        </w:rPr>
        <w:t>CASCoP explains that witness should not be the Investigating O</w:t>
      </w:r>
      <w:r w:rsidR="00F13ACD" w:rsidRPr="00276A5B">
        <w:rPr>
          <w:rFonts w:ascii="Arial" w:hAnsi="Arial" w:cs="Arial"/>
          <w:color w:val="000000" w:themeColor="text1"/>
        </w:rPr>
        <w:t>fficer, or on the dismissal panel.</w:t>
      </w:r>
      <w:r w:rsidR="00527D59">
        <w:rPr>
          <w:rFonts w:ascii="Arial" w:hAnsi="Arial" w:cs="Arial"/>
          <w:color w:val="000000" w:themeColor="text1"/>
        </w:rPr>
        <w:t xml:space="preserve"> Given this, </w:t>
      </w:r>
      <w:r w:rsidR="006974AE">
        <w:rPr>
          <w:rFonts w:ascii="Arial" w:hAnsi="Arial" w:cs="Arial"/>
          <w:color w:val="000000" w:themeColor="text1"/>
        </w:rPr>
        <w:t xml:space="preserve">you have </w:t>
      </w:r>
      <w:r w:rsidR="00527D59">
        <w:rPr>
          <w:rFonts w:ascii="Arial" w:hAnsi="Arial" w:cs="Arial"/>
          <w:color w:val="000000" w:themeColor="text1"/>
        </w:rPr>
        <w:t xml:space="preserve">some difficulty defending the claim for unfair dismissal.  </w:t>
      </w:r>
      <w:r w:rsidR="006974AE">
        <w:rPr>
          <w:rFonts w:ascii="Arial" w:hAnsi="Arial" w:cs="Arial"/>
          <w:color w:val="000000" w:themeColor="text1"/>
        </w:rPr>
        <w:t>A</w:t>
      </w:r>
      <w:r w:rsidR="00527D59">
        <w:rPr>
          <w:rFonts w:ascii="Arial" w:hAnsi="Arial" w:cs="Arial"/>
          <w:color w:val="000000" w:themeColor="text1"/>
        </w:rPr>
        <w:t>s you can appreciate</w:t>
      </w:r>
      <w:r w:rsidR="006974AE">
        <w:rPr>
          <w:rFonts w:ascii="Arial" w:hAnsi="Arial" w:cs="Arial"/>
          <w:color w:val="000000" w:themeColor="text1"/>
        </w:rPr>
        <w:t xml:space="preserve"> </w:t>
      </w:r>
      <w:r w:rsidR="00527D59">
        <w:rPr>
          <w:rFonts w:ascii="Arial" w:hAnsi="Arial" w:cs="Arial"/>
          <w:color w:val="000000" w:themeColor="text1"/>
        </w:rPr>
        <w:t>the investigation process failed</w:t>
      </w:r>
      <w:r w:rsidR="006974AE">
        <w:rPr>
          <w:rFonts w:ascii="Arial" w:hAnsi="Arial" w:cs="Arial"/>
          <w:color w:val="000000" w:themeColor="text1"/>
        </w:rPr>
        <w:t xml:space="preserve">, </w:t>
      </w:r>
      <w:r w:rsidR="00527D59">
        <w:rPr>
          <w:rFonts w:ascii="Arial" w:hAnsi="Arial" w:cs="Arial"/>
          <w:color w:val="000000" w:themeColor="text1"/>
        </w:rPr>
        <w:t>but the facts do remain the same</w:t>
      </w:r>
      <w:r w:rsidR="006974AE">
        <w:rPr>
          <w:rFonts w:ascii="Arial" w:hAnsi="Arial" w:cs="Arial"/>
          <w:color w:val="000000" w:themeColor="text1"/>
        </w:rPr>
        <w:t xml:space="preserve">. </w:t>
      </w:r>
      <w:r w:rsidR="00527D59">
        <w:rPr>
          <w:rFonts w:ascii="Arial" w:hAnsi="Arial" w:cs="Arial"/>
          <w:color w:val="000000" w:themeColor="text1"/>
        </w:rPr>
        <w:t xml:space="preserve">GR committed the act of gross misconduct and </w:t>
      </w:r>
      <w:r w:rsidR="006974AE">
        <w:rPr>
          <w:rFonts w:ascii="Arial" w:hAnsi="Arial" w:cs="Arial"/>
          <w:color w:val="000000" w:themeColor="text1"/>
        </w:rPr>
        <w:t xml:space="preserve">you may wish to seek </w:t>
      </w:r>
      <w:r w:rsidR="00527D59">
        <w:rPr>
          <w:rFonts w:ascii="Arial" w:hAnsi="Arial" w:cs="Arial"/>
          <w:color w:val="000000" w:themeColor="text1"/>
        </w:rPr>
        <w:t xml:space="preserve">relevant available witnesses to support this defence, however no evidence presented itself during the investigation to suggest that GR was provoked. </w:t>
      </w:r>
      <w:r w:rsidR="006974AE">
        <w:rPr>
          <w:rFonts w:ascii="Arial" w:hAnsi="Arial" w:cs="Arial"/>
          <w:color w:val="000000" w:themeColor="text1"/>
        </w:rPr>
        <w:t>The ET will trial</w:t>
      </w:r>
      <w:r w:rsidR="00527D59">
        <w:rPr>
          <w:rFonts w:ascii="Arial" w:hAnsi="Arial" w:cs="Arial"/>
          <w:color w:val="000000" w:themeColor="text1"/>
        </w:rPr>
        <w:t xml:space="preserve"> on the balance of probabilities to whether RT contributed to the dismissal of GR.</w:t>
      </w:r>
    </w:p>
    <w:p w14:paraId="023EAB03" w14:textId="77777777" w:rsidR="00A23900" w:rsidRPr="00E91650" w:rsidRDefault="00835A75"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E91650">
        <w:rPr>
          <w:rFonts w:ascii="Arial" w:hAnsi="Arial" w:cs="Arial"/>
          <w:b/>
          <w:bCs/>
          <w:color w:val="000000" w:themeColor="text1"/>
          <w:u w:val="single"/>
        </w:rPr>
        <w:t xml:space="preserve">5. Remedies and </w:t>
      </w:r>
      <w:r w:rsidR="00A23900" w:rsidRPr="00E91650">
        <w:rPr>
          <w:rFonts w:ascii="Arial" w:hAnsi="Arial" w:cs="Arial"/>
          <w:b/>
          <w:bCs/>
          <w:color w:val="000000" w:themeColor="text1"/>
          <w:u w:val="single"/>
        </w:rPr>
        <w:t>factors</w:t>
      </w:r>
      <w:r w:rsidRPr="00E91650">
        <w:rPr>
          <w:rFonts w:ascii="Arial" w:hAnsi="Arial" w:cs="Arial"/>
          <w:b/>
          <w:bCs/>
          <w:color w:val="000000" w:themeColor="text1"/>
          <w:u w:val="single"/>
        </w:rPr>
        <w:t xml:space="preserve"> when </w:t>
      </w:r>
      <w:r w:rsidR="00A23900" w:rsidRPr="00E91650">
        <w:rPr>
          <w:rFonts w:ascii="Arial" w:hAnsi="Arial" w:cs="Arial"/>
          <w:b/>
          <w:bCs/>
          <w:color w:val="000000" w:themeColor="text1"/>
          <w:u w:val="single"/>
        </w:rPr>
        <w:t xml:space="preserve">considering remedies; </w:t>
      </w:r>
    </w:p>
    <w:p w14:paraId="3933395A" w14:textId="34A41E13" w:rsidR="002526FB" w:rsidRPr="00276A5B" w:rsidRDefault="009A04E8"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The tribunal will look at the following remedies</w:t>
      </w:r>
      <w:r w:rsidR="008D4056" w:rsidRPr="00276A5B">
        <w:rPr>
          <w:rFonts w:ascii="Arial" w:hAnsi="Arial" w:cs="Arial"/>
          <w:bCs/>
          <w:color w:val="000000" w:themeColor="text1"/>
        </w:rPr>
        <w:t xml:space="preserve"> for unfair and wrongful dismissal</w:t>
      </w:r>
      <w:r w:rsidRPr="00276A5B">
        <w:rPr>
          <w:rFonts w:ascii="Arial" w:hAnsi="Arial" w:cs="Arial"/>
          <w:bCs/>
          <w:color w:val="000000" w:themeColor="text1"/>
        </w:rPr>
        <w:t>;</w:t>
      </w:r>
    </w:p>
    <w:p w14:paraId="7378AEFA" w14:textId="22BC040A" w:rsidR="00527D59" w:rsidRDefault="00B40A9E" w:rsidP="00527D59">
      <w:pPr>
        <w:pStyle w:val="NormalWeb"/>
        <w:numPr>
          <w:ilvl w:val="0"/>
          <w:numId w:val="34"/>
        </w:numPr>
        <w:spacing w:beforeLines="50" w:before="120" w:beforeAutospacing="0" w:afterLines="50" w:after="120" w:afterAutospacing="0" w:line="360" w:lineRule="auto"/>
        <w:ind w:left="714" w:hanging="357"/>
        <w:rPr>
          <w:rFonts w:ascii="Arial" w:hAnsi="Arial" w:cs="Arial"/>
          <w:color w:val="000000" w:themeColor="text1"/>
        </w:rPr>
      </w:pPr>
      <w:r w:rsidRPr="00527D59">
        <w:rPr>
          <w:rFonts w:ascii="Arial" w:hAnsi="Arial" w:cs="Arial"/>
          <w:color w:val="000000" w:themeColor="text1"/>
        </w:rPr>
        <w:t>Reinstatement</w:t>
      </w:r>
    </w:p>
    <w:p w14:paraId="3A13F045" w14:textId="5733A61E" w:rsidR="00527D59" w:rsidRPr="00527D59" w:rsidRDefault="00B40A9E" w:rsidP="00527D59">
      <w:pPr>
        <w:pStyle w:val="NormalWeb"/>
        <w:numPr>
          <w:ilvl w:val="0"/>
          <w:numId w:val="34"/>
        </w:numPr>
        <w:spacing w:beforeLines="50" w:before="120" w:beforeAutospacing="0" w:afterLines="50" w:after="120" w:afterAutospacing="0" w:line="360" w:lineRule="auto"/>
        <w:ind w:left="714" w:hanging="357"/>
        <w:rPr>
          <w:rFonts w:ascii="Arial" w:hAnsi="Arial" w:cs="Arial"/>
          <w:color w:val="000000" w:themeColor="text1"/>
        </w:rPr>
      </w:pPr>
      <w:r w:rsidRPr="00527D59">
        <w:rPr>
          <w:rFonts w:ascii="Arial" w:hAnsi="Arial" w:cs="Arial"/>
          <w:color w:val="000000" w:themeColor="text1"/>
        </w:rPr>
        <w:t>Reengagement</w:t>
      </w:r>
    </w:p>
    <w:p w14:paraId="0EE546C2" w14:textId="4C95DDFB" w:rsidR="00B40A9E" w:rsidRPr="00527D59" w:rsidRDefault="00B40A9E" w:rsidP="00527D59">
      <w:pPr>
        <w:pStyle w:val="ListParagraph"/>
        <w:numPr>
          <w:ilvl w:val="0"/>
          <w:numId w:val="34"/>
        </w:numPr>
        <w:spacing w:beforeLines="50" w:before="120" w:afterLines="50" w:after="120" w:line="360" w:lineRule="auto"/>
        <w:ind w:left="714" w:hanging="357"/>
        <w:rPr>
          <w:rFonts w:ascii="Arial" w:hAnsi="Arial" w:cs="Arial"/>
          <w:color w:val="000000" w:themeColor="text1"/>
        </w:rPr>
      </w:pPr>
      <w:r w:rsidRPr="00527D59">
        <w:rPr>
          <w:rFonts w:ascii="Arial" w:hAnsi="Arial" w:cs="Arial"/>
          <w:color w:val="000000" w:themeColor="text1"/>
        </w:rPr>
        <w:t>Compensation</w:t>
      </w:r>
    </w:p>
    <w:p w14:paraId="07EA3E12" w14:textId="42BC7597" w:rsidR="005C62B7" w:rsidRDefault="009E5973" w:rsidP="009E5973">
      <w:pPr>
        <w:spacing w:line="360" w:lineRule="auto"/>
        <w:rPr>
          <w:rFonts w:ascii="Arial" w:hAnsi="Arial" w:cs="Arial"/>
        </w:rPr>
      </w:pPr>
      <w:r w:rsidRPr="00DF136C">
        <w:rPr>
          <w:rFonts w:ascii="Arial" w:hAnsi="Arial" w:cs="Arial"/>
          <w:bCs/>
        </w:rPr>
        <w:t xml:space="preserve">It is within the ET power to consider any of the remedies above, however GR has </w:t>
      </w:r>
      <w:r w:rsidRPr="00DF136C">
        <w:rPr>
          <w:rFonts w:ascii="Arial" w:hAnsi="Arial" w:cs="Arial"/>
        </w:rPr>
        <w:t xml:space="preserve">ticked reinstatement and reengagement on </w:t>
      </w:r>
      <w:r w:rsidR="005C62B7">
        <w:rPr>
          <w:rFonts w:ascii="Arial" w:hAnsi="Arial" w:cs="Arial"/>
        </w:rPr>
        <w:t>the</w:t>
      </w:r>
      <w:r w:rsidRPr="00DF136C">
        <w:rPr>
          <w:rFonts w:ascii="Arial" w:hAnsi="Arial" w:cs="Arial"/>
        </w:rPr>
        <w:t xml:space="preserve"> ET1 form. Firstly, the judge will assess the practicality of reinstatement and reengagement, which could result in BB </w:t>
      </w:r>
      <w:r w:rsidRPr="00DF136C">
        <w:rPr>
          <w:rFonts w:ascii="Arial" w:hAnsi="Arial" w:cs="Arial"/>
        </w:rPr>
        <w:lastRenderedPageBreak/>
        <w:t xml:space="preserve">requiring to pay GR compensation that includes pay and benefits from the time </w:t>
      </w:r>
      <w:r w:rsidR="005C62B7">
        <w:rPr>
          <w:rFonts w:ascii="Arial" w:hAnsi="Arial" w:cs="Arial"/>
        </w:rPr>
        <w:t xml:space="preserve">of dismissal </w:t>
      </w:r>
      <w:r w:rsidRPr="00DF136C">
        <w:rPr>
          <w:rFonts w:ascii="Arial" w:hAnsi="Arial" w:cs="Arial"/>
        </w:rPr>
        <w:t>to the time he is re-employed</w:t>
      </w:r>
      <w:r w:rsidR="005C62B7">
        <w:rPr>
          <w:rFonts w:ascii="Arial" w:hAnsi="Arial" w:cs="Arial"/>
        </w:rPr>
        <w:t>. Alternitvely</w:t>
      </w:r>
      <w:r w:rsidRPr="00DF136C">
        <w:rPr>
          <w:rFonts w:ascii="Arial" w:hAnsi="Arial" w:cs="Arial"/>
        </w:rPr>
        <w:t xml:space="preserve"> the judge will consider reinstatement to his previous role. Consideration will be given to </w:t>
      </w:r>
      <w:r w:rsidR="005C62B7">
        <w:rPr>
          <w:rFonts w:ascii="Arial" w:hAnsi="Arial" w:cs="Arial"/>
        </w:rPr>
        <w:t xml:space="preserve">the </w:t>
      </w:r>
      <w:r w:rsidRPr="00DF136C">
        <w:rPr>
          <w:rFonts w:ascii="Arial" w:hAnsi="Arial" w:cs="Arial"/>
        </w:rPr>
        <w:t>relationship for reinstatement and engagement back into the workplace</w:t>
      </w:r>
      <w:r w:rsidR="005C62B7">
        <w:rPr>
          <w:rFonts w:ascii="Arial" w:hAnsi="Arial" w:cs="Arial"/>
        </w:rPr>
        <w:t xml:space="preserve"> and i</w:t>
      </w:r>
      <w:r w:rsidRPr="00DF136C">
        <w:rPr>
          <w:rFonts w:ascii="Arial" w:hAnsi="Arial" w:cs="Arial"/>
        </w:rPr>
        <w:t>f the ET’s decision was to reinstate or reengage, BB would be able to put forward a case to why it would not be practical</w:t>
      </w:r>
      <w:r w:rsidR="005C62B7">
        <w:rPr>
          <w:rFonts w:ascii="Arial" w:hAnsi="Arial" w:cs="Arial"/>
        </w:rPr>
        <w:t>. H</w:t>
      </w:r>
      <w:r w:rsidRPr="00DF136C">
        <w:rPr>
          <w:rFonts w:ascii="Arial" w:hAnsi="Arial" w:cs="Arial"/>
        </w:rPr>
        <w:t>owever</w:t>
      </w:r>
      <w:r w:rsidR="005C62B7">
        <w:rPr>
          <w:rFonts w:ascii="Arial" w:hAnsi="Arial" w:cs="Arial"/>
        </w:rPr>
        <w:t>,</w:t>
      </w:r>
      <w:r w:rsidRPr="00DF136C">
        <w:rPr>
          <w:rFonts w:ascii="Arial" w:hAnsi="Arial" w:cs="Arial"/>
        </w:rPr>
        <w:t xml:space="preserve"> this wo</w:t>
      </w:r>
      <w:r w:rsidR="005C62B7">
        <w:rPr>
          <w:rFonts w:ascii="Arial" w:hAnsi="Arial" w:cs="Arial"/>
        </w:rPr>
        <w:t>u</w:t>
      </w:r>
      <w:r w:rsidRPr="00DF136C">
        <w:rPr>
          <w:rFonts w:ascii="Arial" w:hAnsi="Arial" w:cs="Arial"/>
        </w:rPr>
        <w:t xml:space="preserve">ld sacrifice paying any further compensation which could amount to anything between 26 to 52 weeks pay, or capped at £538 per week </w:t>
      </w:r>
      <w:r w:rsidR="00F62811">
        <w:rPr>
          <w:rFonts w:ascii="Arial" w:hAnsi="Arial" w:cs="Arial"/>
        </w:rPr>
        <w:t>in accordance with</w:t>
      </w:r>
      <w:r w:rsidRPr="00DF136C">
        <w:rPr>
          <w:rFonts w:ascii="Arial" w:hAnsi="Arial" w:cs="Arial"/>
        </w:rPr>
        <w:t xml:space="preserve"> The Employment Rights (increase of limits) Order 2020) due to the dismissal taking place between 06</w:t>
      </w:r>
      <w:r w:rsidRPr="00DF136C">
        <w:rPr>
          <w:rFonts w:ascii="Arial" w:hAnsi="Arial" w:cs="Arial"/>
          <w:vertAlign w:val="superscript"/>
        </w:rPr>
        <w:t>th</w:t>
      </w:r>
      <w:r w:rsidRPr="00DF136C">
        <w:rPr>
          <w:rFonts w:ascii="Arial" w:hAnsi="Arial" w:cs="Arial"/>
        </w:rPr>
        <w:t xml:space="preserve"> April 2020 and 06</w:t>
      </w:r>
      <w:r w:rsidRPr="00DF136C">
        <w:rPr>
          <w:rFonts w:ascii="Arial" w:hAnsi="Arial" w:cs="Arial"/>
          <w:vertAlign w:val="superscript"/>
        </w:rPr>
        <w:t>th</w:t>
      </w:r>
      <w:r w:rsidRPr="00DF136C">
        <w:rPr>
          <w:rFonts w:ascii="Arial" w:hAnsi="Arial" w:cs="Arial"/>
        </w:rPr>
        <w:t xml:space="preserve"> April 2021. </w:t>
      </w:r>
    </w:p>
    <w:p w14:paraId="24AAF4A0" w14:textId="141E421B" w:rsidR="009E5973" w:rsidRPr="00DF136C" w:rsidRDefault="009E5973" w:rsidP="009E5973">
      <w:pPr>
        <w:spacing w:line="360" w:lineRule="auto"/>
        <w:rPr>
          <w:rFonts w:ascii="Arial" w:hAnsi="Arial" w:cs="Arial"/>
          <w:color w:val="000000" w:themeColor="text1"/>
        </w:rPr>
      </w:pPr>
      <w:r w:rsidRPr="00DF136C">
        <w:rPr>
          <w:rFonts w:ascii="Arial" w:hAnsi="Arial" w:cs="Arial"/>
        </w:rPr>
        <w:t>In rare cases, re-instatement</w:t>
      </w:r>
      <w:r w:rsidR="005C62B7">
        <w:rPr>
          <w:rFonts w:ascii="Arial" w:hAnsi="Arial" w:cs="Arial"/>
        </w:rPr>
        <w:t xml:space="preserve">s </w:t>
      </w:r>
      <w:r w:rsidRPr="00DF136C">
        <w:rPr>
          <w:rFonts w:ascii="Arial" w:hAnsi="Arial" w:cs="Arial"/>
        </w:rPr>
        <w:t xml:space="preserve">are considered </w:t>
      </w:r>
      <w:r w:rsidR="005C62B7">
        <w:rPr>
          <w:rFonts w:ascii="Arial" w:hAnsi="Arial" w:cs="Arial"/>
        </w:rPr>
        <w:t>but as the case is</w:t>
      </w:r>
      <w:r w:rsidRPr="00DF136C">
        <w:rPr>
          <w:rFonts w:ascii="Arial" w:hAnsi="Arial" w:cs="Arial"/>
        </w:rPr>
        <w:t xml:space="preserve"> linked to potential conduct issues the judge may not believe that either reengagement or reinstatement is appropriate due to relationship breakdown (Rembiszewski V Atkins Ltd (2012). Other considerations such as </w:t>
      </w:r>
      <w:r>
        <w:rPr>
          <w:rFonts w:ascii="Arial" w:hAnsi="Arial" w:cs="Arial"/>
        </w:rPr>
        <w:t>w</w:t>
      </w:r>
      <w:r w:rsidRPr="00DF136C">
        <w:rPr>
          <w:rFonts w:ascii="Arial" w:hAnsi="Arial" w:cs="Arial"/>
        </w:rPr>
        <w:t>hether BB have replaced GR’s role</w:t>
      </w:r>
      <w:r w:rsidR="005C62B7">
        <w:rPr>
          <w:rFonts w:ascii="Arial" w:hAnsi="Arial" w:cs="Arial"/>
        </w:rPr>
        <w:t>;</w:t>
      </w:r>
      <w:r>
        <w:rPr>
          <w:rFonts w:ascii="Arial" w:hAnsi="Arial" w:cs="Arial"/>
          <w:color w:val="000000" w:themeColor="text1"/>
        </w:rPr>
        <w:t xml:space="preserve"> w</w:t>
      </w:r>
      <w:r w:rsidRPr="00DF136C">
        <w:rPr>
          <w:rFonts w:ascii="Arial" w:hAnsi="Arial" w:cs="Arial"/>
          <w:color w:val="000000" w:themeColor="text1"/>
        </w:rPr>
        <w:t>hether GR has obtained another role since the dismissal</w:t>
      </w:r>
      <w:r w:rsidR="005C62B7">
        <w:rPr>
          <w:rFonts w:ascii="Arial" w:hAnsi="Arial" w:cs="Arial"/>
          <w:color w:val="000000" w:themeColor="text1"/>
        </w:rPr>
        <w:t>;</w:t>
      </w:r>
      <w:r>
        <w:rPr>
          <w:rFonts w:ascii="Arial" w:hAnsi="Arial" w:cs="Arial"/>
          <w:color w:val="000000" w:themeColor="text1"/>
        </w:rPr>
        <w:t xml:space="preserve"> whether there is o</w:t>
      </w:r>
      <w:r w:rsidRPr="00DF136C">
        <w:rPr>
          <w:rStyle w:val="hgkelc"/>
          <w:rFonts w:ascii="Arial" w:hAnsi="Arial" w:cs="Arial"/>
          <w:color w:val="000000" w:themeColor="text1"/>
        </w:rPr>
        <w:t>pportunity for the GR to show evidence of losses to determine suitable remedy</w:t>
      </w:r>
      <w:r w:rsidR="005C62B7">
        <w:rPr>
          <w:rStyle w:val="hgkelc"/>
          <w:rFonts w:ascii="Arial" w:hAnsi="Arial" w:cs="Arial"/>
          <w:color w:val="000000" w:themeColor="text1"/>
        </w:rPr>
        <w:t>;</w:t>
      </w:r>
      <w:r w:rsidRPr="00DF136C">
        <w:rPr>
          <w:rStyle w:val="hgkelc"/>
          <w:rFonts w:ascii="Arial" w:hAnsi="Arial" w:cs="Arial"/>
          <w:color w:val="000000" w:themeColor="text1"/>
        </w:rPr>
        <w:t xml:space="preserve"> and BB to produce mitigating evidence</w:t>
      </w:r>
      <w:r w:rsidRPr="00DF136C">
        <w:rPr>
          <w:rStyle w:val="FootnoteReference"/>
          <w:rFonts w:ascii="Arial" w:hAnsi="Arial" w:cs="Arial"/>
          <w:color w:val="000000" w:themeColor="text1"/>
        </w:rPr>
        <w:footnoteReference w:id="45"/>
      </w:r>
      <w:r w:rsidR="005C62B7">
        <w:rPr>
          <w:rStyle w:val="hgkelc"/>
          <w:rFonts w:ascii="Arial" w:hAnsi="Arial" w:cs="Arial"/>
          <w:color w:val="000000" w:themeColor="text1"/>
        </w:rPr>
        <w:t xml:space="preserve"> will be looked at.</w:t>
      </w:r>
    </w:p>
    <w:p w14:paraId="29AF26A2" w14:textId="6A43FF44" w:rsidR="00846786" w:rsidRPr="003F3D54" w:rsidRDefault="009E5973" w:rsidP="00D2162C">
      <w:pPr>
        <w:pStyle w:val="NormalWeb"/>
        <w:spacing w:beforeLines="50" w:before="120" w:beforeAutospacing="0" w:afterLines="50" w:after="120" w:afterAutospacing="0" w:line="360" w:lineRule="auto"/>
        <w:rPr>
          <w:rFonts w:ascii="Arial" w:hAnsi="Arial" w:cs="Arial"/>
          <w:bCs/>
          <w:color w:val="000000" w:themeColor="text1"/>
        </w:rPr>
      </w:pPr>
      <w:r>
        <w:rPr>
          <w:rFonts w:ascii="Arial" w:hAnsi="Arial" w:cs="Arial"/>
          <w:bCs/>
          <w:color w:val="000000" w:themeColor="text1"/>
        </w:rPr>
        <w:t>In terms of compensation, outlined in the ET1 form, GR has specified compensation as a desired remedy and the ET are within their right to consider financial compensation and determine how much, even if GR is successful in one or all the claims brought as it’s his right under The Employment Rights Act 1996.</w:t>
      </w:r>
    </w:p>
    <w:p w14:paraId="7A662957" w14:textId="4FBF2ADA" w:rsidR="00A23900" w:rsidRPr="00E91650" w:rsidRDefault="00835A75"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E91650">
        <w:rPr>
          <w:rFonts w:ascii="Arial" w:hAnsi="Arial" w:cs="Arial"/>
          <w:b/>
          <w:bCs/>
          <w:color w:val="000000" w:themeColor="text1"/>
          <w:u w:val="single"/>
        </w:rPr>
        <w:t>6. Financial award, including</w:t>
      </w:r>
      <w:r w:rsidR="00A23900" w:rsidRPr="00E91650">
        <w:rPr>
          <w:rFonts w:ascii="Arial" w:hAnsi="Arial" w:cs="Arial"/>
          <w:b/>
          <w:bCs/>
          <w:color w:val="000000" w:themeColor="text1"/>
          <w:u w:val="single"/>
        </w:rPr>
        <w:t xml:space="preserve"> calculation of the basic award; </w:t>
      </w:r>
    </w:p>
    <w:p w14:paraId="73DBD5A4" w14:textId="1D8584C7" w:rsidR="00895663" w:rsidRPr="00E91650" w:rsidRDefault="00895663"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E91650">
        <w:rPr>
          <w:rFonts w:ascii="Arial" w:hAnsi="Arial" w:cs="Arial"/>
          <w:b/>
          <w:bCs/>
          <w:color w:val="000000" w:themeColor="text1"/>
          <w:u w:val="single"/>
        </w:rPr>
        <w:t>Basic Award</w:t>
      </w:r>
    </w:p>
    <w:p w14:paraId="38054439" w14:textId="078B3D97" w:rsidR="00895663" w:rsidRDefault="006928B9" w:rsidP="00895663">
      <w:pPr>
        <w:spacing w:beforeLines="50" w:before="120" w:afterLines="50" w:after="120" w:line="360" w:lineRule="auto"/>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5C23C76A" wp14:editId="57683D52">
                <wp:simplePos x="0" y="0"/>
                <wp:positionH relativeFrom="margin">
                  <wp:align>right</wp:align>
                </wp:positionH>
                <wp:positionV relativeFrom="paragraph">
                  <wp:posOffset>1308345</wp:posOffset>
                </wp:positionV>
                <wp:extent cx="5495290" cy="723900"/>
                <wp:effectExtent l="0" t="0" r="10160" b="19050"/>
                <wp:wrapNone/>
                <wp:docPr id="3" name="Rectangle 3"/>
                <wp:cNvGraphicFramePr/>
                <a:graphic xmlns:a="http://schemas.openxmlformats.org/drawingml/2006/main">
                  <a:graphicData uri="http://schemas.microsoft.com/office/word/2010/wordprocessingShape">
                    <wps:wsp>
                      <wps:cNvSpPr/>
                      <wps:spPr>
                        <a:xfrm>
                          <a:off x="0" y="0"/>
                          <a:ext cx="5495290" cy="7239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E8729C" id="Rectangle 3" o:spid="_x0000_s1026" style="position:absolute;margin-left:381.5pt;margin-top:103pt;width:432.7pt;height:57pt;z-index:2516592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" filled="f" strokecolor="#1f3763 [1604]" strokeweight="1pt">
                <w10:wrap anchorx="margin"/>
              </v:rect>
            </w:pict>
          </mc:Fallback>
        </mc:AlternateContent>
      </w:r>
      <w:r w:rsidR="00895663">
        <w:rPr>
          <w:rFonts w:ascii="Arial" w:hAnsi="Arial" w:cs="Arial"/>
          <w:color w:val="000000" w:themeColor="text1"/>
        </w:rPr>
        <w:t xml:space="preserve">If GR is successful at the ET, within their deliberation they may consider awarding the basic award, or compensatory award. </w:t>
      </w:r>
      <w:r w:rsidR="00895663" w:rsidRPr="00276A5B">
        <w:rPr>
          <w:rFonts w:ascii="Arial" w:hAnsi="Arial" w:cs="Arial"/>
          <w:color w:val="000000" w:themeColor="text1"/>
        </w:rPr>
        <w:t xml:space="preserve">The basic award </w:t>
      </w:r>
      <w:r w:rsidR="00895663">
        <w:rPr>
          <w:rFonts w:ascii="Arial" w:hAnsi="Arial" w:cs="Arial"/>
          <w:color w:val="000000" w:themeColor="text1"/>
        </w:rPr>
        <w:t>is a fixed award</w:t>
      </w:r>
      <w:r>
        <w:rPr>
          <w:rFonts w:ascii="Arial" w:hAnsi="Arial" w:cs="Arial"/>
          <w:color w:val="000000" w:themeColor="text1"/>
        </w:rPr>
        <w:t xml:space="preserve"> </w:t>
      </w:r>
      <w:r w:rsidR="00895663" w:rsidRPr="00276A5B">
        <w:rPr>
          <w:rFonts w:ascii="Arial" w:hAnsi="Arial" w:cs="Arial"/>
          <w:color w:val="000000" w:themeColor="text1"/>
        </w:rPr>
        <w:t>calculat</w:t>
      </w:r>
      <w:r w:rsidR="00895663">
        <w:rPr>
          <w:rFonts w:ascii="Arial" w:hAnsi="Arial" w:cs="Arial"/>
          <w:color w:val="000000" w:themeColor="text1"/>
        </w:rPr>
        <w:t>ed the same as statutory redundancy</w:t>
      </w:r>
      <w:r w:rsidR="00F35025">
        <w:rPr>
          <w:rFonts w:ascii="Arial" w:hAnsi="Arial" w:cs="Arial"/>
          <w:color w:val="000000" w:themeColor="text1"/>
        </w:rPr>
        <w:t>,</w:t>
      </w:r>
      <w:r w:rsidR="00895663">
        <w:rPr>
          <w:rFonts w:ascii="Arial" w:hAnsi="Arial" w:cs="Arial"/>
          <w:color w:val="000000" w:themeColor="text1"/>
        </w:rPr>
        <w:t xml:space="preserve"> </w:t>
      </w:r>
      <w:r w:rsidR="00F35025">
        <w:rPr>
          <w:rFonts w:ascii="Arial" w:hAnsi="Arial" w:cs="Arial"/>
          <w:color w:val="000000" w:themeColor="text1"/>
        </w:rPr>
        <w:t>considering</w:t>
      </w:r>
      <w:r w:rsidR="00895663">
        <w:rPr>
          <w:rFonts w:ascii="Arial" w:hAnsi="Arial" w:cs="Arial"/>
          <w:color w:val="000000" w:themeColor="text1"/>
        </w:rPr>
        <w:t xml:space="preserve"> </w:t>
      </w:r>
      <w:r w:rsidR="00895663" w:rsidRPr="00276A5B">
        <w:rPr>
          <w:rFonts w:ascii="Arial" w:hAnsi="Arial" w:cs="Arial"/>
          <w:color w:val="000000" w:themeColor="text1"/>
        </w:rPr>
        <w:t>age, service</w:t>
      </w:r>
      <w:r w:rsidR="00895663">
        <w:rPr>
          <w:rFonts w:ascii="Arial" w:hAnsi="Arial" w:cs="Arial"/>
          <w:color w:val="000000" w:themeColor="text1"/>
        </w:rPr>
        <w:t xml:space="preserve"> and</w:t>
      </w:r>
      <w:r w:rsidR="00895663" w:rsidRPr="00276A5B">
        <w:rPr>
          <w:rFonts w:ascii="Arial" w:hAnsi="Arial" w:cs="Arial"/>
          <w:color w:val="000000" w:themeColor="text1"/>
        </w:rPr>
        <w:t xml:space="preserve"> weeks </w:t>
      </w:r>
      <w:r w:rsidR="00895663">
        <w:rPr>
          <w:rFonts w:ascii="Arial" w:hAnsi="Arial" w:cs="Arial"/>
          <w:color w:val="000000" w:themeColor="text1"/>
        </w:rPr>
        <w:t xml:space="preserve">gross </w:t>
      </w:r>
      <w:r w:rsidR="00895663" w:rsidRPr="00276A5B">
        <w:rPr>
          <w:rFonts w:ascii="Arial" w:hAnsi="Arial" w:cs="Arial"/>
          <w:color w:val="000000" w:themeColor="text1"/>
        </w:rPr>
        <w:t>pay</w:t>
      </w:r>
      <w:r w:rsidR="004B3E6A">
        <w:rPr>
          <w:rStyle w:val="FootnoteReference"/>
          <w:rFonts w:ascii="Arial" w:hAnsi="Arial" w:cs="Arial"/>
          <w:color w:val="000000" w:themeColor="text1"/>
        </w:rPr>
        <w:footnoteReference w:id="46"/>
      </w:r>
      <w:r w:rsidR="00895663">
        <w:rPr>
          <w:rFonts w:ascii="Arial" w:hAnsi="Arial" w:cs="Arial"/>
          <w:color w:val="000000" w:themeColor="text1"/>
        </w:rPr>
        <w:t xml:space="preserve">. </w:t>
      </w:r>
      <w:r w:rsidR="00F35025">
        <w:rPr>
          <w:rFonts w:ascii="Arial" w:hAnsi="Arial" w:cs="Arial"/>
          <w:color w:val="000000" w:themeColor="text1"/>
        </w:rPr>
        <w:t>T</w:t>
      </w:r>
      <w:r w:rsidR="00FD2BFD">
        <w:rPr>
          <w:rFonts w:ascii="Arial" w:hAnsi="Arial" w:cs="Arial"/>
          <w:color w:val="000000" w:themeColor="text1"/>
        </w:rPr>
        <w:t>he</w:t>
      </w:r>
      <w:r w:rsidR="004B3E6A">
        <w:rPr>
          <w:rFonts w:ascii="Arial" w:hAnsi="Arial" w:cs="Arial"/>
          <w:color w:val="000000" w:themeColor="text1"/>
        </w:rPr>
        <w:t xml:space="preserve"> basic award calculation </w:t>
      </w:r>
      <w:r w:rsidR="00FD2BFD">
        <w:rPr>
          <w:rFonts w:ascii="Arial" w:hAnsi="Arial" w:cs="Arial"/>
          <w:color w:val="000000" w:themeColor="text1"/>
        </w:rPr>
        <w:t>is as follows</w:t>
      </w:r>
      <w:r w:rsidR="00F35025">
        <w:rPr>
          <w:rFonts w:ascii="Arial" w:hAnsi="Arial" w:cs="Arial"/>
          <w:color w:val="000000" w:themeColor="text1"/>
        </w:rPr>
        <w:t xml:space="preserve"> </w:t>
      </w:r>
      <w:r w:rsidR="00D6449E">
        <w:rPr>
          <w:rFonts w:ascii="Arial" w:hAnsi="Arial" w:cs="Arial"/>
          <w:color w:val="000000" w:themeColor="text1"/>
        </w:rPr>
        <w:t>(length of service x value of one week’s pay)</w:t>
      </w:r>
      <w:r w:rsidR="004B3E6A">
        <w:rPr>
          <w:rFonts w:ascii="Arial" w:hAnsi="Arial" w:cs="Arial"/>
          <w:color w:val="000000" w:themeColor="text1"/>
        </w:rPr>
        <w:t>;</w:t>
      </w:r>
    </w:p>
    <w:p w14:paraId="6CEACA97" w14:textId="7B5A6294" w:rsidR="006928B9" w:rsidRDefault="006928B9" w:rsidP="004B3E6A">
      <w:pPr>
        <w:spacing w:beforeLines="50" w:before="120" w:afterLines="50" w:after="120" w:line="360" w:lineRule="auto"/>
        <w:jc w:val="center"/>
        <w:rPr>
          <w:rFonts w:ascii="Arial" w:hAnsi="Arial" w:cs="Arial"/>
          <w:b/>
          <w:color w:val="000000" w:themeColor="text1"/>
        </w:rPr>
      </w:pPr>
      <w:r>
        <w:rPr>
          <w:rFonts w:ascii="Arial" w:hAnsi="Arial" w:cs="Arial"/>
          <w:color w:val="000000" w:themeColor="text1"/>
        </w:rPr>
        <w:t>6</w:t>
      </w:r>
      <w:r w:rsidR="00895663" w:rsidRPr="00276A5B">
        <w:rPr>
          <w:rFonts w:ascii="Arial" w:hAnsi="Arial" w:cs="Arial"/>
          <w:color w:val="000000" w:themeColor="text1"/>
        </w:rPr>
        <w:t xml:space="preserve"> years </w:t>
      </w:r>
      <w:r w:rsidR="004B3E6A">
        <w:rPr>
          <w:rFonts w:ascii="Arial" w:hAnsi="Arial" w:cs="Arial"/>
          <w:color w:val="000000" w:themeColor="text1"/>
        </w:rPr>
        <w:t>x</w:t>
      </w:r>
      <w:r w:rsidR="00895663" w:rsidRPr="00276A5B">
        <w:rPr>
          <w:rFonts w:ascii="Arial" w:hAnsi="Arial" w:cs="Arial"/>
          <w:color w:val="000000" w:themeColor="text1"/>
        </w:rPr>
        <w:t xml:space="preserve"> 1 x (weeks pay 26,000</w:t>
      </w:r>
      <w:r w:rsidR="004B3E6A">
        <w:rPr>
          <w:rFonts w:ascii="Arial" w:hAnsi="Arial" w:cs="Arial"/>
          <w:color w:val="000000" w:themeColor="text1"/>
        </w:rPr>
        <w:t>/</w:t>
      </w:r>
      <w:r w:rsidR="00895663" w:rsidRPr="00276A5B">
        <w:rPr>
          <w:rFonts w:ascii="Arial" w:hAnsi="Arial" w:cs="Arial"/>
          <w:color w:val="000000" w:themeColor="text1"/>
        </w:rPr>
        <w:t>52</w:t>
      </w:r>
      <w:r>
        <w:rPr>
          <w:rFonts w:ascii="Arial" w:hAnsi="Arial" w:cs="Arial"/>
          <w:color w:val="000000" w:themeColor="text1"/>
        </w:rPr>
        <w:t xml:space="preserve"> = 500</w:t>
      </w:r>
      <w:r w:rsidR="00895663" w:rsidRPr="00276A5B">
        <w:rPr>
          <w:rFonts w:ascii="Arial" w:hAnsi="Arial" w:cs="Arial"/>
          <w:color w:val="000000" w:themeColor="text1"/>
        </w:rPr>
        <w:t xml:space="preserve">) </w:t>
      </w:r>
      <w:r>
        <w:rPr>
          <w:rFonts w:ascii="Arial" w:hAnsi="Arial" w:cs="Arial"/>
          <w:color w:val="000000" w:themeColor="text1"/>
        </w:rPr>
        <w:t>=</w:t>
      </w:r>
    </w:p>
    <w:p w14:paraId="1C661C35" w14:textId="5BA2588A" w:rsidR="00895663" w:rsidRPr="004B3E6A" w:rsidRDefault="00DD438E" w:rsidP="004B3E6A">
      <w:pPr>
        <w:spacing w:beforeLines="50" w:before="120" w:afterLines="50" w:after="120" w:line="360" w:lineRule="auto"/>
        <w:jc w:val="center"/>
        <w:rPr>
          <w:rFonts w:ascii="Arial" w:hAnsi="Arial" w:cs="Arial"/>
          <w:b/>
          <w:color w:val="000000" w:themeColor="text1"/>
        </w:rPr>
      </w:pPr>
      <w:r>
        <w:rPr>
          <w:rFonts w:ascii="Arial" w:hAnsi="Arial" w:cs="Arial"/>
          <w:b/>
          <w:color w:val="000000" w:themeColor="text1"/>
        </w:rPr>
        <w:t>B</w:t>
      </w:r>
      <w:r w:rsidR="00895663" w:rsidRPr="004B3E6A">
        <w:rPr>
          <w:rFonts w:ascii="Arial" w:hAnsi="Arial" w:cs="Arial"/>
          <w:b/>
          <w:color w:val="000000" w:themeColor="text1"/>
        </w:rPr>
        <w:t xml:space="preserve">asic </w:t>
      </w:r>
      <w:r>
        <w:rPr>
          <w:rFonts w:ascii="Arial" w:hAnsi="Arial" w:cs="Arial"/>
          <w:b/>
          <w:color w:val="000000" w:themeColor="text1"/>
        </w:rPr>
        <w:t>A</w:t>
      </w:r>
      <w:r w:rsidR="00895663" w:rsidRPr="004B3E6A">
        <w:rPr>
          <w:rFonts w:ascii="Arial" w:hAnsi="Arial" w:cs="Arial"/>
          <w:b/>
          <w:color w:val="000000" w:themeColor="text1"/>
        </w:rPr>
        <w:t>ward of £</w:t>
      </w:r>
      <w:r w:rsidR="006928B9">
        <w:rPr>
          <w:rFonts w:ascii="Arial" w:hAnsi="Arial" w:cs="Arial"/>
          <w:b/>
          <w:color w:val="000000" w:themeColor="text1"/>
        </w:rPr>
        <w:t>3,000</w:t>
      </w:r>
      <w:r w:rsidR="00895663" w:rsidRPr="004B3E6A">
        <w:rPr>
          <w:rFonts w:ascii="Arial" w:hAnsi="Arial" w:cs="Arial"/>
          <w:b/>
          <w:color w:val="000000" w:themeColor="text1"/>
        </w:rPr>
        <w:t>.</w:t>
      </w:r>
    </w:p>
    <w:p w14:paraId="2072FC94" w14:textId="68801709" w:rsidR="00895663" w:rsidRPr="00E91650" w:rsidRDefault="00895663"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E91650">
        <w:rPr>
          <w:rFonts w:ascii="Arial" w:hAnsi="Arial" w:cs="Arial"/>
          <w:b/>
          <w:bCs/>
          <w:color w:val="000000" w:themeColor="text1"/>
          <w:u w:val="single"/>
        </w:rPr>
        <w:lastRenderedPageBreak/>
        <w:t>Compensatory Award</w:t>
      </w:r>
    </w:p>
    <w:p w14:paraId="2A90D08E" w14:textId="566FB476" w:rsidR="00152AC5" w:rsidRDefault="003C69F4" w:rsidP="00152AC5">
      <w:pPr>
        <w:spacing w:beforeLines="50" w:before="120" w:afterLines="50" w:after="120" w:line="360" w:lineRule="auto"/>
        <w:rPr>
          <w:rFonts w:ascii="Arial" w:hAnsi="Arial" w:cs="Arial"/>
          <w:color w:val="000000" w:themeColor="text1"/>
        </w:rPr>
      </w:pPr>
      <w:r w:rsidRPr="00276A5B">
        <w:rPr>
          <w:rStyle w:val="hgkelc"/>
          <w:rFonts w:ascii="Arial" w:hAnsi="Arial" w:cs="Arial"/>
          <w:color w:val="000000" w:themeColor="text1"/>
        </w:rPr>
        <w:t xml:space="preserve">If </w:t>
      </w:r>
      <w:r w:rsidR="00F35025">
        <w:rPr>
          <w:rStyle w:val="hgkelc"/>
          <w:rFonts w:ascii="Arial" w:hAnsi="Arial" w:cs="Arial"/>
          <w:color w:val="000000" w:themeColor="text1"/>
        </w:rPr>
        <w:t>decided GR was</w:t>
      </w:r>
      <w:r w:rsidRPr="00276A5B">
        <w:rPr>
          <w:rStyle w:val="hgkelc"/>
          <w:rFonts w:ascii="Arial" w:hAnsi="Arial" w:cs="Arial"/>
          <w:color w:val="000000" w:themeColor="text1"/>
        </w:rPr>
        <w:t xml:space="preserve"> </w:t>
      </w:r>
      <w:r w:rsidRPr="00276A5B">
        <w:rPr>
          <w:rStyle w:val="hgkelc"/>
          <w:rFonts w:ascii="Arial" w:hAnsi="Arial" w:cs="Arial"/>
          <w:bCs/>
          <w:color w:val="000000" w:themeColor="text1"/>
        </w:rPr>
        <w:t>unfairly</w:t>
      </w:r>
      <w:r w:rsidRPr="00276A5B">
        <w:rPr>
          <w:rStyle w:val="hgkelc"/>
          <w:rFonts w:ascii="Arial" w:hAnsi="Arial" w:cs="Arial"/>
          <w:color w:val="000000" w:themeColor="text1"/>
        </w:rPr>
        <w:t xml:space="preserve"> dismissed, </w:t>
      </w:r>
      <w:r w:rsidR="00152AC5">
        <w:rPr>
          <w:rStyle w:val="hgkelc"/>
          <w:rFonts w:ascii="Arial" w:hAnsi="Arial" w:cs="Arial"/>
          <w:color w:val="000000" w:themeColor="text1"/>
        </w:rPr>
        <w:t xml:space="preserve">the ET have the power to award </w:t>
      </w:r>
      <w:r w:rsidRPr="00276A5B">
        <w:rPr>
          <w:rStyle w:val="hgkelc"/>
          <w:rFonts w:ascii="Arial" w:hAnsi="Arial" w:cs="Arial"/>
          <w:color w:val="000000" w:themeColor="text1"/>
        </w:rPr>
        <w:t xml:space="preserve">a </w:t>
      </w:r>
      <w:r w:rsidRPr="00276A5B">
        <w:rPr>
          <w:rStyle w:val="hgkelc"/>
          <w:rFonts w:ascii="Arial" w:hAnsi="Arial" w:cs="Arial"/>
          <w:bCs/>
          <w:color w:val="000000" w:themeColor="text1"/>
        </w:rPr>
        <w:t>compensation</w:t>
      </w:r>
      <w:r w:rsidRPr="00276A5B">
        <w:rPr>
          <w:rStyle w:val="hgkelc"/>
          <w:rFonts w:ascii="Arial" w:hAnsi="Arial" w:cs="Arial"/>
          <w:color w:val="000000" w:themeColor="text1"/>
        </w:rPr>
        <w:t xml:space="preserve"> award</w:t>
      </w:r>
      <w:r w:rsidR="00152AC5">
        <w:rPr>
          <w:rStyle w:val="hgkelc"/>
          <w:rFonts w:ascii="Arial" w:hAnsi="Arial" w:cs="Arial"/>
          <w:color w:val="000000" w:themeColor="text1"/>
        </w:rPr>
        <w:t xml:space="preserve"> for monies GR might have lost as a result of his dismissal</w:t>
      </w:r>
      <w:r w:rsidR="00152AC5" w:rsidRPr="00276A5B">
        <w:rPr>
          <w:rStyle w:val="FootnoteReference"/>
          <w:rFonts w:ascii="Arial" w:hAnsi="Arial" w:cs="Arial"/>
          <w:color w:val="000000" w:themeColor="text1"/>
        </w:rPr>
        <w:footnoteReference w:id="47"/>
      </w:r>
      <w:r w:rsidR="00152AC5">
        <w:rPr>
          <w:rStyle w:val="hgkelc"/>
          <w:rFonts w:ascii="Arial" w:hAnsi="Arial" w:cs="Arial"/>
          <w:color w:val="000000" w:themeColor="text1"/>
        </w:rPr>
        <w:t xml:space="preserve">. This may include loss of earnings from date of dismissal up until the date of the tribunal, with additional consideration to future losses. The award takes into account GR’s age and any other income that might have been received during his employment. The award is </w:t>
      </w:r>
      <w:r w:rsidRPr="00276A5B">
        <w:rPr>
          <w:rStyle w:val="hgkelc"/>
          <w:rFonts w:ascii="Arial" w:hAnsi="Arial" w:cs="Arial"/>
          <w:color w:val="000000" w:themeColor="text1"/>
        </w:rPr>
        <w:t xml:space="preserve">made up of: a basic award, fixed sum and calculated to a statutory formula. </w:t>
      </w:r>
      <w:r w:rsidR="00152AC5">
        <w:rPr>
          <w:rStyle w:val="hgkelc"/>
          <w:rFonts w:ascii="Arial" w:hAnsi="Arial" w:cs="Arial"/>
          <w:color w:val="000000" w:themeColor="text1"/>
        </w:rPr>
        <w:t>It will be up to GR to present his expected mitigating losses and to prove to the ET that he has applied for or been successful in securing alternative employment. In some cases, the ET will look at the salary he received with BB and compare against his new salary up to 12 months pay for being unfairly dismissed and 24 months if found to be automatically unfairly dismissed compensation</w:t>
      </w:r>
      <w:r w:rsidR="002526FB" w:rsidRPr="00276A5B">
        <w:rPr>
          <w:rFonts w:ascii="Arial" w:hAnsi="Arial" w:cs="Arial"/>
          <w:color w:val="000000" w:themeColor="text1"/>
        </w:rPr>
        <w:t xml:space="preserve"> up to a maximum award of</w:t>
      </w:r>
      <w:r w:rsidRPr="00276A5B">
        <w:rPr>
          <w:rFonts w:ascii="Arial" w:hAnsi="Arial" w:cs="Arial"/>
          <w:color w:val="000000" w:themeColor="text1"/>
        </w:rPr>
        <w:t xml:space="preserve"> cap £89</w:t>
      </w:r>
      <w:r w:rsidR="002526FB" w:rsidRPr="00276A5B">
        <w:rPr>
          <w:rFonts w:ascii="Arial" w:hAnsi="Arial" w:cs="Arial"/>
          <w:color w:val="000000" w:themeColor="text1"/>
        </w:rPr>
        <w:t>,</w:t>
      </w:r>
      <w:r w:rsidRPr="00276A5B">
        <w:rPr>
          <w:rFonts w:ascii="Arial" w:hAnsi="Arial" w:cs="Arial"/>
          <w:color w:val="000000" w:themeColor="text1"/>
        </w:rPr>
        <w:t>493</w:t>
      </w:r>
      <w:r w:rsidR="00447DBD" w:rsidRPr="00276A5B">
        <w:rPr>
          <w:rFonts w:ascii="Arial" w:hAnsi="Arial" w:cs="Arial"/>
          <w:color w:val="000000" w:themeColor="text1"/>
        </w:rPr>
        <w:t>.00</w:t>
      </w:r>
      <w:r w:rsidR="00447DBD" w:rsidRPr="00276A5B">
        <w:rPr>
          <w:rStyle w:val="FootnoteReference"/>
          <w:rFonts w:ascii="Arial" w:hAnsi="Arial" w:cs="Arial"/>
          <w:color w:val="000000" w:themeColor="text1"/>
        </w:rPr>
        <w:footnoteReference w:id="48"/>
      </w:r>
      <w:r w:rsidR="00447DBD" w:rsidRPr="00276A5B">
        <w:rPr>
          <w:rFonts w:ascii="Arial" w:hAnsi="Arial" w:cs="Arial"/>
          <w:color w:val="000000" w:themeColor="text1"/>
        </w:rPr>
        <w:t xml:space="preserve">. </w:t>
      </w:r>
      <w:r w:rsidR="00F35025">
        <w:rPr>
          <w:rFonts w:ascii="Arial" w:hAnsi="Arial" w:cs="Arial"/>
          <w:color w:val="000000" w:themeColor="text1"/>
        </w:rPr>
        <w:t>H</w:t>
      </w:r>
      <w:r w:rsidR="00152AC5">
        <w:rPr>
          <w:rFonts w:ascii="Arial" w:hAnsi="Arial" w:cs="Arial"/>
          <w:color w:val="000000" w:themeColor="text1"/>
        </w:rPr>
        <w:t>owever, GR is entitled to the compensatory award of one years salary which is £26,000, or the maximum above, whichever is lower.</w:t>
      </w:r>
    </w:p>
    <w:p w14:paraId="4464A738" w14:textId="4EA770CF" w:rsidR="00152AC5" w:rsidRPr="00276A5B" w:rsidRDefault="005C62B7" w:rsidP="00152AC5">
      <w:pPr>
        <w:spacing w:beforeLines="50" w:before="120" w:afterLines="50" w:after="120" w:line="360" w:lineRule="auto"/>
        <w:rPr>
          <w:rFonts w:ascii="Arial" w:hAnsi="Arial" w:cs="Arial"/>
          <w:color w:val="000000" w:themeColor="text1"/>
        </w:rPr>
      </w:pPr>
      <w:r>
        <w:rPr>
          <w:rFonts w:ascii="Arial" w:hAnsi="Arial" w:cs="Arial"/>
          <w:color w:val="000000" w:themeColor="text1"/>
        </w:rPr>
        <w:t>If t</w:t>
      </w:r>
      <w:r w:rsidR="00152AC5">
        <w:rPr>
          <w:rFonts w:ascii="Arial" w:hAnsi="Arial" w:cs="Arial"/>
          <w:color w:val="000000" w:themeColor="text1"/>
        </w:rPr>
        <w:t>he claim for whistleblowing i</w:t>
      </w:r>
      <w:r>
        <w:rPr>
          <w:rFonts w:ascii="Arial" w:hAnsi="Arial" w:cs="Arial"/>
          <w:color w:val="000000" w:themeColor="text1"/>
        </w:rPr>
        <w:t>s</w:t>
      </w:r>
      <w:r w:rsidR="00152AC5">
        <w:rPr>
          <w:rFonts w:ascii="Arial" w:hAnsi="Arial" w:cs="Arial"/>
          <w:color w:val="000000" w:themeColor="text1"/>
        </w:rPr>
        <w:t xml:space="preserve"> successful, the compensatory award is uncapped. The highest award for this claim was the case of L</w:t>
      </w:r>
      <w:r w:rsidR="00CC03D5">
        <w:rPr>
          <w:rFonts w:ascii="Arial" w:hAnsi="Arial" w:cs="Arial"/>
          <w:color w:val="000000" w:themeColor="text1"/>
        </w:rPr>
        <w:t>i</w:t>
      </w:r>
      <w:r w:rsidR="00152AC5">
        <w:rPr>
          <w:rFonts w:ascii="Arial" w:hAnsi="Arial" w:cs="Arial"/>
          <w:color w:val="000000" w:themeColor="text1"/>
        </w:rPr>
        <w:t>ngard V HM Prison Service {2005} whereby the award was £466,700 for a successful unfair dismissal claim.</w:t>
      </w:r>
    </w:p>
    <w:p w14:paraId="40D183C6" w14:textId="0EEBC8D3" w:rsidR="00A23900" w:rsidRPr="00E91650" w:rsidRDefault="00835A75" w:rsidP="00D2162C">
      <w:pPr>
        <w:spacing w:beforeLines="50" w:before="120" w:afterLines="50" w:after="120" w:line="360" w:lineRule="auto"/>
        <w:rPr>
          <w:rFonts w:ascii="Arial" w:hAnsi="Arial" w:cs="Arial"/>
          <w:b/>
          <w:bCs/>
          <w:color w:val="000000" w:themeColor="text1"/>
          <w:u w:val="single"/>
        </w:rPr>
      </w:pPr>
      <w:r w:rsidRPr="00E91650">
        <w:rPr>
          <w:rFonts w:ascii="Arial" w:hAnsi="Arial" w:cs="Arial"/>
          <w:b/>
          <w:color w:val="000000" w:themeColor="text1"/>
          <w:u w:val="single"/>
        </w:rPr>
        <w:t>7. F</w:t>
      </w:r>
      <w:r w:rsidR="00A23900" w:rsidRPr="00E91650">
        <w:rPr>
          <w:rFonts w:ascii="Arial" w:hAnsi="Arial" w:cs="Arial"/>
          <w:b/>
          <w:bCs/>
          <w:color w:val="000000" w:themeColor="text1"/>
          <w:u w:val="single"/>
        </w:rPr>
        <w:t>actors that</w:t>
      </w:r>
      <w:r w:rsidRPr="00E91650">
        <w:rPr>
          <w:rFonts w:ascii="Arial" w:hAnsi="Arial" w:cs="Arial"/>
          <w:b/>
          <w:bCs/>
          <w:color w:val="000000" w:themeColor="text1"/>
          <w:u w:val="single"/>
        </w:rPr>
        <w:t xml:space="preserve"> will</w:t>
      </w:r>
      <w:r w:rsidR="00A23900" w:rsidRPr="00E91650">
        <w:rPr>
          <w:rFonts w:ascii="Arial" w:hAnsi="Arial" w:cs="Arial"/>
          <w:b/>
          <w:bCs/>
          <w:color w:val="000000" w:themeColor="text1"/>
          <w:u w:val="single"/>
        </w:rPr>
        <w:t xml:space="preserve"> r</w:t>
      </w:r>
      <w:r w:rsidRPr="00E91650">
        <w:rPr>
          <w:rFonts w:ascii="Arial" w:hAnsi="Arial" w:cs="Arial"/>
          <w:b/>
          <w:bCs/>
          <w:color w:val="000000" w:themeColor="text1"/>
          <w:u w:val="single"/>
        </w:rPr>
        <w:t>educe or increase</w:t>
      </w:r>
      <w:r w:rsidR="00A23900" w:rsidRPr="00E91650">
        <w:rPr>
          <w:rFonts w:ascii="Arial" w:hAnsi="Arial" w:cs="Arial"/>
          <w:b/>
          <w:bCs/>
          <w:color w:val="000000" w:themeColor="text1"/>
          <w:u w:val="single"/>
        </w:rPr>
        <w:t xml:space="preserve"> financial award</w:t>
      </w:r>
      <w:r w:rsidR="0059610E" w:rsidRPr="00E91650">
        <w:rPr>
          <w:rFonts w:ascii="Arial" w:hAnsi="Arial" w:cs="Arial"/>
          <w:b/>
          <w:bCs/>
          <w:color w:val="000000" w:themeColor="text1"/>
          <w:u w:val="single"/>
        </w:rPr>
        <w:t>;</w:t>
      </w:r>
    </w:p>
    <w:p w14:paraId="442D524E" w14:textId="19EB87B0" w:rsidR="0059610E" w:rsidRPr="00CC03D5" w:rsidRDefault="00CC03D5" w:rsidP="00D2162C">
      <w:pPr>
        <w:spacing w:beforeLines="50" w:before="120" w:afterLines="50" w:after="120" w:line="360" w:lineRule="auto"/>
        <w:rPr>
          <w:rFonts w:ascii="Arial" w:hAnsi="Arial" w:cs="Arial"/>
          <w:color w:val="000000" w:themeColor="text1"/>
        </w:rPr>
      </w:pPr>
      <w:r w:rsidRPr="00CC03D5">
        <w:rPr>
          <w:rFonts w:ascii="Arial" w:hAnsi="Arial" w:cs="Arial"/>
          <w:bCs/>
          <w:color w:val="000000" w:themeColor="text1"/>
        </w:rPr>
        <w:t xml:space="preserve">The ET </w:t>
      </w:r>
      <w:r>
        <w:rPr>
          <w:rFonts w:ascii="Arial" w:hAnsi="Arial" w:cs="Arial"/>
          <w:bCs/>
          <w:color w:val="000000" w:themeColor="text1"/>
        </w:rPr>
        <w:t>hold the</w:t>
      </w:r>
      <w:r w:rsidRPr="00CC03D5">
        <w:rPr>
          <w:rFonts w:ascii="Arial" w:hAnsi="Arial" w:cs="Arial"/>
          <w:bCs/>
          <w:color w:val="000000" w:themeColor="text1"/>
        </w:rPr>
        <w:t xml:space="preserve"> </w:t>
      </w:r>
      <w:r>
        <w:rPr>
          <w:rFonts w:ascii="Arial" w:hAnsi="Arial" w:cs="Arial"/>
          <w:bCs/>
          <w:color w:val="000000" w:themeColor="text1"/>
        </w:rPr>
        <w:t xml:space="preserve">power and ability to adjust </w:t>
      </w:r>
      <w:r w:rsidRPr="00276A5B">
        <w:rPr>
          <w:rFonts w:ascii="Arial" w:hAnsi="Arial" w:cs="Arial"/>
          <w:color w:val="000000" w:themeColor="text1"/>
        </w:rPr>
        <w:t>any award up to 25% for unreasonable failure to comply with any provision of ACASCoP and good practice which complement the code</w:t>
      </w:r>
      <w:r w:rsidRPr="00276A5B">
        <w:rPr>
          <w:rStyle w:val="FootnoteReference"/>
          <w:rFonts w:ascii="Arial" w:hAnsi="Arial" w:cs="Arial"/>
          <w:color w:val="000000" w:themeColor="text1"/>
        </w:rPr>
        <w:footnoteReference w:id="49"/>
      </w:r>
      <w:r w:rsidRPr="00276A5B">
        <w:rPr>
          <w:rFonts w:ascii="Arial" w:hAnsi="Arial" w:cs="Arial"/>
          <w:color w:val="000000" w:themeColor="text1"/>
        </w:rPr>
        <w:t>. In Holmes v Qinetiq Ltd (2016) IRLR 664</w:t>
      </w:r>
      <w:r w:rsidRPr="00276A5B">
        <w:rPr>
          <w:rStyle w:val="FootnoteReference"/>
          <w:rFonts w:ascii="Arial" w:hAnsi="Arial" w:cs="Arial"/>
          <w:color w:val="000000" w:themeColor="text1"/>
        </w:rPr>
        <w:footnoteReference w:id="50"/>
      </w:r>
      <w:r w:rsidRPr="00276A5B">
        <w:rPr>
          <w:rFonts w:ascii="Arial" w:hAnsi="Arial" w:cs="Arial"/>
          <w:color w:val="000000" w:themeColor="text1"/>
        </w:rPr>
        <w:t xml:space="preserve"> the EAT President confirmed that this does not apply to ill-health dismissals</w:t>
      </w:r>
      <w:r w:rsidR="00F35025">
        <w:rPr>
          <w:rFonts w:ascii="Arial" w:hAnsi="Arial" w:cs="Arial"/>
          <w:color w:val="000000" w:themeColor="text1"/>
        </w:rPr>
        <w:t xml:space="preserve">, including </w:t>
      </w:r>
      <w:r w:rsidRPr="00276A5B">
        <w:rPr>
          <w:rFonts w:ascii="Arial" w:hAnsi="Arial" w:cs="Arial"/>
          <w:color w:val="000000" w:themeColor="text1"/>
        </w:rPr>
        <w:t>Phoenix House Ltd v Stockman (2016) IRLR 82</w:t>
      </w:r>
      <w:r w:rsidRPr="00276A5B">
        <w:rPr>
          <w:rStyle w:val="FootnoteReference"/>
          <w:rFonts w:ascii="Arial" w:hAnsi="Arial" w:cs="Arial"/>
          <w:color w:val="000000" w:themeColor="text1"/>
        </w:rPr>
        <w:footnoteReference w:id="51"/>
      </w:r>
      <w:r w:rsidRPr="00276A5B">
        <w:rPr>
          <w:rFonts w:ascii="Arial" w:hAnsi="Arial" w:cs="Arial"/>
          <w:color w:val="000000" w:themeColor="text1"/>
        </w:rPr>
        <w:t xml:space="preserve"> and Burchell test</w:t>
      </w:r>
      <w:r w:rsidRPr="00276A5B">
        <w:rPr>
          <w:rStyle w:val="FootnoteReference"/>
          <w:rFonts w:ascii="Arial" w:hAnsi="Arial" w:cs="Arial"/>
          <w:color w:val="000000" w:themeColor="text1"/>
        </w:rPr>
        <w:footnoteReference w:id="52"/>
      </w:r>
      <w:r w:rsidRPr="00276A5B">
        <w:rPr>
          <w:rFonts w:ascii="Arial" w:hAnsi="Arial" w:cs="Arial"/>
          <w:color w:val="000000" w:themeColor="text1"/>
        </w:rPr>
        <w:t>.</w:t>
      </w:r>
      <w:r>
        <w:rPr>
          <w:rFonts w:ascii="Arial" w:hAnsi="Arial" w:cs="Arial"/>
          <w:color w:val="000000" w:themeColor="text1"/>
        </w:rPr>
        <w:t xml:space="preserve"> The ET may consider that the investigation was not fair due to the concealment of the report and failure to gather witness evidence, including the</w:t>
      </w:r>
      <w:r w:rsidR="00F35025">
        <w:rPr>
          <w:rFonts w:ascii="Arial" w:hAnsi="Arial" w:cs="Arial"/>
          <w:color w:val="000000" w:themeColor="text1"/>
        </w:rPr>
        <w:t xml:space="preserve"> unreasonable</w:t>
      </w:r>
      <w:r>
        <w:rPr>
          <w:rFonts w:ascii="Arial" w:hAnsi="Arial" w:cs="Arial"/>
          <w:color w:val="000000" w:themeColor="text1"/>
        </w:rPr>
        <w:t xml:space="preserve"> time </w:t>
      </w:r>
      <w:r w:rsidR="00F35025">
        <w:rPr>
          <w:rFonts w:ascii="Arial" w:hAnsi="Arial" w:cs="Arial"/>
          <w:color w:val="000000" w:themeColor="text1"/>
        </w:rPr>
        <w:t>for</w:t>
      </w:r>
      <w:r>
        <w:rPr>
          <w:rFonts w:ascii="Arial" w:hAnsi="Arial" w:cs="Arial"/>
          <w:color w:val="000000" w:themeColor="text1"/>
        </w:rPr>
        <w:t xml:space="preserve"> appeal. </w:t>
      </w:r>
      <w:r w:rsidR="004367DA">
        <w:rPr>
          <w:rFonts w:ascii="Arial" w:hAnsi="Arial" w:cs="Arial"/>
          <w:color w:val="000000" w:themeColor="text1"/>
        </w:rPr>
        <w:t>Furthermore</w:t>
      </w:r>
      <w:r>
        <w:rPr>
          <w:rFonts w:ascii="Arial" w:hAnsi="Arial" w:cs="Arial"/>
          <w:color w:val="000000" w:themeColor="text1"/>
        </w:rPr>
        <w:t xml:space="preserve">, GR did not exercise the right to appeal. The ET may consider that GR </w:t>
      </w:r>
      <w:r>
        <w:rPr>
          <w:rFonts w:ascii="Arial" w:hAnsi="Arial" w:cs="Arial"/>
          <w:color w:val="000000" w:themeColor="text1"/>
        </w:rPr>
        <w:lastRenderedPageBreak/>
        <w:t xml:space="preserve">did not exhaust internal processes before making a claim to the ET which could reduce the award available to him. </w:t>
      </w:r>
      <w:r w:rsidR="0059610E">
        <w:rPr>
          <w:rFonts w:ascii="Arial" w:hAnsi="Arial" w:cs="Arial"/>
          <w:color w:val="000000" w:themeColor="text1"/>
        </w:rPr>
        <w:t xml:space="preserve">The ET </w:t>
      </w:r>
      <w:r w:rsidR="004367DA">
        <w:rPr>
          <w:rFonts w:ascii="Arial" w:hAnsi="Arial" w:cs="Arial"/>
          <w:color w:val="000000" w:themeColor="text1"/>
        </w:rPr>
        <w:t>may</w:t>
      </w:r>
      <w:r w:rsidR="0059610E">
        <w:rPr>
          <w:rFonts w:ascii="Arial" w:hAnsi="Arial" w:cs="Arial"/>
          <w:color w:val="000000" w:themeColor="text1"/>
        </w:rPr>
        <w:t xml:space="preserve"> also consider c</w:t>
      </w:r>
      <w:r w:rsidR="0059610E" w:rsidRPr="00276A5B">
        <w:rPr>
          <w:rFonts w:ascii="Arial" w:hAnsi="Arial" w:cs="Arial"/>
          <w:color w:val="000000" w:themeColor="text1"/>
        </w:rPr>
        <w:t>ontributory faults by provoked reaction, did GR contributed to his dismissal</w:t>
      </w:r>
      <w:r w:rsidR="0059610E">
        <w:rPr>
          <w:rFonts w:ascii="Arial" w:hAnsi="Arial" w:cs="Arial"/>
          <w:color w:val="000000" w:themeColor="text1"/>
        </w:rPr>
        <w:t>.</w:t>
      </w:r>
      <w:r w:rsidR="0059610E" w:rsidRPr="00276A5B">
        <w:rPr>
          <w:rFonts w:ascii="Arial" w:hAnsi="Arial" w:cs="Arial"/>
          <w:color w:val="000000" w:themeColor="text1"/>
        </w:rPr>
        <w:t xml:space="preserve"> </w:t>
      </w:r>
      <w:r w:rsidR="0059610E">
        <w:rPr>
          <w:rFonts w:ascii="Arial" w:hAnsi="Arial" w:cs="Arial"/>
          <w:color w:val="000000" w:themeColor="text1"/>
        </w:rPr>
        <w:t xml:space="preserve">If GR did contribute, this will </w:t>
      </w:r>
      <w:r w:rsidR="0059610E" w:rsidRPr="00276A5B">
        <w:rPr>
          <w:rFonts w:ascii="Arial" w:hAnsi="Arial" w:cs="Arial"/>
          <w:color w:val="000000" w:themeColor="text1"/>
        </w:rPr>
        <w:t>reduce</w:t>
      </w:r>
      <w:r w:rsidR="0059610E">
        <w:rPr>
          <w:rFonts w:ascii="Arial" w:hAnsi="Arial" w:cs="Arial"/>
          <w:color w:val="000000" w:themeColor="text1"/>
        </w:rPr>
        <w:t xml:space="preserve"> the</w:t>
      </w:r>
      <w:r w:rsidR="0059610E" w:rsidRPr="00276A5B">
        <w:rPr>
          <w:rFonts w:ascii="Arial" w:hAnsi="Arial" w:cs="Arial"/>
          <w:color w:val="000000" w:themeColor="text1"/>
        </w:rPr>
        <w:t xml:space="preserve"> award.</w:t>
      </w:r>
      <w:r w:rsidR="004367DA">
        <w:rPr>
          <w:rFonts w:ascii="Arial" w:hAnsi="Arial" w:cs="Arial"/>
          <w:color w:val="000000" w:themeColor="text1"/>
        </w:rPr>
        <w:t xml:space="preserve"> </w:t>
      </w:r>
      <w:r w:rsidR="0059610E">
        <w:rPr>
          <w:rFonts w:ascii="Arial" w:hAnsi="Arial" w:cs="Arial"/>
          <w:color w:val="000000" w:themeColor="text1"/>
        </w:rPr>
        <w:t xml:space="preserve">The </w:t>
      </w:r>
      <w:r w:rsidR="0059610E" w:rsidRPr="00276A5B">
        <w:rPr>
          <w:rFonts w:ascii="Arial" w:hAnsi="Arial" w:cs="Arial"/>
          <w:color w:val="000000" w:themeColor="text1"/>
        </w:rPr>
        <w:t>Polkey</w:t>
      </w:r>
      <w:r w:rsidR="0059610E">
        <w:rPr>
          <w:rFonts w:ascii="Arial" w:hAnsi="Arial" w:cs="Arial"/>
          <w:color w:val="000000" w:themeColor="text1"/>
        </w:rPr>
        <w:t xml:space="preserve"> principle may apply to the basic award. The Polkey case/ guidance provides the process of calculating the compensatory award where a</w:t>
      </w:r>
      <w:r w:rsidR="0059610E" w:rsidRPr="00276A5B">
        <w:rPr>
          <w:rFonts w:ascii="Arial" w:hAnsi="Arial" w:cs="Arial"/>
          <w:color w:val="000000" w:themeColor="text1"/>
        </w:rPr>
        <w:t xml:space="preserve"> dismissal has fallen down on procedure, ET will ask would have the dismissal took place in any event. </w:t>
      </w:r>
      <w:r w:rsidR="0059610E">
        <w:rPr>
          <w:rFonts w:ascii="Arial" w:hAnsi="Arial" w:cs="Arial"/>
          <w:color w:val="000000" w:themeColor="text1"/>
        </w:rPr>
        <w:t xml:space="preserve">In the case of gross misconduct, the ET </w:t>
      </w:r>
      <w:r w:rsidR="0059610E" w:rsidRPr="00276A5B">
        <w:rPr>
          <w:rFonts w:ascii="Arial" w:hAnsi="Arial" w:cs="Arial"/>
          <w:color w:val="000000" w:themeColor="text1"/>
        </w:rPr>
        <w:t>will look at who was perpetrator.</w:t>
      </w:r>
    </w:p>
    <w:p w14:paraId="40B92623" w14:textId="1F3E70BC" w:rsidR="00B40A9E" w:rsidRPr="00276A5B" w:rsidRDefault="0059610E"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In terms of</w:t>
      </w:r>
      <w:r w:rsidR="00773221" w:rsidRPr="00276A5B">
        <w:rPr>
          <w:rFonts w:ascii="Arial" w:hAnsi="Arial" w:cs="Arial"/>
          <w:color w:val="000000" w:themeColor="text1"/>
        </w:rPr>
        <w:t xml:space="preserve"> </w:t>
      </w:r>
      <w:r w:rsidR="00B40A9E" w:rsidRPr="00276A5B">
        <w:rPr>
          <w:rFonts w:ascii="Arial" w:hAnsi="Arial" w:cs="Arial"/>
          <w:color w:val="000000" w:themeColor="text1"/>
        </w:rPr>
        <w:t xml:space="preserve">whistleblowing, </w:t>
      </w:r>
      <w:r w:rsidR="00D22937" w:rsidRPr="00276A5B">
        <w:rPr>
          <w:rFonts w:ascii="Arial" w:hAnsi="Arial" w:cs="Arial"/>
          <w:color w:val="000000" w:themeColor="text1"/>
        </w:rPr>
        <w:t xml:space="preserve">the </w:t>
      </w:r>
      <w:r w:rsidR="00B40A9E" w:rsidRPr="00276A5B">
        <w:rPr>
          <w:rFonts w:ascii="Arial" w:hAnsi="Arial" w:cs="Arial"/>
          <w:color w:val="000000" w:themeColor="text1"/>
        </w:rPr>
        <w:t xml:space="preserve">claim </w:t>
      </w:r>
      <w:r w:rsidR="00D22937" w:rsidRPr="00276A5B">
        <w:rPr>
          <w:rFonts w:ascii="Arial" w:hAnsi="Arial" w:cs="Arial"/>
          <w:color w:val="000000" w:themeColor="text1"/>
        </w:rPr>
        <w:t xml:space="preserve">award </w:t>
      </w:r>
      <w:r w:rsidR="00B40A9E" w:rsidRPr="00276A5B">
        <w:rPr>
          <w:rFonts w:ascii="Arial" w:hAnsi="Arial" w:cs="Arial"/>
          <w:color w:val="000000" w:themeColor="text1"/>
        </w:rPr>
        <w:t>is uncapped</w:t>
      </w:r>
      <w:r>
        <w:rPr>
          <w:rFonts w:ascii="Arial" w:hAnsi="Arial" w:cs="Arial"/>
          <w:color w:val="000000" w:themeColor="text1"/>
        </w:rPr>
        <w:t xml:space="preserve"> or 1 years salary</w:t>
      </w:r>
      <w:r w:rsidR="00773221" w:rsidRPr="00276A5B">
        <w:rPr>
          <w:rFonts w:ascii="Arial" w:hAnsi="Arial" w:cs="Arial"/>
          <w:color w:val="000000" w:themeColor="text1"/>
        </w:rPr>
        <w:t xml:space="preserve">, </w:t>
      </w:r>
      <w:r w:rsidR="00347927">
        <w:rPr>
          <w:rFonts w:ascii="Arial" w:hAnsi="Arial" w:cs="Arial"/>
          <w:color w:val="000000" w:themeColor="text1"/>
        </w:rPr>
        <w:t xml:space="preserve">and can claim injury to feelings, depending on the severity of </w:t>
      </w:r>
      <w:r w:rsidR="00865F06">
        <w:rPr>
          <w:rFonts w:ascii="Arial" w:hAnsi="Arial" w:cs="Arial"/>
          <w:color w:val="000000" w:themeColor="text1"/>
        </w:rPr>
        <w:t>detrimental treatment.</w:t>
      </w:r>
    </w:p>
    <w:p w14:paraId="1A36206B" w14:textId="4CFD1296" w:rsidR="00B153BE" w:rsidRPr="00E91650" w:rsidRDefault="00BA5C2E"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E91650">
        <w:rPr>
          <w:rFonts w:ascii="Arial" w:hAnsi="Arial" w:cs="Arial"/>
          <w:b/>
          <w:bCs/>
          <w:color w:val="000000" w:themeColor="text1"/>
          <w:u w:val="single"/>
        </w:rPr>
        <w:t xml:space="preserve">8. </w:t>
      </w:r>
      <w:r w:rsidR="00D356D6" w:rsidRPr="00E91650">
        <w:rPr>
          <w:rFonts w:ascii="Arial" w:hAnsi="Arial" w:cs="Arial"/>
          <w:b/>
          <w:bCs/>
          <w:color w:val="000000" w:themeColor="text1"/>
          <w:u w:val="single"/>
        </w:rPr>
        <w:t>Recommendations:</w:t>
      </w:r>
    </w:p>
    <w:p w14:paraId="4932478B" w14:textId="31CCB241" w:rsidR="000F71FC" w:rsidRDefault="0059610E"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 xml:space="preserve">Upon the facts presented, I would advise to settle than proceed to ET. </w:t>
      </w:r>
      <w:r w:rsidR="004367DA">
        <w:rPr>
          <w:rFonts w:ascii="Arial" w:hAnsi="Arial" w:cs="Arial"/>
          <w:color w:val="000000" w:themeColor="text1"/>
        </w:rPr>
        <w:t>W</w:t>
      </w:r>
      <w:r w:rsidR="000F71FC">
        <w:rPr>
          <w:rFonts w:ascii="Arial" w:hAnsi="Arial" w:cs="Arial"/>
          <w:color w:val="000000" w:themeColor="text1"/>
        </w:rPr>
        <w:t>hilst GR is unlikely to be successful in his claim of whistleblowing, there are associated risk of uncapped fines with the worst-case scenario of unfair dismissal claim totalling to £27,500.</w:t>
      </w:r>
      <w:r w:rsidR="004367DA">
        <w:rPr>
          <w:rFonts w:ascii="Arial" w:hAnsi="Arial" w:cs="Arial"/>
          <w:color w:val="000000" w:themeColor="text1"/>
        </w:rPr>
        <w:t xml:space="preserve"> </w:t>
      </w:r>
      <w:r w:rsidR="000F71FC" w:rsidRPr="00276A5B">
        <w:rPr>
          <w:rFonts w:ascii="Arial" w:hAnsi="Arial" w:cs="Arial"/>
          <w:color w:val="000000" w:themeColor="text1"/>
        </w:rPr>
        <w:t>In terms of</w:t>
      </w:r>
      <w:r w:rsidR="004367DA">
        <w:rPr>
          <w:rFonts w:ascii="Arial" w:hAnsi="Arial" w:cs="Arial"/>
          <w:color w:val="000000" w:themeColor="text1"/>
        </w:rPr>
        <w:t xml:space="preserve"> a</w:t>
      </w:r>
      <w:r w:rsidR="000F71FC" w:rsidRPr="00276A5B">
        <w:rPr>
          <w:rFonts w:ascii="Arial" w:hAnsi="Arial" w:cs="Arial"/>
          <w:color w:val="000000" w:themeColor="text1"/>
        </w:rPr>
        <w:t xml:space="preserve"> commercial decision, company reputation could be tarnished if proceeded to ET</w:t>
      </w:r>
      <w:r w:rsidR="004367DA">
        <w:rPr>
          <w:rFonts w:ascii="Arial" w:hAnsi="Arial" w:cs="Arial"/>
          <w:color w:val="000000" w:themeColor="text1"/>
        </w:rPr>
        <w:t xml:space="preserve"> as</w:t>
      </w:r>
      <w:r w:rsidR="000F71FC" w:rsidRPr="00276A5B">
        <w:rPr>
          <w:rFonts w:ascii="Arial" w:hAnsi="Arial" w:cs="Arial"/>
          <w:color w:val="000000" w:themeColor="text1"/>
        </w:rPr>
        <w:t xml:space="preserve"> the case would be publicised</w:t>
      </w:r>
      <w:r w:rsidR="004367DA">
        <w:rPr>
          <w:rFonts w:ascii="Arial" w:hAnsi="Arial" w:cs="Arial"/>
          <w:color w:val="000000" w:themeColor="text1"/>
        </w:rPr>
        <w:t>.</w:t>
      </w:r>
      <w:r w:rsidR="000F71FC" w:rsidRPr="00276A5B">
        <w:rPr>
          <w:rFonts w:ascii="Arial" w:hAnsi="Arial" w:cs="Arial"/>
          <w:color w:val="000000" w:themeColor="text1"/>
        </w:rPr>
        <w:t xml:space="preserve"> Settling will save company reputation</w:t>
      </w:r>
      <w:r w:rsidR="004367DA">
        <w:rPr>
          <w:rFonts w:ascii="Arial" w:hAnsi="Arial" w:cs="Arial"/>
          <w:color w:val="000000" w:themeColor="text1"/>
        </w:rPr>
        <w:t xml:space="preserve"> as </w:t>
      </w:r>
      <w:r w:rsidR="000F71FC" w:rsidRPr="00276A5B">
        <w:rPr>
          <w:rFonts w:ascii="Arial" w:hAnsi="Arial" w:cs="Arial"/>
          <w:color w:val="000000" w:themeColor="text1"/>
        </w:rPr>
        <w:t xml:space="preserve">ACAS do not publicise cases if settled. </w:t>
      </w:r>
      <w:r w:rsidR="004367DA">
        <w:rPr>
          <w:rFonts w:ascii="Arial" w:hAnsi="Arial" w:cs="Arial"/>
          <w:color w:val="000000" w:themeColor="text1"/>
        </w:rPr>
        <w:t>O</w:t>
      </w:r>
      <w:r w:rsidR="000F71FC" w:rsidRPr="00276A5B">
        <w:rPr>
          <w:rFonts w:ascii="Arial" w:hAnsi="Arial" w:cs="Arial"/>
          <w:color w:val="000000" w:themeColor="text1"/>
        </w:rPr>
        <w:t>n the other hand, GR is entitled to day in court and will occur in a</w:t>
      </w:r>
      <w:r w:rsidR="004367DA">
        <w:rPr>
          <w:rFonts w:ascii="Arial" w:hAnsi="Arial" w:cs="Arial"/>
          <w:color w:val="000000" w:themeColor="text1"/>
        </w:rPr>
        <w:t>dditional</w:t>
      </w:r>
      <w:r w:rsidR="000F71FC" w:rsidRPr="00276A5B">
        <w:rPr>
          <w:rFonts w:ascii="Arial" w:hAnsi="Arial" w:cs="Arial"/>
          <w:color w:val="000000" w:themeColor="text1"/>
        </w:rPr>
        <w:t xml:space="preserve"> financial cost</w:t>
      </w:r>
      <w:r w:rsidR="004367DA">
        <w:rPr>
          <w:rFonts w:ascii="Arial" w:hAnsi="Arial" w:cs="Arial"/>
          <w:color w:val="000000" w:themeColor="text1"/>
        </w:rPr>
        <w:t>s</w:t>
      </w:r>
      <w:r w:rsidR="000F71FC" w:rsidRPr="00276A5B">
        <w:rPr>
          <w:rFonts w:ascii="Arial" w:hAnsi="Arial" w:cs="Arial"/>
          <w:color w:val="000000" w:themeColor="text1"/>
        </w:rPr>
        <w:t>. The potential risk to employment relations in the wider workforce could be affected</w:t>
      </w:r>
      <w:r w:rsidR="004367DA">
        <w:rPr>
          <w:rFonts w:ascii="Arial" w:hAnsi="Arial" w:cs="Arial"/>
          <w:color w:val="000000" w:themeColor="text1"/>
        </w:rPr>
        <w:t xml:space="preserve"> if</w:t>
      </w:r>
      <w:r w:rsidR="000F71FC" w:rsidRPr="00276A5B">
        <w:rPr>
          <w:rFonts w:ascii="Arial" w:hAnsi="Arial" w:cs="Arial"/>
          <w:color w:val="000000" w:themeColor="text1"/>
        </w:rPr>
        <w:t xml:space="preserve"> settlement </w:t>
      </w:r>
      <w:r w:rsidR="004367DA">
        <w:rPr>
          <w:rFonts w:ascii="Arial" w:hAnsi="Arial" w:cs="Arial"/>
          <w:color w:val="000000" w:themeColor="text1"/>
        </w:rPr>
        <w:t>is</w:t>
      </w:r>
      <w:r w:rsidR="004367DA" w:rsidRPr="00276A5B">
        <w:rPr>
          <w:rFonts w:ascii="Arial" w:hAnsi="Arial" w:cs="Arial"/>
          <w:color w:val="000000" w:themeColor="text1"/>
        </w:rPr>
        <w:t xml:space="preserve"> </w:t>
      </w:r>
      <w:r w:rsidR="000F71FC" w:rsidRPr="00276A5B">
        <w:rPr>
          <w:rFonts w:ascii="Arial" w:hAnsi="Arial" w:cs="Arial"/>
          <w:color w:val="000000" w:themeColor="text1"/>
        </w:rPr>
        <w:t xml:space="preserve">used inappropriately or as a substitute for </w:t>
      </w:r>
      <w:r w:rsidR="004367DA">
        <w:rPr>
          <w:rFonts w:ascii="Arial" w:hAnsi="Arial" w:cs="Arial"/>
          <w:color w:val="000000" w:themeColor="text1"/>
        </w:rPr>
        <w:t>poor</w:t>
      </w:r>
      <w:r w:rsidR="000F71FC" w:rsidRPr="00276A5B">
        <w:rPr>
          <w:rFonts w:ascii="Arial" w:hAnsi="Arial" w:cs="Arial"/>
          <w:color w:val="000000" w:themeColor="text1"/>
        </w:rPr>
        <w:t xml:space="preserve"> management practices</w:t>
      </w:r>
      <w:r w:rsidR="000F71FC" w:rsidRPr="00276A5B">
        <w:rPr>
          <w:rStyle w:val="FootnoteReference"/>
          <w:rFonts w:ascii="Arial" w:hAnsi="Arial" w:cs="Arial"/>
          <w:color w:val="000000" w:themeColor="text1"/>
        </w:rPr>
        <w:footnoteReference w:id="53"/>
      </w:r>
      <w:r w:rsidR="000F71FC" w:rsidRPr="00276A5B">
        <w:rPr>
          <w:rFonts w:ascii="Arial" w:hAnsi="Arial" w:cs="Arial"/>
          <w:color w:val="000000" w:themeColor="text1"/>
        </w:rPr>
        <w:t>. GR has requested reinstatement and reengagement back into the workplace</w:t>
      </w:r>
      <w:r w:rsidR="004367DA">
        <w:rPr>
          <w:rFonts w:ascii="Arial" w:hAnsi="Arial" w:cs="Arial"/>
          <w:color w:val="000000" w:themeColor="text1"/>
        </w:rPr>
        <w:t xml:space="preserve"> and</w:t>
      </w:r>
      <w:r w:rsidR="000F71FC" w:rsidRPr="00276A5B">
        <w:rPr>
          <w:rFonts w:ascii="Arial" w:hAnsi="Arial" w:cs="Arial"/>
          <w:color w:val="000000" w:themeColor="text1"/>
        </w:rPr>
        <w:t xml:space="preserve"> GR may not want to settle</w:t>
      </w:r>
      <w:r w:rsidR="000F71FC" w:rsidRPr="00276A5B">
        <w:rPr>
          <w:rStyle w:val="FootnoteReference"/>
          <w:rFonts w:ascii="Arial" w:hAnsi="Arial" w:cs="Arial"/>
          <w:color w:val="000000" w:themeColor="text1"/>
        </w:rPr>
        <w:footnoteReference w:id="54"/>
      </w:r>
      <w:r w:rsidR="000F71FC" w:rsidRPr="00276A5B">
        <w:rPr>
          <w:rFonts w:ascii="Arial" w:hAnsi="Arial" w:cs="Arial"/>
          <w:color w:val="000000" w:themeColor="text1"/>
        </w:rPr>
        <w:t>.</w:t>
      </w:r>
    </w:p>
    <w:p w14:paraId="079980DC" w14:textId="11D42B1C" w:rsidR="000F71FC" w:rsidRDefault="004367DA"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W</w:t>
      </w:r>
      <w:r w:rsidR="003A5989" w:rsidRPr="00276A5B">
        <w:rPr>
          <w:rFonts w:ascii="Arial" w:hAnsi="Arial" w:cs="Arial"/>
          <w:color w:val="000000" w:themeColor="text1"/>
        </w:rPr>
        <w:t>ith</w:t>
      </w:r>
      <w:r>
        <w:rPr>
          <w:rFonts w:ascii="Arial" w:hAnsi="Arial" w:cs="Arial"/>
          <w:color w:val="000000" w:themeColor="text1"/>
        </w:rPr>
        <w:t xml:space="preserve"> the</w:t>
      </w:r>
      <w:r w:rsidR="003A5989" w:rsidRPr="00276A5B">
        <w:rPr>
          <w:rFonts w:ascii="Arial" w:hAnsi="Arial" w:cs="Arial"/>
          <w:color w:val="000000" w:themeColor="text1"/>
        </w:rPr>
        <w:t xml:space="preserve"> knowledge the ACASCoP </w:t>
      </w:r>
      <w:r w:rsidR="00553408" w:rsidRPr="00276A5B">
        <w:rPr>
          <w:rFonts w:ascii="Arial" w:hAnsi="Arial" w:cs="Arial"/>
          <w:color w:val="000000" w:themeColor="text1"/>
        </w:rPr>
        <w:t>does not have a force of law,</w:t>
      </w:r>
      <w:r w:rsidR="003A5989" w:rsidRPr="00276A5B">
        <w:rPr>
          <w:rFonts w:ascii="Arial" w:hAnsi="Arial" w:cs="Arial"/>
          <w:color w:val="000000" w:themeColor="text1"/>
        </w:rPr>
        <w:t xml:space="preserve"> </w:t>
      </w:r>
      <w:r w:rsidR="00553408" w:rsidRPr="00276A5B">
        <w:rPr>
          <w:rFonts w:ascii="Arial" w:hAnsi="Arial" w:cs="Arial"/>
          <w:color w:val="000000" w:themeColor="text1"/>
        </w:rPr>
        <w:t>failure</w:t>
      </w:r>
      <w:r w:rsidR="003A5989" w:rsidRPr="00276A5B">
        <w:rPr>
          <w:rFonts w:ascii="Arial" w:hAnsi="Arial" w:cs="Arial"/>
          <w:color w:val="000000" w:themeColor="text1"/>
        </w:rPr>
        <w:t xml:space="preserve"> to comply does not make </w:t>
      </w:r>
      <w:r w:rsidR="00E62CB7">
        <w:rPr>
          <w:rFonts w:ascii="Arial" w:hAnsi="Arial" w:cs="Arial"/>
          <w:color w:val="000000" w:themeColor="text1"/>
        </w:rPr>
        <w:t xml:space="preserve">the </w:t>
      </w:r>
      <w:r w:rsidR="003A5989" w:rsidRPr="00276A5B">
        <w:rPr>
          <w:rFonts w:ascii="Arial" w:hAnsi="Arial" w:cs="Arial"/>
          <w:color w:val="000000" w:themeColor="text1"/>
        </w:rPr>
        <w:t xml:space="preserve">dismissal automatically </w:t>
      </w:r>
      <w:r w:rsidR="00553408" w:rsidRPr="00276A5B">
        <w:rPr>
          <w:rFonts w:ascii="Arial" w:hAnsi="Arial" w:cs="Arial"/>
          <w:color w:val="000000" w:themeColor="text1"/>
        </w:rPr>
        <w:t>unfair</w:t>
      </w:r>
      <w:r w:rsidR="003A5989" w:rsidRPr="00276A5B">
        <w:rPr>
          <w:rFonts w:ascii="Arial" w:hAnsi="Arial" w:cs="Arial"/>
          <w:color w:val="000000" w:themeColor="text1"/>
        </w:rPr>
        <w:t xml:space="preserve">. However, </w:t>
      </w:r>
      <w:r w:rsidR="00553408" w:rsidRPr="00276A5B">
        <w:rPr>
          <w:rFonts w:ascii="Arial" w:hAnsi="Arial" w:cs="Arial"/>
          <w:color w:val="000000" w:themeColor="text1"/>
        </w:rPr>
        <w:t xml:space="preserve">the judgement </w:t>
      </w:r>
      <w:r w:rsidR="003A5989" w:rsidRPr="00276A5B">
        <w:rPr>
          <w:rFonts w:ascii="Arial" w:hAnsi="Arial" w:cs="Arial"/>
          <w:color w:val="000000" w:themeColor="text1"/>
        </w:rPr>
        <w:t xml:space="preserve">will </w:t>
      </w:r>
      <w:r w:rsidR="00E65262" w:rsidRPr="00276A5B">
        <w:rPr>
          <w:rFonts w:ascii="Arial" w:hAnsi="Arial" w:cs="Arial"/>
          <w:color w:val="000000" w:themeColor="text1"/>
        </w:rPr>
        <w:t>weigh</w:t>
      </w:r>
      <w:r w:rsidR="003A5989" w:rsidRPr="00276A5B">
        <w:rPr>
          <w:rFonts w:ascii="Arial" w:hAnsi="Arial" w:cs="Arial"/>
          <w:color w:val="000000" w:themeColor="text1"/>
        </w:rPr>
        <w:t xml:space="preserve"> heavily </w:t>
      </w:r>
      <w:r w:rsidR="00553408" w:rsidRPr="00276A5B">
        <w:rPr>
          <w:rFonts w:ascii="Arial" w:hAnsi="Arial" w:cs="Arial"/>
          <w:color w:val="000000" w:themeColor="text1"/>
        </w:rPr>
        <w:t>on</w:t>
      </w:r>
      <w:r w:rsidR="003A5989" w:rsidRPr="00276A5B">
        <w:rPr>
          <w:rFonts w:ascii="Arial" w:hAnsi="Arial" w:cs="Arial"/>
          <w:color w:val="000000" w:themeColor="text1"/>
        </w:rPr>
        <w:t xml:space="preserve"> </w:t>
      </w:r>
      <w:r w:rsidR="00E62CB7">
        <w:rPr>
          <w:rFonts w:ascii="Arial" w:hAnsi="Arial" w:cs="Arial"/>
          <w:color w:val="000000" w:themeColor="text1"/>
        </w:rPr>
        <w:t>that process was not followed</w:t>
      </w:r>
      <w:r w:rsidR="00910CA7" w:rsidRPr="00276A5B">
        <w:rPr>
          <w:rStyle w:val="FootnoteReference"/>
          <w:rFonts w:ascii="Arial" w:hAnsi="Arial" w:cs="Arial"/>
          <w:color w:val="000000" w:themeColor="text1"/>
        </w:rPr>
        <w:footnoteReference w:id="55"/>
      </w:r>
      <w:r w:rsidR="003A5989" w:rsidRPr="00276A5B">
        <w:rPr>
          <w:rFonts w:ascii="Arial" w:hAnsi="Arial" w:cs="Arial"/>
          <w:color w:val="000000" w:themeColor="text1"/>
        </w:rPr>
        <w:t xml:space="preserve">. </w:t>
      </w:r>
      <w:r w:rsidR="00E33B76" w:rsidRPr="00276A5B">
        <w:rPr>
          <w:rFonts w:ascii="Arial" w:hAnsi="Arial" w:cs="Arial"/>
          <w:color w:val="000000" w:themeColor="text1"/>
        </w:rPr>
        <w:t>A</w:t>
      </w:r>
      <w:r w:rsidR="00B153BE" w:rsidRPr="00276A5B">
        <w:rPr>
          <w:rFonts w:ascii="Arial" w:hAnsi="Arial" w:cs="Arial"/>
          <w:color w:val="000000" w:themeColor="text1"/>
        </w:rPr>
        <w:t xml:space="preserve"> </w:t>
      </w:r>
      <w:r w:rsidR="00FA50CD" w:rsidRPr="00276A5B">
        <w:rPr>
          <w:rFonts w:ascii="Arial" w:hAnsi="Arial" w:cs="Arial"/>
          <w:color w:val="000000" w:themeColor="text1"/>
        </w:rPr>
        <w:t xml:space="preserve">private </w:t>
      </w:r>
      <w:r w:rsidR="00947347" w:rsidRPr="00276A5B">
        <w:rPr>
          <w:rFonts w:ascii="Arial" w:hAnsi="Arial" w:cs="Arial"/>
          <w:color w:val="000000" w:themeColor="text1"/>
        </w:rPr>
        <w:t>settlement offer is offered through an</w:t>
      </w:r>
      <w:r w:rsidR="00FA50CD" w:rsidRPr="00276A5B">
        <w:rPr>
          <w:rFonts w:ascii="Arial" w:hAnsi="Arial" w:cs="Arial"/>
          <w:color w:val="000000" w:themeColor="text1"/>
        </w:rPr>
        <w:t xml:space="preserve"> ACAS Agreement</w:t>
      </w:r>
      <w:r w:rsidR="00E33B76" w:rsidRPr="00276A5B">
        <w:rPr>
          <w:rFonts w:ascii="Arial" w:hAnsi="Arial" w:cs="Arial"/>
          <w:color w:val="000000" w:themeColor="text1"/>
        </w:rPr>
        <w:t xml:space="preserve"> (</w:t>
      </w:r>
      <w:r w:rsidR="00947347" w:rsidRPr="00276A5B">
        <w:rPr>
          <w:rFonts w:ascii="Arial" w:hAnsi="Arial" w:cs="Arial"/>
          <w:color w:val="000000" w:themeColor="text1"/>
        </w:rPr>
        <w:t xml:space="preserve">COT3). </w:t>
      </w:r>
      <w:r w:rsidR="00FA50CD" w:rsidRPr="00276A5B">
        <w:rPr>
          <w:rFonts w:ascii="Arial" w:hAnsi="Arial" w:cs="Arial"/>
          <w:color w:val="000000" w:themeColor="text1"/>
        </w:rPr>
        <w:t>H</w:t>
      </w:r>
      <w:r w:rsidR="00947347" w:rsidRPr="00276A5B">
        <w:rPr>
          <w:rFonts w:ascii="Arial" w:hAnsi="Arial" w:cs="Arial"/>
          <w:color w:val="000000" w:themeColor="text1"/>
        </w:rPr>
        <w:t>owever,</w:t>
      </w:r>
      <w:r w:rsidR="00FA50CD" w:rsidRPr="00276A5B">
        <w:rPr>
          <w:rFonts w:ascii="Arial" w:hAnsi="Arial" w:cs="Arial"/>
          <w:color w:val="000000" w:themeColor="text1"/>
        </w:rPr>
        <w:t xml:space="preserve"> The </w:t>
      </w:r>
      <w:r w:rsidR="00947347" w:rsidRPr="00276A5B">
        <w:rPr>
          <w:rFonts w:ascii="Arial" w:hAnsi="Arial" w:cs="Arial"/>
          <w:color w:val="000000" w:themeColor="text1"/>
        </w:rPr>
        <w:t>ERA</w:t>
      </w:r>
      <w:r w:rsidR="00FA50CD" w:rsidRPr="00276A5B">
        <w:rPr>
          <w:rFonts w:ascii="Arial" w:hAnsi="Arial" w:cs="Arial"/>
          <w:color w:val="000000" w:themeColor="text1"/>
        </w:rPr>
        <w:t xml:space="preserve"> 1996</w:t>
      </w:r>
      <w:r w:rsidR="00947347" w:rsidRPr="00276A5B">
        <w:rPr>
          <w:rFonts w:ascii="Arial" w:hAnsi="Arial" w:cs="Arial"/>
          <w:color w:val="000000" w:themeColor="text1"/>
        </w:rPr>
        <w:t xml:space="preserve"> set</w:t>
      </w:r>
      <w:r w:rsidR="00E62CB7">
        <w:rPr>
          <w:rFonts w:ascii="Arial" w:hAnsi="Arial" w:cs="Arial"/>
          <w:color w:val="000000" w:themeColor="text1"/>
        </w:rPr>
        <w:t>s</w:t>
      </w:r>
      <w:r w:rsidR="00947347" w:rsidRPr="00276A5B">
        <w:rPr>
          <w:rFonts w:ascii="Arial" w:hAnsi="Arial" w:cs="Arial"/>
          <w:color w:val="000000" w:themeColor="text1"/>
        </w:rPr>
        <w:t xml:space="preserve"> out legal requirement</w:t>
      </w:r>
      <w:r w:rsidR="00E62CB7">
        <w:rPr>
          <w:rFonts w:ascii="Arial" w:hAnsi="Arial" w:cs="Arial"/>
          <w:color w:val="000000" w:themeColor="text1"/>
        </w:rPr>
        <w:t xml:space="preserve"> and conditions</w:t>
      </w:r>
      <w:r w:rsidR="00947347" w:rsidRPr="00276A5B">
        <w:rPr>
          <w:rFonts w:ascii="Arial" w:hAnsi="Arial" w:cs="Arial"/>
          <w:color w:val="000000" w:themeColor="text1"/>
        </w:rPr>
        <w:t xml:space="preserve"> that </w:t>
      </w:r>
      <w:r w:rsidR="00FA50CD" w:rsidRPr="00276A5B">
        <w:rPr>
          <w:rFonts w:ascii="Arial" w:hAnsi="Arial" w:cs="Arial"/>
          <w:color w:val="000000" w:themeColor="text1"/>
        </w:rPr>
        <w:t>must be met in order for a settlement agreement to be binding</w:t>
      </w:r>
      <w:r w:rsidR="00447DBD" w:rsidRPr="00276A5B">
        <w:rPr>
          <w:rStyle w:val="FootnoteReference"/>
          <w:rFonts w:ascii="Arial" w:hAnsi="Arial" w:cs="Arial"/>
          <w:color w:val="000000" w:themeColor="text1"/>
        </w:rPr>
        <w:footnoteReference w:id="56"/>
      </w:r>
      <w:r w:rsidR="00910CA7" w:rsidRPr="00276A5B">
        <w:rPr>
          <w:rStyle w:val="FootnoteReference"/>
          <w:rFonts w:ascii="Arial" w:hAnsi="Arial" w:cs="Arial"/>
          <w:color w:val="000000" w:themeColor="text1"/>
        </w:rPr>
        <w:footnoteReference w:id="57"/>
      </w:r>
      <w:r w:rsidR="000F71FC">
        <w:rPr>
          <w:rFonts w:ascii="Arial" w:hAnsi="Arial" w:cs="Arial"/>
          <w:color w:val="000000" w:themeColor="text1"/>
        </w:rPr>
        <w:t>.</w:t>
      </w:r>
    </w:p>
    <w:p w14:paraId="04B31B1C" w14:textId="2EA75CCE" w:rsidR="00D22937" w:rsidRPr="00276A5B" w:rsidRDefault="00947347"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lastRenderedPageBreak/>
        <w:t xml:space="preserve">On the balance, </w:t>
      </w:r>
      <w:r w:rsidR="00E62CB7">
        <w:rPr>
          <w:rFonts w:ascii="Arial" w:hAnsi="Arial" w:cs="Arial"/>
          <w:color w:val="000000" w:themeColor="text1"/>
        </w:rPr>
        <w:t>e</w:t>
      </w:r>
      <w:r w:rsidR="000F71FC">
        <w:rPr>
          <w:rFonts w:ascii="Arial" w:hAnsi="Arial" w:cs="Arial"/>
          <w:color w:val="000000" w:themeColor="text1"/>
        </w:rPr>
        <w:t>xploring the possibility of settling will not only save time</w:t>
      </w:r>
      <w:r w:rsidR="00E62CB7">
        <w:rPr>
          <w:rFonts w:ascii="Arial" w:hAnsi="Arial" w:cs="Arial"/>
          <w:color w:val="000000" w:themeColor="text1"/>
        </w:rPr>
        <w:t>;</w:t>
      </w:r>
      <w:r w:rsidR="000F71FC">
        <w:rPr>
          <w:rFonts w:ascii="Arial" w:hAnsi="Arial" w:cs="Arial"/>
          <w:color w:val="000000" w:themeColor="text1"/>
        </w:rPr>
        <w:t xml:space="preserve"> legal costs</w:t>
      </w:r>
      <w:r w:rsidR="00E62CB7">
        <w:rPr>
          <w:rFonts w:ascii="Arial" w:hAnsi="Arial" w:cs="Arial"/>
          <w:color w:val="000000" w:themeColor="text1"/>
        </w:rPr>
        <w:t>;</w:t>
      </w:r>
      <w:r w:rsidR="000F71FC">
        <w:rPr>
          <w:rFonts w:ascii="Arial" w:hAnsi="Arial" w:cs="Arial"/>
          <w:color w:val="000000" w:themeColor="text1"/>
        </w:rPr>
        <w:t xml:space="preserve"> company reputation</w:t>
      </w:r>
      <w:r w:rsidR="00E62CB7">
        <w:rPr>
          <w:rFonts w:ascii="Arial" w:hAnsi="Arial" w:cs="Arial"/>
          <w:color w:val="000000" w:themeColor="text1"/>
        </w:rPr>
        <w:t>; and</w:t>
      </w:r>
      <w:r w:rsidR="000F71FC">
        <w:rPr>
          <w:rFonts w:ascii="Arial" w:hAnsi="Arial" w:cs="Arial"/>
          <w:color w:val="000000" w:themeColor="text1"/>
        </w:rPr>
        <w:t xml:space="preserve"> effort, </w:t>
      </w:r>
      <w:r w:rsidR="00E62CB7">
        <w:rPr>
          <w:rFonts w:ascii="Arial" w:hAnsi="Arial" w:cs="Arial"/>
          <w:color w:val="000000" w:themeColor="text1"/>
        </w:rPr>
        <w:t>I</w:t>
      </w:r>
      <w:r w:rsidR="000F71FC">
        <w:rPr>
          <w:rFonts w:ascii="Arial" w:hAnsi="Arial" w:cs="Arial"/>
          <w:color w:val="000000" w:themeColor="text1"/>
        </w:rPr>
        <w:t xml:space="preserve"> advise it would be better to consider a commercial decision to settle. </w:t>
      </w:r>
      <w:r w:rsidR="00E62CB7">
        <w:rPr>
          <w:rFonts w:ascii="Arial" w:hAnsi="Arial" w:cs="Arial"/>
          <w:color w:val="000000" w:themeColor="text1"/>
        </w:rPr>
        <w:t>Please get in touch if you decide to proceed with the next steps.</w:t>
      </w:r>
    </w:p>
    <w:p w14:paraId="5C74F4FD" w14:textId="7952BE2B" w:rsidR="00E62CB7" w:rsidRDefault="00E62CB7" w:rsidP="00D2162C">
      <w:pPr>
        <w:pStyle w:val="NormalWeb"/>
        <w:spacing w:beforeLines="50" w:before="120" w:beforeAutospacing="0" w:afterLines="50" w:after="120" w:afterAutospacing="0" w:line="360" w:lineRule="auto"/>
        <w:rPr>
          <w:rFonts w:ascii="Arial" w:hAnsi="Arial" w:cs="Arial"/>
          <w:b/>
          <w:color w:val="000000" w:themeColor="text1"/>
        </w:rPr>
      </w:pPr>
    </w:p>
    <w:p w14:paraId="76567A4B" w14:textId="2990B0E8"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2EDF7399" w14:textId="4F5971F5"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35759707" w14:textId="3CE3C4A2"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08FB3D64" w14:textId="2725ABD8"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6B3E349D" w14:textId="55B57A22"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2E1B453E" w14:textId="1893595A"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67D79068" w14:textId="4F7E2E12"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36BA3D82" w14:textId="47649228"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7847F147" w14:textId="51EE0CD0"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346E5E08" w14:textId="37CB8E51"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171F894D" w14:textId="4105FBA4"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1D93AC4E" w14:textId="659499CC"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10DD1E40" w14:textId="2E2C558F"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75DB1441" w14:textId="1D50DF67"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429732C8" w14:textId="3AC28D40"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54B19209" w14:textId="69276B7A"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285322A7" w14:textId="7EFC9257"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3A871216" w14:textId="7ED80D4D"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418333BD" w14:textId="7F34BFEE"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25B41502" w14:textId="56D48CE9"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332E9B51" w14:textId="528EE1D2"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4E7A2156" w14:textId="77777777"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558AE341" w14:textId="48180497" w:rsidR="00D2162C"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lastRenderedPageBreak/>
        <w:t xml:space="preserve">Section B, 1. </w:t>
      </w:r>
    </w:p>
    <w:p w14:paraId="1558EEE6" w14:textId="0FD1A4A1" w:rsidR="00BA5C2E" w:rsidRPr="00276A5B" w:rsidRDefault="00DC69D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Dear Mr Thomas, </w:t>
      </w:r>
    </w:p>
    <w:p w14:paraId="1A9DB52C" w14:textId="4401CBB0" w:rsidR="00F2477A" w:rsidRDefault="00DC69D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 would like to establish some facts that will support you </w:t>
      </w:r>
      <w:r w:rsidR="00320AB1" w:rsidRPr="00276A5B">
        <w:rPr>
          <w:rFonts w:ascii="Arial" w:hAnsi="Arial" w:cs="Arial"/>
          <w:color w:val="000000" w:themeColor="text1"/>
        </w:rPr>
        <w:t>with responding to the flexible working</w:t>
      </w:r>
      <w:r w:rsidRPr="00276A5B">
        <w:rPr>
          <w:rFonts w:ascii="Arial" w:hAnsi="Arial" w:cs="Arial"/>
          <w:color w:val="000000" w:themeColor="text1"/>
        </w:rPr>
        <w:t xml:space="preserve"> request, including the process. </w:t>
      </w:r>
      <w:r w:rsidR="00320AB1" w:rsidRPr="00276A5B">
        <w:rPr>
          <w:rFonts w:ascii="Arial" w:hAnsi="Arial" w:cs="Arial"/>
          <w:color w:val="000000" w:themeColor="text1"/>
        </w:rPr>
        <w:t xml:space="preserve">Firstly, does BB have </w:t>
      </w:r>
      <w:r w:rsidRPr="00276A5B">
        <w:rPr>
          <w:rFonts w:ascii="Arial" w:hAnsi="Arial" w:cs="Arial"/>
          <w:color w:val="000000" w:themeColor="text1"/>
        </w:rPr>
        <w:t>their own policy on flexible working that corresponds with the ACAS</w:t>
      </w:r>
      <w:r w:rsidR="00B13F8B" w:rsidRPr="00276A5B">
        <w:rPr>
          <w:rFonts w:ascii="Arial" w:hAnsi="Arial" w:cs="Arial"/>
          <w:color w:val="000000" w:themeColor="text1"/>
        </w:rPr>
        <w:t>CoP</w:t>
      </w:r>
      <w:r w:rsidRPr="00276A5B">
        <w:rPr>
          <w:rFonts w:ascii="Arial" w:hAnsi="Arial" w:cs="Arial"/>
          <w:color w:val="000000" w:themeColor="text1"/>
        </w:rPr>
        <w:t xml:space="preserve">? </w:t>
      </w:r>
      <w:r w:rsidR="00320AB1" w:rsidRPr="00276A5B">
        <w:rPr>
          <w:rFonts w:ascii="Arial" w:hAnsi="Arial" w:cs="Arial"/>
          <w:color w:val="000000" w:themeColor="text1"/>
        </w:rPr>
        <w:t xml:space="preserve">Secondly, Julie </w:t>
      </w:r>
      <w:r w:rsidR="00B13F8B" w:rsidRPr="00276A5B">
        <w:rPr>
          <w:rFonts w:ascii="Arial" w:hAnsi="Arial" w:cs="Arial"/>
          <w:color w:val="000000" w:themeColor="text1"/>
        </w:rPr>
        <w:t>has the right as an employee to make a statutory</w:t>
      </w:r>
      <w:r w:rsidR="00074638" w:rsidRPr="00276A5B">
        <w:rPr>
          <w:rFonts w:ascii="Arial" w:hAnsi="Arial" w:cs="Arial"/>
          <w:color w:val="000000" w:themeColor="text1"/>
        </w:rPr>
        <w:t xml:space="preserve"> flexible working request under the ERT 1996, section 80F. Julie meets the criteria as she h</w:t>
      </w:r>
      <w:r w:rsidR="00320AB1" w:rsidRPr="00276A5B">
        <w:rPr>
          <w:rFonts w:ascii="Arial" w:hAnsi="Arial" w:cs="Arial"/>
          <w:color w:val="000000" w:themeColor="text1"/>
        </w:rPr>
        <w:t xml:space="preserve">as </w:t>
      </w:r>
      <w:r w:rsidR="00074638" w:rsidRPr="00276A5B">
        <w:rPr>
          <w:rFonts w:ascii="Arial" w:hAnsi="Arial" w:cs="Arial"/>
          <w:color w:val="000000" w:themeColor="text1"/>
        </w:rPr>
        <w:t xml:space="preserve">service </w:t>
      </w:r>
      <w:r w:rsidR="00320AB1" w:rsidRPr="00276A5B">
        <w:rPr>
          <w:rFonts w:ascii="Arial" w:hAnsi="Arial" w:cs="Arial"/>
          <w:color w:val="000000" w:themeColor="text1"/>
        </w:rPr>
        <w:t xml:space="preserve">for </w:t>
      </w:r>
      <w:r w:rsidRPr="00276A5B">
        <w:rPr>
          <w:rFonts w:ascii="Arial" w:hAnsi="Arial" w:cs="Arial"/>
          <w:color w:val="000000" w:themeColor="text1"/>
        </w:rPr>
        <w:t>least 26 weeks</w:t>
      </w:r>
      <w:r w:rsidR="00074638" w:rsidRPr="00276A5B">
        <w:rPr>
          <w:rFonts w:ascii="Arial" w:hAnsi="Arial" w:cs="Arial"/>
          <w:color w:val="000000" w:themeColor="text1"/>
        </w:rPr>
        <w:t xml:space="preserve"> continuous employment</w:t>
      </w:r>
      <w:r w:rsidR="00074638" w:rsidRPr="00276A5B">
        <w:rPr>
          <w:rStyle w:val="FootnoteReference"/>
          <w:rFonts w:ascii="Arial" w:hAnsi="Arial" w:cs="Arial"/>
          <w:color w:val="000000" w:themeColor="text1"/>
        </w:rPr>
        <w:footnoteReference w:id="58"/>
      </w:r>
      <w:r w:rsidRPr="00276A5B">
        <w:rPr>
          <w:rFonts w:ascii="Arial" w:hAnsi="Arial" w:cs="Arial"/>
          <w:color w:val="000000" w:themeColor="text1"/>
        </w:rPr>
        <w:t xml:space="preserve">. </w:t>
      </w:r>
      <w:r w:rsidR="00400B1E" w:rsidRPr="00276A5B">
        <w:rPr>
          <w:rFonts w:ascii="Arial" w:hAnsi="Arial" w:cs="Arial"/>
          <w:color w:val="000000" w:themeColor="text1"/>
        </w:rPr>
        <w:t>T</w:t>
      </w:r>
      <w:r w:rsidRPr="00276A5B">
        <w:rPr>
          <w:rFonts w:ascii="Arial" w:hAnsi="Arial" w:cs="Arial"/>
          <w:color w:val="000000" w:themeColor="text1"/>
        </w:rPr>
        <w:t>he AC</w:t>
      </w:r>
      <w:r w:rsidR="00320AB1" w:rsidRPr="00276A5B">
        <w:rPr>
          <w:rFonts w:ascii="Arial" w:hAnsi="Arial" w:cs="Arial"/>
          <w:color w:val="000000" w:themeColor="text1"/>
        </w:rPr>
        <w:t>ASC</w:t>
      </w:r>
      <w:r w:rsidR="00074638" w:rsidRPr="00276A5B">
        <w:rPr>
          <w:rFonts w:ascii="Arial" w:hAnsi="Arial" w:cs="Arial"/>
          <w:color w:val="000000" w:themeColor="text1"/>
        </w:rPr>
        <w:t>o</w:t>
      </w:r>
      <w:r w:rsidR="00320AB1" w:rsidRPr="00276A5B">
        <w:rPr>
          <w:rFonts w:ascii="Arial" w:hAnsi="Arial" w:cs="Arial"/>
          <w:color w:val="000000" w:themeColor="text1"/>
        </w:rPr>
        <w:t xml:space="preserve">P </w:t>
      </w:r>
      <w:r w:rsidR="00400B1E" w:rsidRPr="00276A5B">
        <w:rPr>
          <w:rFonts w:ascii="Arial" w:hAnsi="Arial" w:cs="Arial"/>
          <w:color w:val="000000" w:themeColor="text1"/>
        </w:rPr>
        <w:t>explains any</w:t>
      </w:r>
      <w:r w:rsidRPr="00276A5B">
        <w:rPr>
          <w:rFonts w:ascii="Arial" w:hAnsi="Arial" w:cs="Arial"/>
          <w:color w:val="000000" w:themeColor="text1"/>
        </w:rPr>
        <w:t xml:space="preserve"> flexible working request needs to be submitted in writing. </w:t>
      </w:r>
      <w:r w:rsidR="00074638" w:rsidRPr="00276A5B">
        <w:rPr>
          <w:rFonts w:ascii="Arial" w:hAnsi="Arial" w:cs="Arial"/>
          <w:color w:val="000000" w:themeColor="text1"/>
        </w:rPr>
        <w:t>Y</w:t>
      </w:r>
      <w:r w:rsidRPr="00276A5B">
        <w:rPr>
          <w:rFonts w:ascii="Arial" w:hAnsi="Arial" w:cs="Arial"/>
          <w:color w:val="000000" w:themeColor="text1"/>
        </w:rPr>
        <w:t xml:space="preserve">ou </w:t>
      </w:r>
      <w:r w:rsidR="00074638" w:rsidRPr="00276A5B">
        <w:rPr>
          <w:rFonts w:ascii="Arial" w:hAnsi="Arial" w:cs="Arial"/>
          <w:color w:val="000000" w:themeColor="text1"/>
        </w:rPr>
        <w:t xml:space="preserve">explained </w:t>
      </w:r>
      <w:r w:rsidRPr="00276A5B">
        <w:rPr>
          <w:rFonts w:ascii="Arial" w:hAnsi="Arial" w:cs="Arial"/>
          <w:color w:val="000000" w:themeColor="text1"/>
        </w:rPr>
        <w:t xml:space="preserve">an email from Julie </w:t>
      </w:r>
      <w:r w:rsidR="00400B1E" w:rsidRPr="00276A5B">
        <w:rPr>
          <w:rFonts w:ascii="Arial" w:hAnsi="Arial" w:cs="Arial"/>
          <w:color w:val="000000" w:themeColor="text1"/>
        </w:rPr>
        <w:t>ha</w:t>
      </w:r>
      <w:r w:rsidR="00AF48E8">
        <w:rPr>
          <w:rFonts w:ascii="Arial" w:hAnsi="Arial" w:cs="Arial"/>
          <w:color w:val="000000" w:themeColor="text1"/>
        </w:rPr>
        <w:t>s been</w:t>
      </w:r>
      <w:r w:rsidR="00074638" w:rsidRPr="00276A5B">
        <w:rPr>
          <w:rFonts w:ascii="Arial" w:hAnsi="Arial" w:cs="Arial"/>
          <w:color w:val="000000" w:themeColor="text1"/>
        </w:rPr>
        <w:t xml:space="preserve"> received </w:t>
      </w:r>
      <w:r w:rsidRPr="00276A5B">
        <w:rPr>
          <w:rFonts w:ascii="Arial" w:hAnsi="Arial" w:cs="Arial"/>
          <w:color w:val="000000" w:themeColor="text1"/>
        </w:rPr>
        <w:t>howeve</w:t>
      </w:r>
      <w:r w:rsidR="00074638" w:rsidRPr="00276A5B">
        <w:rPr>
          <w:rFonts w:ascii="Arial" w:hAnsi="Arial" w:cs="Arial"/>
          <w:color w:val="000000" w:themeColor="text1"/>
        </w:rPr>
        <w:t xml:space="preserve">r, </w:t>
      </w:r>
      <w:r w:rsidR="00400B1E" w:rsidRPr="00276A5B">
        <w:rPr>
          <w:rFonts w:ascii="Arial" w:hAnsi="Arial" w:cs="Arial"/>
          <w:color w:val="000000" w:themeColor="text1"/>
        </w:rPr>
        <w:t>an</w:t>
      </w:r>
      <w:r w:rsidRPr="00276A5B">
        <w:rPr>
          <w:rFonts w:ascii="Arial" w:hAnsi="Arial" w:cs="Arial"/>
          <w:color w:val="000000" w:themeColor="text1"/>
        </w:rPr>
        <w:t xml:space="preserve"> official request </w:t>
      </w:r>
      <w:r w:rsidR="00400B1E" w:rsidRPr="00276A5B">
        <w:rPr>
          <w:rFonts w:ascii="Arial" w:hAnsi="Arial" w:cs="Arial"/>
          <w:color w:val="000000" w:themeColor="text1"/>
        </w:rPr>
        <w:t xml:space="preserve">should be completed via </w:t>
      </w:r>
      <w:r w:rsidRPr="00276A5B">
        <w:rPr>
          <w:rFonts w:ascii="Arial" w:hAnsi="Arial" w:cs="Arial"/>
          <w:color w:val="000000" w:themeColor="text1"/>
        </w:rPr>
        <w:t xml:space="preserve">the appropriate formal request form included in your policy or downloaded </w:t>
      </w:r>
      <w:r w:rsidR="00400B1E" w:rsidRPr="00276A5B">
        <w:rPr>
          <w:rFonts w:ascii="Arial" w:hAnsi="Arial" w:cs="Arial"/>
          <w:color w:val="000000" w:themeColor="text1"/>
        </w:rPr>
        <w:t>through</w:t>
      </w:r>
      <w:r w:rsidR="00074638" w:rsidRPr="00276A5B">
        <w:rPr>
          <w:rFonts w:ascii="Arial" w:hAnsi="Arial" w:cs="Arial"/>
          <w:color w:val="000000" w:themeColor="text1"/>
        </w:rPr>
        <w:t xml:space="preserve"> ACAS</w:t>
      </w:r>
      <w:r w:rsidRPr="00276A5B">
        <w:rPr>
          <w:rFonts w:ascii="Arial" w:hAnsi="Arial" w:cs="Arial"/>
          <w:color w:val="000000" w:themeColor="text1"/>
        </w:rPr>
        <w:t>C</w:t>
      </w:r>
      <w:r w:rsidR="00074638" w:rsidRPr="00276A5B">
        <w:rPr>
          <w:rFonts w:ascii="Arial" w:hAnsi="Arial" w:cs="Arial"/>
          <w:color w:val="000000" w:themeColor="text1"/>
        </w:rPr>
        <w:t>o</w:t>
      </w:r>
      <w:r w:rsidRPr="00276A5B">
        <w:rPr>
          <w:rFonts w:ascii="Arial" w:hAnsi="Arial" w:cs="Arial"/>
          <w:color w:val="000000" w:themeColor="text1"/>
        </w:rPr>
        <w:t xml:space="preserve">P. The formal request </w:t>
      </w:r>
      <w:r w:rsidR="00320AB1" w:rsidRPr="00276A5B">
        <w:rPr>
          <w:rFonts w:ascii="Arial" w:hAnsi="Arial" w:cs="Arial"/>
          <w:color w:val="000000" w:themeColor="text1"/>
        </w:rPr>
        <w:t xml:space="preserve">will need to </w:t>
      </w:r>
      <w:r w:rsidR="000D6715" w:rsidRPr="00276A5B">
        <w:rPr>
          <w:rFonts w:ascii="Arial" w:hAnsi="Arial" w:cs="Arial"/>
          <w:color w:val="000000" w:themeColor="text1"/>
        </w:rPr>
        <w:t>include the following</w:t>
      </w:r>
      <w:r w:rsidR="00F62811">
        <w:rPr>
          <w:rFonts w:ascii="Arial" w:hAnsi="Arial" w:cs="Arial"/>
          <w:color w:val="000000" w:themeColor="text1"/>
        </w:rPr>
        <w:t>; D</w:t>
      </w:r>
      <w:r w:rsidR="000D6715" w:rsidRPr="00276A5B">
        <w:rPr>
          <w:rFonts w:ascii="Arial" w:hAnsi="Arial" w:cs="Arial"/>
          <w:color w:val="000000" w:themeColor="text1"/>
        </w:rPr>
        <w:t>ate</w:t>
      </w:r>
      <w:r w:rsidR="00F62811" w:rsidRPr="00F62811">
        <w:rPr>
          <w:rFonts w:ascii="Arial" w:hAnsi="Arial" w:cs="Arial"/>
          <w:color w:val="000000" w:themeColor="text1"/>
        </w:rPr>
        <w:t xml:space="preserve"> </w:t>
      </w:r>
      <w:r w:rsidR="00F62811">
        <w:rPr>
          <w:rFonts w:ascii="Arial" w:hAnsi="Arial" w:cs="Arial"/>
          <w:color w:val="000000" w:themeColor="text1"/>
        </w:rPr>
        <w:t>request</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S</w:t>
      </w:r>
      <w:r w:rsidR="00074638" w:rsidRPr="00276A5B">
        <w:rPr>
          <w:rFonts w:ascii="Arial" w:hAnsi="Arial" w:cs="Arial"/>
          <w:color w:val="000000" w:themeColor="text1"/>
        </w:rPr>
        <w:t>tate that it</w:t>
      </w:r>
      <w:r w:rsidR="00F62811">
        <w:rPr>
          <w:rFonts w:ascii="Arial" w:hAnsi="Arial" w:cs="Arial"/>
          <w:color w:val="000000" w:themeColor="text1"/>
        </w:rPr>
        <w:t>s</w:t>
      </w:r>
      <w:r w:rsidR="00074638" w:rsidRPr="00276A5B">
        <w:rPr>
          <w:rFonts w:ascii="Arial" w:hAnsi="Arial" w:cs="Arial"/>
          <w:color w:val="000000" w:themeColor="text1"/>
        </w:rPr>
        <w:t xml:space="preserve"> an application under the </w:t>
      </w:r>
      <w:r w:rsidR="000D6715" w:rsidRPr="00276A5B">
        <w:rPr>
          <w:rFonts w:ascii="Arial" w:hAnsi="Arial" w:cs="Arial"/>
          <w:color w:val="000000" w:themeColor="text1"/>
        </w:rPr>
        <w:t>statutory procedure</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S</w:t>
      </w:r>
      <w:r w:rsidR="00074638" w:rsidRPr="00276A5B">
        <w:rPr>
          <w:rFonts w:ascii="Arial" w:hAnsi="Arial" w:cs="Arial"/>
          <w:color w:val="000000" w:themeColor="text1"/>
        </w:rPr>
        <w:t>pecify the ch</w:t>
      </w:r>
      <w:r w:rsidR="000D6715" w:rsidRPr="00276A5B">
        <w:rPr>
          <w:rFonts w:ascii="Arial" w:hAnsi="Arial" w:cs="Arial"/>
          <w:color w:val="000000" w:themeColor="text1"/>
        </w:rPr>
        <w:t>ange to contract</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Effective date of change</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Explanation for request</w:t>
      </w:r>
      <w:r w:rsidR="00F62811">
        <w:rPr>
          <w:rFonts w:ascii="Arial" w:hAnsi="Arial" w:cs="Arial"/>
          <w:color w:val="000000" w:themeColor="text1"/>
        </w:rPr>
        <w:t>; I</w:t>
      </w:r>
      <w:r w:rsidR="00BF1354" w:rsidRPr="00276A5B">
        <w:rPr>
          <w:rFonts w:ascii="Arial" w:hAnsi="Arial" w:cs="Arial"/>
          <w:color w:val="000000" w:themeColor="text1"/>
        </w:rPr>
        <w:t>mpact of such request</w:t>
      </w:r>
      <w:r w:rsidR="00F62811">
        <w:rPr>
          <w:rFonts w:ascii="Arial" w:hAnsi="Arial" w:cs="Arial"/>
          <w:color w:val="000000" w:themeColor="text1"/>
        </w:rPr>
        <w:t xml:space="preserve"> on employee</w:t>
      </w:r>
      <w:r w:rsidR="00BF1354" w:rsidRPr="00276A5B">
        <w:rPr>
          <w:rFonts w:ascii="Arial" w:hAnsi="Arial" w:cs="Arial"/>
          <w:color w:val="000000" w:themeColor="text1"/>
        </w:rPr>
        <w:t>;</w:t>
      </w:r>
      <w:r w:rsidR="00F2477A">
        <w:rPr>
          <w:rFonts w:ascii="Arial" w:hAnsi="Arial" w:cs="Arial"/>
          <w:color w:val="000000" w:themeColor="text1"/>
        </w:rPr>
        <w:t xml:space="preserve"> </w:t>
      </w:r>
      <w:r w:rsidR="00F62811">
        <w:rPr>
          <w:rFonts w:ascii="Arial" w:hAnsi="Arial" w:cs="Arial"/>
          <w:color w:val="000000" w:themeColor="text1"/>
        </w:rPr>
        <w:t>P</w:t>
      </w:r>
      <w:r w:rsidR="000D6715" w:rsidRPr="00276A5B">
        <w:rPr>
          <w:rFonts w:ascii="Arial" w:hAnsi="Arial" w:cs="Arial"/>
          <w:color w:val="000000" w:themeColor="text1"/>
        </w:rPr>
        <w:t>ersonal assessment of the beliefs</w:t>
      </w:r>
      <w:r w:rsidRPr="00276A5B">
        <w:rPr>
          <w:rFonts w:ascii="Arial" w:hAnsi="Arial" w:cs="Arial"/>
          <w:color w:val="000000" w:themeColor="text1"/>
        </w:rPr>
        <w:t xml:space="preserve"> such request will not </w:t>
      </w:r>
      <w:r w:rsidR="000D6715" w:rsidRPr="00276A5B">
        <w:rPr>
          <w:rFonts w:ascii="Arial" w:hAnsi="Arial" w:cs="Arial"/>
          <w:color w:val="000000" w:themeColor="text1"/>
        </w:rPr>
        <w:t>cause an impact on the company</w:t>
      </w:r>
      <w:r w:rsidR="00BF1354" w:rsidRPr="00276A5B">
        <w:rPr>
          <w:rFonts w:ascii="Arial" w:hAnsi="Arial" w:cs="Arial"/>
          <w:color w:val="000000" w:themeColor="text1"/>
        </w:rPr>
        <w:t>;</w:t>
      </w:r>
      <w:r w:rsidR="00F2477A">
        <w:rPr>
          <w:rFonts w:ascii="Arial" w:hAnsi="Arial" w:cs="Arial"/>
          <w:color w:val="000000" w:themeColor="text1"/>
        </w:rPr>
        <w:t xml:space="preserve"> </w:t>
      </w:r>
      <w:r w:rsidR="001B1864" w:rsidRPr="00276A5B">
        <w:rPr>
          <w:rFonts w:ascii="Arial" w:hAnsi="Arial" w:cs="Arial"/>
          <w:color w:val="000000" w:themeColor="text1"/>
        </w:rPr>
        <w:t xml:space="preserve">Once </w:t>
      </w:r>
      <w:r w:rsidR="00F62811">
        <w:rPr>
          <w:rFonts w:ascii="Arial" w:hAnsi="Arial" w:cs="Arial"/>
          <w:color w:val="000000" w:themeColor="text1"/>
        </w:rPr>
        <w:t>the formal request is received</w:t>
      </w:r>
      <w:r w:rsidR="003E2BD4" w:rsidRPr="00276A5B">
        <w:rPr>
          <w:rFonts w:ascii="Arial" w:hAnsi="Arial" w:cs="Arial"/>
          <w:color w:val="000000" w:themeColor="text1"/>
        </w:rPr>
        <w:t xml:space="preserve">, </w:t>
      </w:r>
      <w:r w:rsidR="00F62811" w:rsidRPr="00276A5B">
        <w:rPr>
          <w:rFonts w:ascii="Arial" w:hAnsi="Arial" w:cs="Arial"/>
          <w:color w:val="000000" w:themeColor="text1"/>
        </w:rPr>
        <w:t>the request should be dealt with reasonable manner and a meeting should be arranged within three months from date of formal request.</w:t>
      </w:r>
      <w:r w:rsidR="00400B1E" w:rsidRPr="00276A5B">
        <w:rPr>
          <w:rFonts w:ascii="Arial" w:hAnsi="Arial" w:cs="Arial"/>
          <w:color w:val="000000" w:themeColor="text1"/>
        </w:rPr>
        <w:t xml:space="preserve"> </w:t>
      </w:r>
      <w:r w:rsidR="00F62811" w:rsidRPr="00276A5B">
        <w:rPr>
          <w:rFonts w:ascii="Arial" w:hAnsi="Arial" w:cs="Arial"/>
          <w:color w:val="000000" w:themeColor="text1"/>
        </w:rPr>
        <w:t xml:space="preserve">The employee is entitled to be accompanied during the meeting. </w:t>
      </w:r>
      <w:r w:rsidR="00400B1E" w:rsidRPr="00276A5B">
        <w:rPr>
          <w:rFonts w:ascii="Arial" w:hAnsi="Arial" w:cs="Arial"/>
          <w:color w:val="000000" w:themeColor="text1"/>
        </w:rPr>
        <w:t xml:space="preserve">However, </w:t>
      </w:r>
      <w:r w:rsidR="00F62811" w:rsidRPr="00276A5B">
        <w:rPr>
          <w:rFonts w:ascii="Arial" w:hAnsi="Arial" w:cs="Arial"/>
          <w:color w:val="000000" w:themeColor="text1"/>
        </w:rPr>
        <w:t xml:space="preserve">a meeting does not need to take place if the request is authorised. </w:t>
      </w:r>
      <w:r w:rsidR="000D6715" w:rsidRPr="00276A5B">
        <w:rPr>
          <w:rFonts w:ascii="Arial" w:hAnsi="Arial" w:cs="Arial"/>
          <w:color w:val="000000" w:themeColor="text1"/>
        </w:rPr>
        <w:t>T</w:t>
      </w:r>
      <w:r w:rsidR="003E2BD4" w:rsidRPr="00276A5B">
        <w:rPr>
          <w:rFonts w:ascii="Arial" w:hAnsi="Arial" w:cs="Arial"/>
          <w:color w:val="000000" w:themeColor="text1"/>
        </w:rPr>
        <w:t xml:space="preserve">he form will set the scene </w:t>
      </w:r>
      <w:r w:rsidR="00290FFF">
        <w:rPr>
          <w:rFonts w:ascii="Arial" w:hAnsi="Arial" w:cs="Arial"/>
          <w:color w:val="000000" w:themeColor="text1"/>
        </w:rPr>
        <w:t xml:space="preserve">of the meeting where the employees needs will be </w:t>
      </w:r>
      <w:r w:rsidR="000D6715" w:rsidRPr="00276A5B">
        <w:rPr>
          <w:rFonts w:ascii="Arial" w:hAnsi="Arial" w:cs="Arial"/>
          <w:color w:val="000000" w:themeColor="text1"/>
        </w:rPr>
        <w:t>balance</w:t>
      </w:r>
      <w:r w:rsidR="00290FFF">
        <w:rPr>
          <w:rFonts w:ascii="Arial" w:hAnsi="Arial" w:cs="Arial"/>
          <w:color w:val="000000" w:themeColor="text1"/>
        </w:rPr>
        <w:t>d</w:t>
      </w:r>
      <w:r w:rsidR="000D6715" w:rsidRPr="00276A5B">
        <w:rPr>
          <w:rFonts w:ascii="Arial" w:hAnsi="Arial" w:cs="Arial"/>
          <w:color w:val="000000" w:themeColor="text1"/>
        </w:rPr>
        <w:t xml:space="preserve"> </w:t>
      </w:r>
      <w:r w:rsidR="00400B1E" w:rsidRPr="00276A5B">
        <w:rPr>
          <w:rFonts w:ascii="Arial" w:hAnsi="Arial" w:cs="Arial"/>
          <w:color w:val="000000" w:themeColor="text1"/>
        </w:rPr>
        <w:t>against</w:t>
      </w:r>
      <w:r w:rsidR="001B1864" w:rsidRPr="00276A5B">
        <w:rPr>
          <w:rFonts w:ascii="Arial" w:hAnsi="Arial" w:cs="Arial"/>
          <w:color w:val="000000" w:themeColor="text1"/>
        </w:rPr>
        <w:t xml:space="preserve"> </w:t>
      </w:r>
      <w:r w:rsidR="003E2BD4" w:rsidRPr="00276A5B">
        <w:rPr>
          <w:rFonts w:ascii="Arial" w:hAnsi="Arial" w:cs="Arial"/>
          <w:color w:val="000000" w:themeColor="text1"/>
        </w:rPr>
        <w:t xml:space="preserve">the </w:t>
      </w:r>
      <w:r w:rsidR="000D6715" w:rsidRPr="00276A5B">
        <w:rPr>
          <w:rFonts w:ascii="Arial" w:hAnsi="Arial" w:cs="Arial"/>
          <w:color w:val="000000" w:themeColor="text1"/>
        </w:rPr>
        <w:t>business requirements</w:t>
      </w:r>
      <w:r w:rsidR="00400B1E" w:rsidRPr="00276A5B">
        <w:rPr>
          <w:rFonts w:ascii="Arial" w:hAnsi="Arial" w:cs="Arial"/>
          <w:color w:val="000000" w:themeColor="text1"/>
        </w:rPr>
        <w:t>.</w:t>
      </w:r>
      <w:r w:rsidR="00DD7FEA" w:rsidRPr="00276A5B">
        <w:rPr>
          <w:rFonts w:ascii="Arial" w:hAnsi="Arial" w:cs="Arial"/>
          <w:color w:val="000000" w:themeColor="text1"/>
        </w:rPr>
        <w:t xml:space="preserve"> </w:t>
      </w:r>
    </w:p>
    <w:p w14:paraId="04E36418" w14:textId="77777777" w:rsidR="00F2477A" w:rsidRPr="00276A5B" w:rsidRDefault="00F2477A" w:rsidP="00F2477A">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A request may be refused on one or more of the following grounds:</w:t>
      </w:r>
    </w:p>
    <w:p w14:paraId="2283A9F0"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The burden of additional costs;</w:t>
      </w:r>
    </w:p>
    <w:p w14:paraId="301B1F06"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effect on ability to meet customer demand;</w:t>
      </w:r>
    </w:p>
    <w:p w14:paraId="1B8203EC"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Inability to reorganise work among existing staff;</w:t>
      </w:r>
    </w:p>
    <w:p w14:paraId="65DD26EF"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Inability to recruit additional staff;</w:t>
      </w:r>
    </w:p>
    <w:p w14:paraId="702B937C"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impact on quality;</w:t>
      </w:r>
    </w:p>
    <w:p w14:paraId="52C5F521"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impact on performance.</w:t>
      </w:r>
    </w:p>
    <w:p w14:paraId="0F59E136"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Insufficiency of work during the periods the employee proposes to work; or</w:t>
      </w:r>
    </w:p>
    <w:p w14:paraId="06218F84"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lastRenderedPageBreak/>
        <w:t>Planned structural changes.</w:t>
      </w:r>
    </w:p>
    <w:p w14:paraId="4B971B04" w14:textId="05CE4B32" w:rsidR="00BF1354" w:rsidRPr="00276A5B" w:rsidRDefault="00C67589"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Based on the email provided t</w:t>
      </w:r>
      <w:r w:rsidR="001B1864" w:rsidRPr="00276A5B">
        <w:rPr>
          <w:rFonts w:ascii="Arial" w:hAnsi="Arial" w:cs="Arial"/>
          <w:color w:val="000000" w:themeColor="text1"/>
        </w:rPr>
        <w:t>here are two grounds to consider</w:t>
      </w:r>
      <w:r w:rsidR="000D6715" w:rsidRPr="00276A5B">
        <w:rPr>
          <w:rFonts w:ascii="Arial" w:hAnsi="Arial" w:cs="Arial"/>
          <w:color w:val="000000" w:themeColor="text1"/>
        </w:rPr>
        <w:t>; r</w:t>
      </w:r>
      <w:r w:rsidR="001B1864" w:rsidRPr="00276A5B">
        <w:rPr>
          <w:rFonts w:ascii="Arial" w:hAnsi="Arial" w:cs="Arial"/>
          <w:color w:val="000000" w:themeColor="text1"/>
        </w:rPr>
        <w:t>eque</w:t>
      </w:r>
      <w:r w:rsidR="00400B1E" w:rsidRPr="00276A5B">
        <w:rPr>
          <w:rFonts w:ascii="Arial" w:hAnsi="Arial" w:cs="Arial"/>
          <w:color w:val="000000" w:themeColor="text1"/>
        </w:rPr>
        <w:t xml:space="preserve">st for working from home and </w:t>
      </w:r>
      <w:r w:rsidR="001B1864" w:rsidRPr="00276A5B">
        <w:rPr>
          <w:rFonts w:ascii="Arial" w:hAnsi="Arial" w:cs="Arial"/>
          <w:color w:val="000000" w:themeColor="text1"/>
        </w:rPr>
        <w:t xml:space="preserve">change of hours. </w:t>
      </w:r>
      <w:r w:rsidR="000D6715" w:rsidRPr="00276A5B">
        <w:rPr>
          <w:rFonts w:ascii="Arial" w:hAnsi="Arial" w:cs="Arial"/>
          <w:color w:val="000000" w:themeColor="text1"/>
        </w:rPr>
        <w:t xml:space="preserve">You explained </w:t>
      </w:r>
      <w:r w:rsidR="003E2BD4" w:rsidRPr="00276A5B">
        <w:rPr>
          <w:rFonts w:ascii="Arial" w:hAnsi="Arial" w:cs="Arial"/>
          <w:color w:val="000000" w:themeColor="text1"/>
        </w:rPr>
        <w:t xml:space="preserve">the working from home element (Monday and Friday) is not </w:t>
      </w:r>
      <w:r w:rsidR="00400B1E" w:rsidRPr="00276A5B">
        <w:rPr>
          <w:rFonts w:ascii="Arial" w:hAnsi="Arial" w:cs="Arial"/>
          <w:color w:val="000000" w:themeColor="text1"/>
        </w:rPr>
        <w:t>suitable based on the grounds</w:t>
      </w:r>
      <w:r w:rsidR="000E3EC9" w:rsidRPr="00276A5B">
        <w:rPr>
          <w:rFonts w:ascii="Arial" w:hAnsi="Arial" w:cs="Arial"/>
          <w:color w:val="000000" w:themeColor="text1"/>
        </w:rPr>
        <w:t xml:space="preserve"> J</w:t>
      </w:r>
      <w:r w:rsidR="003E2BD4" w:rsidRPr="00276A5B">
        <w:rPr>
          <w:rFonts w:ascii="Arial" w:hAnsi="Arial" w:cs="Arial"/>
          <w:color w:val="000000" w:themeColor="text1"/>
        </w:rPr>
        <w:t xml:space="preserve">ulie needs to interact with the rest of the team in order for her to complete her role. </w:t>
      </w:r>
      <w:r w:rsidR="001B1864" w:rsidRPr="00276A5B">
        <w:rPr>
          <w:rFonts w:ascii="Arial" w:hAnsi="Arial" w:cs="Arial"/>
          <w:color w:val="000000" w:themeColor="text1"/>
        </w:rPr>
        <w:t xml:space="preserve">However, </w:t>
      </w:r>
      <w:r w:rsidR="00F2477A">
        <w:rPr>
          <w:rFonts w:ascii="Arial" w:hAnsi="Arial" w:cs="Arial"/>
          <w:color w:val="000000" w:themeColor="text1"/>
        </w:rPr>
        <w:t>you must provide</w:t>
      </w:r>
      <w:r w:rsidR="00A533D6" w:rsidRPr="00276A5B">
        <w:rPr>
          <w:rFonts w:ascii="Arial" w:hAnsi="Arial" w:cs="Arial"/>
          <w:color w:val="000000" w:themeColor="text1"/>
        </w:rPr>
        <w:t xml:space="preserve"> a</w:t>
      </w:r>
      <w:r w:rsidR="000E3EC9" w:rsidRPr="00276A5B">
        <w:rPr>
          <w:rFonts w:ascii="Arial" w:hAnsi="Arial" w:cs="Arial"/>
          <w:color w:val="000000" w:themeColor="text1"/>
        </w:rPr>
        <w:t xml:space="preserve"> </w:t>
      </w:r>
      <w:r w:rsidR="003E2BD4" w:rsidRPr="00276A5B">
        <w:rPr>
          <w:rFonts w:ascii="Arial" w:hAnsi="Arial" w:cs="Arial"/>
          <w:color w:val="000000" w:themeColor="text1"/>
        </w:rPr>
        <w:t xml:space="preserve">legitimate business reason </w:t>
      </w:r>
      <w:r w:rsidR="00F2477A">
        <w:rPr>
          <w:rFonts w:ascii="Arial" w:hAnsi="Arial" w:cs="Arial"/>
          <w:color w:val="000000" w:themeColor="text1"/>
        </w:rPr>
        <w:t xml:space="preserve">to declining this request against ACAS guidance </w:t>
      </w:r>
      <w:r w:rsidR="00F62811">
        <w:rPr>
          <w:rFonts w:ascii="Arial" w:hAnsi="Arial" w:cs="Arial"/>
          <w:color w:val="000000" w:themeColor="text1"/>
        </w:rPr>
        <w:t xml:space="preserve">bulletpointed </w:t>
      </w:r>
      <w:r w:rsidR="00F2477A">
        <w:rPr>
          <w:rFonts w:ascii="Arial" w:hAnsi="Arial" w:cs="Arial"/>
          <w:color w:val="000000" w:themeColor="text1"/>
        </w:rPr>
        <w:t xml:space="preserve">above. I make reference to </w:t>
      </w:r>
      <w:r w:rsidR="000E3EC9" w:rsidRPr="00276A5B">
        <w:rPr>
          <w:rFonts w:ascii="Arial" w:hAnsi="Arial" w:cs="Arial"/>
          <w:color w:val="000000" w:themeColor="text1"/>
        </w:rPr>
        <w:t xml:space="preserve">ACAS Guide </w:t>
      </w:r>
      <w:r w:rsidR="00F2477A">
        <w:rPr>
          <w:rFonts w:ascii="Arial" w:hAnsi="Arial" w:cs="Arial"/>
          <w:color w:val="000000" w:themeColor="text1"/>
        </w:rPr>
        <w:t xml:space="preserve">that </w:t>
      </w:r>
      <w:r w:rsidR="000E3EC9" w:rsidRPr="00276A5B">
        <w:rPr>
          <w:rFonts w:ascii="Arial" w:hAnsi="Arial" w:cs="Arial"/>
          <w:color w:val="000000" w:themeColor="text1"/>
        </w:rPr>
        <w:t>suggests a trial period would be suitable rather than rejecting request.</w:t>
      </w:r>
      <w:r w:rsidR="00BF1354" w:rsidRPr="00276A5B">
        <w:rPr>
          <w:rFonts w:ascii="Arial" w:hAnsi="Arial" w:cs="Arial"/>
          <w:color w:val="000000" w:themeColor="text1"/>
        </w:rPr>
        <w:t xml:space="preserve"> </w:t>
      </w:r>
    </w:p>
    <w:p w14:paraId="43FD7FD6" w14:textId="05B7CF67" w:rsidR="00DD7FEA" w:rsidRPr="00276A5B" w:rsidRDefault="00F62811"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The</w:t>
      </w:r>
      <w:r w:rsidR="003E2BD4" w:rsidRPr="00276A5B">
        <w:rPr>
          <w:rFonts w:ascii="Arial" w:hAnsi="Arial" w:cs="Arial"/>
          <w:color w:val="000000" w:themeColor="text1"/>
        </w:rPr>
        <w:t xml:space="preserve"> change</w:t>
      </w:r>
      <w:r w:rsidR="000E3EC9" w:rsidRPr="00276A5B">
        <w:rPr>
          <w:rFonts w:ascii="Arial" w:hAnsi="Arial" w:cs="Arial"/>
          <w:color w:val="000000" w:themeColor="text1"/>
        </w:rPr>
        <w:t xml:space="preserve"> in</w:t>
      </w:r>
      <w:r w:rsidR="003E2BD4" w:rsidRPr="00276A5B">
        <w:rPr>
          <w:rFonts w:ascii="Arial" w:hAnsi="Arial" w:cs="Arial"/>
          <w:color w:val="000000" w:themeColor="text1"/>
        </w:rPr>
        <w:t xml:space="preserve"> </w:t>
      </w:r>
      <w:r w:rsidR="00FA1220" w:rsidRPr="00276A5B">
        <w:rPr>
          <w:rFonts w:ascii="Arial" w:hAnsi="Arial" w:cs="Arial"/>
          <w:color w:val="000000" w:themeColor="text1"/>
        </w:rPr>
        <w:t>hours</w:t>
      </w:r>
      <w:r w:rsidR="00F2477A">
        <w:rPr>
          <w:rFonts w:ascii="Arial" w:hAnsi="Arial" w:cs="Arial"/>
          <w:color w:val="000000" w:themeColor="text1"/>
        </w:rPr>
        <w:t xml:space="preserve"> </w:t>
      </w:r>
      <w:r w:rsidR="003E2BD4" w:rsidRPr="00276A5B">
        <w:rPr>
          <w:rFonts w:ascii="Arial" w:hAnsi="Arial" w:cs="Arial"/>
          <w:color w:val="000000" w:themeColor="text1"/>
        </w:rPr>
        <w:t>to 08:00am</w:t>
      </w:r>
      <w:r>
        <w:rPr>
          <w:rFonts w:ascii="Arial" w:hAnsi="Arial" w:cs="Arial"/>
          <w:color w:val="000000" w:themeColor="text1"/>
        </w:rPr>
        <w:t>-</w:t>
      </w:r>
      <w:r w:rsidR="003E2BD4" w:rsidRPr="00276A5B">
        <w:rPr>
          <w:rFonts w:ascii="Arial" w:hAnsi="Arial" w:cs="Arial"/>
          <w:color w:val="000000" w:themeColor="text1"/>
        </w:rPr>
        <w:t>15:00pm</w:t>
      </w:r>
      <w:r w:rsidR="00C67589">
        <w:rPr>
          <w:rFonts w:ascii="Arial" w:hAnsi="Arial" w:cs="Arial"/>
          <w:color w:val="000000" w:themeColor="text1"/>
        </w:rPr>
        <w:t xml:space="preserve"> without a lunchbreak,</w:t>
      </w:r>
      <w:r w:rsidR="000E3EC9" w:rsidRPr="00276A5B">
        <w:rPr>
          <w:rFonts w:ascii="Arial" w:hAnsi="Arial" w:cs="Arial"/>
          <w:color w:val="000000" w:themeColor="text1"/>
        </w:rPr>
        <w:t xml:space="preserve"> </w:t>
      </w:r>
      <w:r w:rsidR="003E2BD4" w:rsidRPr="00276A5B">
        <w:rPr>
          <w:rFonts w:ascii="Arial" w:hAnsi="Arial" w:cs="Arial"/>
          <w:color w:val="000000" w:themeColor="text1"/>
        </w:rPr>
        <w:t xml:space="preserve">you </w:t>
      </w:r>
      <w:r w:rsidR="000E3EC9" w:rsidRPr="00276A5B">
        <w:rPr>
          <w:rFonts w:ascii="Arial" w:hAnsi="Arial" w:cs="Arial"/>
          <w:color w:val="000000" w:themeColor="text1"/>
        </w:rPr>
        <w:t xml:space="preserve">note </w:t>
      </w:r>
      <w:r w:rsidR="003E2BD4" w:rsidRPr="00276A5B">
        <w:rPr>
          <w:rFonts w:ascii="Arial" w:hAnsi="Arial" w:cs="Arial"/>
          <w:color w:val="000000" w:themeColor="text1"/>
        </w:rPr>
        <w:t xml:space="preserve">there </w:t>
      </w:r>
      <w:r w:rsidR="000E3EC9" w:rsidRPr="00276A5B">
        <w:rPr>
          <w:rFonts w:ascii="Arial" w:hAnsi="Arial" w:cs="Arial"/>
          <w:color w:val="000000" w:themeColor="text1"/>
        </w:rPr>
        <w:t>is no</w:t>
      </w:r>
      <w:r w:rsidR="003E2BD4" w:rsidRPr="00276A5B">
        <w:rPr>
          <w:rFonts w:ascii="Arial" w:hAnsi="Arial" w:cs="Arial"/>
          <w:color w:val="000000" w:themeColor="text1"/>
        </w:rPr>
        <w:t xml:space="preserve"> cover after 15:00pm</w:t>
      </w:r>
      <w:r w:rsidR="000E3EC9" w:rsidRPr="00276A5B">
        <w:rPr>
          <w:rFonts w:ascii="Arial" w:hAnsi="Arial" w:cs="Arial"/>
          <w:color w:val="000000" w:themeColor="text1"/>
        </w:rPr>
        <w:t xml:space="preserve"> and this could </w:t>
      </w:r>
      <w:r w:rsidR="003D2080">
        <w:rPr>
          <w:rFonts w:ascii="Arial" w:hAnsi="Arial" w:cs="Arial"/>
          <w:color w:val="000000" w:themeColor="text1"/>
        </w:rPr>
        <w:t>be suitable</w:t>
      </w:r>
      <w:r w:rsidR="000E3EC9" w:rsidRPr="00276A5B">
        <w:rPr>
          <w:rFonts w:ascii="Arial" w:hAnsi="Arial" w:cs="Arial"/>
          <w:color w:val="000000" w:themeColor="text1"/>
        </w:rPr>
        <w:t xml:space="preserve"> grounds for denying the </w:t>
      </w:r>
      <w:r w:rsidR="00FA1220" w:rsidRPr="00276A5B">
        <w:rPr>
          <w:rFonts w:ascii="Arial" w:hAnsi="Arial" w:cs="Arial"/>
          <w:color w:val="000000" w:themeColor="text1"/>
        </w:rPr>
        <w:t xml:space="preserve">request </w:t>
      </w:r>
      <w:r w:rsidR="003D2080">
        <w:rPr>
          <w:rFonts w:ascii="Arial" w:hAnsi="Arial" w:cs="Arial"/>
          <w:color w:val="000000" w:themeColor="text1"/>
        </w:rPr>
        <w:t xml:space="preserve">including the </w:t>
      </w:r>
      <w:r w:rsidR="00FA1220" w:rsidRPr="00276A5B">
        <w:rPr>
          <w:rFonts w:ascii="Arial" w:hAnsi="Arial" w:cs="Arial"/>
          <w:color w:val="000000" w:themeColor="text1"/>
        </w:rPr>
        <w:t>ina</w:t>
      </w:r>
      <w:r w:rsidR="000E3EC9" w:rsidRPr="00276A5B">
        <w:rPr>
          <w:rFonts w:ascii="Arial" w:hAnsi="Arial" w:cs="Arial"/>
          <w:color w:val="000000" w:themeColor="text1"/>
        </w:rPr>
        <w:t>bility to recruit extra staff, and</w:t>
      </w:r>
      <w:r w:rsidR="00FA1220" w:rsidRPr="00276A5B">
        <w:rPr>
          <w:rFonts w:ascii="Arial" w:hAnsi="Arial" w:cs="Arial"/>
          <w:color w:val="000000" w:themeColor="text1"/>
        </w:rPr>
        <w:t xml:space="preserve"> distribute the workload to existing staff </w:t>
      </w:r>
      <w:r w:rsidR="000E3EC9" w:rsidRPr="00276A5B">
        <w:rPr>
          <w:rFonts w:ascii="Arial" w:hAnsi="Arial" w:cs="Arial"/>
          <w:color w:val="000000" w:themeColor="text1"/>
        </w:rPr>
        <w:t>is not effective</w:t>
      </w:r>
      <w:r w:rsidR="00F2477A">
        <w:rPr>
          <w:rFonts w:ascii="Arial" w:hAnsi="Arial" w:cs="Arial"/>
          <w:color w:val="000000" w:themeColor="text1"/>
        </w:rPr>
        <w:t xml:space="preserve"> and additional cost</w:t>
      </w:r>
      <w:r w:rsidR="00B62DE2">
        <w:rPr>
          <w:rFonts w:ascii="Arial" w:hAnsi="Arial" w:cs="Arial"/>
          <w:color w:val="000000" w:themeColor="text1"/>
        </w:rPr>
        <w:t>.</w:t>
      </w:r>
      <w:r w:rsidR="000E3EC9" w:rsidRPr="00276A5B">
        <w:rPr>
          <w:rFonts w:ascii="Arial" w:hAnsi="Arial" w:cs="Arial"/>
          <w:color w:val="000000" w:themeColor="text1"/>
        </w:rPr>
        <w:t xml:space="preserve"> Concerns</w:t>
      </w:r>
      <w:r w:rsidR="00FA1220" w:rsidRPr="00276A5B">
        <w:rPr>
          <w:rFonts w:ascii="Arial" w:hAnsi="Arial" w:cs="Arial"/>
          <w:color w:val="000000" w:themeColor="text1"/>
        </w:rPr>
        <w:t xml:space="preserve"> with </w:t>
      </w:r>
      <w:r w:rsidR="00C824D4">
        <w:rPr>
          <w:rFonts w:ascii="Arial" w:hAnsi="Arial" w:cs="Arial"/>
          <w:color w:val="000000" w:themeColor="text1"/>
        </w:rPr>
        <w:t>W</w:t>
      </w:r>
      <w:r w:rsidR="000E3EC9" w:rsidRPr="00276A5B">
        <w:rPr>
          <w:rFonts w:ascii="Arial" w:hAnsi="Arial" w:cs="Arial"/>
          <w:color w:val="000000" w:themeColor="text1"/>
        </w:rPr>
        <w:t xml:space="preserve">orking </w:t>
      </w:r>
      <w:r w:rsidR="00C824D4">
        <w:rPr>
          <w:rFonts w:ascii="Arial" w:hAnsi="Arial" w:cs="Arial"/>
          <w:color w:val="000000" w:themeColor="text1"/>
        </w:rPr>
        <w:t>T</w:t>
      </w:r>
      <w:r w:rsidR="000E3EC9" w:rsidRPr="00276A5B">
        <w:rPr>
          <w:rFonts w:ascii="Arial" w:hAnsi="Arial" w:cs="Arial"/>
          <w:color w:val="000000" w:themeColor="text1"/>
        </w:rPr>
        <w:t xml:space="preserve">ime </w:t>
      </w:r>
      <w:r w:rsidR="00C824D4">
        <w:rPr>
          <w:rFonts w:ascii="Arial" w:hAnsi="Arial" w:cs="Arial"/>
          <w:color w:val="000000" w:themeColor="text1"/>
        </w:rPr>
        <w:t>R</w:t>
      </w:r>
      <w:r w:rsidR="000E3EC9" w:rsidRPr="00276A5B">
        <w:rPr>
          <w:rFonts w:ascii="Arial" w:hAnsi="Arial" w:cs="Arial"/>
          <w:color w:val="000000" w:themeColor="text1"/>
        </w:rPr>
        <w:t>egulations</w:t>
      </w:r>
      <w:r w:rsidR="00C824D4">
        <w:rPr>
          <w:rFonts w:ascii="Arial" w:hAnsi="Arial" w:cs="Arial"/>
          <w:color w:val="000000" w:themeColor="text1"/>
        </w:rPr>
        <w:t xml:space="preserve"> (1998)</w:t>
      </w:r>
      <w:r w:rsidR="00FA1220" w:rsidRPr="00276A5B">
        <w:rPr>
          <w:rFonts w:ascii="Arial" w:hAnsi="Arial" w:cs="Arial"/>
          <w:color w:val="000000" w:themeColor="text1"/>
        </w:rPr>
        <w:t>, if Julie is working 6 hours or more, by law they are required to take a 20 minutes lu</w:t>
      </w:r>
      <w:r w:rsidR="000E3EC9" w:rsidRPr="00276A5B">
        <w:rPr>
          <w:rFonts w:ascii="Arial" w:hAnsi="Arial" w:cs="Arial"/>
          <w:color w:val="000000" w:themeColor="text1"/>
        </w:rPr>
        <w:t>nch break.</w:t>
      </w:r>
    </w:p>
    <w:p w14:paraId="7214159E" w14:textId="2837C2C1" w:rsidR="00C824D4" w:rsidRDefault="000E3EC9"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In the meeting it may be worth </w:t>
      </w:r>
      <w:r w:rsidR="00DD7FEA" w:rsidRPr="00276A5B">
        <w:rPr>
          <w:rFonts w:ascii="Arial" w:hAnsi="Arial" w:cs="Arial"/>
          <w:color w:val="000000" w:themeColor="text1"/>
        </w:rPr>
        <w:t>uncover</w:t>
      </w:r>
      <w:r w:rsidRPr="00276A5B">
        <w:rPr>
          <w:rFonts w:ascii="Arial" w:hAnsi="Arial" w:cs="Arial"/>
          <w:color w:val="000000" w:themeColor="text1"/>
        </w:rPr>
        <w:t>ing</w:t>
      </w:r>
      <w:r w:rsidR="00DD7FEA" w:rsidRPr="00276A5B">
        <w:rPr>
          <w:rFonts w:ascii="Arial" w:hAnsi="Arial" w:cs="Arial"/>
          <w:color w:val="000000" w:themeColor="text1"/>
        </w:rPr>
        <w:t xml:space="preserve"> if Julie is a single parent and whether her mother is disabled</w:t>
      </w:r>
      <w:r w:rsidR="001B1864" w:rsidRPr="00276A5B">
        <w:rPr>
          <w:rFonts w:ascii="Arial" w:hAnsi="Arial" w:cs="Arial"/>
          <w:color w:val="000000" w:themeColor="text1"/>
        </w:rPr>
        <w:t xml:space="preserve"> due to </w:t>
      </w:r>
      <w:r w:rsidR="00B62DE2">
        <w:rPr>
          <w:rFonts w:ascii="Arial" w:hAnsi="Arial" w:cs="Arial"/>
          <w:color w:val="000000" w:themeColor="text1"/>
        </w:rPr>
        <w:t xml:space="preserve">as you note </w:t>
      </w:r>
      <w:r w:rsidR="001B1864" w:rsidRPr="00276A5B">
        <w:rPr>
          <w:rFonts w:ascii="Arial" w:hAnsi="Arial" w:cs="Arial"/>
          <w:color w:val="000000" w:themeColor="text1"/>
        </w:rPr>
        <w:t>her mother shielding</w:t>
      </w:r>
      <w:r w:rsidR="00DD7FEA" w:rsidRPr="00276A5B">
        <w:rPr>
          <w:rFonts w:ascii="Arial" w:hAnsi="Arial" w:cs="Arial"/>
          <w:color w:val="000000" w:themeColor="text1"/>
        </w:rPr>
        <w:t xml:space="preserve">. </w:t>
      </w:r>
      <w:r w:rsidR="00B62DE2">
        <w:rPr>
          <w:rFonts w:ascii="Arial" w:hAnsi="Arial" w:cs="Arial"/>
          <w:color w:val="000000" w:themeColor="text1"/>
        </w:rPr>
        <w:t>Subsequently</w:t>
      </w:r>
      <w:r w:rsidR="00DD7FEA" w:rsidRPr="00276A5B">
        <w:rPr>
          <w:rFonts w:ascii="Arial" w:hAnsi="Arial" w:cs="Arial"/>
          <w:color w:val="000000" w:themeColor="text1"/>
        </w:rPr>
        <w:t xml:space="preserve">, we do not want </w:t>
      </w:r>
      <w:r w:rsidR="00C824D4">
        <w:rPr>
          <w:rFonts w:ascii="Arial" w:hAnsi="Arial" w:cs="Arial"/>
          <w:color w:val="000000" w:themeColor="text1"/>
        </w:rPr>
        <w:t>a</w:t>
      </w:r>
      <w:r w:rsidR="00DD7FEA" w:rsidRPr="00276A5B">
        <w:rPr>
          <w:rFonts w:ascii="Arial" w:hAnsi="Arial" w:cs="Arial"/>
          <w:color w:val="000000" w:themeColor="text1"/>
        </w:rPr>
        <w:t xml:space="preserve"> claim </w:t>
      </w:r>
      <w:r w:rsidR="00C824D4">
        <w:rPr>
          <w:rFonts w:ascii="Arial" w:hAnsi="Arial" w:cs="Arial"/>
          <w:color w:val="000000" w:themeColor="text1"/>
        </w:rPr>
        <w:t xml:space="preserve">for </w:t>
      </w:r>
      <w:r w:rsidR="00DD7FEA" w:rsidRPr="00276A5B">
        <w:rPr>
          <w:rFonts w:ascii="Arial" w:hAnsi="Arial" w:cs="Arial"/>
          <w:color w:val="000000" w:themeColor="text1"/>
        </w:rPr>
        <w:t>association by discrimination</w:t>
      </w:r>
      <w:r w:rsidR="00C824D4">
        <w:rPr>
          <w:rFonts w:ascii="Arial" w:hAnsi="Arial" w:cs="Arial"/>
          <w:color w:val="000000" w:themeColor="text1"/>
        </w:rPr>
        <w:t xml:space="preserve"> under The Equality Act 2010</w:t>
      </w:r>
      <w:r w:rsidR="00DD7FEA" w:rsidRPr="00276A5B">
        <w:rPr>
          <w:rFonts w:ascii="Arial" w:hAnsi="Arial" w:cs="Arial"/>
          <w:color w:val="000000" w:themeColor="text1"/>
        </w:rPr>
        <w:t xml:space="preserve">, especially if Covid-19 is a mitigating factor linked to her mother and the flexible working request. </w:t>
      </w:r>
      <w:r w:rsidR="00B62DE2">
        <w:rPr>
          <w:rFonts w:ascii="Arial" w:hAnsi="Arial" w:cs="Arial"/>
          <w:color w:val="000000" w:themeColor="text1"/>
        </w:rPr>
        <w:t>In</w:t>
      </w:r>
      <w:r w:rsidR="00C824D4">
        <w:rPr>
          <w:rFonts w:ascii="Arial" w:hAnsi="Arial" w:cs="Arial"/>
          <w:color w:val="000000" w:themeColor="text1"/>
        </w:rPr>
        <w:t xml:space="preserve"> the meeting </w:t>
      </w:r>
      <w:r w:rsidR="00B62DE2">
        <w:rPr>
          <w:rFonts w:ascii="Arial" w:hAnsi="Arial" w:cs="Arial"/>
          <w:color w:val="000000" w:themeColor="text1"/>
        </w:rPr>
        <w:t>I would advise that</w:t>
      </w:r>
      <w:r w:rsidR="00C824D4">
        <w:rPr>
          <w:rFonts w:ascii="Arial" w:hAnsi="Arial" w:cs="Arial"/>
          <w:color w:val="000000" w:themeColor="text1"/>
        </w:rPr>
        <w:t xml:space="preserve"> flexible working requests last up to 12 months</w:t>
      </w:r>
      <w:r w:rsidR="00B62DE2">
        <w:rPr>
          <w:rFonts w:ascii="Arial" w:hAnsi="Arial" w:cs="Arial"/>
          <w:color w:val="000000" w:themeColor="text1"/>
        </w:rPr>
        <w:t xml:space="preserve">, and </w:t>
      </w:r>
      <w:r w:rsidR="00C824D4">
        <w:rPr>
          <w:rFonts w:ascii="Arial" w:hAnsi="Arial" w:cs="Arial"/>
          <w:color w:val="000000" w:themeColor="text1"/>
        </w:rPr>
        <w:t>only one request is permitted under the statutory scheme in a 12 month period</w:t>
      </w:r>
      <w:r w:rsidR="00C824D4">
        <w:rPr>
          <w:rStyle w:val="FootnoteReference"/>
          <w:rFonts w:ascii="Arial" w:hAnsi="Arial" w:cs="Arial"/>
          <w:color w:val="000000" w:themeColor="text1"/>
        </w:rPr>
        <w:footnoteReference w:id="59"/>
      </w:r>
      <w:r w:rsidR="00C824D4">
        <w:rPr>
          <w:rFonts w:ascii="Arial" w:hAnsi="Arial" w:cs="Arial"/>
          <w:color w:val="000000" w:themeColor="text1"/>
        </w:rPr>
        <w:t>.</w:t>
      </w:r>
    </w:p>
    <w:p w14:paraId="7A13DCE9" w14:textId="17534A21" w:rsidR="00DD7FEA" w:rsidRDefault="00C824D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Once the meeting as took place and the above have been discussed, Julie is entitled to the right of appeal under the ACASCop. </w:t>
      </w:r>
      <w:r w:rsidR="00B62DE2">
        <w:rPr>
          <w:rFonts w:ascii="Arial" w:hAnsi="Arial" w:cs="Arial"/>
          <w:color w:val="000000" w:themeColor="text1"/>
        </w:rPr>
        <w:t>If Julie does appeal</w:t>
      </w:r>
      <w:r w:rsidRPr="00276A5B">
        <w:rPr>
          <w:rFonts w:ascii="Arial" w:hAnsi="Arial" w:cs="Arial"/>
          <w:color w:val="000000" w:themeColor="text1"/>
        </w:rPr>
        <w:t xml:space="preserve">, two persons </w:t>
      </w:r>
      <w:r w:rsidR="00B62DE2">
        <w:rPr>
          <w:rFonts w:ascii="Arial" w:hAnsi="Arial" w:cs="Arial"/>
          <w:color w:val="000000" w:themeColor="text1"/>
        </w:rPr>
        <w:t xml:space="preserve">are required </w:t>
      </w:r>
      <w:r w:rsidRPr="00276A5B">
        <w:rPr>
          <w:rFonts w:ascii="Arial" w:hAnsi="Arial" w:cs="Arial"/>
          <w:color w:val="000000" w:themeColor="text1"/>
        </w:rPr>
        <w:t xml:space="preserve">to deal with the appeal, ideally </w:t>
      </w:r>
      <w:r>
        <w:rPr>
          <w:rFonts w:ascii="Arial" w:hAnsi="Arial" w:cs="Arial"/>
          <w:color w:val="000000" w:themeColor="text1"/>
        </w:rPr>
        <w:t>yourself as the MD.</w:t>
      </w:r>
      <w:r w:rsidR="00B62DE2">
        <w:rPr>
          <w:rFonts w:ascii="Arial" w:hAnsi="Arial" w:cs="Arial"/>
          <w:color w:val="000000" w:themeColor="text1"/>
        </w:rPr>
        <w:t xml:space="preserve"> </w:t>
      </w:r>
      <w:r>
        <w:rPr>
          <w:rFonts w:ascii="Arial" w:hAnsi="Arial" w:cs="Arial"/>
          <w:color w:val="000000" w:themeColor="text1"/>
        </w:rPr>
        <w:t>If an agreement of flexible working is agreed, arrangement</w:t>
      </w:r>
      <w:r w:rsidR="00B62DE2">
        <w:rPr>
          <w:rFonts w:ascii="Arial" w:hAnsi="Arial" w:cs="Arial"/>
          <w:color w:val="000000" w:themeColor="text1"/>
        </w:rPr>
        <w:t xml:space="preserve"> should be saught if these are </w:t>
      </w:r>
      <w:r>
        <w:rPr>
          <w:rFonts w:ascii="Arial" w:hAnsi="Arial" w:cs="Arial"/>
          <w:color w:val="000000" w:themeColor="text1"/>
        </w:rPr>
        <w:t>temporary or permanent arrangement</w:t>
      </w:r>
      <w:r w:rsidR="00B62DE2">
        <w:rPr>
          <w:rFonts w:ascii="Arial" w:hAnsi="Arial" w:cs="Arial"/>
          <w:color w:val="000000" w:themeColor="text1"/>
        </w:rPr>
        <w:t>s</w:t>
      </w:r>
      <w:r>
        <w:rPr>
          <w:rFonts w:ascii="Arial" w:hAnsi="Arial" w:cs="Arial"/>
          <w:color w:val="000000" w:themeColor="text1"/>
        </w:rPr>
        <w:t xml:space="preserve"> </w:t>
      </w:r>
      <w:r w:rsidR="00B62DE2">
        <w:rPr>
          <w:rFonts w:ascii="Arial" w:hAnsi="Arial" w:cs="Arial"/>
          <w:color w:val="000000" w:themeColor="text1"/>
        </w:rPr>
        <w:t>as they</w:t>
      </w:r>
      <w:r>
        <w:rPr>
          <w:rFonts w:ascii="Arial" w:hAnsi="Arial" w:cs="Arial"/>
          <w:color w:val="000000" w:themeColor="text1"/>
        </w:rPr>
        <w:t xml:space="preserve"> </w:t>
      </w:r>
      <w:r w:rsidR="00DD7FEA" w:rsidRPr="00276A5B">
        <w:rPr>
          <w:rFonts w:ascii="Arial" w:hAnsi="Arial" w:cs="Arial"/>
          <w:color w:val="000000" w:themeColor="text1"/>
        </w:rPr>
        <w:t xml:space="preserve">become legally </w:t>
      </w:r>
      <w:r w:rsidR="00B15F17" w:rsidRPr="00276A5B">
        <w:rPr>
          <w:rFonts w:ascii="Arial" w:hAnsi="Arial" w:cs="Arial"/>
          <w:color w:val="000000" w:themeColor="text1"/>
        </w:rPr>
        <w:t>binding,</w:t>
      </w:r>
      <w:r w:rsidR="00DD7FEA" w:rsidRPr="00276A5B">
        <w:rPr>
          <w:rFonts w:ascii="Arial" w:hAnsi="Arial" w:cs="Arial"/>
          <w:color w:val="000000" w:themeColor="text1"/>
        </w:rPr>
        <w:t xml:space="preserve"> and any further changes must go through the process again.</w:t>
      </w:r>
      <w:r w:rsidR="00BF1354" w:rsidRPr="00276A5B">
        <w:rPr>
          <w:rFonts w:ascii="Arial" w:hAnsi="Arial" w:cs="Arial"/>
          <w:color w:val="000000" w:themeColor="text1"/>
        </w:rPr>
        <w:t xml:space="preserve"> </w:t>
      </w:r>
      <w:r>
        <w:rPr>
          <w:rFonts w:ascii="Arial" w:hAnsi="Arial" w:cs="Arial"/>
          <w:color w:val="000000" w:themeColor="text1"/>
        </w:rPr>
        <w:t xml:space="preserve">If </w:t>
      </w:r>
      <w:r w:rsidR="00BF1354" w:rsidRPr="00276A5B">
        <w:rPr>
          <w:rFonts w:ascii="Arial" w:hAnsi="Arial" w:cs="Arial"/>
          <w:color w:val="000000" w:themeColor="text1"/>
        </w:rPr>
        <w:t>an agreement</w:t>
      </w:r>
      <w:r>
        <w:rPr>
          <w:rFonts w:ascii="Arial" w:hAnsi="Arial" w:cs="Arial"/>
          <w:color w:val="000000" w:themeColor="text1"/>
        </w:rPr>
        <w:t xml:space="preserve"> is reached</w:t>
      </w:r>
      <w:r w:rsidR="00BF1354" w:rsidRPr="00276A5B">
        <w:rPr>
          <w:rFonts w:ascii="Arial" w:hAnsi="Arial" w:cs="Arial"/>
          <w:color w:val="000000" w:themeColor="text1"/>
        </w:rPr>
        <w:t xml:space="preserve">, you are obliged to issue a </w:t>
      </w:r>
      <w:r w:rsidR="00B62DE2">
        <w:rPr>
          <w:rFonts w:ascii="Arial" w:hAnsi="Arial" w:cs="Arial"/>
          <w:color w:val="000000" w:themeColor="text1"/>
        </w:rPr>
        <w:t>S</w:t>
      </w:r>
      <w:r w:rsidR="00BF1354" w:rsidRPr="00276A5B">
        <w:rPr>
          <w:rFonts w:ascii="Arial" w:hAnsi="Arial" w:cs="Arial"/>
          <w:color w:val="000000" w:themeColor="text1"/>
        </w:rPr>
        <w:t xml:space="preserve">ection 4 statement, a written statement of the changes to the employees T&amp;C’s and considered good practice to issue a new contact, in accordance with section 1, within a month of the changes taking effect. </w:t>
      </w:r>
    </w:p>
    <w:p w14:paraId="52F4E660" w14:textId="50B2F46D"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lastRenderedPageBreak/>
        <w:t>I add that it is worth being mindful that there are likely to be changes in the Flexible Work as we now move out of Covid-19 restrictions, and other businesses are returning to a ‘new’ way of working. I emphasis to keep up to date with ACAS and CIPD recommendations on flexible working but to come back to me if you have any queries.</w:t>
      </w:r>
    </w:p>
    <w:p w14:paraId="670ED3B3" w14:textId="77777777" w:rsidR="0034070F" w:rsidRPr="00276A5B" w:rsidRDefault="0034070F" w:rsidP="00D2162C">
      <w:pPr>
        <w:pStyle w:val="NormalWeb"/>
        <w:spacing w:beforeLines="50" w:before="120" w:beforeAutospacing="0" w:afterLines="50" w:after="120" w:afterAutospacing="0" w:line="360" w:lineRule="auto"/>
        <w:rPr>
          <w:rFonts w:ascii="Arial" w:hAnsi="Arial" w:cs="Arial"/>
          <w:color w:val="000000" w:themeColor="text1"/>
        </w:rPr>
      </w:pPr>
    </w:p>
    <w:p w14:paraId="3EDC5A03"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Kind regards,</w:t>
      </w:r>
    </w:p>
    <w:p w14:paraId="2675F2B8" w14:textId="376E14BC"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Dayna James, HR </w:t>
      </w:r>
      <w:r w:rsidR="00C2544C">
        <w:rPr>
          <w:rFonts w:ascii="Arial" w:hAnsi="Arial" w:cs="Arial"/>
          <w:color w:val="000000" w:themeColor="text1"/>
        </w:rPr>
        <w:t>Advisor</w:t>
      </w:r>
    </w:p>
    <w:p w14:paraId="15ED3737" w14:textId="010FAE10" w:rsidR="00D2162C" w:rsidRDefault="00D2162C" w:rsidP="00D2162C">
      <w:pPr>
        <w:pStyle w:val="NormalWeb"/>
        <w:spacing w:beforeLines="50" w:before="120" w:beforeAutospacing="0" w:afterLines="50" w:after="120" w:afterAutospacing="0" w:line="360" w:lineRule="auto"/>
        <w:rPr>
          <w:rFonts w:ascii="Arial" w:hAnsi="Arial" w:cs="Arial"/>
          <w:color w:val="000000" w:themeColor="text1"/>
        </w:rPr>
      </w:pPr>
    </w:p>
    <w:p w14:paraId="51954C37" w14:textId="365215C7"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061A3DDA" w14:textId="499D07B9"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283E3174" w14:textId="5E56AFFD"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3EAA5A92" w14:textId="33AB97F7"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58F1BBDD" w14:textId="4656AC20"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06162B5C" w14:textId="2140A07F"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0E1EE0F5" w14:textId="10031F56" w:rsidR="003419FD" w:rsidRPr="00276A5B"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22FAAA91" w14:textId="73E88D07" w:rsidR="00BA5C2E" w:rsidRDefault="00BA5C2E" w:rsidP="00D2162C">
      <w:pPr>
        <w:pStyle w:val="NormalWeb"/>
        <w:spacing w:beforeLines="50" w:before="120" w:beforeAutospacing="0" w:afterLines="50" w:after="120" w:afterAutospacing="0" w:line="360" w:lineRule="auto"/>
        <w:rPr>
          <w:rFonts w:ascii="Arial" w:hAnsi="Arial" w:cs="Arial"/>
          <w:color w:val="000000" w:themeColor="text1"/>
        </w:rPr>
      </w:pPr>
    </w:p>
    <w:p w14:paraId="3B773F9A" w14:textId="3EB13405" w:rsidR="003A3454" w:rsidRDefault="003A3454" w:rsidP="00D2162C">
      <w:pPr>
        <w:pStyle w:val="NormalWeb"/>
        <w:spacing w:beforeLines="50" w:before="120" w:beforeAutospacing="0" w:afterLines="50" w:after="120" w:afterAutospacing="0" w:line="360" w:lineRule="auto"/>
        <w:rPr>
          <w:rFonts w:ascii="Arial" w:hAnsi="Arial" w:cs="Arial"/>
          <w:color w:val="000000" w:themeColor="text1"/>
        </w:rPr>
      </w:pPr>
    </w:p>
    <w:p w14:paraId="2F257DE2" w14:textId="267CC40C" w:rsidR="003A3454" w:rsidRDefault="003A3454" w:rsidP="00D2162C">
      <w:pPr>
        <w:pStyle w:val="NormalWeb"/>
        <w:spacing w:beforeLines="50" w:before="120" w:beforeAutospacing="0" w:afterLines="50" w:after="120" w:afterAutospacing="0" w:line="360" w:lineRule="auto"/>
        <w:rPr>
          <w:rFonts w:ascii="Arial" w:hAnsi="Arial" w:cs="Arial"/>
          <w:color w:val="000000" w:themeColor="text1"/>
        </w:rPr>
      </w:pPr>
    </w:p>
    <w:p w14:paraId="5B41566B" w14:textId="4EDF181D"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5FACF9CF" w14:textId="50C6724B" w:rsidR="003253A9" w:rsidRDefault="003253A9" w:rsidP="00D2162C">
      <w:pPr>
        <w:pStyle w:val="NormalWeb"/>
        <w:spacing w:beforeLines="50" w:before="120" w:beforeAutospacing="0" w:afterLines="50" w:after="120" w:afterAutospacing="0" w:line="360" w:lineRule="auto"/>
        <w:rPr>
          <w:rFonts w:ascii="Arial" w:hAnsi="Arial" w:cs="Arial"/>
          <w:color w:val="000000" w:themeColor="text1"/>
        </w:rPr>
      </w:pPr>
    </w:p>
    <w:p w14:paraId="681B7B9D" w14:textId="4561F423" w:rsidR="00E91650" w:rsidRDefault="00E91650" w:rsidP="00D2162C">
      <w:pPr>
        <w:pStyle w:val="NormalWeb"/>
        <w:spacing w:beforeLines="50" w:before="120" w:beforeAutospacing="0" w:afterLines="50" w:after="120" w:afterAutospacing="0" w:line="360" w:lineRule="auto"/>
        <w:rPr>
          <w:rFonts w:ascii="Arial" w:hAnsi="Arial" w:cs="Arial"/>
          <w:color w:val="000000" w:themeColor="text1"/>
        </w:rPr>
      </w:pPr>
    </w:p>
    <w:p w14:paraId="59DFB4AF" w14:textId="208CE605" w:rsidR="00E91650" w:rsidRDefault="00E91650" w:rsidP="00D2162C">
      <w:pPr>
        <w:pStyle w:val="NormalWeb"/>
        <w:spacing w:beforeLines="50" w:before="120" w:beforeAutospacing="0" w:afterLines="50" w:after="120" w:afterAutospacing="0" w:line="360" w:lineRule="auto"/>
        <w:rPr>
          <w:rFonts w:ascii="Arial" w:hAnsi="Arial" w:cs="Arial"/>
          <w:color w:val="000000" w:themeColor="text1"/>
        </w:rPr>
      </w:pPr>
    </w:p>
    <w:p w14:paraId="58610410" w14:textId="1CAFE4EF" w:rsidR="00E91650" w:rsidRDefault="00E91650" w:rsidP="00D2162C">
      <w:pPr>
        <w:pStyle w:val="NormalWeb"/>
        <w:spacing w:beforeLines="50" w:before="120" w:beforeAutospacing="0" w:afterLines="50" w:after="120" w:afterAutospacing="0" w:line="360" w:lineRule="auto"/>
        <w:rPr>
          <w:rFonts w:ascii="Arial" w:hAnsi="Arial" w:cs="Arial"/>
          <w:color w:val="000000" w:themeColor="text1"/>
        </w:rPr>
      </w:pPr>
    </w:p>
    <w:p w14:paraId="22EE55FB" w14:textId="016DA5BF" w:rsidR="00E91650" w:rsidRDefault="00E91650" w:rsidP="00D2162C">
      <w:pPr>
        <w:pStyle w:val="NormalWeb"/>
        <w:spacing w:beforeLines="50" w:before="120" w:beforeAutospacing="0" w:afterLines="50" w:after="120" w:afterAutospacing="0" w:line="360" w:lineRule="auto"/>
        <w:rPr>
          <w:rFonts w:ascii="Arial" w:hAnsi="Arial" w:cs="Arial"/>
          <w:color w:val="000000" w:themeColor="text1"/>
        </w:rPr>
      </w:pPr>
    </w:p>
    <w:p w14:paraId="667C3387" w14:textId="77777777" w:rsidR="00E91650" w:rsidRDefault="00E91650" w:rsidP="00D2162C">
      <w:pPr>
        <w:pStyle w:val="NormalWeb"/>
        <w:spacing w:beforeLines="50" w:before="120" w:beforeAutospacing="0" w:afterLines="50" w:after="120" w:afterAutospacing="0" w:line="360" w:lineRule="auto"/>
        <w:rPr>
          <w:rFonts w:ascii="Arial" w:hAnsi="Arial" w:cs="Arial"/>
          <w:color w:val="000000" w:themeColor="text1"/>
        </w:rPr>
      </w:pPr>
    </w:p>
    <w:p w14:paraId="5FF7D5CE" w14:textId="77777777" w:rsidR="003253A9" w:rsidRDefault="003253A9" w:rsidP="00D2162C">
      <w:pPr>
        <w:pStyle w:val="NormalWeb"/>
        <w:spacing w:beforeLines="50" w:before="120" w:beforeAutospacing="0" w:afterLines="50" w:after="120" w:afterAutospacing="0" w:line="360" w:lineRule="auto"/>
        <w:rPr>
          <w:rFonts w:ascii="Arial" w:hAnsi="Arial" w:cs="Arial"/>
          <w:b/>
          <w:color w:val="000000" w:themeColor="text1"/>
        </w:rPr>
      </w:pPr>
    </w:p>
    <w:p w14:paraId="486BFF90" w14:textId="65C2E09B" w:rsidR="008619F8"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lastRenderedPageBreak/>
        <w:t xml:space="preserve">Section B, </w:t>
      </w:r>
      <w:r w:rsidR="00E91650">
        <w:rPr>
          <w:rFonts w:ascii="Arial" w:hAnsi="Arial" w:cs="Arial"/>
          <w:b/>
          <w:color w:val="000000" w:themeColor="text1"/>
        </w:rPr>
        <w:t>2;</w:t>
      </w:r>
    </w:p>
    <w:p w14:paraId="6C920FDB" w14:textId="18C10389" w:rsidR="000A45DC" w:rsidRPr="00276A5B" w:rsidRDefault="000A45DC" w:rsidP="00C2544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Dear Mr Thomas, </w:t>
      </w:r>
    </w:p>
    <w:p w14:paraId="07E9F464" w14:textId="0AFC51A3" w:rsidR="00766351" w:rsidRPr="00276A5B" w:rsidRDefault="000A45DC" w:rsidP="00C2544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In response to your email, I </w:t>
      </w:r>
      <w:r w:rsidR="00C2544C">
        <w:rPr>
          <w:rFonts w:ascii="Arial" w:hAnsi="Arial" w:cs="Arial"/>
          <w:color w:val="000000" w:themeColor="text1"/>
        </w:rPr>
        <w:t>advise to this case set out below listed in the headed points.</w:t>
      </w:r>
    </w:p>
    <w:p w14:paraId="35AB32B1" w14:textId="01D35D69" w:rsidR="000E5F7C" w:rsidRPr="00E91650" w:rsidRDefault="000A45DC" w:rsidP="000E5F7C">
      <w:pPr>
        <w:spacing w:beforeLines="50" w:before="120" w:afterLines="50" w:after="120" w:line="360" w:lineRule="auto"/>
        <w:rPr>
          <w:rFonts w:ascii="Arial" w:hAnsi="Arial" w:cs="Arial"/>
          <w:b/>
          <w:color w:val="000000" w:themeColor="text1"/>
        </w:rPr>
      </w:pPr>
      <w:r w:rsidRPr="00E91650">
        <w:rPr>
          <w:rFonts w:ascii="Arial" w:hAnsi="Arial" w:cs="Arial"/>
          <w:b/>
          <w:color w:val="000000" w:themeColor="text1"/>
        </w:rPr>
        <w:t xml:space="preserve">1) </w:t>
      </w:r>
      <w:r w:rsidR="000E5F7C" w:rsidRPr="00E91650">
        <w:rPr>
          <w:rFonts w:ascii="Arial" w:hAnsi="Arial" w:cs="Arial"/>
          <w:b/>
          <w:color w:val="000000" w:themeColor="text1"/>
        </w:rPr>
        <w:t xml:space="preserve">Dealing with Grievance; </w:t>
      </w:r>
    </w:p>
    <w:p w14:paraId="03C47CE2" w14:textId="1F964F6C" w:rsidR="000E5F7C" w:rsidRPr="00276A5B" w:rsidRDefault="00D81125" w:rsidP="000E5F7C">
      <w:pPr>
        <w:spacing w:beforeLines="50" w:before="120" w:afterLines="50" w:after="120" w:line="360" w:lineRule="auto"/>
        <w:rPr>
          <w:rFonts w:ascii="Arial" w:hAnsi="Arial" w:cs="Arial"/>
          <w:color w:val="000000" w:themeColor="text1"/>
        </w:rPr>
      </w:pPr>
      <w:r>
        <w:rPr>
          <w:rFonts w:ascii="Arial" w:hAnsi="Arial" w:cs="Arial"/>
          <w:color w:val="000000" w:themeColor="text1"/>
        </w:rPr>
        <w:t xml:space="preserve">You should </w:t>
      </w:r>
      <w:r w:rsidR="00391E1B">
        <w:rPr>
          <w:rFonts w:ascii="Arial" w:hAnsi="Arial" w:cs="Arial"/>
          <w:color w:val="000000" w:themeColor="text1"/>
        </w:rPr>
        <w:t>make arrangements to deal with this matter in the first instance. You note that Lucy has previously raised a formal grievance with her line manager and therefore I would advise if you can a</w:t>
      </w:r>
      <w:r w:rsidR="000E5F7C" w:rsidRPr="00276A5B">
        <w:rPr>
          <w:rFonts w:ascii="Arial" w:hAnsi="Arial" w:cs="Arial"/>
          <w:color w:val="000000" w:themeColor="text1"/>
        </w:rPr>
        <w:t xml:space="preserve">pproach Lucy to see if the data breach can be dealt with informally. </w:t>
      </w:r>
      <w:r w:rsidR="00391E1B">
        <w:rPr>
          <w:rFonts w:ascii="Arial" w:hAnsi="Arial" w:cs="Arial"/>
          <w:color w:val="000000" w:themeColor="text1"/>
        </w:rPr>
        <w:t xml:space="preserve">Should Lucy wish to proceed with a formal grievance you should initiate your internal grievance procedure </w:t>
      </w:r>
      <w:r w:rsidR="000E5F7C" w:rsidRPr="00276A5B">
        <w:rPr>
          <w:rFonts w:ascii="Arial" w:hAnsi="Arial" w:cs="Arial"/>
          <w:color w:val="000000" w:themeColor="text1"/>
        </w:rPr>
        <w:t>with support of ACASCop</w:t>
      </w:r>
      <w:r w:rsidR="00391E1B">
        <w:rPr>
          <w:rFonts w:ascii="Arial" w:hAnsi="Arial" w:cs="Arial"/>
          <w:color w:val="000000" w:themeColor="text1"/>
        </w:rPr>
        <w:t xml:space="preserve"> on disciplinary and grievance procedures</w:t>
      </w:r>
      <w:r w:rsidR="000E5F7C" w:rsidRPr="00276A5B">
        <w:rPr>
          <w:rFonts w:ascii="Arial" w:hAnsi="Arial" w:cs="Arial"/>
          <w:color w:val="000000" w:themeColor="text1"/>
        </w:rPr>
        <w:t>. In terms of time limits</w:t>
      </w:r>
      <w:r w:rsidR="00391E1B">
        <w:rPr>
          <w:rFonts w:ascii="Arial" w:hAnsi="Arial" w:cs="Arial"/>
          <w:color w:val="000000" w:themeColor="text1"/>
        </w:rPr>
        <w:t xml:space="preserve">, you must appoint an independent </w:t>
      </w:r>
      <w:r w:rsidR="00391E1B" w:rsidRPr="002B6226">
        <w:rPr>
          <w:rFonts w:ascii="Arial" w:hAnsi="Arial" w:cs="Arial"/>
          <w:color w:val="000000" w:themeColor="text1"/>
        </w:rPr>
        <w:t xml:space="preserve">investigator who has not previously been involved and should arrange a meeting with Lucy in the next 5 </w:t>
      </w:r>
      <w:r w:rsidR="000E5F7C" w:rsidRPr="002B6226">
        <w:rPr>
          <w:rFonts w:ascii="Arial" w:hAnsi="Arial" w:cs="Arial"/>
          <w:color w:val="000000" w:themeColor="text1"/>
        </w:rPr>
        <w:t>day.</w:t>
      </w:r>
      <w:r w:rsidR="00391E1B" w:rsidRPr="002B6226">
        <w:rPr>
          <w:rFonts w:ascii="Arial" w:hAnsi="Arial" w:cs="Arial"/>
          <w:color w:val="000000" w:themeColor="text1"/>
        </w:rPr>
        <w:t xml:space="preserve"> This</w:t>
      </w:r>
      <w:r w:rsidR="00391E1B">
        <w:rPr>
          <w:rFonts w:ascii="Arial" w:hAnsi="Arial" w:cs="Arial"/>
          <w:color w:val="000000" w:themeColor="text1"/>
        </w:rPr>
        <w:t xml:space="preserve"> will provide some insight into further information regarding the issue she has raised and determine what </w:t>
      </w:r>
      <w:r w:rsidR="000E5F7C" w:rsidRPr="00276A5B">
        <w:rPr>
          <w:rFonts w:ascii="Arial" w:hAnsi="Arial" w:cs="Arial"/>
          <w:color w:val="000000" w:themeColor="text1"/>
        </w:rPr>
        <w:t xml:space="preserve">outcome </w:t>
      </w:r>
      <w:r w:rsidR="00391E1B">
        <w:rPr>
          <w:rFonts w:ascii="Arial" w:hAnsi="Arial" w:cs="Arial"/>
          <w:color w:val="000000" w:themeColor="text1"/>
        </w:rPr>
        <w:t>Lucy expects.</w:t>
      </w:r>
      <w:r w:rsidR="000E5F7C" w:rsidRPr="00276A5B">
        <w:rPr>
          <w:rFonts w:ascii="Arial" w:hAnsi="Arial" w:cs="Arial"/>
          <w:b/>
          <w:color w:val="000000" w:themeColor="text1"/>
        </w:rPr>
        <w:t xml:space="preserve"> </w:t>
      </w:r>
      <w:r w:rsidR="000E5F7C" w:rsidRPr="00276A5B">
        <w:rPr>
          <w:rFonts w:ascii="Arial" w:hAnsi="Arial" w:cs="Arial"/>
          <w:color w:val="000000" w:themeColor="text1"/>
        </w:rPr>
        <w:t xml:space="preserve">Communicate outcome back to Lucy, and allow right to appeal. </w:t>
      </w:r>
      <w:r w:rsidR="00391E1B">
        <w:rPr>
          <w:rFonts w:ascii="Arial" w:hAnsi="Arial" w:cs="Arial"/>
          <w:color w:val="000000" w:themeColor="text1"/>
        </w:rPr>
        <w:t>I note that yourself, as the MD</w:t>
      </w:r>
      <w:r w:rsidR="000E5F7C" w:rsidRPr="00276A5B">
        <w:rPr>
          <w:rFonts w:ascii="Arial" w:hAnsi="Arial" w:cs="Arial"/>
          <w:color w:val="000000" w:themeColor="text1"/>
        </w:rPr>
        <w:t xml:space="preserve"> should be kept incase of appeal</w:t>
      </w:r>
      <w:r w:rsidR="00391E1B">
        <w:rPr>
          <w:rFonts w:ascii="Arial" w:hAnsi="Arial" w:cs="Arial"/>
          <w:color w:val="000000" w:themeColor="text1"/>
        </w:rPr>
        <w:t>. T</w:t>
      </w:r>
      <w:r w:rsidR="000E5F7C" w:rsidRPr="00276A5B">
        <w:rPr>
          <w:rFonts w:ascii="Arial" w:hAnsi="Arial" w:cs="Arial"/>
          <w:color w:val="000000" w:themeColor="text1"/>
        </w:rPr>
        <w:t>here are sensitive issues surrounding these concerns</w:t>
      </w:r>
      <w:r w:rsidR="000E5F7C">
        <w:rPr>
          <w:rFonts w:ascii="Arial" w:hAnsi="Arial" w:cs="Arial"/>
          <w:color w:val="000000" w:themeColor="text1"/>
        </w:rPr>
        <w:t xml:space="preserve">, </w:t>
      </w:r>
      <w:r w:rsidR="000E5F7C" w:rsidRPr="00276A5B">
        <w:rPr>
          <w:rFonts w:ascii="Arial" w:hAnsi="Arial" w:cs="Arial"/>
          <w:color w:val="000000" w:themeColor="text1"/>
        </w:rPr>
        <w:t xml:space="preserve">especially in light of the breach of DP and as Lucy has raised Grievance as a statutory right </w:t>
      </w:r>
      <w:r w:rsidR="00391E1B">
        <w:rPr>
          <w:rFonts w:ascii="Arial" w:hAnsi="Arial" w:cs="Arial"/>
          <w:color w:val="000000" w:themeColor="text1"/>
        </w:rPr>
        <w:t>which is where I go onto my second point.</w:t>
      </w:r>
    </w:p>
    <w:p w14:paraId="305A8C22" w14:textId="11B067DB" w:rsidR="00C2544C" w:rsidRPr="00E91650" w:rsidRDefault="00391E1B" w:rsidP="00C2544C">
      <w:pPr>
        <w:spacing w:line="360" w:lineRule="auto"/>
        <w:rPr>
          <w:rFonts w:ascii="Arial" w:hAnsi="Arial" w:cs="Arial"/>
          <w:b/>
          <w:color w:val="000000" w:themeColor="text1"/>
        </w:rPr>
      </w:pPr>
      <w:r w:rsidRPr="00E91650">
        <w:rPr>
          <w:rFonts w:ascii="Arial" w:hAnsi="Arial" w:cs="Arial"/>
          <w:b/>
          <w:color w:val="000000" w:themeColor="text1"/>
        </w:rPr>
        <w:t>2) U</w:t>
      </w:r>
      <w:r w:rsidR="000A45DC" w:rsidRPr="00E91650">
        <w:rPr>
          <w:rFonts w:ascii="Arial" w:hAnsi="Arial" w:cs="Arial"/>
          <w:b/>
          <w:color w:val="000000" w:themeColor="text1"/>
        </w:rPr>
        <w:t>nde</w:t>
      </w:r>
      <w:r w:rsidR="009219E7" w:rsidRPr="00E91650">
        <w:rPr>
          <w:rFonts w:ascii="Arial" w:hAnsi="Arial" w:cs="Arial"/>
          <w:b/>
          <w:color w:val="000000" w:themeColor="text1"/>
        </w:rPr>
        <w:t>rlying reason for absence</w:t>
      </w:r>
      <w:r w:rsidR="00C2544C" w:rsidRPr="00E91650">
        <w:rPr>
          <w:rFonts w:ascii="Arial" w:hAnsi="Arial" w:cs="Arial"/>
          <w:b/>
          <w:color w:val="000000" w:themeColor="text1"/>
        </w:rPr>
        <w:t>;</w:t>
      </w:r>
    </w:p>
    <w:p w14:paraId="6348C817" w14:textId="55C32015" w:rsidR="003D2080" w:rsidRPr="003D2080" w:rsidRDefault="000A45DC" w:rsidP="00C2544C">
      <w:pPr>
        <w:spacing w:line="360" w:lineRule="auto"/>
      </w:pPr>
      <w:r w:rsidRPr="00276A5B">
        <w:rPr>
          <w:rFonts w:ascii="Arial" w:hAnsi="Arial" w:cs="Arial"/>
          <w:color w:val="000000" w:themeColor="text1"/>
        </w:rPr>
        <w:t>There is a fine line between managing staff</w:t>
      </w:r>
      <w:r w:rsidR="00616C70" w:rsidRPr="00276A5B">
        <w:rPr>
          <w:rFonts w:ascii="Arial" w:hAnsi="Arial" w:cs="Arial"/>
          <w:color w:val="000000" w:themeColor="text1"/>
        </w:rPr>
        <w:t xml:space="preserve"> (duty of care)</w:t>
      </w:r>
      <w:r w:rsidRPr="00276A5B">
        <w:rPr>
          <w:rFonts w:ascii="Arial" w:hAnsi="Arial" w:cs="Arial"/>
          <w:color w:val="000000" w:themeColor="text1"/>
        </w:rPr>
        <w:t xml:space="preserve"> and breaching data protection. Ideally, you are allowed to tell staff that a member of staff is absent for you to arrange appropriate cover, however</w:t>
      </w:r>
      <w:r w:rsidR="004E6DCF" w:rsidRPr="00276A5B">
        <w:rPr>
          <w:rFonts w:ascii="Arial" w:hAnsi="Arial" w:cs="Arial"/>
          <w:color w:val="000000" w:themeColor="text1"/>
        </w:rPr>
        <w:t xml:space="preserve"> you are not permitted under</w:t>
      </w:r>
      <w:r w:rsidRPr="00276A5B">
        <w:rPr>
          <w:rFonts w:ascii="Arial" w:hAnsi="Arial" w:cs="Arial"/>
          <w:color w:val="000000" w:themeColor="text1"/>
        </w:rPr>
        <w:t xml:space="preserve"> Data Protection Act</w:t>
      </w:r>
      <w:r w:rsidR="004E6DCF" w:rsidRPr="00276A5B">
        <w:rPr>
          <w:rFonts w:ascii="Arial" w:hAnsi="Arial" w:cs="Arial"/>
          <w:color w:val="000000" w:themeColor="text1"/>
        </w:rPr>
        <w:t xml:space="preserve"> 2018</w:t>
      </w:r>
      <w:r w:rsidRPr="00276A5B">
        <w:rPr>
          <w:rFonts w:ascii="Arial" w:hAnsi="Arial" w:cs="Arial"/>
          <w:color w:val="000000" w:themeColor="text1"/>
        </w:rPr>
        <w:t xml:space="preserve"> </w:t>
      </w:r>
      <w:r w:rsidR="009219E7" w:rsidRPr="00276A5B">
        <w:rPr>
          <w:rFonts w:ascii="Arial" w:hAnsi="Arial" w:cs="Arial"/>
          <w:color w:val="000000" w:themeColor="text1"/>
        </w:rPr>
        <w:t xml:space="preserve">principals to relay any personal sensitive information about the absence to others who are not directly involved. Technically you have an ICO GDPR Breach </w:t>
      </w:r>
      <w:r w:rsidR="004E6DCF" w:rsidRPr="00276A5B">
        <w:rPr>
          <w:rFonts w:ascii="Arial" w:hAnsi="Arial" w:cs="Arial"/>
          <w:color w:val="000000" w:themeColor="text1"/>
        </w:rPr>
        <w:t>of</w:t>
      </w:r>
      <w:r w:rsidR="009219E7" w:rsidRPr="00276A5B">
        <w:rPr>
          <w:rFonts w:ascii="Arial" w:hAnsi="Arial" w:cs="Arial"/>
          <w:color w:val="000000" w:themeColor="text1"/>
        </w:rPr>
        <w:t xml:space="preserve"> disclosure of </w:t>
      </w:r>
      <w:r w:rsidR="004E6DCF" w:rsidRPr="00276A5B">
        <w:rPr>
          <w:rFonts w:ascii="Arial" w:hAnsi="Arial" w:cs="Arial"/>
          <w:color w:val="000000" w:themeColor="text1"/>
        </w:rPr>
        <w:t xml:space="preserve">personal sensitive data </w:t>
      </w:r>
      <w:r w:rsidR="009219E7" w:rsidRPr="00276A5B">
        <w:rPr>
          <w:rFonts w:ascii="Arial" w:hAnsi="Arial" w:cs="Arial"/>
          <w:color w:val="000000" w:themeColor="text1"/>
        </w:rPr>
        <w:t xml:space="preserve">linked to Lucy’s </w:t>
      </w:r>
      <w:r w:rsidR="004E6DCF" w:rsidRPr="00276A5B">
        <w:rPr>
          <w:rFonts w:ascii="Arial" w:hAnsi="Arial" w:cs="Arial"/>
          <w:color w:val="000000" w:themeColor="text1"/>
        </w:rPr>
        <w:t>health</w:t>
      </w:r>
      <w:r w:rsidR="00391E1B">
        <w:rPr>
          <w:rFonts w:ascii="Arial" w:hAnsi="Arial" w:cs="Arial"/>
          <w:color w:val="000000" w:themeColor="text1"/>
        </w:rPr>
        <w:t xml:space="preserve"> and </w:t>
      </w:r>
      <w:r w:rsidR="002B6226">
        <w:rPr>
          <w:rFonts w:ascii="Arial" w:hAnsi="Arial" w:cs="Arial"/>
          <w:color w:val="000000" w:themeColor="text1"/>
        </w:rPr>
        <w:t xml:space="preserve">Lucy has the right to report the </w:t>
      </w:r>
      <w:r w:rsidR="009219E7" w:rsidRPr="00276A5B">
        <w:rPr>
          <w:rFonts w:ascii="Arial" w:hAnsi="Arial" w:cs="Arial"/>
          <w:color w:val="000000" w:themeColor="text1"/>
        </w:rPr>
        <w:t>breach</w:t>
      </w:r>
      <w:r w:rsidR="002B6226">
        <w:rPr>
          <w:rFonts w:ascii="Arial" w:hAnsi="Arial" w:cs="Arial"/>
          <w:color w:val="000000" w:themeColor="text1"/>
        </w:rPr>
        <w:t xml:space="preserve"> </w:t>
      </w:r>
      <w:r w:rsidR="009219E7" w:rsidRPr="00276A5B">
        <w:rPr>
          <w:rFonts w:ascii="Arial" w:hAnsi="Arial" w:cs="Arial"/>
          <w:color w:val="000000" w:themeColor="text1"/>
        </w:rPr>
        <w:t>to the Data Commissioner ICO</w:t>
      </w:r>
      <w:r w:rsidR="002B6226">
        <w:rPr>
          <w:rFonts w:ascii="Arial" w:hAnsi="Arial" w:cs="Arial"/>
          <w:color w:val="000000" w:themeColor="text1"/>
        </w:rPr>
        <w:t xml:space="preserve"> for investigation. If so, y</w:t>
      </w:r>
      <w:r w:rsidR="009219E7" w:rsidRPr="00276A5B">
        <w:rPr>
          <w:rFonts w:ascii="Arial" w:hAnsi="Arial" w:cs="Arial"/>
          <w:color w:val="000000" w:themeColor="text1"/>
        </w:rPr>
        <w:t>ou risk a large financial penalty</w:t>
      </w:r>
      <w:r w:rsidR="003D2080">
        <w:rPr>
          <w:rFonts w:ascii="Arial" w:hAnsi="Arial" w:cs="Arial"/>
          <w:color w:val="000000" w:themeColor="text1"/>
        </w:rPr>
        <w:t xml:space="preserve">, such as </w:t>
      </w:r>
      <w:r w:rsidR="003D2080" w:rsidRPr="003D2080">
        <w:rPr>
          <w:rFonts w:ascii="Arial" w:hAnsi="Arial" w:cs="Arial"/>
          <w:color w:val="202124"/>
          <w:shd w:val="clear" w:color="auto" w:fill="FFFFFF"/>
        </w:rPr>
        <w:t>£8.7 million or 2% of the total annual worldwide turnover in the preceding financial year, whichever is higher</w:t>
      </w:r>
      <w:r w:rsidR="003D2080">
        <w:rPr>
          <w:rStyle w:val="FootnoteReference"/>
          <w:rFonts w:ascii="Arial" w:hAnsi="Arial" w:cs="Arial"/>
          <w:color w:val="202124"/>
          <w:shd w:val="clear" w:color="auto" w:fill="FFFFFF"/>
        </w:rPr>
        <w:footnoteReference w:id="60"/>
      </w:r>
      <w:r w:rsidR="003D2080">
        <w:rPr>
          <w:rFonts w:ascii="Arial" w:hAnsi="Arial" w:cs="Arial"/>
          <w:color w:val="202124"/>
          <w:shd w:val="clear" w:color="auto" w:fill="FFFFFF"/>
        </w:rPr>
        <w:t>.</w:t>
      </w:r>
    </w:p>
    <w:p w14:paraId="459E04C3" w14:textId="77777777" w:rsidR="002B6226" w:rsidRDefault="002B6226" w:rsidP="002B6226">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4) Return to work meetings</w:t>
      </w:r>
      <w:r>
        <w:rPr>
          <w:rFonts w:ascii="Arial" w:hAnsi="Arial" w:cs="Arial"/>
          <w:color w:val="000000" w:themeColor="text1"/>
        </w:rPr>
        <w:t>;</w:t>
      </w:r>
    </w:p>
    <w:p w14:paraId="37C6A09C" w14:textId="77777777" w:rsidR="002B6226" w:rsidRDefault="002B6226" w:rsidP="002B6226">
      <w:pPr>
        <w:spacing w:beforeLines="50" w:before="120" w:afterLines="50" w:after="120" w:line="360" w:lineRule="auto"/>
        <w:rPr>
          <w:rFonts w:ascii="Arial" w:hAnsi="Arial" w:cs="Arial"/>
          <w:color w:val="000000" w:themeColor="text1"/>
        </w:rPr>
      </w:pPr>
      <w:r>
        <w:rPr>
          <w:rFonts w:ascii="Arial" w:hAnsi="Arial" w:cs="Arial"/>
          <w:color w:val="000000" w:themeColor="text1"/>
        </w:rPr>
        <w:lastRenderedPageBreak/>
        <w:t>F</w:t>
      </w:r>
      <w:r w:rsidRPr="00276A5B">
        <w:rPr>
          <w:rFonts w:ascii="Arial" w:hAnsi="Arial" w:cs="Arial"/>
          <w:color w:val="000000" w:themeColor="text1"/>
        </w:rPr>
        <w:t xml:space="preserve">ollowing ACAS and CIPD Guidance on returning to work after shielding, </w:t>
      </w:r>
      <w:r>
        <w:rPr>
          <w:rFonts w:ascii="Arial" w:hAnsi="Arial" w:cs="Arial"/>
          <w:color w:val="000000" w:themeColor="text1"/>
        </w:rPr>
        <w:t>you should consult with your internal procedure here for managing long-term absence and dealing this matter. A</w:t>
      </w:r>
      <w:r w:rsidRPr="00276A5B">
        <w:rPr>
          <w:rFonts w:ascii="Arial" w:hAnsi="Arial" w:cs="Arial"/>
          <w:color w:val="000000" w:themeColor="text1"/>
        </w:rPr>
        <w:t xml:space="preserve"> supportive meeting would suffice to check </w:t>
      </w:r>
      <w:r>
        <w:rPr>
          <w:rFonts w:ascii="Arial" w:hAnsi="Arial" w:cs="Arial"/>
          <w:color w:val="000000" w:themeColor="text1"/>
        </w:rPr>
        <w:t xml:space="preserve">Lucy’s </w:t>
      </w:r>
      <w:r w:rsidRPr="00276A5B">
        <w:rPr>
          <w:rFonts w:ascii="Arial" w:hAnsi="Arial" w:cs="Arial"/>
          <w:color w:val="000000" w:themeColor="text1"/>
        </w:rPr>
        <w:t>welfare</w:t>
      </w:r>
      <w:r>
        <w:rPr>
          <w:rFonts w:ascii="Arial" w:hAnsi="Arial" w:cs="Arial"/>
          <w:color w:val="000000" w:themeColor="text1"/>
        </w:rPr>
        <w:t xml:space="preserve"> as you, as an employer, have a duty of care to ensure the health, safety and welfare of your employees under the Health and Safety at Work Act 1974. Therefore, I would suggest a meeting to take place to comply with your legal obligations as an employer, however a more informal approach should be considered for absences relating to shielding, although I would suggest r</w:t>
      </w:r>
      <w:r w:rsidRPr="00276A5B">
        <w:rPr>
          <w:rFonts w:ascii="Arial" w:hAnsi="Arial" w:cs="Arial"/>
          <w:color w:val="000000" w:themeColor="text1"/>
        </w:rPr>
        <w:t xml:space="preserve">isk assessments and health and safety at work measures </w:t>
      </w:r>
      <w:r>
        <w:rPr>
          <w:rFonts w:ascii="Arial" w:hAnsi="Arial" w:cs="Arial"/>
          <w:color w:val="000000" w:themeColor="text1"/>
        </w:rPr>
        <w:t>to be</w:t>
      </w:r>
      <w:r w:rsidRPr="00276A5B">
        <w:rPr>
          <w:rFonts w:ascii="Arial" w:hAnsi="Arial" w:cs="Arial"/>
          <w:color w:val="000000" w:themeColor="text1"/>
        </w:rPr>
        <w:t xml:space="preserve"> considered in line with government and public health guidance</w:t>
      </w:r>
      <w:r w:rsidRPr="00276A5B">
        <w:rPr>
          <w:rStyle w:val="FootnoteReference"/>
          <w:rFonts w:ascii="Arial" w:hAnsi="Arial" w:cs="Arial"/>
          <w:color w:val="000000" w:themeColor="text1"/>
        </w:rPr>
        <w:footnoteReference w:id="61"/>
      </w:r>
      <w:r w:rsidRPr="00276A5B">
        <w:rPr>
          <w:rStyle w:val="FootnoteReference"/>
          <w:rFonts w:ascii="Arial" w:hAnsi="Arial" w:cs="Arial"/>
          <w:color w:val="000000" w:themeColor="text1"/>
        </w:rPr>
        <w:footnoteReference w:id="62"/>
      </w:r>
      <w:r w:rsidRPr="00276A5B">
        <w:rPr>
          <w:rFonts w:ascii="Arial" w:hAnsi="Arial" w:cs="Arial"/>
          <w:color w:val="000000" w:themeColor="text1"/>
        </w:rPr>
        <w:t xml:space="preserve">. </w:t>
      </w:r>
    </w:p>
    <w:p w14:paraId="5A297D29" w14:textId="65242C5C" w:rsidR="002B6226" w:rsidRPr="00276A5B" w:rsidRDefault="002B6226" w:rsidP="002B6226">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A toolkit developed my CIPD, MIND, ACAS and BITC can be used to help managers risk assess and acknowledge their legal obligation. Toolkit; </w:t>
      </w:r>
      <w:hyperlink r:id="rId9" w:history="1">
        <w:r w:rsidRPr="00276A5B">
          <w:rPr>
            <w:rStyle w:val="Hyperlink"/>
            <w:rFonts w:ascii="Arial" w:hAnsi="Arial" w:cs="Arial"/>
            <w:color w:val="000000" w:themeColor="text1"/>
          </w:rPr>
          <w:t>https://www.som.org.uk/return-to-work/</w:t>
        </w:r>
      </w:hyperlink>
      <w:r w:rsidRPr="00276A5B">
        <w:rPr>
          <w:rFonts w:ascii="Arial" w:hAnsi="Arial" w:cs="Arial"/>
          <w:color w:val="000000" w:themeColor="text1"/>
        </w:rPr>
        <w:t xml:space="preserve"> </w:t>
      </w:r>
    </w:p>
    <w:p w14:paraId="1FFA9B18" w14:textId="424D0B22" w:rsidR="00C2544C" w:rsidRPr="00E91650" w:rsidRDefault="003D2080" w:rsidP="00C2544C">
      <w:pPr>
        <w:spacing w:beforeLines="50" w:before="120" w:afterLines="50" w:after="120" w:line="360" w:lineRule="auto"/>
        <w:rPr>
          <w:rFonts w:ascii="Arial" w:hAnsi="Arial" w:cs="Arial"/>
          <w:b/>
          <w:color w:val="000000" w:themeColor="text1"/>
        </w:rPr>
      </w:pPr>
      <w:r w:rsidRPr="00E91650" w:rsidDel="003D2080">
        <w:rPr>
          <w:rFonts w:ascii="Arial" w:hAnsi="Arial" w:cs="Arial"/>
          <w:b/>
          <w:color w:val="000000" w:themeColor="text1"/>
        </w:rPr>
        <w:t xml:space="preserve"> </w:t>
      </w:r>
      <w:r w:rsidR="009219E7" w:rsidRPr="00E91650">
        <w:rPr>
          <w:rFonts w:ascii="Arial" w:hAnsi="Arial" w:cs="Arial"/>
          <w:b/>
          <w:color w:val="000000" w:themeColor="text1"/>
        </w:rPr>
        <w:t xml:space="preserve">2) </w:t>
      </w:r>
      <w:r w:rsidR="002B6226" w:rsidRPr="00E91650">
        <w:rPr>
          <w:rFonts w:ascii="Arial" w:hAnsi="Arial" w:cs="Arial"/>
          <w:b/>
          <w:color w:val="000000" w:themeColor="text1"/>
        </w:rPr>
        <w:t>Records</w:t>
      </w:r>
      <w:r w:rsidR="009219E7" w:rsidRPr="00E91650">
        <w:rPr>
          <w:rFonts w:ascii="Arial" w:hAnsi="Arial" w:cs="Arial"/>
          <w:b/>
          <w:color w:val="000000" w:themeColor="text1"/>
        </w:rPr>
        <w:t xml:space="preserve"> of staff absences</w:t>
      </w:r>
      <w:r w:rsidR="00C2544C" w:rsidRPr="00E91650">
        <w:rPr>
          <w:rFonts w:ascii="Arial" w:hAnsi="Arial" w:cs="Arial"/>
          <w:b/>
          <w:color w:val="000000" w:themeColor="text1"/>
        </w:rPr>
        <w:t>;</w:t>
      </w:r>
    </w:p>
    <w:p w14:paraId="3706C1BD" w14:textId="54A40A80" w:rsidR="00B40A9E" w:rsidRDefault="00C2544C" w:rsidP="00E91650">
      <w:pPr>
        <w:spacing w:beforeLines="50" w:before="120" w:afterLines="50" w:after="120" w:line="360" w:lineRule="auto"/>
        <w:rPr>
          <w:rFonts w:ascii="Arial" w:hAnsi="Arial" w:cs="Arial"/>
          <w:color w:val="000000" w:themeColor="text1"/>
        </w:rPr>
      </w:pPr>
      <w:r>
        <w:rPr>
          <w:rFonts w:ascii="Arial" w:hAnsi="Arial" w:cs="Arial"/>
          <w:color w:val="000000" w:themeColor="text1"/>
        </w:rPr>
        <w:t>B</w:t>
      </w:r>
      <w:r w:rsidR="009219E7" w:rsidRPr="00276A5B">
        <w:rPr>
          <w:rFonts w:ascii="Arial" w:hAnsi="Arial" w:cs="Arial"/>
          <w:color w:val="000000" w:themeColor="text1"/>
        </w:rPr>
        <w:t>ased on employment records only,</w:t>
      </w:r>
      <w:r w:rsidR="002B6226">
        <w:rPr>
          <w:rFonts w:ascii="Arial" w:hAnsi="Arial" w:cs="Arial"/>
          <w:color w:val="000000" w:themeColor="text1"/>
        </w:rPr>
        <w:t xml:space="preserve"> I suggest you consult with your internal retention policies that might be available. However, the general principle </w:t>
      </w:r>
      <w:r w:rsidR="009219E7" w:rsidRPr="00276A5B">
        <w:rPr>
          <w:rFonts w:ascii="Arial" w:hAnsi="Arial" w:cs="Arial"/>
          <w:color w:val="000000" w:themeColor="text1"/>
        </w:rPr>
        <w:t xml:space="preserve">should </w:t>
      </w:r>
      <w:r w:rsidR="002B6226">
        <w:rPr>
          <w:rFonts w:ascii="Arial" w:hAnsi="Arial" w:cs="Arial"/>
          <w:color w:val="000000" w:themeColor="text1"/>
        </w:rPr>
        <w:t xml:space="preserve">be </w:t>
      </w:r>
      <w:r w:rsidR="009219E7" w:rsidRPr="00276A5B">
        <w:rPr>
          <w:rFonts w:ascii="Arial" w:hAnsi="Arial" w:cs="Arial"/>
          <w:color w:val="000000" w:themeColor="text1"/>
        </w:rPr>
        <w:t xml:space="preserve">not keep records longer than what is absolutely necessary to defend legal claims. </w:t>
      </w:r>
      <w:r w:rsidR="002B6226">
        <w:rPr>
          <w:rFonts w:ascii="Arial" w:hAnsi="Arial" w:cs="Arial"/>
          <w:color w:val="000000" w:themeColor="text1"/>
        </w:rPr>
        <w:t xml:space="preserve">Sickness absence records should not be </w:t>
      </w:r>
      <w:r w:rsidR="009219E7" w:rsidRPr="00276A5B">
        <w:rPr>
          <w:rFonts w:ascii="Arial" w:hAnsi="Arial" w:cs="Arial"/>
          <w:color w:val="000000" w:themeColor="text1"/>
        </w:rPr>
        <w:t>retain</w:t>
      </w:r>
      <w:r w:rsidR="002B6226">
        <w:rPr>
          <w:rFonts w:ascii="Arial" w:hAnsi="Arial" w:cs="Arial"/>
          <w:color w:val="000000" w:themeColor="text1"/>
        </w:rPr>
        <w:t>ed</w:t>
      </w:r>
      <w:r w:rsidR="009219E7" w:rsidRPr="00276A5B">
        <w:rPr>
          <w:rFonts w:ascii="Arial" w:hAnsi="Arial" w:cs="Arial"/>
          <w:color w:val="000000" w:themeColor="text1"/>
        </w:rPr>
        <w:t xml:space="preserve"> from 6/12 months after </w:t>
      </w:r>
      <w:r w:rsidR="002C0F0B">
        <w:rPr>
          <w:rFonts w:ascii="Arial" w:hAnsi="Arial" w:cs="Arial"/>
          <w:color w:val="000000" w:themeColor="text1"/>
        </w:rPr>
        <w:t>the period of sickness absence as it is not required, however t</w:t>
      </w:r>
      <w:r w:rsidR="009219E7" w:rsidRPr="00276A5B">
        <w:rPr>
          <w:rFonts w:ascii="Arial" w:hAnsi="Arial" w:cs="Arial"/>
          <w:color w:val="000000" w:themeColor="text1"/>
        </w:rPr>
        <w:t>he only reason you would need to keep employment records is for personal injury claims, which can be 3 years after employment to make a claim.</w:t>
      </w:r>
      <w:r w:rsidR="002C0F0B">
        <w:rPr>
          <w:rFonts w:ascii="Arial" w:hAnsi="Arial" w:cs="Arial"/>
          <w:color w:val="000000" w:themeColor="text1"/>
        </w:rPr>
        <w:t xml:space="preserve"> All documents should comply with</w:t>
      </w:r>
      <w:r w:rsidR="00616C70" w:rsidRPr="00276A5B">
        <w:rPr>
          <w:rFonts w:ascii="Arial" w:hAnsi="Arial" w:cs="Arial"/>
          <w:color w:val="000000" w:themeColor="text1"/>
        </w:rPr>
        <w:t xml:space="preserve"> GDPR regulations and ACASCoP by keeping employment records secure and password protected if electronic, only people who need to see them are able to view.</w:t>
      </w:r>
      <w:r w:rsidR="002C0F0B">
        <w:rPr>
          <w:rFonts w:ascii="Arial" w:hAnsi="Arial" w:cs="Arial"/>
          <w:color w:val="000000" w:themeColor="text1"/>
        </w:rPr>
        <w:t xml:space="preserve"> If you do not have a Retention Policy, I would advise that one should be devised which will ensure consistent approach is adopted throughout the organisation. </w:t>
      </w:r>
    </w:p>
    <w:p w14:paraId="3433AD30" w14:textId="77777777" w:rsidR="00E91650" w:rsidRPr="00E91650" w:rsidRDefault="00E91650" w:rsidP="00E91650">
      <w:pPr>
        <w:spacing w:beforeLines="50" w:before="120" w:afterLines="50" w:after="120" w:line="360" w:lineRule="auto"/>
        <w:rPr>
          <w:rFonts w:ascii="Arial" w:hAnsi="Arial" w:cs="Arial"/>
          <w:color w:val="000000" w:themeColor="text1"/>
        </w:rPr>
      </w:pPr>
    </w:p>
    <w:p w14:paraId="1943418F"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Kind regards,</w:t>
      </w:r>
    </w:p>
    <w:p w14:paraId="363BF9ED" w14:textId="74A8CF61" w:rsidR="003253A9" w:rsidRDefault="00D2162C" w:rsidP="003253A9">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Dayna James, HR </w:t>
      </w:r>
      <w:r w:rsidR="00C2544C">
        <w:rPr>
          <w:rFonts w:ascii="Arial" w:hAnsi="Arial" w:cs="Arial"/>
          <w:color w:val="000000" w:themeColor="text1"/>
        </w:rPr>
        <w:t>Advisor</w:t>
      </w:r>
    </w:p>
    <w:p w14:paraId="0B28AC56" w14:textId="77777777" w:rsidR="003253A9" w:rsidRPr="00276A5B" w:rsidRDefault="003253A9" w:rsidP="003253A9">
      <w:pPr>
        <w:pStyle w:val="NormalWeb"/>
        <w:spacing w:beforeLines="50" w:before="120" w:beforeAutospacing="0" w:afterLines="50" w:after="120" w:afterAutospacing="0" w:line="360" w:lineRule="auto"/>
        <w:rPr>
          <w:rFonts w:ascii="Arial" w:hAnsi="Arial" w:cs="Arial"/>
          <w:color w:val="000000" w:themeColor="text1"/>
        </w:rPr>
      </w:pPr>
    </w:p>
    <w:sdt>
      <w:sdtPr>
        <w:id w:val="288709492"/>
        <w:docPartObj>
          <w:docPartGallery w:val="Bibliographies"/>
          <w:docPartUnique/>
        </w:docPartObj>
      </w:sdtPr>
      <w:sdtEndPr>
        <w:rPr>
          <w:rFonts w:ascii="Arial" w:eastAsia="Times New Roman" w:hAnsi="Arial" w:cs="Arial"/>
          <w:color w:val="000000" w:themeColor="text1"/>
          <w:lang w:eastAsia="en-GB"/>
        </w:rPr>
      </w:sdtEndPr>
      <w:sdtContent>
        <w:p w14:paraId="0E1BADA7" w14:textId="216A7ED1" w:rsidR="0013582B" w:rsidRPr="00E91650" w:rsidRDefault="0013582B" w:rsidP="003253A9">
          <w:pPr>
            <w:pStyle w:val="ListParagraph"/>
            <w:rPr>
              <w:rFonts w:ascii="Arial" w:hAnsi="Arial" w:cs="Arial"/>
              <w:b/>
              <w:color w:val="000000" w:themeColor="text1"/>
              <w:u w:val="single"/>
            </w:rPr>
          </w:pPr>
          <w:r w:rsidRPr="00E91650">
            <w:rPr>
              <w:rFonts w:ascii="Arial" w:hAnsi="Arial" w:cs="Arial"/>
              <w:b/>
              <w:color w:val="000000" w:themeColor="text1"/>
              <w:u w:val="single"/>
            </w:rPr>
            <w:t>Bibliography</w:t>
          </w:r>
        </w:p>
        <w:p w14:paraId="0DC0ACA6" w14:textId="77777777" w:rsidR="0013582B" w:rsidRPr="00276A5B" w:rsidRDefault="0013582B" w:rsidP="0013582B">
          <w:pPr>
            <w:rPr>
              <w:rFonts w:ascii="Arial" w:hAnsi="Arial" w:cs="Arial"/>
              <w:color w:val="000000" w:themeColor="text1"/>
            </w:rPr>
          </w:pPr>
        </w:p>
        <w:p w14:paraId="56E18D86" w14:textId="0C8F1999"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2014</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Code of Practice on handling in a reasonable manner requests to work flexibly, </w:t>
          </w:r>
          <w:r w:rsidRPr="00276A5B">
            <w:rPr>
              <w:rFonts w:ascii="Arial" w:hAnsi="Arial" w:cs="Arial"/>
              <w:noProof/>
              <w:color w:val="000000" w:themeColor="text1"/>
            </w:rPr>
            <w:t>ACAS.</w:t>
          </w:r>
        </w:p>
        <w:p w14:paraId="301DCBE2" w14:textId="77777777" w:rsidR="0013582B" w:rsidRPr="00276A5B" w:rsidRDefault="0013582B" w:rsidP="0013582B">
          <w:pPr>
            <w:rPr>
              <w:rFonts w:ascii="Arial" w:hAnsi="Arial" w:cs="Arial"/>
              <w:color w:val="000000" w:themeColor="text1"/>
            </w:rPr>
          </w:pPr>
        </w:p>
        <w:p w14:paraId="25FF2DD1" w14:textId="68D5CC76"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2015</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Code of Practice on disciplinary and grievance procedures.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https://www.acas.org.uk/acas-code-of-practice-for-disciplinary-and-grievance-procedures/html</w:t>
          </w:r>
          <w:r w:rsidRPr="00276A5B">
            <w:rPr>
              <w:rFonts w:ascii="Arial" w:hAnsi="Arial" w:cs="Arial"/>
              <w:noProof/>
              <w:color w:val="000000" w:themeColor="text1"/>
            </w:rPr>
            <w:t xml:space="preserve"> [Accessed 09 April 2021].</w:t>
          </w:r>
        </w:p>
        <w:p w14:paraId="260CA7EC" w14:textId="77777777" w:rsidR="0013582B" w:rsidRPr="00276A5B" w:rsidRDefault="0013582B" w:rsidP="0013582B">
          <w:pPr>
            <w:rPr>
              <w:rFonts w:ascii="Arial" w:hAnsi="Arial" w:cs="Arial"/>
              <w:color w:val="000000" w:themeColor="text1"/>
            </w:rPr>
          </w:pPr>
        </w:p>
        <w:p w14:paraId="498D6020" w14:textId="6D11A873"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2018</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Settlement Agreements Guide.</w:t>
          </w:r>
          <w:r w:rsidRPr="00276A5B">
            <w:rPr>
              <w:rFonts w:ascii="Arial" w:hAnsi="Arial" w:cs="Arial"/>
              <w:noProof/>
              <w:color w:val="000000" w:themeColor="text1"/>
            </w:rPr>
            <w:t xml:space="preserve"> </w:t>
          </w:r>
        </w:p>
        <w:p w14:paraId="4329C1CA" w14:textId="77777777" w:rsidR="0013582B" w:rsidRPr="00276A5B" w:rsidRDefault="0013582B" w:rsidP="0013582B">
          <w:pPr>
            <w:rPr>
              <w:rFonts w:ascii="Arial" w:hAnsi="Arial" w:cs="Arial"/>
              <w:color w:val="000000" w:themeColor="text1"/>
            </w:rPr>
          </w:pPr>
        </w:p>
        <w:p w14:paraId="4FAD841D" w14:textId="59783EF5"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Early conciliation.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https://www.acas.org.uk/early-conciliation/if-youre-being-taken-to-an-employment-tribunal</w:t>
          </w:r>
          <w:r w:rsidRPr="00276A5B">
            <w:rPr>
              <w:rFonts w:ascii="Arial" w:hAnsi="Arial" w:cs="Arial"/>
              <w:noProof/>
              <w:color w:val="000000" w:themeColor="text1"/>
            </w:rPr>
            <w:t xml:space="preserve"> [Accessed 23 April 2021].</w:t>
          </w:r>
        </w:p>
        <w:p w14:paraId="20E086A2" w14:textId="77777777" w:rsidR="0013582B" w:rsidRPr="00276A5B" w:rsidRDefault="0013582B" w:rsidP="0013582B">
          <w:pPr>
            <w:rPr>
              <w:rFonts w:ascii="Arial" w:hAnsi="Arial" w:cs="Arial"/>
              <w:color w:val="000000" w:themeColor="text1"/>
            </w:rPr>
          </w:pPr>
        </w:p>
        <w:p w14:paraId="4EB23A3B" w14:textId="75142E84"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Disciplinary procedure: step by step.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https://www.acas.org.uk/disciplinary-procedure-step-by-step/step-5-deciding-on-the-disciplinary-outcome</w:t>
          </w:r>
          <w:r w:rsidRPr="00276A5B">
            <w:rPr>
              <w:rFonts w:ascii="Arial" w:hAnsi="Arial" w:cs="Arial"/>
              <w:noProof/>
              <w:color w:val="000000" w:themeColor="text1"/>
            </w:rPr>
            <w:t xml:space="preserve"> [Accessed 23 April 2021].</w:t>
          </w:r>
        </w:p>
        <w:p w14:paraId="048D5127" w14:textId="77777777" w:rsidR="0013582B" w:rsidRPr="00276A5B" w:rsidRDefault="0013582B" w:rsidP="0013582B">
          <w:pPr>
            <w:rPr>
              <w:rFonts w:ascii="Arial" w:hAnsi="Arial" w:cs="Arial"/>
              <w:color w:val="000000" w:themeColor="text1"/>
            </w:rPr>
          </w:pPr>
        </w:p>
        <w:p w14:paraId="2670C047" w14:textId="22498547"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Dismissals.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https://www.acas.org.uk/dismissals/notice-periods-and-pay</w:t>
          </w:r>
          <w:r w:rsidRPr="00276A5B">
            <w:rPr>
              <w:rFonts w:ascii="Arial" w:hAnsi="Arial" w:cs="Arial"/>
              <w:noProof/>
              <w:color w:val="000000" w:themeColor="text1"/>
            </w:rPr>
            <w:t xml:space="preserve"> [Accessed 23 April 2021].</w:t>
          </w:r>
        </w:p>
        <w:p w14:paraId="097655E9" w14:textId="77777777" w:rsidR="0013582B" w:rsidRPr="00276A5B" w:rsidRDefault="0013582B" w:rsidP="0013582B">
          <w:pPr>
            <w:rPr>
              <w:rFonts w:ascii="Arial" w:hAnsi="Arial" w:cs="Arial"/>
              <w:color w:val="000000" w:themeColor="text1"/>
            </w:rPr>
          </w:pPr>
        </w:p>
        <w:p w14:paraId="18C20136" w14:textId="1BCA6FD6"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British Home Stores Limited v Burchell [1978] IRLR 379.</w:t>
          </w:r>
        </w:p>
        <w:p w14:paraId="2E2F05D8" w14:textId="77777777" w:rsidR="0013582B" w:rsidRPr="00276A5B" w:rsidRDefault="0013582B" w:rsidP="0013582B">
          <w:pPr>
            <w:rPr>
              <w:rFonts w:ascii="Arial" w:hAnsi="Arial" w:cs="Arial"/>
              <w:color w:val="000000" w:themeColor="text1"/>
            </w:rPr>
          </w:pPr>
        </w:p>
        <w:p w14:paraId="73933E15" w14:textId="2FD3CB17"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Cavendish Munro professional Risks Management Ltd v Geduld UK</w:t>
          </w:r>
          <w:r w:rsidR="00796F32" w:rsidRPr="00276A5B">
            <w:rPr>
              <w:rFonts w:ascii="Arial" w:hAnsi="Arial" w:cs="Arial"/>
              <w:i/>
              <w:iCs/>
              <w:noProof/>
              <w:color w:val="000000" w:themeColor="text1"/>
            </w:rPr>
            <w:t xml:space="preserve"> [2010]</w:t>
          </w:r>
          <w:r w:rsidRPr="00276A5B">
            <w:rPr>
              <w:rFonts w:ascii="Arial" w:hAnsi="Arial" w:cs="Arial"/>
              <w:noProof/>
              <w:color w:val="000000" w:themeColor="text1"/>
            </w:rPr>
            <w:t xml:space="preserve">. </w:t>
          </w:r>
        </w:p>
        <w:p w14:paraId="61C317CA" w14:textId="77777777" w:rsidR="0013582B" w:rsidRPr="00276A5B" w:rsidRDefault="0013582B" w:rsidP="0013582B">
          <w:pPr>
            <w:rPr>
              <w:rFonts w:ascii="Arial" w:hAnsi="Arial" w:cs="Arial"/>
              <w:color w:val="000000" w:themeColor="text1"/>
            </w:rPr>
          </w:pPr>
        </w:p>
        <w:p w14:paraId="72C1B08D" w14:textId="39299D94"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2020</w:t>
          </w:r>
          <w:r w:rsidR="00796F32" w:rsidRPr="00276A5B">
            <w:rPr>
              <w:rFonts w:ascii="Arial" w:hAnsi="Arial" w:cs="Arial"/>
              <w:noProof/>
              <w:color w:val="000000" w:themeColor="text1"/>
            </w:rPr>
            <w:t>a)</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Dismissal procedures.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https://www.cipd.co.uk/knowledge/fundamentals/emp-law/dismissal/factsheet#gref</w:t>
          </w:r>
          <w:r w:rsidRPr="00276A5B">
            <w:rPr>
              <w:rFonts w:ascii="Arial" w:hAnsi="Arial" w:cs="Arial"/>
              <w:noProof/>
              <w:color w:val="000000" w:themeColor="text1"/>
            </w:rPr>
            <w:t xml:space="preserve"> [Accessed 27 April 2021].</w:t>
          </w:r>
        </w:p>
        <w:p w14:paraId="53E9F9A9" w14:textId="77777777" w:rsidR="00796F32" w:rsidRPr="00276A5B" w:rsidRDefault="00796F32" w:rsidP="00796F32">
          <w:pPr>
            <w:rPr>
              <w:rFonts w:ascii="Arial" w:hAnsi="Arial" w:cs="Arial"/>
              <w:color w:val="000000" w:themeColor="text1"/>
            </w:rPr>
          </w:pPr>
        </w:p>
        <w:p w14:paraId="703FBB7C" w14:textId="77777777"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(2020b) Unfair Dismissal Q&amp;As. [Online] Available at: https://www.cipd.co.uk/knowledge/fundamentals/emp-law/dismissal/unfair-dismissal-questions [Accessed 30 April 2021]. </w:t>
          </w:r>
        </w:p>
        <w:p w14:paraId="0026F994" w14:textId="23EB3E95"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CIPD, (2020c) Wrongful Dismissal Q&amp;As. [Online] Available at: https://www.cipd.co.uk/knowledge/fundamentals/emp-law/dismissal/wrongful-dismissal-questions [Accessed 30 April 2021].</w:t>
          </w:r>
        </w:p>
        <w:p w14:paraId="54C95FA3" w14:textId="77777777" w:rsidR="0013582B" w:rsidRPr="00276A5B" w:rsidRDefault="0013582B" w:rsidP="0013582B">
          <w:pPr>
            <w:rPr>
              <w:rFonts w:ascii="Arial" w:hAnsi="Arial" w:cs="Arial"/>
              <w:color w:val="000000" w:themeColor="text1"/>
            </w:rPr>
          </w:pPr>
        </w:p>
        <w:p w14:paraId="0B9EF40E" w14:textId="57AB2DA2"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Statutory rates and compensation limits.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https://www.cipd.co.uk/knowledge/fundamentals/emp-law/about/statutory-rates#gref</w:t>
          </w:r>
          <w:r w:rsidRPr="00276A5B">
            <w:rPr>
              <w:rFonts w:ascii="Arial" w:hAnsi="Arial" w:cs="Arial"/>
              <w:noProof/>
              <w:color w:val="000000" w:themeColor="text1"/>
            </w:rPr>
            <w:t xml:space="preserve"> [Accessed 29 April 2021].</w:t>
          </w:r>
        </w:p>
        <w:p w14:paraId="1CE6DDD5" w14:textId="77777777" w:rsidR="0013582B" w:rsidRPr="00276A5B" w:rsidRDefault="0013582B" w:rsidP="0013582B">
          <w:pPr>
            <w:rPr>
              <w:rFonts w:ascii="Arial" w:hAnsi="Arial" w:cs="Arial"/>
              <w:color w:val="000000" w:themeColor="text1"/>
            </w:rPr>
          </w:pPr>
        </w:p>
        <w:p w14:paraId="152F14F3" w14:textId="4564B18E" w:rsidR="00796F32"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COVID-19: returning to the workplace.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https://www.cipd.co.uk/knowledge/fundamentals/emp-law/employees/workplace-guide-returning-after-coronavirus#gref</w:t>
          </w:r>
          <w:r w:rsidRPr="00276A5B">
            <w:rPr>
              <w:rFonts w:ascii="Arial" w:hAnsi="Arial" w:cs="Arial"/>
              <w:noProof/>
              <w:color w:val="000000" w:themeColor="text1"/>
            </w:rPr>
            <w:br/>
            <w:t>[Accessed 30 April 2021]</w:t>
          </w:r>
          <w:r w:rsidR="00796F32" w:rsidRPr="00276A5B">
            <w:rPr>
              <w:rFonts w:ascii="Arial" w:hAnsi="Arial" w:cs="Arial"/>
              <w:noProof/>
              <w:color w:val="000000" w:themeColor="text1"/>
            </w:rPr>
            <w:t>.</w:t>
          </w:r>
        </w:p>
        <w:p w14:paraId="17C786BE" w14:textId="77777777" w:rsidR="00796F32" w:rsidRPr="00276A5B" w:rsidRDefault="00796F32" w:rsidP="00796F32">
          <w:pPr>
            <w:rPr>
              <w:rFonts w:ascii="Arial" w:hAnsi="Arial" w:cs="Arial"/>
              <w:color w:val="000000" w:themeColor="text1"/>
            </w:rPr>
          </w:pPr>
        </w:p>
        <w:p w14:paraId="56EF8C57" w14:textId="77407BE2"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(2021c) Terms and Conditions of Employment. [Online] Availabe at: </w:t>
          </w:r>
          <w:hyperlink r:id="rId10" w:history="1">
            <w:r w:rsidRPr="00276A5B">
              <w:rPr>
                <w:rStyle w:val="Hyperlink"/>
                <w:rFonts w:ascii="Arial" w:hAnsi="Arial" w:cs="Arial"/>
                <w:noProof/>
                <w:color w:val="000000" w:themeColor="text1"/>
              </w:rPr>
              <w:t>https://www.cipd.co.uk/knowledge/fundamentals/emp-law/terms-conditions</w:t>
            </w:r>
          </w:hyperlink>
          <w:r w:rsidRPr="00276A5B">
            <w:rPr>
              <w:rFonts w:ascii="Arial" w:hAnsi="Arial" w:cs="Arial"/>
              <w:noProof/>
              <w:color w:val="000000" w:themeColor="text1"/>
            </w:rPr>
            <w:t xml:space="preserve"> [Accessed 30 April 2021].</w:t>
          </w:r>
        </w:p>
        <w:p w14:paraId="7FDD8D73" w14:textId="77777777" w:rsidR="00796F32" w:rsidRPr="00276A5B" w:rsidRDefault="00796F32" w:rsidP="00796F32">
          <w:pPr>
            <w:rPr>
              <w:rFonts w:ascii="Arial" w:hAnsi="Arial" w:cs="Arial"/>
              <w:color w:val="000000" w:themeColor="text1"/>
            </w:rPr>
          </w:pPr>
        </w:p>
        <w:p w14:paraId="245D5DF9" w14:textId="2397BDC9"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(2021d) Data Protection. [Online] Available at: </w:t>
          </w:r>
          <w:hyperlink r:id="rId11" w:history="1">
            <w:r w:rsidRPr="00276A5B">
              <w:rPr>
                <w:rStyle w:val="Hyperlink"/>
                <w:rFonts w:ascii="Arial" w:hAnsi="Arial" w:cs="Arial"/>
                <w:noProof/>
                <w:color w:val="000000" w:themeColor="text1"/>
              </w:rPr>
              <w:t>https://www.cipd.co.uk/knowledge/fundamentals/emp-law/data-protection</w:t>
            </w:r>
          </w:hyperlink>
          <w:r w:rsidRPr="00276A5B">
            <w:rPr>
              <w:rFonts w:ascii="Arial" w:hAnsi="Arial" w:cs="Arial"/>
              <w:noProof/>
              <w:color w:val="000000" w:themeColor="text1"/>
            </w:rPr>
            <w:t xml:space="preserve"> [Accessed 30 April 2021].</w:t>
          </w:r>
        </w:p>
        <w:p w14:paraId="49206356" w14:textId="77777777" w:rsidR="00796F32" w:rsidRPr="00276A5B" w:rsidRDefault="00796F32" w:rsidP="00796F32">
          <w:pPr>
            <w:rPr>
              <w:rFonts w:ascii="Arial" w:hAnsi="Arial" w:cs="Arial"/>
              <w:color w:val="000000" w:themeColor="text1"/>
            </w:rPr>
          </w:pPr>
        </w:p>
        <w:p w14:paraId="15038FAD" w14:textId="649FC0EB"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CIPD, (2021e) Holiday Entitlement and Pay. [Online] Available at: https://www.cipd.co.uk/knowledge/fundamentals/emp-law/holidays [Accessed 30 April 2021].</w:t>
          </w:r>
        </w:p>
        <w:p w14:paraId="3D0120E6" w14:textId="77777777" w:rsidR="00796F32" w:rsidRPr="00276A5B" w:rsidRDefault="00796F32" w:rsidP="00796F32">
          <w:pPr>
            <w:rPr>
              <w:rFonts w:ascii="Arial" w:hAnsi="Arial" w:cs="Arial"/>
              <w:color w:val="000000" w:themeColor="text1"/>
            </w:rPr>
          </w:pPr>
        </w:p>
        <w:p w14:paraId="18ABF6C6" w14:textId="5C2077C6"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CIPD, (2021f) Working Time. [Online] Available at: https://www.cipd.co.uk/knowledge/fundamentals/emp-law/working-time  [Accessed 30 April 2021].</w:t>
          </w:r>
        </w:p>
        <w:p w14:paraId="34FBCD83" w14:textId="77777777" w:rsidR="00796F32" w:rsidRPr="00276A5B" w:rsidRDefault="00796F32" w:rsidP="00796F32">
          <w:pPr>
            <w:rPr>
              <w:rFonts w:ascii="Arial" w:hAnsi="Arial" w:cs="Arial"/>
              <w:color w:val="000000" w:themeColor="text1"/>
            </w:rPr>
          </w:pPr>
        </w:p>
        <w:p w14:paraId="431EDF64" w14:textId="425BF05A"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CIPD, (2021g) Returning to the workplace. [Online] Available at: https://www.cipd.co.uk/knowledge/coronavirus/faqs/returning-to-workplace [Accessed 30 April 2021].</w:t>
          </w:r>
        </w:p>
        <w:p w14:paraId="4838EF1D" w14:textId="77777777" w:rsidR="00796F32" w:rsidRPr="00276A5B" w:rsidRDefault="00796F32" w:rsidP="00796F32">
          <w:pPr>
            <w:rPr>
              <w:rFonts w:ascii="Arial" w:hAnsi="Arial" w:cs="Arial"/>
              <w:color w:val="000000" w:themeColor="text1"/>
            </w:rPr>
          </w:pPr>
        </w:p>
        <w:p w14:paraId="30192800" w14:textId="5B2A95CA"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CIPD, (2021h) Tribunal Claims Q&amp;As. [Online] Available at: https://www.cipd.co.uk/knowledge/fundamentals/emp-law/tribunals/questions [Accessed 30 April 2021].</w:t>
          </w:r>
        </w:p>
        <w:p w14:paraId="566E31D4" w14:textId="77777777" w:rsidR="00796F32" w:rsidRPr="00276A5B" w:rsidRDefault="00796F32" w:rsidP="00796F32">
          <w:pPr>
            <w:rPr>
              <w:rFonts w:ascii="Arial" w:hAnsi="Arial" w:cs="Arial"/>
              <w:color w:val="000000" w:themeColor="text1"/>
            </w:rPr>
          </w:pPr>
        </w:p>
        <w:p w14:paraId="7E138693" w14:textId="5ED8A634"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CIPD, (2021i) Trade Union Recognition and Inductrial Action Q&amp;As. [Online] Available at: https://www.cipd.co.uk/knowledge/fundamentals/relations/employees/trade-unions-questions [Accessed 30 April 2021].</w:t>
          </w:r>
        </w:p>
        <w:p w14:paraId="203AC31C" w14:textId="77777777" w:rsidR="0013582B" w:rsidRPr="00276A5B" w:rsidRDefault="0013582B" w:rsidP="0013582B">
          <w:pPr>
            <w:rPr>
              <w:rFonts w:ascii="Arial" w:hAnsi="Arial" w:cs="Arial"/>
              <w:color w:val="000000" w:themeColor="text1"/>
            </w:rPr>
          </w:pPr>
        </w:p>
        <w:p w14:paraId="2B1A6F30" w14:textId="6A614F0B"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Employer's response to an employment tribunal claim.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2" w:history="1">
            <w:r w:rsidRPr="00276A5B">
              <w:rPr>
                <w:rStyle w:val="Hyperlink"/>
                <w:rFonts w:ascii="Arial" w:hAnsi="Arial" w:cs="Arial"/>
                <w:noProof/>
                <w:color w:val="000000" w:themeColor="text1"/>
              </w:rPr>
              <w:t>https://www.citizensadvice.org.uk/work/problems-at-work/employment-tribunals/employer-s-response-to-an-employment-tribunal-claim/</w:t>
            </w:r>
          </w:hyperlink>
          <w:r w:rsidRPr="00276A5B">
            <w:rPr>
              <w:rFonts w:ascii="Arial" w:hAnsi="Arial" w:cs="Arial"/>
              <w:noProof/>
              <w:color w:val="000000" w:themeColor="text1"/>
            </w:rPr>
            <w:t xml:space="preserve"> [Accessed 09 April 2021].</w:t>
          </w:r>
        </w:p>
        <w:p w14:paraId="584A2303" w14:textId="77777777" w:rsidR="0013582B" w:rsidRPr="00276A5B" w:rsidRDefault="0013582B" w:rsidP="0013582B">
          <w:pPr>
            <w:rPr>
              <w:rFonts w:ascii="Arial" w:hAnsi="Arial" w:cs="Arial"/>
              <w:color w:val="000000" w:themeColor="text1"/>
            </w:rPr>
          </w:pPr>
        </w:p>
        <w:p w14:paraId="30285549" w14:textId="66020208"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tribunals - legal tests for unfair dismissal claims - misconduct.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https://www.citizensadvice.org.uk/work/problems-at-work/employment-tribunals-from-29-july-2013/making-an-employment-tribunal-claim-is-it-worth-it/employment-tribunals-unfair-dismissal-claims/legal-tests/employment-tribunals-legal-tests-for-unfair-dismissa</w:t>
          </w:r>
          <w:r w:rsidRPr="00276A5B">
            <w:rPr>
              <w:rFonts w:ascii="Arial" w:hAnsi="Arial" w:cs="Arial"/>
              <w:noProof/>
              <w:color w:val="000000" w:themeColor="text1"/>
            </w:rPr>
            <w:t xml:space="preserve"> [Accessed 23 April 2021].</w:t>
          </w:r>
        </w:p>
        <w:p w14:paraId="50CAD98E" w14:textId="77777777" w:rsidR="0013582B" w:rsidRPr="00276A5B" w:rsidRDefault="0013582B" w:rsidP="0013582B">
          <w:pPr>
            <w:rPr>
              <w:rFonts w:ascii="Arial" w:hAnsi="Arial" w:cs="Arial"/>
              <w:color w:val="000000" w:themeColor="text1"/>
            </w:rPr>
          </w:pPr>
        </w:p>
        <w:p w14:paraId="165CAAFD" w14:textId="192CFBA0"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tribunals - how to work out your basic award if you are claiming unfair dismissal.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https://www.citizensadvice.org.uk/work/problems-at-work/employment-tribunals-from-29-july-2013/employment-tribunals-valuing-a-claim/employment-tribunals-how-to-work-out-your-basic-award-if-you-are-claiming-unfair-dismissal/</w:t>
          </w:r>
          <w:r w:rsidRPr="00276A5B">
            <w:rPr>
              <w:rFonts w:ascii="Arial" w:hAnsi="Arial" w:cs="Arial"/>
              <w:noProof/>
              <w:color w:val="000000" w:themeColor="text1"/>
            </w:rPr>
            <w:br/>
            <w:t>[Accessed 29 April 2021].</w:t>
          </w:r>
        </w:p>
        <w:p w14:paraId="236BFC89" w14:textId="77777777" w:rsidR="0013582B" w:rsidRPr="00276A5B" w:rsidRDefault="0013582B" w:rsidP="0013582B">
          <w:pPr>
            <w:rPr>
              <w:rFonts w:ascii="Arial" w:hAnsi="Arial" w:cs="Arial"/>
              <w:color w:val="000000" w:themeColor="text1"/>
            </w:rPr>
          </w:pPr>
        </w:p>
        <w:p w14:paraId="7C185ABD" w14:textId="2AF52CE4"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2021d</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Your notice period during dismissal.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https://www.citizensadvice.org.uk/work/leaving-a-job/dismissal/your-notice-period-during-dismissal/</w:t>
          </w:r>
          <w:r w:rsidRPr="00276A5B">
            <w:rPr>
              <w:rFonts w:ascii="Arial" w:hAnsi="Arial" w:cs="Arial"/>
              <w:noProof/>
              <w:color w:val="000000" w:themeColor="text1"/>
            </w:rPr>
            <w:t xml:space="preserve"> [Accessed 24 April 2021].</w:t>
          </w:r>
        </w:p>
        <w:p w14:paraId="729CE399" w14:textId="77777777" w:rsidR="0013582B" w:rsidRPr="00276A5B" w:rsidRDefault="0013582B" w:rsidP="0013582B">
          <w:pPr>
            <w:rPr>
              <w:rFonts w:ascii="Arial" w:hAnsi="Arial" w:cs="Arial"/>
              <w:color w:val="000000" w:themeColor="text1"/>
            </w:rPr>
          </w:pPr>
        </w:p>
        <w:p w14:paraId="30FCD20F" w14:textId="6E135D11" w:rsidR="00796F32" w:rsidRPr="00276A5B" w:rsidRDefault="0013582B" w:rsidP="003253A9">
          <w:pPr>
            <w:pStyle w:val="Bibliography"/>
            <w:numPr>
              <w:ilvl w:val="0"/>
              <w:numId w:val="36"/>
            </w:numPr>
            <w:spacing w:line="360" w:lineRule="auto"/>
            <w:rPr>
              <w:rFonts w:ascii="Arial" w:hAnsi="Arial" w:cs="Arial"/>
              <w:i/>
              <w:iCs/>
              <w:noProof/>
              <w:color w:val="000000" w:themeColor="text1"/>
            </w:rPr>
          </w:pPr>
          <w:r w:rsidRPr="00276A5B">
            <w:rPr>
              <w:rFonts w:ascii="Arial" w:hAnsi="Arial" w:cs="Arial"/>
              <w:i/>
              <w:iCs/>
              <w:noProof/>
              <w:color w:val="000000" w:themeColor="text1"/>
            </w:rPr>
            <w:t>Coleman v Attridge Law and another C-303/06 [2008] IRLR 722 (ECJ).</w:t>
          </w:r>
        </w:p>
        <w:p w14:paraId="77E64A49" w14:textId="77777777" w:rsidR="00796F32" w:rsidRPr="00276A5B" w:rsidRDefault="00796F32" w:rsidP="00796F32">
          <w:pPr>
            <w:rPr>
              <w:rFonts w:ascii="Arial" w:hAnsi="Arial" w:cs="Arial"/>
              <w:color w:val="000000" w:themeColor="text1"/>
            </w:rPr>
          </w:pPr>
        </w:p>
        <w:p w14:paraId="42C982F2" w14:textId="0B6B5DDE" w:rsidR="00796F32" w:rsidRPr="00276A5B" w:rsidRDefault="00796F32" w:rsidP="003253A9">
          <w:pPr>
            <w:pStyle w:val="Bibliography"/>
            <w:numPr>
              <w:ilvl w:val="0"/>
              <w:numId w:val="36"/>
            </w:numPr>
            <w:spacing w:line="360" w:lineRule="auto"/>
            <w:rPr>
              <w:rFonts w:ascii="Arial" w:hAnsi="Arial" w:cs="Arial"/>
              <w:i/>
              <w:iCs/>
              <w:noProof/>
              <w:color w:val="000000" w:themeColor="text1"/>
            </w:rPr>
          </w:pPr>
          <w:r w:rsidRPr="00276A5B">
            <w:rPr>
              <w:rFonts w:ascii="Arial" w:hAnsi="Arial" w:cs="Arial"/>
              <w:color w:val="000000" w:themeColor="text1"/>
            </w:rPr>
            <w:t xml:space="preserve">Daniels, K. (2019) </w:t>
          </w:r>
          <w:r w:rsidRPr="00276A5B">
            <w:rPr>
              <w:rFonts w:ascii="Arial" w:hAnsi="Arial" w:cs="Arial"/>
              <w:i/>
              <w:iCs/>
              <w:color w:val="000000" w:themeColor="text1"/>
            </w:rPr>
            <w:t xml:space="preserve">Introduction to employment law : fundamentals for HR and business students </w:t>
          </w:r>
          <w:r w:rsidRPr="00276A5B">
            <w:rPr>
              <w:rFonts w:ascii="Arial" w:hAnsi="Arial" w:cs="Arial"/>
              <w:color w:val="000000" w:themeColor="text1"/>
            </w:rPr>
            <w:t>5th ed. London: Kogan Page</w:t>
          </w:r>
        </w:p>
        <w:p w14:paraId="61DD816F" w14:textId="77777777" w:rsidR="0013582B" w:rsidRPr="00276A5B" w:rsidRDefault="0013582B" w:rsidP="0013582B">
          <w:pPr>
            <w:rPr>
              <w:rFonts w:ascii="Arial" w:hAnsi="Arial" w:cs="Arial"/>
              <w:color w:val="000000" w:themeColor="text1"/>
              <w:lang w:val="en-US"/>
            </w:rPr>
          </w:pPr>
        </w:p>
        <w:p w14:paraId="434A03F6" w14:textId="09BB7856"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Data Protection Act 2018</w:t>
          </w:r>
          <w:r w:rsidRPr="00276A5B">
            <w:rPr>
              <w:rFonts w:ascii="Arial" w:hAnsi="Arial" w:cs="Arial"/>
              <w:noProof/>
              <w:color w:val="000000" w:themeColor="text1"/>
            </w:rPr>
            <w:t xml:space="preserve">. </w:t>
          </w:r>
        </w:p>
        <w:p w14:paraId="78043C21" w14:textId="77777777" w:rsidR="0013582B" w:rsidRPr="00276A5B" w:rsidRDefault="0013582B" w:rsidP="0013582B">
          <w:pPr>
            <w:rPr>
              <w:rFonts w:ascii="Arial" w:hAnsi="Arial" w:cs="Arial"/>
              <w:color w:val="000000" w:themeColor="text1"/>
            </w:rPr>
          </w:pPr>
        </w:p>
        <w:p w14:paraId="0986DAA6" w14:textId="62C8D95C"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Dornsfield v University of Reading 2019</w:t>
          </w:r>
          <w:r w:rsidRPr="00276A5B">
            <w:rPr>
              <w:rFonts w:ascii="Arial" w:hAnsi="Arial" w:cs="Arial"/>
              <w:noProof/>
              <w:color w:val="000000" w:themeColor="text1"/>
            </w:rPr>
            <w:t xml:space="preserve">. </w:t>
          </w:r>
        </w:p>
        <w:p w14:paraId="4E477BDB" w14:textId="77777777" w:rsidR="0013582B" w:rsidRPr="00276A5B" w:rsidRDefault="0013582B" w:rsidP="0013582B">
          <w:pPr>
            <w:rPr>
              <w:rFonts w:ascii="Arial" w:hAnsi="Arial" w:cs="Arial"/>
              <w:color w:val="000000" w:themeColor="text1"/>
            </w:rPr>
          </w:pPr>
        </w:p>
        <w:p w14:paraId="735A0494" w14:textId="5F6EA138" w:rsidR="00796F32"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Employment Relations Act 1999</w:t>
          </w:r>
          <w:r w:rsidRPr="00276A5B">
            <w:rPr>
              <w:rFonts w:ascii="Arial" w:hAnsi="Arial" w:cs="Arial"/>
              <w:noProof/>
              <w:color w:val="000000" w:themeColor="text1"/>
            </w:rPr>
            <w:t>.</w:t>
          </w:r>
          <w:r w:rsidR="00796F32" w:rsidRPr="00276A5B">
            <w:rPr>
              <w:rFonts w:ascii="Arial" w:hAnsi="Arial" w:cs="Arial"/>
              <w:noProof/>
              <w:color w:val="000000" w:themeColor="text1"/>
            </w:rPr>
            <w:t xml:space="preserve"> </w:t>
          </w:r>
        </w:p>
        <w:p w14:paraId="322BBA23" w14:textId="77777777" w:rsidR="00796F32" w:rsidRPr="00276A5B" w:rsidRDefault="00796F32" w:rsidP="00796F32">
          <w:pPr>
            <w:rPr>
              <w:rFonts w:ascii="Arial" w:hAnsi="Arial" w:cs="Arial"/>
              <w:color w:val="000000" w:themeColor="text1"/>
            </w:rPr>
          </w:pPr>
        </w:p>
        <w:p w14:paraId="4AA253D3" w14:textId="29F8A910"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Equality and Human Rights Comission, (2021) [Online] Available At: </w:t>
          </w:r>
          <w:hyperlink r:id="rId13" w:history="1">
            <w:r w:rsidRPr="00276A5B">
              <w:rPr>
                <w:rStyle w:val="Hyperlink"/>
                <w:rFonts w:ascii="Arial" w:hAnsi="Arial" w:cs="Arial"/>
                <w:noProof/>
                <w:color w:val="000000" w:themeColor="text1"/>
              </w:rPr>
              <w:t>https://www.equalityhumanrights.com/en</w:t>
            </w:r>
          </w:hyperlink>
          <w:r w:rsidRPr="00276A5B">
            <w:rPr>
              <w:rFonts w:ascii="Arial" w:hAnsi="Arial" w:cs="Arial"/>
              <w:noProof/>
              <w:color w:val="000000" w:themeColor="text1"/>
            </w:rPr>
            <w:t xml:space="preserve"> [Accessed 24 April 2021].</w:t>
          </w:r>
        </w:p>
        <w:p w14:paraId="45EC4B3B" w14:textId="77777777" w:rsidR="0013582B" w:rsidRPr="00276A5B" w:rsidRDefault="0013582B" w:rsidP="0013582B">
          <w:pPr>
            <w:rPr>
              <w:rFonts w:ascii="Arial" w:hAnsi="Arial" w:cs="Arial"/>
              <w:color w:val="000000" w:themeColor="text1"/>
            </w:rPr>
          </w:pPr>
        </w:p>
        <w:p w14:paraId="3B1D3F56" w14:textId="150EF6A5"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Gilham v Kent County Council (1985) IRLR 16.</w:t>
          </w:r>
        </w:p>
        <w:p w14:paraId="7A18D41B" w14:textId="77777777" w:rsidR="0013582B" w:rsidRPr="00276A5B" w:rsidRDefault="0013582B" w:rsidP="0013582B">
          <w:pPr>
            <w:rPr>
              <w:rFonts w:ascii="Arial" w:hAnsi="Arial" w:cs="Arial"/>
              <w:color w:val="000000" w:themeColor="text1"/>
            </w:rPr>
          </w:pPr>
        </w:p>
        <w:p w14:paraId="6C13AC4B" w14:textId="02D793F0"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2014</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Form ET3: Respond to a claim made to an employment tribunal. </w:t>
          </w:r>
          <w:r w:rsidRPr="00276A5B">
            <w:rPr>
              <w:rFonts w:ascii="Arial" w:hAnsi="Arial" w:cs="Arial"/>
              <w:noProof/>
              <w:color w:val="000000" w:themeColor="text1"/>
            </w:rPr>
            <w:t xml:space="preserve">[Online]  Available at: </w:t>
          </w:r>
          <w:r w:rsidRPr="00276A5B">
            <w:rPr>
              <w:rFonts w:ascii="Arial" w:hAnsi="Arial" w:cs="Arial"/>
              <w:noProof/>
              <w:color w:val="000000" w:themeColor="text1"/>
              <w:u w:val="single"/>
            </w:rPr>
            <w:t>https://www.gov.uk/government/publications/respond-to-a-claim-made-to-an-employment-tribunal-form-et3</w:t>
          </w:r>
          <w:r w:rsidRPr="00276A5B">
            <w:rPr>
              <w:rFonts w:ascii="Arial" w:hAnsi="Arial" w:cs="Arial"/>
              <w:noProof/>
              <w:color w:val="000000" w:themeColor="text1"/>
            </w:rPr>
            <w:t xml:space="preserve"> [Accessed 23 April 2021].</w:t>
          </w:r>
        </w:p>
        <w:p w14:paraId="55373E5A" w14:textId="77777777" w:rsidR="0013582B" w:rsidRPr="00276A5B" w:rsidRDefault="0013582B" w:rsidP="0013582B">
          <w:pPr>
            <w:rPr>
              <w:rFonts w:ascii="Arial" w:hAnsi="Arial" w:cs="Arial"/>
              <w:color w:val="000000" w:themeColor="text1"/>
            </w:rPr>
          </w:pPr>
        </w:p>
        <w:p w14:paraId="49C5A238" w14:textId="46D92169"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Being taken to an employment tribunal.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4" w:history="1">
            <w:r w:rsidRPr="00276A5B">
              <w:rPr>
                <w:rStyle w:val="Hyperlink"/>
                <w:rFonts w:ascii="Arial" w:hAnsi="Arial" w:cs="Arial"/>
                <w:noProof/>
                <w:color w:val="000000" w:themeColor="text1"/>
              </w:rPr>
              <w:t>https://www.gov.uk/being-taken-to-employment-tribunal-by-employee</w:t>
            </w:r>
          </w:hyperlink>
          <w:r w:rsidRPr="00276A5B">
            <w:rPr>
              <w:rFonts w:ascii="Arial" w:hAnsi="Arial" w:cs="Arial"/>
              <w:noProof/>
              <w:color w:val="000000" w:themeColor="text1"/>
            </w:rPr>
            <w:t xml:space="preserve"> [Accessed 06 April 2021].</w:t>
          </w:r>
        </w:p>
        <w:p w14:paraId="36DC6B96" w14:textId="77777777" w:rsidR="0013582B" w:rsidRPr="00276A5B" w:rsidRDefault="0013582B" w:rsidP="0013582B">
          <w:pPr>
            <w:rPr>
              <w:rFonts w:ascii="Arial" w:hAnsi="Arial" w:cs="Arial"/>
              <w:color w:val="000000" w:themeColor="text1"/>
            </w:rPr>
          </w:pPr>
        </w:p>
        <w:p w14:paraId="3DED2A9E" w14:textId="4239A04F"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Dismissing Staff. </w:t>
          </w:r>
          <w:r w:rsidRPr="00276A5B">
            <w:rPr>
              <w:rFonts w:ascii="Arial" w:hAnsi="Arial" w:cs="Arial"/>
              <w:noProof/>
              <w:color w:val="000000" w:themeColor="text1"/>
            </w:rPr>
            <w:t xml:space="preserve">[Online]  Available at: </w:t>
          </w:r>
          <w:r w:rsidRPr="00276A5B">
            <w:rPr>
              <w:rFonts w:ascii="Arial" w:hAnsi="Arial" w:cs="Arial"/>
              <w:noProof/>
              <w:color w:val="000000" w:themeColor="text1"/>
              <w:u w:val="single"/>
            </w:rPr>
            <w:t>https://www.gov.uk/dismiss-staff/fair-dismissals</w:t>
          </w:r>
          <w:r w:rsidRPr="00276A5B">
            <w:rPr>
              <w:rFonts w:ascii="Arial" w:hAnsi="Arial" w:cs="Arial"/>
              <w:noProof/>
              <w:color w:val="000000" w:themeColor="text1"/>
            </w:rPr>
            <w:t xml:space="preserve"> [Accessed 09 April 2021].</w:t>
          </w:r>
        </w:p>
        <w:p w14:paraId="558D970C" w14:textId="77777777" w:rsidR="0013582B" w:rsidRPr="00276A5B" w:rsidRDefault="0013582B" w:rsidP="0013582B">
          <w:pPr>
            <w:rPr>
              <w:rFonts w:ascii="Arial" w:hAnsi="Arial" w:cs="Arial"/>
              <w:color w:val="000000" w:themeColor="text1"/>
            </w:rPr>
          </w:pPr>
        </w:p>
        <w:p w14:paraId="4E88B4EE" w14:textId="0966DAFD"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Make a claim to an employment tribunal.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https://www.gov.uk/employment-tribunals/after-you-make-a-claim</w:t>
          </w:r>
          <w:r w:rsidRPr="00276A5B">
            <w:rPr>
              <w:rFonts w:ascii="Arial" w:hAnsi="Arial" w:cs="Arial"/>
              <w:noProof/>
              <w:color w:val="000000" w:themeColor="text1"/>
            </w:rPr>
            <w:br/>
            <w:t>[Accessed 09 April 2021].</w:t>
          </w:r>
        </w:p>
        <w:p w14:paraId="789A7FBE" w14:textId="77777777" w:rsidR="0013582B" w:rsidRPr="00276A5B" w:rsidRDefault="0013582B" w:rsidP="0013582B">
          <w:pPr>
            <w:rPr>
              <w:rFonts w:ascii="Arial" w:hAnsi="Arial" w:cs="Arial"/>
              <w:color w:val="000000" w:themeColor="text1"/>
            </w:rPr>
          </w:pPr>
        </w:p>
        <w:p w14:paraId="6D91FDE0" w14:textId="74BC8EF0"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2021d</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Working safely during coronavirus (COVID-19).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https://www.gov.uk/guidance/working-safely-during-coronavirus-covid-19</w:t>
          </w:r>
          <w:r w:rsidRPr="00276A5B">
            <w:rPr>
              <w:rFonts w:ascii="Arial" w:hAnsi="Arial" w:cs="Arial"/>
              <w:noProof/>
              <w:color w:val="000000" w:themeColor="text1"/>
            </w:rPr>
            <w:t xml:space="preserve"> [Accessed 30 April 2021].</w:t>
          </w:r>
        </w:p>
        <w:p w14:paraId="1FC635EE" w14:textId="77777777" w:rsidR="0013582B" w:rsidRPr="00276A5B" w:rsidRDefault="0013582B" w:rsidP="0013582B">
          <w:pPr>
            <w:rPr>
              <w:rFonts w:ascii="Arial" w:hAnsi="Arial" w:cs="Arial"/>
              <w:color w:val="000000" w:themeColor="text1"/>
            </w:rPr>
          </w:pPr>
        </w:p>
        <w:p w14:paraId="14C57E67" w14:textId="120FB38C"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Hadjioannou v Coral Casinos Ltd [1981] IRLR 352.</w:t>
          </w:r>
          <w:r w:rsidRPr="00276A5B">
            <w:rPr>
              <w:rFonts w:ascii="Arial" w:hAnsi="Arial" w:cs="Arial"/>
              <w:noProof/>
              <w:color w:val="000000" w:themeColor="text1"/>
            </w:rPr>
            <w:t xml:space="preserve">  </w:t>
          </w:r>
        </w:p>
        <w:p w14:paraId="7F67AB4B" w14:textId="77777777" w:rsidR="0013582B" w:rsidRPr="00276A5B" w:rsidRDefault="0013582B" w:rsidP="0013582B">
          <w:pPr>
            <w:rPr>
              <w:rFonts w:ascii="Arial" w:hAnsi="Arial" w:cs="Arial"/>
              <w:color w:val="000000" w:themeColor="text1"/>
            </w:rPr>
          </w:pPr>
        </w:p>
        <w:p w14:paraId="778EEAFD" w14:textId="4723473E"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Harvey v Vista Hotels 2015 </w:t>
          </w:r>
          <w:r w:rsidRPr="00276A5B">
            <w:rPr>
              <w:rFonts w:ascii="Arial" w:hAnsi="Arial" w:cs="Arial"/>
              <w:noProof/>
              <w:color w:val="000000" w:themeColor="text1"/>
            </w:rPr>
            <w:t xml:space="preserve">.  </w:t>
          </w:r>
        </w:p>
        <w:p w14:paraId="2F70FE0D" w14:textId="77777777" w:rsidR="0013582B" w:rsidRPr="00276A5B" w:rsidRDefault="0013582B" w:rsidP="0013582B">
          <w:pPr>
            <w:rPr>
              <w:rFonts w:ascii="Arial" w:hAnsi="Arial" w:cs="Arial"/>
              <w:color w:val="000000" w:themeColor="text1"/>
            </w:rPr>
          </w:pPr>
        </w:p>
        <w:p w14:paraId="40D9E73E" w14:textId="1CCEFB1D"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Holmes v Qinetiq Ltd (2016) IRLR 664</w:t>
          </w:r>
          <w:r w:rsidRPr="00276A5B">
            <w:rPr>
              <w:rFonts w:ascii="Arial" w:hAnsi="Arial" w:cs="Arial"/>
              <w:noProof/>
              <w:color w:val="000000" w:themeColor="text1"/>
            </w:rPr>
            <w:t xml:space="preserve">. </w:t>
          </w:r>
        </w:p>
        <w:p w14:paraId="4B843877" w14:textId="77777777" w:rsidR="0013582B" w:rsidRPr="00276A5B" w:rsidRDefault="0013582B" w:rsidP="0013582B">
          <w:pPr>
            <w:rPr>
              <w:rFonts w:ascii="Arial" w:hAnsi="Arial" w:cs="Arial"/>
              <w:color w:val="000000" w:themeColor="text1"/>
            </w:rPr>
          </w:pPr>
        </w:p>
        <w:p w14:paraId="02890EC4" w14:textId="52632ED1"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 xml:space="preserve">ICAEW, </w:t>
          </w:r>
          <w:r w:rsidR="00796F32" w:rsidRPr="00276A5B">
            <w:rPr>
              <w:rFonts w:ascii="Arial" w:hAnsi="Arial" w:cs="Arial"/>
              <w:noProof/>
              <w:color w:val="000000" w:themeColor="text1"/>
            </w:rPr>
            <w:t>(</w:t>
          </w:r>
          <w:r w:rsidRPr="00276A5B">
            <w:rPr>
              <w:rFonts w:ascii="Arial" w:hAnsi="Arial" w:cs="Arial"/>
              <w:noProof/>
              <w:color w:val="000000" w:themeColor="text1"/>
            </w:rPr>
            <w:t>2017</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Case law: Physical violence at work does not automatically justify dismissal without notice.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https://www.icaew.com/library/subject-gateways/law/legal-alert/2017-03/case-law-physical-violence-at-work-does-not-automatically-justify-dismissal-without-notice</w:t>
          </w:r>
          <w:r w:rsidRPr="00276A5B">
            <w:rPr>
              <w:rFonts w:ascii="Arial" w:hAnsi="Arial" w:cs="Arial"/>
              <w:noProof/>
              <w:color w:val="000000" w:themeColor="text1"/>
            </w:rPr>
            <w:t xml:space="preserve"> [Accessed 27 April 2021].</w:t>
          </w:r>
        </w:p>
        <w:p w14:paraId="311B08F3" w14:textId="77777777" w:rsidR="0013582B" w:rsidRPr="00276A5B" w:rsidRDefault="0013582B" w:rsidP="0013582B">
          <w:pPr>
            <w:rPr>
              <w:rFonts w:ascii="Arial" w:hAnsi="Arial" w:cs="Arial"/>
              <w:color w:val="000000" w:themeColor="text1"/>
            </w:rPr>
          </w:pPr>
        </w:p>
        <w:p w14:paraId="6D24D0C5" w14:textId="4F712379" w:rsidR="00903EC3" w:rsidRPr="00903EC3" w:rsidRDefault="0013582B" w:rsidP="003253A9">
          <w:pPr>
            <w:pStyle w:val="Bibliography"/>
            <w:numPr>
              <w:ilvl w:val="0"/>
              <w:numId w:val="36"/>
            </w:numPr>
            <w:spacing w:line="360" w:lineRule="auto"/>
            <w:rPr>
              <w:rFonts w:ascii="Arial" w:hAnsi="Arial" w:cs="Arial"/>
              <w:noProof/>
              <w:color w:val="000000" w:themeColor="text1"/>
              <w:u w:val="single"/>
            </w:rPr>
          </w:pPr>
          <w:r w:rsidRPr="00276A5B">
            <w:rPr>
              <w:rFonts w:ascii="Arial" w:hAnsi="Arial" w:cs="Arial"/>
              <w:noProof/>
              <w:color w:val="000000" w:themeColor="text1"/>
            </w:rPr>
            <w:t>Iceland Frozen Foods Ltd v Jones 1983</w:t>
          </w:r>
          <w:r w:rsidRPr="00276A5B">
            <w:rPr>
              <w:rFonts w:ascii="Arial" w:hAnsi="Arial" w:cs="Arial"/>
              <w:i/>
              <w:iCs/>
              <w:noProof/>
              <w:color w:val="000000" w:themeColor="text1"/>
            </w:rPr>
            <w:t xml:space="preserv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5" w:history="1">
            <w:r w:rsidRPr="00276A5B">
              <w:rPr>
                <w:rStyle w:val="Hyperlink"/>
                <w:rFonts w:ascii="Arial" w:hAnsi="Arial" w:cs="Arial"/>
                <w:noProof/>
                <w:color w:val="000000" w:themeColor="text1"/>
              </w:rPr>
              <w:t>http://www.bailii.org/uk/cases/UKEAT/1982/62_82_2907.html</w:t>
            </w:r>
          </w:hyperlink>
        </w:p>
        <w:p w14:paraId="7B60BD24" w14:textId="494516F9" w:rsidR="00903EC3" w:rsidRDefault="00903EC3" w:rsidP="00903EC3"/>
        <w:p w14:paraId="7A8F22E6" w14:textId="5876A19A" w:rsidR="00903EC3" w:rsidRPr="003253A9" w:rsidRDefault="00903EC3" w:rsidP="003253A9">
          <w:pPr>
            <w:pStyle w:val="ListParagraph"/>
            <w:numPr>
              <w:ilvl w:val="0"/>
              <w:numId w:val="36"/>
            </w:numPr>
            <w:spacing w:line="360" w:lineRule="auto"/>
            <w:rPr>
              <w:rFonts w:ascii="Arial" w:hAnsi="Arial" w:cs="Arial"/>
            </w:rPr>
          </w:pPr>
          <w:r w:rsidRPr="003253A9">
            <w:rPr>
              <w:rFonts w:ascii="Arial" w:hAnsi="Arial" w:cs="Arial"/>
            </w:rPr>
            <w:t>42. ICO</w:t>
          </w:r>
          <w:r w:rsidR="003253A9" w:rsidRPr="003253A9">
            <w:rPr>
              <w:rFonts w:ascii="Arial" w:hAnsi="Arial" w:cs="Arial"/>
            </w:rPr>
            <w:t xml:space="preserve">, (2021) </w:t>
          </w:r>
          <w:r w:rsidR="003253A9" w:rsidRPr="003253A9">
            <w:rPr>
              <w:rFonts w:ascii="Arial" w:hAnsi="Arial" w:cs="Arial"/>
            </w:rPr>
            <w:t>Penalties</w:t>
          </w:r>
          <w:r w:rsidR="003253A9" w:rsidRPr="003253A9">
            <w:rPr>
              <w:rFonts w:ascii="Arial" w:hAnsi="Arial" w:cs="Arial"/>
            </w:rPr>
            <w:t xml:space="preserve"> [Online] Available at:  https://ico.org.uk/for-</w:t>
          </w:r>
          <w:r w:rsidR="003253A9" w:rsidRPr="003253A9">
            <w:rPr>
              <w:rFonts w:ascii="Arial" w:hAnsi="Arial" w:cs="Arial"/>
            </w:rPr>
            <w:tab/>
            <w:t>organisations/guide-to-data-protection/guide-to-law-enforcement-</w:t>
          </w:r>
          <w:r w:rsidR="003253A9" w:rsidRPr="003253A9">
            <w:rPr>
              <w:rFonts w:ascii="Arial" w:hAnsi="Arial" w:cs="Arial"/>
            </w:rPr>
            <w:tab/>
            <w:t>processing/penalties/ [Accessed 30 June 2021]</w:t>
          </w:r>
        </w:p>
        <w:p w14:paraId="2F7F9629" w14:textId="77777777" w:rsidR="0013582B" w:rsidRPr="00276A5B" w:rsidRDefault="0013582B" w:rsidP="0013582B">
          <w:pPr>
            <w:rPr>
              <w:rFonts w:ascii="Arial" w:hAnsi="Arial" w:cs="Arial"/>
              <w:color w:val="000000" w:themeColor="text1"/>
            </w:rPr>
          </w:pPr>
        </w:p>
        <w:p w14:paraId="58F8F6C5" w14:textId="753313C3"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John Lewis plc v Coyne </w:t>
          </w:r>
          <w:r w:rsidRPr="00276A5B">
            <w:rPr>
              <w:rFonts w:ascii="Arial" w:hAnsi="Arial" w:cs="Arial"/>
              <w:noProof/>
              <w:color w:val="000000" w:themeColor="text1"/>
            </w:rPr>
            <w:t xml:space="preserve">(2000). </w:t>
          </w:r>
        </w:p>
        <w:p w14:paraId="438A169A" w14:textId="77777777" w:rsidR="0013582B" w:rsidRPr="00276A5B" w:rsidRDefault="0013582B" w:rsidP="0013582B">
          <w:pPr>
            <w:rPr>
              <w:rFonts w:ascii="Arial" w:hAnsi="Arial" w:cs="Arial"/>
              <w:color w:val="000000" w:themeColor="text1"/>
            </w:rPr>
          </w:pPr>
        </w:p>
        <w:p w14:paraId="621FC5CC" w14:textId="1C97F0B3"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John Lewis Plc V Coyne 2001. IRLR 139.</w:t>
          </w:r>
        </w:p>
        <w:p w14:paraId="0BF9D347" w14:textId="77777777" w:rsidR="0013582B" w:rsidRPr="00276A5B" w:rsidRDefault="0013582B" w:rsidP="0013582B">
          <w:pPr>
            <w:rPr>
              <w:rFonts w:ascii="Arial" w:hAnsi="Arial" w:cs="Arial"/>
              <w:color w:val="000000" w:themeColor="text1"/>
            </w:rPr>
          </w:pPr>
        </w:p>
        <w:p w14:paraId="490A7214" w14:textId="30C73B9D" w:rsidR="00796F32"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John-Charles v NHS Business Services Authority </w:t>
          </w:r>
          <w:r w:rsidRPr="00276A5B">
            <w:rPr>
              <w:rFonts w:ascii="Arial" w:hAnsi="Arial" w:cs="Arial"/>
              <w:noProof/>
              <w:color w:val="000000" w:themeColor="text1"/>
            </w:rPr>
            <w:t>2015.</w:t>
          </w:r>
        </w:p>
        <w:p w14:paraId="6646C169" w14:textId="77777777" w:rsidR="00796F32" w:rsidRPr="00276A5B" w:rsidRDefault="00796F32" w:rsidP="00796F32">
          <w:pPr>
            <w:rPr>
              <w:rFonts w:ascii="Arial" w:hAnsi="Arial" w:cs="Arial"/>
              <w:color w:val="000000" w:themeColor="text1"/>
            </w:rPr>
          </w:pPr>
        </w:p>
        <w:p w14:paraId="38779B8D" w14:textId="4135D3C8" w:rsidR="00796F32" w:rsidRPr="00276A5B" w:rsidRDefault="00796F32"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color w:val="000000" w:themeColor="text1"/>
            </w:rPr>
            <w:t xml:space="preserve">Kidner, R. (2019) </w:t>
          </w:r>
          <w:r w:rsidRPr="00276A5B">
            <w:rPr>
              <w:rFonts w:ascii="Arial" w:hAnsi="Arial" w:cs="Arial"/>
              <w:i/>
              <w:iCs/>
              <w:color w:val="000000" w:themeColor="text1"/>
            </w:rPr>
            <w:t>Blackstone’s Statutes on Employment law</w:t>
          </w:r>
          <w:r w:rsidRPr="00276A5B">
            <w:rPr>
              <w:rFonts w:ascii="Arial" w:hAnsi="Arial" w:cs="Arial"/>
              <w:color w:val="000000" w:themeColor="text1"/>
            </w:rPr>
            <w:t>, Oxford University Press</w:t>
          </w:r>
        </w:p>
        <w:p w14:paraId="317FEB2D" w14:textId="77777777" w:rsidR="0013582B" w:rsidRPr="00276A5B" w:rsidRDefault="0013582B" w:rsidP="0013582B">
          <w:pPr>
            <w:rPr>
              <w:rFonts w:ascii="Arial" w:hAnsi="Arial" w:cs="Arial"/>
              <w:color w:val="000000" w:themeColor="text1"/>
            </w:rPr>
          </w:pPr>
        </w:p>
        <w:p w14:paraId="66FC5F48" w14:textId="136DE1FC"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Kilraine V London Borough of Wandsworth 2018</w:t>
          </w:r>
          <w:r w:rsidRPr="00276A5B">
            <w:rPr>
              <w:rFonts w:ascii="Arial" w:hAnsi="Arial" w:cs="Arial"/>
              <w:noProof/>
              <w:color w:val="000000" w:themeColor="text1"/>
            </w:rPr>
            <w:t xml:space="preserve">.  </w:t>
          </w:r>
        </w:p>
        <w:p w14:paraId="798342B5" w14:textId="77777777" w:rsidR="0013582B" w:rsidRPr="00276A5B" w:rsidRDefault="0013582B" w:rsidP="0013582B">
          <w:pPr>
            <w:rPr>
              <w:rFonts w:ascii="Arial" w:hAnsi="Arial" w:cs="Arial"/>
              <w:color w:val="000000" w:themeColor="text1"/>
            </w:rPr>
          </w:pPr>
        </w:p>
        <w:p w14:paraId="02F8014B" w14:textId="438B1C7B" w:rsidR="00796F32" w:rsidRPr="00276A5B" w:rsidRDefault="0013582B" w:rsidP="003253A9">
          <w:pPr>
            <w:pStyle w:val="Bibliography"/>
            <w:numPr>
              <w:ilvl w:val="0"/>
              <w:numId w:val="36"/>
            </w:numPr>
            <w:rPr>
              <w:rFonts w:ascii="Arial" w:hAnsi="Arial" w:cs="Arial"/>
              <w:i/>
              <w:iCs/>
              <w:noProof/>
              <w:color w:val="000000" w:themeColor="text1"/>
            </w:rPr>
          </w:pPr>
          <w:r w:rsidRPr="00276A5B">
            <w:rPr>
              <w:rFonts w:ascii="Arial" w:hAnsi="Arial" w:cs="Arial"/>
              <w:noProof/>
              <w:color w:val="000000" w:themeColor="text1"/>
              <w:lang w:val="en-US"/>
            </w:rPr>
            <w:t xml:space="preserve">Lewis, D. &amp; Sargeant, M., </w:t>
          </w:r>
          <w:r w:rsidR="00796F32" w:rsidRPr="00276A5B">
            <w:rPr>
              <w:rFonts w:ascii="Arial" w:hAnsi="Arial" w:cs="Arial"/>
              <w:noProof/>
              <w:color w:val="000000" w:themeColor="text1"/>
              <w:lang w:val="en-US"/>
            </w:rPr>
            <w:t>(</w:t>
          </w:r>
          <w:r w:rsidRPr="00276A5B">
            <w:rPr>
              <w:rFonts w:ascii="Arial" w:hAnsi="Arial" w:cs="Arial"/>
              <w:noProof/>
              <w:color w:val="000000" w:themeColor="text1"/>
              <w:lang w:val="en-US"/>
            </w:rPr>
            <w:t>2017</w:t>
          </w:r>
          <w:r w:rsidR="00796F32" w:rsidRPr="00276A5B">
            <w:rPr>
              <w:rFonts w:ascii="Arial" w:hAnsi="Arial" w:cs="Arial"/>
              <w:noProof/>
              <w:color w:val="000000" w:themeColor="text1"/>
              <w:lang w:val="en-US"/>
            </w:rPr>
            <w:t>)</w:t>
          </w:r>
          <w:r w:rsidRPr="00276A5B">
            <w:rPr>
              <w:rFonts w:ascii="Arial" w:hAnsi="Arial" w:cs="Arial"/>
              <w:noProof/>
              <w:color w:val="000000" w:themeColor="text1"/>
              <w:lang w:val="en-US"/>
            </w:rPr>
            <w:t xml:space="preserve">. </w:t>
          </w:r>
          <w:r w:rsidRPr="00276A5B">
            <w:rPr>
              <w:rFonts w:ascii="Arial" w:hAnsi="Arial" w:cs="Arial"/>
              <w:i/>
              <w:iCs/>
              <w:noProof/>
              <w:color w:val="000000" w:themeColor="text1"/>
              <w:lang w:val="en-US"/>
            </w:rPr>
            <w:t xml:space="preserve">Employment Law: the essentials, </w:t>
          </w:r>
          <w:r w:rsidRPr="00276A5B">
            <w:rPr>
              <w:rFonts w:ascii="Arial" w:hAnsi="Arial" w:cs="Arial"/>
              <w:noProof/>
              <w:color w:val="000000" w:themeColor="text1"/>
              <w:lang w:val="en-US"/>
            </w:rPr>
            <w:t>London: Chartered Institute of Personnel and Development.</w:t>
          </w:r>
          <w:r w:rsidRPr="00276A5B">
            <w:rPr>
              <w:rFonts w:ascii="Arial" w:hAnsi="Arial" w:cs="Arial"/>
              <w:i/>
              <w:iCs/>
              <w:noProof/>
              <w:color w:val="000000" w:themeColor="text1"/>
            </w:rPr>
            <w:t xml:space="preserve"> </w:t>
          </w:r>
        </w:p>
        <w:p w14:paraId="2E71B28E" w14:textId="77777777" w:rsidR="00796F32" w:rsidRPr="00276A5B" w:rsidRDefault="00796F32" w:rsidP="00796F32">
          <w:pPr>
            <w:rPr>
              <w:rFonts w:ascii="Arial" w:hAnsi="Arial" w:cs="Arial"/>
              <w:color w:val="000000" w:themeColor="text1"/>
            </w:rPr>
          </w:pPr>
        </w:p>
        <w:p w14:paraId="603D52D8" w14:textId="4AFDBAE7" w:rsidR="00796F32" w:rsidRPr="00276A5B" w:rsidRDefault="00796F32" w:rsidP="003253A9">
          <w:pPr>
            <w:pStyle w:val="Bibliography"/>
            <w:numPr>
              <w:ilvl w:val="0"/>
              <w:numId w:val="36"/>
            </w:numPr>
            <w:rPr>
              <w:rFonts w:ascii="Arial" w:hAnsi="Arial" w:cs="Arial"/>
              <w:i/>
              <w:iCs/>
              <w:noProof/>
              <w:color w:val="000000" w:themeColor="text1"/>
            </w:rPr>
          </w:pPr>
          <w:r w:rsidRPr="00276A5B">
            <w:rPr>
              <w:rFonts w:ascii="Arial" w:hAnsi="Arial" w:cs="Arial"/>
              <w:color w:val="000000" w:themeColor="text1"/>
            </w:rPr>
            <w:t xml:space="preserve">Lewis, D. and Sargeant, M. (2019) </w:t>
          </w:r>
          <w:r w:rsidRPr="00276A5B">
            <w:rPr>
              <w:rFonts w:ascii="Arial" w:hAnsi="Arial" w:cs="Arial"/>
              <w:i/>
              <w:iCs/>
              <w:color w:val="000000" w:themeColor="text1"/>
            </w:rPr>
            <w:t xml:space="preserve">Essentials of Employment Law. </w:t>
          </w:r>
          <w:r w:rsidRPr="00276A5B">
            <w:rPr>
              <w:rFonts w:ascii="Arial" w:hAnsi="Arial" w:cs="Arial"/>
              <w:color w:val="000000" w:themeColor="text1"/>
            </w:rPr>
            <w:t>15th Ed. London: Chartered Institute of Personnel and Development.</w:t>
          </w:r>
        </w:p>
        <w:p w14:paraId="77A3E64D" w14:textId="77777777" w:rsidR="0013582B" w:rsidRPr="00276A5B" w:rsidRDefault="0013582B" w:rsidP="0013582B">
          <w:pPr>
            <w:rPr>
              <w:rFonts w:ascii="Arial" w:hAnsi="Arial" w:cs="Arial"/>
              <w:color w:val="000000" w:themeColor="text1"/>
              <w:lang w:val="en-US"/>
            </w:rPr>
          </w:pPr>
        </w:p>
        <w:p w14:paraId="08D3E1CE" w14:textId="38BFD99D"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Lewis, D. &amp; Sargeant, M., </w:t>
          </w:r>
          <w:r w:rsidR="00796F32" w:rsidRPr="00276A5B">
            <w:rPr>
              <w:rFonts w:ascii="Arial" w:hAnsi="Arial" w:cs="Arial"/>
              <w:noProof/>
              <w:color w:val="000000" w:themeColor="text1"/>
            </w:rPr>
            <w:t>(</w:t>
          </w:r>
          <w:r w:rsidRPr="00276A5B">
            <w:rPr>
              <w:rFonts w:ascii="Arial" w:hAnsi="Arial" w:cs="Arial"/>
              <w:noProof/>
              <w:color w:val="000000" w:themeColor="text1"/>
            </w:rPr>
            <w:t>2020</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Law. </w:t>
          </w:r>
          <w:r w:rsidRPr="00276A5B">
            <w:rPr>
              <w:rFonts w:ascii="Arial" w:hAnsi="Arial" w:cs="Arial"/>
              <w:noProof/>
              <w:color w:val="000000" w:themeColor="text1"/>
            </w:rPr>
            <w:t>15 ed. London: KoganPage.</w:t>
          </w:r>
        </w:p>
        <w:p w14:paraId="21D1E9DA" w14:textId="77777777" w:rsidR="0013582B" w:rsidRPr="00276A5B" w:rsidRDefault="0013582B" w:rsidP="0013582B">
          <w:pPr>
            <w:rPr>
              <w:rFonts w:ascii="Arial" w:hAnsi="Arial" w:cs="Arial"/>
              <w:color w:val="000000" w:themeColor="text1"/>
            </w:rPr>
          </w:pPr>
        </w:p>
        <w:p w14:paraId="438A5DB3" w14:textId="0D05205F"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Lock v Cardiff Railway Co. Ltd (1998) IRLR 358</w:t>
          </w:r>
          <w:r w:rsidRPr="00276A5B">
            <w:rPr>
              <w:rFonts w:ascii="Arial" w:hAnsi="Arial" w:cs="Arial"/>
              <w:noProof/>
              <w:color w:val="000000" w:themeColor="text1"/>
            </w:rPr>
            <w:t xml:space="preserve">.  </w:t>
          </w:r>
        </w:p>
        <w:p w14:paraId="18B79DA1" w14:textId="77777777" w:rsidR="0013582B" w:rsidRPr="00276A5B" w:rsidRDefault="0013582B" w:rsidP="0013582B">
          <w:pPr>
            <w:rPr>
              <w:rFonts w:ascii="Arial" w:hAnsi="Arial" w:cs="Arial"/>
              <w:color w:val="000000" w:themeColor="text1"/>
            </w:rPr>
          </w:pPr>
        </w:p>
        <w:p w14:paraId="2E3968E8" w14:textId="748D3A4A"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Out-Law,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Rise in interim relief applications ‘a concern’.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https://www.pinsentmasons.com/out-law/news/rise-in-interim-relief-applications-concern</w:t>
          </w:r>
          <w:r w:rsidRPr="00276A5B">
            <w:rPr>
              <w:rFonts w:ascii="Arial" w:hAnsi="Arial" w:cs="Arial"/>
              <w:noProof/>
              <w:color w:val="000000" w:themeColor="text1"/>
            </w:rPr>
            <w:t xml:space="preserve"> [Accessed 23 April 2021].</w:t>
          </w:r>
        </w:p>
        <w:p w14:paraId="0814AB9F" w14:textId="77777777" w:rsidR="0013582B" w:rsidRPr="00276A5B" w:rsidRDefault="0013582B" w:rsidP="0013582B">
          <w:pPr>
            <w:rPr>
              <w:rFonts w:ascii="Arial" w:hAnsi="Arial" w:cs="Arial"/>
              <w:color w:val="000000" w:themeColor="text1"/>
            </w:rPr>
          </w:pPr>
        </w:p>
        <w:p w14:paraId="6B7A4DB1" w14:textId="0FDB662D"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 xml:space="preserve">Personnel Today, </w:t>
          </w:r>
          <w:r w:rsidR="00796F32" w:rsidRPr="00276A5B">
            <w:rPr>
              <w:rFonts w:ascii="Arial" w:hAnsi="Arial" w:cs="Arial"/>
              <w:noProof/>
              <w:color w:val="000000" w:themeColor="text1"/>
            </w:rPr>
            <w:t>(</w:t>
          </w:r>
          <w:r w:rsidRPr="00276A5B">
            <w:rPr>
              <w:rFonts w:ascii="Arial" w:hAnsi="Arial" w:cs="Arial"/>
              <w:noProof/>
              <w:color w:val="000000" w:themeColor="text1"/>
            </w:rPr>
            <w:t>2009</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Calculating tribunal awards – how it’s done.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https://www.personneltoday.com/hr/calculating-tribunal-awards-how-its-done/</w:t>
          </w:r>
          <w:r w:rsidRPr="00276A5B">
            <w:rPr>
              <w:rFonts w:ascii="Arial" w:hAnsi="Arial" w:cs="Arial"/>
              <w:noProof/>
              <w:color w:val="000000" w:themeColor="text1"/>
            </w:rPr>
            <w:t xml:space="preserve"> [Accessed 29 April 2021].</w:t>
          </w:r>
        </w:p>
        <w:p w14:paraId="1598C469" w14:textId="77777777" w:rsidR="0013582B" w:rsidRPr="00276A5B" w:rsidRDefault="0013582B" w:rsidP="0013582B">
          <w:pPr>
            <w:rPr>
              <w:rFonts w:ascii="Arial" w:hAnsi="Arial" w:cs="Arial"/>
              <w:color w:val="000000" w:themeColor="text1"/>
            </w:rPr>
          </w:pPr>
        </w:p>
        <w:p w14:paraId="4E036F18" w14:textId="5F0BCB5C"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Personnel Today, </w:t>
          </w:r>
          <w:r w:rsidR="00796F32" w:rsidRPr="00276A5B">
            <w:rPr>
              <w:rFonts w:ascii="Arial" w:hAnsi="Arial" w:cs="Arial"/>
              <w:noProof/>
              <w:color w:val="000000" w:themeColor="text1"/>
            </w:rPr>
            <w:t>(</w:t>
          </w:r>
          <w:r w:rsidRPr="00276A5B">
            <w:rPr>
              <w:rFonts w:ascii="Arial" w:hAnsi="Arial" w:cs="Arial"/>
              <w:noProof/>
              <w:color w:val="000000" w:themeColor="text1"/>
            </w:rPr>
            <w:t>2015</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Responding to an employment tribunal claim: five tips for employers.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https://www.personneltoday.com/hr/responding-to-an-employment-tribunal-claim-five-tips-for-employers/</w:t>
          </w:r>
          <w:r w:rsidRPr="00276A5B">
            <w:rPr>
              <w:rFonts w:ascii="Arial" w:hAnsi="Arial" w:cs="Arial"/>
              <w:noProof/>
              <w:color w:val="000000" w:themeColor="text1"/>
            </w:rPr>
            <w:t xml:space="preserve"> [Accessed 23 April 2021].</w:t>
          </w:r>
        </w:p>
        <w:p w14:paraId="25EF4411" w14:textId="77777777" w:rsidR="0013582B" w:rsidRPr="00276A5B" w:rsidRDefault="0013582B" w:rsidP="0013582B">
          <w:pPr>
            <w:rPr>
              <w:rFonts w:ascii="Arial" w:hAnsi="Arial" w:cs="Arial"/>
              <w:color w:val="000000" w:themeColor="text1"/>
            </w:rPr>
          </w:pPr>
        </w:p>
        <w:p w14:paraId="74C9C5DB" w14:textId="3E2039BC"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Phoenix House Ltd v Stockman (2016) IRLR 82</w:t>
          </w:r>
          <w:r w:rsidRPr="00276A5B">
            <w:rPr>
              <w:rFonts w:ascii="Arial" w:hAnsi="Arial" w:cs="Arial"/>
              <w:noProof/>
              <w:color w:val="000000" w:themeColor="text1"/>
            </w:rPr>
            <w:t xml:space="preserve">. </w:t>
          </w:r>
        </w:p>
        <w:p w14:paraId="7553C7B9" w14:textId="77777777" w:rsidR="0013582B" w:rsidRPr="00276A5B" w:rsidRDefault="0013582B" w:rsidP="0013582B">
          <w:pPr>
            <w:rPr>
              <w:rFonts w:ascii="Arial" w:hAnsi="Arial" w:cs="Arial"/>
              <w:color w:val="000000" w:themeColor="text1"/>
            </w:rPr>
          </w:pPr>
        </w:p>
        <w:p w14:paraId="7BB8501A" w14:textId="6713002A"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Polkey v AE Dayton Services Ltd 1987</w:t>
          </w:r>
          <w:r w:rsidRPr="00276A5B">
            <w:rPr>
              <w:rFonts w:ascii="Arial" w:hAnsi="Arial" w:cs="Arial"/>
              <w:noProof/>
              <w:color w:val="000000" w:themeColor="text1"/>
            </w:rPr>
            <w:t xml:space="preserve">. </w:t>
          </w:r>
        </w:p>
        <w:p w14:paraId="5EFA29BE" w14:textId="77777777" w:rsidR="0013582B" w:rsidRPr="00276A5B" w:rsidRDefault="0013582B" w:rsidP="0013582B">
          <w:pPr>
            <w:rPr>
              <w:rFonts w:ascii="Arial" w:hAnsi="Arial" w:cs="Arial"/>
              <w:color w:val="000000" w:themeColor="text1"/>
            </w:rPr>
          </w:pPr>
        </w:p>
        <w:p w14:paraId="68E5E4DD" w14:textId="4376CF02"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Ramphal v Department of Transport </w:t>
          </w:r>
          <w:r w:rsidRPr="00276A5B">
            <w:rPr>
              <w:rFonts w:ascii="Arial" w:hAnsi="Arial" w:cs="Arial"/>
              <w:noProof/>
              <w:color w:val="000000" w:themeColor="text1"/>
            </w:rPr>
            <w:t>2015.</w:t>
          </w:r>
        </w:p>
        <w:p w14:paraId="3FF04EDA" w14:textId="77777777" w:rsidR="00796F32" w:rsidRPr="00276A5B" w:rsidRDefault="00796F32" w:rsidP="00796F32">
          <w:pPr>
            <w:rPr>
              <w:rFonts w:ascii="Arial" w:hAnsi="Arial" w:cs="Arial"/>
              <w:color w:val="000000" w:themeColor="text1"/>
            </w:rPr>
          </w:pPr>
        </w:p>
        <w:p w14:paraId="5689D005" w14:textId="2A21E9A9"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Rodliffe v SOS Parking 2016</w:t>
          </w:r>
          <w:r w:rsidRPr="00276A5B">
            <w:rPr>
              <w:rFonts w:ascii="Arial" w:hAnsi="Arial" w:cs="Arial"/>
              <w:noProof/>
              <w:color w:val="000000" w:themeColor="text1"/>
            </w:rPr>
            <w:t xml:space="preserve">. </w:t>
          </w:r>
        </w:p>
        <w:p w14:paraId="720DD022" w14:textId="77777777" w:rsidR="0013582B" w:rsidRPr="00276A5B" w:rsidRDefault="0013582B" w:rsidP="0013582B">
          <w:pPr>
            <w:rPr>
              <w:rFonts w:ascii="Arial" w:hAnsi="Arial" w:cs="Arial"/>
              <w:color w:val="000000" w:themeColor="text1"/>
            </w:rPr>
          </w:pPr>
        </w:p>
        <w:p w14:paraId="7FFE3291" w14:textId="16F69D18" w:rsidR="0013582B" w:rsidRPr="00276A5B" w:rsidRDefault="0013582B" w:rsidP="003253A9">
          <w:pPr>
            <w:pStyle w:val="Bibliography"/>
            <w:numPr>
              <w:ilvl w:val="0"/>
              <w:numId w:val="36"/>
            </w:numPr>
            <w:spacing w:line="360" w:lineRule="auto"/>
            <w:rPr>
              <w:rFonts w:ascii="Arial" w:hAnsi="Arial" w:cs="Arial"/>
              <w:i/>
              <w:iCs/>
              <w:noProof/>
              <w:color w:val="000000" w:themeColor="text1"/>
            </w:rPr>
          </w:pPr>
          <w:r w:rsidRPr="00276A5B">
            <w:rPr>
              <w:rFonts w:ascii="Arial" w:hAnsi="Arial" w:cs="Arial"/>
              <w:i/>
              <w:iCs/>
              <w:noProof/>
              <w:color w:val="000000" w:themeColor="text1"/>
            </w:rPr>
            <w:t>Shrestha v Genesis Housing Association Ltd 2015.</w:t>
          </w:r>
        </w:p>
        <w:p w14:paraId="0DF55533" w14:textId="77777777" w:rsidR="0013582B" w:rsidRPr="00276A5B" w:rsidRDefault="0013582B" w:rsidP="0013582B">
          <w:pPr>
            <w:rPr>
              <w:rFonts w:ascii="Arial" w:hAnsi="Arial" w:cs="Arial"/>
              <w:color w:val="000000" w:themeColor="text1"/>
            </w:rPr>
          </w:pPr>
        </w:p>
        <w:p w14:paraId="55E6F450" w14:textId="628580D4"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Smith v Penfold Motors Ltd 1101378/2009. </w:t>
          </w:r>
        </w:p>
        <w:p w14:paraId="75A85B21" w14:textId="77777777" w:rsidR="0013582B" w:rsidRPr="00276A5B" w:rsidRDefault="0013582B" w:rsidP="0013582B">
          <w:pPr>
            <w:rPr>
              <w:rFonts w:ascii="Arial" w:hAnsi="Arial" w:cs="Arial"/>
              <w:color w:val="000000" w:themeColor="text1"/>
            </w:rPr>
          </w:pPr>
        </w:p>
        <w:p w14:paraId="183782D9" w14:textId="7BF9BAF2"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Smith, E.,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Why are interim relief applications increasing in tribunals?.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https://www.peoplemanagement.co.uk/experts/legal/why-are-interim-relief-applications-increasing-in-tribunals#gref</w:t>
          </w:r>
          <w:r w:rsidRPr="00276A5B">
            <w:rPr>
              <w:rFonts w:ascii="Arial" w:hAnsi="Arial" w:cs="Arial"/>
              <w:noProof/>
              <w:color w:val="000000" w:themeColor="text1"/>
            </w:rPr>
            <w:t xml:space="preserve"> [Accessed 23 April 2021].</w:t>
          </w:r>
        </w:p>
        <w:p w14:paraId="2A25FA85" w14:textId="77777777" w:rsidR="0013582B" w:rsidRPr="00276A5B" w:rsidRDefault="0013582B" w:rsidP="0013582B">
          <w:pPr>
            <w:rPr>
              <w:rFonts w:ascii="Arial" w:hAnsi="Arial" w:cs="Arial"/>
              <w:color w:val="000000" w:themeColor="text1"/>
            </w:rPr>
          </w:pPr>
        </w:p>
        <w:p w14:paraId="24A373E2" w14:textId="44914FF5"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 xml:space="preserve">The Employment Tribunals in England and Wales and in Scotland,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FAQs arising from the Covid-19 pandemic, </w:t>
          </w:r>
          <w:r w:rsidRPr="00276A5B">
            <w:rPr>
              <w:rFonts w:ascii="Arial" w:hAnsi="Arial" w:cs="Arial"/>
              <w:noProof/>
              <w:color w:val="000000" w:themeColor="text1"/>
            </w:rPr>
            <w:t>s.l.: The Employment Tribunals in England and Wales and in Scotland.</w:t>
          </w:r>
        </w:p>
        <w:p w14:paraId="78FAFA20" w14:textId="77777777" w:rsidR="0013582B" w:rsidRPr="00276A5B" w:rsidRDefault="0013582B" w:rsidP="0013582B">
          <w:pPr>
            <w:rPr>
              <w:rFonts w:ascii="Arial" w:hAnsi="Arial" w:cs="Arial"/>
              <w:color w:val="000000" w:themeColor="text1"/>
            </w:rPr>
          </w:pPr>
        </w:p>
        <w:p w14:paraId="2DA16FA8" w14:textId="4F5A9882"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The Employmet Rights Act 1999.</w:t>
          </w:r>
        </w:p>
        <w:p w14:paraId="619988DE" w14:textId="77777777" w:rsidR="0013582B" w:rsidRPr="00276A5B" w:rsidRDefault="0013582B" w:rsidP="0013582B">
          <w:pPr>
            <w:rPr>
              <w:rFonts w:ascii="Arial" w:hAnsi="Arial" w:cs="Arial"/>
              <w:color w:val="000000" w:themeColor="text1"/>
            </w:rPr>
          </w:pPr>
        </w:p>
        <w:p w14:paraId="25454F9B" w14:textId="5A249E17"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The Public Interest Disclosure Act 1998</w:t>
          </w:r>
          <w:r w:rsidRPr="00276A5B">
            <w:rPr>
              <w:rFonts w:ascii="Arial" w:hAnsi="Arial" w:cs="Arial"/>
              <w:noProof/>
              <w:color w:val="000000" w:themeColor="text1"/>
            </w:rPr>
            <w:t xml:space="preserve">. </w:t>
          </w:r>
        </w:p>
        <w:p w14:paraId="49D1B258" w14:textId="77777777" w:rsidR="0013582B" w:rsidRPr="00276A5B" w:rsidRDefault="0013582B" w:rsidP="0013582B">
          <w:pPr>
            <w:rPr>
              <w:rFonts w:ascii="Arial" w:hAnsi="Arial" w:cs="Arial"/>
              <w:color w:val="000000" w:themeColor="text1"/>
            </w:rPr>
          </w:pPr>
        </w:p>
        <w:p w14:paraId="6F0BC366" w14:textId="4F40935A" w:rsidR="0013582B" w:rsidRPr="00276A5B" w:rsidRDefault="0013582B" w:rsidP="003253A9">
          <w:pPr>
            <w:pStyle w:val="Bibliography"/>
            <w:numPr>
              <w:ilvl w:val="0"/>
              <w:numId w:val="36"/>
            </w:numPr>
            <w:spacing w:line="360" w:lineRule="auto"/>
            <w:rPr>
              <w:rFonts w:ascii="Arial" w:hAnsi="Arial" w:cs="Arial"/>
              <w:noProof/>
              <w:color w:val="000000" w:themeColor="text1"/>
            </w:rPr>
          </w:pPr>
          <w:r w:rsidRPr="00276A5B">
            <w:rPr>
              <w:rFonts w:ascii="Arial" w:hAnsi="Arial" w:cs="Arial"/>
              <w:noProof/>
              <w:color w:val="000000" w:themeColor="text1"/>
            </w:rPr>
            <w:t>The Working Time Regulations 1998.</w:t>
          </w:r>
        </w:p>
        <w:p w14:paraId="65E333E9" w14:textId="77777777" w:rsidR="0013582B" w:rsidRPr="00276A5B" w:rsidRDefault="0013582B" w:rsidP="0013582B">
          <w:pPr>
            <w:rPr>
              <w:rFonts w:ascii="Arial" w:hAnsi="Arial" w:cs="Arial"/>
              <w:color w:val="000000" w:themeColor="text1"/>
            </w:rPr>
          </w:pPr>
        </w:p>
        <w:p w14:paraId="708ACCBE" w14:textId="721C7436" w:rsidR="003758BB" w:rsidRPr="003253A9" w:rsidRDefault="0013582B" w:rsidP="00444620">
          <w:pPr>
            <w:pStyle w:val="Bibliography"/>
            <w:numPr>
              <w:ilvl w:val="0"/>
              <w:numId w:val="36"/>
            </w:numPr>
            <w:spacing w:line="360" w:lineRule="auto"/>
            <w:rPr>
              <w:rFonts w:ascii="Arial" w:hAnsi="Arial" w:cs="Arial"/>
              <w:noProof/>
              <w:color w:val="000000" w:themeColor="text1"/>
            </w:rPr>
          </w:pPr>
          <w:r w:rsidRPr="00276A5B">
            <w:rPr>
              <w:rFonts w:ascii="Arial" w:hAnsi="Arial" w:cs="Arial"/>
              <w:i/>
              <w:iCs/>
              <w:noProof/>
              <w:color w:val="000000" w:themeColor="text1"/>
            </w:rPr>
            <w:t>Trade Union and Labour Relations (Consolidation) Act 1992</w:t>
          </w:r>
          <w:r w:rsidRPr="00276A5B">
            <w:rPr>
              <w:rFonts w:ascii="Arial" w:hAnsi="Arial" w:cs="Arial"/>
              <w:noProof/>
              <w:color w:val="000000" w:themeColor="text1"/>
            </w:rPr>
            <w:t xml:space="preserve">. </w:t>
          </w:r>
        </w:p>
      </w:sdtContent>
    </w:sdt>
    <w:sectPr w:rsidR="003758BB" w:rsidRPr="003253A9" w:rsidSect="00F77CB2">
      <w:footerReference w:type="even" r:id="rId16"/>
      <w:footerReference w:type="default" r:id="rId17"/>
      <w:pgSz w:w="11900" w:h="16840"/>
      <w:pgMar w:top="1440" w:right="1440" w:bottom="1440" w:left="1440" w:header="709" w:footer="709"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7CC913" w16cex:dateUtc="2021-05-27T10:38:00Z"/>
  <w16cex:commentExtensible w16cex:durableId="247CC912" w16cex:dateUtc="2021-06-15T18:14:00Z"/>
  <w16cex:commentExtensible w16cex:durableId="247CB276" w16cex:dateUtc="2021-05-27T10:41:00Z"/>
  <w16cex:commentExtensible w16cex:durableId="247CB275" w16cex:dateUtc="2021-05-27T10:42:00Z"/>
  <w16cex:commentExtensible w16cex:durableId="247CB274" w16cex:dateUtc="2021-06-15T18:26:00Z"/>
  <w16cex:commentExtensible w16cex:durableId="246DFAA3" w16cex:dateUtc="2021-06-11T14:07:00Z"/>
  <w16cex:commentExtensible w16cex:durableId="245A01AE" w16cex:dateUtc="2021-05-27T10:31:00Z"/>
  <w16cex:commentExtensible w16cex:durableId="246DFC38" w16cex:dateUtc="2021-06-11T14:14:00Z"/>
  <w16cex:commentExtensible w16cex:durableId="24737E73" w16cex:dateUtc="2021-06-15T18:30:00Z"/>
  <w16cex:commentExtensible w16cex:durableId="245A01E8" w16cex:dateUtc="2021-05-27T10:32:00Z"/>
  <w16cex:commentExtensible w16cex:durableId="245A0218" w16cex:dateUtc="2021-05-27T10:33:00Z"/>
  <w16cex:commentExtensible w16cex:durableId="2473774B" w16cex:dateUtc="2021-06-15T18:00:00Z"/>
  <w16cex:commentExtensible w16cex:durableId="245A0228" w16cex:dateUtc="2021-05-27T10:34:00Z"/>
  <w16cex:commentExtensible w16cex:durableId="245A0255" w16cex:dateUtc="2021-05-27T10:34:00Z"/>
  <w16cex:commentExtensible w16cex:durableId="2473782D" w16cex:dateUtc="2021-06-15T18:04:00Z"/>
  <w16cex:commentExtensible w16cex:durableId="245A0269" w16cex:dateUtc="2021-05-27T10:35:00Z"/>
  <w16cex:commentExtensible w16cex:durableId="245A0283" w16cex:dateUtc="2021-05-27T10:35:00Z"/>
  <w16cex:commentExtensible w16cex:durableId="245A029A" w16cex:dateUtc="2021-05-27T10:35:00Z"/>
  <w16cex:commentExtensible w16cex:durableId="245A02C6" w16cex:dateUtc="2021-05-27T10:36:00Z"/>
  <w16cex:commentExtensible w16cex:durableId="24737928" w16cex:dateUtc="2021-06-15T18:08:00Z"/>
  <w16cex:commentExtensible w16cex:durableId="245A02DE" w16cex:dateUtc="2021-05-27T10:37:00Z"/>
  <w16cex:commentExtensible w16cex:durableId="247379BD" w16cex:dateUtc="2021-06-15T18:10:00Z"/>
  <w16cex:commentExtensible w16cex:durableId="245A02EF" w16cex:dateUtc="2021-05-27T10:37:00Z"/>
  <w16cex:commentExtensible w16cex:durableId="245A0317" w16cex:dateUtc="2021-05-27T10:37:00Z"/>
  <w16cex:commentExtensible w16cex:durableId="24737A0B" w16cex:dateUtc="2021-06-15T18:12:00Z"/>
  <w16cex:commentExtensible w16cex:durableId="245A0325" w16cex:dateUtc="2021-05-27T10:38:00Z"/>
  <w16cex:commentExtensible w16cex:durableId="247CB2D3" w16cex:dateUtc="2021-05-27T10:41:00Z"/>
  <w16cex:commentExtensible w16cex:durableId="247CB2D2" w16cex:dateUtc="2021-06-15T18:25:00Z"/>
  <w16cex:commentExtensible w16cex:durableId="245A035A" w16cex:dateUtc="2021-05-27T10:39:00Z"/>
  <w16cex:commentExtensible w16cex:durableId="245A0371" w16cex:dateUtc="2021-05-27T10:39:00Z"/>
  <w16cex:commentExtensible w16cex:durableId="24737AC9" w16cex:dateUtc="2021-06-15T18:15:00Z"/>
  <w16cex:commentExtensible w16cex:durableId="245A0389" w16cex:dateUtc="2021-05-27T10:39:00Z"/>
  <w16cex:commentExtensible w16cex:durableId="24737B1A" w16cex:dateUtc="2021-06-15T18:16:00Z"/>
  <w16cex:commentExtensible w16cex:durableId="246DFBE6" w16cex:dateUtc="2021-06-11T14:12:00Z"/>
  <w16cex:commentExtensible w16cex:durableId="24737C01" w16cex:dateUtc="2021-06-15T18:20:00Z"/>
  <w16cex:commentExtensible w16cex:durableId="245A047B" w16cex:dateUtc="2021-05-27T10:43:00Z"/>
  <w16cex:commentExtensible w16cex:durableId="24737EDB" w16cex:dateUtc="2021-06-15T18:32:00Z"/>
  <w16cex:commentExtensible w16cex:durableId="245A0493" w16cex:dateUtc="2021-05-27T10:44:00Z"/>
  <w16cex:commentExtensible w16cex:durableId="245A04A4" w16cex:dateUtc="2021-05-27T10:44:00Z"/>
  <w16cex:commentExtensible w16cex:durableId="245A04B8" w16cex:dateUtc="2021-05-27T10:44:00Z"/>
  <w16cex:commentExtensible w16cex:durableId="24737F45" w16cex:dateUtc="2021-06-15T18:34:00Z"/>
  <w16cex:commentExtensible w16cex:durableId="245A04DE" w16cex:dateUtc="2021-05-27T10:45:00Z"/>
  <w16cex:commentExtensible w16cex:durableId="24738019" w16cex:dateUtc="2021-06-15T18:38:00Z"/>
  <w16cex:commentExtensible w16cex:durableId="246DFC68" w16cex:dateUtc="2021-06-11T14:14:00Z"/>
  <w16cex:commentExtensible w16cex:durableId="24737F9E" w16cex:dateUtc="2021-06-15T18:35:00Z"/>
  <w16cex:commentExtensible w16cex:durableId="245A0506" w16cex:dateUtc="2021-05-27T10:46:00Z"/>
  <w16cex:commentExtensible w16cex:durableId="2473811E" w16cex:dateUtc="2021-06-15T18:42:00Z"/>
  <w16cex:commentExtensible w16cex:durableId="245A0535" w16cex:dateUtc="2021-05-27T10:47:00Z"/>
  <w16cex:commentExtensible w16cex:durableId="24738220" w16cex:dateUtc="2021-06-15T18:46:00Z"/>
  <w16cex:commentExtensible w16cex:durableId="245A0591" w16cex:dateUtc="2021-05-27T10:48:00Z"/>
  <w16cex:commentExtensible w16cex:durableId="245A0525" w16cex:dateUtc="2021-05-27T10:46:00Z"/>
  <w16cex:commentExtensible w16cex:durableId="245A05AB" w16cex:dateUtc="2021-05-27T10:48:00Z"/>
  <w16cex:commentExtensible w16cex:durableId="245A05EF" w16cex:dateUtc="2021-05-27T10:50:00Z"/>
  <w16cex:commentExtensible w16cex:durableId="245A0602" w16cex:dateUtc="2021-05-27T10:50:00Z"/>
  <w16cex:commentExtensible w16cex:durableId="245A060D" w16cex:dateUtc="2021-05-27T10:50:00Z"/>
  <w16cex:commentExtensible w16cex:durableId="245A0621" w16cex:dateUtc="2021-05-27T10:50:00Z"/>
  <w16cex:commentExtensible w16cex:durableId="2473834F" w16cex:dateUtc="2021-06-15T18:51:00Z"/>
  <w16cex:commentExtensible w16cex:durableId="245A0677" w16cex:dateUtc="2021-05-27T10:52:00Z"/>
  <w16cex:commentExtensible w16cex:durableId="245A0694" w16cex:dateUtc="2021-05-27T10:52:00Z"/>
  <w16cex:commentExtensible w16cex:durableId="245A06AF" w16cex:dateUtc="2021-05-27T10:53:00Z"/>
  <w16cex:commentExtensible w16cex:durableId="245A06B8" w16cex:dateUtc="2021-05-27T10:53:00Z"/>
  <w16cex:commentExtensible w16cex:durableId="247386A6" w16cex:dateUtc="2021-06-15T19:05:00Z"/>
  <w16cex:commentExtensible w16cex:durableId="245A06EB" w16cex:dateUtc="2021-05-27T10:54:00Z"/>
  <w16cex:commentExtensible w16cex:durableId="245A06F3" w16cex:dateUtc="2021-05-27T10:54:00Z"/>
  <w16cex:commentExtensible w16cex:durableId="245A0728" w16cex:dateUtc="2021-05-27T10:55:00Z"/>
  <w16cex:commentExtensible w16cex:durableId="245A0740" w16cex:dateUtc="2021-05-27T10:55:00Z"/>
  <w16cex:commentExtensible w16cex:durableId="245A074C" w16cex:dateUtc="2021-05-27T10:55:00Z"/>
  <w16cex:commentExtensible w16cex:durableId="245A0758" w16cex:dateUtc="2021-05-27T10:56:00Z"/>
  <w16cex:commentExtensible w16cex:durableId="245A075E" w16cex:dateUtc="2021-05-27T10:56:00Z"/>
  <w16cex:commentExtensible w16cex:durableId="245A0796" w16cex:dateUtc="2021-05-27T10:57:00Z"/>
  <w16cex:commentExtensible w16cex:durableId="245A07A1" w16cex:dateUtc="2021-05-27T10:57:00Z"/>
  <w16cex:commentExtensible w16cex:durableId="245A07AF" w16cex:dateUtc="2021-05-27T10:57:00Z"/>
  <w16cex:commentExtensible w16cex:durableId="245A07C0" w16cex:dateUtc="2021-05-27T10:57:00Z"/>
  <w16cex:commentExtensible w16cex:durableId="245A07CF" w16cex:dateUtc="2021-05-27T10:58:00Z"/>
  <w16cex:commentExtensible w16cex:durableId="245A07E6" w16cex:dateUtc="2021-05-27T10:58:00Z"/>
  <w16cex:commentExtensible w16cex:durableId="246DFD7A" w16cex:dateUtc="2021-06-11T14:19:00Z"/>
  <w16cex:commentExtensible w16cex:durableId="246DFD5F" w16cex:dateUtc="2021-06-11T14: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B549517" w16cid:durableId="247CC913"/>
  <w16cid:commentId w16cid:paraId="46E8452F" w16cid:durableId="247CC912"/>
  <w16cid:commentId w16cid:paraId="0199E38F" w16cid:durableId="247CB276"/>
  <w16cid:commentId w16cid:paraId="07BB847F" w16cid:durableId="247CB275"/>
  <w16cid:commentId w16cid:paraId="3FD6C1AC" w16cid:durableId="247CB274"/>
  <w16cid:commentId w16cid:paraId="51B8A456" w16cid:durableId="246DFAA3"/>
  <w16cid:commentId w16cid:paraId="42DEEC98" w16cid:durableId="245A01AE"/>
  <w16cid:commentId w16cid:paraId="4C0746B0" w16cid:durableId="246DFC38"/>
  <w16cid:commentId w16cid:paraId="4E2F9C29" w16cid:durableId="24737E73"/>
  <w16cid:commentId w16cid:paraId="35A404A7" w16cid:durableId="245A01E8"/>
  <w16cid:commentId w16cid:paraId="6E6FA840" w16cid:durableId="245A0218"/>
  <w16cid:commentId w16cid:paraId="4AE6101F" w16cid:durableId="2473774B"/>
  <w16cid:commentId w16cid:paraId="253BBBB5" w16cid:durableId="245A0228"/>
  <w16cid:commentId w16cid:paraId="309BBADB" w16cid:durableId="245A0255"/>
  <w16cid:commentId w16cid:paraId="097049AE" w16cid:durableId="2473782D"/>
  <w16cid:commentId w16cid:paraId="46710848" w16cid:durableId="245A0269"/>
  <w16cid:commentId w16cid:paraId="267201ED" w16cid:durableId="245A0283"/>
  <w16cid:commentId w16cid:paraId="26F9B4EE" w16cid:durableId="245A029A"/>
  <w16cid:commentId w16cid:paraId="53159E2C" w16cid:durableId="245A02C6"/>
  <w16cid:commentId w16cid:paraId="27ED7677" w16cid:durableId="24737928"/>
  <w16cid:commentId w16cid:paraId="493A2027" w16cid:durableId="245A02DE"/>
  <w16cid:commentId w16cid:paraId="33698E22" w16cid:durableId="247379BD"/>
  <w16cid:commentId w16cid:paraId="1FF5A917" w16cid:durableId="245A02EF"/>
  <w16cid:commentId w16cid:paraId="02EBC906" w16cid:durableId="245A0317"/>
  <w16cid:commentId w16cid:paraId="716D2C1E" w16cid:durableId="24737A0B"/>
  <w16cid:commentId w16cid:paraId="4130284E" w16cid:durableId="245A0325"/>
  <w16cid:commentId w16cid:paraId="4ABC9BC9" w16cid:durableId="247CB2D3"/>
  <w16cid:commentId w16cid:paraId="40B14323" w16cid:durableId="247CB2D2"/>
  <w16cid:commentId w16cid:paraId="0C0D5AE1" w16cid:durableId="245A035A"/>
  <w16cid:commentId w16cid:paraId="4B71A0D9" w16cid:durableId="245A0371"/>
  <w16cid:commentId w16cid:paraId="4E0D4D69" w16cid:durableId="24737AC9"/>
  <w16cid:commentId w16cid:paraId="2A7A56A0" w16cid:durableId="245A0389"/>
  <w16cid:commentId w16cid:paraId="06464CE3" w16cid:durableId="24737B1A"/>
  <w16cid:commentId w16cid:paraId="012DE9D6" w16cid:durableId="246DFBE6"/>
  <w16cid:commentId w16cid:paraId="7D861F01" w16cid:durableId="24737C01"/>
  <w16cid:commentId w16cid:paraId="41BD537D" w16cid:durableId="245A047B"/>
  <w16cid:commentId w16cid:paraId="2F8CEAD3" w16cid:durableId="24737EDB"/>
  <w16cid:commentId w16cid:paraId="73878C1E" w16cid:durableId="245A0493"/>
  <w16cid:commentId w16cid:paraId="341617A7" w16cid:durableId="245A04A4"/>
  <w16cid:commentId w16cid:paraId="040B9904" w16cid:durableId="245A04B8"/>
  <w16cid:commentId w16cid:paraId="51FF8261" w16cid:durableId="24737F45"/>
  <w16cid:commentId w16cid:paraId="18FB327C" w16cid:durableId="245A04DE"/>
  <w16cid:commentId w16cid:paraId="765A6678" w16cid:durableId="24738019"/>
  <w16cid:commentId w16cid:paraId="0F8D3227" w16cid:durableId="246DFC68"/>
  <w16cid:commentId w16cid:paraId="443FDF80" w16cid:durableId="24737F9E"/>
  <w16cid:commentId w16cid:paraId="592CA924" w16cid:durableId="245A0506"/>
  <w16cid:commentId w16cid:paraId="034D2FC3" w16cid:durableId="2473811E"/>
  <w16cid:commentId w16cid:paraId="4BCC0AA0" w16cid:durableId="245A0535"/>
  <w16cid:commentId w16cid:paraId="38D460BA" w16cid:durableId="24738220"/>
  <w16cid:commentId w16cid:paraId="652E4ACC" w16cid:durableId="245A0591"/>
  <w16cid:commentId w16cid:paraId="5AEA4EA2" w16cid:durableId="245A0525"/>
  <w16cid:commentId w16cid:paraId="207D58CB" w16cid:durableId="245A05AB"/>
  <w16cid:commentId w16cid:paraId="5C15C938" w16cid:durableId="245A05EF"/>
  <w16cid:commentId w16cid:paraId="0AC987B3" w16cid:durableId="245A0602"/>
  <w16cid:commentId w16cid:paraId="58AF2976" w16cid:durableId="245A060D"/>
  <w16cid:commentId w16cid:paraId="1F0B1444" w16cid:durableId="245A0621"/>
  <w16cid:commentId w16cid:paraId="1C95DADE" w16cid:durableId="2473834F"/>
  <w16cid:commentId w16cid:paraId="3B57D257" w16cid:durableId="245A0677"/>
  <w16cid:commentId w16cid:paraId="3338788D" w16cid:durableId="245A0694"/>
  <w16cid:commentId w16cid:paraId="7191747F" w16cid:durableId="245A06AF"/>
  <w16cid:commentId w16cid:paraId="2D15A205" w16cid:durableId="245A06B8"/>
  <w16cid:commentId w16cid:paraId="7A18DA31" w16cid:durableId="247386A6"/>
  <w16cid:commentId w16cid:paraId="60A74D59" w16cid:durableId="245A06EB"/>
  <w16cid:commentId w16cid:paraId="71CDF987" w16cid:durableId="245A06F3"/>
  <w16cid:commentId w16cid:paraId="09C0099B" w16cid:durableId="245A0728"/>
  <w16cid:commentId w16cid:paraId="4886E9A6" w16cid:durableId="245A0740"/>
  <w16cid:commentId w16cid:paraId="5FB84FB2" w16cid:durableId="245A074C"/>
  <w16cid:commentId w16cid:paraId="19E439F2" w16cid:durableId="245A0758"/>
  <w16cid:commentId w16cid:paraId="5AA1DC23" w16cid:durableId="245A075E"/>
  <w16cid:commentId w16cid:paraId="75643CC5" w16cid:durableId="245A0796"/>
  <w16cid:commentId w16cid:paraId="7F0DEE57" w16cid:durableId="245A07A1"/>
  <w16cid:commentId w16cid:paraId="2A328E4B" w16cid:durableId="245A07AF"/>
  <w16cid:commentId w16cid:paraId="60024223" w16cid:durableId="245A07C0"/>
  <w16cid:commentId w16cid:paraId="61913335" w16cid:durableId="245A07CF"/>
  <w16cid:commentId w16cid:paraId="02EED709" w16cid:durableId="245A07E6"/>
  <w16cid:commentId w16cid:paraId="543CA3E5" w16cid:durableId="246DFD7A"/>
  <w16cid:commentId w16cid:paraId="54DAFE8C" w16cid:durableId="246DFD5F"/>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9CCA37" w14:textId="77777777" w:rsidR="00F35025" w:rsidRDefault="00F35025" w:rsidP="00074638">
      <w:r>
        <w:separator/>
      </w:r>
    </w:p>
  </w:endnote>
  <w:endnote w:type="continuationSeparator" w:id="0">
    <w:p w14:paraId="0B4AD9A4" w14:textId="77777777" w:rsidR="00F35025" w:rsidRDefault="00F35025" w:rsidP="000746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altName w:val="﷽﷽﷽﷽﷽﷽﷽﷽鉠΀怀"/>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02463056"/>
      <w:docPartObj>
        <w:docPartGallery w:val="Page Numbers (Bottom of Page)"/>
        <w:docPartUnique/>
      </w:docPartObj>
    </w:sdtPr>
    <w:sdtEndPr>
      <w:rPr>
        <w:rStyle w:val="PageNumber"/>
      </w:rPr>
    </w:sdtEndPr>
    <w:sdtContent>
      <w:p w14:paraId="71E64D47" w14:textId="5DB20848" w:rsidR="00F35025" w:rsidRDefault="00F35025" w:rsidP="000C70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2D24B7" w14:textId="77777777" w:rsidR="00F35025" w:rsidRDefault="00F35025" w:rsidP="00B15F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10780479"/>
      <w:docPartObj>
        <w:docPartGallery w:val="Page Numbers (Bottom of Page)"/>
        <w:docPartUnique/>
      </w:docPartObj>
    </w:sdtPr>
    <w:sdtEndPr>
      <w:rPr>
        <w:rStyle w:val="PageNumber"/>
      </w:rPr>
    </w:sdtEndPr>
    <w:sdtContent>
      <w:p w14:paraId="0E0D5B97" w14:textId="6A80C522" w:rsidR="00F35025" w:rsidRDefault="00F35025" w:rsidP="000C70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91650">
          <w:rPr>
            <w:rStyle w:val="PageNumber"/>
            <w:noProof/>
          </w:rPr>
          <w:t>2</w:t>
        </w:r>
        <w:r>
          <w:rPr>
            <w:rStyle w:val="PageNumber"/>
          </w:rPr>
          <w:fldChar w:fldCharType="end"/>
        </w:r>
      </w:p>
    </w:sdtContent>
  </w:sdt>
  <w:p w14:paraId="1133DF62" w14:textId="77777777" w:rsidR="00F35025" w:rsidRDefault="00F35025" w:rsidP="00B15F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671555" w14:textId="77777777" w:rsidR="00F35025" w:rsidRDefault="00F35025" w:rsidP="00074638">
      <w:r>
        <w:separator/>
      </w:r>
    </w:p>
  </w:footnote>
  <w:footnote w:type="continuationSeparator" w:id="0">
    <w:p w14:paraId="02EAFD2D" w14:textId="77777777" w:rsidR="00F35025" w:rsidRDefault="00F35025" w:rsidP="00074638">
      <w:r>
        <w:continuationSeparator/>
      </w:r>
    </w:p>
  </w:footnote>
  <w:footnote w:id="1">
    <w:p w14:paraId="0E619E05" w14:textId="7FB3C2F6" w:rsidR="00F35025" w:rsidRDefault="00F35025">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a</w:t>
      </w:r>
      <w:r w:rsidRPr="00A60C3B">
        <w:rPr>
          <w:rFonts w:ascii="Arial" w:hAnsi="Arial" w:cs="Arial"/>
          <w:noProof/>
          <w:color w:val="000000" w:themeColor="text1"/>
        </w:rPr>
        <w:t>)</w:t>
      </w:r>
    </w:p>
  </w:footnote>
  <w:footnote w:id="2">
    <w:p w14:paraId="1D59B78B" w14:textId="357DEE48" w:rsidR="00F35025" w:rsidRDefault="00F35025">
      <w:pPr>
        <w:pStyle w:val="FootnoteText"/>
      </w:pPr>
      <w:r>
        <w:rPr>
          <w:rStyle w:val="FootnoteReference"/>
        </w:rPr>
        <w:footnoteRef/>
      </w:r>
      <w:r>
        <w:t xml:space="preserve"> </w:t>
      </w:r>
      <w:r w:rsidRPr="00A60C3B">
        <w:rPr>
          <w:rFonts w:ascii="Arial" w:hAnsi="Arial" w:cs="Arial"/>
          <w:noProof/>
          <w:color w:val="000000" w:themeColor="text1"/>
        </w:rPr>
        <w:t>(Gov.uk, 2014)</w:t>
      </w:r>
    </w:p>
  </w:footnote>
  <w:footnote w:id="3">
    <w:p w14:paraId="7B978B16" w14:textId="48859271" w:rsidR="00F35025" w:rsidRDefault="00F35025">
      <w:pPr>
        <w:pStyle w:val="FootnoteText"/>
      </w:pPr>
      <w:r>
        <w:rPr>
          <w:rStyle w:val="FootnoteReference"/>
        </w:rPr>
        <w:footnoteRef/>
      </w:r>
      <w:r>
        <w:t xml:space="preserve"> </w:t>
      </w:r>
      <w:r w:rsidRPr="00A60C3B">
        <w:rPr>
          <w:rFonts w:ascii="Arial" w:hAnsi="Arial" w:cs="Arial"/>
          <w:noProof/>
          <w:color w:val="000000" w:themeColor="text1"/>
        </w:rPr>
        <w:t>(Personnel Today, 2015)</w:t>
      </w:r>
    </w:p>
  </w:footnote>
  <w:footnote w:id="4">
    <w:p w14:paraId="498E3BBB" w14:textId="4F798275" w:rsidR="00F35025" w:rsidRDefault="00F35025">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a</w:t>
      </w:r>
      <w:r w:rsidRPr="00A60C3B">
        <w:rPr>
          <w:rFonts w:ascii="Arial" w:hAnsi="Arial" w:cs="Arial"/>
          <w:noProof/>
          <w:color w:val="000000" w:themeColor="text1"/>
        </w:rPr>
        <w:t>)</w:t>
      </w:r>
    </w:p>
  </w:footnote>
  <w:footnote w:id="5">
    <w:p w14:paraId="1080FF93" w14:textId="49F869F5" w:rsidR="00F35025" w:rsidRDefault="00F35025">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 xml:space="preserve">b; </w:t>
      </w:r>
      <w:r w:rsidRPr="00796AA0">
        <w:rPr>
          <w:rFonts w:ascii="Arial" w:hAnsi="Arial" w:cs="Arial"/>
          <w:noProof/>
          <w:color w:val="000000" w:themeColor="text1"/>
        </w:rPr>
        <w:t>The Employment Tribunals in England and Wales and in Scotland, 2021)</w:t>
      </w:r>
    </w:p>
  </w:footnote>
  <w:footnote w:id="6">
    <w:p w14:paraId="372183EB" w14:textId="230EB6B9" w:rsidR="00F35025" w:rsidRDefault="00F35025">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a</w:t>
      </w:r>
      <w:r w:rsidRPr="00A60C3B">
        <w:rPr>
          <w:rFonts w:ascii="Arial" w:hAnsi="Arial" w:cs="Arial"/>
          <w:noProof/>
          <w:color w:val="000000" w:themeColor="text1"/>
        </w:rPr>
        <w:t>)</w:t>
      </w:r>
    </w:p>
  </w:footnote>
  <w:footnote w:id="7">
    <w:p w14:paraId="3D83E954" w14:textId="77777777" w:rsidR="00F35025" w:rsidRDefault="00F35025" w:rsidP="00D356D6">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b</w:t>
      </w:r>
      <w:r w:rsidRPr="00A60C3B">
        <w:rPr>
          <w:rFonts w:ascii="Arial" w:hAnsi="Arial" w:cs="Arial"/>
          <w:noProof/>
          <w:color w:val="000000" w:themeColor="text1"/>
        </w:rPr>
        <w:t>)</w:t>
      </w:r>
    </w:p>
  </w:footnote>
  <w:footnote w:id="8">
    <w:p w14:paraId="6C5C9C0F" w14:textId="4712ADB1" w:rsidR="00F35025" w:rsidRDefault="00F35025">
      <w:pPr>
        <w:pStyle w:val="FootnoteText"/>
      </w:pPr>
      <w:r>
        <w:rPr>
          <w:rStyle w:val="FootnoteReference"/>
        </w:rPr>
        <w:footnoteRef/>
      </w:r>
      <w:r>
        <w:t xml:space="preserve"> </w:t>
      </w:r>
      <w:r w:rsidRPr="00A60C3B">
        <w:rPr>
          <w:rFonts w:ascii="Arial" w:hAnsi="Arial" w:cs="Arial"/>
          <w:noProof/>
          <w:color w:val="000000" w:themeColor="text1"/>
        </w:rPr>
        <w:t>(Lewis &amp; Sargeant, 2020</w:t>
      </w:r>
      <w:r>
        <w:rPr>
          <w:rFonts w:ascii="Arial" w:hAnsi="Arial" w:cs="Arial"/>
          <w:noProof/>
          <w:color w:val="000000" w:themeColor="text1"/>
        </w:rPr>
        <w:t>)</w:t>
      </w:r>
    </w:p>
  </w:footnote>
  <w:footnote w:id="9">
    <w:p w14:paraId="69931446" w14:textId="7ECA1120" w:rsidR="00F35025" w:rsidRDefault="00F35025">
      <w:pPr>
        <w:pStyle w:val="FootnoteText"/>
      </w:pPr>
      <w:r>
        <w:rPr>
          <w:rStyle w:val="FootnoteReference"/>
        </w:rPr>
        <w:footnoteRef/>
      </w:r>
      <w:r>
        <w:t xml:space="preserve"> (ACAS Code of Practice, P.34)</w:t>
      </w:r>
    </w:p>
  </w:footnote>
  <w:footnote w:id="10">
    <w:p w14:paraId="7CE42F0B" w14:textId="523B68AA" w:rsidR="00F35025" w:rsidRDefault="00F35025">
      <w:pPr>
        <w:pStyle w:val="FootnoteText"/>
      </w:pPr>
      <w:r>
        <w:rPr>
          <w:rStyle w:val="FootnoteReference"/>
        </w:rPr>
        <w:footnoteRef/>
      </w:r>
      <w:r w:rsidRPr="00A60C3B">
        <w:rPr>
          <w:rFonts w:ascii="Arial" w:hAnsi="Arial" w:cs="Arial"/>
          <w:noProof/>
          <w:color w:val="000000" w:themeColor="text1"/>
        </w:rPr>
        <w:t>(ACAS, 2015)</w:t>
      </w:r>
    </w:p>
  </w:footnote>
  <w:footnote w:id="11">
    <w:p w14:paraId="3BD69286" w14:textId="77777777" w:rsidR="00F35025" w:rsidRDefault="00F35025" w:rsidP="00266462">
      <w:pPr>
        <w:pStyle w:val="FootnoteText"/>
      </w:pPr>
      <w:r>
        <w:rPr>
          <w:rStyle w:val="FootnoteReference"/>
        </w:rPr>
        <w:footnoteRef/>
      </w:r>
      <w:r>
        <w:t xml:space="preserve"> </w:t>
      </w:r>
      <w:r w:rsidRPr="00A60C3B">
        <w:rPr>
          <w:rFonts w:ascii="Arial" w:hAnsi="Arial" w:cs="Arial"/>
          <w:i/>
          <w:color w:val="000000" w:themeColor="text1"/>
        </w:rPr>
        <w:t>Polkey v AE Dayton Services Ltd 1987</w:t>
      </w:r>
    </w:p>
  </w:footnote>
  <w:footnote w:id="12">
    <w:p w14:paraId="31BFF1ED" w14:textId="77777777" w:rsidR="00F35025" w:rsidRDefault="00F35025" w:rsidP="00266462">
      <w:pPr>
        <w:pStyle w:val="FootnoteText"/>
      </w:pPr>
      <w:r>
        <w:rPr>
          <w:rStyle w:val="FootnoteReference"/>
        </w:rPr>
        <w:footnoteRef/>
      </w:r>
      <w:r>
        <w:t xml:space="preserve"> The Employment Rights Act 1996, Section 98</w:t>
      </w:r>
    </w:p>
  </w:footnote>
  <w:footnote w:id="13">
    <w:p w14:paraId="2BB0E35F" w14:textId="77777777" w:rsidR="00F35025" w:rsidRDefault="00F35025" w:rsidP="00266462">
      <w:pPr>
        <w:pStyle w:val="FootnoteText"/>
      </w:pPr>
      <w:r>
        <w:rPr>
          <w:rStyle w:val="FootnoteReference"/>
        </w:rPr>
        <w:footnoteRef/>
      </w:r>
      <w:r>
        <w:t xml:space="preserve"> </w:t>
      </w:r>
      <w:r w:rsidRPr="00A60C3B">
        <w:rPr>
          <w:rFonts w:ascii="Arial" w:hAnsi="Arial" w:cs="Arial"/>
          <w:color w:val="000000" w:themeColor="text1"/>
        </w:rPr>
        <w:t>John-Charles v NHS Business Services Authority</w:t>
      </w:r>
      <w:r>
        <w:rPr>
          <w:rFonts w:ascii="Arial" w:hAnsi="Arial" w:cs="Arial"/>
          <w:color w:val="000000" w:themeColor="text1"/>
        </w:rPr>
        <w:t xml:space="preserve"> 2015</w:t>
      </w:r>
    </w:p>
  </w:footnote>
  <w:footnote w:id="14">
    <w:p w14:paraId="6BDD61E5" w14:textId="74A724C6" w:rsidR="00F35025" w:rsidRDefault="00F35025">
      <w:pPr>
        <w:pStyle w:val="FootnoteText"/>
      </w:pPr>
      <w:r>
        <w:rPr>
          <w:rStyle w:val="FootnoteReference"/>
        </w:rPr>
        <w:footnoteRef/>
      </w:r>
      <w:r>
        <w:t>(</w:t>
      </w:r>
      <w:r w:rsidRPr="00A60C3B">
        <w:rPr>
          <w:rFonts w:ascii="Arial" w:hAnsi="Arial" w:cs="Arial"/>
          <w:color w:val="000000" w:themeColor="text1"/>
        </w:rPr>
        <w:t>ERA 1999, section 10; ACAS Guide P23-26)</w:t>
      </w:r>
    </w:p>
  </w:footnote>
  <w:footnote w:id="15">
    <w:p w14:paraId="462E2369" w14:textId="77777777" w:rsidR="00F35025" w:rsidRDefault="00F35025" w:rsidP="00496D8A">
      <w:pPr>
        <w:pStyle w:val="FootnoteText"/>
      </w:pPr>
      <w:r>
        <w:rPr>
          <w:rStyle w:val="FootnoteReference"/>
        </w:rPr>
        <w:footnoteRef/>
      </w:r>
      <w:r>
        <w:t xml:space="preserve"> </w:t>
      </w:r>
      <w:r w:rsidRPr="00A60C3B">
        <w:rPr>
          <w:rFonts w:ascii="Arial" w:hAnsi="Arial" w:cs="Arial"/>
          <w:color w:val="000000" w:themeColor="text1"/>
        </w:rPr>
        <w:t>The Emp</w:t>
      </w:r>
      <w:r>
        <w:rPr>
          <w:rFonts w:ascii="Arial" w:hAnsi="Arial" w:cs="Arial"/>
          <w:color w:val="000000" w:themeColor="text1"/>
        </w:rPr>
        <w:t xml:space="preserve">loyment </w:t>
      </w:r>
      <w:r w:rsidRPr="00A60C3B">
        <w:rPr>
          <w:rFonts w:ascii="Arial" w:hAnsi="Arial" w:cs="Arial"/>
          <w:color w:val="000000" w:themeColor="text1"/>
        </w:rPr>
        <w:t>R</w:t>
      </w:r>
      <w:r>
        <w:rPr>
          <w:rFonts w:ascii="Arial" w:hAnsi="Arial" w:cs="Arial"/>
          <w:color w:val="000000" w:themeColor="text1"/>
        </w:rPr>
        <w:t xml:space="preserve">elations </w:t>
      </w:r>
      <w:r w:rsidRPr="00A60C3B">
        <w:rPr>
          <w:rFonts w:ascii="Arial" w:hAnsi="Arial" w:cs="Arial"/>
          <w:color w:val="000000" w:themeColor="text1"/>
        </w:rPr>
        <w:t>A</w:t>
      </w:r>
      <w:r>
        <w:rPr>
          <w:rFonts w:ascii="Arial" w:hAnsi="Arial" w:cs="Arial"/>
          <w:color w:val="000000" w:themeColor="text1"/>
        </w:rPr>
        <w:t>ct</w:t>
      </w:r>
      <w:r w:rsidRPr="00A60C3B">
        <w:rPr>
          <w:rFonts w:ascii="Arial" w:hAnsi="Arial" w:cs="Arial"/>
          <w:color w:val="000000" w:themeColor="text1"/>
        </w:rPr>
        <w:t xml:space="preserve"> 1999, Section 10</w:t>
      </w:r>
    </w:p>
  </w:footnote>
  <w:footnote w:id="16">
    <w:p w14:paraId="3C47F407" w14:textId="77777777" w:rsidR="00F35025" w:rsidRDefault="00F35025" w:rsidP="004F3823">
      <w:pPr>
        <w:pStyle w:val="FootnoteText"/>
      </w:pPr>
      <w:r>
        <w:rPr>
          <w:rStyle w:val="FootnoteReference"/>
        </w:rPr>
        <w:footnoteRef/>
      </w:r>
      <w:r>
        <w:t xml:space="preserve"> </w:t>
      </w:r>
      <w:r w:rsidRPr="00A60C3B">
        <w:rPr>
          <w:rFonts w:ascii="Arial" w:hAnsi="Arial" w:cs="Arial"/>
          <w:color w:val="000000" w:themeColor="text1"/>
        </w:rPr>
        <w:t>Shrestha v Genesis Housing Association Ltd</w:t>
      </w:r>
      <w:r>
        <w:rPr>
          <w:rFonts w:ascii="Arial" w:hAnsi="Arial" w:cs="Arial"/>
          <w:color w:val="000000" w:themeColor="text1"/>
        </w:rPr>
        <w:t xml:space="preserve"> 2015</w:t>
      </w:r>
    </w:p>
  </w:footnote>
  <w:footnote w:id="17">
    <w:p w14:paraId="2F6980B8" w14:textId="77777777" w:rsidR="00F35025" w:rsidRDefault="00F35025" w:rsidP="004F3823">
      <w:pPr>
        <w:pStyle w:val="FootnoteText"/>
      </w:pPr>
      <w:r>
        <w:rPr>
          <w:rStyle w:val="FootnoteReference"/>
        </w:rPr>
        <w:footnoteRef/>
      </w:r>
      <w:r>
        <w:t xml:space="preserve"> </w:t>
      </w:r>
      <w:r w:rsidRPr="00A60C3B">
        <w:rPr>
          <w:rFonts w:ascii="Arial" w:hAnsi="Arial" w:cs="Arial"/>
          <w:color w:val="000000" w:themeColor="text1"/>
        </w:rPr>
        <w:t>Harvey v Vista Hotels</w:t>
      </w:r>
      <w:r>
        <w:rPr>
          <w:rFonts w:ascii="Arial" w:hAnsi="Arial" w:cs="Arial"/>
          <w:color w:val="000000" w:themeColor="text1"/>
        </w:rPr>
        <w:t xml:space="preserve"> 2015</w:t>
      </w:r>
    </w:p>
  </w:footnote>
  <w:footnote w:id="18">
    <w:p w14:paraId="3869AD2D" w14:textId="2E94B9D2" w:rsidR="00F35025" w:rsidRDefault="00F35025">
      <w:pPr>
        <w:pStyle w:val="FootnoteText"/>
      </w:pPr>
      <w:r>
        <w:rPr>
          <w:rStyle w:val="FootnoteReference"/>
        </w:rPr>
        <w:footnoteRef/>
      </w:r>
      <w:r w:rsidRPr="00A60C3B">
        <w:rPr>
          <w:rFonts w:ascii="Arial" w:hAnsi="Arial" w:cs="Arial"/>
          <w:noProof/>
          <w:color w:val="000000" w:themeColor="text1"/>
        </w:rPr>
        <w:t>(ACAS, 2015)</w:t>
      </w:r>
    </w:p>
  </w:footnote>
  <w:footnote w:id="19">
    <w:p w14:paraId="44BBD00F" w14:textId="1AA987BB" w:rsidR="00F35025" w:rsidRPr="004957F1" w:rsidRDefault="00F35025" w:rsidP="007476BA">
      <w:pPr>
        <w:pStyle w:val="Bibliography"/>
        <w:rPr>
          <w:rFonts w:ascii="Arial" w:hAnsi="Arial" w:cs="Arial"/>
          <w:noProof/>
          <w:color w:val="000000" w:themeColor="text1"/>
        </w:rPr>
      </w:pPr>
      <w:r>
        <w:rPr>
          <w:rStyle w:val="FootnoteReference"/>
        </w:rPr>
        <w:footnoteRef/>
      </w:r>
      <w:r w:rsidRPr="00774BBB">
        <w:rPr>
          <w:rFonts w:ascii="Arial" w:hAnsi="Arial" w:cs="Arial"/>
          <w:noProof/>
          <w:color w:val="000000" w:themeColor="text1"/>
        </w:rPr>
        <w:t>British Home Stores Limited v Burchell [1978] IRLR 379.</w:t>
      </w:r>
    </w:p>
  </w:footnote>
  <w:footnote w:id="20">
    <w:p w14:paraId="7C2E27FC" w14:textId="40B6AFE0" w:rsidR="00F35025" w:rsidRDefault="00F35025" w:rsidP="007476BA">
      <w:pPr>
        <w:pStyle w:val="NormalWeb"/>
        <w:spacing w:before="0" w:beforeAutospacing="0" w:after="0" w:afterAutospacing="0"/>
      </w:pPr>
      <w:r>
        <w:rPr>
          <w:rStyle w:val="FootnoteReference"/>
        </w:rPr>
        <w:footnoteRef/>
      </w:r>
      <w:r>
        <w:t xml:space="preserve"> </w:t>
      </w:r>
      <w:r w:rsidRPr="00A60C3B">
        <w:rPr>
          <w:rFonts w:ascii="Arial" w:hAnsi="Arial" w:cs="Arial"/>
          <w:color w:val="000000" w:themeColor="text1"/>
        </w:rPr>
        <w:t>Iceland Frozen Foods v Jones {1983}.</w:t>
      </w:r>
    </w:p>
  </w:footnote>
  <w:footnote w:id="21">
    <w:p w14:paraId="1AE89F88" w14:textId="77777777" w:rsidR="00F35025" w:rsidRDefault="00F35025" w:rsidP="00FD0956">
      <w:pPr>
        <w:pStyle w:val="FootnoteText"/>
      </w:pPr>
      <w:r>
        <w:rPr>
          <w:rStyle w:val="FootnoteReference"/>
        </w:rPr>
        <w:footnoteRef/>
      </w:r>
      <w:r>
        <w:t xml:space="preserve"> </w:t>
      </w:r>
      <w:r w:rsidRPr="00447DBD">
        <w:rPr>
          <w:rStyle w:val="Emphasis"/>
          <w:rFonts w:ascii="Arial" w:hAnsi="Arial" w:cs="Arial"/>
          <w:color w:val="000000" w:themeColor="text1"/>
        </w:rPr>
        <w:t>Hadjioannou v Coral Casinos Ltd</w:t>
      </w:r>
      <w:r w:rsidRPr="00447DBD">
        <w:rPr>
          <w:rStyle w:val="apple-converted-space"/>
          <w:rFonts w:ascii="Arial" w:hAnsi="Arial" w:cs="Arial"/>
          <w:i/>
          <w:iCs/>
          <w:color w:val="000000" w:themeColor="text1"/>
        </w:rPr>
        <w:t> </w:t>
      </w:r>
      <w:r w:rsidRPr="00447DBD">
        <w:rPr>
          <w:rFonts w:ascii="Arial" w:hAnsi="Arial" w:cs="Arial"/>
          <w:color w:val="000000" w:themeColor="text1"/>
          <w:shd w:val="clear" w:color="auto" w:fill="F8F8F8"/>
        </w:rPr>
        <w:t>[1981] IRLR 352</w:t>
      </w:r>
    </w:p>
  </w:footnote>
  <w:footnote w:id="22">
    <w:p w14:paraId="54C866F0" w14:textId="77777777" w:rsidR="00F35025" w:rsidRDefault="00F35025" w:rsidP="007476BA">
      <w:pPr>
        <w:pStyle w:val="FootnoteText"/>
      </w:pPr>
      <w:r>
        <w:rPr>
          <w:rStyle w:val="FootnoteReference"/>
        </w:rPr>
        <w:footnoteRef/>
      </w:r>
      <w:r>
        <w:t xml:space="preserve"> (</w:t>
      </w:r>
      <w:r w:rsidRPr="00A60C3B">
        <w:rPr>
          <w:rFonts w:ascii="Arial" w:hAnsi="Arial" w:cs="Arial"/>
          <w:noProof/>
          <w:color w:val="000000" w:themeColor="text1"/>
        </w:rPr>
        <w:t>CIPD, 2020</w:t>
      </w:r>
      <w:r>
        <w:rPr>
          <w:rFonts w:ascii="Arial" w:hAnsi="Arial" w:cs="Arial"/>
          <w:noProof/>
          <w:color w:val="000000" w:themeColor="text1"/>
        </w:rPr>
        <w:t>a</w:t>
      </w:r>
      <w:r w:rsidRPr="00A60C3B">
        <w:rPr>
          <w:rFonts w:ascii="Arial" w:hAnsi="Arial" w:cs="Arial"/>
          <w:noProof/>
          <w:color w:val="000000" w:themeColor="text1"/>
        </w:rPr>
        <w:t>)</w:t>
      </w:r>
    </w:p>
  </w:footnote>
  <w:footnote w:id="23">
    <w:p w14:paraId="4BA7AB9A" w14:textId="77777777" w:rsidR="00F35025" w:rsidRDefault="00F35025" w:rsidP="009F4592">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b</w:t>
      </w:r>
      <w:r w:rsidRPr="00A60C3B">
        <w:rPr>
          <w:rFonts w:ascii="Arial" w:hAnsi="Arial" w:cs="Arial"/>
          <w:noProof/>
          <w:color w:val="000000" w:themeColor="text1"/>
        </w:rPr>
        <w:t>; Lewis &amp; Sargeant, 2020)</w:t>
      </w:r>
    </w:p>
  </w:footnote>
  <w:footnote w:id="24">
    <w:p w14:paraId="41705318" w14:textId="77777777" w:rsidR="00F35025" w:rsidRDefault="00F35025" w:rsidP="00372BF3">
      <w:pPr>
        <w:pStyle w:val="FootnoteText"/>
      </w:pPr>
      <w:r>
        <w:rPr>
          <w:rStyle w:val="FootnoteReference"/>
        </w:rPr>
        <w:footnoteRef/>
      </w:r>
      <w:r>
        <w:t xml:space="preserve"> </w:t>
      </w:r>
      <w:r w:rsidRPr="00A60C3B">
        <w:rPr>
          <w:rFonts w:ascii="Arial" w:hAnsi="Arial" w:cs="Arial"/>
          <w:noProof/>
          <w:color w:val="000000" w:themeColor="text1"/>
        </w:rPr>
        <w:t>John Lewis plc v Coyne</w:t>
      </w:r>
      <w:r>
        <w:rPr>
          <w:rFonts w:ascii="Arial" w:hAnsi="Arial" w:cs="Arial"/>
          <w:noProof/>
          <w:color w:val="000000" w:themeColor="text1"/>
        </w:rPr>
        <w:t xml:space="preserve"> (</w:t>
      </w:r>
      <w:r w:rsidRPr="00A60C3B">
        <w:rPr>
          <w:rFonts w:ascii="Arial" w:hAnsi="Arial" w:cs="Arial"/>
          <w:noProof/>
          <w:color w:val="000000" w:themeColor="text1"/>
        </w:rPr>
        <w:t>2000</w:t>
      </w:r>
      <w:r>
        <w:rPr>
          <w:rFonts w:ascii="Arial" w:hAnsi="Arial" w:cs="Arial"/>
          <w:noProof/>
          <w:color w:val="000000" w:themeColor="text1"/>
        </w:rPr>
        <w:t>)</w:t>
      </w:r>
    </w:p>
  </w:footnote>
  <w:footnote w:id="25">
    <w:p w14:paraId="2563C5B5" w14:textId="77777777" w:rsidR="00F35025" w:rsidRDefault="00F35025" w:rsidP="00D51EDA">
      <w:pPr>
        <w:pStyle w:val="FootnoteText"/>
      </w:pPr>
      <w:r>
        <w:rPr>
          <w:rStyle w:val="FootnoteReference"/>
        </w:rPr>
        <w:footnoteRef/>
      </w:r>
      <w:r>
        <w:t xml:space="preserve"> </w:t>
      </w:r>
      <w:r w:rsidRPr="00A60C3B">
        <w:rPr>
          <w:rFonts w:ascii="Arial" w:hAnsi="Arial" w:cs="Arial"/>
          <w:bCs/>
          <w:color w:val="000000" w:themeColor="text1"/>
        </w:rPr>
        <w:t>The Public Interest Disclosure Act 1998</w:t>
      </w:r>
    </w:p>
  </w:footnote>
  <w:footnote w:id="26">
    <w:p w14:paraId="6F6F89F0" w14:textId="77777777" w:rsidR="00F35025" w:rsidRDefault="00F35025" w:rsidP="00D51EDA">
      <w:pPr>
        <w:pStyle w:val="FootnoteText"/>
      </w:pPr>
      <w:r>
        <w:rPr>
          <w:rStyle w:val="FootnoteReference"/>
        </w:rPr>
        <w:footnoteRef/>
      </w:r>
      <w:r>
        <w:t xml:space="preserve"> The Employment Rights Act 1996, Section 44</w:t>
      </w:r>
    </w:p>
  </w:footnote>
  <w:footnote w:id="27">
    <w:p w14:paraId="0B5249DF" w14:textId="77777777" w:rsidR="00F35025" w:rsidRDefault="00F35025" w:rsidP="00C373AD">
      <w:pPr>
        <w:pStyle w:val="FootnoteText"/>
      </w:pPr>
      <w:r>
        <w:rPr>
          <w:rStyle w:val="FootnoteReference"/>
        </w:rPr>
        <w:footnoteRef/>
      </w:r>
      <w:r>
        <w:t xml:space="preserve"> </w:t>
      </w:r>
      <w:r w:rsidRPr="00A60C3B">
        <w:rPr>
          <w:rFonts w:ascii="Arial" w:hAnsi="Arial" w:cs="Arial"/>
          <w:color w:val="000000" w:themeColor="text1"/>
        </w:rPr>
        <w:t>The Public Interest Disclosure Act 1998, section 43A to 43L and 103A into the ERA 1996</w:t>
      </w:r>
    </w:p>
  </w:footnote>
  <w:footnote w:id="28">
    <w:p w14:paraId="75D2FC7D" w14:textId="77777777" w:rsidR="00F35025" w:rsidRDefault="00F35025" w:rsidP="00D51EDA">
      <w:pPr>
        <w:pStyle w:val="FootnoteText"/>
      </w:pPr>
      <w:r>
        <w:rPr>
          <w:rStyle w:val="FootnoteReference"/>
        </w:rPr>
        <w:footnoteRef/>
      </w:r>
      <w:r>
        <w:t xml:space="preserve"> The Employment Rights Act 1996, Section 100, subsection 1, C</w:t>
      </w:r>
    </w:p>
  </w:footnote>
  <w:footnote w:id="29">
    <w:p w14:paraId="3A2D4CDC" w14:textId="77777777" w:rsidR="00F35025" w:rsidRDefault="00F35025" w:rsidP="00D51EDA">
      <w:pPr>
        <w:pStyle w:val="FootnoteText"/>
      </w:pPr>
      <w:r>
        <w:rPr>
          <w:rStyle w:val="FootnoteReference"/>
        </w:rPr>
        <w:footnoteRef/>
      </w:r>
      <w:r>
        <w:t xml:space="preserve"> The Employment Rights Act 1996, Section 104, subsection 4</w:t>
      </w:r>
    </w:p>
  </w:footnote>
  <w:footnote w:id="30">
    <w:p w14:paraId="3E8D6AEE" w14:textId="77777777" w:rsidR="00F35025" w:rsidRDefault="00F35025" w:rsidP="00FD0956">
      <w:pPr>
        <w:pStyle w:val="FootnoteText"/>
      </w:pPr>
      <w:r>
        <w:rPr>
          <w:rStyle w:val="FootnoteReference"/>
        </w:rPr>
        <w:footnoteRef/>
      </w:r>
      <w:r>
        <w:t xml:space="preserve"> </w:t>
      </w:r>
      <w:r w:rsidRPr="00447DBD">
        <w:rPr>
          <w:rFonts w:ascii="Arial" w:hAnsi="Arial" w:cs="Arial"/>
          <w:color w:val="000000" w:themeColor="text1"/>
        </w:rPr>
        <w:t>Dornsfield v University of Reading</w:t>
      </w:r>
      <w:r>
        <w:rPr>
          <w:rFonts w:ascii="Arial" w:hAnsi="Arial" w:cs="Arial"/>
          <w:color w:val="000000" w:themeColor="text1"/>
        </w:rPr>
        <w:t xml:space="preserve"> 2019</w:t>
      </w:r>
    </w:p>
  </w:footnote>
  <w:footnote w:id="31">
    <w:p w14:paraId="524C0566" w14:textId="77777777" w:rsidR="00F35025" w:rsidRDefault="00F35025" w:rsidP="00FD0956">
      <w:pPr>
        <w:pStyle w:val="FootnoteText"/>
      </w:pPr>
      <w:r>
        <w:rPr>
          <w:rStyle w:val="FootnoteReference"/>
        </w:rPr>
        <w:footnoteRef/>
      </w:r>
      <w:r>
        <w:t xml:space="preserve"> </w:t>
      </w:r>
      <w:r w:rsidRPr="00447DBD">
        <w:rPr>
          <w:rFonts w:ascii="Arial" w:hAnsi="Arial" w:cs="Arial"/>
          <w:color w:val="000000" w:themeColor="text1"/>
        </w:rPr>
        <w:t>Ramphal v Department of Transport</w:t>
      </w:r>
      <w:r>
        <w:rPr>
          <w:rFonts w:ascii="Arial" w:hAnsi="Arial" w:cs="Arial"/>
          <w:color w:val="000000" w:themeColor="text1"/>
        </w:rPr>
        <w:t xml:space="preserve"> 2015</w:t>
      </w:r>
    </w:p>
  </w:footnote>
  <w:footnote w:id="32">
    <w:p w14:paraId="41A9DAAE" w14:textId="77777777" w:rsidR="00F35025" w:rsidRDefault="00F35025" w:rsidP="005A5083">
      <w:pPr>
        <w:pStyle w:val="FootnoteText"/>
      </w:pPr>
      <w:r>
        <w:rPr>
          <w:rStyle w:val="FootnoteReference"/>
        </w:rPr>
        <w:footnoteRef/>
      </w:r>
      <w:r>
        <w:t xml:space="preserve"> </w:t>
      </w:r>
      <w:r w:rsidRPr="00A60C3B">
        <w:rPr>
          <w:rFonts w:ascii="Arial" w:hAnsi="Arial" w:cs="Arial"/>
          <w:color w:val="000000" w:themeColor="text1"/>
        </w:rPr>
        <w:t>Cavendish Munro professional Risks Management Ltd v Geduld UK</w:t>
      </w:r>
    </w:p>
  </w:footnote>
  <w:footnote w:id="33">
    <w:p w14:paraId="2C371DA1" w14:textId="77777777" w:rsidR="00F35025" w:rsidRDefault="00F35025" w:rsidP="005A5083">
      <w:pPr>
        <w:pStyle w:val="FootnoteText"/>
      </w:pPr>
      <w:r>
        <w:rPr>
          <w:rStyle w:val="FootnoteReference"/>
        </w:rPr>
        <w:footnoteRef/>
      </w:r>
      <w:r>
        <w:t xml:space="preserve"> </w:t>
      </w:r>
      <w:r w:rsidRPr="00A60C3B">
        <w:rPr>
          <w:rFonts w:ascii="Arial" w:hAnsi="Arial" w:cs="Arial"/>
          <w:color w:val="000000" w:themeColor="text1"/>
        </w:rPr>
        <w:t>Kilraine V London Borough of Wandsworth 2018</w:t>
      </w:r>
    </w:p>
  </w:footnote>
  <w:footnote w:id="34">
    <w:p w14:paraId="149E83F5" w14:textId="466C9FCB" w:rsidR="00F35025" w:rsidRDefault="00F35025">
      <w:pPr>
        <w:pStyle w:val="FootnoteText"/>
      </w:pPr>
      <w:r>
        <w:rPr>
          <w:rStyle w:val="FootnoteReference"/>
        </w:rPr>
        <w:footnoteRef/>
      </w:r>
      <w:r>
        <w:t xml:space="preserve"> </w:t>
      </w:r>
      <w:r w:rsidRPr="00A60C3B">
        <w:rPr>
          <w:rFonts w:ascii="Arial" w:hAnsi="Arial" w:cs="Arial"/>
          <w:bCs/>
          <w:color w:val="000000" w:themeColor="text1"/>
        </w:rPr>
        <w:t xml:space="preserve">Coleman V Attridge Law </w:t>
      </w:r>
      <w:r>
        <w:rPr>
          <w:rFonts w:ascii="Arial" w:hAnsi="Arial" w:cs="Arial"/>
          <w:bCs/>
          <w:color w:val="000000" w:themeColor="text1"/>
        </w:rPr>
        <w:t>[</w:t>
      </w:r>
      <w:r w:rsidRPr="00A60C3B">
        <w:rPr>
          <w:rFonts w:ascii="Arial" w:hAnsi="Arial" w:cs="Arial"/>
          <w:bCs/>
          <w:color w:val="000000" w:themeColor="text1"/>
        </w:rPr>
        <w:t>2008</w:t>
      </w:r>
      <w:r>
        <w:rPr>
          <w:rFonts w:ascii="Arial" w:hAnsi="Arial" w:cs="Arial"/>
          <w:bCs/>
          <w:color w:val="000000" w:themeColor="text1"/>
        </w:rPr>
        <w:t>]</w:t>
      </w:r>
      <w:r w:rsidRPr="00A60C3B">
        <w:rPr>
          <w:rFonts w:ascii="Arial" w:hAnsi="Arial" w:cs="Arial"/>
          <w:bCs/>
          <w:color w:val="000000" w:themeColor="text1"/>
        </w:rPr>
        <w:t>.</w:t>
      </w:r>
    </w:p>
  </w:footnote>
  <w:footnote w:id="35">
    <w:p w14:paraId="5BE4549D" w14:textId="77777777" w:rsidR="00F35025" w:rsidRDefault="00F35025" w:rsidP="008662FC">
      <w:pPr>
        <w:pStyle w:val="FootnoteText"/>
      </w:pPr>
      <w:r>
        <w:rPr>
          <w:rStyle w:val="FootnoteReference"/>
        </w:rPr>
        <w:footnoteRef/>
      </w:r>
      <w:r>
        <w:t xml:space="preserve"> </w:t>
      </w:r>
      <w:r w:rsidRPr="00A60C3B">
        <w:rPr>
          <w:rFonts w:ascii="Arial" w:hAnsi="Arial" w:cs="Arial"/>
          <w:noProof/>
          <w:color w:val="000000" w:themeColor="text1"/>
        </w:rPr>
        <w:t>(Smith, 2021)</w:t>
      </w:r>
    </w:p>
  </w:footnote>
  <w:footnote w:id="36">
    <w:p w14:paraId="3E70EDE1" w14:textId="3F6CBEED" w:rsidR="00F35025" w:rsidRDefault="00F35025">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b)</w:t>
      </w:r>
    </w:p>
  </w:footnote>
  <w:footnote w:id="37">
    <w:p w14:paraId="16A5C65F" w14:textId="77777777" w:rsidR="00F35025" w:rsidRDefault="00F35025" w:rsidP="00EA598A">
      <w:pPr>
        <w:pStyle w:val="FootnoteText"/>
      </w:pPr>
      <w:r>
        <w:rPr>
          <w:rStyle w:val="FootnoteReference"/>
        </w:rPr>
        <w:footnoteRef/>
      </w:r>
      <w:r>
        <w:t xml:space="preserve"> </w:t>
      </w:r>
      <w:r w:rsidRPr="00A60C3B">
        <w:rPr>
          <w:rFonts w:ascii="Arial" w:hAnsi="Arial" w:cs="Arial"/>
          <w:color w:val="000000" w:themeColor="text1"/>
        </w:rPr>
        <w:t xml:space="preserve">Gilham v Kent County Council and </w:t>
      </w:r>
      <w:r w:rsidRPr="00A60C3B">
        <w:rPr>
          <w:rFonts w:ascii="Arial" w:hAnsi="Arial" w:cs="Arial"/>
          <w:i/>
          <w:iCs/>
          <w:color w:val="000000" w:themeColor="text1"/>
        </w:rPr>
        <w:t>Smith v Penfold Motors Ltd 1101378/2009</w:t>
      </w:r>
    </w:p>
  </w:footnote>
  <w:footnote w:id="38">
    <w:p w14:paraId="31289DF6" w14:textId="5A3EF027" w:rsidR="00F35025" w:rsidRDefault="00F35025">
      <w:pPr>
        <w:pStyle w:val="FootnoteText"/>
      </w:pPr>
      <w:r>
        <w:rPr>
          <w:rStyle w:val="FootnoteReference"/>
        </w:rPr>
        <w:footnoteRef/>
      </w:r>
      <w:r>
        <w:t xml:space="preserve"> </w:t>
      </w:r>
      <w:sdt>
        <w:sdtPr>
          <w:rPr>
            <w:rFonts w:ascii="Arial" w:hAnsi="Arial" w:cs="Arial"/>
            <w:noProof/>
            <w:color w:val="000000" w:themeColor="text1"/>
          </w:rPr>
          <w:id w:val="730354279"/>
          <w:citation/>
        </w:sdtPr>
        <w:sdtEndPr/>
        <w:sdtContent>
          <w:r>
            <w:rPr>
              <w:rFonts w:ascii="Arial" w:hAnsi="Arial" w:cs="Arial"/>
              <w:noProof/>
              <w:color w:val="000000" w:themeColor="text1"/>
            </w:rPr>
            <w:fldChar w:fldCharType="begin"/>
          </w:r>
          <w:r>
            <w:rPr>
              <w:rFonts w:ascii="Arial" w:hAnsi="Arial" w:cs="Arial"/>
              <w:noProof/>
              <w:color w:val="000000" w:themeColor="text1"/>
            </w:rPr>
            <w:instrText xml:space="preserve"> CITATION ACA213 \l 2057 </w:instrText>
          </w:r>
          <w:r>
            <w:rPr>
              <w:rFonts w:ascii="Arial" w:hAnsi="Arial" w:cs="Arial"/>
              <w:noProof/>
              <w:color w:val="000000" w:themeColor="text1"/>
            </w:rPr>
            <w:fldChar w:fldCharType="separate"/>
          </w:r>
          <w:r w:rsidRPr="004B3E6A">
            <w:rPr>
              <w:rFonts w:ascii="Arial" w:hAnsi="Arial" w:cs="Arial"/>
              <w:noProof/>
              <w:color w:val="000000" w:themeColor="text1"/>
            </w:rPr>
            <w:t>(ACAS, 2021b)</w:t>
          </w:r>
          <w:r>
            <w:rPr>
              <w:rFonts w:ascii="Arial" w:hAnsi="Arial" w:cs="Arial"/>
              <w:noProof/>
              <w:color w:val="000000" w:themeColor="text1"/>
            </w:rPr>
            <w:fldChar w:fldCharType="end"/>
          </w:r>
        </w:sdtContent>
      </w:sdt>
    </w:p>
  </w:footnote>
  <w:footnote w:id="39">
    <w:p w14:paraId="2846748B" w14:textId="77777777" w:rsidR="00F35025" w:rsidRDefault="00F35025" w:rsidP="0052207D">
      <w:pPr>
        <w:pStyle w:val="FootnoteText"/>
      </w:pPr>
      <w:r>
        <w:rPr>
          <w:rStyle w:val="FootnoteReference"/>
        </w:rPr>
        <w:footnoteRef/>
      </w:r>
      <w:r>
        <w:t xml:space="preserve"> </w:t>
      </w:r>
      <w:r w:rsidRPr="00A60C3B">
        <w:rPr>
          <w:rFonts w:ascii="Arial" w:hAnsi="Arial" w:cs="Arial"/>
          <w:noProof/>
          <w:color w:val="000000" w:themeColor="text1"/>
        </w:rPr>
        <w:t>(ICAEW, 2017)</w:t>
      </w:r>
    </w:p>
  </w:footnote>
  <w:footnote w:id="40">
    <w:p w14:paraId="31F1BFE7" w14:textId="77777777" w:rsidR="00F35025" w:rsidRPr="004957F1" w:rsidRDefault="00F35025" w:rsidP="0052207D">
      <w:pPr>
        <w:pStyle w:val="FootnoteText"/>
        <w:rPr>
          <w:rFonts w:ascii="Arial" w:hAnsi="Arial" w:cs="Arial"/>
          <w:color w:val="000000" w:themeColor="text1"/>
        </w:rPr>
      </w:pPr>
      <w:r>
        <w:rPr>
          <w:rStyle w:val="FootnoteReference"/>
        </w:rPr>
        <w:footnoteRef/>
      </w:r>
      <w:r>
        <w:t xml:space="preserve">  </w:t>
      </w:r>
      <w:r w:rsidRPr="00A60C3B">
        <w:rPr>
          <w:rFonts w:ascii="Arial" w:hAnsi="Arial" w:cs="Arial"/>
          <w:color w:val="000000" w:themeColor="text1"/>
        </w:rPr>
        <w:t>Rodliffe v SOS Parking</w:t>
      </w:r>
      <w:r>
        <w:rPr>
          <w:rFonts w:ascii="Arial" w:hAnsi="Arial" w:cs="Arial"/>
          <w:color w:val="000000" w:themeColor="text1"/>
        </w:rPr>
        <w:t xml:space="preserve"> 2016</w:t>
      </w:r>
    </w:p>
  </w:footnote>
  <w:footnote w:id="41">
    <w:p w14:paraId="1404D8DA" w14:textId="77777777" w:rsidR="00F35025" w:rsidRDefault="00F35025" w:rsidP="00EA598A">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c)</w:t>
      </w:r>
    </w:p>
  </w:footnote>
  <w:footnote w:id="42">
    <w:p w14:paraId="6B697CBD" w14:textId="77777777" w:rsidR="00F35025" w:rsidRDefault="00F35025" w:rsidP="0003599B">
      <w:pPr>
        <w:pStyle w:val="FootnoteText"/>
      </w:pPr>
      <w:r>
        <w:rPr>
          <w:rStyle w:val="FootnoteReference"/>
        </w:rPr>
        <w:footnoteRef/>
      </w:r>
      <w:r>
        <w:t xml:space="preserve"> </w:t>
      </w:r>
      <w:r w:rsidRPr="00A60C3B">
        <w:rPr>
          <w:rFonts w:ascii="Arial" w:hAnsi="Arial" w:cs="Arial"/>
          <w:color w:val="000000" w:themeColor="text1"/>
        </w:rPr>
        <w:t>The E</w:t>
      </w:r>
      <w:r>
        <w:rPr>
          <w:rFonts w:ascii="Arial" w:hAnsi="Arial" w:cs="Arial"/>
          <w:color w:val="000000" w:themeColor="text1"/>
        </w:rPr>
        <w:t xml:space="preserve">mployment Rights Act </w:t>
      </w:r>
      <w:r w:rsidRPr="00A60C3B">
        <w:rPr>
          <w:rFonts w:ascii="Arial" w:hAnsi="Arial" w:cs="Arial"/>
          <w:color w:val="000000" w:themeColor="text1"/>
        </w:rPr>
        <w:t>1996, Section 86</w:t>
      </w:r>
    </w:p>
  </w:footnote>
  <w:footnote w:id="43">
    <w:p w14:paraId="48E3557F" w14:textId="77777777" w:rsidR="00F35025" w:rsidRDefault="00F35025" w:rsidP="0003599B">
      <w:pPr>
        <w:pStyle w:val="FootnoteText"/>
      </w:pPr>
      <w:r>
        <w:rPr>
          <w:rStyle w:val="FootnoteReference"/>
        </w:rPr>
        <w:footnoteRef/>
      </w:r>
      <w:r>
        <w:t xml:space="preserve"> </w:t>
      </w:r>
      <w:r w:rsidRPr="00A60C3B">
        <w:rPr>
          <w:rFonts w:ascii="Arial" w:hAnsi="Arial" w:cs="Arial"/>
          <w:color w:val="000000" w:themeColor="text1"/>
        </w:rPr>
        <w:t>Rodliffe v SOS Parking</w:t>
      </w:r>
      <w:r>
        <w:rPr>
          <w:rFonts w:ascii="Arial" w:hAnsi="Arial" w:cs="Arial"/>
          <w:color w:val="000000" w:themeColor="text1"/>
        </w:rPr>
        <w:t xml:space="preserve"> 2016</w:t>
      </w:r>
    </w:p>
  </w:footnote>
  <w:footnote w:id="44">
    <w:p w14:paraId="3481D9EC" w14:textId="77777777" w:rsidR="00F35025" w:rsidRDefault="00F35025" w:rsidP="00983695">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c</w:t>
      </w:r>
      <w:r w:rsidRPr="00A60C3B">
        <w:rPr>
          <w:rFonts w:ascii="Arial" w:hAnsi="Arial" w:cs="Arial"/>
          <w:noProof/>
          <w:color w:val="000000" w:themeColor="text1"/>
        </w:rPr>
        <w:t>)</w:t>
      </w:r>
    </w:p>
  </w:footnote>
  <w:footnote w:id="45">
    <w:p w14:paraId="4D77538C" w14:textId="77777777" w:rsidR="00F35025" w:rsidRDefault="00F35025" w:rsidP="009E5973">
      <w:pPr>
        <w:pStyle w:val="FootnoteText"/>
      </w:pPr>
      <w:r>
        <w:rPr>
          <w:rStyle w:val="FootnoteReference"/>
        </w:rPr>
        <w:footnoteRef/>
      </w:r>
      <w:r>
        <w:t xml:space="preserve"> </w:t>
      </w:r>
      <w:r w:rsidRPr="00A60C3B">
        <w:rPr>
          <w:rFonts w:ascii="Arial" w:hAnsi="Arial" w:cs="Arial"/>
          <w:noProof/>
          <w:color w:val="000000" w:themeColor="text1"/>
        </w:rPr>
        <w:t>(Personnel Today, 2009)</w:t>
      </w:r>
    </w:p>
  </w:footnote>
  <w:footnote w:id="46">
    <w:p w14:paraId="3CD46141" w14:textId="2D43E5BE" w:rsidR="00F35025" w:rsidRDefault="00F35025">
      <w:pPr>
        <w:pStyle w:val="FootnoteText"/>
      </w:pPr>
      <w:r>
        <w:rPr>
          <w:rStyle w:val="FootnoteReference"/>
        </w:rPr>
        <w:footnoteRef/>
      </w:r>
      <w:r>
        <w:t xml:space="preserve"> </w:t>
      </w:r>
      <w:sdt>
        <w:sdtPr>
          <w:rPr>
            <w:rFonts w:ascii="Arial" w:hAnsi="Arial" w:cs="Arial"/>
            <w:color w:val="000000" w:themeColor="text1"/>
          </w:rPr>
          <w:id w:val="-1925640326"/>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Lew20 \l 2057 </w:instrText>
          </w:r>
          <w:r>
            <w:rPr>
              <w:rFonts w:ascii="Arial" w:hAnsi="Arial" w:cs="Arial"/>
              <w:color w:val="000000" w:themeColor="text1"/>
            </w:rPr>
            <w:fldChar w:fldCharType="separate"/>
          </w:r>
          <w:r w:rsidRPr="00401590">
            <w:rPr>
              <w:rFonts w:ascii="Arial" w:hAnsi="Arial" w:cs="Arial"/>
              <w:noProof/>
              <w:color w:val="000000" w:themeColor="text1"/>
            </w:rPr>
            <w:t>(Lewis &amp; Sargeant, 2020)</w:t>
          </w:r>
          <w:r>
            <w:rPr>
              <w:rFonts w:ascii="Arial" w:hAnsi="Arial" w:cs="Arial"/>
              <w:color w:val="000000" w:themeColor="text1"/>
            </w:rPr>
            <w:fldChar w:fldCharType="end"/>
          </w:r>
        </w:sdtContent>
      </w:sdt>
    </w:p>
  </w:footnote>
  <w:footnote w:id="47">
    <w:p w14:paraId="61EEAE54" w14:textId="77777777" w:rsidR="00F35025" w:rsidRDefault="00F35025" w:rsidP="00152AC5">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c</w:t>
      </w:r>
      <w:r w:rsidRPr="00A60C3B">
        <w:rPr>
          <w:rFonts w:ascii="Arial" w:hAnsi="Arial" w:cs="Arial"/>
          <w:noProof/>
          <w:color w:val="000000" w:themeColor="text1"/>
        </w:rPr>
        <w:t>)</w:t>
      </w:r>
    </w:p>
  </w:footnote>
  <w:footnote w:id="48">
    <w:p w14:paraId="44916752" w14:textId="36DFEA7E" w:rsidR="00F35025" w:rsidRDefault="00F35025">
      <w:pPr>
        <w:pStyle w:val="FootnoteText"/>
      </w:pPr>
      <w:r>
        <w:rPr>
          <w:rStyle w:val="FootnoteReference"/>
        </w:rPr>
        <w:footnoteRef/>
      </w:r>
      <w:r>
        <w:t xml:space="preserve"> </w:t>
      </w:r>
      <w:r w:rsidRPr="00A60C3B">
        <w:rPr>
          <w:rFonts w:ascii="Arial" w:hAnsi="Arial" w:cs="Arial"/>
          <w:noProof/>
          <w:color w:val="000000" w:themeColor="text1"/>
        </w:rPr>
        <w:t>CIPD, 2021</w:t>
      </w:r>
      <w:r>
        <w:rPr>
          <w:rFonts w:ascii="Arial" w:hAnsi="Arial" w:cs="Arial"/>
          <w:noProof/>
          <w:color w:val="000000" w:themeColor="text1"/>
        </w:rPr>
        <w:t>a</w:t>
      </w:r>
      <w:r w:rsidRPr="00A60C3B">
        <w:rPr>
          <w:rFonts w:ascii="Arial" w:hAnsi="Arial" w:cs="Arial"/>
          <w:noProof/>
          <w:color w:val="000000" w:themeColor="text1"/>
        </w:rPr>
        <w:t>)</w:t>
      </w:r>
    </w:p>
  </w:footnote>
  <w:footnote w:id="49">
    <w:p w14:paraId="134FEB3D" w14:textId="77777777" w:rsidR="00F35025" w:rsidRDefault="00F35025" w:rsidP="00CC03D5">
      <w:pPr>
        <w:pStyle w:val="FootnoteText"/>
      </w:pPr>
      <w:r>
        <w:rPr>
          <w:rStyle w:val="FootnoteReference"/>
        </w:rPr>
        <w:footnoteRef/>
      </w:r>
      <w:r>
        <w:t xml:space="preserve"> The Employment Rights Act 1996, </w:t>
      </w:r>
      <w:r w:rsidRPr="00A60C3B">
        <w:rPr>
          <w:rFonts w:ascii="Arial" w:hAnsi="Arial" w:cs="Arial"/>
          <w:color w:val="000000" w:themeColor="text1"/>
        </w:rPr>
        <w:t xml:space="preserve">Section 207A </w:t>
      </w:r>
      <w:r>
        <w:rPr>
          <w:rFonts w:ascii="Arial" w:hAnsi="Arial" w:cs="Arial"/>
          <w:color w:val="000000" w:themeColor="text1"/>
        </w:rPr>
        <w:t xml:space="preserve">&amp; </w:t>
      </w:r>
      <w:r w:rsidRPr="00A60C3B">
        <w:rPr>
          <w:rFonts w:ascii="Arial" w:hAnsi="Arial" w:cs="Arial"/>
          <w:color w:val="000000" w:themeColor="text1"/>
        </w:rPr>
        <w:t>TULRCA 1992</w:t>
      </w:r>
    </w:p>
  </w:footnote>
  <w:footnote w:id="50">
    <w:p w14:paraId="7C003BBA" w14:textId="77777777" w:rsidR="00F35025" w:rsidRDefault="00F35025" w:rsidP="00CC03D5">
      <w:pPr>
        <w:pStyle w:val="FootnoteText"/>
      </w:pPr>
      <w:r>
        <w:rPr>
          <w:rStyle w:val="FootnoteReference"/>
        </w:rPr>
        <w:footnoteRef/>
      </w:r>
      <w:r>
        <w:t xml:space="preserve"> </w:t>
      </w:r>
      <w:r w:rsidRPr="00A60C3B">
        <w:rPr>
          <w:rFonts w:ascii="Arial" w:hAnsi="Arial" w:cs="Arial"/>
          <w:color w:val="000000" w:themeColor="text1"/>
        </w:rPr>
        <w:t>Holmes v Qinetiq Ltd (2016) IRLR 664</w:t>
      </w:r>
    </w:p>
  </w:footnote>
  <w:footnote w:id="51">
    <w:p w14:paraId="30005418" w14:textId="77777777" w:rsidR="00F35025" w:rsidRDefault="00F35025" w:rsidP="00CC03D5">
      <w:pPr>
        <w:pStyle w:val="FootnoteText"/>
      </w:pPr>
      <w:r>
        <w:rPr>
          <w:rStyle w:val="FootnoteReference"/>
        </w:rPr>
        <w:footnoteRef/>
      </w:r>
      <w:r>
        <w:t xml:space="preserve"> </w:t>
      </w:r>
      <w:r w:rsidRPr="00A60C3B">
        <w:rPr>
          <w:rFonts w:ascii="Arial" w:hAnsi="Arial" w:cs="Arial"/>
          <w:color w:val="000000" w:themeColor="text1"/>
        </w:rPr>
        <w:t>Phoenix House Ltd v Stockman (2016) IRLR 82</w:t>
      </w:r>
    </w:p>
  </w:footnote>
  <w:footnote w:id="52">
    <w:p w14:paraId="17A6EA92" w14:textId="77777777" w:rsidR="00F35025" w:rsidRPr="00774BBB" w:rsidRDefault="00F35025" w:rsidP="00CC03D5">
      <w:pPr>
        <w:pStyle w:val="Bibliography"/>
        <w:rPr>
          <w:rFonts w:ascii="Arial" w:hAnsi="Arial" w:cs="Arial"/>
          <w:noProof/>
          <w:color w:val="000000" w:themeColor="text1"/>
        </w:rPr>
      </w:pPr>
      <w:r>
        <w:rPr>
          <w:rStyle w:val="FootnoteReference"/>
        </w:rPr>
        <w:footnoteRef/>
      </w:r>
      <w:r>
        <w:t xml:space="preserve"> </w:t>
      </w:r>
      <w:r w:rsidRPr="00774BBB">
        <w:rPr>
          <w:rFonts w:ascii="Arial" w:hAnsi="Arial" w:cs="Arial"/>
          <w:noProof/>
          <w:color w:val="000000" w:themeColor="text1"/>
        </w:rPr>
        <w:t>British Home Stores Limited v Burchell [1978] IRLR 379.</w:t>
      </w:r>
    </w:p>
    <w:p w14:paraId="7981B24F" w14:textId="77777777" w:rsidR="00F35025" w:rsidRDefault="00F35025" w:rsidP="00CC03D5">
      <w:pPr>
        <w:pStyle w:val="FootnoteText"/>
      </w:pPr>
    </w:p>
  </w:footnote>
  <w:footnote w:id="53">
    <w:p w14:paraId="0BD25EF5" w14:textId="77777777" w:rsidR="00F35025" w:rsidRDefault="00F35025" w:rsidP="000F71FC">
      <w:pPr>
        <w:pStyle w:val="FootnoteText"/>
      </w:pPr>
      <w:r>
        <w:rPr>
          <w:rStyle w:val="FootnoteReference"/>
        </w:rPr>
        <w:footnoteRef/>
      </w:r>
      <w:r>
        <w:t xml:space="preserve"> </w:t>
      </w:r>
      <w:r w:rsidRPr="00A60C3B">
        <w:rPr>
          <w:rFonts w:ascii="Arial" w:hAnsi="Arial" w:cs="Arial"/>
          <w:noProof/>
          <w:color w:val="000000" w:themeColor="text1"/>
        </w:rPr>
        <w:t>(ACAS, 2018)</w:t>
      </w:r>
    </w:p>
  </w:footnote>
  <w:footnote w:id="54">
    <w:p w14:paraId="59F1E39F" w14:textId="77777777" w:rsidR="00F35025" w:rsidRDefault="00F35025" w:rsidP="000F71FC">
      <w:pPr>
        <w:pStyle w:val="FootnoteText"/>
      </w:pPr>
      <w:r>
        <w:rPr>
          <w:rStyle w:val="FootnoteReference"/>
        </w:rPr>
        <w:footnoteRef/>
      </w:r>
      <w:r>
        <w:t xml:space="preserve"> </w:t>
      </w:r>
      <w:r>
        <w:rPr>
          <w:rFonts w:ascii="Arial" w:hAnsi="Arial" w:cs="Arial"/>
          <w:color w:val="000000" w:themeColor="text1"/>
        </w:rPr>
        <w:t>The Employment Rights Act</w:t>
      </w:r>
      <w:r w:rsidRPr="00A60C3B">
        <w:rPr>
          <w:rFonts w:ascii="Arial" w:hAnsi="Arial" w:cs="Arial"/>
          <w:color w:val="000000" w:themeColor="text1"/>
        </w:rPr>
        <w:t xml:space="preserve"> 1996, </w:t>
      </w:r>
      <w:r>
        <w:rPr>
          <w:rFonts w:ascii="Arial" w:hAnsi="Arial" w:cs="Arial"/>
          <w:color w:val="000000" w:themeColor="text1"/>
        </w:rPr>
        <w:t>S</w:t>
      </w:r>
      <w:r w:rsidRPr="00A60C3B">
        <w:rPr>
          <w:rFonts w:ascii="Arial" w:hAnsi="Arial" w:cs="Arial"/>
          <w:color w:val="000000" w:themeColor="text1"/>
        </w:rPr>
        <w:t>ection 111A</w:t>
      </w:r>
    </w:p>
  </w:footnote>
  <w:footnote w:id="55">
    <w:p w14:paraId="2324721B" w14:textId="0A8853F9" w:rsidR="00F35025" w:rsidRDefault="00F35025">
      <w:pPr>
        <w:pStyle w:val="FootnoteText"/>
      </w:pPr>
      <w:r>
        <w:rPr>
          <w:rStyle w:val="FootnoteReference"/>
        </w:rPr>
        <w:footnoteRef/>
      </w:r>
      <w:r>
        <w:t xml:space="preserve"> </w:t>
      </w:r>
      <w:r w:rsidRPr="00A60C3B">
        <w:rPr>
          <w:rFonts w:ascii="Arial" w:hAnsi="Arial" w:cs="Arial"/>
          <w:color w:val="000000" w:themeColor="text1"/>
        </w:rPr>
        <w:t>Lock v Cardiff Railway Co. Ltd (1998) IRLR 358</w:t>
      </w:r>
    </w:p>
  </w:footnote>
  <w:footnote w:id="56">
    <w:p w14:paraId="3736E0B8" w14:textId="7D35EA97" w:rsidR="00F35025" w:rsidRDefault="00F35025">
      <w:pPr>
        <w:pStyle w:val="FootnoteText"/>
      </w:pPr>
      <w:r>
        <w:rPr>
          <w:rStyle w:val="FootnoteReference"/>
        </w:rPr>
        <w:footnoteRef/>
      </w:r>
      <w:r>
        <w:t xml:space="preserve"> </w:t>
      </w:r>
      <w:r w:rsidRPr="00A60C3B">
        <w:rPr>
          <w:rFonts w:ascii="Arial" w:hAnsi="Arial" w:cs="Arial"/>
          <w:noProof/>
          <w:color w:val="000000" w:themeColor="text1"/>
        </w:rPr>
        <w:t>(ACAS, 2018)</w:t>
      </w:r>
    </w:p>
  </w:footnote>
  <w:footnote w:id="57">
    <w:p w14:paraId="46E4FF47" w14:textId="4905ACC8" w:rsidR="00F35025" w:rsidRDefault="00F35025">
      <w:pPr>
        <w:pStyle w:val="FootnoteText"/>
      </w:pPr>
      <w:r>
        <w:rPr>
          <w:rStyle w:val="FootnoteReference"/>
        </w:rPr>
        <w:footnoteRef/>
      </w:r>
      <w:r>
        <w:t xml:space="preserve"> </w:t>
      </w:r>
      <w:r>
        <w:rPr>
          <w:rFonts w:ascii="Arial" w:hAnsi="Arial" w:cs="Arial"/>
          <w:color w:val="000000" w:themeColor="text1"/>
        </w:rPr>
        <w:t>The Employment Rights Act</w:t>
      </w:r>
      <w:r w:rsidRPr="00A60C3B">
        <w:rPr>
          <w:rFonts w:ascii="Arial" w:hAnsi="Arial" w:cs="Arial"/>
          <w:color w:val="000000" w:themeColor="text1"/>
        </w:rPr>
        <w:t xml:space="preserve"> 1996, </w:t>
      </w:r>
      <w:r>
        <w:rPr>
          <w:rFonts w:ascii="Arial" w:hAnsi="Arial" w:cs="Arial"/>
          <w:color w:val="000000" w:themeColor="text1"/>
        </w:rPr>
        <w:t>S</w:t>
      </w:r>
      <w:r w:rsidRPr="00A60C3B">
        <w:rPr>
          <w:rFonts w:ascii="Arial" w:hAnsi="Arial" w:cs="Arial"/>
          <w:color w:val="000000" w:themeColor="text1"/>
        </w:rPr>
        <w:t>ection 203</w:t>
      </w:r>
    </w:p>
  </w:footnote>
  <w:footnote w:id="58">
    <w:p w14:paraId="50A770AD" w14:textId="77777777" w:rsidR="00F35025" w:rsidRDefault="00F35025">
      <w:pPr>
        <w:pStyle w:val="FootnoteText"/>
      </w:pPr>
      <w:r>
        <w:rPr>
          <w:rStyle w:val="FootnoteReference"/>
        </w:rPr>
        <w:footnoteRef/>
      </w:r>
      <w:r>
        <w:t xml:space="preserve"> </w:t>
      </w:r>
      <w:r>
        <w:rPr>
          <w:rFonts w:ascii="Arial" w:hAnsi="Arial" w:cs="Arial"/>
          <w:noProof/>
        </w:rPr>
        <w:t xml:space="preserve"> </w:t>
      </w:r>
      <w:r w:rsidRPr="00B13F8B">
        <w:rPr>
          <w:rFonts w:ascii="Arial" w:hAnsi="Arial" w:cs="Arial"/>
          <w:noProof/>
        </w:rPr>
        <w:t>(ACAS, 2014)</w:t>
      </w:r>
    </w:p>
  </w:footnote>
  <w:footnote w:id="59">
    <w:p w14:paraId="03C963D2" w14:textId="372B8FF6" w:rsidR="00F35025" w:rsidRDefault="00F35025">
      <w:pPr>
        <w:pStyle w:val="FootnoteText"/>
      </w:pPr>
      <w:r>
        <w:rPr>
          <w:rStyle w:val="FootnoteReference"/>
        </w:rPr>
        <w:footnoteRef/>
      </w:r>
      <w:r>
        <w:t xml:space="preserve"> </w:t>
      </w:r>
      <w:sdt>
        <w:sdtPr>
          <w:rPr>
            <w:rFonts w:ascii="Arial" w:hAnsi="Arial" w:cs="Arial"/>
            <w:color w:val="000000" w:themeColor="text1"/>
          </w:rPr>
          <w:id w:val="-254441936"/>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Lew20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C824D4">
            <w:rPr>
              <w:rFonts w:ascii="Arial" w:hAnsi="Arial" w:cs="Arial"/>
              <w:noProof/>
              <w:color w:val="000000" w:themeColor="text1"/>
            </w:rPr>
            <w:t>(Lewis &amp; Sargeant, 2020)</w:t>
          </w:r>
          <w:r>
            <w:rPr>
              <w:rFonts w:ascii="Arial" w:hAnsi="Arial" w:cs="Arial"/>
              <w:color w:val="000000" w:themeColor="text1"/>
            </w:rPr>
            <w:fldChar w:fldCharType="end"/>
          </w:r>
        </w:sdtContent>
      </w:sdt>
    </w:p>
  </w:footnote>
  <w:footnote w:id="60">
    <w:p w14:paraId="0029B384" w14:textId="6977E696" w:rsidR="00F35025" w:rsidRDefault="00F35025">
      <w:pPr>
        <w:pStyle w:val="FootnoteText"/>
      </w:pPr>
      <w:r>
        <w:rPr>
          <w:rStyle w:val="FootnoteReference"/>
        </w:rPr>
        <w:footnoteRef/>
      </w:r>
      <w:r>
        <w:t xml:space="preserve"> </w:t>
      </w:r>
      <w:sdt>
        <w:sdtPr>
          <w:rPr>
            <w:rFonts w:ascii="Arial" w:hAnsi="Arial" w:cs="Arial"/>
            <w:color w:val="202124"/>
            <w:shd w:val="clear" w:color="auto" w:fill="FFFFFF"/>
          </w:rPr>
          <w:id w:val="799187869"/>
          <w:citation/>
        </w:sdtPr>
        <w:sdtEndPr/>
        <w:sdtContent>
          <w:r>
            <w:rPr>
              <w:rFonts w:ascii="Arial" w:hAnsi="Arial" w:cs="Arial"/>
              <w:color w:val="202124"/>
              <w:shd w:val="clear" w:color="auto" w:fill="FFFFFF"/>
            </w:rPr>
            <w:fldChar w:fldCharType="begin"/>
          </w:r>
          <w:r w:rsidR="003253A9">
            <w:rPr>
              <w:rFonts w:ascii="Arial" w:hAnsi="Arial" w:cs="Arial"/>
              <w:color w:val="202124"/>
              <w:shd w:val="clear" w:color="auto" w:fill="FFFFFF"/>
            </w:rPr>
            <w:instrText xml:space="preserve">CITATION ICO21 \l 2057 </w:instrText>
          </w:r>
          <w:r>
            <w:rPr>
              <w:rFonts w:ascii="Arial" w:hAnsi="Arial" w:cs="Arial"/>
              <w:color w:val="202124"/>
              <w:shd w:val="clear" w:color="auto" w:fill="FFFFFF"/>
            </w:rPr>
            <w:fldChar w:fldCharType="separate"/>
          </w:r>
          <w:r w:rsidR="003253A9" w:rsidRPr="003253A9">
            <w:rPr>
              <w:rFonts w:ascii="Arial" w:hAnsi="Arial" w:cs="Arial"/>
              <w:noProof/>
              <w:color w:val="202124"/>
              <w:shd w:val="clear" w:color="auto" w:fill="FFFFFF"/>
            </w:rPr>
            <w:t>(ICO, 2021)</w:t>
          </w:r>
          <w:r>
            <w:rPr>
              <w:rFonts w:ascii="Arial" w:hAnsi="Arial" w:cs="Arial"/>
              <w:color w:val="202124"/>
              <w:shd w:val="clear" w:color="auto" w:fill="FFFFFF"/>
            </w:rPr>
            <w:fldChar w:fldCharType="end"/>
          </w:r>
        </w:sdtContent>
      </w:sdt>
    </w:p>
  </w:footnote>
  <w:footnote w:id="61">
    <w:p w14:paraId="75C13960" w14:textId="77777777" w:rsidR="00F35025" w:rsidRDefault="00F35025" w:rsidP="002B6226">
      <w:pPr>
        <w:pStyle w:val="FootnoteText"/>
      </w:pPr>
      <w:r>
        <w:rPr>
          <w:rStyle w:val="FootnoteReference"/>
        </w:rPr>
        <w:footnoteRef/>
      </w:r>
      <w:r>
        <w:t xml:space="preserve"> </w:t>
      </w:r>
      <w:r>
        <w:rPr>
          <w:noProof/>
        </w:rPr>
        <w:t xml:space="preserve"> (CIPD, 2021b)</w:t>
      </w:r>
    </w:p>
  </w:footnote>
  <w:footnote w:id="62">
    <w:p w14:paraId="10C30340" w14:textId="77777777" w:rsidR="00F35025" w:rsidRDefault="00F35025" w:rsidP="002B6226">
      <w:pPr>
        <w:pStyle w:val="FootnoteText"/>
      </w:pPr>
      <w:r>
        <w:rPr>
          <w:rStyle w:val="FootnoteReference"/>
        </w:rPr>
        <w:footnoteRef/>
      </w:r>
      <w:r>
        <w:t xml:space="preserve"> </w:t>
      </w:r>
      <w:r>
        <w:rPr>
          <w:noProof/>
        </w:rPr>
        <w:t>(Gov.uk, 2021d)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D525C"/>
    <w:multiLevelType w:val="multilevel"/>
    <w:tmpl w:val="94A61FE4"/>
    <w:lvl w:ilvl="0">
      <w:start w:val="1"/>
      <w:numFmt w:val="bullet"/>
      <w:lvlText w:val=""/>
      <w:lvlJc w:val="left"/>
      <w:pPr>
        <w:tabs>
          <w:tab w:val="num" w:pos="720"/>
        </w:tabs>
        <w:ind w:left="720" w:hanging="360"/>
      </w:pPr>
      <w:rPr>
        <w:rFonts w:ascii="Symbol" w:hAnsi="Symbol" w:hint="default"/>
        <w:sz w:val="20"/>
      </w:rPr>
    </w:lvl>
    <w:lvl w:ilvl="1">
      <w:start w:val="5"/>
      <w:numFmt w:val="bullet"/>
      <w:lvlText w:val="-"/>
      <w:lvlJc w:val="left"/>
      <w:pPr>
        <w:ind w:left="1440" w:hanging="360"/>
      </w:pPr>
      <w:rPr>
        <w:rFonts w:ascii="ArialMT" w:eastAsia="Times New Roman" w:hAnsi="ArialMT" w:cs="Times New Roman"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D16956"/>
    <w:multiLevelType w:val="hybridMultilevel"/>
    <w:tmpl w:val="C4CAF15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A461BD"/>
    <w:multiLevelType w:val="hybridMultilevel"/>
    <w:tmpl w:val="BA54D412"/>
    <w:lvl w:ilvl="0" w:tplc="FC42285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43278B"/>
    <w:multiLevelType w:val="hybridMultilevel"/>
    <w:tmpl w:val="E3C20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D45AB0"/>
    <w:multiLevelType w:val="hybridMultilevel"/>
    <w:tmpl w:val="7A50BCD4"/>
    <w:lvl w:ilvl="0" w:tplc="3BC2CA18">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44254"/>
    <w:multiLevelType w:val="hybridMultilevel"/>
    <w:tmpl w:val="CCF8D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6554ED"/>
    <w:multiLevelType w:val="hybridMultilevel"/>
    <w:tmpl w:val="8F146A3E"/>
    <w:lvl w:ilvl="0" w:tplc="468CEB3A">
      <w:start w:val="5"/>
      <w:numFmt w:val="bullet"/>
      <w:lvlText w:val="-"/>
      <w:lvlJc w:val="left"/>
      <w:pPr>
        <w:ind w:left="1440" w:hanging="360"/>
      </w:pPr>
      <w:rPr>
        <w:rFonts w:ascii="ArialMT" w:eastAsia="Times New Roman" w:hAnsi="ArialMT" w:cs="Times New Roman"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1C5FE8"/>
    <w:multiLevelType w:val="hybridMultilevel"/>
    <w:tmpl w:val="3D843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E8679E"/>
    <w:multiLevelType w:val="hybridMultilevel"/>
    <w:tmpl w:val="BB52E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AD10CB"/>
    <w:multiLevelType w:val="hybridMultilevel"/>
    <w:tmpl w:val="BAC25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971668"/>
    <w:multiLevelType w:val="multilevel"/>
    <w:tmpl w:val="890AE7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987429"/>
    <w:multiLevelType w:val="hybridMultilevel"/>
    <w:tmpl w:val="32DEBDBC"/>
    <w:lvl w:ilvl="0" w:tplc="983EF9C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05D29"/>
    <w:multiLevelType w:val="hybridMultilevel"/>
    <w:tmpl w:val="CB3C4A0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C334E2"/>
    <w:multiLevelType w:val="hybridMultilevel"/>
    <w:tmpl w:val="9724D6E4"/>
    <w:lvl w:ilvl="0" w:tplc="9B6293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22D9E"/>
    <w:multiLevelType w:val="hybridMultilevel"/>
    <w:tmpl w:val="7E3A02D4"/>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BD29A6"/>
    <w:multiLevelType w:val="hybridMultilevel"/>
    <w:tmpl w:val="4680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11101F"/>
    <w:multiLevelType w:val="hybridMultilevel"/>
    <w:tmpl w:val="78E67684"/>
    <w:lvl w:ilvl="0" w:tplc="41DCE33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9607E2"/>
    <w:multiLevelType w:val="hybridMultilevel"/>
    <w:tmpl w:val="21D44E60"/>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05C5A"/>
    <w:multiLevelType w:val="hybridMultilevel"/>
    <w:tmpl w:val="A96C1426"/>
    <w:lvl w:ilvl="0" w:tplc="24345692">
      <w:start w:val="1"/>
      <w:numFmt w:val="decimal"/>
      <w:lvlText w:val="%1."/>
      <w:lvlJc w:val="left"/>
      <w:pPr>
        <w:ind w:left="360" w:hanging="360"/>
      </w:pPr>
      <w:rPr>
        <w:rFonts w:eastAsia="Calibri"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77E08D7"/>
    <w:multiLevelType w:val="hybridMultilevel"/>
    <w:tmpl w:val="4532E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0D4EE8"/>
    <w:multiLevelType w:val="hybridMultilevel"/>
    <w:tmpl w:val="BC6026AA"/>
    <w:lvl w:ilvl="0" w:tplc="1AF6B5B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C16ED5"/>
    <w:multiLevelType w:val="hybridMultilevel"/>
    <w:tmpl w:val="C0949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0F753B"/>
    <w:multiLevelType w:val="hybridMultilevel"/>
    <w:tmpl w:val="950A2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545EEC"/>
    <w:multiLevelType w:val="hybridMultilevel"/>
    <w:tmpl w:val="93B87650"/>
    <w:lvl w:ilvl="0" w:tplc="468CEB3A">
      <w:start w:val="5"/>
      <w:numFmt w:val="bullet"/>
      <w:lvlText w:val="-"/>
      <w:lvlJc w:val="left"/>
      <w:pPr>
        <w:ind w:left="1440" w:hanging="360"/>
      </w:pPr>
      <w:rPr>
        <w:rFonts w:ascii="ArialMT" w:eastAsia="Times New Roman" w:hAnsi="ArialMT" w:cs="Times New Roman"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B96F14"/>
    <w:multiLevelType w:val="hybridMultilevel"/>
    <w:tmpl w:val="466AE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6E0090"/>
    <w:multiLevelType w:val="hybridMultilevel"/>
    <w:tmpl w:val="AA3E9A9E"/>
    <w:lvl w:ilvl="0" w:tplc="384895A4">
      <w:start w:val="1"/>
      <w:numFmt w:val="bullet"/>
      <w:lvlText w:val="─"/>
      <w:lvlJc w:val="left"/>
      <w:pPr>
        <w:tabs>
          <w:tab w:val="num" w:pos="720"/>
        </w:tabs>
        <w:ind w:left="720" w:hanging="360"/>
      </w:pPr>
      <w:rPr>
        <w:rFonts w:ascii="Georgia" w:hAnsi="Georgia" w:hint="default"/>
      </w:rPr>
    </w:lvl>
    <w:lvl w:ilvl="1" w:tplc="5D88C116" w:tentative="1">
      <w:start w:val="1"/>
      <w:numFmt w:val="bullet"/>
      <w:lvlText w:val="─"/>
      <w:lvlJc w:val="left"/>
      <w:pPr>
        <w:tabs>
          <w:tab w:val="num" w:pos="1440"/>
        </w:tabs>
        <w:ind w:left="1440" w:hanging="360"/>
      </w:pPr>
      <w:rPr>
        <w:rFonts w:ascii="Georgia" w:hAnsi="Georgia" w:hint="default"/>
      </w:rPr>
    </w:lvl>
    <w:lvl w:ilvl="2" w:tplc="F22E5A52" w:tentative="1">
      <w:start w:val="1"/>
      <w:numFmt w:val="bullet"/>
      <w:lvlText w:val="─"/>
      <w:lvlJc w:val="left"/>
      <w:pPr>
        <w:tabs>
          <w:tab w:val="num" w:pos="2160"/>
        </w:tabs>
        <w:ind w:left="2160" w:hanging="360"/>
      </w:pPr>
      <w:rPr>
        <w:rFonts w:ascii="Georgia" w:hAnsi="Georgia" w:hint="default"/>
      </w:rPr>
    </w:lvl>
    <w:lvl w:ilvl="3" w:tplc="7D00DAE4" w:tentative="1">
      <w:start w:val="1"/>
      <w:numFmt w:val="bullet"/>
      <w:lvlText w:val="─"/>
      <w:lvlJc w:val="left"/>
      <w:pPr>
        <w:tabs>
          <w:tab w:val="num" w:pos="2880"/>
        </w:tabs>
        <w:ind w:left="2880" w:hanging="360"/>
      </w:pPr>
      <w:rPr>
        <w:rFonts w:ascii="Georgia" w:hAnsi="Georgia" w:hint="default"/>
      </w:rPr>
    </w:lvl>
    <w:lvl w:ilvl="4" w:tplc="09C068F4" w:tentative="1">
      <w:start w:val="1"/>
      <w:numFmt w:val="bullet"/>
      <w:lvlText w:val="─"/>
      <w:lvlJc w:val="left"/>
      <w:pPr>
        <w:tabs>
          <w:tab w:val="num" w:pos="3600"/>
        </w:tabs>
        <w:ind w:left="3600" w:hanging="360"/>
      </w:pPr>
      <w:rPr>
        <w:rFonts w:ascii="Georgia" w:hAnsi="Georgia" w:hint="default"/>
      </w:rPr>
    </w:lvl>
    <w:lvl w:ilvl="5" w:tplc="CBFAB4E6" w:tentative="1">
      <w:start w:val="1"/>
      <w:numFmt w:val="bullet"/>
      <w:lvlText w:val="─"/>
      <w:lvlJc w:val="left"/>
      <w:pPr>
        <w:tabs>
          <w:tab w:val="num" w:pos="4320"/>
        </w:tabs>
        <w:ind w:left="4320" w:hanging="360"/>
      </w:pPr>
      <w:rPr>
        <w:rFonts w:ascii="Georgia" w:hAnsi="Georgia" w:hint="default"/>
      </w:rPr>
    </w:lvl>
    <w:lvl w:ilvl="6" w:tplc="84543488" w:tentative="1">
      <w:start w:val="1"/>
      <w:numFmt w:val="bullet"/>
      <w:lvlText w:val="─"/>
      <w:lvlJc w:val="left"/>
      <w:pPr>
        <w:tabs>
          <w:tab w:val="num" w:pos="5040"/>
        </w:tabs>
        <w:ind w:left="5040" w:hanging="360"/>
      </w:pPr>
      <w:rPr>
        <w:rFonts w:ascii="Georgia" w:hAnsi="Georgia" w:hint="default"/>
      </w:rPr>
    </w:lvl>
    <w:lvl w:ilvl="7" w:tplc="9FA4D620" w:tentative="1">
      <w:start w:val="1"/>
      <w:numFmt w:val="bullet"/>
      <w:lvlText w:val="─"/>
      <w:lvlJc w:val="left"/>
      <w:pPr>
        <w:tabs>
          <w:tab w:val="num" w:pos="5760"/>
        </w:tabs>
        <w:ind w:left="5760" w:hanging="360"/>
      </w:pPr>
      <w:rPr>
        <w:rFonts w:ascii="Georgia" w:hAnsi="Georgia" w:hint="default"/>
      </w:rPr>
    </w:lvl>
    <w:lvl w:ilvl="8" w:tplc="3B08EBB8" w:tentative="1">
      <w:start w:val="1"/>
      <w:numFmt w:val="bullet"/>
      <w:lvlText w:val="─"/>
      <w:lvlJc w:val="left"/>
      <w:pPr>
        <w:tabs>
          <w:tab w:val="num" w:pos="6480"/>
        </w:tabs>
        <w:ind w:left="6480" w:hanging="360"/>
      </w:pPr>
      <w:rPr>
        <w:rFonts w:ascii="Georgia" w:hAnsi="Georgia" w:hint="default"/>
      </w:rPr>
    </w:lvl>
  </w:abstractNum>
  <w:abstractNum w:abstractNumId="26" w15:restartNumberingAfterBreak="0">
    <w:nsid w:val="51626852"/>
    <w:multiLevelType w:val="hybridMultilevel"/>
    <w:tmpl w:val="30FA2E5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3E1225"/>
    <w:multiLevelType w:val="hybridMultilevel"/>
    <w:tmpl w:val="A50C4AAA"/>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4A5FB9"/>
    <w:multiLevelType w:val="hybridMultilevel"/>
    <w:tmpl w:val="2846487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264762"/>
    <w:multiLevelType w:val="hybridMultilevel"/>
    <w:tmpl w:val="7466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0B4A61"/>
    <w:multiLevelType w:val="hybridMultilevel"/>
    <w:tmpl w:val="96689B1E"/>
    <w:lvl w:ilvl="0" w:tplc="40C06E5E">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9C404D"/>
    <w:multiLevelType w:val="multilevel"/>
    <w:tmpl w:val="2B8E6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E9A5A82"/>
    <w:multiLevelType w:val="hybridMultilevel"/>
    <w:tmpl w:val="14A42C2E"/>
    <w:lvl w:ilvl="0" w:tplc="983EF9C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BA499C"/>
    <w:multiLevelType w:val="multilevel"/>
    <w:tmpl w:val="660073E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15:restartNumberingAfterBreak="0">
    <w:nsid w:val="7B943262"/>
    <w:multiLevelType w:val="hybridMultilevel"/>
    <w:tmpl w:val="66007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5D5539"/>
    <w:multiLevelType w:val="hybridMultilevel"/>
    <w:tmpl w:val="3A02E17A"/>
    <w:lvl w:ilvl="0" w:tplc="367EFA2E">
      <w:start w:val="1"/>
      <w:numFmt w:val="decimal"/>
      <w:lvlText w:val="%1."/>
      <w:lvlJc w:val="left"/>
      <w:pPr>
        <w:ind w:left="720" w:hanging="360"/>
      </w:pPr>
      <w:rPr>
        <w:rFonts w:eastAsia="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1"/>
  </w:num>
  <w:num w:numId="3">
    <w:abstractNumId w:val="14"/>
  </w:num>
  <w:num w:numId="4">
    <w:abstractNumId w:val="0"/>
  </w:num>
  <w:num w:numId="5">
    <w:abstractNumId w:val="23"/>
  </w:num>
  <w:num w:numId="6">
    <w:abstractNumId w:val="6"/>
  </w:num>
  <w:num w:numId="7">
    <w:abstractNumId w:val="17"/>
  </w:num>
  <w:num w:numId="8">
    <w:abstractNumId w:val="4"/>
  </w:num>
  <w:num w:numId="9">
    <w:abstractNumId w:val="5"/>
  </w:num>
  <w:num w:numId="10">
    <w:abstractNumId w:val="34"/>
  </w:num>
  <w:num w:numId="11">
    <w:abstractNumId w:val="33"/>
  </w:num>
  <w:num w:numId="12">
    <w:abstractNumId w:val="18"/>
  </w:num>
  <w:num w:numId="13">
    <w:abstractNumId w:val="35"/>
  </w:num>
  <w:num w:numId="14">
    <w:abstractNumId w:val="19"/>
  </w:num>
  <w:num w:numId="15">
    <w:abstractNumId w:val="15"/>
  </w:num>
  <w:num w:numId="16">
    <w:abstractNumId w:val="21"/>
  </w:num>
  <w:num w:numId="17">
    <w:abstractNumId w:val="24"/>
  </w:num>
  <w:num w:numId="18">
    <w:abstractNumId w:val="8"/>
  </w:num>
  <w:num w:numId="19">
    <w:abstractNumId w:val="22"/>
  </w:num>
  <w:num w:numId="20">
    <w:abstractNumId w:val="3"/>
  </w:num>
  <w:num w:numId="21">
    <w:abstractNumId w:val="9"/>
  </w:num>
  <w:num w:numId="22">
    <w:abstractNumId w:val="20"/>
  </w:num>
  <w:num w:numId="23">
    <w:abstractNumId w:val="29"/>
  </w:num>
  <w:num w:numId="24">
    <w:abstractNumId w:val="27"/>
  </w:num>
  <w:num w:numId="25">
    <w:abstractNumId w:val="16"/>
  </w:num>
  <w:num w:numId="26">
    <w:abstractNumId w:val="25"/>
  </w:num>
  <w:num w:numId="27">
    <w:abstractNumId w:val="12"/>
  </w:num>
  <w:num w:numId="28">
    <w:abstractNumId w:val="1"/>
  </w:num>
  <w:num w:numId="29">
    <w:abstractNumId w:val="26"/>
  </w:num>
  <w:num w:numId="30">
    <w:abstractNumId w:val="28"/>
  </w:num>
  <w:num w:numId="31">
    <w:abstractNumId w:val="13"/>
  </w:num>
  <w:num w:numId="32">
    <w:abstractNumId w:val="2"/>
  </w:num>
  <w:num w:numId="33">
    <w:abstractNumId w:val="32"/>
  </w:num>
  <w:num w:numId="34">
    <w:abstractNumId w:val="11"/>
  </w:num>
  <w:num w:numId="35">
    <w:abstractNumId w:val="30"/>
  </w:num>
  <w:num w:numId="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3900"/>
    <w:rsid w:val="000044B9"/>
    <w:rsid w:val="000061D0"/>
    <w:rsid w:val="00012A77"/>
    <w:rsid w:val="0001751B"/>
    <w:rsid w:val="0003599B"/>
    <w:rsid w:val="0003719B"/>
    <w:rsid w:val="000536CF"/>
    <w:rsid w:val="00055D4E"/>
    <w:rsid w:val="00057283"/>
    <w:rsid w:val="00063EAE"/>
    <w:rsid w:val="00074300"/>
    <w:rsid w:val="00074638"/>
    <w:rsid w:val="00080673"/>
    <w:rsid w:val="000A3C8E"/>
    <w:rsid w:val="000A45DC"/>
    <w:rsid w:val="000C7075"/>
    <w:rsid w:val="000D6715"/>
    <w:rsid w:val="000E3EC9"/>
    <w:rsid w:val="000E566F"/>
    <w:rsid w:val="000E58BD"/>
    <w:rsid w:val="000E5F7C"/>
    <w:rsid w:val="000E78CC"/>
    <w:rsid w:val="000F2DA8"/>
    <w:rsid w:val="000F67C8"/>
    <w:rsid w:val="000F6ED3"/>
    <w:rsid w:val="000F71FC"/>
    <w:rsid w:val="001132C5"/>
    <w:rsid w:val="00115494"/>
    <w:rsid w:val="00115D82"/>
    <w:rsid w:val="001237A6"/>
    <w:rsid w:val="0013582B"/>
    <w:rsid w:val="0015236F"/>
    <w:rsid w:val="00152AC5"/>
    <w:rsid w:val="00155F84"/>
    <w:rsid w:val="00161034"/>
    <w:rsid w:val="001A1D27"/>
    <w:rsid w:val="001A6F44"/>
    <w:rsid w:val="001B16CE"/>
    <w:rsid w:val="001B1864"/>
    <w:rsid w:val="001B3528"/>
    <w:rsid w:val="001C223B"/>
    <w:rsid w:val="001D115C"/>
    <w:rsid w:val="001E2E18"/>
    <w:rsid w:val="001F1940"/>
    <w:rsid w:val="001F7093"/>
    <w:rsid w:val="00205AAA"/>
    <w:rsid w:val="002343A5"/>
    <w:rsid w:val="0023717F"/>
    <w:rsid w:val="00245168"/>
    <w:rsid w:val="002526FB"/>
    <w:rsid w:val="00257930"/>
    <w:rsid w:val="00260EE6"/>
    <w:rsid w:val="002661AE"/>
    <w:rsid w:val="00266462"/>
    <w:rsid w:val="00267ADE"/>
    <w:rsid w:val="00276A5B"/>
    <w:rsid w:val="0028195B"/>
    <w:rsid w:val="0028739D"/>
    <w:rsid w:val="00290FFF"/>
    <w:rsid w:val="00292F69"/>
    <w:rsid w:val="002B6226"/>
    <w:rsid w:val="002C0F0B"/>
    <w:rsid w:val="002C3502"/>
    <w:rsid w:val="002C562E"/>
    <w:rsid w:val="002D0AA8"/>
    <w:rsid w:val="002F2BDA"/>
    <w:rsid w:val="00301C56"/>
    <w:rsid w:val="00306070"/>
    <w:rsid w:val="00320AB1"/>
    <w:rsid w:val="003253A9"/>
    <w:rsid w:val="0034070F"/>
    <w:rsid w:val="003419FD"/>
    <w:rsid w:val="00341BBD"/>
    <w:rsid w:val="00347927"/>
    <w:rsid w:val="0035262A"/>
    <w:rsid w:val="00355743"/>
    <w:rsid w:val="00362BB8"/>
    <w:rsid w:val="00371C29"/>
    <w:rsid w:val="00372BF3"/>
    <w:rsid w:val="003758BB"/>
    <w:rsid w:val="00385956"/>
    <w:rsid w:val="00391E1B"/>
    <w:rsid w:val="003A223B"/>
    <w:rsid w:val="003A3454"/>
    <w:rsid w:val="003A5989"/>
    <w:rsid w:val="003A5E69"/>
    <w:rsid w:val="003B474F"/>
    <w:rsid w:val="003B5EBA"/>
    <w:rsid w:val="003C69F4"/>
    <w:rsid w:val="003D2080"/>
    <w:rsid w:val="003E2BD4"/>
    <w:rsid w:val="003E357F"/>
    <w:rsid w:val="003E6878"/>
    <w:rsid w:val="003F06C9"/>
    <w:rsid w:val="003F260C"/>
    <w:rsid w:val="003F3D54"/>
    <w:rsid w:val="003F736E"/>
    <w:rsid w:val="00400B1E"/>
    <w:rsid w:val="00404131"/>
    <w:rsid w:val="00404C89"/>
    <w:rsid w:val="00412FFD"/>
    <w:rsid w:val="004274CB"/>
    <w:rsid w:val="0043624D"/>
    <w:rsid w:val="004367DA"/>
    <w:rsid w:val="00444620"/>
    <w:rsid w:val="00447DBD"/>
    <w:rsid w:val="00465CDA"/>
    <w:rsid w:val="0048393C"/>
    <w:rsid w:val="004904F1"/>
    <w:rsid w:val="0049160B"/>
    <w:rsid w:val="00494ACD"/>
    <w:rsid w:val="004957F1"/>
    <w:rsid w:val="00496384"/>
    <w:rsid w:val="00496921"/>
    <w:rsid w:val="00496D8A"/>
    <w:rsid w:val="004A148D"/>
    <w:rsid w:val="004B3E6A"/>
    <w:rsid w:val="004C6909"/>
    <w:rsid w:val="004D2C90"/>
    <w:rsid w:val="004E6BA5"/>
    <w:rsid w:val="004E6DCF"/>
    <w:rsid w:val="004F286B"/>
    <w:rsid w:val="004F3823"/>
    <w:rsid w:val="004F5614"/>
    <w:rsid w:val="00501EF4"/>
    <w:rsid w:val="00520082"/>
    <w:rsid w:val="00520649"/>
    <w:rsid w:val="0052207D"/>
    <w:rsid w:val="00522F04"/>
    <w:rsid w:val="0052535C"/>
    <w:rsid w:val="00527D59"/>
    <w:rsid w:val="0053132C"/>
    <w:rsid w:val="00541D62"/>
    <w:rsid w:val="00544B74"/>
    <w:rsid w:val="00553408"/>
    <w:rsid w:val="00566C51"/>
    <w:rsid w:val="0059610E"/>
    <w:rsid w:val="0059787F"/>
    <w:rsid w:val="005A5083"/>
    <w:rsid w:val="005A6C31"/>
    <w:rsid w:val="005B6AF4"/>
    <w:rsid w:val="005C62B7"/>
    <w:rsid w:val="005D3964"/>
    <w:rsid w:val="005D6653"/>
    <w:rsid w:val="00604CE7"/>
    <w:rsid w:val="00616C70"/>
    <w:rsid w:val="0062301D"/>
    <w:rsid w:val="00656DD7"/>
    <w:rsid w:val="00662083"/>
    <w:rsid w:val="00662C05"/>
    <w:rsid w:val="00663542"/>
    <w:rsid w:val="00666857"/>
    <w:rsid w:val="006816B9"/>
    <w:rsid w:val="00691D64"/>
    <w:rsid w:val="006928B9"/>
    <w:rsid w:val="006974AE"/>
    <w:rsid w:val="006B453A"/>
    <w:rsid w:val="006B471A"/>
    <w:rsid w:val="006B697C"/>
    <w:rsid w:val="006C6BDB"/>
    <w:rsid w:val="006C71B1"/>
    <w:rsid w:val="006D2B20"/>
    <w:rsid w:val="006F28CC"/>
    <w:rsid w:val="007052FC"/>
    <w:rsid w:val="00706243"/>
    <w:rsid w:val="007107B3"/>
    <w:rsid w:val="00726664"/>
    <w:rsid w:val="00734CB3"/>
    <w:rsid w:val="007352EF"/>
    <w:rsid w:val="00735950"/>
    <w:rsid w:val="007404C4"/>
    <w:rsid w:val="00744CB8"/>
    <w:rsid w:val="007476BA"/>
    <w:rsid w:val="00751562"/>
    <w:rsid w:val="007539BF"/>
    <w:rsid w:val="00766351"/>
    <w:rsid w:val="00773221"/>
    <w:rsid w:val="0077383B"/>
    <w:rsid w:val="00774BBB"/>
    <w:rsid w:val="00780244"/>
    <w:rsid w:val="00782917"/>
    <w:rsid w:val="00785CAC"/>
    <w:rsid w:val="00793F83"/>
    <w:rsid w:val="00796AA0"/>
    <w:rsid w:val="00796F32"/>
    <w:rsid w:val="007B1DBC"/>
    <w:rsid w:val="007C1EEF"/>
    <w:rsid w:val="007C3FE7"/>
    <w:rsid w:val="007D5EAE"/>
    <w:rsid w:val="007E4504"/>
    <w:rsid w:val="007F73E6"/>
    <w:rsid w:val="00823FC4"/>
    <w:rsid w:val="00835A75"/>
    <w:rsid w:val="00841313"/>
    <w:rsid w:val="00846786"/>
    <w:rsid w:val="00850129"/>
    <w:rsid w:val="0085078D"/>
    <w:rsid w:val="008619F8"/>
    <w:rsid w:val="00865F06"/>
    <w:rsid w:val="008662FC"/>
    <w:rsid w:val="00891321"/>
    <w:rsid w:val="00892943"/>
    <w:rsid w:val="008940E5"/>
    <w:rsid w:val="00894D63"/>
    <w:rsid w:val="00895663"/>
    <w:rsid w:val="008A335B"/>
    <w:rsid w:val="008B08B9"/>
    <w:rsid w:val="008C7BAE"/>
    <w:rsid w:val="008D4056"/>
    <w:rsid w:val="008E5C60"/>
    <w:rsid w:val="008E75C7"/>
    <w:rsid w:val="00903EC3"/>
    <w:rsid w:val="00910CA7"/>
    <w:rsid w:val="0091138A"/>
    <w:rsid w:val="009118ED"/>
    <w:rsid w:val="009219E7"/>
    <w:rsid w:val="00940488"/>
    <w:rsid w:val="00945B91"/>
    <w:rsid w:val="00947347"/>
    <w:rsid w:val="00952BC0"/>
    <w:rsid w:val="00960D98"/>
    <w:rsid w:val="00963E9D"/>
    <w:rsid w:val="0096580A"/>
    <w:rsid w:val="00977F43"/>
    <w:rsid w:val="00983695"/>
    <w:rsid w:val="00994423"/>
    <w:rsid w:val="009947E9"/>
    <w:rsid w:val="009A04E8"/>
    <w:rsid w:val="009A0A98"/>
    <w:rsid w:val="009A27AF"/>
    <w:rsid w:val="009A2DB9"/>
    <w:rsid w:val="009A4B05"/>
    <w:rsid w:val="009B2656"/>
    <w:rsid w:val="009B2A35"/>
    <w:rsid w:val="009E266B"/>
    <w:rsid w:val="009E5973"/>
    <w:rsid w:val="009E6D4C"/>
    <w:rsid w:val="009F4592"/>
    <w:rsid w:val="00A079EA"/>
    <w:rsid w:val="00A10076"/>
    <w:rsid w:val="00A23900"/>
    <w:rsid w:val="00A3396B"/>
    <w:rsid w:val="00A3517B"/>
    <w:rsid w:val="00A369E3"/>
    <w:rsid w:val="00A533D6"/>
    <w:rsid w:val="00A57146"/>
    <w:rsid w:val="00A572CD"/>
    <w:rsid w:val="00A60C3B"/>
    <w:rsid w:val="00A61833"/>
    <w:rsid w:val="00A6335A"/>
    <w:rsid w:val="00A65463"/>
    <w:rsid w:val="00A80A73"/>
    <w:rsid w:val="00A82068"/>
    <w:rsid w:val="00AA009C"/>
    <w:rsid w:val="00AB6061"/>
    <w:rsid w:val="00AC0F4B"/>
    <w:rsid w:val="00AC3A07"/>
    <w:rsid w:val="00AC3C30"/>
    <w:rsid w:val="00AC73E8"/>
    <w:rsid w:val="00AF48E8"/>
    <w:rsid w:val="00B07911"/>
    <w:rsid w:val="00B13F8B"/>
    <w:rsid w:val="00B153BE"/>
    <w:rsid w:val="00B15F17"/>
    <w:rsid w:val="00B22E4A"/>
    <w:rsid w:val="00B2358B"/>
    <w:rsid w:val="00B40A9E"/>
    <w:rsid w:val="00B44C18"/>
    <w:rsid w:val="00B51B8F"/>
    <w:rsid w:val="00B62DE2"/>
    <w:rsid w:val="00B65FDF"/>
    <w:rsid w:val="00B71C4C"/>
    <w:rsid w:val="00B777D6"/>
    <w:rsid w:val="00B81ACB"/>
    <w:rsid w:val="00BA2963"/>
    <w:rsid w:val="00BA45A7"/>
    <w:rsid w:val="00BA493F"/>
    <w:rsid w:val="00BA5C2E"/>
    <w:rsid w:val="00BC4B66"/>
    <w:rsid w:val="00BD64C1"/>
    <w:rsid w:val="00BF1354"/>
    <w:rsid w:val="00C03157"/>
    <w:rsid w:val="00C0385B"/>
    <w:rsid w:val="00C13616"/>
    <w:rsid w:val="00C14B26"/>
    <w:rsid w:val="00C2544C"/>
    <w:rsid w:val="00C373AD"/>
    <w:rsid w:val="00C53843"/>
    <w:rsid w:val="00C560CB"/>
    <w:rsid w:val="00C62F02"/>
    <w:rsid w:val="00C67589"/>
    <w:rsid w:val="00C824D4"/>
    <w:rsid w:val="00CA2B01"/>
    <w:rsid w:val="00CA5DC2"/>
    <w:rsid w:val="00CC03D5"/>
    <w:rsid w:val="00CC6917"/>
    <w:rsid w:val="00CD0A0E"/>
    <w:rsid w:val="00CE6008"/>
    <w:rsid w:val="00D06284"/>
    <w:rsid w:val="00D12D30"/>
    <w:rsid w:val="00D2162C"/>
    <w:rsid w:val="00D22937"/>
    <w:rsid w:val="00D27C46"/>
    <w:rsid w:val="00D356D6"/>
    <w:rsid w:val="00D45FAA"/>
    <w:rsid w:val="00D466A7"/>
    <w:rsid w:val="00D4766C"/>
    <w:rsid w:val="00D51923"/>
    <w:rsid w:val="00D51EDA"/>
    <w:rsid w:val="00D61C3D"/>
    <w:rsid w:val="00D6449E"/>
    <w:rsid w:val="00D67166"/>
    <w:rsid w:val="00D80D66"/>
    <w:rsid w:val="00D81125"/>
    <w:rsid w:val="00D82514"/>
    <w:rsid w:val="00D86E9B"/>
    <w:rsid w:val="00D96521"/>
    <w:rsid w:val="00DA1ECA"/>
    <w:rsid w:val="00DC224B"/>
    <w:rsid w:val="00DC2B4C"/>
    <w:rsid w:val="00DC69DB"/>
    <w:rsid w:val="00DD2250"/>
    <w:rsid w:val="00DD438E"/>
    <w:rsid w:val="00DD7FEA"/>
    <w:rsid w:val="00DE19E5"/>
    <w:rsid w:val="00DE40DC"/>
    <w:rsid w:val="00DF136C"/>
    <w:rsid w:val="00E33B76"/>
    <w:rsid w:val="00E358C3"/>
    <w:rsid w:val="00E4515A"/>
    <w:rsid w:val="00E62CB7"/>
    <w:rsid w:val="00E65262"/>
    <w:rsid w:val="00E70DB8"/>
    <w:rsid w:val="00E748E9"/>
    <w:rsid w:val="00E76D2C"/>
    <w:rsid w:val="00E822B0"/>
    <w:rsid w:val="00E91650"/>
    <w:rsid w:val="00EA598A"/>
    <w:rsid w:val="00EB31D3"/>
    <w:rsid w:val="00EC3CD4"/>
    <w:rsid w:val="00EF5163"/>
    <w:rsid w:val="00F13ACD"/>
    <w:rsid w:val="00F2477A"/>
    <w:rsid w:val="00F24CBD"/>
    <w:rsid w:val="00F3136C"/>
    <w:rsid w:val="00F33D76"/>
    <w:rsid w:val="00F35025"/>
    <w:rsid w:val="00F41288"/>
    <w:rsid w:val="00F423DC"/>
    <w:rsid w:val="00F442BD"/>
    <w:rsid w:val="00F44752"/>
    <w:rsid w:val="00F4563E"/>
    <w:rsid w:val="00F554BC"/>
    <w:rsid w:val="00F62811"/>
    <w:rsid w:val="00F72F9D"/>
    <w:rsid w:val="00F74F12"/>
    <w:rsid w:val="00F77CB2"/>
    <w:rsid w:val="00F83719"/>
    <w:rsid w:val="00F92624"/>
    <w:rsid w:val="00F95DAA"/>
    <w:rsid w:val="00FA1220"/>
    <w:rsid w:val="00FA50CD"/>
    <w:rsid w:val="00FA67E0"/>
    <w:rsid w:val="00FB5F29"/>
    <w:rsid w:val="00FB6845"/>
    <w:rsid w:val="00FC342D"/>
    <w:rsid w:val="00FC447E"/>
    <w:rsid w:val="00FC5468"/>
    <w:rsid w:val="00FD0956"/>
    <w:rsid w:val="00FD1C08"/>
    <w:rsid w:val="00FD2BFD"/>
    <w:rsid w:val="00FD3627"/>
    <w:rsid w:val="00FE7C80"/>
    <w:rsid w:val="00FF7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90FF9F"/>
  <w15:chartTrackingRefBased/>
  <w15:docId w15:val="{797E3D67-C0D2-5845-92DB-25E48B04E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5956"/>
    <w:rPr>
      <w:rFonts w:ascii="Times New Roman" w:eastAsia="Times New Roman" w:hAnsi="Times New Roman"/>
      <w:sz w:val="24"/>
      <w:szCs w:val="24"/>
    </w:rPr>
  </w:style>
  <w:style w:type="paragraph" w:styleId="Heading1">
    <w:name w:val="heading 1"/>
    <w:basedOn w:val="Normal"/>
    <w:next w:val="Normal"/>
    <w:link w:val="Heading1Char"/>
    <w:uiPriority w:val="9"/>
    <w:qFormat/>
    <w:rsid w:val="00D2162C"/>
    <w:pPr>
      <w:keepNext/>
      <w:keepLines/>
      <w:spacing w:before="240"/>
      <w:outlineLvl w:val="0"/>
    </w:pPr>
    <w:rPr>
      <w:rFonts w:ascii="Calibri Light" w:hAnsi="Calibri Light"/>
      <w:color w:val="2F5496"/>
      <w:sz w:val="32"/>
      <w:szCs w:val="32"/>
    </w:rPr>
  </w:style>
  <w:style w:type="paragraph" w:styleId="Heading2">
    <w:name w:val="heading 2"/>
    <w:basedOn w:val="Normal"/>
    <w:next w:val="Normal"/>
    <w:link w:val="Heading2Char"/>
    <w:uiPriority w:val="9"/>
    <w:semiHidden/>
    <w:unhideWhenUsed/>
    <w:qFormat/>
    <w:rsid w:val="00D2162C"/>
    <w:pPr>
      <w:keepNext/>
      <w:keepLines/>
      <w:spacing w:before="40"/>
      <w:outlineLvl w:val="1"/>
    </w:pPr>
    <w:rPr>
      <w:rFonts w:ascii="Calibri Light" w:hAnsi="Calibri Light"/>
      <w:color w:val="2F5496"/>
      <w:sz w:val="26"/>
      <w:szCs w:val="26"/>
    </w:rPr>
  </w:style>
  <w:style w:type="paragraph" w:styleId="Heading3">
    <w:name w:val="heading 3"/>
    <w:basedOn w:val="Normal"/>
    <w:link w:val="Heading3Char"/>
    <w:uiPriority w:val="9"/>
    <w:qFormat/>
    <w:rsid w:val="007107B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23900"/>
    <w:pPr>
      <w:spacing w:before="100" w:beforeAutospacing="1" w:after="100" w:afterAutospacing="1"/>
    </w:pPr>
  </w:style>
  <w:style w:type="paragraph" w:styleId="ListParagraph">
    <w:name w:val="List Paragraph"/>
    <w:basedOn w:val="Normal"/>
    <w:uiPriority w:val="34"/>
    <w:qFormat/>
    <w:rsid w:val="001A6F44"/>
    <w:pPr>
      <w:ind w:left="720"/>
      <w:contextualSpacing/>
    </w:pPr>
    <w:rPr>
      <w:rFonts w:ascii="Calibri" w:eastAsia="Calibri" w:hAnsi="Calibri"/>
      <w:lang w:eastAsia="en-US"/>
    </w:rPr>
  </w:style>
  <w:style w:type="character" w:customStyle="1" w:styleId="Heading3Char">
    <w:name w:val="Heading 3 Char"/>
    <w:link w:val="Heading3"/>
    <w:uiPriority w:val="9"/>
    <w:rsid w:val="007107B3"/>
    <w:rPr>
      <w:rFonts w:ascii="Times New Roman" w:eastAsia="Times New Roman" w:hAnsi="Times New Roman" w:cs="Times New Roman"/>
      <w:b/>
      <w:bCs/>
      <w:sz w:val="27"/>
      <w:szCs w:val="27"/>
      <w:lang w:eastAsia="en-GB"/>
    </w:rPr>
  </w:style>
  <w:style w:type="character" w:styleId="Hyperlink">
    <w:name w:val="Hyperlink"/>
    <w:uiPriority w:val="99"/>
    <w:unhideWhenUsed/>
    <w:rsid w:val="007107B3"/>
    <w:rPr>
      <w:color w:val="0000FF"/>
      <w:u w:val="single"/>
    </w:rPr>
  </w:style>
  <w:style w:type="character" w:styleId="Emphasis">
    <w:name w:val="Emphasis"/>
    <w:uiPriority w:val="20"/>
    <w:qFormat/>
    <w:rsid w:val="00385956"/>
    <w:rPr>
      <w:i/>
      <w:iCs/>
    </w:rPr>
  </w:style>
  <w:style w:type="character" w:customStyle="1" w:styleId="apple-converted-space">
    <w:name w:val="apple-converted-space"/>
    <w:basedOn w:val="DefaultParagraphFont"/>
    <w:rsid w:val="00385956"/>
  </w:style>
  <w:style w:type="character" w:customStyle="1" w:styleId="hgkelc">
    <w:name w:val="hgkelc"/>
    <w:basedOn w:val="DefaultParagraphFont"/>
    <w:rsid w:val="008D4056"/>
  </w:style>
  <w:style w:type="paragraph" w:styleId="FootnoteText">
    <w:name w:val="footnote text"/>
    <w:basedOn w:val="Normal"/>
    <w:link w:val="FootnoteTextChar"/>
    <w:uiPriority w:val="99"/>
    <w:semiHidden/>
    <w:unhideWhenUsed/>
    <w:rsid w:val="00074638"/>
    <w:rPr>
      <w:sz w:val="20"/>
      <w:szCs w:val="20"/>
    </w:rPr>
  </w:style>
  <w:style w:type="character" w:customStyle="1" w:styleId="FootnoteTextChar">
    <w:name w:val="Footnote Text Char"/>
    <w:link w:val="FootnoteText"/>
    <w:uiPriority w:val="99"/>
    <w:semiHidden/>
    <w:rsid w:val="00074638"/>
    <w:rPr>
      <w:rFonts w:ascii="Times New Roman" w:eastAsia="Times New Roman" w:hAnsi="Times New Roman" w:cs="Times New Roman"/>
      <w:sz w:val="20"/>
      <w:szCs w:val="20"/>
      <w:lang w:eastAsia="en-GB"/>
    </w:rPr>
  </w:style>
  <w:style w:type="character" w:styleId="FootnoteReference">
    <w:name w:val="footnote reference"/>
    <w:uiPriority w:val="99"/>
    <w:semiHidden/>
    <w:unhideWhenUsed/>
    <w:rsid w:val="00074638"/>
    <w:rPr>
      <w:vertAlign w:val="superscript"/>
    </w:rPr>
  </w:style>
  <w:style w:type="character" w:customStyle="1" w:styleId="Heading1Char">
    <w:name w:val="Heading 1 Char"/>
    <w:link w:val="Heading1"/>
    <w:uiPriority w:val="9"/>
    <w:rsid w:val="00D2162C"/>
    <w:rPr>
      <w:rFonts w:ascii="Calibri Light" w:eastAsia="Times New Roman" w:hAnsi="Calibri Light" w:cs="Times New Roman"/>
      <w:color w:val="2F5496"/>
      <w:sz w:val="32"/>
      <w:szCs w:val="32"/>
      <w:lang w:eastAsia="en-GB"/>
    </w:rPr>
  </w:style>
  <w:style w:type="character" w:customStyle="1" w:styleId="Heading2Char">
    <w:name w:val="Heading 2 Char"/>
    <w:link w:val="Heading2"/>
    <w:uiPriority w:val="9"/>
    <w:semiHidden/>
    <w:rsid w:val="00D2162C"/>
    <w:rPr>
      <w:rFonts w:ascii="Calibri Light" w:eastAsia="Times New Roman" w:hAnsi="Calibri Light" w:cs="Times New Roman"/>
      <w:color w:val="2F5496"/>
      <w:sz w:val="26"/>
      <w:szCs w:val="26"/>
      <w:lang w:eastAsia="en-GB"/>
    </w:rPr>
  </w:style>
  <w:style w:type="paragraph" w:styleId="Closing">
    <w:name w:val="Closing"/>
    <w:basedOn w:val="Normal"/>
    <w:next w:val="Normal"/>
    <w:link w:val="ClosingChar"/>
    <w:uiPriority w:val="99"/>
    <w:semiHidden/>
    <w:rsid w:val="00D2162C"/>
    <w:pPr>
      <w:spacing w:before="240" w:line="220" w:lineRule="atLeast"/>
    </w:pPr>
    <w:rPr>
      <w:rFonts w:ascii="Calibri" w:hAnsi="Calibri"/>
      <w:sz w:val="22"/>
      <w:szCs w:val="22"/>
      <w:lang w:val="en-US" w:eastAsia="en-US"/>
    </w:rPr>
  </w:style>
  <w:style w:type="character" w:customStyle="1" w:styleId="ClosingChar">
    <w:name w:val="Closing Char"/>
    <w:link w:val="Closing"/>
    <w:uiPriority w:val="99"/>
    <w:semiHidden/>
    <w:rsid w:val="00D2162C"/>
    <w:rPr>
      <w:rFonts w:eastAsia="Times New Roman" w:cs="Times New Roman"/>
      <w:sz w:val="22"/>
      <w:szCs w:val="22"/>
      <w:lang w:val="en-US"/>
    </w:rPr>
  </w:style>
  <w:style w:type="paragraph" w:styleId="Title">
    <w:name w:val="Title"/>
    <w:basedOn w:val="Normal"/>
    <w:link w:val="TitleChar"/>
    <w:uiPriority w:val="2"/>
    <w:unhideWhenUsed/>
    <w:qFormat/>
    <w:rsid w:val="00D2162C"/>
    <w:pPr>
      <w:pBdr>
        <w:top w:val="double" w:sz="6" w:space="8" w:color="404040"/>
        <w:bottom w:val="double" w:sz="6" w:space="8" w:color="404040"/>
      </w:pBdr>
      <w:spacing w:before="240" w:after="200"/>
      <w:contextualSpacing/>
      <w:jc w:val="center"/>
    </w:pPr>
    <w:rPr>
      <w:rFonts w:ascii="Calibri Light" w:hAnsi="Calibri Light"/>
      <w:b/>
      <w:caps/>
      <w:spacing w:val="20"/>
      <w:sz w:val="22"/>
      <w:szCs w:val="22"/>
      <w:lang w:val="en-US" w:eastAsia="en-US"/>
    </w:rPr>
  </w:style>
  <w:style w:type="character" w:customStyle="1" w:styleId="TitleChar">
    <w:name w:val="Title Char"/>
    <w:link w:val="Title"/>
    <w:uiPriority w:val="2"/>
    <w:rsid w:val="00D2162C"/>
    <w:rPr>
      <w:rFonts w:ascii="Calibri Light" w:eastAsia="Times New Roman" w:hAnsi="Calibri Light" w:cs="Times New Roman"/>
      <w:b/>
      <w:caps/>
      <w:spacing w:val="20"/>
      <w:sz w:val="22"/>
      <w:szCs w:val="22"/>
      <w:lang w:val="en-US"/>
    </w:rPr>
  </w:style>
  <w:style w:type="paragraph" w:styleId="Bibliography">
    <w:name w:val="Bibliography"/>
    <w:basedOn w:val="Normal"/>
    <w:next w:val="Normal"/>
    <w:uiPriority w:val="37"/>
    <w:unhideWhenUsed/>
    <w:rsid w:val="003758BB"/>
  </w:style>
  <w:style w:type="character" w:customStyle="1" w:styleId="UnresolvedMention">
    <w:name w:val="Unresolved Mention"/>
    <w:basedOn w:val="DefaultParagraphFont"/>
    <w:uiPriority w:val="99"/>
    <w:semiHidden/>
    <w:unhideWhenUsed/>
    <w:rsid w:val="0013582B"/>
    <w:rPr>
      <w:color w:val="605E5C"/>
      <w:shd w:val="clear" w:color="auto" w:fill="E1DFDD"/>
    </w:rPr>
  </w:style>
  <w:style w:type="character" w:styleId="FollowedHyperlink">
    <w:name w:val="FollowedHyperlink"/>
    <w:basedOn w:val="DefaultParagraphFont"/>
    <w:uiPriority w:val="99"/>
    <w:semiHidden/>
    <w:unhideWhenUsed/>
    <w:rsid w:val="00796F32"/>
    <w:rPr>
      <w:color w:val="954F72" w:themeColor="followedHyperlink"/>
      <w:u w:val="single"/>
    </w:rPr>
  </w:style>
  <w:style w:type="paragraph" w:styleId="EndnoteText">
    <w:name w:val="endnote text"/>
    <w:basedOn w:val="Normal"/>
    <w:link w:val="EndnoteTextChar"/>
    <w:uiPriority w:val="99"/>
    <w:semiHidden/>
    <w:unhideWhenUsed/>
    <w:rsid w:val="00447DBD"/>
    <w:rPr>
      <w:sz w:val="20"/>
      <w:szCs w:val="20"/>
    </w:rPr>
  </w:style>
  <w:style w:type="character" w:customStyle="1" w:styleId="EndnoteTextChar">
    <w:name w:val="Endnote Text Char"/>
    <w:basedOn w:val="DefaultParagraphFont"/>
    <w:link w:val="EndnoteText"/>
    <w:uiPriority w:val="99"/>
    <w:semiHidden/>
    <w:rsid w:val="00447DBD"/>
    <w:rPr>
      <w:rFonts w:ascii="Times New Roman" w:eastAsia="Times New Roman" w:hAnsi="Times New Roman"/>
    </w:rPr>
  </w:style>
  <w:style w:type="character" w:styleId="EndnoteReference">
    <w:name w:val="endnote reference"/>
    <w:basedOn w:val="DefaultParagraphFont"/>
    <w:uiPriority w:val="99"/>
    <w:semiHidden/>
    <w:unhideWhenUsed/>
    <w:rsid w:val="00447DBD"/>
    <w:rPr>
      <w:vertAlign w:val="superscript"/>
    </w:rPr>
  </w:style>
  <w:style w:type="paragraph" w:styleId="Footer">
    <w:name w:val="footer"/>
    <w:basedOn w:val="Normal"/>
    <w:link w:val="FooterChar"/>
    <w:uiPriority w:val="99"/>
    <w:unhideWhenUsed/>
    <w:rsid w:val="00B15F17"/>
    <w:pPr>
      <w:tabs>
        <w:tab w:val="center" w:pos="4680"/>
        <w:tab w:val="right" w:pos="9360"/>
      </w:tabs>
    </w:pPr>
  </w:style>
  <w:style w:type="character" w:customStyle="1" w:styleId="FooterChar">
    <w:name w:val="Footer Char"/>
    <w:basedOn w:val="DefaultParagraphFont"/>
    <w:link w:val="Footer"/>
    <w:uiPriority w:val="99"/>
    <w:rsid w:val="00B15F17"/>
    <w:rPr>
      <w:rFonts w:ascii="Times New Roman" w:eastAsia="Times New Roman" w:hAnsi="Times New Roman"/>
      <w:sz w:val="24"/>
      <w:szCs w:val="24"/>
    </w:rPr>
  </w:style>
  <w:style w:type="character" w:styleId="PageNumber">
    <w:name w:val="page number"/>
    <w:basedOn w:val="DefaultParagraphFont"/>
    <w:uiPriority w:val="99"/>
    <w:semiHidden/>
    <w:unhideWhenUsed/>
    <w:rsid w:val="00B15F17"/>
  </w:style>
  <w:style w:type="character" w:styleId="CommentReference">
    <w:name w:val="annotation reference"/>
    <w:basedOn w:val="DefaultParagraphFont"/>
    <w:uiPriority w:val="99"/>
    <w:semiHidden/>
    <w:unhideWhenUsed/>
    <w:rsid w:val="00292F69"/>
    <w:rPr>
      <w:sz w:val="16"/>
      <w:szCs w:val="16"/>
    </w:rPr>
  </w:style>
  <w:style w:type="paragraph" w:styleId="CommentText">
    <w:name w:val="annotation text"/>
    <w:basedOn w:val="Normal"/>
    <w:link w:val="CommentTextChar"/>
    <w:uiPriority w:val="99"/>
    <w:semiHidden/>
    <w:unhideWhenUsed/>
    <w:rsid w:val="00292F69"/>
    <w:rPr>
      <w:sz w:val="20"/>
      <w:szCs w:val="20"/>
    </w:rPr>
  </w:style>
  <w:style w:type="character" w:customStyle="1" w:styleId="CommentTextChar">
    <w:name w:val="Comment Text Char"/>
    <w:basedOn w:val="DefaultParagraphFont"/>
    <w:link w:val="CommentText"/>
    <w:uiPriority w:val="99"/>
    <w:semiHidden/>
    <w:rsid w:val="00292F69"/>
    <w:rPr>
      <w:rFonts w:ascii="Times New Roman" w:eastAsia="Times New Roman" w:hAnsi="Times New Roman"/>
    </w:rPr>
  </w:style>
  <w:style w:type="paragraph" w:styleId="CommentSubject">
    <w:name w:val="annotation subject"/>
    <w:basedOn w:val="CommentText"/>
    <w:next w:val="CommentText"/>
    <w:link w:val="CommentSubjectChar"/>
    <w:uiPriority w:val="99"/>
    <w:semiHidden/>
    <w:unhideWhenUsed/>
    <w:rsid w:val="00292F69"/>
    <w:rPr>
      <w:b/>
      <w:bCs/>
    </w:rPr>
  </w:style>
  <w:style w:type="character" w:customStyle="1" w:styleId="CommentSubjectChar">
    <w:name w:val="Comment Subject Char"/>
    <w:basedOn w:val="CommentTextChar"/>
    <w:link w:val="CommentSubject"/>
    <w:uiPriority w:val="99"/>
    <w:semiHidden/>
    <w:rsid w:val="00292F69"/>
    <w:rPr>
      <w:rFonts w:ascii="Times New Roman" w:eastAsia="Times New Roman" w:hAnsi="Times New Roman"/>
      <w:b/>
      <w:bCs/>
    </w:rPr>
  </w:style>
  <w:style w:type="paragraph" w:styleId="BalloonText">
    <w:name w:val="Balloon Text"/>
    <w:basedOn w:val="Normal"/>
    <w:link w:val="BalloonTextChar"/>
    <w:uiPriority w:val="99"/>
    <w:semiHidden/>
    <w:unhideWhenUsed/>
    <w:rsid w:val="00115D8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D82"/>
    <w:rPr>
      <w:rFonts w:ascii="Segoe UI" w:eastAsia="Times New Roman" w:hAnsi="Segoe UI" w:cs="Segoe UI"/>
      <w:sz w:val="18"/>
      <w:szCs w:val="18"/>
    </w:rPr>
  </w:style>
  <w:style w:type="paragraph" w:styleId="Revision">
    <w:name w:val="Revision"/>
    <w:hidden/>
    <w:uiPriority w:val="99"/>
    <w:semiHidden/>
    <w:rsid w:val="009E5973"/>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97822">
      <w:bodyDiv w:val="1"/>
      <w:marLeft w:val="0"/>
      <w:marRight w:val="0"/>
      <w:marTop w:val="0"/>
      <w:marBottom w:val="0"/>
      <w:divBdr>
        <w:top w:val="none" w:sz="0" w:space="0" w:color="auto"/>
        <w:left w:val="none" w:sz="0" w:space="0" w:color="auto"/>
        <w:bottom w:val="none" w:sz="0" w:space="0" w:color="auto"/>
        <w:right w:val="none" w:sz="0" w:space="0" w:color="auto"/>
      </w:divBdr>
    </w:div>
    <w:div w:id="38625863">
      <w:bodyDiv w:val="1"/>
      <w:marLeft w:val="0"/>
      <w:marRight w:val="0"/>
      <w:marTop w:val="0"/>
      <w:marBottom w:val="0"/>
      <w:divBdr>
        <w:top w:val="none" w:sz="0" w:space="0" w:color="auto"/>
        <w:left w:val="none" w:sz="0" w:space="0" w:color="auto"/>
        <w:bottom w:val="none" w:sz="0" w:space="0" w:color="auto"/>
        <w:right w:val="none" w:sz="0" w:space="0" w:color="auto"/>
      </w:divBdr>
    </w:div>
    <w:div w:id="51735614">
      <w:bodyDiv w:val="1"/>
      <w:marLeft w:val="0"/>
      <w:marRight w:val="0"/>
      <w:marTop w:val="0"/>
      <w:marBottom w:val="0"/>
      <w:divBdr>
        <w:top w:val="none" w:sz="0" w:space="0" w:color="auto"/>
        <w:left w:val="none" w:sz="0" w:space="0" w:color="auto"/>
        <w:bottom w:val="none" w:sz="0" w:space="0" w:color="auto"/>
        <w:right w:val="none" w:sz="0" w:space="0" w:color="auto"/>
      </w:divBdr>
    </w:div>
    <w:div w:id="81612018">
      <w:bodyDiv w:val="1"/>
      <w:marLeft w:val="0"/>
      <w:marRight w:val="0"/>
      <w:marTop w:val="0"/>
      <w:marBottom w:val="0"/>
      <w:divBdr>
        <w:top w:val="none" w:sz="0" w:space="0" w:color="auto"/>
        <w:left w:val="none" w:sz="0" w:space="0" w:color="auto"/>
        <w:bottom w:val="none" w:sz="0" w:space="0" w:color="auto"/>
        <w:right w:val="none" w:sz="0" w:space="0" w:color="auto"/>
      </w:divBdr>
    </w:div>
    <w:div w:id="125785104">
      <w:bodyDiv w:val="1"/>
      <w:marLeft w:val="0"/>
      <w:marRight w:val="0"/>
      <w:marTop w:val="0"/>
      <w:marBottom w:val="0"/>
      <w:divBdr>
        <w:top w:val="none" w:sz="0" w:space="0" w:color="auto"/>
        <w:left w:val="none" w:sz="0" w:space="0" w:color="auto"/>
        <w:bottom w:val="none" w:sz="0" w:space="0" w:color="auto"/>
        <w:right w:val="none" w:sz="0" w:space="0" w:color="auto"/>
      </w:divBdr>
    </w:div>
    <w:div w:id="134296614">
      <w:bodyDiv w:val="1"/>
      <w:marLeft w:val="0"/>
      <w:marRight w:val="0"/>
      <w:marTop w:val="0"/>
      <w:marBottom w:val="0"/>
      <w:divBdr>
        <w:top w:val="none" w:sz="0" w:space="0" w:color="auto"/>
        <w:left w:val="none" w:sz="0" w:space="0" w:color="auto"/>
        <w:bottom w:val="none" w:sz="0" w:space="0" w:color="auto"/>
        <w:right w:val="none" w:sz="0" w:space="0" w:color="auto"/>
      </w:divBdr>
    </w:div>
    <w:div w:id="134418298">
      <w:bodyDiv w:val="1"/>
      <w:marLeft w:val="0"/>
      <w:marRight w:val="0"/>
      <w:marTop w:val="0"/>
      <w:marBottom w:val="0"/>
      <w:divBdr>
        <w:top w:val="none" w:sz="0" w:space="0" w:color="auto"/>
        <w:left w:val="none" w:sz="0" w:space="0" w:color="auto"/>
        <w:bottom w:val="none" w:sz="0" w:space="0" w:color="auto"/>
        <w:right w:val="none" w:sz="0" w:space="0" w:color="auto"/>
      </w:divBdr>
    </w:div>
    <w:div w:id="135727298">
      <w:bodyDiv w:val="1"/>
      <w:marLeft w:val="0"/>
      <w:marRight w:val="0"/>
      <w:marTop w:val="0"/>
      <w:marBottom w:val="0"/>
      <w:divBdr>
        <w:top w:val="none" w:sz="0" w:space="0" w:color="auto"/>
        <w:left w:val="none" w:sz="0" w:space="0" w:color="auto"/>
        <w:bottom w:val="none" w:sz="0" w:space="0" w:color="auto"/>
        <w:right w:val="none" w:sz="0" w:space="0" w:color="auto"/>
      </w:divBdr>
    </w:div>
    <w:div w:id="141240721">
      <w:bodyDiv w:val="1"/>
      <w:marLeft w:val="0"/>
      <w:marRight w:val="0"/>
      <w:marTop w:val="0"/>
      <w:marBottom w:val="0"/>
      <w:divBdr>
        <w:top w:val="none" w:sz="0" w:space="0" w:color="auto"/>
        <w:left w:val="none" w:sz="0" w:space="0" w:color="auto"/>
        <w:bottom w:val="none" w:sz="0" w:space="0" w:color="auto"/>
        <w:right w:val="none" w:sz="0" w:space="0" w:color="auto"/>
      </w:divBdr>
    </w:div>
    <w:div w:id="157893851">
      <w:bodyDiv w:val="1"/>
      <w:marLeft w:val="0"/>
      <w:marRight w:val="0"/>
      <w:marTop w:val="0"/>
      <w:marBottom w:val="0"/>
      <w:divBdr>
        <w:top w:val="none" w:sz="0" w:space="0" w:color="auto"/>
        <w:left w:val="none" w:sz="0" w:space="0" w:color="auto"/>
        <w:bottom w:val="none" w:sz="0" w:space="0" w:color="auto"/>
        <w:right w:val="none" w:sz="0" w:space="0" w:color="auto"/>
      </w:divBdr>
    </w:div>
    <w:div w:id="178811124">
      <w:bodyDiv w:val="1"/>
      <w:marLeft w:val="0"/>
      <w:marRight w:val="0"/>
      <w:marTop w:val="0"/>
      <w:marBottom w:val="0"/>
      <w:divBdr>
        <w:top w:val="none" w:sz="0" w:space="0" w:color="auto"/>
        <w:left w:val="none" w:sz="0" w:space="0" w:color="auto"/>
        <w:bottom w:val="none" w:sz="0" w:space="0" w:color="auto"/>
        <w:right w:val="none" w:sz="0" w:space="0" w:color="auto"/>
      </w:divBdr>
    </w:div>
    <w:div w:id="179781502">
      <w:bodyDiv w:val="1"/>
      <w:marLeft w:val="0"/>
      <w:marRight w:val="0"/>
      <w:marTop w:val="0"/>
      <w:marBottom w:val="0"/>
      <w:divBdr>
        <w:top w:val="none" w:sz="0" w:space="0" w:color="auto"/>
        <w:left w:val="none" w:sz="0" w:space="0" w:color="auto"/>
        <w:bottom w:val="none" w:sz="0" w:space="0" w:color="auto"/>
        <w:right w:val="none" w:sz="0" w:space="0" w:color="auto"/>
      </w:divBdr>
      <w:divsChild>
        <w:div w:id="265161579">
          <w:marLeft w:val="0"/>
          <w:marRight w:val="0"/>
          <w:marTop w:val="0"/>
          <w:marBottom w:val="0"/>
          <w:divBdr>
            <w:top w:val="none" w:sz="0" w:space="0" w:color="auto"/>
            <w:left w:val="none" w:sz="0" w:space="0" w:color="auto"/>
            <w:bottom w:val="none" w:sz="0" w:space="0" w:color="auto"/>
            <w:right w:val="none" w:sz="0" w:space="0" w:color="auto"/>
          </w:divBdr>
          <w:divsChild>
            <w:div w:id="1058361116">
              <w:marLeft w:val="0"/>
              <w:marRight w:val="0"/>
              <w:marTop w:val="0"/>
              <w:marBottom w:val="0"/>
              <w:divBdr>
                <w:top w:val="none" w:sz="0" w:space="0" w:color="auto"/>
                <w:left w:val="none" w:sz="0" w:space="0" w:color="auto"/>
                <w:bottom w:val="none" w:sz="0" w:space="0" w:color="auto"/>
                <w:right w:val="none" w:sz="0" w:space="0" w:color="auto"/>
              </w:divBdr>
              <w:divsChild>
                <w:div w:id="67930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14026">
      <w:bodyDiv w:val="1"/>
      <w:marLeft w:val="0"/>
      <w:marRight w:val="0"/>
      <w:marTop w:val="0"/>
      <w:marBottom w:val="0"/>
      <w:divBdr>
        <w:top w:val="none" w:sz="0" w:space="0" w:color="auto"/>
        <w:left w:val="none" w:sz="0" w:space="0" w:color="auto"/>
        <w:bottom w:val="none" w:sz="0" w:space="0" w:color="auto"/>
        <w:right w:val="none" w:sz="0" w:space="0" w:color="auto"/>
      </w:divBdr>
      <w:divsChild>
        <w:div w:id="848183347">
          <w:marLeft w:val="0"/>
          <w:marRight w:val="0"/>
          <w:marTop w:val="0"/>
          <w:marBottom w:val="0"/>
          <w:divBdr>
            <w:top w:val="none" w:sz="0" w:space="0" w:color="auto"/>
            <w:left w:val="none" w:sz="0" w:space="0" w:color="auto"/>
            <w:bottom w:val="none" w:sz="0" w:space="0" w:color="auto"/>
            <w:right w:val="none" w:sz="0" w:space="0" w:color="auto"/>
          </w:divBdr>
          <w:divsChild>
            <w:div w:id="1544173653">
              <w:marLeft w:val="0"/>
              <w:marRight w:val="0"/>
              <w:marTop w:val="0"/>
              <w:marBottom w:val="0"/>
              <w:divBdr>
                <w:top w:val="none" w:sz="0" w:space="0" w:color="auto"/>
                <w:left w:val="none" w:sz="0" w:space="0" w:color="auto"/>
                <w:bottom w:val="none" w:sz="0" w:space="0" w:color="auto"/>
                <w:right w:val="none" w:sz="0" w:space="0" w:color="auto"/>
              </w:divBdr>
              <w:divsChild>
                <w:div w:id="210195244">
                  <w:marLeft w:val="0"/>
                  <w:marRight w:val="0"/>
                  <w:marTop w:val="0"/>
                  <w:marBottom w:val="0"/>
                  <w:divBdr>
                    <w:top w:val="none" w:sz="0" w:space="0" w:color="auto"/>
                    <w:left w:val="none" w:sz="0" w:space="0" w:color="auto"/>
                    <w:bottom w:val="none" w:sz="0" w:space="0" w:color="auto"/>
                    <w:right w:val="none" w:sz="0" w:space="0" w:color="auto"/>
                  </w:divBdr>
                  <w:divsChild>
                    <w:div w:id="9139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35006">
      <w:bodyDiv w:val="1"/>
      <w:marLeft w:val="0"/>
      <w:marRight w:val="0"/>
      <w:marTop w:val="0"/>
      <w:marBottom w:val="0"/>
      <w:divBdr>
        <w:top w:val="none" w:sz="0" w:space="0" w:color="auto"/>
        <w:left w:val="none" w:sz="0" w:space="0" w:color="auto"/>
        <w:bottom w:val="none" w:sz="0" w:space="0" w:color="auto"/>
        <w:right w:val="none" w:sz="0" w:space="0" w:color="auto"/>
      </w:divBdr>
    </w:div>
    <w:div w:id="216866397">
      <w:bodyDiv w:val="1"/>
      <w:marLeft w:val="0"/>
      <w:marRight w:val="0"/>
      <w:marTop w:val="0"/>
      <w:marBottom w:val="0"/>
      <w:divBdr>
        <w:top w:val="none" w:sz="0" w:space="0" w:color="auto"/>
        <w:left w:val="none" w:sz="0" w:space="0" w:color="auto"/>
        <w:bottom w:val="none" w:sz="0" w:space="0" w:color="auto"/>
        <w:right w:val="none" w:sz="0" w:space="0" w:color="auto"/>
      </w:divBdr>
    </w:div>
    <w:div w:id="225458693">
      <w:bodyDiv w:val="1"/>
      <w:marLeft w:val="0"/>
      <w:marRight w:val="0"/>
      <w:marTop w:val="0"/>
      <w:marBottom w:val="0"/>
      <w:divBdr>
        <w:top w:val="none" w:sz="0" w:space="0" w:color="auto"/>
        <w:left w:val="none" w:sz="0" w:space="0" w:color="auto"/>
        <w:bottom w:val="none" w:sz="0" w:space="0" w:color="auto"/>
        <w:right w:val="none" w:sz="0" w:space="0" w:color="auto"/>
      </w:divBdr>
    </w:div>
    <w:div w:id="273751657">
      <w:bodyDiv w:val="1"/>
      <w:marLeft w:val="0"/>
      <w:marRight w:val="0"/>
      <w:marTop w:val="0"/>
      <w:marBottom w:val="0"/>
      <w:divBdr>
        <w:top w:val="none" w:sz="0" w:space="0" w:color="auto"/>
        <w:left w:val="none" w:sz="0" w:space="0" w:color="auto"/>
        <w:bottom w:val="none" w:sz="0" w:space="0" w:color="auto"/>
        <w:right w:val="none" w:sz="0" w:space="0" w:color="auto"/>
      </w:divBdr>
    </w:div>
    <w:div w:id="282081449">
      <w:bodyDiv w:val="1"/>
      <w:marLeft w:val="0"/>
      <w:marRight w:val="0"/>
      <w:marTop w:val="0"/>
      <w:marBottom w:val="0"/>
      <w:divBdr>
        <w:top w:val="none" w:sz="0" w:space="0" w:color="auto"/>
        <w:left w:val="none" w:sz="0" w:space="0" w:color="auto"/>
        <w:bottom w:val="none" w:sz="0" w:space="0" w:color="auto"/>
        <w:right w:val="none" w:sz="0" w:space="0" w:color="auto"/>
      </w:divBdr>
    </w:div>
    <w:div w:id="323172330">
      <w:bodyDiv w:val="1"/>
      <w:marLeft w:val="0"/>
      <w:marRight w:val="0"/>
      <w:marTop w:val="0"/>
      <w:marBottom w:val="0"/>
      <w:divBdr>
        <w:top w:val="none" w:sz="0" w:space="0" w:color="auto"/>
        <w:left w:val="none" w:sz="0" w:space="0" w:color="auto"/>
        <w:bottom w:val="none" w:sz="0" w:space="0" w:color="auto"/>
        <w:right w:val="none" w:sz="0" w:space="0" w:color="auto"/>
      </w:divBdr>
    </w:div>
    <w:div w:id="326712418">
      <w:bodyDiv w:val="1"/>
      <w:marLeft w:val="0"/>
      <w:marRight w:val="0"/>
      <w:marTop w:val="0"/>
      <w:marBottom w:val="0"/>
      <w:divBdr>
        <w:top w:val="none" w:sz="0" w:space="0" w:color="auto"/>
        <w:left w:val="none" w:sz="0" w:space="0" w:color="auto"/>
        <w:bottom w:val="none" w:sz="0" w:space="0" w:color="auto"/>
        <w:right w:val="none" w:sz="0" w:space="0" w:color="auto"/>
      </w:divBdr>
    </w:div>
    <w:div w:id="347759978">
      <w:bodyDiv w:val="1"/>
      <w:marLeft w:val="0"/>
      <w:marRight w:val="0"/>
      <w:marTop w:val="0"/>
      <w:marBottom w:val="0"/>
      <w:divBdr>
        <w:top w:val="none" w:sz="0" w:space="0" w:color="auto"/>
        <w:left w:val="none" w:sz="0" w:space="0" w:color="auto"/>
        <w:bottom w:val="none" w:sz="0" w:space="0" w:color="auto"/>
        <w:right w:val="none" w:sz="0" w:space="0" w:color="auto"/>
      </w:divBdr>
    </w:div>
    <w:div w:id="363216492">
      <w:bodyDiv w:val="1"/>
      <w:marLeft w:val="0"/>
      <w:marRight w:val="0"/>
      <w:marTop w:val="0"/>
      <w:marBottom w:val="0"/>
      <w:divBdr>
        <w:top w:val="none" w:sz="0" w:space="0" w:color="auto"/>
        <w:left w:val="none" w:sz="0" w:space="0" w:color="auto"/>
        <w:bottom w:val="none" w:sz="0" w:space="0" w:color="auto"/>
        <w:right w:val="none" w:sz="0" w:space="0" w:color="auto"/>
      </w:divBdr>
    </w:div>
    <w:div w:id="372846148">
      <w:bodyDiv w:val="1"/>
      <w:marLeft w:val="0"/>
      <w:marRight w:val="0"/>
      <w:marTop w:val="0"/>
      <w:marBottom w:val="0"/>
      <w:divBdr>
        <w:top w:val="none" w:sz="0" w:space="0" w:color="auto"/>
        <w:left w:val="none" w:sz="0" w:space="0" w:color="auto"/>
        <w:bottom w:val="none" w:sz="0" w:space="0" w:color="auto"/>
        <w:right w:val="none" w:sz="0" w:space="0" w:color="auto"/>
      </w:divBdr>
    </w:div>
    <w:div w:id="393698238">
      <w:bodyDiv w:val="1"/>
      <w:marLeft w:val="0"/>
      <w:marRight w:val="0"/>
      <w:marTop w:val="0"/>
      <w:marBottom w:val="0"/>
      <w:divBdr>
        <w:top w:val="none" w:sz="0" w:space="0" w:color="auto"/>
        <w:left w:val="none" w:sz="0" w:space="0" w:color="auto"/>
        <w:bottom w:val="none" w:sz="0" w:space="0" w:color="auto"/>
        <w:right w:val="none" w:sz="0" w:space="0" w:color="auto"/>
      </w:divBdr>
    </w:div>
    <w:div w:id="398984134">
      <w:bodyDiv w:val="1"/>
      <w:marLeft w:val="0"/>
      <w:marRight w:val="0"/>
      <w:marTop w:val="0"/>
      <w:marBottom w:val="0"/>
      <w:divBdr>
        <w:top w:val="none" w:sz="0" w:space="0" w:color="auto"/>
        <w:left w:val="none" w:sz="0" w:space="0" w:color="auto"/>
        <w:bottom w:val="none" w:sz="0" w:space="0" w:color="auto"/>
        <w:right w:val="none" w:sz="0" w:space="0" w:color="auto"/>
      </w:divBdr>
    </w:div>
    <w:div w:id="399713571">
      <w:bodyDiv w:val="1"/>
      <w:marLeft w:val="0"/>
      <w:marRight w:val="0"/>
      <w:marTop w:val="0"/>
      <w:marBottom w:val="0"/>
      <w:divBdr>
        <w:top w:val="none" w:sz="0" w:space="0" w:color="auto"/>
        <w:left w:val="none" w:sz="0" w:space="0" w:color="auto"/>
        <w:bottom w:val="none" w:sz="0" w:space="0" w:color="auto"/>
        <w:right w:val="none" w:sz="0" w:space="0" w:color="auto"/>
      </w:divBdr>
    </w:div>
    <w:div w:id="414061075">
      <w:bodyDiv w:val="1"/>
      <w:marLeft w:val="0"/>
      <w:marRight w:val="0"/>
      <w:marTop w:val="0"/>
      <w:marBottom w:val="0"/>
      <w:divBdr>
        <w:top w:val="none" w:sz="0" w:space="0" w:color="auto"/>
        <w:left w:val="none" w:sz="0" w:space="0" w:color="auto"/>
        <w:bottom w:val="none" w:sz="0" w:space="0" w:color="auto"/>
        <w:right w:val="none" w:sz="0" w:space="0" w:color="auto"/>
      </w:divBdr>
    </w:div>
    <w:div w:id="442654644">
      <w:bodyDiv w:val="1"/>
      <w:marLeft w:val="0"/>
      <w:marRight w:val="0"/>
      <w:marTop w:val="0"/>
      <w:marBottom w:val="0"/>
      <w:divBdr>
        <w:top w:val="none" w:sz="0" w:space="0" w:color="auto"/>
        <w:left w:val="none" w:sz="0" w:space="0" w:color="auto"/>
        <w:bottom w:val="none" w:sz="0" w:space="0" w:color="auto"/>
        <w:right w:val="none" w:sz="0" w:space="0" w:color="auto"/>
      </w:divBdr>
    </w:div>
    <w:div w:id="452217213">
      <w:bodyDiv w:val="1"/>
      <w:marLeft w:val="0"/>
      <w:marRight w:val="0"/>
      <w:marTop w:val="0"/>
      <w:marBottom w:val="0"/>
      <w:divBdr>
        <w:top w:val="none" w:sz="0" w:space="0" w:color="auto"/>
        <w:left w:val="none" w:sz="0" w:space="0" w:color="auto"/>
        <w:bottom w:val="none" w:sz="0" w:space="0" w:color="auto"/>
        <w:right w:val="none" w:sz="0" w:space="0" w:color="auto"/>
      </w:divBdr>
    </w:div>
    <w:div w:id="457648635">
      <w:bodyDiv w:val="1"/>
      <w:marLeft w:val="0"/>
      <w:marRight w:val="0"/>
      <w:marTop w:val="0"/>
      <w:marBottom w:val="0"/>
      <w:divBdr>
        <w:top w:val="none" w:sz="0" w:space="0" w:color="auto"/>
        <w:left w:val="none" w:sz="0" w:space="0" w:color="auto"/>
        <w:bottom w:val="none" w:sz="0" w:space="0" w:color="auto"/>
        <w:right w:val="none" w:sz="0" w:space="0" w:color="auto"/>
      </w:divBdr>
    </w:div>
    <w:div w:id="482429335">
      <w:bodyDiv w:val="1"/>
      <w:marLeft w:val="0"/>
      <w:marRight w:val="0"/>
      <w:marTop w:val="0"/>
      <w:marBottom w:val="0"/>
      <w:divBdr>
        <w:top w:val="none" w:sz="0" w:space="0" w:color="auto"/>
        <w:left w:val="none" w:sz="0" w:space="0" w:color="auto"/>
        <w:bottom w:val="none" w:sz="0" w:space="0" w:color="auto"/>
        <w:right w:val="none" w:sz="0" w:space="0" w:color="auto"/>
      </w:divBdr>
    </w:div>
    <w:div w:id="487945418">
      <w:bodyDiv w:val="1"/>
      <w:marLeft w:val="0"/>
      <w:marRight w:val="0"/>
      <w:marTop w:val="0"/>
      <w:marBottom w:val="0"/>
      <w:divBdr>
        <w:top w:val="none" w:sz="0" w:space="0" w:color="auto"/>
        <w:left w:val="none" w:sz="0" w:space="0" w:color="auto"/>
        <w:bottom w:val="none" w:sz="0" w:space="0" w:color="auto"/>
        <w:right w:val="none" w:sz="0" w:space="0" w:color="auto"/>
      </w:divBdr>
    </w:div>
    <w:div w:id="492376859">
      <w:bodyDiv w:val="1"/>
      <w:marLeft w:val="0"/>
      <w:marRight w:val="0"/>
      <w:marTop w:val="0"/>
      <w:marBottom w:val="0"/>
      <w:divBdr>
        <w:top w:val="none" w:sz="0" w:space="0" w:color="auto"/>
        <w:left w:val="none" w:sz="0" w:space="0" w:color="auto"/>
        <w:bottom w:val="none" w:sz="0" w:space="0" w:color="auto"/>
        <w:right w:val="none" w:sz="0" w:space="0" w:color="auto"/>
      </w:divBdr>
    </w:div>
    <w:div w:id="499546885">
      <w:bodyDiv w:val="1"/>
      <w:marLeft w:val="0"/>
      <w:marRight w:val="0"/>
      <w:marTop w:val="0"/>
      <w:marBottom w:val="0"/>
      <w:divBdr>
        <w:top w:val="none" w:sz="0" w:space="0" w:color="auto"/>
        <w:left w:val="none" w:sz="0" w:space="0" w:color="auto"/>
        <w:bottom w:val="none" w:sz="0" w:space="0" w:color="auto"/>
        <w:right w:val="none" w:sz="0" w:space="0" w:color="auto"/>
      </w:divBdr>
    </w:div>
    <w:div w:id="507251664">
      <w:bodyDiv w:val="1"/>
      <w:marLeft w:val="0"/>
      <w:marRight w:val="0"/>
      <w:marTop w:val="0"/>
      <w:marBottom w:val="0"/>
      <w:divBdr>
        <w:top w:val="none" w:sz="0" w:space="0" w:color="auto"/>
        <w:left w:val="none" w:sz="0" w:space="0" w:color="auto"/>
        <w:bottom w:val="none" w:sz="0" w:space="0" w:color="auto"/>
        <w:right w:val="none" w:sz="0" w:space="0" w:color="auto"/>
      </w:divBdr>
    </w:div>
    <w:div w:id="527573616">
      <w:bodyDiv w:val="1"/>
      <w:marLeft w:val="0"/>
      <w:marRight w:val="0"/>
      <w:marTop w:val="0"/>
      <w:marBottom w:val="0"/>
      <w:divBdr>
        <w:top w:val="none" w:sz="0" w:space="0" w:color="auto"/>
        <w:left w:val="none" w:sz="0" w:space="0" w:color="auto"/>
        <w:bottom w:val="none" w:sz="0" w:space="0" w:color="auto"/>
        <w:right w:val="none" w:sz="0" w:space="0" w:color="auto"/>
      </w:divBdr>
    </w:div>
    <w:div w:id="542182144">
      <w:bodyDiv w:val="1"/>
      <w:marLeft w:val="0"/>
      <w:marRight w:val="0"/>
      <w:marTop w:val="0"/>
      <w:marBottom w:val="0"/>
      <w:divBdr>
        <w:top w:val="none" w:sz="0" w:space="0" w:color="auto"/>
        <w:left w:val="none" w:sz="0" w:space="0" w:color="auto"/>
        <w:bottom w:val="none" w:sz="0" w:space="0" w:color="auto"/>
        <w:right w:val="none" w:sz="0" w:space="0" w:color="auto"/>
      </w:divBdr>
    </w:div>
    <w:div w:id="548424461">
      <w:bodyDiv w:val="1"/>
      <w:marLeft w:val="0"/>
      <w:marRight w:val="0"/>
      <w:marTop w:val="0"/>
      <w:marBottom w:val="0"/>
      <w:divBdr>
        <w:top w:val="none" w:sz="0" w:space="0" w:color="auto"/>
        <w:left w:val="none" w:sz="0" w:space="0" w:color="auto"/>
        <w:bottom w:val="none" w:sz="0" w:space="0" w:color="auto"/>
        <w:right w:val="none" w:sz="0" w:space="0" w:color="auto"/>
      </w:divBdr>
    </w:div>
    <w:div w:id="561059615">
      <w:bodyDiv w:val="1"/>
      <w:marLeft w:val="0"/>
      <w:marRight w:val="0"/>
      <w:marTop w:val="0"/>
      <w:marBottom w:val="0"/>
      <w:divBdr>
        <w:top w:val="none" w:sz="0" w:space="0" w:color="auto"/>
        <w:left w:val="none" w:sz="0" w:space="0" w:color="auto"/>
        <w:bottom w:val="none" w:sz="0" w:space="0" w:color="auto"/>
        <w:right w:val="none" w:sz="0" w:space="0" w:color="auto"/>
      </w:divBdr>
    </w:div>
    <w:div w:id="564267254">
      <w:bodyDiv w:val="1"/>
      <w:marLeft w:val="0"/>
      <w:marRight w:val="0"/>
      <w:marTop w:val="0"/>
      <w:marBottom w:val="0"/>
      <w:divBdr>
        <w:top w:val="none" w:sz="0" w:space="0" w:color="auto"/>
        <w:left w:val="none" w:sz="0" w:space="0" w:color="auto"/>
        <w:bottom w:val="none" w:sz="0" w:space="0" w:color="auto"/>
        <w:right w:val="none" w:sz="0" w:space="0" w:color="auto"/>
      </w:divBdr>
    </w:div>
    <w:div w:id="580675189">
      <w:bodyDiv w:val="1"/>
      <w:marLeft w:val="0"/>
      <w:marRight w:val="0"/>
      <w:marTop w:val="0"/>
      <w:marBottom w:val="0"/>
      <w:divBdr>
        <w:top w:val="none" w:sz="0" w:space="0" w:color="auto"/>
        <w:left w:val="none" w:sz="0" w:space="0" w:color="auto"/>
        <w:bottom w:val="none" w:sz="0" w:space="0" w:color="auto"/>
        <w:right w:val="none" w:sz="0" w:space="0" w:color="auto"/>
      </w:divBdr>
      <w:divsChild>
        <w:div w:id="1938055456">
          <w:marLeft w:val="0"/>
          <w:marRight w:val="0"/>
          <w:marTop w:val="0"/>
          <w:marBottom w:val="0"/>
          <w:divBdr>
            <w:top w:val="none" w:sz="0" w:space="0" w:color="auto"/>
            <w:left w:val="none" w:sz="0" w:space="0" w:color="auto"/>
            <w:bottom w:val="none" w:sz="0" w:space="0" w:color="auto"/>
            <w:right w:val="none" w:sz="0" w:space="0" w:color="auto"/>
          </w:divBdr>
          <w:divsChild>
            <w:div w:id="191889794">
              <w:marLeft w:val="0"/>
              <w:marRight w:val="0"/>
              <w:marTop w:val="0"/>
              <w:marBottom w:val="0"/>
              <w:divBdr>
                <w:top w:val="none" w:sz="0" w:space="0" w:color="auto"/>
                <w:left w:val="none" w:sz="0" w:space="0" w:color="auto"/>
                <w:bottom w:val="none" w:sz="0" w:space="0" w:color="auto"/>
                <w:right w:val="none" w:sz="0" w:space="0" w:color="auto"/>
              </w:divBdr>
              <w:divsChild>
                <w:div w:id="10120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91691">
      <w:bodyDiv w:val="1"/>
      <w:marLeft w:val="0"/>
      <w:marRight w:val="0"/>
      <w:marTop w:val="0"/>
      <w:marBottom w:val="0"/>
      <w:divBdr>
        <w:top w:val="none" w:sz="0" w:space="0" w:color="auto"/>
        <w:left w:val="none" w:sz="0" w:space="0" w:color="auto"/>
        <w:bottom w:val="none" w:sz="0" w:space="0" w:color="auto"/>
        <w:right w:val="none" w:sz="0" w:space="0" w:color="auto"/>
      </w:divBdr>
    </w:div>
    <w:div w:id="634413394">
      <w:bodyDiv w:val="1"/>
      <w:marLeft w:val="0"/>
      <w:marRight w:val="0"/>
      <w:marTop w:val="0"/>
      <w:marBottom w:val="0"/>
      <w:divBdr>
        <w:top w:val="none" w:sz="0" w:space="0" w:color="auto"/>
        <w:left w:val="none" w:sz="0" w:space="0" w:color="auto"/>
        <w:bottom w:val="none" w:sz="0" w:space="0" w:color="auto"/>
        <w:right w:val="none" w:sz="0" w:space="0" w:color="auto"/>
      </w:divBdr>
    </w:div>
    <w:div w:id="634683224">
      <w:bodyDiv w:val="1"/>
      <w:marLeft w:val="0"/>
      <w:marRight w:val="0"/>
      <w:marTop w:val="0"/>
      <w:marBottom w:val="0"/>
      <w:divBdr>
        <w:top w:val="none" w:sz="0" w:space="0" w:color="auto"/>
        <w:left w:val="none" w:sz="0" w:space="0" w:color="auto"/>
        <w:bottom w:val="none" w:sz="0" w:space="0" w:color="auto"/>
        <w:right w:val="none" w:sz="0" w:space="0" w:color="auto"/>
      </w:divBdr>
    </w:div>
    <w:div w:id="651838969">
      <w:bodyDiv w:val="1"/>
      <w:marLeft w:val="0"/>
      <w:marRight w:val="0"/>
      <w:marTop w:val="0"/>
      <w:marBottom w:val="0"/>
      <w:divBdr>
        <w:top w:val="none" w:sz="0" w:space="0" w:color="auto"/>
        <w:left w:val="none" w:sz="0" w:space="0" w:color="auto"/>
        <w:bottom w:val="none" w:sz="0" w:space="0" w:color="auto"/>
        <w:right w:val="none" w:sz="0" w:space="0" w:color="auto"/>
      </w:divBdr>
    </w:div>
    <w:div w:id="695231861">
      <w:bodyDiv w:val="1"/>
      <w:marLeft w:val="0"/>
      <w:marRight w:val="0"/>
      <w:marTop w:val="0"/>
      <w:marBottom w:val="0"/>
      <w:divBdr>
        <w:top w:val="none" w:sz="0" w:space="0" w:color="auto"/>
        <w:left w:val="none" w:sz="0" w:space="0" w:color="auto"/>
        <w:bottom w:val="none" w:sz="0" w:space="0" w:color="auto"/>
        <w:right w:val="none" w:sz="0" w:space="0" w:color="auto"/>
      </w:divBdr>
    </w:div>
    <w:div w:id="748814380">
      <w:bodyDiv w:val="1"/>
      <w:marLeft w:val="0"/>
      <w:marRight w:val="0"/>
      <w:marTop w:val="0"/>
      <w:marBottom w:val="0"/>
      <w:divBdr>
        <w:top w:val="none" w:sz="0" w:space="0" w:color="auto"/>
        <w:left w:val="none" w:sz="0" w:space="0" w:color="auto"/>
        <w:bottom w:val="none" w:sz="0" w:space="0" w:color="auto"/>
        <w:right w:val="none" w:sz="0" w:space="0" w:color="auto"/>
      </w:divBdr>
    </w:div>
    <w:div w:id="751895009">
      <w:bodyDiv w:val="1"/>
      <w:marLeft w:val="0"/>
      <w:marRight w:val="0"/>
      <w:marTop w:val="0"/>
      <w:marBottom w:val="0"/>
      <w:divBdr>
        <w:top w:val="none" w:sz="0" w:space="0" w:color="auto"/>
        <w:left w:val="none" w:sz="0" w:space="0" w:color="auto"/>
        <w:bottom w:val="none" w:sz="0" w:space="0" w:color="auto"/>
        <w:right w:val="none" w:sz="0" w:space="0" w:color="auto"/>
      </w:divBdr>
    </w:div>
    <w:div w:id="754403176">
      <w:bodyDiv w:val="1"/>
      <w:marLeft w:val="0"/>
      <w:marRight w:val="0"/>
      <w:marTop w:val="0"/>
      <w:marBottom w:val="0"/>
      <w:divBdr>
        <w:top w:val="none" w:sz="0" w:space="0" w:color="auto"/>
        <w:left w:val="none" w:sz="0" w:space="0" w:color="auto"/>
        <w:bottom w:val="none" w:sz="0" w:space="0" w:color="auto"/>
        <w:right w:val="none" w:sz="0" w:space="0" w:color="auto"/>
      </w:divBdr>
    </w:div>
    <w:div w:id="774593448">
      <w:bodyDiv w:val="1"/>
      <w:marLeft w:val="0"/>
      <w:marRight w:val="0"/>
      <w:marTop w:val="0"/>
      <w:marBottom w:val="0"/>
      <w:divBdr>
        <w:top w:val="none" w:sz="0" w:space="0" w:color="auto"/>
        <w:left w:val="none" w:sz="0" w:space="0" w:color="auto"/>
        <w:bottom w:val="none" w:sz="0" w:space="0" w:color="auto"/>
        <w:right w:val="none" w:sz="0" w:space="0" w:color="auto"/>
      </w:divBdr>
    </w:div>
    <w:div w:id="776947233">
      <w:bodyDiv w:val="1"/>
      <w:marLeft w:val="0"/>
      <w:marRight w:val="0"/>
      <w:marTop w:val="0"/>
      <w:marBottom w:val="0"/>
      <w:divBdr>
        <w:top w:val="none" w:sz="0" w:space="0" w:color="auto"/>
        <w:left w:val="none" w:sz="0" w:space="0" w:color="auto"/>
        <w:bottom w:val="none" w:sz="0" w:space="0" w:color="auto"/>
        <w:right w:val="none" w:sz="0" w:space="0" w:color="auto"/>
      </w:divBdr>
    </w:div>
    <w:div w:id="777142440">
      <w:bodyDiv w:val="1"/>
      <w:marLeft w:val="0"/>
      <w:marRight w:val="0"/>
      <w:marTop w:val="0"/>
      <w:marBottom w:val="0"/>
      <w:divBdr>
        <w:top w:val="none" w:sz="0" w:space="0" w:color="auto"/>
        <w:left w:val="none" w:sz="0" w:space="0" w:color="auto"/>
        <w:bottom w:val="none" w:sz="0" w:space="0" w:color="auto"/>
        <w:right w:val="none" w:sz="0" w:space="0" w:color="auto"/>
      </w:divBdr>
    </w:div>
    <w:div w:id="786237454">
      <w:bodyDiv w:val="1"/>
      <w:marLeft w:val="0"/>
      <w:marRight w:val="0"/>
      <w:marTop w:val="0"/>
      <w:marBottom w:val="0"/>
      <w:divBdr>
        <w:top w:val="none" w:sz="0" w:space="0" w:color="auto"/>
        <w:left w:val="none" w:sz="0" w:space="0" w:color="auto"/>
        <w:bottom w:val="none" w:sz="0" w:space="0" w:color="auto"/>
        <w:right w:val="none" w:sz="0" w:space="0" w:color="auto"/>
      </w:divBdr>
    </w:div>
    <w:div w:id="822893453">
      <w:bodyDiv w:val="1"/>
      <w:marLeft w:val="0"/>
      <w:marRight w:val="0"/>
      <w:marTop w:val="0"/>
      <w:marBottom w:val="0"/>
      <w:divBdr>
        <w:top w:val="none" w:sz="0" w:space="0" w:color="auto"/>
        <w:left w:val="none" w:sz="0" w:space="0" w:color="auto"/>
        <w:bottom w:val="none" w:sz="0" w:space="0" w:color="auto"/>
        <w:right w:val="none" w:sz="0" w:space="0" w:color="auto"/>
      </w:divBdr>
    </w:div>
    <w:div w:id="846212210">
      <w:bodyDiv w:val="1"/>
      <w:marLeft w:val="0"/>
      <w:marRight w:val="0"/>
      <w:marTop w:val="0"/>
      <w:marBottom w:val="0"/>
      <w:divBdr>
        <w:top w:val="none" w:sz="0" w:space="0" w:color="auto"/>
        <w:left w:val="none" w:sz="0" w:space="0" w:color="auto"/>
        <w:bottom w:val="none" w:sz="0" w:space="0" w:color="auto"/>
        <w:right w:val="none" w:sz="0" w:space="0" w:color="auto"/>
      </w:divBdr>
    </w:div>
    <w:div w:id="860817981">
      <w:bodyDiv w:val="1"/>
      <w:marLeft w:val="0"/>
      <w:marRight w:val="0"/>
      <w:marTop w:val="0"/>
      <w:marBottom w:val="0"/>
      <w:divBdr>
        <w:top w:val="none" w:sz="0" w:space="0" w:color="auto"/>
        <w:left w:val="none" w:sz="0" w:space="0" w:color="auto"/>
        <w:bottom w:val="none" w:sz="0" w:space="0" w:color="auto"/>
        <w:right w:val="none" w:sz="0" w:space="0" w:color="auto"/>
      </w:divBdr>
    </w:div>
    <w:div w:id="864250780">
      <w:bodyDiv w:val="1"/>
      <w:marLeft w:val="0"/>
      <w:marRight w:val="0"/>
      <w:marTop w:val="0"/>
      <w:marBottom w:val="0"/>
      <w:divBdr>
        <w:top w:val="none" w:sz="0" w:space="0" w:color="auto"/>
        <w:left w:val="none" w:sz="0" w:space="0" w:color="auto"/>
        <w:bottom w:val="none" w:sz="0" w:space="0" w:color="auto"/>
        <w:right w:val="none" w:sz="0" w:space="0" w:color="auto"/>
      </w:divBdr>
    </w:div>
    <w:div w:id="873924083">
      <w:bodyDiv w:val="1"/>
      <w:marLeft w:val="0"/>
      <w:marRight w:val="0"/>
      <w:marTop w:val="0"/>
      <w:marBottom w:val="0"/>
      <w:divBdr>
        <w:top w:val="none" w:sz="0" w:space="0" w:color="auto"/>
        <w:left w:val="none" w:sz="0" w:space="0" w:color="auto"/>
        <w:bottom w:val="none" w:sz="0" w:space="0" w:color="auto"/>
        <w:right w:val="none" w:sz="0" w:space="0" w:color="auto"/>
      </w:divBdr>
    </w:div>
    <w:div w:id="901867313">
      <w:bodyDiv w:val="1"/>
      <w:marLeft w:val="0"/>
      <w:marRight w:val="0"/>
      <w:marTop w:val="0"/>
      <w:marBottom w:val="0"/>
      <w:divBdr>
        <w:top w:val="none" w:sz="0" w:space="0" w:color="auto"/>
        <w:left w:val="none" w:sz="0" w:space="0" w:color="auto"/>
        <w:bottom w:val="none" w:sz="0" w:space="0" w:color="auto"/>
        <w:right w:val="none" w:sz="0" w:space="0" w:color="auto"/>
      </w:divBdr>
    </w:div>
    <w:div w:id="905456488">
      <w:bodyDiv w:val="1"/>
      <w:marLeft w:val="0"/>
      <w:marRight w:val="0"/>
      <w:marTop w:val="0"/>
      <w:marBottom w:val="0"/>
      <w:divBdr>
        <w:top w:val="none" w:sz="0" w:space="0" w:color="auto"/>
        <w:left w:val="none" w:sz="0" w:space="0" w:color="auto"/>
        <w:bottom w:val="none" w:sz="0" w:space="0" w:color="auto"/>
        <w:right w:val="none" w:sz="0" w:space="0" w:color="auto"/>
      </w:divBdr>
    </w:div>
    <w:div w:id="909803259">
      <w:bodyDiv w:val="1"/>
      <w:marLeft w:val="0"/>
      <w:marRight w:val="0"/>
      <w:marTop w:val="0"/>
      <w:marBottom w:val="0"/>
      <w:divBdr>
        <w:top w:val="none" w:sz="0" w:space="0" w:color="auto"/>
        <w:left w:val="none" w:sz="0" w:space="0" w:color="auto"/>
        <w:bottom w:val="none" w:sz="0" w:space="0" w:color="auto"/>
        <w:right w:val="none" w:sz="0" w:space="0" w:color="auto"/>
      </w:divBdr>
    </w:div>
    <w:div w:id="1050687767">
      <w:bodyDiv w:val="1"/>
      <w:marLeft w:val="0"/>
      <w:marRight w:val="0"/>
      <w:marTop w:val="0"/>
      <w:marBottom w:val="0"/>
      <w:divBdr>
        <w:top w:val="none" w:sz="0" w:space="0" w:color="auto"/>
        <w:left w:val="none" w:sz="0" w:space="0" w:color="auto"/>
        <w:bottom w:val="none" w:sz="0" w:space="0" w:color="auto"/>
        <w:right w:val="none" w:sz="0" w:space="0" w:color="auto"/>
      </w:divBdr>
    </w:div>
    <w:div w:id="1083063195">
      <w:bodyDiv w:val="1"/>
      <w:marLeft w:val="0"/>
      <w:marRight w:val="0"/>
      <w:marTop w:val="0"/>
      <w:marBottom w:val="0"/>
      <w:divBdr>
        <w:top w:val="none" w:sz="0" w:space="0" w:color="auto"/>
        <w:left w:val="none" w:sz="0" w:space="0" w:color="auto"/>
        <w:bottom w:val="none" w:sz="0" w:space="0" w:color="auto"/>
        <w:right w:val="none" w:sz="0" w:space="0" w:color="auto"/>
      </w:divBdr>
    </w:div>
    <w:div w:id="1103955509">
      <w:bodyDiv w:val="1"/>
      <w:marLeft w:val="0"/>
      <w:marRight w:val="0"/>
      <w:marTop w:val="0"/>
      <w:marBottom w:val="0"/>
      <w:divBdr>
        <w:top w:val="none" w:sz="0" w:space="0" w:color="auto"/>
        <w:left w:val="none" w:sz="0" w:space="0" w:color="auto"/>
        <w:bottom w:val="none" w:sz="0" w:space="0" w:color="auto"/>
        <w:right w:val="none" w:sz="0" w:space="0" w:color="auto"/>
      </w:divBdr>
    </w:div>
    <w:div w:id="1107191961">
      <w:bodyDiv w:val="1"/>
      <w:marLeft w:val="0"/>
      <w:marRight w:val="0"/>
      <w:marTop w:val="0"/>
      <w:marBottom w:val="0"/>
      <w:divBdr>
        <w:top w:val="none" w:sz="0" w:space="0" w:color="auto"/>
        <w:left w:val="none" w:sz="0" w:space="0" w:color="auto"/>
        <w:bottom w:val="none" w:sz="0" w:space="0" w:color="auto"/>
        <w:right w:val="none" w:sz="0" w:space="0" w:color="auto"/>
      </w:divBdr>
    </w:div>
    <w:div w:id="1108087907">
      <w:bodyDiv w:val="1"/>
      <w:marLeft w:val="0"/>
      <w:marRight w:val="0"/>
      <w:marTop w:val="0"/>
      <w:marBottom w:val="0"/>
      <w:divBdr>
        <w:top w:val="none" w:sz="0" w:space="0" w:color="auto"/>
        <w:left w:val="none" w:sz="0" w:space="0" w:color="auto"/>
        <w:bottom w:val="none" w:sz="0" w:space="0" w:color="auto"/>
        <w:right w:val="none" w:sz="0" w:space="0" w:color="auto"/>
      </w:divBdr>
    </w:div>
    <w:div w:id="1120492429">
      <w:bodyDiv w:val="1"/>
      <w:marLeft w:val="0"/>
      <w:marRight w:val="0"/>
      <w:marTop w:val="0"/>
      <w:marBottom w:val="0"/>
      <w:divBdr>
        <w:top w:val="none" w:sz="0" w:space="0" w:color="auto"/>
        <w:left w:val="none" w:sz="0" w:space="0" w:color="auto"/>
        <w:bottom w:val="none" w:sz="0" w:space="0" w:color="auto"/>
        <w:right w:val="none" w:sz="0" w:space="0" w:color="auto"/>
      </w:divBdr>
    </w:div>
    <w:div w:id="1151751281">
      <w:bodyDiv w:val="1"/>
      <w:marLeft w:val="0"/>
      <w:marRight w:val="0"/>
      <w:marTop w:val="0"/>
      <w:marBottom w:val="0"/>
      <w:divBdr>
        <w:top w:val="none" w:sz="0" w:space="0" w:color="auto"/>
        <w:left w:val="none" w:sz="0" w:space="0" w:color="auto"/>
        <w:bottom w:val="none" w:sz="0" w:space="0" w:color="auto"/>
        <w:right w:val="none" w:sz="0" w:space="0" w:color="auto"/>
      </w:divBdr>
    </w:div>
    <w:div w:id="1154688123">
      <w:bodyDiv w:val="1"/>
      <w:marLeft w:val="0"/>
      <w:marRight w:val="0"/>
      <w:marTop w:val="0"/>
      <w:marBottom w:val="0"/>
      <w:divBdr>
        <w:top w:val="none" w:sz="0" w:space="0" w:color="auto"/>
        <w:left w:val="none" w:sz="0" w:space="0" w:color="auto"/>
        <w:bottom w:val="none" w:sz="0" w:space="0" w:color="auto"/>
        <w:right w:val="none" w:sz="0" w:space="0" w:color="auto"/>
      </w:divBdr>
    </w:div>
    <w:div w:id="1163007979">
      <w:bodyDiv w:val="1"/>
      <w:marLeft w:val="0"/>
      <w:marRight w:val="0"/>
      <w:marTop w:val="0"/>
      <w:marBottom w:val="0"/>
      <w:divBdr>
        <w:top w:val="none" w:sz="0" w:space="0" w:color="auto"/>
        <w:left w:val="none" w:sz="0" w:space="0" w:color="auto"/>
        <w:bottom w:val="none" w:sz="0" w:space="0" w:color="auto"/>
        <w:right w:val="none" w:sz="0" w:space="0" w:color="auto"/>
      </w:divBdr>
    </w:div>
    <w:div w:id="1176261309">
      <w:bodyDiv w:val="1"/>
      <w:marLeft w:val="0"/>
      <w:marRight w:val="0"/>
      <w:marTop w:val="0"/>
      <w:marBottom w:val="0"/>
      <w:divBdr>
        <w:top w:val="none" w:sz="0" w:space="0" w:color="auto"/>
        <w:left w:val="none" w:sz="0" w:space="0" w:color="auto"/>
        <w:bottom w:val="none" w:sz="0" w:space="0" w:color="auto"/>
        <w:right w:val="none" w:sz="0" w:space="0" w:color="auto"/>
      </w:divBdr>
    </w:div>
    <w:div w:id="1190023784">
      <w:bodyDiv w:val="1"/>
      <w:marLeft w:val="0"/>
      <w:marRight w:val="0"/>
      <w:marTop w:val="0"/>
      <w:marBottom w:val="0"/>
      <w:divBdr>
        <w:top w:val="none" w:sz="0" w:space="0" w:color="auto"/>
        <w:left w:val="none" w:sz="0" w:space="0" w:color="auto"/>
        <w:bottom w:val="none" w:sz="0" w:space="0" w:color="auto"/>
        <w:right w:val="none" w:sz="0" w:space="0" w:color="auto"/>
      </w:divBdr>
    </w:div>
    <w:div w:id="1190607406">
      <w:bodyDiv w:val="1"/>
      <w:marLeft w:val="0"/>
      <w:marRight w:val="0"/>
      <w:marTop w:val="0"/>
      <w:marBottom w:val="0"/>
      <w:divBdr>
        <w:top w:val="none" w:sz="0" w:space="0" w:color="auto"/>
        <w:left w:val="none" w:sz="0" w:space="0" w:color="auto"/>
        <w:bottom w:val="none" w:sz="0" w:space="0" w:color="auto"/>
        <w:right w:val="none" w:sz="0" w:space="0" w:color="auto"/>
      </w:divBdr>
    </w:div>
    <w:div w:id="1210805069">
      <w:bodyDiv w:val="1"/>
      <w:marLeft w:val="0"/>
      <w:marRight w:val="0"/>
      <w:marTop w:val="0"/>
      <w:marBottom w:val="0"/>
      <w:divBdr>
        <w:top w:val="none" w:sz="0" w:space="0" w:color="auto"/>
        <w:left w:val="none" w:sz="0" w:space="0" w:color="auto"/>
        <w:bottom w:val="none" w:sz="0" w:space="0" w:color="auto"/>
        <w:right w:val="none" w:sz="0" w:space="0" w:color="auto"/>
      </w:divBdr>
    </w:div>
    <w:div w:id="1226333747">
      <w:bodyDiv w:val="1"/>
      <w:marLeft w:val="0"/>
      <w:marRight w:val="0"/>
      <w:marTop w:val="0"/>
      <w:marBottom w:val="0"/>
      <w:divBdr>
        <w:top w:val="none" w:sz="0" w:space="0" w:color="auto"/>
        <w:left w:val="none" w:sz="0" w:space="0" w:color="auto"/>
        <w:bottom w:val="none" w:sz="0" w:space="0" w:color="auto"/>
        <w:right w:val="none" w:sz="0" w:space="0" w:color="auto"/>
      </w:divBdr>
    </w:div>
    <w:div w:id="1233934047">
      <w:bodyDiv w:val="1"/>
      <w:marLeft w:val="0"/>
      <w:marRight w:val="0"/>
      <w:marTop w:val="0"/>
      <w:marBottom w:val="0"/>
      <w:divBdr>
        <w:top w:val="none" w:sz="0" w:space="0" w:color="auto"/>
        <w:left w:val="none" w:sz="0" w:space="0" w:color="auto"/>
        <w:bottom w:val="none" w:sz="0" w:space="0" w:color="auto"/>
        <w:right w:val="none" w:sz="0" w:space="0" w:color="auto"/>
      </w:divBdr>
    </w:div>
    <w:div w:id="1240022283">
      <w:bodyDiv w:val="1"/>
      <w:marLeft w:val="0"/>
      <w:marRight w:val="0"/>
      <w:marTop w:val="0"/>
      <w:marBottom w:val="0"/>
      <w:divBdr>
        <w:top w:val="none" w:sz="0" w:space="0" w:color="auto"/>
        <w:left w:val="none" w:sz="0" w:space="0" w:color="auto"/>
        <w:bottom w:val="none" w:sz="0" w:space="0" w:color="auto"/>
        <w:right w:val="none" w:sz="0" w:space="0" w:color="auto"/>
      </w:divBdr>
    </w:div>
    <w:div w:id="1268272652">
      <w:bodyDiv w:val="1"/>
      <w:marLeft w:val="0"/>
      <w:marRight w:val="0"/>
      <w:marTop w:val="0"/>
      <w:marBottom w:val="0"/>
      <w:divBdr>
        <w:top w:val="none" w:sz="0" w:space="0" w:color="auto"/>
        <w:left w:val="none" w:sz="0" w:space="0" w:color="auto"/>
        <w:bottom w:val="none" w:sz="0" w:space="0" w:color="auto"/>
        <w:right w:val="none" w:sz="0" w:space="0" w:color="auto"/>
      </w:divBdr>
    </w:div>
    <w:div w:id="1280918489">
      <w:bodyDiv w:val="1"/>
      <w:marLeft w:val="0"/>
      <w:marRight w:val="0"/>
      <w:marTop w:val="0"/>
      <w:marBottom w:val="0"/>
      <w:divBdr>
        <w:top w:val="none" w:sz="0" w:space="0" w:color="auto"/>
        <w:left w:val="none" w:sz="0" w:space="0" w:color="auto"/>
        <w:bottom w:val="none" w:sz="0" w:space="0" w:color="auto"/>
        <w:right w:val="none" w:sz="0" w:space="0" w:color="auto"/>
      </w:divBdr>
    </w:div>
    <w:div w:id="1281105127">
      <w:bodyDiv w:val="1"/>
      <w:marLeft w:val="0"/>
      <w:marRight w:val="0"/>
      <w:marTop w:val="0"/>
      <w:marBottom w:val="0"/>
      <w:divBdr>
        <w:top w:val="none" w:sz="0" w:space="0" w:color="auto"/>
        <w:left w:val="none" w:sz="0" w:space="0" w:color="auto"/>
        <w:bottom w:val="none" w:sz="0" w:space="0" w:color="auto"/>
        <w:right w:val="none" w:sz="0" w:space="0" w:color="auto"/>
      </w:divBdr>
    </w:div>
    <w:div w:id="1308438267">
      <w:bodyDiv w:val="1"/>
      <w:marLeft w:val="0"/>
      <w:marRight w:val="0"/>
      <w:marTop w:val="0"/>
      <w:marBottom w:val="0"/>
      <w:divBdr>
        <w:top w:val="none" w:sz="0" w:space="0" w:color="auto"/>
        <w:left w:val="none" w:sz="0" w:space="0" w:color="auto"/>
        <w:bottom w:val="none" w:sz="0" w:space="0" w:color="auto"/>
        <w:right w:val="none" w:sz="0" w:space="0" w:color="auto"/>
      </w:divBdr>
    </w:div>
    <w:div w:id="1340424971">
      <w:bodyDiv w:val="1"/>
      <w:marLeft w:val="0"/>
      <w:marRight w:val="0"/>
      <w:marTop w:val="0"/>
      <w:marBottom w:val="0"/>
      <w:divBdr>
        <w:top w:val="none" w:sz="0" w:space="0" w:color="auto"/>
        <w:left w:val="none" w:sz="0" w:space="0" w:color="auto"/>
        <w:bottom w:val="none" w:sz="0" w:space="0" w:color="auto"/>
        <w:right w:val="none" w:sz="0" w:space="0" w:color="auto"/>
      </w:divBdr>
    </w:div>
    <w:div w:id="1379547849">
      <w:bodyDiv w:val="1"/>
      <w:marLeft w:val="0"/>
      <w:marRight w:val="0"/>
      <w:marTop w:val="0"/>
      <w:marBottom w:val="0"/>
      <w:divBdr>
        <w:top w:val="none" w:sz="0" w:space="0" w:color="auto"/>
        <w:left w:val="none" w:sz="0" w:space="0" w:color="auto"/>
        <w:bottom w:val="none" w:sz="0" w:space="0" w:color="auto"/>
        <w:right w:val="none" w:sz="0" w:space="0" w:color="auto"/>
      </w:divBdr>
    </w:div>
    <w:div w:id="1381897446">
      <w:bodyDiv w:val="1"/>
      <w:marLeft w:val="0"/>
      <w:marRight w:val="0"/>
      <w:marTop w:val="0"/>
      <w:marBottom w:val="0"/>
      <w:divBdr>
        <w:top w:val="none" w:sz="0" w:space="0" w:color="auto"/>
        <w:left w:val="none" w:sz="0" w:space="0" w:color="auto"/>
        <w:bottom w:val="none" w:sz="0" w:space="0" w:color="auto"/>
        <w:right w:val="none" w:sz="0" w:space="0" w:color="auto"/>
      </w:divBdr>
    </w:div>
    <w:div w:id="1391616549">
      <w:bodyDiv w:val="1"/>
      <w:marLeft w:val="0"/>
      <w:marRight w:val="0"/>
      <w:marTop w:val="0"/>
      <w:marBottom w:val="0"/>
      <w:divBdr>
        <w:top w:val="none" w:sz="0" w:space="0" w:color="auto"/>
        <w:left w:val="none" w:sz="0" w:space="0" w:color="auto"/>
        <w:bottom w:val="none" w:sz="0" w:space="0" w:color="auto"/>
        <w:right w:val="none" w:sz="0" w:space="0" w:color="auto"/>
      </w:divBdr>
    </w:div>
    <w:div w:id="1417248194">
      <w:bodyDiv w:val="1"/>
      <w:marLeft w:val="0"/>
      <w:marRight w:val="0"/>
      <w:marTop w:val="0"/>
      <w:marBottom w:val="0"/>
      <w:divBdr>
        <w:top w:val="none" w:sz="0" w:space="0" w:color="auto"/>
        <w:left w:val="none" w:sz="0" w:space="0" w:color="auto"/>
        <w:bottom w:val="none" w:sz="0" w:space="0" w:color="auto"/>
        <w:right w:val="none" w:sz="0" w:space="0" w:color="auto"/>
      </w:divBdr>
    </w:div>
    <w:div w:id="1442644946">
      <w:bodyDiv w:val="1"/>
      <w:marLeft w:val="0"/>
      <w:marRight w:val="0"/>
      <w:marTop w:val="0"/>
      <w:marBottom w:val="0"/>
      <w:divBdr>
        <w:top w:val="none" w:sz="0" w:space="0" w:color="auto"/>
        <w:left w:val="none" w:sz="0" w:space="0" w:color="auto"/>
        <w:bottom w:val="none" w:sz="0" w:space="0" w:color="auto"/>
        <w:right w:val="none" w:sz="0" w:space="0" w:color="auto"/>
      </w:divBdr>
    </w:div>
    <w:div w:id="1470124053">
      <w:bodyDiv w:val="1"/>
      <w:marLeft w:val="0"/>
      <w:marRight w:val="0"/>
      <w:marTop w:val="0"/>
      <w:marBottom w:val="0"/>
      <w:divBdr>
        <w:top w:val="none" w:sz="0" w:space="0" w:color="auto"/>
        <w:left w:val="none" w:sz="0" w:space="0" w:color="auto"/>
        <w:bottom w:val="none" w:sz="0" w:space="0" w:color="auto"/>
        <w:right w:val="none" w:sz="0" w:space="0" w:color="auto"/>
      </w:divBdr>
    </w:div>
    <w:div w:id="1476487898">
      <w:bodyDiv w:val="1"/>
      <w:marLeft w:val="0"/>
      <w:marRight w:val="0"/>
      <w:marTop w:val="0"/>
      <w:marBottom w:val="0"/>
      <w:divBdr>
        <w:top w:val="none" w:sz="0" w:space="0" w:color="auto"/>
        <w:left w:val="none" w:sz="0" w:space="0" w:color="auto"/>
        <w:bottom w:val="none" w:sz="0" w:space="0" w:color="auto"/>
        <w:right w:val="none" w:sz="0" w:space="0" w:color="auto"/>
      </w:divBdr>
    </w:div>
    <w:div w:id="1490318425">
      <w:bodyDiv w:val="1"/>
      <w:marLeft w:val="0"/>
      <w:marRight w:val="0"/>
      <w:marTop w:val="0"/>
      <w:marBottom w:val="0"/>
      <w:divBdr>
        <w:top w:val="none" w:sz="0" w:space="0" w:color="auto"/>
        <w:left w:val="none" w:sz="0" w:space="0" w:color="auto"/>
        <w:bottom w:val="none" w:sz="0" w:space="0" w:color="auto"/>
        <w:right w:val="none" w:sz="0" w:space="0" w:color="auto"/>
      </w:divBdr>
    </w:div>
    <w:div w:id="1490899762">
      <w:bodyDiv w:val="1"/>
      <w:marLeft w:val="0"/>
      <w:marRight w:val="0"/>
      <w:marTop w:val="0"/>
      <w:marBottom w:val="0"/>
      <w:divBdr>
        <w:top w:val="none" w:sz="0" w:space="0" w:color="auto"/>
        <w:left w:val="none" w:sz="0" w:space="0" w:color="auto"/>
        <w:bottom w:val="none" w:sz="0" w:space="0" w:color="auto"/>
        <w:right w:val="none" w:sz="0" w:space="0" w:color="auto"/>
      </w:divBdr>
    </w:div>
    <w:div w:id="1500343511">
      <w:bodyDiv w:val="1"/>
      <w:marLeft w:val="0"/>
      <w:marRight w:val="0"/>
      <w:marTop w:val="0"/>
      <w:marBottom w:val="0"/>
      <w:divBdr>
        <w:top w:val="none" w:sz="0" w:space="0" w:color="auto"/>
        <w:left w:val="none" w:sz="0" w:space="0" w:color="auto"/>
        <w:bottom w:val="none" w:sz="0" w:space="0" w:color="auto"/>
        <w:right w:val="none" w:sz="0" w:space="0" w:color="auto"/>
      </w:divBdr>
    </w:div>
    <w:div w:id="1501896347">
      <w:bodyDiv w:val="1"/>
      <w:marLeft w:val="0"/>
      <w:marRight w:val="0"/>
      <w:marTop w:val="0"/>
      <w:marBottom w:val="0"/>
      <w:divBdr>
        <w:top w:val="none" w:sz="0" w:space="0" w:color="auto"/>
        <w:left w:val="none" w:sz="0" w:space="0" w:color="auto"/>
        <w:bottom w:val="none" w:sz="0" w:space="0" w:color="auto"/>
        <w:right w:val="none" w:sz="0" w:space="0" w:color="auto"/>
      </w:divBdr>
    </w:div>
    <w:div w:id="1502771861">
      <w:bodyDiv w:val="1"/>
      <w:marLeft w:val="0"/>
      <w:marRight w:val="0"/>
      <w:marTop w:val="0"/>
      <w:marBottom w:val="0"/>
      <w:divBdr>
        <w:top w:val="none" w:sz="0" w:space="0" w:color="auto"/>
        <w:left w:val="none" w:sz="0" w:space="0" w:color="auto"/>
        <w:bottom w:val="none" w:sz="0" w:space="0" w:color="auto"/>
        <w:right w:val="none" w:sz="0" w:space="0" w:color="auto"/>
      </w:divBdr>
      <w:divsChild>
        <w:div w:id="1832333998">
          <w:marLeft w:val="0"/>
          <w:marRight w:val="0"/>
          <w:marTop w:val="0"/>
          <w:marBottom w:val="0"/>
          <w:divBdr>
            <w:top w:val="none" w:sz="0" w:space="0" w:color="auto"/>
            <w:left w:val="none" w:sz="0" w:space="0" w:color="auto"/>
            <w:bottom w:val="none" w:sz="0" w:space="0" w:color="auto"/>
            <w:right w:val="none" w:sz="0" w:space="0" w:color="auto"/>
          </w:divBdr>
          <w:divsChild>
            <w:div w:id="416903556">
              <w:marLeft w:val="0"/>
              <w:marRight w:val="0"/>
              <w:marTop w:val="0"/>
              <w:marBottom w:val="0"/>
              <w:divBdr>
                <w:top w:val="none" w:sz="0" w:space="0" w:color="auto"/>
                <w:left w:val="none" w:sz="0" w:space="0" w:color="auto"/>
                <w:bottom w:val="none" w:sz="0" w:space="0" w:color="auto"/>
                <w:right w:val="none" w:sz="0" w:space="0" w:color="auto"/>
              </w:divBdr>
              <w:divsChild>
                <w:div w:id="382599178">
                  <w:marLeft w:val="0"/>
                  <w:marRight w:val="0"/>
                  <w:marTop w:val="0"/>
                  <w:marBottom w:val="0"/>
                  <w:divBdr>
                    <w:top w:val="none" w:sz="0" w:space="0" w:color="auto"/>
                    <w:left w:val="none" w:sz="0" w:space="0" w:color="auto"/>
                    <w:bottom w:val="none" w:sz="0" w:space="0" w:color="auto"/>
                    <w:right w:val="none" w:sz="0" w:space="0" w:color="auto"/>
                  </w:divBdr>
                  <w:divsChild>
                    <w:div w:id="184354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830885">
      <w:bodyDiv w:val="1"/>
      <w:marLeft w:val="0"/>
      <w:marRight w:val="0"/>
      <w:marTop w:val="0"/>
      <w:marBottom w:val="0"/>
      <w:divBdr>
        <w:top w:val="none" w:sz="0" w:space="0" w:color="auto"/>
        <w:left w:val="none" w:sz="0" w:space="0" w:color="auto"/>
        <w:bottom w:val="none" w:sz="0" w:space="0" w:color="auto"/>
        <w:right w:val="none" w:sz="0" w:space="0" w:color="auto"/>
      </w:divBdr>
    </w:div>
    <w:div w:id="1519469255">
      <w:bodyDiv w:val="1"/>
      <w:marLeft w:val="0"/>
      <w:marRight w:val="0"/>
      <w:marTop w:val="0"/>
      <w:marBottom w:val="0"/>
      <w:divBdr>
        <w:top w:val="none" w:sz="0" w:space="0" w:color="auto"/>
        <w:left w:val="none" w:sz="0" w:space="0" w:color="auto"/>
        <w:bottom w:val="none" w:sz="0" w:space="0" w:color="auto"/>
        <w:right w:val="none" w:sz="0" w:space="0" w:color="auto"/>
      </w:divBdr>
    </w:div>
    <w:div w:id="1523083666">
      <w:bodyDiv w:val="1"/>
      <w:marLeft w:val="0"/>
      <w:marRight w:val="0"/>
      <w:marTop w:val="0"/>
      <w:marBottom w:val="0"/>
      <w:divBdr>
        <w:top w:val="none" w:sz="0" w:space="0" w:color="auto"/>
        <w:left w:val="none" w:sz="0" w:space="0" w:color="auto"/>
        <w:bottom w:val="none" w:sz="0" w:space="0" w:color="auto"/>
        <w:right w:val="none" w:sz="0" w:space="0" w:color="auto"/>
      </w:divBdr>
    </w:div>
    <w:div w:id="1541867001">
      <w:bodyDiv w:val="1"/>
      <w:marLeft w:val="0"/>
      <w:marRight w:val="0"/>
      <w:marTop w:val="0"/>
      <w:marBottom w:val="0"/>
      <w:divBdr>
        <w:top w:val="none" w:sz="0" w:space="0" w:color="auto"/>
        <w:left w:val="none" w:sz="0" w:space="0" w:color="auto"/>
        <w:bottom w:val="none" w:sz="0" w:space="0" w:color="auto"/>
        <w:right w:val="none" w:sz="0" w:space="0" w:color="auto"/>
      </w:divBdr>
    </w:div>
    <w:div w:id="1585185665">
      <w:bodyDiv w:val="1"/>
      <w:marLeft w:val="0"/>
      <w:marRight w:val="0"/>
      <w:marTop w:val="0"/>
      <w:marBottom w:val="0"/>
      <w:divBdr>
        <w:top w:val="none" w:sz="0" w:space="0" w:color="auto"/>
        <w:left w:val="none" w:sz="0" w:space="0" w:color="auto"/>
        <w:bottom w:val="none" w:sz="0" w:space="0" w:color="auto"/>
        <w:right w:val="none" w:sz="0" w:space="0" w:color="auto"/>
      </w:divBdr>
    </w:div>
    <w:div w:id="1591966917">
      <w:bodyDiv w:val="1"/>
      <w:marLeft w:val="0"/>
      <w:marRight w:val="0"/>
      <w:marTop w:val="0"/>
      <w:marBottom w:val="0"/>
      <w:divBdr>
        <w:top w:val="none" w:sz="0" w:space="0" w:color="auto"/>
        <w:left w:val="none" w:sz="0" w:space="0" w:color="auto"/>
        <w:bottom w:val="none" w:sz="0" w:space="0" w:color="auto"/>
        <w:right w:val="none" w:sz="0" w:space="0" w:color="auto"/>
      </w:divBdr>
    </w:div>
    <w:div w:id="1597707950">
      <w:bodyDiv w:val="1"/>
      <w:marLeft w:val="0"/>
      <w:marRight w:val="0"/>
      <w:marTop w:val="0"/>
      <w:marBottom w:val="0"/>
      <w:divBdr>
        <w:top w:val="none" w:sz="0" w:space="0" w:color="auto"/>
        <w:left w:val="none" w:sz="0" w:space="0" w:color="auto"/>
        <w:bottom w:val="none" w:sz="0" w:space="0" w:color="auto"/>
        <w:right w:val="none" w:sz="0" w:space="0" w:color="auto"/>
      </w:divBdr>
    </w:div>
    <w:div w:id="1624532166">
      <w:bodyDiv w:val="1"/>
      <w:marLeft w:val="0"/>
      <w:marRight w:val="0"/>
      <w:marTop w:val="0"/>
      <w:marBottom w:val="0"/>
      <w:divBdr>
        <w:top w:val="none" w:sz="0" w:space="0" w:color="auto"/>
        <w:left w:val="none" w:sz="0" w:space="0" w:color="auto"/>
        <w:bottom w:val="none" w:sz="0" w:space="0" w:color="auto"/>
        <w:right w:val="none" w:sz="0" w:space="0" w:color="auto"/>
      </w:divBdr>
    </w:div>
    <w:div w:id="1655839730">
      <w:bodyDiv w:val="1"/>
      <w:marLeft w:val="0"/>
      <w:marRight w:val="0"/>
      <w:marTop w:val="0"/>
      <w:marBottom w:val="0"/>
      <w:divBdr>
        <w:top w:val="none" w:sz="0" w:space="0" w:color="auto"/>
        <w:left w:val="none" w:sz="0" w:space="0" w:color="auto"/>
        <w:bottom w:val="none" w:sz="0" w:space="0" w:color="auto"/>
        <w:right w:val="none" w:sz="0" w:space="0" w:color="auto"/>
      </w:divBdr>
    </w:div>
    <w:div w:id="1659190925">
      <w:bodyDiv w:val="1"/>
      <w:marLeft w:val="0"/>
      <w:marRight w:val="0"/>
      <w:marTop w:val="0"/>
      <w:marBottom w:val="0"/>
      <w:divBdr>
        <w:top w:val="none" w:sz="0" w:space="0" w:color="auto"/>
        <w:left w:val="none" w:sz="0" w:space="0" w:color="auto"/>
        <w:bottom w:val="none" w:sz="0" w:space="0" w:color="auto"/>
        <w:right w:val="none" w:sz="0" w:space="0" w:color="auto"/>
      </w:divBdr>
      <w:divsChild>
        <w:div w:id="2091075456">
          <w:marLeft w:val="1123"/>
          <w:marRight w:val="0"/>
          <w:marTop w:val="0"/>
          <w:marBottom w:val="210"/>
          <w:divBdr>
            <w:top w:val="none" w:sz="0" w:space="0" w:color="auto"/>
            <w:left w:val="none" w:sz="0" w:space="0" w:color="auto"/>
            <w:bottom w:val="none" w:sz="0" w:space="0" w:color="auto"/>
            <w:right w:val="none" w:sz="0" w:space="0" w:color="auto"/>
          </w:divBdr>
        </w:div>
        <w:div w:id="1527865839">
          <w:marLeft w:val="1123"/>
          <w:marRight w:val="0"/>
          <w:marTop w:val="0"/>
          <w:marBottom w:val="210"/>
          <w:divBdr>
            <w:top w:val="none" w:sz="0" w:space="0" w:color="auto"/>
            <w:left w:val="none" w:sz="0" w:space="0" w:color="auto"/>
            <w:bottom w:val="none" w:sz="0" w:space="0" w:color="auto"/>
            <w:right w:val="none" w:sz="0" w:space="0" w:color="auto"/>
          </w:divBdr>
        </w:div>
        <w:div w:id="1740251517">
          <w:marLeft w:val="1123"/>
          <w:marRight w:val="0"/>
          <w:marTop w:val="0"/>
          <w:marBottom w:val="210"/>
          <w:divBdr>
            <w:top w:val="none" w:sz="0" w:space="0" w:color="auto"/>
            <w:left w:val="none" w:sz="0" w:space="0" w:color="auto"/>
            <w:bottom w:val="none" w:sz="0" w:space="0" w:color="auto"/>
            <w:right w:val="none" w:sz="0" w:space="0" w:color="auto"/>
          </w:divBdr>
        </w:div>
        <w:div w:id="1404063127">
          <w:marLeft w:val="1123"/>
          <w:marRight w:val="0"/>
          <w:marTop w:val="0"/>
          <w:marBottom w:val="210"/>
          <w:divBdr>
            <w:top w:val="none" w:sz="0" w:space="0" w:color="auto"/>
            <w:left w:val="none" w:sz="0" w:space="0" w:color="auto"/>
            <w:bottom w:val="none" w:sz="0" w:space="0" w:color="auto"/>
            <w:right w:val="none" w:sz="0" w:space="0" w:color="auto"/>
          </w:divBdr>
        </w:div>
        <w:div w:id="484399754">
          <w:marLeft w:val="1123"/>
          <w:marRight w:val="0"/>
          <w:marTop w:val="0"/>
          <w:marBottom w:val="210"/>
          <w:divBdr>
            <w:top w:val="none" w:sz="0" w:space="0" w:color="auto"/>
            <w:left w:val="none" w:sz="0" w:space="0" w:color="auto"/>
            <w:bottom w:val="none" w:sz="0" w:space="0" w:color="auto"/>
            <w:right w:val="none" w:sz="0" w:space="0" w:color="auto"/>
          </w:divBdr>
        </w:div>
        <w:div w:id="827600178">
          <w:marLeft w:val="1123"/>
          <w:marRight w:val="0"/>
          <w:marTop w:val="0"/>
          <w:marBottom w:val="210"/>
          <w:divBdr>
            <w:top w:val="none" w:sz="0" w:space="0" w:color="auto"/>
            <w:left w:val="none" w:sz="0" w:space="0" w:color="auto"/>
            <w:bottom w:val="none" w:sz="0" w:space="0" w:color="auto"/>
            <w:right w:val="none" w:sz="0" w:space="0" w:color="auto"/>
          </w:divBdr>
        </w:div>
        <w:div w:id="1053700691">
          <w:marLeft w:val="1123"/>
          <w:marRight w:val="0"/>
          <w:marTop w:val="0"/>
          <w:marBottom w:val="210"/>
          <w:divBdr>
            <w:top w:val="none" w:sz="0" w:space="0" w:color="auto"/>
            <w:left w:val="none" w:sz="0" w:space="0" w:color="auto"/>
            <w:bottom w:val="none" w:sz="0" w:space="0" w:color="auto"/>
            <w:right w:val="none" w:sz="0" w:space="0" w:color="auto"/>
          </w:divBdr>
        </w:div>
        <w:div w:id="1518540862">
          <w:marLeft w:val="1123"/>
          <w:marRight w:val="0"/>
          <w:marTop w:val="0"/>
          <w:marBottom w:val="210"/>
          <w:divBdr>
            <w:top w:val="none" w:sz="0" w:space="0" w:color="auto"/>
            <w:left w:val="none" w:sz="0" w:space="0" w:color="auto"/>
            <w:bottom w:val="none" w:sz="0" w:space="0" w:color="auto"/>
            <w:right w:val="none" w:sz="0" w:space="0" w:color="auto"/>
          </w:divBdr>
        </w:div>
        <w:div w:id="1589580690">
          <w:marLeft w:val="446"/>
          <w:marRight w:val="0"/>
          <w:marTop w:val="0"/>
          <w:marBottom w:val="210"/>
          <w:divBdr>
            <w:top w:val="none" w:sz="0" w:space="0" w:color="auto"/>
            <w:left w:val="none" w:sz="0" w:space="0" w:color="auto"/>
            <w:bottom w:val="none" w:sz="0" w:space="0" w:color="auto"/>
            <w:right w:val="none" w:sz="0" w:space="0" w:color="auto"/>
          </w:divBdr>
        </w:div>
      </w:divsChild>
    </w:div>
    <w:div w:id="1671566458">
      <w:bodyDiv w:val="1"/>
      <w:marLeft w:val="0"/>
      <w:marRight w:val="0"/>
      <w:marTop w:val="0"/>
      <w:marBottom w:val="0"/>
      <w:divBdr>
        <w:top w:val="none" w:sz="0" w:space="0" w:color="auto"/>
        <w:left w:val="none" w:sz="0" w:space="0" w:color="auto"/>
        <w:bottom w:val="none" w:sz="0" w:space="0" w:color="auto"/>
        <w:right w:val="none" w:sz="0" w:space="0" w:color="auto"/>
      </w:divBdr>
    </w:div>
    <w:div w:id="1702822598">
      <w:bodyDiv w:val="1"/>
      <w:marLeft w:val="0"/>
      <w:marRight w:val="0"/>
      <w:marTop w:val="0"/>
      <w:marBottom w:val="0"/>
      <w:divBdr>
        <w:top w:val="none" w:sz="0" w:space="0" w:color="auto"/>
        <w:left w:val="none" w:sz="0" w:space="0" w:color="auto"/>
        <w:bottom w:val="none" w:sz="0" w:space="0" w:color="auto"/>
        <w:right w:val="none" w:sz="0" w:space="0" w:color="auto"/>
      </w:divBdr>
    </w:div>
    <w:div w:id="1710297778">
      <w:bodyDiv w:val="1"/>
      <w:marLeft w:val="0"/>
      <w:marRight w:val="0"/>
      <w:marTop w:val="0"/>
      <w:marBottom w:val="0"/>
      <w:divBdr>
        <w:top w:val="none" w:sz="0" w:space="0" w:color="auto"/>
        <w:left w:val="none" w:sz="0" w:space="0" w:color="auto"/>
        <w:bottom w:val="none" w:sz="0" w:space="0" w:color="auto"/>
        <w:right w:val="none" w:sz="0" w:space="0" w:color="auto"/>
      </w:divBdr>
    </w:div>
    <w:div w:id="1726836053">
      <w:bodyDiv w:val="1"/>
      <w:marLeft w:val="0"/>
      <w:marRight w:val="0"/>
      <w:marTop w:val="0"/>
      <w:marBottom w:val="0"/>
      <w:divBdr>
        <w:top w:val="none" w:sz="0" w:space="0" w:color="auto"/>
        <w:left w:val="none" w:sz="0" w:space="0" w:color="auto"/>
        <w:bottom w:val="none" w:sz="0" w:space="0" w:color="auto"/>
        <w:right w:val="none" w:sz="0" w:space="0" w:color="auto"/>
      </w:divBdr>
    </w:div>
    <w:div w:id="1735005203">
      <w:bodyDiv w:val="1"/>
      <w:marLeft w:val="0"/>
      <w:marRight w:val="0"/>
      <w:marTop w:val="0"/>
      <w:marBottom w:val="0"/>
      <w:divBdr>
        <w:top w:val="none" w:sz="0" w:space="0" w:color="auto"/>
        <w:left w:val="none" w:sz="0" w:space="0" w:color="auto"/>
        <w:bottom w:val="none" w:sz="0" w:space="0" w:color="auto"/>
        <w:right w:val="none" w:sz="0" w:space="0" w:color="auto"/>
      </w:divBdr>
    </w:div>
    <w:div w:id="1741713916">
      <w:bodyDiv w:val="1"/>
      <w:marLeft w:val="0"/>
      <w:marRight w:val="0"/>
      <w:marTop w:val="0"/>
      <w:marBottom w:val="0"/>
      <w:divBdr>
        <w:top w:val="none" w:sz="0" w:space="0" w:color="auto"/>
        <w:left w:val="none" w:sz="0" w:space="0" w:color="auto"/>
        <w:bottom w:val="none" w:sz="0" w:space="0" w:color="auto"/>
        <w:right w:val="none" w:sz="0" w:space="0" w:color="auto"/>
      </w:divBdr>
    </w:div>
    <w:div w:id="1771389805">
      <w:bodyDiv w:val="1"/>
      <w:marLeft w:val="0"/>
      <w:marRight w:val="0"/>
      <w:marTop w:val="0"/>
      <w:marBottom w:val="0"/>
      <w:divBdr>
        <w:top w:val="none" w:sz="0" w:space="0" w:color="auto"/>
        <w:left w:val="none" w:sz="0" w:space="0" w:color="auto"/>
        <w:bottom w:val="none" w:sz="0" w:space="0" w:color="auto"/>
        <w:right w:val="none" w:sz="0" w:space="0" w:color="auto"/>
      </w:divBdr>
    </w:div>
    <w:div w:id="1807235677">
      <w:bodyDiv w:val="1"/>
      <w:marLeft w:val="0"/>
      <w:marRight w:val="0"/>
      <w:marTop w:val="0"/>
      <w:marBottom w:val="0"/>
      <w:divBdr>
        <w:top w:val="none" w:sz="0" w:space="0" w:color="auto"/>
        <w:left w:val="none" w:sz="0" w:space="0" w:color="auto"/>
        <w:bottom w:val="none" w:sz="0" w:space="0" w:color="auto"/>
        <w:right w:val="none" w:sz="0" w:space="0" w:color="auto"/>
      </w:divBdr>
    </w:div>
    <w:div w:id="1823810150">
      <w:bodyDiv w:val="1"/>
      <w:marLeft w:val="0"/>
      <w:marRight w:val="0"/>
      <w:marTop w:val="0"/>
      <w:marBottom w:val="0"/>
      <w:divBdr>
        <w:top w:val="none" w:sz="0" w:space="0" w:color="auto"/>
        <w:left w:val="none" w:sz="0" w:space="0" w:color="auto"/>
        <w:bottom w:val="none" w:sz="0" w:space="0" w:color="auto"/>
        <w:right w:val="none" w:sz="0" w:space="0" w:color="auto"/>
      </w:divBdr>
    </w:div>
    <w:div w:id="1858036109">
      <w:bodyDiv w:val="1"/>
      <w:marLeft w:val="0"/>
      <w:marRight w:val="0"/>
      <w:marTop w:val="0"/>
      <w:marBottom w:val="0"/>
      <w:divBdr>
        <w:top w:val="none" w:sz="0" w:space="0" w:color="auto"/>
        <w:left w:val="none" w:sz="0" w:space="0" w:color="auto"/>
        <w:bottom w:val="none" w:sz="0" w:space="0" w:color="auto"/>
        <w:right w:val="none" w:sz="0" w:space="0" w:color="auto"/>
      </w:divBdr>
    </w:div>
    <w:div w:id="1897426329">
      <w:bodyDiv w:val="1"/>
      <w:marLeft w:val="0"/>
      <w:marRight w:val="0"/>
      <w:marTop w:val="0"/>
      <w:marBottom w:val="0"/>
      <w:divBdr>
        <w:top w:val="none" w:sz="0" w:space="0" w:color="auto"/>
        <w:left w:val="none" w:sz="0" w:space="0" w:color="auto"/>
        <w:bottom w:val="none" w:sz="0" w:space="0" w:color="auto"/>
        <w:right w:val="none" w:sz="0" w:space="0" w:color="auto"/>
      </w:divBdr>
    </w:div>
    <w:div w:id="1905483643">
      <w:bodyDiv w:val="1"/>
      <w:marLeft w:val="0"/>
      <w:marRight w:val="0"/>
      <w:marTop w:val="0"/>
      <w:marBottom w:val="0"/>
      <w:divBdr>
        <w:top w:val="none" w:sz="0" w:space="0" w:color="auto"/>
        <w:left w:val="none" w:sz="0" w:space="0" w:color="auto"/>
        <w:bottom w:val="none" w:sz="0" w:space="0" w:color="auto"/>
        <w:right w:val="none" w:sz="0" w:space="0" w:color="auto"/>
      </w:divBdr>
    </w:div>
    <w:div w:id="1909000234">
      <w:bodyDiv w:val="1"/>
      <w:marLeft w:val="0"/>
      <w:marRight w:val="0"/>
      <w:marTop w:val="0"/>
      <w:marBottom w:val="0"/>
      <w:divBdr>
        <w:top w:val="none" w:sz="0" w:space="0" w:color="auto"/>
        <w:left w:val="none" w:sz="0" w:space="0" w:color="auto"/>
        <w:bottom w:val="none" w:sz="0" w:space="0" w:color="auto"/>
        <w:right w:val="none" w:sz="0" w:space="0" w:color="auto"/>
      </w:divBdr>
    </w:div>
    <w:div w:id="1926303174">
      <w:bodyDiv w:val="1"/>
      <w:marLeft w:val="0"/>
      <w:marRight w:val="0"/>
      <w:marTop w:val="0"/>
      <w:marBottom w:val="0"/>
      <w:divBdr>
        <w:top w:val="none" w:sz="0" w:space="0" w:color="auto"/>
        <w:left w:val="none" w:sz="0" w:space="0" w:color="auto"/>
        <w:bottom w:val="none" w:sz="0" w:space="0" w:color="auto"/>
        <w:right w:val="none" w:sz="0" w:space="0" w:color="auto"/>
      </w:divBdr>
    </w:div>
    <w:div w:id="1938974424">
      <w:bodyDiv w:val="1"/>
      <w:marLeft w:val="0"/>
      <w:marRight w:val="0"/>
      <w:marTop w:val="0"/>
      <w:marBottom w:val="0"/>
      <w:divBdr>
        <w:top w:val="none" w:sz="0" w:space="0" w:color="auto"/>
        <w:left w:val="none" w:sz="0" w:space="0" w:color="auto"/>
        <w:bottom w:val="none" w:sz="0" w:space="0" w:color="auto"/>
        <w:right w:val="none" w:sz="0" w:space="0" w:color="auto"/>
      </w:divBdr>
      <w:divsChild>
        <w:div w:id="1406759350">
          <w:marLeft w:val="0"/>
          <w:marRight w:val="0"/>
          <w:marTop w:val="0"/>
          <w:marBottom w:val="0"/>
          <w:divBdr>
            <w:top w:val="none" w:sz="0" w:space="0" w:color="auto"/>
            <w:left w:val="none" w:sz="0" w:space="0" w:color="auto"/>
            <w:bottom w:val="none" w:sz="0" w:space="0" w:color="auto"/>
            <w:right w:val="none" w:sz="0" w:space="0" w:color="auto"/>
          </w:divBdr>
          <w:divsChild>
            <w:div w:id="252975194">
              <w:marLeft w:val="0"/>
              <w:marRight w:val="0"/>
              <w:marTop w:val="0"/>
              <w:marBottom w:val="0"/>
              <w:divBdr>
                <w:top w:val="none" w:sz="0" w:space="0" w:color="auto"/>
                <w:left w:val="none" w:sz="0" w:space="0" w:color="auto"/>
                <w:bottom w:val="none" w:sz="0" w:space="0" w:color="auto"/>
                <w:right w:val="none" w:sz="0" w:space="0" w:color="auto"/>
              </w:divBdr>
              <w:divsChild>
                <w:div w:id="973753416">
                  <w:marLeft w:val="0"/>
                  <w:marRight w:val="0"/>
                  <w:marTop w:val="0"/>
                  <w:marBottom w:val="0"/>
                  <w:divBdr>
                    <w:top w:val="none" w:sz="0" w:space="0" w:color="auto"/>
                    <w:left w:val="none" w:sz="0" w:space="0" w:color="auto"/>
                    <w:bottom w:val="none" w:sz="0" w:space="0" w:color="auto"/>
                    <w:right w:val="none" w:sz="0" w:space="0" w:color="auto"/>
                  </w:divBdr>
                  <w:divsChild>
                    <w:div w:id="30894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652729">
      <w:bodyDiv w:val="1"/>
      <w:marLeft w:val="0"/>
      <w:marRight w:val="0"/>
      <w:marTop w:val="0"/>
      <w:marBottom w:val="0"/>
      <w:divBdr>
        <w:top w:val="none" w:sz="0" w:space="0" w:color="auto"/>
        <w:left w:val="none" w:sz="0" w:space="0" w:color="auto"/>
        <w:bottom w:val="none" w:sz="0" w:space="0" w:color="auto"/>
        <w:right w:val="none" w:sz="0" w:space="0" w:color="auto"/>
      </w:divBdr>
    </w:div>
    <w:div w:id="1971013625">
      <w:bodyDiv w:val="1"/>
      <w:marLeft w:val="0"/>
      <w:marRight w:val="0"/>
      <w:marTop w:val="0"/>
      <w:marBottom w:val="0"/>
      <w:divBdr>
        <w:top w:val="none" w:sz="0" w:space="0" w:color="auto"/>
        <w:left w:val="none" w:sz="0" w:space="0" w:color="auto"/>
        <w:bottom w:val="none" w:sz="0" w:space="0" w:color="auto"/>
        <w:right w:val="none" w:sz="0" w:space="0" w:color="auto"/>
      </w:divBdr>
    </w:div>
    <w:div w:id="1986397359">
      <w:bodyDiv w:val="1"/>
      <w:marLeft w:val="0"/>
      <w:marRight w:val="0"/>
      <w:marTop w:val="0"/>
      <w:marBottom w:val="0"/>
      <w:divBdr>
        <w:top w:val="none" w:sz="0" w:space="0" w:color="auto"/>
        <w:left w:val="none" w:sz="0" w:space="0" w:color="auto"/>
        <w:bottom w:val="none" w:sz="0" w:space="0" w:color="auto"/>
        <w:right w:val="none" w:sz="0" w:space="0" w:color="auto"/>
      </w:divBdr>
    </w:div>
    <w:div w:id="2008169019">
      <w:bodyDiv w:val="1"/>
      <w:marLeft w:val="0"/>
      <w:marRight w:val="0"/>
      <w:marTop w:val="0"/>
      <w:marBottom w:val="0"/>
      <w:divBdr>
        <w:top w:val="none" w:sz="0" w:space="0" w:color="auto"/>
        <w:left w:val="none" w:sz="0" w:space="0" w:color="auto"/>
        <w:bottom w:val="none" w:sz="0" w:space="0" w:color="auto"/>
        <w:right w:val="none" w:sz="0" w:space="0" w:color="auto"/>
      </w:divBdr>
    </w:div>
    <w:div w:id="2036810228">
      <w:bodyDiv w:val="1"/>
      <w:marLeft w:val="0"/>
      <w:marRight w:val="0"/>
      <w:marTop w:val="0"/>
      <w:marBottom w:val="0"/>
      <w:divBdr>
        <w:top w:val="none" w:sz="0" w:space="0" w:color="auto"/>
        <w:left w:val="none" w:sz="0" w:space="0" w:color="auto"/>
        <w:bottom w:val="none" w:sz="0" w:space="0" w:color="auto"/>
        <w:right w:val="none" w:sz="0" w:space="0" w:color="auto"/>
      </w:divBdr>
    </w:div>
    <w:div w:id="2045595837">
      <w:bodyDiv w:val="1"/>
      <w:marLeft w:val="0"/>
      <w:marRight w:val="0"/>
      <w:marTop w:val="0"/>
      <w:marBottom w:val="0"/>
      <w:divBdr>
        <w:top w:val="none" w:sz="0" w:space="0" w:color="auto"/>
        <w:left w:val="none" w:sz="0" w:space="0" w:color="auto"/>
        <w:bottom w:val="none" w:sz="0" w:space="0" w:color="auto"/>
        <w:right w:val="none" w:sz="0" w:space="0" w:color="auto"/>
      </w:divBdr>
    </w:div>
    <w:div w:id="2094888549">
      <w:bodyDiv w:val="1"/>
      <w:marLeft w:val="0"/>
      <w:marRight w:val="0"/>
      <w:marTop w:val="0"/>
      <w:marBottom w:val="0"/>
      <w:divBdr>
        <w:top w:val="none" w:sz="0" w:space="0" w:color="auto"/>
        <w:left w:val="none" w:sz="0" w:space="0" w:color="auto"/>
        <w:bottom w:val="none" w:sz="0" w:space="0" w:color="auto"/>
        <w:right w:val="none" w:sz="0" w:space="0" w:color="auto"/>
      </w:divBdr>
    </w:div>
    <w:div w:id="2100708814">
      <w:bodyDiv w:val="1"/>
      <w:marLeft w:val="0"/>
      <w:marRight w:val="0"/>
      <w:marTop w:val="0"/>
      <w:marBottom w:val="0"/>
      <w:divBdr>
        <w:top w:val="none" w:sz="0" w:space="0" w:color="auto"/>
        <w:left w:val="none" w:sz="0" w:space="0" w:color="auto"/>
        <w:bottom w:val="none" w:sz="0" w:space="0" w:color="auto"/>
        <w:right w:val="none" w:sz="0" w:space="0" w:color="auto"/>
      </w:divBdr>
    </w:div>
    <w:div w:id="2103212788">
      <w:bodyDiv w:val="1"/>
      <w:marLeft w:val="0"/>
      <w:marRight w:val="0"/>
      <w:marTop w:val="0"/>
      <w:marBottom w:val="0"/>
      <w:divBdr>
        <w:top w:val="none" w:sz="0" w:space="0" w:color="auto"/>
        <w:left w:val="none" w:sz="0" w:space="0" w:color="auto"/>
        <w:bottom w:val="none" w:sz="0" w:space="0" w:color="auto"/>
        <w:right w:val="none" w:sz="0" w:space="0" w:color="auto"/>
      </w:divBdr>
    </w:div>
    <w:div w:id="2121561012">
      <w:bodyDiv w:val="1"/>
      <w:marLeft w:val="0"/>
      <w:marRight w:val="0"/>
      <w:marTop w:val="0"/>
      <w:marBottom w:val="0"/>
      <w:divBdr>
        <w:top w:val="none" w:sz="0" w:space="0" w:color="auto"/>
        <w:left w:val="none" w:sz="0" w:space="0" w:color="auto"/>
        <w:bottom w:val="none" w:sz="0" w:space="0" w:color="auto"/>
        <w:right w:val="none" w:sz="0" w:space="0" w:color="auto"/>
      </w:divBdr>
    </w:div>
    <w:div w:id="213447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qualityhumanrights.com/e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tizensadvice.org.uk/work/problems-at-work/employment-tribunals/employer-s-response-to-an-employment-tribunal-claim/"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emp-law/data-protection" TargetMode="External"/><Relationship Id="rId24"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www.bailii.org/uk/cases/UKEAT/1982/62_82_2907.html" TargetMode="External"/><Relationship Id="rId23" Type="http://schemas.microsoft.com/office/2018/08/relationships/commentsExtensible" Target="commentsExtensible.xml"/><Relationship Id="rId10" Type="http://schemas.openxmlformats.org/officeDocument/2006/relationships/hyperlink" Target="https://www.cipd.co.uk/knowledge/fundamentals/emp-law/terms-condition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om.org.uk/return-to-work/" TargetMode="External"/><Relationship Id="rId14" Type="http://schemas.openxmlformats.org/officeDocument/2006/relationships/hyperlink" Target="https://www.gov.uk/being-taken-to-employment-tribunal-by-employ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ACA15</b:Tag>
    <b:SourceType>InternetSite</b:SourceType>
    <b:Guid>{9BA72EAF-808E-414F-9F7B-21EA1366FD7A}</b:Guid>
    <b:Author>
      <b:Author>
        <b:Corporate>ACAS</b:Corporate>
      </b:Author>
    </b:Author>
    <b:Title>Code of Practice on disciplinary and grievance procedures</b:Title>
    <b:Year>2015</b:Year>
    <b:YearAccessed>2021</b:YearAccessed>
    <b:MonthAccessed>April</b:MonthAccessed>
    <b:DayAccessed>09</b:DayAccessed>
    <b:URL>https://www.acas.org.uk/acas-code-of-practice-for-disciplinary-and-grievance-procedures/html</b:URL>
    <b:RefOrder>2</b:RefOrder>
  </b:Source>
  <b:Source>
    <b:Tag>IRL01</b:Tag>
    <b:SourceType>ConferenceProceedings</b:SourceType>
    <b:Guid>{8CF4411D-8B19-4500-8409-3F19B4474EB6}</b:Guid>
    <b:Title>IRLR 139</b:Title>
    <b:Year>2001</b:Year>
    <b:RefOrder>3</b:RefOrder>
  </b:Source>
  <b:Source>
    <b:Tag>Lew20</b:Tag>
    <b:SourceType>Book</b:SourceType>
    <b:Guid>{4E4FA34D-2E21-4AFD-87D8-7BF17DFBCB04}</b:Guid>
    <b:Title>Employment Law</b:Title>
    <b:Year>2020</b:Year>
    <b:City>London</b:City>
    <b:Publisher>KoganPage</b:Publisher>
    <b:Edition>15</b:Edition>
    <b:Author>
      <b:Author>
        <b:NameList>
          <b:Person>
            <b:Last>Lewis</b:Last>
            <b:First>D</b:First>
          </b:Person>
          <b:Person>
            <b:Last>Sargeant</b:Last>
            <b:First>M</b:First>
          </b:Person>
        </b:NameList>
      </b:Author>
    </b:Author>
    <b:RefOrder>4</b:RefOrder>
  </b:Source>
  <b:Source>
    <b:Tag>Pra78</b:Tag>
    <b:SourceType>Misc</b:SourceType>
    <b:Guid>{E38EB6B8-AD44-47FF-A371-6DFE84515704}</b:Guid>
    <b:Title>British Home Stores Limited v Burchell [1978] IRLR 379</b:Title>
    <b:Year>1978</b:Year>
    <b:YearAccessed>2021</b:YearAccessed>
    <b:MonthAccessed>2021</b:MonthAccessed>
    <b:DayAccessed>09</b:DayAccessed>
    <b:URL>https://uk.practicallaw.thomsonreuters.com/0-511-2733?contextData=(sc.Default)&amp;transitionType=Default&amp;firstPage=true</b:URL>
    <b:RefOrder>5</b:RefOrder>
  </b:Source>
  <b:Source>
    <b:Tag>Gil85</b:Tag>
    <b:SourceType>Misc</b:SourceType>
    <b:Guid>{5C32813E-E116-4CF9-AE15-D9105D2C221C}</b:Guid>
    <b:Title>Gilham v Kent County Council (1985) IRLR 16</b:Title>
    <b:Year>1985</b:Year>
    <b:RefOrder>6</b:RefOrder>
  </b:Source>
  <b:Source>
    <b:Tag>Gov14</b:Tag>
    <b:SourceType>InternetSite</b:SourceType>
    <b:Guid>{90E1169F-973F-974D-964A-DCE5C931A241}</b:Guid>
    <b:Author>
      <b:Author>
        <b:Corporate>Gov.uk</b:Corporate>
      </b:Author>
    </b:Author>
    <b:Title>Form ET3: Respond to a claim made to an employment tribunal</b:Title>
    <b:URL>https://www.gov.uk/government/publications/respond-to-a-claim-made-to-an-employment-tribunal-form-et3</b:URL>
    <b:Year>2014</b:Year>
    <b:YearAccessed>2021</b:YearAccessed>
    <b:MonthAccessed>April</b:MonthAccessed>
    <b:DayAccessed>23</b:DayAccessed>
    <b:RefOrder>7</b:RefOrder>
  </b:Source>
  <b:Source>
    <b:Tag>Per15</b:Tag>
    <b:SourceType>InternetSite</b:SourceType>
    <b:Guid>{FC8F7D1F-809A-774F-AC28-A7F4C9BCE11C}</b:Guid>
    <b:Author>
      <b:Author>
        <b:Corporate>Personnel Today</b:Corporate>
      </b:Author>
    </b:Author>
    <b:Title>Responding to an employment tribunal claim: five tips for employers</b:Title>
    <b:URL>https://www.personneltoday.com/hr/responding-to-an-employment-tribunal-claim-five-tips-for-employers/</b:URL>
    <b:Year>2015</b:Year>
    <b:YearAccessed>2021</b:YearAccessed>
    <b:MonthAccessed>April</b:MonthAccessed>
    <b:DayAccessed>23</b:DayAccessed>
    <b:RefOrder>8</b:RefOrder>
  </b:Source>
  <b:Source>
    <b:Tag>The99</b:Tag>
    <b:SourceType>Misc</b:SourceType>
    <b:Guid>{85C98ABD-722B-864C-8702-1128974F560A}</b:Guid>
    <b:Title>The Employmet Rights Act 1999</b:Title>
    <b:Year>1999</b:Year>
    <b:RefOrder>9</b:RefOrder>
  </b:Source>
  <b:Source>
    <b:Tag>Ice83</b:Tag>
    <b:SourceType>InternetSite</b:SourceType>
    <b:Guid>{75F9B2C7-19D1-E04E-AC68-75FCCE20113F}</b:Guid>
    <b:Title>Iceland Frozen Foods Ltd v Jones</b:Title>
    <b:Year>1983</b:Year>
    <b:URL>http://www.bailii.org/uk/cases/UKEAT/1982/62_82_2907.html</b:URL>
    <b:RefOrder>10</b:RefOrder>
  </b:Source>
  <b:Source>
    <b:Tag>The98</b:Tag>
    <b:SourceType>Misc</b:SourceType>
    <b:Guid>{25FF2F1B-EECD-B743-BA17-A850E1EAB7B0}</b:Guid>
    <b:Title>The Working Time Regulations</b:Title>
    <b:Year>1998</b:Year>
    <b:RefOrder>11</b:RefOrder>
  </b:Source>
  <b:Source>
    <b:Tag>Col1</b:Tag>
    <b:SourceType>Misc</b:SourceType>
    <b:Guid>{609B2B7E-126D-5742-8036-B605EE4C4B03}</b:Guid>
    <b:Title>Coleman v Attridge Law and another C-303/06 [2008] IRLR 722 (ECJ)</b:Title>
    <b:RefOrder>12</b:RefOrder>
  </b:Source>
  <b:Source>
    <b:Tag>Smi</b:Tag>
    <b:SourceType>Misc</b:SourceType>
    <b:Guid>{A1384D00-69F6-A141-B643-0A573EE01712}</b:Guid>
    <b:Title>Smith v Penfold Motors Ltd 1101378/2009</b:Title>
    <b:RefOrder>13</b:RefOrder>
  </b:Source>
  <b:Source>
    <b:Tag>Out21</b:Tag>
    <b:SourceType>InternetSite</b:SourceType>
    <b:Guid>{C848E6ED-4F0E-DA41-8AD9-43086567001A}</b:Guid>
    <b:Title>Rise in interim relief applications ‘a concern’</b:Title>
    <b:Year>2021</b:Year>
    <b:Author>
      <b:Author>
        <b:Corporate>Out-Law</b:Corporate>
      </b:Author>
    </b:Author>
    <b:URL>https://www.pinsentmasons.com/out-law/news/rise-in-interim-relief-applications-concern</b:URL>
    <b:YearAccessed>2021</b:YearAccessed>
    <b:MonthAccessed>April</b:MonthAccessed>
    <b:DayAccessed>23</b:DayAccessed>
    <b:RefOrder>14</b:RefOrder>
  </b:Source>
  <b:Source>
    <b:Tag>Smi21</b:Tag>
    <b:SourceType>InternetSite</b:SourceType>
    <b:Guid>{C00FF3B9-AD13-094A-B5B6-2B273F6DEE40}</b:Guid>
    <b:Title>Why are interim relief applications increasing in tribunals?</b:Title>
    <b:URL>https://www.peoplemanagement.co.uk/experts/legal/why-are-interim-relief-applications-increasing-in-tribunals#gref</b:URL>
    <b:Year>2021</b:Year>
    <b:YearAccessed>2021</b:YearAccessed>
    <b:MonthAccessed>April</b:MonthAccessed>
    <b:DayAccessed>23</b:DayAccessed>
    <b:Author>
      <b:Author>
        <b:NameList>
          <b:Person>
            <b:Last>Smith</b:Last>
            <b:First>E</b:First>
          </b:Person>
        </b:NameList>
      </b:Author>
    </b:Author>
    <b:RefOrder>15</b:RefOrder>
  </b:Source>
  <b:Source>
    <b:Tag>Joh00</b:Tag>
    <b:SourceType>Case</b:SourceType>
    <b:Guid>{F3122AB5-9955-6247-ABEF-55623CBBD3C1}</b:Guid>
    <b:Title>John Lewis plc v Coyne</b:Title>
    <b:Year>2000</b:Year>
    <b:RefOrder>16</b:RefOrder>
  </b:Source>
  <b:Source>
    <b:Tag>Rod</b:Tag>
    <b:SourceType>Case</b:SourceType>
    <b:Guid>{C8BCA035-4DE8-454E-954E-4231E976BE27}</b:Guid>
    <b:Title>Rodliffe v SOS Parking</b:Title>
    <b:RefOrder>17</b:RefOrder>
  </b:Source>
  <b:Source>
    <b:Tag>Emp1</b:Tag>
    <b:SourceType>Case</b:SourceType>
    <b:Guid>{FEDB08E2-3581-124C-BA9F-9239C17C3AB5}</b:Guid>
    <b:Title>Employment Relations Act 1999</b:Title>
    <b:RefOrder>18</b:RefOrder>
  </b:Source>
  <b:Source>
    <b:Tag>CIP2030</b:Tag>
    <b:SourceType>InternetSite</b:SourceType>
    <b:Guid>{0D30419D-DFBF-C348-BD81-3A610B046F2F}</b:Guid>
    <b:Title>Dismissal procedures</b:Title>
    <b:Year>2020</b:Year>
    <b:Author>
      <b:Author>
        <b:Corporate>CIPD</b:Corporate>
      </b:Author>
    </b:Author>
    <b:URL>https://www.cipd.co.uk/knowledge/fundamentals/emp-law/dismissal/factsheet#gref</b:URL>
    <b:YearAccessed>2021</b:YearAccessed>
    <b:MonthAccessed>April</b:MonthAccessed>
    <b:DayAccessed>27</b:DayAccessed>
    <b:RefOrder>19</b:RefOrder>
  </b:Source>
  <b:Source>
    <b:Tag>ICA17</b:Tag>
    <b:SourceType>InternetSite</b:SourceType>
    <b:Guid>{7552F8E9-2874-D044-9C9B-CC86FEDB988E}</b:Guid>
    <b:Author>
      <b:Author>
        <b:Corporate>ICAEW</b:Corporate>
      </b:Author>
    </b:Author>
    <b:Title>Case law: Physical violence at work does not automatically justify dismissal without notice</b:Title>
    <b:URL>https://www.icaew.com/library/subject-gateways/law/legal-alert/2017-03/case-law-physical-violence-at-work-does-not-automatically-justify-dismissal-without-notice</b:URL>
    <b:Year>2017</b:Year>
    <b:YearAccessed>2021</b:YearAccessed>
    <b:MonthAccessed>April</b:MonthAccessed>
    <b:DayAccessed>27</b:DayAccessed>
    <b:RefOrder>20</b:RefOrder>
  </b:Source>
  <b:Source>
    <b:Tag>Had</b:Tag>
    <b:SourceType>Case</b:SourceType>
    <b:Guid>{A3BB88A4-075F-F248-B310-3057753BBBBF}</b:Guid>
    <b:Title>Hadjioannou v Coral Casinos Ltd [1981] IRLR 352</b:Title>
    <b:RefOrder>21</b:RefOrder>
  </b:Source>
  <b:Source>
    <b:Tag>Dor</b:Tag>
    <b:SourceType>Case</b:SourceType>
    <b:Guid>{1C4C603B-1A73-6C45-BF2C-8567EA8B70AB}</b:Guid>
    <b:Title>Dornsfield v University of Reading</b:Title>
    <b:RefOrder>22</b:RefOrder>
  </b:Source>
  <b:Source>
    <b:Tag>Joh</b:Tag>
    <b:SourceType>Case</b:SourceType>
    <b:Guid>{915D2CD5-1294-E240-8BEA-1C1462E29037}</b:Guid>
    <b:Title>John-Charles v NHS Business Services Authority</b:Title>
    <b:RefOrder>23</b:RefOrder>
  </b:Source>
  <b:Source>
    <b:Tag>Ram</b:Tag>
    <b:SourceType>Case</b:SourceType>
    <b:Guid>{7318100F-CCA5-2D4B-AA12-DA6B8A19FBDF}</b:Guid>
    <b:Title>Ramphal v Department of Transport</b:Title>
    <b:RefOrder>24</b:RefOrder>
  </b:Source>
  <b:Source>
    <b:Tag>Shr</b:Tag>
    <b:SourceType>Case</b:SourceType>
    <b:Guid>{D564F24F-6B56-5140-BA66-CD60188CB65E}</b:Guid>
    <b:Title>Shrestha v Genesis Housing Association Ltd</b:Title>
    <b:RefOrder>25</b:RefOrder>
  </b:Source>
  <b:Source>
    <b:Tag>Har</b:Tag>
    <b:SourceType>Case</b:SourceType>
    <b:Guid>{3EDB7612-6ADA-FE4A-B5FC-54A68CA35F83}</b:Guid>
    <b:Title>Harvey v Vista Hotels</b:Title>
    <b:RefOrder>26</b:RefOrder>
  </b:Source>
  <b:Source>
    <b:Tag>Bri</b:Tag>
    <b:SourceType>Case</b:SourceType>
    <b:Guid>{64460CC0-6D1F-134B-802F-8B78DB44CC92}</b:Guid>
    <b:Title>British Home Stores Ltd v Burchell [1978] IRLR 379</b:Title>
    <b:RefOrder>27</b:RefOrder>
  </b:Source>
  <b:Source>
    <b:Tag>Cav</b:Tag>
    <b:SourceType>Case</b:SourceType>
    <b:Guid>{C14BA5D0-B530-488B-A235-32627ADA6E4B}</b:Guid>
    <b:Title>Cavendish Munro professional Risks Management Ltd v Geduld UK</b:Title>
    <b:RefOrder>28</b:RefOrder>
  </b:Source>
  <b:Source>
    <b:Tag>The</b:Tag>
    <b:SourceType>Case</b:SourceType>
    <b:Guid>{92C8F4C4-B34F-4893-AEC7-59FAA38E33A1}</b:Guid>
    <b:Title>The Public Interest Disclosure Act 1998</b:Title>
    <b:RefOrder>29</b:RefOrder>
  </b:Source>
  <b:Source>
    <b:Tag>Kil</b:Tag>
    <b:SourceType>Case</b:SourceType>
    <b:Guid>{3F534263-33FB-4F60-8675-8FBC1128E9EF}</b:Guid>
    <b:Title>Kilraine V London Borough of Wandsworth 2018 </b:Title>
    <b:RefOrder>30</b:RefOrder>
  </b:Source>
  <b:Source>
    <b:Tag>Pol</b:Tag>
    <b:SourceType>Case</b:SourceType>
    <b:Guid>{33D05343-5AF3-4E2C-A3FA-1F618826F568}</b:Guid>
    <b:Title>Polkey v AE Dayton Services Ltd 1987</b:Title>
    <b:RefOrder>31</b:RefOrder>
  </b:Source>
  <b:Source>
    <b:Tag>Per09</b:Tag>
    <b:SourceType>InternetSite</b:SourceType>
    <b:Guid>{660E30DC-D25A-4703-A45A-ADCED99173BD}</b:Guid>
    <b:Title>Calculating tribunal awards – how it’s done</b:Title>
    <b:Year>2009</b:Year>
    <b:Author>
      <b:Author>
        <b:Corporate>Personnel Today</b:Corporate>
      </b:Author>
    </b:Author>
    <b:YearAccessed>2021</b:YearAccessed>
    <b:MonthAccessed>April</b:MonthAccessed>
    <b:DayAccessed>29</b:DayAccessed>
    <b:URL>https://www.personneltoday.com/hr/calculating-tribunal-awards-how-its-done/</b:URL>
    <b:RefOrder>32</b:RefOrder>
  </b:Source>
  <b:Source>
    <b:Tag>Hol</b:Tag>
    <b:SourceType>Case</b:SourceType>
    <b:Guid>{20952EB8-52CA-4526-844A-C2E6C9C662FE}</b:Guid>
    <b:Title>Holmes v Qinetiq Ltd (2016) IRLR 664 </b:Title>
    <b:RefOrder>33</b:RefOrder>
  </b:Source>
  <b:Source>
    <b:Tag>Pho</b:Tag>
    <b:SourceType>Case</b:SourceType>
    <b:Guid>{331CA032-6D7F-4D21-B03A-BD2F2700EEF0}</b:Guid>
    <b:Title>Phoenix House Ltd v Stockman (2016) IRLR 82.</b:Title>
    <b:RefOrder>34</b:RefOrder>
  </b:Source>
  <b:Source>
    <b:Tag>Loc</b:Tag>
    <b:SourceType>Case</b:SourceType>
    <b:Guid>{A2878043-BE50-484B-8964-87405E87242D}</b:Guid>
    <b:Title>Lock v Cardiff Railway Co. Ltd (1998) IRLR 358</b:Title>
    <b:RefOrder>35</b:RefOrder>
  </b:Source>
  <b:Source>
    <b:Tag>ACA18</b:Tag>
    <b:SourceType>Report</b:SourceType>
    <b:Guid>{53A94A6C-9B04-4C51-B61F-5E3246B98D5C}</b:Guid>
    <b:Title>Settlement Agreements Guide</b:Title>
    <b:Year>2018</b:Year>
    <b:Author>
      <b:Author>
        <b:Corporate>ACAS</b:Corporate>
      </b:Author>
    </b:Author>
    <b:Publisher>ACAS</b:Publisher>
    <b:RefOrder>36</b:RefOrder>
  </b:Source>
  <b:Source>
    <b:Tag>Tra</b:Tag>
    <b:SourceType>Case</b:SourceType>
    <b:Guid>{8018621D-EBDF-421F-ACB3-2C4550CFA8EB}</b:Guid>
    <b:Title>Trade Union and Labour Relations (Consolidation) Act 1992</b:Title>
    <b:RefOrder>37</b:RefOrder>
  </b:Source>
  <b:Source>
    <b:Tag>ACA14</b:Tag>
    <b:SourceType>Report</b:SourceType>
    <b:Guid>{B7F3B76B-30CD-4708-9792-A398ED226E43}</b:Guid>
    <b:Title>Code of Practice on handling in a reasonable manner requests to work flexibly</b:Title>
    <b:Year>2014</b:Year>
    <b:Author>
      <b:Author>
        <b:Corporate>ACAS</b:Corporate>
      </b:Author>
    </b:Author>
    <b:Publisher>ACAS</b:Publisher>
    <b:RefOrder>38</b:RefOrder>
  </b:Source>
  <b:Source>
    <b:Tag>Dat</b:Tag>
    <b:SourceType>Case</b:SourceType>
    <b:Guid>{C02C456D-830A-48B1-86F0-27F77D98B883}</b:Guid>
    <b:Title>Data Protection Act 2018</b:Title>
    <b:RefOrder>39</b:RefOrder>
  </b:Source>
  <b:Source>
    <b:Tag>ACA21</b:Tag>
    <b:SourceType>InternetSite</b:SourceType>
    <b:Guid>{0531DA2D-6ECD-694B-9579-7D253BAB7714}</b:Guid>
    <b:Author>
      <b:Author>
        <b:Corporate>ACAS</b:Corporate>
      </b:Author>
    </b:Author>
    <b:Title>Early conciliation</b:Title>
    <b:URL>https://www.acas.org.uk/early-conciliation/if-youre-being-taken-to-an-employment-tribunal</b:URL>
    <b:Year>2021a</b:Year>
    <b:YearAccessed>2021</b:YearAccessed>
    <b:MonthAccessed>April</b:MonthAccessed>
    <b:DayAccessed>23</b:DayAccessed>
    <b:RefOrder>40</b:RefOrder>
  </b:Source>
  <b:Source>
    <b:Tag>ACA213</b:Tag>
    <b:SourceType>InternetSite</b:SourceType>
    <b:Guid>{8C93E397-2388-4E42-9D92-E302880180E7}</b:Guid>
    <b:Author>
      <b:Author>
        <b:Corporate>ACAS</b:Corporate>
      </b:Author>
    </b:Author>
    <b:Title>Disciplinary procedure: step by step</b:Title>
    <b:URL>https://www.acas.org.uk/disciplinary-procedure-step-by-step/step-5-deciding-on-the-disciplinary-outcome</b:URL>
    <b:Year>2021b</b:Year>
    <b:YearAccessed>2021</b:YearAccessed>
    <b:MonthAccessed>April</b:MonthAccessed>
    <b:DayAccessed>23</b:DayAccessed>
    <b:RefOrder>41</b:RefOrder>
  </b:Source>
  <b:Source>
    <b:Tag>ACA212</b:Tag>
    <b:SourceType>InternetSite</b:SourceType>
    <b:Guid>{7E54AD49-FE4B-9A47-A6F1-02D880B63783}</b:Guid>
    <b:Author>
      <b:Author>
        <b:Corporate>ACAS</b:Corporate>
      </b:Author>
    </b:Author>
    <b:Title>Dismissals</b:Title>
    <b:URL>https://www.acas.org.uk/dismissals/notice-periods-and-pay</b:URL>
    <b:Year>2021c</b:Year>
    <b:YearAccessed>2021</b:YearAccessed>
    <b:MonthAccessed>April</b:MonthAccessed>
    <b:DayAccessed>23</b:DayAccessed>
    <b:RefOrder>42</b:RefOrder>
  </b:Source>
  <b:Source>
    <b:Tag>CIP21</b:Tag>
    <b:SourceType>InternetSite</b:SourceType>
    <b:Guid>{5609DEB0-93A3-E84F-B81F-C37CD3AFC4CF}</b:Guid>
    <b:Author>
      <b:Author>
        <b:Corporate>CIPD</b:Corporate>
      </b:Author>
    </b:Author>
    <b:Title>Statutory rates and compensation limits</b:Title>
    <b:Year>2021a</b:Year>
    <b:YearAccessed>2021</b:YearAccessed>
    <b:MonthAccessed>April</b:MonthAccessed>
    <b:DayAccessed>29</b:DayAccessed>
    <b:URL>https://www.cipd.co.uk/knowledge/fundamentals/emp-law/about/statutory-rates#gref</b:URL>
    <b:RefOrder>43</b:RefOrder>
  </b:Source>
  <b:Source xmlns:b="http://schemas.openxmlformats.org/officeDocument/2006/bibliography">
    <b:Tag>CIP211</b:Tag>
    <b:SourceType>InternetSite</b:SourceType>
    <b:Guid>{7EC53B5A-49AD-874D-A59F-EF618FD68DBD}</b:Guid>
    <b:Title>COVID-19: returning to the workplace</b:Title>
    <b:Year>2021b</b:Year>
    <b:Author>
      <b:Author>
        <b:Corporate>CIPD</b:Corporate>
      </b:Author>
    </b:Author>
    <b:YearAccessed>2021</b:YearAccessed>
    <b:MonthAccessed>April</b:MonthAccessed>
    <b:DayAccessed>30</b:DayAccessed>
    <b:URL>https://www.cipd.co.uk/knowledge/fundamentals/emp-law/employees/workplace-guide-returning-after-coronavirus#gref</b:URL>
    <b:RefOrder>44</b:RefOrder>
  </b:Source>
  <b:Source>
    <b:Tag>Cit21</b:Tag>
    <b:SourceType>InternetSite</b:SourceType>
    <b:Guid>{C1739CE6-7B4E-694A-B0D1-F9B5B93419AF}</b:Guid>
    <b:Author>
      <b:Author>
        <b:Corporate>Citizens Advice</b:Corporate>
      </b:Author>
    </b:Author>
    <b:Title>Employer's response to an employment tribunal claim</b:Title>
    <b:Year>2021a</b:Year>
    <b:YearAccessed>2021</b:YearAccessed>
    <b:MonthAccessed>April</b:MonthAccessed>
    <b:DayAccessed>09</b:DayAccessed>
    <b:URL>https://www.citizensadvice.org.uk/work/problems-at-work/employment-tribunals/employer-s-response-to-an-employment-tribunal-claim/</b:URL>
    <b:RefOrder>45</b:RefOrder>
  </b:Source>
  <b:Source>
    <b:Tag>Cit211</b:Tag>
    <b:SourceType>InternetSite</b:SourceType>
    <b:Guid>{B6DADA6B-BEBB-B142-AFD3-FF155A69650C}</b:Guid>
    <b:Author>
      <b:Author>
        <b:Corporate>Citizens Advice</b:Corporate>
      </b:Author>
    </b:Author>
    <b:Title>Employment tribunals - legal tests for unfair dismissal claims - misconduct</b:Title>
    <b:URL>https://www.citizensadvice.org.uk/work/problems-at-work/employment-tribunals-from-29-july-2013/making-an-employment-tribunal-claim-is-it-worth-it/employment-tribunals-unfair-dismissal-claims/legal-tests/employment-tribunals-legal-tests-for-unfair-dismissa</b:URL>
    <b:Year>2021b</b:Year>
    <b:YearAccessed>2021</b:YearAccessed>
    <b:MonthAccessed>April</b:MonthAccessed>
    <b:DayAccessed>23</b:DayAccessed>
    <b:RefOrder>46</b:RefOrder>
  </b:Source>
  <b:Source>
    <b:Tag>Cit2112</b:Tag>
    <b:SourceType>InternetSite</b:SourceType>
    <b:Guid>{367723FD-78B4-5C4C-BE0F-A9951D3871DE}</b:Guid>
    <b:Author>
      <b:Author>
        <b:Corporate>Citizens Advice</b:Corporate>
      </b:Author>
    </b:Author>
    <b:Title>Employment tribunals - how to work out your basic award if you are claiming unfair dismissal</b:Title>
    <b:Year>2021c</b:Year>
    <b:YearAccessed>2021</b:YearAccessed>
    <b:MonthAccessed>April</b:MonthAccessed>
    <b:DayAccessed>29</b:DayAccessed>
    <b:URL>https://www.citizensadvice.org.uk/work/problems-at-work/employment-tribunals-from-29-july-2013/employment-tribunals-valuing-a-claim/employment-tribunals-how-to-work-out-your-basic-award-if-you-are-claiming-unfair-dismissal/</b:URL>
    <b:RefOrder>47</b:RefOrder>
  </b:Source>
  <b:Source>
    <b:Tag>Cit212</b:Tag>
    <b:SourceType>InternetSite</b:SourceType>
    <b:Guid>{5CF6915D-6971-DB4A-8610-DA2683D733A8}</b:Guid>
    <b:Title>Your notice period during dismissal</b:Title>
    <b:Year>2021d</b:Year>
    <b:Author>
      <b:Author>
        <b:Corporate>Citizens Advice</b:Corporate>
      </b:Author>
    </b:Author>
    <b:URL>https://www.citizensadvice.org.uk/work/leaving-a-job/dismissal/your-notice-period-during-dismissal/</b:URL>
    <b:YearAccessed>2021</b:YearAccessed>
    <b:MonthAccessed>April</b:MonthAccessed>
    <b:DayAccessed>24</b:DayAccessed>
    <b:RefOrder>48</b:RefOrder>
  </b:Source>
  <b:Source>
    <b:Tag>Gov21</b:Tag>
    <b:SourceType>InternetSite</b:SourceType>
    <b:Guid>{BF7E0130-D676-7345-BF32-BA71D8472321}</b:Guid>
    <b:Author>
      <b:Author>
        <b:Corporate>Gov.uk</b:Corporate>
      </b:Author>
    </b:Author>
    <b:Title>Being taken to an employment tribunal</b:Title>
    <b:Year>2021a</b:Year>
    <b:URL>https://www.gov.uk/being-taken-to-employment-tribunal-by-employee</b:URL>
    <b:YearAccessed>2021</b:YearAccessed>
    <b:MonthAccessed>April</b:MonthAccessed>
    <b:DayAccessed>06</b:DayAccessed>
    <b:RefOrder>49</b:RefOrder>
  </b:Source>
  <b:Source>
    <b:Tag>The21</b:Tag>
    <b:SourceType>Report</b:SourceType>
    <b:Guid>{1A562D36-22B8-4E4E-9391-8C3B3AF2B808}</b:Guid>
    <b:Title>FAQs arising from the Covid-19 pandemic</b:Title>
    <b:Year>2021</b:Year>
    <b:Author>
      <b:Author>
        <b:Corporate>The Employment Tribunals in England and Wales and in Scotland</b:Corporate>
      </b:Author>
    </b:Author>
    <b:Publisher>The Employment Tribunals in England and Wales and in Scotland</b:Publisher>
    <b:RefOrder>50</b:RefOrder>
  </b:Source>
  <b:Source>
    <b:Tag>Gov212</b:Tag>
    <b:SourceType>InternetSite</b:SourceType>
    <b:Guid>{A74037C0-A007-E647-865C-B56A6F364031}</b:Guid>
    <b:Title>Dismissing Staff</b:Title>
    <b:Year>2021b</b:Year>
    <b:Author>
      <b:Author>
        <b:Corporate>Gov.uk</b:Corporate>
      </b:Author>
    </b:Author>
    <b:YearAccessed>2021</b:YearAccessed>
    <b:MonthAccessed>April</b:MonthAccessed>
    <b:DayAccessed>09</b:DayAccessed>
    <b:URL>https://www.gov.uk/dismiss-staff/fair-dismissals</b:URL>
    <b:RefOrder>51</b:RefOrder>
  </b:Source>
  <b:Source>
    <b:Tag>Gov211</b:Tag>
    <b:SourceType>InternetSite</b:SourceType>
    <b:Guid>{CBC0BA32-786B-B641-965C-AF349D99A498}</b:Guid>
    <b:Title>Make a claim to an employment tribunal</b:Title>
    <b:Year>2021c</b:Year>
    <b:YearAccessed>2021</b:YearAccessed>
    <b:MonthAccessed>April</b:MonthAccessed>
    <b:DayAccessed>09</b:DayAccessed>
    <b:URL>https://www.gov.uk/employment-tribunals/after-you-make-a-claim</b:URL>
    <b:Author>
      <b:Author>
        <b:Corporate>Gov.uk</b:Corporate>
      </b:Author>
    </b:Author>
    <b:RefOrder>52</b:RefOrder>
  </b:Source>
  <b:Source>
    <b:Tag>Gov217</b:Tag>
    <b:SourceType>InternetSite</b:SourceType>
    <b:Guid>{9C564E80-AA76-A342-A4ED-EDB7965154AE}</b:Guid>
    <b:Author>
      <b:Author>
        <b:Corporate>Gov.uk</b:Corporate>
      </b:Author>
    </b:Author>
    <b:Title>Working safely during coronavirus (COVID-19)</b:Title>
    <b:Year>2021d</b:Year>
    <b:YearAccessed>2021</b:YearAccessed>
    <b:MonthAccessed>April</b:MonthAccessed>
    <b:DayAccessed>30</b:DayAccessed>
    <b:URL>https://www.gov.uk/guidance/working-safely-during-coronavirus-covid-19</b:URL>
    <b:RefOrder>53</b:RefOrder>
  </b:Source>
  <b:Source>
    <b:Tag>ICO21</b:Tag>
    <b:SourceType>InternetSite</b:SourceType>
    <b:Guid>{01D01920-BAEC-4393-9B0D-A065FA77EF10}</b:Guid>
    <b:Title>Penalties</b:Title>
    <b:Year>2021</b:Year>
    <b:Author>
      <b:Author>
        <b:Corporate>ICO</b:Corporate>
      </b:Author>
    </b:Author>
    <b:URL>https://ico.org.uk/for-organisations/guide-to-data-protection/guide-to-law-enforcement-processing/penalties/</b:URL>
    <b:YearAccessed>2021</b:YearAccessed>
    <b:MonthAccessed>June</b:MonthAccessed>
    <b:DayAccessed>22</b:DayAccessed>
    <b:RefOrder>1</b:RefOrder>
  </b:Source>
</b:Sources>
</file>

<file path=customXml/itemProps1.xml><?xml version="1.0" encoding="utf-8"?>
<ds:datastoreItem xmlns:ds="http://schemas.openxmlformats.org/officeDocument/2006/customXml" ds:itemID="{810CAF15-FD52-4389-A3A4-911360932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24</Pages>
  <Words>5563</Words>
  <Characters>31710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james</dc:creator>
  <cp:keywords/>
  <dc:description/>
  <cp:lastModifiedBy>Dayna James</cp:lastModifiedBy>
  <cp:revision>48</cp:revision>
  <dcterms:created xsi:type="dcterms:W3CDTF">2021-06-15T17:21:00Z</dcterms:created>
  <dcterms:modified xsi:type="dcterms:W3CDTF">2021-07-19T16:40:00Z</dcterms:modified>
</cp:coreProperties>
</file>