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9345F" w:rsidRPr="00153F7C" w:rsidRDefault="0009345F" w:rsidP="0009345F">
      <w:pPr>
        <w:pStyle w:val="BasicParagraph"/>
        <w:suppressAutoHyphens/>
        <w:spacing w:line="240" w:lineRule="auto"/>
        <w:ind w:left="723" w:right="-82" w:hangingChars="300" w:hanging="723"/>
        <w:jc w:val="both"/>
        <w:rPr>
          <w:b/>
          <w:color w:val="000000" w:themeColor="text1"/>
        </w:rPr>
      </w:pPr>
      <w:r w:rsidRPr="00153F7C">
        <w:rPr>
          <w:b/>
          <w:color w:val="000000" w:themeColor="text1"/>
        </w:rPr>
        <w:t>Graveyards and graveyard survey</w:t>
      </w:r>
    </w:p>
    <w:p w:rsidR="00067DDB" w:rsidRPr="00153F7C" w:rsidRDefault="00067DDB" w:rsidP="0009345F">
      <w:pPr>
        <w:pStyle w:val="BasicParagraph"/>
        <w:suppressAutoHyphens/>
        <w:spacing w:line="240" w:lineRule="auto"/>
        <w:ind w:left="723" w:right="-82" w:hangingChars="300" w:hanging="723"/>
        <w:jc w:val="both"/>
        <w:rPr>
          <w:b/>
          <w:color w:val="000000" w:themeColor="text1"/>
        </w:rPr>
      </w:pPr>
    </w:p>
    <w:p w:rsidR="00067DDB" w:rsidRPr="00153F7C" w:rsidRDefault="00067DDB" w:rsidP="0009345F">
      <w:pPr>
        <w:pStyle w:val="BasicParagraph"/>
        <w:suppressAutoHyphens/>
        <w:spacing w:line="240" w:lineRule="auto"/>
        <w:ind w:left="723" w:right="-82" w:hangingChars="300" w:hanging="723"/>
        <w:jc w:val="both"/>
        <w:rPr>
          <w:b/>
          <w:color w:val="000000" w:themeColor="text1"/>
        </w:rPr>
      </w:pPr>
    </w:p>
    <w:p w:rsidR="0009345F" w:rsidRPr="00153F7C" w:rsidRDefault="0009345F" w:rsidP="0009345F">
      <w:pPr>
        <w:pStyle w:val="BasicParagraph"/>
        <w:suppressAutoHyphens/>
        <w:spacing w:line="240" w:lineRule="auto"/>
        <w:ind w:left="720" w:right="-79" w:hanging="720"/>
        <w:jc w:val="both"/>
        <w:rPr>
          <w:color w:val="000000" w:themeColor="text1"/>
        </w:rPr>
      </w:pPr>
      <w:r w:rsidRPr="00153F7C">
        <w:rPr>
          <w:color w:val="000000" w:themeColor="text1"/>
        </w:rPr>
        <w:t xml:space="preserve">Davies, D.J. 2005. </w:t>
      </w:r>
      <w:r w:rsidRPr="0092270A">
        <w:rPr>
          <w:i/>
          <w:color w:val="000000" w:themeColor="text1"/>
        </w:rPr>
        <w:t>A brief history of death</w:t>
      </w:r>
      <w:r w:rsidRPr="00153F7C">
        <w:rPr>
          <w:color w:val="000000" w:themeColor="text1"/>
        </w:rPr>
        <w:t>. Malden, MA: Blackwell.</w:t>
      </w:r>
    </w:p>
    <w:p w:rsidR="0009345F" w:rsidRPr="00153F7C" w:rsidRDefault="0009345F" w:rsidP="0009345F">
      <w:pPr>
        <w:pStyle w:val="BasicParagraph"/>
        <w:suppressAutoHyphens/>
        <w:spacing w:line="240" w:lineRule="auto"/>
        <w:ind w:left="720" w:right="-79" w:hanging="720"/>
        <w:jc w:val="both"/>
        <w:rPr>
          <w:color w:val="000000" w:themeColor="text1"/>
        </w:rPr>
      </w:pPr>
    </w:p>
    <w:p w:rsidR="0009345F" w:rsidRPr="00153F7C" w:rsidRDefault="0009345F" w:rsidP="0009345F">
      <w:pPr>
        <w:pStyle w:val="BasicParagraph"/>
        <w:suppressAutoHyphens/>
        <w:spacing w:line="240" w:lineRule="auto"/>
        <w:ind w:left="720" w:right="-79" w:hanging="720"/>
        <w:jc w:val="both"/>
        <w:rPr>
          <w:color w:val="000000" w:themeColor="text1"/>
        </w:rPr>
      </w:pPr>
      <w:proofErr w:type="spellStart"/>
      <w:r w:rsidRPr="00153F7C">
        <w:rPr>
          <w:color w:val="000000" w:themeColor="text1"/>
        </w:rPr>
        <w:t>Deetz</w:t>
      </w:r>
      <w:proofErr w:type="spellEnd"/>
      <w:r w:rsidRPr="00153F7C">
        <w:rPr>
          <w:color w:val="000000" w:themeColor="text1"/>
        </w:rPr>
        <w:t xml:space="preserve">, J. 1977. </w:t>
      </w:r>
      <w:r w:rsidRPr="0092270A">
        <w:rPr>
          <w:i/>
          <w:color w:val="000000" w:themeColor="text1"/>
        </w:rPr>
        <w:t>In Small Things Forgotten: the archaeology of early American life</w:t>
      </w:r>
      <w:r w:rsidRPr="00153F7C">
        <w:rPr>
          <w:color w:val="000000" w:themeColor="text1"/>
        </w:rPr>
        <w:t>. Garden City, N.J.: Anchor Press/Doubleday.</w:t>
      </w:r>
    </w:p>
    <w:p w:rsidR="0009345F" w:rsidRPr="00153F7C" w:rsidRDefault="0009345F" w:rsidP="0009345F">
      <w:pPr>
        <w:pStyle w:val="BasicParagraph"/>
        <w:suppressAutoHyphens/>
        <w:spacing w:line="240" w:lineRule="auto"/>
        <w:ind w:left="720" w:right="-79" w:hanging="720"/>
        <w:jc w:val="both"/>
        <w:rPr>
          <w:color w:val="000000" w:themeColor="text1"/>
        </w:rPr>
      </w:pPr>
    </w:p>
    <w:p w:rsidR="003D265D" w:rsidRPr="00153F7C" w:rsidRDefault="0009345F" w:rsidP="003D265D">
      <w:pPr>
        <w:pStyle w:val="BasicParagraph"/>
        <w:suppressAutoHyphens/>
        <w:spacing w:line="240" w:lineRule="auto"/>
        <w:ind w:left="720" w:right="-79" w:hanging="720"/>
        <w:jc w:val="both"/>
        <w:rPr>
          <w:color w:val="000000" w:themeColor="text1"/>
        </w:rPr>
      </w:pPr>
      <w:r w:rsidRPr="00153F7C">
        <w:rPr>
          <w:color w:val="000000" w:themeColor="text1"/>
        </w:rPr>
        <w:t xml:space="preserve">Jones, J.A. 1979. </w:t>
      </w:r>
      <w:r w:rsidRPr="0092270A">
        <w:rPr>
          <w:i/>
          <w:color w:val="000000" w:themeColor="text1"/>
        </w:rPr>
        <w:t xml:space="preserve">How to </w:t>
      </w:r>
      <w:r w:rsidR="00067DDB" w:rsidRPr="0092270A">
        <w:rPr>
          <w:i/>
          <w:color w:val="000000" w:themeColor="text1"/>
        </w:rPr>
        <w:t xml:space="preserve">record </w:t>
      </w:r>
      <w:r w:rsidRPr="0092270A">
        <w:rPr>
          <w:i/>
          <w:color w:val="000000" w:themeColor="text1"/>
        </w:rPr>
        <w:t>graveyards</w:t>
      </w:r>
      <w:r w:rsidRPr="00153F7C">
        <w:rPr>
          <w:color w:val="000000" w:themeColor="text1"/>
        </w:rPr>
        <w:t>. London: Council for British Archaeology.</w:t>
      </w:r>
    </w:p>
    <w:p w:rsidR="00067DDB" w:rsidRPr="00153F7C" w:rsidRDefault="00067DDB" w:rsidP="0009345F">
      <w:pPr>
        <w:pStyle w:val="BasicParagraph"/>
        <w:suppressAutoHyphens/>
        <w:spacing w:line="240" w:lineRule="auto"/>
        <w:ind w:left="720" w:right="-79" w:hanging="720"/>
        <w:jc w:val="both"/>
        <w:rPr>
          <w:color w:val="000000" w:themeColor="text1"/>
        </w:rPr>
      </w:pPr>
    </w:p>
    <w:p w:rsidR="00067DDB" w:rsidRPr="00153F7C" w:rsidRDefault="00067DDB" w:rsidP="00067DDB">
      <w:pPr>
        <w:pStyle w:val="BasicParagraph"/>
        <w:suppressAutoHyphens/>
        <w:spacing w:line="240" w:lineRule="auto"/>
        <w:ind w:left="720" w:right="-79" w:hanging="720"/>
        <w:jc w:val="both"/>
        <w:rPr>
          <w:color w:val="000000" w:themeColor="text1"/>
        </w:rPr>
      </w:pPr>
      <w:proofErr w:type="spellStart"/>
      <w:r w:rsidRPr="00153F7C">
        <w:rPr>
          <w:color w:val="000000" w:themeColor="text1"/>
        </w:rPr>
        <w:t>Mytum</w:t>
      </w:r>
      <w:proofErr w:type="spellEnd"/>
      <w:r w:rsidRPr="00153F7C">
        <w:rPr>
          <w:color w:val="000000" w:themeColor="text1"/>
        </w:rPr>
        <w:t xml:space="preserve">, H.C. 2000. </w:t>
      </w:r>
      <w:hyperlink r:id="rId5" w:history="1">
        <w:r w:rsidRPr="00153F7C">
          <w:rPr>
            <w:bCs/>
            <w:i/>
            <w:color w:val="000000" w:themeColor="text1"/>
          </w:rPr>
          <w:t>Recording and analysing graveyards</w:t>
        </w:r>
      </w:hyperlink>
      <w:r w:rsidRPr="00153F7C">
        <w:rPr>
          <w:color w:val="000000" w:themeColor="text1"/>
        </w:rPr>
        <w:t xml:space="preserve">. York: </w:t>
      </w:r>
      <w:r w:rsidRPr="00067DDB">
        <w:rPr>
          <w:color w:val="000000" w:themeColor="text1"/>
        </w:rPr>
        <w:t>C</w:t>
      </w:r>
      <w:r w:rsidRPr="00153F7C">
        <w:rPr>
          <w:color w:val="000000" w:themeColor="text1"/>
        </w:rPr>
        <w:t>ouncil for British Archaeology.</w:t>
      </w:r>
      <w:r w:rsidRPr="00067DDB">
        <w:rPr>
          <w:color w:val="000000" w:themeColor="text1"/>
        </w:rPr>
        <w:t xml:space="preserve"> English Heritage.</w:t>
      </w:r>
      <w:r w:rsidR="00153F7C" w:rsidRPr="00153F7C">
        <w:rPr>
          <w:color w:val="000000" w:themeColor="text1"/>
        </w:rPr>
        <w:t xml:space="preserve"> </w:t>
      </w:r>
      <w:r w:rsidR="00153F7C" w:rsidRPr="00153F7C">
        <w:rPr>
          <w:color w:val="000000" w:themeColor="text1"/>
        </w:rPr>
        <w:t>(on Moodle)</w:t>
      </w:r>
    </w:p>
    <w:p w:rsidR="00153F7C" w:rsidRPr="00153F7C" w:rsidRDefault="00153F7C" w:rsidP="00153F7C">
      <w:pPr>
        <w:pStyle w:val="Default"/>
        <w:rPr>
          <w:rFonts w:ascii="Times New Roman" w:hAnsi="Times New Roman" w:cs="Times New Roman"/>
          <w:color w:val="000000" w:themeColor="text1"/>
        </w:rPr>
      </w:pPr>
    </w:p>
    <w:p w:rsidR="003D265D" w:rsidRPr="00153F7C" w:rsidRDefault="00153F7C" w:rsidP="00153F7C">
      <w:pPr>
        <w:pStyle w:val="BasicParagraph"/>
        <w:suppressAutoHyphens/>
        <w:spacing w:line="240" w:lineRule="auto"/>
        <w:ind w:left="720" w:right="-79" w:hanging="720"/>
        <w:jc w:val="both"/>
        <w:rPr>
          <w:color w:val="000000" w:themeColor="text1"/>
        </w:rPr>
      </w:pPr>
      <w:proofErr w:type="spellStart"/>
      <w:r w:rsidRPr="00153F7C">
        <w:rPr>
          <w:color w:val="000000" w:themeColor="text1"/>
        </w:rPr>
        <w:t>Mytum</w:t>
      </w:r>
      <w:proofErr w:type="spellEnd"/>
      <w:r w:rsidRPr="00153F7C">
        <w:rPr>
          <w:color w:val="000000" w:themeColor="text1"/>
        </w:rPr>
        <w:t xml:space="preserve">, H.C. 1989. </w:t>
      </w:r>
      <w:r w:rsidRPr="00153F7C">
        <w:rPr>
          <w:color w:val="000000" w:themeColor="text1"/>
        </w:rPr>
        <w:t>Public Health and Private Sentiment: The Development of Cemetery Architecture and</w:t>
      </w:r>
      <w:r w:rsidRPr="00153F7C">
        <w:rPr>
          <w:color w:val="000000" w:themeColor="text1"/>
        </w:rPr>
        <w:t xml:space="preserve"> </w:t>
      </w:r>
      <w:r w:rsidRPr="00153F7C">
        <w:rPr>
          <w:color w:val="000000" w:themeColor="text1"/>
        </w:rPr>
        <w:t>Funerary Monuments fro</w:t>
      </w:r>
      <w:r w:rsidRPr="00153F7C">
        <w:rPr>
          <w:color w:val="000000" w:themeColor="text1"/>
        </w:rPr>
        <w:t xml:space="preserve">m the Eighteenth Century Onward. </w:t>
      </w:r>
      <w:r w:rsidRPr="00153F7C">
        <w:rPr>
          <w:i/>
          <w:color w:val="000000" w:themeColor="text1"/>
        </w:rPr>
        <w:t>World Archaeology</w:t>
      </w:r>
      <w:r w:rsidRPr="00153F7C">
        <w:rPr>
          <w:color w:val="000000" w:themeColor="text1"/>
        </w:rPr>
        <w:t>, Vol. 21, No. 2, The Archaeology of Public</w:t>
      </w:r>
      <w:r w:rsidRPr="00153F7C">
        <w:rPr>
          <w:color w:val="000000" w:themeColor="text1"/>
        </w:rPr>
        <w:t xml:space="preserve"> Health</w:t>
      </w:r>
      <w:r w:rsidRPr="00153F7C">
        <w:rPr>
          <w:color w:val="000000" w:themeColor="text1"/>
        </w:rPr>
        <w:t>, pp.283-297</w:t>
      </w:r>
      <w:r w:rsidRPr="00153F7C">
        <w:rPr>
          <w:color w:val="000000" w:themeColor="text1"/>
        </w:rPr>
        <w:t xml:space="preserve">. </w:t>
      </w:r>
      <w:r w:rsidRPr="00153F7C">
        <w:rPr>
          <w:color w:val="000000" w:themeColor="text1"/>
        </w:rPr>
        <w:t>(on Moodle)</w:t>
      </w:r>
    </w:p>
    <w:p w:rsidR="00153F7C" w:rsidRPr="00153F7C" w:rsidRDefault="00153F7C" w:rsidP="00153F7C">
      <w:pPr>
        <w:pStyle w:val="Default"/>
        <w:rPr>
          <w:rFonts w:ascii="Times New Roman" w:hAnsi="Times New Roman" w:cs="Times New Roman"/>
          <w:color w:val="000000" w:themeColor="text1"/>
        </w:rPr>
      </w:pPr>
    </w:p>
    <w:p w:rsidR="00153F7C" w:rsidRPr="00153F7C" w:rsidRDefault="00153F7C" w:rsidP="00153F7C">
      <w:pPr>
        <w:pStyle w:val="BasicParagraph"/>
        <w:suppressAutoHyphens/>
        <w:spacing w:line="240" w:lineRule="auto"/>
        <w:ind w:left="720" w:right="-79" w:hanging="720"/>
        <w:jc w:val="both"/>
        <w:rPr>
          <w:color w:val="000000" w:themeColor="text1"/>
        </w:rPr>
      </w:pPr>
      <w:r w:rsidRPr="00153F7C">
        <w:rPr>
          <w:color w:val="000000" w:themeColor="text1"/>
        </w:rPr>
        <w:t xml:space="preserve"> </w:t>
      </w:r>
      <w:proofErr w:type="spellStart"/>
      <w:r w:rsidRPr="00153F7C">
        <w:rPr>
          <w:color w:val="000000" w:themeColor="text1"/>
        </w:rPr>
        <w:t>Mytum</w:t>
      </w:r>
      <w:proofErr w:type="spellEnd"/>
      <w:r w:rsidRPr="00153F7C">
        <w:rPr>
          <w:color w:val="000000" w:themeColor="text1"/>
        </w:rPr>
        <w:t xml:space="preserve">, H. 1994. </w:t>
      </w:r>
      <w:r w:rsidRPr="00153F7C">
        <w:rPr>
          <w:color w:val="000000" w:themeColor="text1"/>
        </w:rPr>
        <w:t>Language as Symbol in Churchyard Monuments: The Use of Welsh in Nineteenth- and</w:t>
      </w:r>
      <w:r w:rsidRPr="00153F7C">
        <w:rPr>
          <w:color w:val="000000" w:themeColor="text1"/>
        </w:rPr>
        <w:t xml:space="preserve"> </w:t>
      </w:r>
      <w:r w:rsidRPr="00153F7C">
        <w:rPr>
          <w:color w:val="000000" w:themeColor="text1"/>
        </w:rPr>
        <w:t>Twentieth-Century Pembrokeshire</w:t>
      </w:r>
      <w:r w:rsidRPr="00153F7C">
        <w:rPr>
          <w:color w:val="000000" w:themeColor="text1"/>
        </w:rPr>
        <w:t xml:space="preserve">. </w:t>
      </w:r>
      <w:r w:rsidRPr="00153F7C">
        <w:rPr>
          <w:color w:val="000000" w:themeColor="text1"/>
        </w:rPr>
        <w:t>World Archaeology, Vol. 26, No.</w:t>
      </w:r>
      <w:r w:rsidRPr="00153F7C">
        <w:rPr>
          <w:color w:val="000000" w:themeColor="text1"/>
        </w:rPr>
        <w:t xml:space="preserve"> 2, Communication and Language, pp. 252-267. </w:t>
      </w:r>
      <w:r w:rsidRPr="00153F7C">
        <w:rPr>
          <w:color w:val="000000" w:themeColor="text1"/>
        </w:rPr>
        <w:t>(on Moodle)</w:t>
      </w:r>
    </w:p>
    <w:p w:rsidR="00153F7C" w:rsidRPr="00067DDB" w:rsidRDefault="00153F7C" w:rsidP="00153F7C">
      <w:pPr>
        <w:pStyle w:val="BasicParagraph"/>
        <w:suppressAutoHyphens/>
        <w:spacing w:line="240" w:lineRule="auto"/>
        <w:ind w:left="720" w:right="-79" w:hanging="720"/>
        <w:jc w:val="both"/>
        <w:rPr>
          <w:color w:val="000000" w:themeColor="text1"/>
        </w:rPr>
      </w:pPr>
    </w:p>
    <w:p w:rsidR="00153F7C" w:rsidRPr="00153F7C" w:rsidRDefault="003D265D" w:rsidP="003D265D">
      <w:pPr>
        <w:ind w:left="720" w:hanging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153F7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Mytum</w:t>
      </w:r>
      <w:proofErr w:type="spellEnd"/>
      <w:r w:rsidRPr="00153F7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H, Dunk, J. and </w:t>
      </w:r>
      <w:proofErr w:type="spellStart"/>
      <w:r w:rsidRPr="00153F7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Rugg</w:t>
      </w:r>
      <w:proofErr w:type="spellEnd"/>
      <w:r w:rsidRPr="00153F7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J. 1994. Closed urban churchyards in England and Wales: some survey results. </w:t>
      </w:r>
      <w:r w:rsidR="00153F7C" w:rsidRPr="00153F7C">
        <w:rPr>
          <w:rFonts w:ascii="Times New Roman" w:hAnsi="Times New Roman" w:cs="Times New Roman"/>
          <w:color w:val="000000" w:themeColor="text1"/>
          <w:sz w:val="24"/>
          <w:szCs w:val="24"/>
        </w:rPr>
        <w:t>(on Moodle)</w:t>
      </w:r>
    </w:p>
    <w:p w:rsidR="00153F7C" w:rsidRPr="00153F7C" w:rsidRDefault="00153F7C" w:rsidP="003D265D">
      <w:pPr>
        <w:ind w:left="720" w:hanging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:rsidR="00067DDB" w:rsidRDefault="00153F7C" w:rsidP="00153F7C">
      <w:pPr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153F7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Mytum</w:t>
      </w:r>
      <w:proofErr w:type="spellEnd"/>
      <w:r w:rsidRPr="00153F7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H. 2006. </w:t>
      </w:r>
      <w:r w:rsidRPr="00153F7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Popular attitudes to memory, the body, and social </w:t>
      </w:r>
      <w:r w:rsidRPr="00153F7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identity: the rise of external commemoration in Britain, Ireland and New England. </w:t>
      </w:r>
      <w:r w:rsidRPr="00153F7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Post-Medieval Archaeology </w:t>
      </w:r>
      <w:r w:rsidRPr="00153F7C">
        <w:rPr>
          <w:rFonts w:ascii="Times New Roman" w:eastAsia="Times New Roman" w:hAnsi="Times New Roman" w:cs="Times New Roman"/>
          <w:iCs/>
          <w:color w:val="000000" w:themeColor="text1"/>
          <w:sz w:val="24"/>
          <w:szCs w:val="24"/>
          <w:lang w:eastAsia="en-GB"/>
        </w:rPr>
        <w:t>Vol.</w:t>
      </w:r>
      <w:r w:rsidRPr="00153F7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 </w:t>
      </w:r>
      <w:r w:rsidRPr="00153F7C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lang w:eastAsia="en-GB"/>
        </w:rPr>
        <w:t>40, No.1,</w:t>
      </w:r>
      <w:r w:rsidRPr="00153F7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96–110. </w:t>
      </w:r>
      <w:r w:rsidRPr="00153F7C">
        <w:rPr>
          <w:rFonts w:ascii="Times New Roman" w:hAnsi="Times New Roman" w:cs="Times New Roman"/>
          <w:color w:val="000000" w:themeColor="text1"/>
          <w:sz w:val="24"/>
          <w:szCs w:val="24"/>
        </w:rPr>
        <w:t>(on Moodle)</w:t>
      </w:r>
    </w:p>
    <w:p w:rsidR="00153F7C" w:rsidRPr="00153F7C" w:rsidRDefault="00153F7C" w:rsidP="00153F7C">
      <w:pPr>
        <w:ind w:left="720" w:hanging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:rsidR="00153F7C" w:rsidRDefault="00153F7C" w:rsidP="00153F7C">
      <w:pPr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53F7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Parker-Pearson, M. 1982 Mortuary practices, society and ideology: an </w:t>
      </w:r>
      <w:proofErr w:type="spellStart"/>
      <w:r w:rsidRPr="00153F7C">
        <w:rPr>
          <w:rFonts w:ascii="Times New Roman" w:hAnsi="Times New Roman" w:cs="Times New Roman"/>
          <w:color w:val="000000" w:themeColor="text1"/>
          <w:sz w:val="24"/>
          <w:szCs w:val="24"/>
        </w:rPr>
        <w:t>ethnoarchaeological</w:t>
      </w:r>
      <w:proofErr w:type="spellEnd"/>
      <w:r w:rsidRPr="00153F7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study. In I. Hodder, </w:t>
      </w:r>
      <w:r w:rsidRPr="00153F7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Symbolic and Structural Archaeology</w:t>
      </w:r>
      <w:r w:rsidRPr="00153F7C">
        <w:rPr>
          <w:rFonts w:ascii="Times New Roman" w:hAnsi="Times New Roman" w:cs="Times New Roman"/>
          <w:color w:val="000000" w:themeColor="text1"/>
          <w:sz w:val="24"/>
          <w:szCs w:val="24"/>
        </w:rPr>
        <w:t>. Cambridge University Press. (on Moodle)</w:t>
      </w:r>
    </w:p>
    <w:p w:rsidR="0092270A" w:rsidRDefault="0092270A" w:rsidP="00153F7C">
      <w:pPr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92270A" w:rsidRDefault="0092270A" w:rsidP="00153F7C">
      <w:pPr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Simpson, M. 2012. </w:t>
      </w:r>
      <w:r w:rsidRPr="0092270A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Graveyard Survey - The 'Lost Art' of Fieldwork?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 </w:t>
      </w:r>
      <w:r w:rsidRPr="0092270A">
        <w:rPr>
          <w:rFonts w:ascii="Times New Roman" w:hAnsi="Times New Roman" w:cs="Times New Roman"/>
          <w:i/>
          <w:color w:val="000000" w:themeColor="text1"/>
          <w:sz w:val="24"/>
          <w:szCs w:val="24"/>
          <w:lang w:val="en"/>
        </w:rPr>
        <w:t>The Post Hole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, issue 20. Available online at </w:t>
      </w:r>
      <w:r w:rsidRPr="0092270A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http://www.theposthole.org/read/article/136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.</w:t>
      </w:r>
      <w:bookmarkStart w:id="0" w:name="_GoBack"/>
      <w:bookmarkEnd w:id="0"/>
    </w:p>
    <w:p w:rsidR="00153F7C" w:rsidRPr="00153F7C" w:rsidRDefault="00153F7C" w:rsidP="00153F7C">
      <w:pPr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067DDB" w:rsidRDefault="00067DDB" w:rsidP="003D265D">
      <w:pPr>
        <w:ind w:left="720" w:hanging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153F7C">
        <w:rPr>
          <w:rFonts w:ascii="Times New Roman" w:hAnsi="Times New Roman" w:cs="Times New Roman"/>
          <w:color w:val="000000" w:themeColor="text1"/>
          <w:sz w:val="24"/>
          <w:szCs w:val="24"/>
        </w:rPr>
        <w:t>Stirland</w:t>
      </w:r>
      <w:proofErr w:type="spellEnd"/>
      <w:r w:rsidRPr="00153F7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A. 2009. </w:t>
      </w:r>
      <w:hyperlink r:id="rId6" w:history="1">
        <w:r w:rsidRPr="00153F7C">
          <w:rPr>
            <w:rFonts w:ascii="Times New Roman" w:eastAsia="Times New Roman" w:hAnsi="Times New Roman" w:cs="Times New Roman"/>
            <w:bCs/>
            <w:i/>
            <w:color w:val="000000" w:themeColor="text1"/>
            <w:sz w:val="24"/>
            <w:szCs w:val="24"/>
            <w:lang w:eastAsia="en-GB"/>
          </w:rPr>
          <w:t xml:space="preserve">Criminals and paupers : the graveyard of St. Margaret </w:t>
        </w:r>
        <w:proofErr w:type="spellStart"/>
        <w:r w:rsidRPr="00153F7C">
          <w:rPr>
            <w:rFonts w:ascii="Times New Roman" w:eastAsia="Times New Roman" w:hAnsi="Times New Roman" w:cs="Times New Roman"/>
            <w:bCs/>
            <w:i/>
            <w:color w:val="000000" w:themeColor="text1"/>
            <w:sz w:val="24"/>
            <w:szCs w:val="24"/>
            <w:lang w:eastAsia="en-GB"/>
          </w:rPr>
          <w:t>Fyebriggate</w:t>
        </w:r>
        <w:proofErr w:type="spellEnd"/>
        <w:r w:rsidRPr="00153F7C">
          <w:rPr>
            <w:rFonts w:ascii="Times New Roman" w:eastAsia="Times New Roman" w:hAnsi="Times New Roman" w:cs="Times New Roman"/>
            <w:bCs/>
            <w:i/>
            <w:color w:val="000000" w:themeColor="text1"/>
            <w:sz w:val="24"/>
            <w:szCs w:val="24"/>
            <w:lang w:eastAsia="en-GB"/>
          </w:rPr>
          <w:t xml:space="preserve"> in </w:t>
        </w:r>
        <w:proofErr w:type="spellStart"/>
        <w:r w:rsidRPr="00153F7C">
          <w:rPr>
            <w:rFonts w:ascii="Times New Roman" w:eastAsia="Times New Roman" w:hAnsi="Times New Roman" w:cs="Times New Roman"/>
            <w:bCs/>
            <w:i/>
            <w:color w:val="000000" w:themeColor="text1"/>
            <w:sz w:val="24"/>
            <w:szCs w:val="24"/>
            <w:lang w:eastAsia="en-GB"/>
          </w:rPr>
          <w:t>combusto</w:t>
        </w:r>
        <w:proofErr w:type="spellEnd"/>
        <w:r w:rsidRPr="00153F7C">
          <w:rPr>
            <w:rFonts w:ascii="Times New Roman" w:eastAsia="Times New Roman" w:hAnsi="Times New Roman" w:cs="Times New Roman"/>
            <w:bCs/>
            <w:i/>
            <w:color w:val="000000" w:themeColor="text1"/>
            <w:sz w:val="24"/>
            <w:szCs w:val="24"/>
            <w:lang w:eastAsia="en-GB"/>
          </w:rPr>
          <w:t>, Norwich</w:t>
        </w:r>
      </w:hyperlink>
      <w:r w:rsidRPr="00153F7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proofErr w:type="spellStart"/>
      <w:r w:rsidRPr="00153F7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Dereham</w:t>
      </w:r>
      <w:proofErr w:type="spellEnd"/>
      <w:r w:rsidRPr="00153F7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Norfolk : Historic Environment, Norfolk Museums and Archaeology Service ; Norwich : NAU Archaeology</w:t>
      </w:r>
      <w:r w:rsidRPr="00153F7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:rsidR="00153F7C" w:rsidRDefault="00153F7C" w:rsidP="003D265D">
      <w:pPr>
        <w:ind w:left="720" w:hanging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:rsidR="00153F7C" w:rsidRPr="00153F7C" w:rsidRDefault="00153F7C" w:rsidP="00153F7C">
      <w:pPr>
        <w:ind w:left="720" w:hanging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153F7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Tarlow</w:t>
      </w:r>
      <w:proofErr w:type="spellEnd"/>
      <w:r w:rsidRPr="00153F7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S. 1999. </w:t>
      </w:r>
      <w:hyperlink r:id="rId7" w:history="1">
        <w:r w:rsidRPr="00153F7C">
          <w:rPr>
            <w:rStyle w:val="Hyperlink"/>
            <w:rFonts w:ascii="Times New Roman" w:eastAsia="Times New Roman" w:hAnsi="Times New Roman" w:cs="Times New Roman"/>
            <w:bCs/>
            <w:i/>
            <w:color w:val="000000" w:themeColor="text1"/>
            <w:sz w:val="24"/>
            <w:szCs w:val="24"/>
            <w:u w:val="none"/>
            <w:lang w:eastAsia="en-GB"/>
          </w:rPr>
          <w:t>Bereavement and Commemoration : an archaeology of mortality</w:t>
        </w:r>
      </w:hyperlink>
      <w:r w:rsidRPr="00153F7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lang w:eastAsia="en-GB"/>
        </w:rPr>
        <w:t>.</w:t>
      </w:r>
      <w:r w:rsidRPr="00153F7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Oxford,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UK ; Malden, Mass.</w:t>
      </w:r>
      <w:r w:rsidRPr="00153F7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: Blackwell Publishers, 1999.</w:t>
      </w:r>
    </w:p>
    <w:p w:rsidR="00153F7C" w:rsidRPr="00153F7C" w:rsidRDefault="00153F7C" w:rsidP="003D265D">
      <w:pPr>
        <w:ind w:left="720" w:hanging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:rsidR="00067DDB" w:rsidRPr="00153F7C" w:rsidRDefault="00067DDB" w:rsidP="003D265D">
      <w:pPr>
        <w:ind w:hanging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:rsidR="0009345F" w:rsidRPr="00153F7C" w:rsidRDefault="0009345F" w:rsidP="003D265D">
      <w:pPr>
        <w:pStyle w:val="BasicParagraph"/>
        <w:suppressAutoHyphens/>
        <w:spacing w:line="240" w:lineRule="auto"/>
        <w:ind w:left="720" w:right="-79" w:hanging="720"/>
        <w:jc w:val="both"/>
        <w:rPr>
          <w:color w:val="000000" w:themeColor="text1"/>
        </w:rPr>
      </w:pPr>
    </w:p>
    <w:p w:rsidR="000F5462" w:rsidRDefault="000F5462" w:rsidP="00067DDB">
      <w:pPr>
        <w:ind w:left="720" w:hanging="720"/>
      </w:pPr>
    </w:p>
    <w:p w:rsidR="00067DDB" w:rsidRDefault="00067DDB"/>
    <w:p w:rsidR="00067DDB" w:rsidRDefault="00067DDB"/>
    <w:sectPr w:rsidR="00067D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de">
    <w:altName w:val="Code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9345F"/>
    <w:rsid w:val="00067DDB"/>
    <w:rsid w:val="0009345F"/>
    <w:rsid w:val="000B247B"/>
    <w:rsid w:val="000F5462"/>
    <w:rsid w:val="00153F7C"/>
    <w:rsid w:val="001A3BAB"/>
    <w:rsid w:val="003D265D"/>
    <w:rsid w:val="00922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67DDB"/>
    <w:pPr>
      <w:outlineLvl w:val="0"/>
    </w:pPr>
    <w:rPr>
      <w:rFonts w:ascii="Arial" w:eastAsia="Times New Roman" w:hAnsi="Arial" w:cs="Arial"/>
      <w:kern w:val="36"/>
      <w:sz w:val="42"/>
      <w:szCs w:val="42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asicParagraph">
    <w:name w:val="[Basic Paragraph]"/>
    <w:basedOn w:val="Normal"/>
    <w:rsid w:val="0009345F"/>
    <w:pPr>
      <w:autoSpaceDE w:val="0"/>
      <w:autoSpaceDN w:val="0"/>
      <w:adjustRightInd w:val="0"/>
      <w:spacing w:line="288" w:lineRule="auto"/>
    </w:pPr>
    <w:rPr>
      <w:rFonts w:ascii="Times New Roman" w:eastAsia="Times New Roman" w:hAnsi="Times New Roman" w:cs="Times New Roman"/>
      <w:color w:val="000000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67DDB"/>
    <w:rPr>
      <w:color w:val="003366"/>
      <w:u w:val="single"/>
    </w:rPr>
  </w:style>
  <w:style w:type="character" w:styleId="Strong">
    <w:name w:val="Strong"/>
    <w:basedOn w:val="DefaultParagraphFont"/>
    <w:uiPriority w:val="22"/>
    <w:qFormat/>
    <w:rsid w:val="00067DDB"/>
    <w:rPr>
      <w:b/>
      <w:bCs/>
    </w:rPr>
  </w:style>
  <w:style w:type="character" w:customStyle="1" w:styleId="itemtype">
    <w:name w:val="itemtype"/>
    <w:basedOn w:val="DefaultParagraphFont"/>
    <w:rsid w:val="00067DDB"/>
  </w:style>
  <w:style w:type="character" w:customStyle="1" w:styleId="itemlanguage">
    <w:name w:val="itemlanguage"/>
    <w:basedOn w:val="DefaultParagraphFont"/>
    <w:rsid w:val="00067DDB"/>
  </w:style>
  <w:style w:type="character" w:customStyle="1" w:styleId="itempublisher">
    <w:name w:val="itempublisher"/>
    <w:basedOn w:val="DefaultParagraphFont"/>
    <w:rsid w:val="00067DDB"/>
  </w:style>
  <w:style w:type="character" w:customStyle="1" w:styleId="itemdatabase">
    <w:name w:val="itemdatabase"/>
    <w:basedOn w:val="DefaultParagraphFont"/>
    <w:rsid w:val="00067DDB"/>
  </w:style>
  <w:style w:type="paragraph" w:styleId="BalloonText">
    <w:name w:val="Balloon Text"/>
    <w:basedOn w:val="Normal"/>
    <w:link w:val="BalloonTextChar"/>
    <w:uiPriority w:val="99"/>
    <w:semiHidden/>
    <w:unhideWhenUsed/>
    <w:rsid w:val="00067DD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7DDB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067DDB"/>
    <w:rPr>
      <w:rFonts w:ascii="Arial" w:eastAsia="Times New Roman" w:hAnsi="Arial" w:cs="Arial"/>
      <w:kern w:val="36"/>
      <w:sz w:val="42"/>
      <w:szCs w:val="42"/>
      <w:lang w:eastAsia="en-GB"/>
    </w:rPr>
  </w:style>
  <w:style w:type="character" w:customStyle="1" w:styleId="a-size-large1">
    <w:name w:val="a-size-large1"/>
    <w:basedOn w:val="DefaultParagraphFont"/>
    <w:rsid w:val="00067DDB"/>
    <w:rPr>
      <w:rFonts w:ascii="Arial" w:hAnsi="Arial" w:cs="Arial" w:hint="default"/>
    </w:rPr>
  </w:style>
  <w:style w:type="character" w:customStyle="1" w:styleId="a-size-medium2">
    <w:name w:val="a-size-medium2"/>
    <w:basedOn w:val="DefaultParagraphFont"/>
    <w:rsid w:val="00067DDB"/>
    <w:rPr>
      <w:rFonts w:ascii="Arial" w:hAnsi="Arial" w:cs="Arial" w:hint="default"/>
    </w:rPr>
  </w:style>
  <w:style w:type="character" w:customStyle="1" w:styleId="a-declarative">
    <w:name w:val="a-declarative"/>
    <w:basedOn w:val="DefaultParagraphFont"/>
    <w:rsid w:val="00067DDB"/>
  </w:style>
  <w:style w:type="paragraph" w:customStyle="1" w:styleId="Default">
    <w:name w:val="Default"/>
    <w:rsid w:val="00153F7C"/>
    <w:pPr>
      <w:autoSpaceDE w:val="0"/>
      <w:autoSpaceDN w:val="0"/>
      <w:adjustRightInd w:val="0"/>
    </w:pPr>
    <w:rPr>
      <w:rFonts w:ascii="Code" w:hAnsi="Code" w:cs="Code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67DDB"/>
    <w:pPr>
      <w:outlineLvl w:val="0"/>
    </w:pPr>
    <w:rPr>
      <w:rFonts w:ascii="Arial" w:eastAsia="Times New Roman" w:hAnsi="Arial" w:cs="Arial"/>
      <w:kern w:val="36"/>
      <w:sz w:val="42"/>
      <w:szCs w:val="42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asicParagraph">
    <w:name w:val="[Basic Paragraph]"/>
    <w:basedOn w:val="Normal"/>
    <w:rsid w:val="0009345F"/>
    <w:pPr>
      <w:autoSpaceDE w:val="0"/>
      <w:autoSpaceDN w:val="0"/>
      <w:adjustRightInd w:val="0"/>
      <w:spacing w:line="288" w:lineRule="auto"/>
    </w:pPr>
    <w:rPr>
      <w:rFonts w:ascii="Times New Roman" w:eastAsia="Times New Roman" w:hAnsi="Times New Roman" w:cs="Times New Roman"/>
      <w:color w:val="000000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67DDB"/>
    <w:rPr>
      <w:color w:val="003366"/>
      <w:u w:val="single"/>
    </w:rPr>
  </w:style>
  <w:style w:type="character" w:styleId="Strong">
    <w:name w:val="Strong"/>
    <w:basedOn w:val="DefaultParagraphFont"/>
    <w:uiPriority w:val="22"/>
    <w:qFormat/>
    <w:rsid w:val="00067DDB"/>
    <w:rPr>
      <w:b/>
      <w:bCs/>
    </w:rPr>
  </w:style>
  <w:style w:type="character" w:customStyle="1" w:styleId="itemtype">
    <w:name w:val="itemtype"/>
    <w:basedOn w:val="DefaultParagraphFont"/>
    <w:rsid w:val="00067DDB"/>
  </w:style>
  <w:style w:type="character" w:customStyle="1" w:styleId="itemlanguage">
    <w:name w:val="itemlanguage"/>
    <w:basedOn w:val="DefaultParagraphFont"/>
    <w:rsid w:val="00067DDB"/>
  </w:style>
  <w:style w:type="character" w:customStyle="1" w:styleId="itempublisher">
    <w:name w:val="itempublisher"/>
    <w:basedOn w:val="DefaultParagraphFont"/>
    <w:rsid w:val="00067DDB"/>
  </w:style>
  <w:style w:type="character" w:customStyle="1" w:styleId="itemdatabase">
    <w:name w:val="itemdatabase"/>
    <w:basedOn w:val="DefaultParagraphFont"/>
    <w:rsid w:val="00067DDB"/>
  </w:style>
  <w:style w:type="paragraph" w:styleId="BalloonText">
    <w:name w:val="Balloon Text"/>
    <w:basedOn w:val="Normal"/>
    <w:link w:val="BalloonTextChar"/>
    <w:uiPriority w:val="99"/>
    <w:semiHidden/>
    <w:unhideWhenUsed/>
    <w:rsid w:val="00067DD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7DDB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067DDB"/>
    <w:rPr>
      <w:rFonts w:ascii="Arial" w:eastAsia="Times New Roman" w:hAnsi="Arial" w:cs="Arial"/>
      <w:kern w:val="36"/>
      <w:sz w:val="42"/>
      <w:szCs w:val="42"/>
      <w:lang w:eastAsia="en-GB"/>
    </w:rPr>
  </w:style>
  <w:style w:type="character" w:customStyle="1" w:styleId="a-size-large1">
    <w:name w:val="a-size-large1"/>
    <w:basedOn w:val="DefaultParagraphFont"/>
    <w:rsid w:val="00067DDB"/>
    <w:rPr>
      <w:rFonts w:ascii="Arial" w:hAnsi="Arial" w:cs="Arial" w:hint="default"/>
    </w:rPr>
  </w:style>
  <w:style w:type="character" w:customStyle="1" w:styleId="a-size-medium2">
    <w:name w:val="a-size-medium2"/>
    <w:basedOn w:val="DefaultParagraphFont"/>
    <w:rsid w:val="00067DDB"/>
    <w:rPr>
      <w:rFonts w:ascii="Arial" w:hAnsi="Arial" w:cs="Arial" w:hint="default"/>
    </w:rPr>
  </w:style>
  <w:style w:type="character" w:customStyle="1" w:styleId="a-declarative">
    <w:name w:val="a-declarative"/>
    <w:basedOn w:val="DefaultParagraphFont"/>
    <w:rsid w:val="00067DDB"/>
  </w:style>
  <w:style w:type="paragraph" w:customStyle="1" w:styleId="Default">
    <w:name w:val="Default"/>
    <w:rsid w:val="00153F7C"/>
    <w:pPr>
      <w:autoSpaceDE w:val="0"/>
      <w:autoSpaceDN w:val="0"/>
      <w:adjustRightInd w:val="0"/>
    </w:pPr>
    <w:rPr>
      <w:rFonts w:ascii="Code" w:hAnsi="Code" w:cs="Code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527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963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5362594">
              <w:marLeft w:val="0"/>
              <w:marRight w:val="0"/>
              <w:marTop w:val="3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0928543">
                  <w:marLeft w:val="4650"/>
                  <w:marRight w:val="480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6421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9055726">
                          <w:marLeft w:val="0"/>
                          <w:marRight w:val="0"/>
                          <w:marTop w:val="0"/>
                          <w:marBottom w:val="33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1316968">
                          <w:marLeft w:val="0"/>
                          <w:marRight w:val="0"/>
                          <w:marTop w:val="0"/>
                          <w:marBottom w:val="33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9008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2672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84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070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3528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43811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65879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407491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664394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304826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728281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146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29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53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257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4574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13895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68383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08243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072248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27674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307402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157701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182294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35154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8216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4926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6569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7485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392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72121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47823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043517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284843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357081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228081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397336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7871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436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4611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426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3327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16294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3846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484706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47587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372875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8934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tsd-l.worldcat.org/title/bereavement-and-commemoration-an-archaeology-of-mortality/oclc/40433212&amp;referer=brief_results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://tsd-l.worldcat.org/title/criminals-and-paupers-the-graveyard-of-st-margaret-fyebriggate-in-combusto-norwich/oclc/320801836&amp;referer=brief_results" TargetMode="External"/><Relationship Id="rId5" Type="http://schemas.openxmlformats.org/officeDocument/2006/relationships/hyperlink" Target="http://tsd-l.worldcat.org/title/recording-and-analysing-graveyards/oclc/44693623&amp;referer=brief_results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</TotalTime>
  <Pages>1</Pages>
  <Words>353</Words>
  <Characters>2016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4</cp:revision>
  <dcterms:created xsi:type="dcterms:W3CDTF">2015-01-30T14:46:00Z</dcterms:created>
  <dcterms:modified xsi:type="dcterms:W3CDTF">2015-02-02T15:18:00Z</dcterms:modified>
</cp:coreProperties>
</file>