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80F96E" w14:textId="23E197CD" w:rsidR="00537A5F" w:rsidRDefault="00537A5F" w:rsidP="009D531E">
      <w:pPr>
        <w:spacing w:line="360" w:lineRule="auto"/>
        <w:rPr>
          <w:rFonts w:ascii="Arial" w:hAnsi="Arial" w:cs="Arial"/>
          <w:b/>
        </w:rPr>
      </w:pPr>
      <w:r w:rsidRPr="00537A5F">
        <w:rPr>
          <w:rFonts w:ascii="Arial" w:hAnsi="Arial" w:cs="Arial"/>
          <w:b/>
        </w:rPr>
        <w:t>AI Declaration:</w:t>
      </w:r>
    </w:p>
    <w:p w14:paraId="3E2EF558" w14:textId="1A2586B6" w:rsidR="00537A5F" w:rsidRDefault="00537A5F" w:rsidP="009D531E">
      <w:pPr>
        <w:pStyle w:val="ListParagraph"/>
        <w:numPr>
          <w:ilvl w:val="0"/>
          <w:numId w:val="22"/>
        </w:numPr>
        <w:spacing w:line="360" w:lineRule="auto"/>
        <w:rPr>
          <w:rFonts w:ascii="Arial" w:hAnsi="Arial" w:cs="Arial"/>
          <w:bCs/>
        </w:rPr>
      </w:pPr>
      <w:r w:rsidRPr="009B2527">
        <w:rPr>
          <w:rFonts w:ascii="Arial" w:hAnsi="Arial" w:cs="Arial"/>
          <w:bCs/>
        </w:rPr>
        <w:t>I used Grammarly’s free automatic editor for spelling and grammar check.</w:t>
      </w:r>
    </w:p>
    <w:p w14:paraId="1DDDBA10" w14:textId="77777777" w:rsidR="00537A5F" w:rsidRPr="00537A5F" w:rsidRDefault="00537A5F" w:rsidP="00537A5F">
      <w:pPr>
        <w:pStyle w:val="ListParagraph"/>
        <w:spacing w:line="360" w:lineRule="auto"/>
        <w:rPr>
          <w:rFonts w:ascii="Arial" w:hAnsi="Arial" w:cs="Arial"/>
          <w:bCs/>
        </w:rPr>
      </w:pPr>
    </w:p>
    <w:p w14:paraId="0955A03F" w14:textId="33EDA064" w:rsidR="002F7D75" w:rsidRPr="009D531E" w:rsidRDefault="002F7D75" w:rsidP="009D531E">
      <w:pPr>
        <w:spacing w:line="360" w:lineRule="auto"/>
        <w:rPr>
          <w:rFonts w:ascii="Arial" w:hAnsi="Arial" w:cs="Arial"/>
          <w:bCs/>
        </w:rPr>
      </w:pPr>
      <w:r w:rsidRPr="009D531E">
        <w:rPr>
          <w:rFonts w:ascii="Arial" w:hAnsi="Arial" w:cs="Arial"/>
          <w:bCs/>
        </w:rPr>
        <w:t xml:space="preserve">IN THE HIGH COURT OF ENGLAND AND WALES </w:t>
      </w:r>
    </w:p>
    <w:p w14:paraId="14530606" w14:textId="1671083C" w:rsidR="002F7D75" w:rsidRPr="009D531E" w:rsidRDefault="002F7D75" w:rsidP="009D531E">
      <w:pPr>
        <w:spacing w:line="360" w:lineRule="auto"/>
        <w:rPr>
          <w:rFonts w:ascii="Arial" w:hAnsi="Arial" w:cs="Arial"/>
          <w:bCs/>
        </w:rPr>
      </w:pPr>
      <w:r w:rsidRPr="009D531E">
        <w:rPr>
          <w:rFonts w:ascii="Arial" w:hAnsi="Arial" w:cs="Arial"/>
          <w:bCs/>
        </w:rPr>
        <w:t>(CHANCERY DIVISION)</w:t>
      </w:r>
    </w:p>
    <w:p w14:paraId="21FD89D9" w14:textId="55306B45" w:rsidR="002F7D75" w:rsidRPr="009D531E" w:rsidRDefault="002F7D75" w:rsidP="009D531E">
      <w:pPr>
        <w:spacing w:line="360" w:lineRule="auto"/>
        <w:jc w:val="right"/>
        <w:rPr>
          <w:rFonts w:ascii="Arial" w:hAnsi="Arial" w:cs="Arial"/>
          <w:bCs/>
        </w:rPr>
      </w:pPr>
      <w:r w:rsidRPr="009D531E">
        <w:rPr>
          <w:rFonts w:ascii="Arial" w:hAnsi="Arial" w:cs="Arial"/>
          <w:bCs/>
        </w:rPr>
        <w:t>CLAIM NUMBER:</w:t>
      </w:r>
      <w:r w:rsidR="00BA0A8D" w:rsidRPr="009D531E">
        <w:rPr>
          <w:rFonts w:ascii="Arial" w:hAnsi="Arial" w:cs="Arial"/>
          <w:bCs/>
        </w:rPr>
        <w:t xml:space="preserve"> 2024/840A3</w:t>
      </w:r>
    </w:p>
    <w:p w14:paraId="501AC0D6" w14:textId="324DE21F" w:rsidR="002F7D75" w:rsidRPr="009D531E" w:rsidRDefault="002F7D75" w:rsidP="009D531E">
      <w:pPr>
        <w:spacing w:line="360" w:lineRule="auto"/>
        <w:rPr>
          <w:rFonts w:ascii="Arial" w:hAnsi="Arial" w:cs="Arial"/>
          <w:bCs/>
        </w:rPr>
      </w:pPr>
      <w:r w:rsidRPr="009D531E">
        <w:rPr>
          <w:rFonts w:ascii="Arial" w:hAnsi="Arial" w:cs="Arial"/>
          <w:bCs/>
        </w:rPr>
        <w:t>BETWEEN:</w:t>
      </w:r>
    </w:p>
    <w:tbl>
      <w:tblPr>
        <w:tblW w:w="9035" w:type="dxa"/>
        <w:tblLayout w:type="fixed"/>
        <w:tblLook w:val="04A0" w:firstRow="1" w:lastRow="0" w:firstColumn="1" w:lastColumn="0" w:noHBand="0" w:noVBand="1"/>
      </w:tblPr>
      <w:tblGrid>
        <w:gridCol w:w="1418"/>
        <w:gridCol w:w="6237"/>
        <w:gridCol w:w="1380"/>
      </w:tblGrid>
      <w:tr w:rsidR="002F7D75" w:rsidRPr="009D531E" w14:paraId="2783C3B8" w14:textId="77777777" w:rsidTr="002F7D75">
        <w:trPr>
          <w:trHeight w:val="757"/>
        </w:trPr>
        <w:tc>
          <w:tcPr>
            <w:tcW w:w="1418" w:type="dxa"/>
          </w:tcPr>
          <w:p w14:paraId="3B29174A" w14:textId="2CF2EDC5" w:rsidR="002F7D75" w:rsidRPr="009D531E" w:rsidRDefault="002F7D75" w:rsidP="009D531E">
            <w:pPr>
              <w:spacing w:line="360" w:lineRule="auto"/>
              <w:jc w:val="center"/>
              <w:rPr>
                <w:rFonts w:ascii="Arial" w:hAnsi="Arial" w:cs="Arial"/>
                <w:lang w:eastAsia="zh-CN" w:bidi="ta-IN"/>
              </w:rPr>
            </w:pPr>
          </w:p>
        </w:tc>
        <w:tc>
          <w:tcPr>
            <w:tcW w:w="6237" w:type="dxa"/>
          </w:tcPr>
          <w:p w14:paraId="590905B3" w14:textId="6C2B9224" w:rsidR="002F7D75" w:rsidRPr="009D531E" w:rsidRDefault="002F7D75" w:rsidP="009D531E">
            <w:pPr>
              <w:spacing w:line="360" w:lineRule="auto"/>
              <w:jc w:val="center"/>
              <w:rPr>
                <w:rFonts w:ascii="Arial" w:eastAsia="PMingLiU" w:hAnsi="Arial" w:cs="Arial"/>
                <w:lang w:eastAsia="zh-CN" w:bidi="ta-IN"/>
              </w:rPr>
            </w:pPr>
            <w:r w:rsidRPr="009D531E">
              <w:rPr>
                <w:rFonts w:ascii="Arial" w:eastAsia="PMingLiU" w:hAnsi="Arial" w:cs="Arial"/>
                <w:lang w:eastAsia="zh-CN" w:bidi="ta-IN"/>
              </w:rPr>
              <w:t>SARAH MORGAN</w:t>
            </w:r>
          </w:p>
        </w:tc>
        <w:tc>
          <w:tcPr>
            <w:tcW w:w="1380" w:type="dxa"/>
          </w:tcPr>
          <w:p w14:paraId="4A2C7B52" w14:textId="77777777" w:rsidR="002F7D75" w:rsidRPr="009D531E" w:rsidRDefault="002F7D75" w:rsidP="009D531E">
            <w:pPr>
              <w:spacing w:line="360" w:lineRule="auto"/>
              <w:jc w:val="right"/>
              <w:rPr>
                <w:rFonts w:ascii="Arial" w:eastAsia="PMingLiU" w:hAnsi="Arial" w:cs="Arial"/>
                <w:u w:val="single"/>
                <w:lang w:eastAsia="zh-CN" w:bidi="ta-IN"/>
              </w:rPr>
            </w:pPr>
            <w:r w:rsidRPr="009D531E">
              <w:rPr>
                <w:rFonts w:ascii="Arial" w:eastAsia="PMingLiU" w:hAnsi="Arial" w:cs="Arial"/>
                <w:u w:val="single"/>
                <w:lang w:eastAsia="zh-CN" w:bidi="ta-IN"/>
              </w:rPr>
              <w:t xml:space="preserve">Claimant </w:t>
            </w:r>
          </w:p>
        </w:tc>
      </w:tr>
      <w:tr w:rsidR="002F7D75" w:rsidRPr="009D531E" w14:paraId="2EAEC865" w14:textId="77777777" w:rsidTr="002F7D75">
        <w:trPr>
          <w:trHeight w:val="757"/>
        </w:trPr>
        <w:tc>
          <w:tcPr>
            <w:tcW w:w="1418" w:type="dxa"/>
          </w:tcPr>
          <w:p w14:paraId="70E71ED4" w14:textId="77777777" w:rsidR="002F7D75" w:rsidRPr="009D531E" w:rsidRDefault="002F7D75" w:rsidP="009D531E">
            <w:pPr>
              <w:spacing w:line="360" w:lineRule="auto"/>
              <w:jc w:val="center"/>
              <w:rPr>
                <w:rFonts w:ascii="Arial" w:hAnsi="Arial" w:cs="Arial"/>
                <w:lang w:eastAsia="zh-CN" w:bidi="ta-IN"/>
              </w:rPr>
            </w:pPr>
          </w:p>
        </w:tc>
        <w:tc>
          <w:tcPr>
            <w:tcW w:w="6237" w:type="dxa"/>
          </w:tcPr>
          <w:p w14:paraId="04F835E6" w14:textId="32FD6C51" w:rsidR="002F7D75" w:rsidRPr="009D531E" w:rsidRDefault="002F7D75" w:rsidP="009D531E">
            <w:pPr>
              <w:spacing w:line="360" w:lineRule="auto"/>
              <w:jc w:val="center"/>
              <w:rPr>
                <w:rFonts w:ascii="Arial" w:eastAsia="PMingLiU" w:hAnsi="Arial" w:cs="Arial"/>
                <w:lang w:eastAsia="zh-CN" w:bidi="ta-IN"/>
              </w:rPr>
            </w:pPr>
            <w:r w:rsidRPr="009D531E">
              <w:rPr>
                <w:rFonts w:ascii="Arial" w:eastAsia="PMingLiU" w:hAnsi="Arial" w:cs="Arial"/>
                <w:lang w:eastAsia="zh-CN" w:bidi="ta-IN"/>
              </w:rPr>
              <w:t>-and-</w:t>
            </w:r>
          </w:p>
        </w:tc>
        <w:tc>
          <w:tcPr>
            <w:tcW w:w="1380" w:type="dxa"/>
          </w:tcPr>
          <w:p w14:paraId="41387A0B" w14:textId="77777777" w:rsidR="002F7D75" w:rsidRPr="009D531E" w:rsidRDefault="002F7D75" w:rsidP="009D531E">
            <w:pPr>
              <w:spacing w:line="360" w:lineRule="auto"/>
              <w:jc w:val="right"/>
              <w:rPr>
                <w:rFonts w:ascii="Arial" w:eastAsia="PMingLiU" w:hAnsi="Arial" w:cs="Arial"/>
                <w:lang w:eastAsia="zh-CN" w:bidi="ta-IN"/>
              </w:rPr>
            </w:pPr>
          </w:p>
        </w:tc>
      </w:tr>
      <w:tr w:rsidR="002F7D75" w:rsidRPr="009D531E" w14:paraId="2F590B3C" w14:textId="77777777" w:rsidTr="002F7D75">
        <w:trPr>
          <w:trHeight w:val="757"/>
        </w:trPr>
        <w:tc>
          <w:tcPr>
            <w:tcW w:w="1418" w:type="dxa"/>
          </w:tcPr>
          <w:p w14:paraId="44B27D71" w14:textId="7E9863DF" w:rsidR="002F7D75" w:rsidRPr="009D531E" w:rsidRDefault="002F7D75" w:rsidP="009D531E">
            <w:pPr>
              <w:spacing w:line="360" w:lineRule="auto"/>
              <w:jc w:val="center"/>
              <w:rPr>
                <w:rFonts w:ascii="Arial" w:hAnsi="Arial" w:cs="Arial"/>
                <w:lang w:eastAsia="zh-CN" w:bidi="ta-IN"/>
              </w:rPr>
            </w:pPr>
          </w:p>
        </w:tc>
        <w:tc>
          <w:tcPr>
            <w:tcW w:w="6237" w:type="dxa"/>
          </w:tcPr>
          <w:p w14:paraId="024AA0B7" w14:textId="5E8E55F3" w:rsidR="002F7D75" w:rsidRPr="009D531E" w:rsidRDefault="002F7D75" w:rsidP="009D531E">
            <w:pPr>
              <w:spacing w:line="360" w:lineRule="auto"/>
              <w:jc w:val="center"/>
              <w:rPr>
                <w:rFonts w:ascii="Arial" w:eastAsia="PMingLiU" w:hAnsi="Arial" w:cs="Arial"/>
                <w:lang w:eastAsia="zh-CN" w:bidi="ta-IN"/>
              </w:rPr>
            </w:pPr>
            <w:r w:rsidRPr="009D531E">
              <w:rPr>
                <w:rFonts w:ascii="Arial" w:eastAsia="PMingLiU" w:hAnsi="Arial" w:cs="Arial"/>
                <w:lang w:eastAsia="zh-CN" w:bidi="ta-IN"/>
              </w:rPr>
              <w:t>JENNIFER WILLIAMS</w:t>
            </w:r>
          </w:p>
        </w:tc>
        <w:tc>
          <w:tcPr>
            <w:tcW w:w="1380" w:type="dxa"/>
          </w:tcPr>
          <w:p w14:paraId="04042DAD" w14:textId="77777777" w:rsidR="002F7D75" w:rsidRPr="009D531E" w:rsidRDefault="002F7D75" w:rsidP="009D531E">
            <w:pPr>
              <w:spacing w:line="360" w:lineRule="auto"/>
              <w:jc w:val="right"/>
              <w:rPr>
                <w:rFonts w:ascii="Arial" w:eastAsia="PMingLiU" w:hAnsi="Arial" w:cs="Arial"/>
                <w:lang w:eastAsia="zh-CN" w:bidi="ta-IN"/>
              </w:rPr>
            </w:pPr>
            <w:r w:rsidRPr="009D531E">
              <w:rPr>
                <w:rFonts w:ascii="Arial" w:eastAsia="PMingLiU" w:hAnsi="Arial" w:cs="Arial"/>
                <w:u w:val="single"/>
                <w:lang w:eastAsia="zh-CN" w:bidi="ta-IN"/>
              </w:rPr>
              <w:t>Defendant</w:t>
            </w:r>
          </w:p>
        </w:tc>
      </w:tr>
    </w:tbl>
    <w:p w14:paraId="3D2FCE0E" w14:textId="77777777" w:rsidR="002F7D75" w:rsidRPr="009D531E" w:rsidRDefault="002F7D75" w:rsidP="009D531E">
      <w:pPr>
        <w:tabs>
          <w:tab w:val="left" w:pos="2656"/>
        </w:tabs>
        <w:autoSpaceDE w:val="0"/>
        <w:autoSpaceDN w:val="0"/>
        <w:adjustRightInd w:val="0"/>
        <w:spacing w:line="360" w:lineRule="auto"/>
        <w:rPr>
          <w:rFonts w:ascii="Arial" w:hAnsi="Arial" w:cs="Arial"/>
          <w:b/>
          <w:bCs/>
          <w:lang w:bidi="ta-IN"/>
        </w:rPr>
      </w:pPr>
      <w:r w:rsidRPr="009D531E">
        <w:rPr>
          <w:rFonts w:ascii="Arial" w:hAnsi="Arial" w:cs="Arial"/>
          <w:b/>
          <w:bCs/>
          <w:lang w:bidi="ta-IN"/>
        </w:rPr>
        <w:tab/>
      </w:r>
    </w:p>
    <w:p w14:paraId="6E00CF5E" w14:textId="77777777" w:rsidR="002F7D75" w:rsidRPr="009D531E" w:rsidRDefault="002F7D75" w:rsidP="009D531E">
      <w:pPr>
        <w:pBdr>
          <w:top w:val="single" w:sz="4" w:space="1" w:color="auto"/>
          <w:bottom w:val="single" w:sz="4" w:space="1" w:color="auto"/>
        </w:pBdr>
        <w:autoSpaceDE w:val="0"/>
        <w:autoSpaceDN w:val="0"/>
        <w:adjustRightInd w:val="0"/>
        <w:spacing w:line="360" w:lineRule="auto"/>
        <w:jc w:val="center"/>
        <w:rPr>
          <w:rFonts w:ascii="Arial" w:hAnsi="Arial" w:cs="Arial"/>
          <w:b/>
          <w:bCs/>
          <w:sz w:val="14"/>
          <w:szCs w:val="14"/>
          <w:lang w:bidi="ta-IN"/>
        </w:rPr>
      </w:pPr>
    </w:p>
    <w:p w14:paraId="5E43DA8D" w14:textId="23B430EC" w:rsidR="002F7D75" w:rsidRDefault="002F7D75" w:rsidP="008C5609">
      <w:pPr>
        <w:pBdr>
          <w:top w:val="single" w:sz="4" w:space="1" w:color="auto"/>
          <w:bottom w:val="single" w:sz="4" w:space="1" w:color="auto"/>
        </w:pBdr>
        <w:autoSpaceDE w:val="0"/>
        <w:autoSpaceDN w:val="0"/>
        <w:adjustRightInd w:val="0"/>
        <w:spacing w:line="360" w:lineRule="auto"/>
        <w:jc w:val="center"/>
        <w:rPr>
          <w:rFonts w:ascii="Arial" w:eastAsiaTheme="majorEastAsia" w:hAnsi="Arial" w:cs="Arial"/>
          <w:b/>
          <w:bCs/>
          <w:lang w:bidi="ta-IN"/>
        </w:rPr>
      </w:pPr>
      <w:r w:rsidRPr="009D531E">
        <w:rPr>
          <w:rFonts w:ascii="Arial" w:hAnsi="Arial" w:cs="Arial"/>
          <w:b/>
          <w:bCs/>
          <w:lang w:bidi="ta-IN"/>
        </w:rPr>
        <w:t xml:space="preserve">Skeleton argument on behalf of </w:t>
      </w:r>
      <w:r w:rsidR="008C5609">
        <w:rPr>
          <w:rFonts w:ascii="Arial" w:eastAsiaTheme="majorEastAsia" w:hAnsi="Arial" w:cs="Arial"/>
          <w:b/>
          <w:bCs/>
          <w:lang w:bidi="ta-IN"/>
        </w:rPr>
        <w:t>the Defendant, Jennifer Williams</w:t>
      </w:r>
    </w:p>
    <w:p w14:paraId="73C8006B" w14:textId="77777777" w:rsidR="009D531E" w:rsidRPr="009D531E" w:rsidRDefault="009D531E" w:rsidP="009D531E">
      <w:pPr>
        <w:pBdr>
          <w:top w:val="single" w:sz="4" w:space="1" w:color="auto"/>
          <w:bottom w:val="single" w:sz="4" w:space="1" w:color="auto"/>
        </w:pBdr>
        <w:autoSpaceDE w:val="0"/>
        <w:autoSpaceDN w:val="0"/>
        <w:adjustRightInd w:val="0"/>
        <w:jc w:val="center"/>
        <w:rPr>
          <w:rFonts w:ascii="Arial" w:hAnsi="Arial" w:cs="Arial"/>
          <w:b/>
          <w:bCs/>
          <w:sz w:val="14"/>
          <w:szCs w:val="14"/>
          <w:lang w:bidi="ta-IN"/>
        </w:rPr>
      </w:pPr>
    </w:p>
    <w:p w14:paraId="4BB50508" w14:textId="77777777" w:rsidR="005F216E" w:rsidRPr="009D531E" w:rsidRDefault="005F216E" w:rsidP="009D531E">
      <w:pPr>
        <w:pStyle w:val="Heading1"/>
      </w:pPr>
      <w:r w:rsidRPr="009D531E">
        <w:t>Introduction</w:t>
      </w:r>
    </w:p>
    <w:p w14:paraId="58AF3999" w14:textId="46ACF781" w:rsidR="005F216E" w:rsidRPr="00F178C7" w:rsidRDefault="00A12368" w:rsidP="00323528">
      <w:pPr>
        <w:pStyle w:val="Heading2"/>
        <w:rPr>
          <w:b/>
          <w:bCs/>
          <w:color w:val="000000" w:themeColor="text1"/>
          <w:spacing w:val="-7"/>
        </w:rPr>
      </w:pPr>
      <w:r w:rsidRPr="00F178C7">
        <w:rPr>
          <w:color w:val="000000" w:themeColor="text1"/>
        </w:rPr>
        <w:t xml:space="preserve">This Skeleton Argument </w:t>
      </w:r>
      <w:r w:rsidR="003074CC" w:rsidRPr="00F178C7">
        <w:rPr>
          <w:color w:val="000000" w:themeColor="text1"/>
        </w:rPr>
        <w:t xml:space="preserve">is submitted </w:t>
      </w:r>
      <w:r w:rsidR="00CC281F" w:rsidRPr="00F178C7">
        <w:rPr>
          <w:color w:val="000000" w:themeColor="text1"/>
        </w:rPr>
        <w:t>on behalf of the defe</w:t>
      </w:r>
      <w:r w:rsidR="00920B22" w:rsidRPr="00F178C7">
        <w:rPr>
          <w:color w:val="000000" w:themeColor="text1"/>
        </w:rPr>
        <w:t>ndant</w:t>
      </w:r>
      <w:r w:rsidR="00CE02B4" w:rsidRPr="00F178C7">
        <w:rPr>
          <w:color w:val="000000" w:themeColor="text1"/>
        </w:rPr>
        <w:t>, Jennifer Williams</w:t>
      </w:r>
      <w:r w:rsidR="003665CE" w:rsidRPr="00F178C7">
        <w:rPr>
          <w:color w:val="000000" w:themeColor="text1"/>
        </w:rPr>
        <w:t xml:space="preserve">. The </w:t>
      </w:r>
      <w:r w:rsidR="00E377C1" w:rsidRPr="00F178C7">
        <w:rPr>
          <w:color w:val="000000" w:themeColor="text1"/>
        </w:rPr>
        <w:t>defendant respectfully requests that the Claimant’s</w:t>
      </w:r>
      <w:r w:rsidR="001546C1" w:rsidRPr="00F178C7">
        <w:rPr>
          <w:color w:val="000000" w:themeColor="text1"/>
        </w:rPr>
        <w:t xml:space="preserve"> claim</w:t>
      </w:r>
      <w:r w:rsidR="005A5F1F" w:rsidRPr="00F178C7">
        <w:rPr>
          <w:color w:val="000000" w:themeColor="text1"/>
        </w:rPr>
        <w:t xml:space="preserve"> for a 50%</w:t>
      </w:r>
      <w:r w:rsidR="00BB4FF7" w:rsidRPr="00F178C7">
        <w:rPr>
          <w:color w:val="000000" w:themeColor="text1"/>
        </w:rPr>
        <w:t xml:space="preserve"> beneficial interest in the property</w:t>
      </w:r>
      <w:r w:rsidR="00D13835" w:rsidRPr="00F178C7">
        <w:rPr>
          <w:color w:val="000000" w:themeColor="text1"/>
        </w:rPr>
        <w:t xml:space="preserve"> known as The Gatehouse, Trinity, Swansea</w:t>
      </w:r>
      <w:r w:rsidR="00BF177A" w:rsidRPr="00F178C7">
        <w:rPr>
          <w:color w:val="000000" w:themeColor="text1"/>
        </w:rPr>
        <w:t xml:space="preserve">, be dismissed by the court. </w:t>
      </w:r>
    </w:p>
    <w:p w14:paraId="6C8059F9" w14:textId="4AC7ACC1" w:rsidR="00CC73A4" w:rsidRPr="00EE14C2" w:rsidRDefault="00FD397F" w:rsidP="009D531E">
      <w:pPr>
        <w:pStyle w:val="Heading2"/>
        <w:rPr>
          <w:color w:val="000000" w:themeColor="text1"/>
        </w:rPr>
      </w:pPr>
      <w:r w:rsidRPr="00EE14C2">
        <w:rPr>
          <w:color w:val="000000" w:themeColor="text1"/>
        </w:rPr>
        <w:t xml:space="preserve">The </w:t>
      </w:r>
      <w:r w:rsidR="00CC73A4" w:rsidRPr="00EE14C2">
        <w:rPr>
          <w:color w:val="000000" w:themeColor="text1"/>
        </w:rPr>
        <w:t>claimant</w:t>
      </w:r>
      <w:r w:rsidR="005162DB">
        <w:rPr>
          <w:color w:val="000000" w:themeColor="text1"/>
        </w:rPr>
        <w:t>, Sarah Morgan,</w:t>
      </w:r>
      <w:r w:rsidR="00CC73A4" w:rsidRPr="00EE14C2">
        <w:rPr>
          <w:color w:val="000000" w:themeColor="text1"/>
        </w:rPr>
        <w:t xml:space="preserve"> claims two different justifications: 1) pro</w:t>
      </w:r>
      <w:r w:rsidR="00A66EA0" w:rsidRPr="00EE14C2">
        <w:rPr>
          <w:color w:val="000000" w:themeColor="text1"/>
        </w:rPr>
        <w:t>prietary estoppel and 2) a constructive trust. The defendant</w:t>
      </w:r>
      <w:r w:rsidR="005162DB">
        <w:rPr>
          <w:color w:val="000000" w:themeColor="text1"/>
        </w:rPr>
        <w:t>, Jennifer Williams,</w:t>
      </w:r>
      <w:r w:rsidR="00A66EA0" w:rsidRPr="00EE14C2">
        <w:rPr>
          <w:color w:val="000000" w:themeColor="text1"/>
        </w:rPr>
        <w:t xml:space="preserve"> argues that neither claim has been demonstrated</w:t>
      </w:r>
      <w:r w:rsidR="00EE14C2">
        <w:rPr>
          <w:color w:val="000000" w:themeColor="text1"/>
        </w:rPr>
        <w:t>,</w:t>
      </w:r>
      <w:r w:rsidR="00A66EA0" w:rsidRPr="00EE14C2">
        <w:rPr>
          <w:color w:val="000000" w:themeColor="text1"/>
        </w:rPr>
        <w:t xml:space="preserve"> given that there was </w:t>
      </w:r>
      <w:r w:rsidR="003B1FAC" w:rsidRPr="00EE14C2">
        <w:rPr>
          <w:color w:val="000000" w:themeColor="text1"/>
        </w:rPr>
        <w:t xml:space="preserve">no clear representation or assurance that may establish proprietary </w:t>
      </w:r>
      <w:r w:rsidR="00EE14C2" w:rsidRPr="00EE14C2">
        <w:rPr>
          <w:color w:val="000000" w:themeColor="text1"/>
        </w:rPr>
        <w:t>estoppel, nor an agreement that the claimant would get a beneficial interest in the property.</w:t>
      </w:r>
    </w:p>
    <w:p w14:paraId="74D96C8C" w14:textId="77777777" w:rsidR="005F216E" w:rsidRPr="009D531E" w:rsidRDefault="005F216E" w:rsidP="009D531E">
      <w:pPr>
        <w:pStyle w:val="Heading1"/>
      </w:pPr>
      <w:r w:rsidRPr="009D531E">
        <w:t>The issues</w:t>
      </w:r>
    </w:p>
    <w:p w14:paraId="3D78616D" w14:textId="158CF285" w:rsidR="00C41F17" w:rsidRPr="00E46499" w:rsidRDefault="00E46499" w:rsidP="009D531E">
      <w:pPr>
        <w:pStyle w:val="Heading2"/>
        <w:rPr>
          <w:color w:val="000000" w:themeColor="text1"/>
        </w:rPr>
      </w:pPr>
      <w:r>
        <w:rPr>
          <w:color w:val="000000" w:themeColor="text1"/>
        </w:rPr>
        <w:t>The</w:t>
      </w:r>
      <w:r w:rsidR="00C41F17" w:rsidRPr="00E46499">
        <w:rPr>
          <w:color w:val="000000" w:themeColor="text1"/>
        </w:rPr>
        <w:t xml:space="preserve"> issues for the </w:t>
      </w:r>
      <w:r w:rsidR="00AF5C85" w:rsidRPr="00E46499">
        <w:rPr>
          <w:color w:val="000000" w:themeColor="text1"/>
        </w:rPr>
        <w:t>Court are:</w:t>
      </w:r>
    </w:p>
    <w:p w14:paraId="79E84D01" w14:textId="768F3327" w:rsidR="00AF5C85" w:rsidRDefault="00480037" w:rsidP="00AF5C85">
      <w:pPr>
        <w:pStyle w:val="ListParagraph"/>
        <w:numPr>
          <w:ilvl w:val="0"/>
          <w:numId w:val="17"/>
        </w:numPr>
        <w:rPr>
          <w:rFonts w:ascii="Arial" w:hAnsi="Arial" w:cs="Arial"/>
        </w:rPr>
      </w:pPr>
      <w:r w:rsidRPr="00480037">
        <w:rPr>
          <w:rFonts w:ascii="Arial" w:hAnsi="Arial" w:cs="Arial"/>
        </w:rPr>
        <w:t>Whether the claimant can demonstrate a shared intention</w:t>
      </w:r>
      <w:r w:rsidR="007913DE">
        <w:rPr>
          <w:rFonts w:ascii="Arial" w:hAnsi="Arial" w:cs="Arial"/>
        </w:rPr>
        <w:t xml:space="preserve"> that she would have a beneficial interest in the property and a detrimental reliance on that intention to establish a common intention c</w:t>
      </w:r>
      <w:r w:rsidR="00A75214">
        <w:rPr>
          <w:rFonts w:ascii="Arial" w:hAnsi="Arial" w:cs="Arial"/>
        </w:rPr>
        <w:t>onstructive trust.</w:t>
      </w:r>
    </w:p>
    <w:p w14:paraId="2AA421CA" w14:textId="77777777" w:rsidR="00C54914" w:rsidRPr="00C54914" w:rsidRDefault="00C54914" w:rsidP="00C54914">
      <w:pPr>
        <w:rPr>
          <w:rFonts w:ascii="Arial" w:hAnsi="Arial" w:cs="Arial"/>
        </w:rPr>
      </w:pPr>
    </w:p>
    <w:p w14:paraId="170B88DA" w14:textId="1D7010FB" w:rsidR="00A75214" w:rsidRPr="00480037" w:rsidRDefault="00C54914" w:rsidP="00AF5C85">
      <w:pPr>
        <w:pStyle w:val="ListParagraph"/>
        <w:numPr>
          <w:ilvl w:val="0"/>
          <w:numId w:val="17"/>
        </w:numPr>
        <w:rPr>
          <w:rFonts w:ascii="Arial" w:hAnsi="Arial" w:cs="Arial"/>
        </w:rPr>
      </w:pPr>
      <w:r>
        <w:rPr>
          <w:rFonts w:ascii="Arial" w:hAnsi="Arial" w:cs="Arial"/>
        </w:rPr>
        <w:lastRenderedPageBreak/>
        <w:t>Alternatively, whether the claimant can demonstrate proprietary estoppel, a requirement for evidence of a clear a</w:t>
      </w:r>
      <w:r w:rsidR="006851C1">
        <w:rPr>
          <w:rFonts w:ascii="Arial" w:hAnsi="Arial" w:cs="Arial"/>
        </w:rPr>
        <w:t xml:space="preserve">ssurance or representation, reliance on that assurance, and detriment suffered </w:t>
      </w:r>
      <w:r w:rsidR="00537A5F">
        <w:rPr>
          <w:rFonts w:ascii="Arial" w:hAnsi="Arial" w:cs="Arial"/>
        </w:rPr>
        <w:t>consequently</w:t>
      </w:r>
      <w:r w:rsidR="006851C1">
        <w:rPr>
          <w:rFonts w:ascii="Arial" w:hAnsi="Arial" w:cs="Arial"/>
        </w:rPr>
        <w:t xml:space="preserve">. </w:t>
      </w:r>
    </w:p>
    <w:p w14:paraId="54261E09" w14:textId="60615CB2" w:rsidR="005F216E" w:rsidRPr="009D531E" w:rsidRDefault="005F216E" w:rsidP="00AF5C85">
      <w:pPr>
        <w:pStyle w:val="Heading2"/>
        <w:numPr>
          <w:ilvl w:val="0"/>
          <w:numId w:val="0"/>
        </w:numPr>
        <w:rPr>
          <w:color w:val="70AD47" w:themeColor="accent6"/>
        </w:rPr>
      </w:pPr>
    </w:p>
    <w:p w14:paraId="555B1DC1" w14:textId="366B381E" w:rsidR="005F216E" w:rsidRPr="00080655" w:rsidRDefault="008565CB" w:rsidP="009D531E">
      <w:pPr>
        <w:pStyle w:val="Heading2"/>
        <w:rPr>
          <w:color w:val="000000" w:themeColor="text1"/>
        </w:rPr>
      </w:pPr>
      <w:r w:rsidRPr="00080655">
        <w:rPr>
          <w:color w:val="000000" w:themeColor="text1"/>
        </w:rPr>
        <w:t xml:space="preserve"> The Court must decide</w:t>
      </w:r>
      <w:r w:rsidR="004E7F74" w:rsidRPr="00080655">
        <w:rPr>
          <w:color w:val="000000" w:themeColor="text1"/>
        </w:rPr>
        <w:t xml:space="preserve"> if the claimant, Sarah, may use proprietary estoppel or a constructive trust to demonstrate a beneficial interest. The claimant claims that there was a shared desire </w:t>
      </w:r>
      <w:r w:rsidR="009C0CDD" w:rsidRPr="00080655">
        <w:rPr>
          <w:color w:val="000000" w:themeColor="text1"/>
        </w:rPr>
        <w:t>for</w:t>
      </w:r>
      <w:r w:rsidR="004E7F74" w:rsidRPr="00080655">
        <w:rPr>
          <w:color w:val="000000" w:themeColor="text1"/>
        </w:rPr>
        <w:t xml:space="preserve"> share</w:t>
      </w:r>
      <w:r w:rsidR="005F7B4E" w:rsidRPr="00080655">
        <w:rPr>
          <w:color w:val="000000" w:themeColor="text1"/>
        </w:rPr>
        <w:t>d ownership and that they relied on the defendant’s promises. The defendant, Jennifer, disputes this</w:t>
      </w:r>
      <w:r w:rsidR="006E4921" w:rsidRPr="00080655">
        <w:rPr>
          <w:color w:val="000000" w:themeColor="text1"/>
        </w:rPr>
        <w:t xml:space="preserve">. claiming that no agreement or explicit guarantee of ownership was given and that she alone bought the property before their relationship. </w:t>
      </w:r>
      <w:r w:rsidR="009C0CDD" w:rsidRPr="00080655">
        <w:rPr>
          <w:color w:val="000000" w:themeColor="text1"/>
        </w:rPr>
        <w:t xml:space="preserve">Jennifer emphasises that the claimant made a voluntary financial contribution to the repairs. </w:t>
      </w:r>
    </w:p>
    <w:p w14:paraId="7B2205B7" w14:textId="77777777" w:rsidR="005F216E" w:rsidRPr="009D531E" w:rsidRDefault="005F216E" w:rsidP="009D531E">
      <w:pPr>
        <w:pStyle w:val="Heading1"/>
      </w:pPr>
      <w:r w:rsidRPr="009D531E">
        <w:t>The facts</w:t>
      </w:r>
    </w:p>
    <w:p w14:paraId="2136C341" w14:textId="77777777" w:rsidR="00D71470" w:rsidRDefault="00D71470" w:rsidP="00D71470">
      <w:pPr>
        <w:pStyle w:val="Heading2"/>
        <w:rPr>
          <w:color w:val="000000" w:themeColor="text1"/>
        </w:rPr>
      </w:pPr>
      <w:r w:rsidRPr="001D15C4">
        <w:rPr>
          <w:color w:val="000000" w:themeColor="text1"/>
        </w:rPr>
        <w:t>The Defendant, Jennifer Williams</w:t>
      </w:r>
      <w:r>
        <w:rPr>
          <w:color w:val="000000" w:themeColor="text1"/>
        </w:rPr>
        <w:t>, purchased The Gatehouse in 1995 using inheritance funds and without a mortgage (TR1 form). The property was registered solely in the defendant’s name.</w:t>
      </w:r>
    </w:p>
    <w:p w14:paraId="2F946BF6" w14:textId="12ADED7E" w:rsidR="00186ADD" w:rsidRDefault="0040713C" w:rsidP="001D15C4">
      <w:pPr>
        <w:pStyle w:val="Heading2"/>
        <w:rPr>
          <w:color w:val="000000" w:themeColor="text1"/>
        </w:rPr>
      </w:pPr>
      <w:r>
        <w:rPr>
          <w:color w:val="000000" w:themeColor="text1"/>
        </w:rPr>
        <w:t>The parties began their relationship in 2003, and the claimant</w:t>
      </w:r>
      <w:r w:rsidR="00623578">
        <w:rPr>
          <w:color w:val="000000" w:themeColor="text1"/>
        </w:rPr>
        <w:t>, Sarah Morgan, moved into the property in 2004. The couple thereafter cohabited and raised two children.</w:t>
      </w:r>
    </w:p>
    <w:p w14:paraId="0C2AF362" w14:textId="6007411C" w:rsidR="00884154" w:rsidRDefault="00623578" w:rsidP="001D15C4">
      <w:pPr>
        <w:pStyle w:val="Heading2"/>
        <w:rPr>
          <w:color w:val="000000" w:themeColor="text1"/>
        </w:rPr>
      </w:pPr>
      <w:r>
        <w:rPr>
          <w:color w:val="000000" w:themeColor="text1"/>
        </w:rPr>
        <w:t>In 2014, both parties received legal advice confirming that the property was owned solely by the Defendant. They recommended the creation of an express declaration of trust if they wished to formalise shared ownership. The parties chose not to proceed with this advice.</w:t>
      </w:r>
    </w:p>
    <w:p w14:paraId="442EE2D4" w14:textId="7D83722C" w:rsidR="00D71470" w:rsidRDefault="00623578" w:rsidP="001D15C4">
      <w:pPr>
        <w:pStyle w:val="Heading2"/>
        <w:rPr>
          <w:color w:val="000000" w:themeColor="text1"/>
        </w:rPr>
      </w:pPr>
      <w:r>
        <w:rPr>
          <w:color w:val="000000" w:themeColor="text1"/>
        </w:rPr>
        <w:t>In 2018, storm damage required repairs costing £60,000</w:t>
      </w:r>
      <w:r w:rsidR="00BC1BBE">
        <w:rPr>
          <w:color w:val="000000" w:themeColor="text1"/>
        </w:rPr>
        <w:t>, which the Claimant paid from her savings after offering to do so over text messages.</w:t>
      </w:r>
    </w:p>
    <w:p w14:paraId="5CD9C2BB" w14:textId="189AC142" w:rsidR="00D71470" w:rsidRDefault="00BC1BBE" w:rsidP="001D15C4">
      <w:pPr>
        <w:pStyle w:val="Heading2"/>
        <w:rPr>
          <w:color w:val="000000" w:themeColor="text1"/>
        </w:rPr>
      </w:pPr>
      <w:r>
        <w:rPr>
          <w:color w:val="000000" w:themeColor="text1"/>
        </w:rPr>
        <w:t xml:space="preserve">Following the breakdown of their relationship, the Claimant now seeks 50% share of the property, which the Defendant disputes. </w:t>
      </w:r>
    </w:p>
    <w:p w14:paraId="35931C8B" w14:textId="77777777" w:rsidR="00691F19" w:rsidRPr="00691F19" w:rsidRDefault="00691F19" w:rsidP="00691F19"/>
    <w:p w14:paraId="3F5ACE37" w14:textId="77777777" w:rsidR="003A3413" w:rsidRDefault="003A3413" w:rsidP="009D531E">
      <w:pPr>
        <w:pStyle w:val="Heading1"/>
        <w:numPr>
          <w:ilvl w:val="0"/>
          <w:numId w:val="0"/>
        </w:numPr>
        <w:ind w:left="680" w:hanging="680"/>
        <w:rPr>
          <w:rStyle w:val="SubtleEmphasis"/>
          <w:b/>
          <w:iCs w:val="0"/>
        </w:rPr>
      </w:pPr>
    </w:p>
    <w:p w14:paraId="0E36DC3D" w14:textId="77777777" w:rsidR="003A3413" w:rsidRDefault="003A3413" w:rsidP="009D531E">
      <w:pPr>
        <w:pStyle w:val="Heading1"/>
        <w:numPr>
          <w:ilvl w:val="0"/>
          <w:numId w:val="0"/>
        </w:numPr>
        <w:ind w:left="680" w:hanging="680"/>
        <w:rPr>
          <w:rStyle w:val="SubtleEmphasis"/>
          <w:b/>
          <w:iCs w:val="0"/>
        </w:rPr>
      </w:pPr>
    </w:p>
    <w:p w14:paraId="7FCD3B3E" w14:textId="77777777" w:rsidR="003A3413" w:rsidRDefault="003A3413" w:rsidP="009D531E">
      <w:pPr>
        <w:pStyle w:val="Heading1"/>
        <w:numPr>
          <w:ilvl w:val="0"/>
          <w:numId w:val="0"/>
        </w:numPr>
        <w:ind w:left="680" w:hanging="680"/>
        <w:rPr>
          <w:rStyle w:val="SubtleEmphasis"/>
          <w:b/>
          <w:iCs w:val="0"/>
        </w:rPr>
      </w:pPr>
    </w:p>
    <w:p w14:paraId="020D26B5" w14:textId="69ABD312" w:rsidR="005F216E" w:rsidRPr="009D531E" w:rsidRDefault="005F216E" w:rsidP="009D531E">
      <w:pPr>
        <w:pStyle w:val="Heading1"/>
        <w:numPr>
          <w:ilvl w:val="0"/>
          <w:numId w:val="0"/>
        </w:numPr>
        <w:ind w:left="680" w:hanging="680"/>
        <w:rPr>
          <w:rStyle w:val="SubtleEmphasis"/>
          <w:b/>
          <w:iCs w:val="0"/>
        </w:rPr>
      </w:pPr>
      <w:r w:rsidRPr="009D531E">
        <w:rPr>
          <w:rStyle w:val="SubtleEmphasis"/>
          <w:b/>
          <w:iCs w:val="0"/>
        </w:rPr>
        <w:t>Claim arising under a constructive trust</w:t>
      </w:r>
    </w:p>
    <w:p w14:paraId="4D929431" w14:textId="77777777" w:rsidR="005F216E" w:rsidRPr="009D531E" w:rsidRDefault="005F216E" w:rsidP="009D531E">
      <w:pPr>
        <w:pStyle w:val="Heading1"/>
      </w:pPr>
      <w:r w:rsidRPr="009D531E">
        <w:t xml:space="preserve">The law </w:t>
      </w:r>
    </w:p>
    <w:p w14:paraId="6244F7D5" w14:textId="77777777" w:rsidR="00091C2F" w:rsidRDefault="003A3413" w:rsidP="003A3413">
      <w:pPr>
        <w:pStyle w:val="Heading2"/>
        <w:rPr>
          <w:color w:val="000000" w:themeColor="text1"/>
        </w:rPr>
      </w:pPr>
      <w:r w:rsidRPr="00B9200F">
        <w:rPr>
          <w:color w:val="000000" w:themeColor="text1"/>
        </w:rPr>
        <w:t>The claimant, Sarah Morgan</w:t>
      </w:r>
      <w:r w:rsidR="00B9200F" w:rsidRPr="00B9200F">
        <w:rPr>
          <w:color w:val="000000" w:themeColor="text1"/>
        </w:rPr>
        <w:t>, claims that by using a constructive trust, she is entitled to a 50% beneficial interest in The Gatehouse.</w:t>
      </w:r>
      <w:r w:rsidR="00B9200F">
        <w:rPr>
          <w:color w:val="000000" w:themeColor="text1"/>
        </w:rPr>
        <w:t xml:space="preserve"> She refers to the ruling </w:t>
      </w:r>
      <w:r w:rsidR="0008089A">
        <w:rPr>
          <w:color w:val="000000" w:themeColor="text1"/>
        </w:rPr>
        <w:t>in Geary v Rankine [2012] EWCA Civ 555, in which the Court of Appeal examin</w:t>
      </w:r>
      <w:r w:rsidR="00A21E3E">
        <w:rPr>
          <w:color w:val="000000" w:themeColor="text1"/>
        </w:rPr>
        <w:t>ed</w:t>
      </w:r>
      <w:r w:rsidR="00C635DE">
        <w:rPr>
          <w:color w:val="000000" w:themeColor="text1"/>
        </w:rPr>
        <w:t xml:space="preserve"> whether the behaviour of the pa</w:t>
      </w:r>
      <w:r w:rsidR="002C58EF">
        <w:rPr>
          <w:color w:val="000000" w:themeColor="text1"/>
        </w:rPr>
        <w:t>rtners in a joint enterprise could be used</w:t>
      </w:r>
      <w:r w:rsidR="00F04579">
        <w:rPr>
          <w:color w:val="000000" w:themeColor="text1"/>
        </w:rPr>
        <w:t xml:space="preserve"> to establish an agreement to share beneficial ownership. (IPSA</w:t>
      </w:r>
      <w:r w:rsidR="00C73338">
        <w:rPr>
          <w:color w:val="000000" w:themeColor="text1"/>
        </w:rPr>
        <w:t>, 2022).</w:t>
      </w:r>
      <w:r w:rsidR="00A935DF">
        <w:rPr>
          <w:color w:val="000000" w:themeColor="text1"/>
        </w:rPr>
        <w:t xml:space="preserve"> The claimant argues that</w:t>
      </w:r>
      <w:r w:rsidR="00A777C2">
        <w:rPr>
          <w:color w:val="000000" w:themeColor="text1"/>
        </w:rPr>
        <w:t xml:space="preserve"> the couple shared household expenses, raised their children together, maintained a joint bank account, and lived together as equal</w:t>
      </w:r>
      <w:r w:rsidR="00603BF7">
        <w:rPr>
          <w:color w:val="000000" w:themeColor="text1"/>
        </w:rPr>
        <w:t xml:space="preserve"> partners. She further claims that her £60,000 contribution to the house</w:t>
      </w:r>
      <w:r w:rsidR="00B0767C">
        <w:rPr>
          <w:color w:val="000000" w:themeColor="text1"/>
        </w:rPr>
        <w:t>’s renovations and repairs after storm damage shows a detrimental reliance on a belief that the property was shared.</w:t>
      </w:r>
      <w:r w:rsidR="00091C2F">
        <w:rPr>
          <w:color w:val="000000" w:themeColor="text1"/>
        </w:rPr>
        <w:t xml:space="preserve"> </w:t>
      </w:r>
    </w:p>
    <w:p w14:paraId="5E287367" w14:textId="60EE2AAC" w:rsidR="00B0767C" w:rsidRPr="0098202F" w:rsidRDefault="00091C2F" w:rsidP="0098202F">
      <w:pPr>
        <w:pStyle w:val="Heading2"/>
        <w:numPr>
          <w:ilvl w:val="0"/>
          <w:numId w:val="0"/>
        </w:numPr>
        <w:ind w:left="680"/>
        <w:rPr>
          <w:color w:val="000000" w:themeColor="text1"/>
        </w:rPr>
      </w:pPr>
      <w:r>
        <w:rPr>
          <w:color w:val="000000" w:themeColor="text1"/>
        </w:rPr>
        <w:t xml:space="preserve">However, </w:t>
      </w:r>
      <w:r w:rsidR="00046C22">
        <w:rPr>
          <w:color w:val="000000" w:themeColor="text1"/>
        </w:rPr>
        <w:t xml:space="preserve">the defendant, Jennifer Williams, argues that </w:t>
      </w:r>
      <w:r w:rsidR="0098202F">
        <w:rPr>
          <w:color w:val="000000" w:themeColor="text1"/>
        </w:rPr>
        <w:t xml:space="preserve">the </w:t>
      </w:r>
      <w:r w:rsidR="00046C22">
        <w:rPr>
          <w:color w:val="000000" w:themeColor="text1"/>
        </w:rPr>
        <w:t>legal principle governing constructive trust need</w:t>
      </w:r>
      <w:r w:rsidR="004211EA">
        <w:rPr>
          <w:color w:val="000000" w:themeColor="text1"/>
        </w:rPr>
        <w:t>s</w:t>
      </w:r>
      <w:r w:rsidR="00046C22">
        <w:rPr>
          <w:color w:val="000000" w:themeColor="text1"/>
        </w:rPr>
        <w:t xml:space="preserve"> clear evidence of a common intention between the </w:t>
      </w:r>
      <w:r w:rsidR="004211EA">
        <w:rPr>
          <w:color w:val="000000" w:themeColor="text1"/>
        </w:rPr>
        <w:t xml:space="preserve">parties to share ownership, as well as detrimental reliance on that intention. The defendant argues that the current case is different from Geary v Rankin [2012] EWCA Civ 555, </w:t>
      </w:r>
      <w:r w:rsidR="003D2720">
        <w:rPr>
          <w:color w:val="000000" w:themeColor="text1"/>
        </w:rPr>
        <w:t>considering that The Gatehouse was purchased by the defendant alone in 1995, before the relationship, with the funds that w</w:t>
      </w:r>
      <w:r w:rsidR="0098202F">
        <w:rPr>
          <w:color w:val="000000" w:themeColor="text1"/>
        </w:rPr>
        <w:t>ere</w:t>
      </w:r>
      <w:r w:rsidR="003D2720">
        <w:rPr>
          <w:color w:val="000000" w:themeColor="text1"/>
        </w:rPr>
        <w:t xml:space="preserve"> inherited and without any contribution from the claimant. Furthermore, the parties decided not to formal</w:t>
      </w:r>
      <w:r w:rsidR="005E08CB">
        <w:rPr>
          <w:color w:val="000000" w:themeColor="text1"/>
        </w:rPr>
        <w:t>ise any joint beneficial</w:t>
      </w:r>
      <w:r w:rsidR="0098202F">
        <w:rPr>
          <w:color w:val="000000" w:themeColor="text1"/>
        </w:rPr>
        <w:t xml:space="preserve"> interest in the property even though they had legal advice in 2014 that suggested an express declaration of trust.</w:t>
      </w:r>
    </w:p>
    <w:p w14:paraId="6E437C61" w14:textId="4AF799A9" w:rsidR="00551EEB" w:rsidRPr="00551EEB" w:rsidRDefault="005F216E" w:rsidP="00551EEB">
      <w:pPr>
        <w:pStyle w:val="Heading1"/>
      </w:pPr>
      <w:r w:rsidRPr="009D531E">
        <w:t xml:space="preserve">Submissions </w:t>
      </w:r>
    </w:p>
    <w:p w14:paraId="524C94AF" w14:textId="77777777" w:rsidR="00F02ACA" w:rsidRDefault="00980D6E" w:rsidP="00F76905">
      <w:pPr>
        <w:pStyle w:val="Heading2"/>
        <w:rPr>
          <w:color w:val="000000" w:themeColor="text1"/>
        </w:rPr>
      </w:pPr>
      <w:r w:rsidRPr="00F76905">
        <w:rPr>
          <w:color w:val="000000" w:themeColor="text1"/>
        </w:rPr>
        <w:t xml:space="preserve">The defendant </w:t>
      </w:r>
      <w:r w:rsidR="00426056" w:rsidRPr="00F76905">
        <w:rPr>
          <w:color w:val="000000" w:themeColor="text1"/>
        </w:rPr>
        <w:t>argues that the claimant is unable to demonstrate a common intention</w:t>
      </w:r>
      <w:r w:rsidR="00F76905" w:rsidRPr="00F76905">
        <w:rPr>
          <w:color w:val="000000" w:themeColor="text1"/>
        </w:rPr>
        <w:t xml:space="preserve"> common trust. </w:t>
      </w:r>
    </w:p>
    <w:p w14:paraId="59CF604E" w14:textId="4BE290DA" w:rsidR="00F02ACA" w:rsidRDefault="00F02ACA" w:rsidP="00F02ACA">
      <w:pPr>
        <w:rPr>
          <w:rFonts w:ascii="Arial" w:hAnsi="Arial" w:cs="Arial"/>
          <w:b/>
          <w:bCs/>
        </w:rPr>
      </w:pPr>
      <w:r w:rsidRPr="005969C8">
        <w:rPr>
          <w:rFonts w:ascii="Arial" w:hAnsi="Arial" w:cs="Arial"/>
          <w:b/>
          <w:bCs/>
        </w:rPr>
        <w:t xml:space="preserve">Absence of Common Intention </w:t>
      </w:r>
    </w:p>
    <w:p w14:paraId="5D8068D3" w14:textId="77777777" w:rsidR="00537A5F" w:rsidRPr="005969C8" w:rsidRDefault="00537A5F" w:rsidP="00F02ACA">
      <w:pPr>
        <w:rPr>
          <w:rFonts w:ascii="Arial" w:hAnsi="Arial" w:cs="Arial"/>
          <w:b/>
          <w:bCs/>
        </w:rPr>
      </w:pPr>
    </w:p>
    <w:p w14:paraId="38E5F220" w14:textId="77777777" w:rsidR="00277060" w:rsidRDefault="005969C8" w:rsidP="00F76905">
      <w:pPr>
        <w:pStyle w:val="Heading2"/>
        <w:rPr>
          <w:color w:val="000000" w:themeColor="text1"/>
        </w:rPr>
      </w:pPr>
      <w:r>
        <w:rPr>
          <w:color w:val="000000" w:themeColor="text1"/>
        </w:rPr>
        <w:t>The Defendant purchased the property in 1995, nine years prior to the start of their relationship</w:t>
      </w:r>
      <w:r w:rsidR="008C4ED8">
        <w:rPr>
          <w:color w:val="000000" w:themeColor="text1"/>
        </w:rPr>
        <w:t>.</w:t>
      </w:r>
      <w:r w:rsidR="0076572F">
        <w:rPr>
          <w:color w:val="000000" w:themeColor="text1"/>
        </w:rPr>
        <w:t xml:space="preserve"> </w:t>
      </w:r>
      <w:r w:rsidR="008C4ED8">
        <w:rPr>
          <w:color w:val="000000" w:themeColor="text1"/>
        </w:rPr>
        <w:t>S</w:t>
      </w:r>
      <w:r w:rsidR="0076572F">
        <w:rPr>
          <w:color w:val="000000" w:themeColor="text1"/>
        </w:rPr>
        <w:t>he used funds that were inherited</w:t>
      </w:r>
      <w:r w:rsidR="008C4ED8">
        <w:rPr>
          <w:color w:val="000000" w:themeColor="text1"/>
        </w:rPr>
        <w:t>,</w:t>
      </w:r>
      <w:r w:rsidR="0076572F">
        <w:rPr>
          <w:color w:val="000000" w:themeColor="text1"/>
        </w:rPr>
        <w:t xml:space="preserve"> without the claimant </w:t>
      </w:r>
      <w:r w:rsidR="008C4ED8">
        <w:rPr>
          <w:color w:val="000000" w:themeColor="text1"/>
        </w:rPr>
        <w:lastRenderedPageBreak/>
        <w:t>m</w:t>
      </w:r>
      <w:r w:rsidR="0076572F">
        <w:rPr>
          <w:color w:val="000000" w:themeColor="text1"/>
        </w:rPr>
        <w:t>aking any financial contribution</w:t>
      </w:r>
      <w:r w:rsidR="008C4ED8">
        <w:rPr>
          <w:color w:val="000000" w:themeColor="text1"/>
        </w:rPr>
        <w:t>. The legal title remained solely in the Defendant</w:t>
      </w:r>
      <w:r w:rsidR="00880851">
        <w:rPr>
          <w:color w:val="000000" w:themeColor="text1"/>
        </w:rPr>
        <w:t>’</w:t>
      </w:r>
      <w:r w:rsidR="008C4ED8">
        <w:rPr>
          <w:color w:val="000000" w:themeColor="text1"/>
        </w:rPr>
        <w:t>s name</w:t>
      </w:r>
      <w:r w:rsidR="00D1624F">
        <w:rPr>
          <w:color w:val="000000" w:themeColor="text1"/>
        </w:rPr>
        <w:t xml:space="preserve"> throughout the relationship. Legal advice was provided </w:t>
      </w:r>
      <w:r w:rsidR="00880851">
        <w:rPr>
          <w:color w:val="000000" w:themeColor="text1"/>
        </w:rPr>
        <w:t>to both parties in 2014, confirmin</w:t>
      </w:r>
      <w:r w:rsidR="00001F02">
        <w:rPr>
          <w:color w:val="000000" w:themeColor="text1"/>
        </w:rPr>
        <w:t xml:space="preserve">g that the claimant had no legal claim to the property and suggesting that if they wanted to share ownership, an express declaration of trust should be made. However, no declaration was made </w:t>
      </w:r>
      <w:r w:rsidR="001C2704">
        <w:rPr>
          <w:color w:val="000000" w:themeColor="text1"/>
        </w:rPr>
        <w:t>despite</w:t>
      </w:r>
      <w:r w:rsidR="00001F02">
        <w:rPr>
          <w:color w:val="000000" w:themeColor="text1"/>
        </w:rPr>
        <w:t xml:space="preserve"> this counsel. As stated by the House of Lords (2007) and v</w:t>
      </w:r>
      <w:r w:rsidR="006933DA">
        <w:rPr>
          <w:color w:val="000000" w:themeColor="text1"/>
        </w:rPr>
        <w:t>le</w:t>
      </w:r>
      <w:r w:rsidR="009D63D4">
        <w:rPr>
          <w:color w:val="000000" w:themeColor="text1"/>
        </w:rPr>
        <w:t>x</w:t>
      </w:r>
      <w:r w:rsidR="006933DA">
        <w:rPr>
          <w:color w:val="000000" w:themeColor="text1"/>
        </w:rPr>
        <w:t xml:space="preserve"> (1988). The Courts highlighted that a beneficial interest requires</w:t>
      </w:r>
      <w:r w:rsidR="009D63D4">
        <w:rPr>
          <w:color w:val="000000" w:themeColor="text1"/>
        </w:rPr>
        <w:t xml:space="preserve"> clear evidence of a common intention in decision</w:t>
      </w:r>
      <w:r w:rsidR="00A07126">
        <w:rPr>
          <w:color w:val="000000" w:themeColor="text1"/>
        </w:rPr>
        <w:t>s like Lloyds Bank Plc</w:t>
      </w:r>
      <w:r w:rsidR="00E44F48">
        <w:rPr>
          <w:color w:val="000000" w:themeColor="text1"/>
        </w:rPr>
        <w:t xml:space="preserve"> v Rosset [1988] EWCA Civ J0513-7 and </w:t>
      </w:r>
      <w:r w:rsidR="009309BF">
        <w:rPr>
          <w:color w:val="000000" w:themeColor="text1"/>
        </w:rPr>
        <w:t>Stack v Dowden [2005] EWCA Civ 857</w:t>
      </w:r>
      <w:r w:rsidR="001C2704">
        <w:rPr>
          <w:color w:val="000000" w:themeColor="text1"/>
        </w:rPr>
        <w:t>/ [2007] UKHL 1.</w:t>
      </w:r>
      <w:r w:rsidR="0045153C">
        <w:rPr>
          <w:color w:val="000000" w:themeColor="text1"/>
        </w:rPr>
        <w:t xml:space="preserve"> Therefore, the defendant argues that the lack of a written agreement after receiving clear legal advice shows that there was no common intention to</w:t>
      </w:r>
      <w:r w:rsidR="00006E5F">
        <w:rPr>
          <w:color w:val="000000" w:themeColor="text1"/>
        </w:rPr>
        <w:t xml:space="preserve">wards </w:t>
      </w:r>
      <w:r w:rsidR="0045153C">
        <w:rPr>
          <w:color w:val="000000" w:themeColor="text1"/>
        </w:rPr>
        <w:t>share ownership.</w:t>
      </w:r>
      <w:r w:rsidR="00277060">
        <w:rPr>
          <w:color w:val="000000" w:themeColor="text1"/>
        </w:rPr>
        <w:t xml:space="preserve"> </w:t>
      </w:r>
    </w:p>
    <w:p w14:paraId="078E2B09" w14:textId="77777777" w:rsidR="00537A5F" w:rsidRPr="00537A5F" w:rsidRDefault="00537A5F" w:rsidP="00537A5F"/>
    <w:p w14:paraId="0C99A126" w14:textId="0BFEEAD9" w:rsidR="00277060" w:rsidRDefault="00277060" w:rsidP="00277060">
      <w:pPr>
        <w:rPr>
          <w:rFonts w:ascii="Arial" w:hAnsi="Arial" w:cs="Arial"/>
          <w:b/>
          <w:bCs/>
        </w:rPr>
      </w:pPr>
      <w:r w:rsidRPr="00277060">
        <w:rPr>
          <w:rFonts w:ascii="Arial" w:hAnsi="Arial" w:cs="Arial"/>
          <w:b/>
          <w:bCs/>
        </w:rPr>
        <w:t>Alleged Assurances</w:t>
      </w:r>
    </w:p>
    <w:p w14:paraId="7D341E06" w14:textId="77777777" w:rsidR="00537A5F" w:rsidRPr="00277060" w:rsidRDefault="00537A5F" w:rsidP="00277060">
      <w:pPr>
        <w:rPr>
          <w:rFonts w:ascii="Arial" w:hAnsi="Arial" w:cs="Arial"/>
          <w:b/>
          <w:bCs/>
        </w:rPr>
      </w:pPr>
    </w:p>
    <w:p w14:paraId="4CC5756F" w14:textId="77777777" w:rsidR="009E58BB" w:rsidRDefault="00277060" w:rsidP="00F76905">
      <w:pPr>
        <w:pStyle w:val="Heading2"/>
        <w:rPr>
          <w:color w:val="000000" w:themeColor="text1"/>
        </w:rPr>
      </w:pPr>
      <w:r>
        <w:rPr>
          <w:color w:val="000000" w:themeColor="text1"/>
        </w:rPr>
        <w:t xml:space="preserve">The Defendant </w:t>
      </w:r>
      <w:r w:rsidR="002055A5">
        <w:rPr>
          <w:color w:val="000000" w:themeColor="text1"/>
        </w:rPr>
        <w:t>disputes that the Claimant’s alleged assurances that “everything would be divided 50/50” in relation to the ownership of The Gatehouse</w:t>
      </w:r>
      <w:r w:rsidR="001B37C3">
        <w:rPr>
          <w:color w:val="000000" w:themeColor="text1"/>
        </w:rPr>
        <w:t>. Even if such assertions were made, they are unclear and lack the clarity required to demonstrate a common intention. The Court of Appeal ruled in</w:t>
      </w:r>
      <w:r w:rsidR="00A44C1C">
        <w:rPr>
          <w:color w:val="000000" w:themeColor="text1"/>
        </w:rPr>
        <w:t xml:space="preserve"> James v Thomas [2007] EWCA Civ 1212 that assumptions about a common future are not enough to establish a beneficial interest. (Casemine, 2023). Additionally, the rul</w:t>
      </w:r>
      <w:r w:rsidR="00502513">
        <w:rPr>
          <w:color w:val="000000" w:themeColor="text1"/>
        </w:rPr>
        <w:t>i</w:t>
      </w:r>
      <w:r w:rsidR="00A44C1C">
        <w:rPr>
          <w:color w:val="000000" w:themeColor="text1"/>
        </w:rPr>
        <w:t>ng in Lloyds Bank plc v Rosset [1988] EWCA Civ</w:t>
      </w:r>
      <w:r w:rsidR="00502513">
        <w:rPr>
          <w:color w:val="000000" w:themeColor="text1"/>
        </w:rPr>
        <w:t xml:space="preserve"> J0513-7 establishes that there must be clear evidence of intention. (vlex, 1988)</w:t>
      </w:r>
      <w:r w:rsidR="00853F3A">
        <w:rPr>
          <w:color w:val="000000" w:themeColor="text1"/>
        </w:rPr>
        <w:t xml:space="preserve">. Therefore, the 2014 text messages do not constitute a legally binding commitment; rather, they are </w:t>
      </w:r>
      <w:r w:rsidR="003F7D57">
        <w:rPr>
          <w:color w:val="000000" w:themeColor="text1"/>
        </w:rPr>
        <w:t>merely expressions of</w:t>
      </w:r>
      <w:r w:rsidR="00853F3A">
        <w:rPr>
          <w:color w:val="000000" w:themeColor="text1"/>
        </w:rPr>
        <w:t xml:space="preserve"> emotional comfort.</w:t>
      </w:r>
    </w:p>
    <w:p w14:paraId="40DF999D" w14:textId="77777777" w:rsidR="00537A5F" w:rsidRPr="00537A5F" w:rsidRDefault="00537A5F" w:rsidP="00537A5F"/>
    <w:p w14:paraId="2F4D3DEA" w14:textId="3F0341A5" w:rsidR="009E58BB" w:rsidRDefault="009E58BB" w:rsidP="009E58BB">
      <w:pPr>
        <w:rPr>
          <w:rFonts w:ascii="Arial" w:hAnsi="Arial" w:cs="Arial"/>
          <w:b/>
          <w:bCs/>
        </w:rPr>
      </w:pPr>
      <w:r w:rsidRPr="00E00E65">
        <w:rPr>
          <w:rFonts w:ascii="Arial" w:hAnsi="Arial" w:cs="Arial"/>
          <w:b/>
          <w:bCs/>
        </w:rPr>
        <w:t xml:space="preserve">Lack of Relevant Detrimental </w:t>
      </w:r>
      <w:r w:rsidR="003D41FC" w:rsidRPr="00E00E65">
        <w:rPr>
          <w:rFonts w:ascii="Arial" w:hAnsi="Arial" w:cs="Arial"/>
          <w:b/>
          <w:bCs/>
        </w:rPr>
        <w:t>Reliance</w:t>
      </w:r>
    </w:p>
    <w:p w14:paraId="2701F882" w14:textId="77777777" w:rsidR="00537A5F" w:rsidRPr="00E00E65" w:rsidRDefault="00537A5F" w:rsidP="009E58BB">
      <w:pPr>
        <w:rPr>
          <w:rFonts w:ascii="Arial" w:hAnsi="Arial" w:cs="Arial"/>
          <w:b/>
          <w:bCs/>
        </w:rPr>
      </w:pPr>
    </w:p>
    <w:p w14:paraId="5B7B713E" w14:textId="0009A240" w:rsidR="00F76905" w:rsidRPr="00803FB4" w:rsidRDefault="009E58BB" w:rsidP="00F76905">
      <w:pPr>
        <w:pStyle w:val="Heading2"/>
        <w:rPr>
          <w:color w:val="000000" w:themeColor="text1"/>
        </w:rPr>
      </w:pPr>
      <w:r>
        <w:rPr>
          <w:color w:val="000000" w:themeColor="text1"/>
        </w:rPr>
        <w:t xml:space="preserve"> The </w:t>
      </w:r>
      <w:r w:rsidR="00B877B2">
        <w:rPr>
          <w:color w:val="000000" w:themeColor="text1"/>
        </w:rPr>
        <w:t>C</w:t>
      </w:r>
      <w:r>
        <w:rPr>
          <w:color w:val="000000" w:themeColor="text1"/>
        </w:rPr>
        <w:t xml:space="preserve">laimant </w:t>
      </w:r>
      <w:r w:rsidR="007D435B">
        <w:rPr>
          <w:color w:val="000000" w:themeColor="text1"/>
        </w:rPr>
        <w:t xml:space="preserve">uses her £60,000 payment to. Renovations and repairs as </w:t>
      </w:r>
      <w:r w:rsidR="003041F2">
        <w:rPr>
          <w:color w:val="000000" w:themeColor="text1"/>
        </w:rPr>
        <w:t xml:space="preserve">evidence of detrimental reliance. However, the </w:t>
      </w:r>
      <w:r w:rsidR="00B877B2">
        <w:rPr>
          <w:color w:val="000000" w:themeColor="text1"/>
        </w:rPr>
        <w:t>D</w:t>
      </w:r>
      <w:r w:rsidR="003041F2">
        <w:rPr>
          <w:color w:val="000000" w:themeColor="text1"/>
        </w:rPr>
        <w:t xml:space="preserve">efendant argues that this payment was voluntary, given the 2018 text </w:t>
      </w:r>
      <w:r w:rsidR="00B877B2">
        <w:rPr>
          <w:color w:val="000000" w:themeColor="text1"/>
        </w:rPr>
        <w:t>messages in which the Claimant promised to pay and referred to the house as “our house</w:t>
      </w:r>
      <w:r w:rsidR="002F5055">
        <w:rPr>
          <w:color w:val="000000" w:themeColor="text1"/>
        </w:rPr>
        <w:t>.</w:t>
      </w:r>
      <w:r w:rsidR="00B877B2">
        <w:rPr>
          <w:color w:val="000000" w:themeColor="text1"/>
        </w:rPr>
        <w:t>”</w:t>
      </w:r>
      <w:r w:rsidR="002F5055">
        <w:rPr>
          <w:color w:val="000000" w:themeColor="text1"/>
        </w:rPr>
        <w:t xml:space="preserve"> This implies</w:t>
      </w:r>
      <w:r w:rsidR="006E49AA">
        <w:rPr>
          <w:color w:val="000000" w:themeColor="text1"/>
        </w:rPr>
        <w:t xml:space="preserve"> a personal choice rather than</w:t>
      </w:r>
      <w:r w:rsidR="00CA2FD5">
        <w:rPr>
          <w:color w:val="000000" w:themeColor="text1"/>
        </w:rPr>
        <w:t xml:space="preserve"> relying on any ownership arrangement. The court in Lloyds Bank plc v Rosset</w:t>
      </w:r>
      <w:r w:rsidR="003D1849">
        <w:rPr>
          <w:color w:val="000000" w:themeColor="text1"/>
        </w:rPr>
        <w:t xml:space="preserve"> [1988] EWCA Civ J0513-7 underlined that a </w:t>
      </w:r>
      <w:r w:rsidR="003D1849">
        <w:rPr>
          <w:color w:val="000000" w:themeColor="text1"/>
        </w:rPr>
        <w:lastRenderedPageBreak/>
        <w:t>beneficial interest</w:t>
      </w:r>
      <w:r w:rsidR="008C518A">
        <w:rPr>
          <w:color w:val="000000" w:themeColor="text1"/>
        </w:rPr>
        <w:t xml:space="preserve"> is only supported by direct payments related to the purchase of the property</w:t>
      </w:r>
      <w:r w:rsidR="003B59A3">
        <w:rPr>
          <w:color w:val="000000" w:themeColor="text1"/>
        </w:rPr>
        <w:t>. (vlex,1988). Similar rulings were made</w:t>
      </w:r>
      <w:r w:rsidR="00121032">
        <w:rPr>
          <w:color w:val="000000" w:themeColor="text1"/>
        </w:rPr>
        <w:t xml:space="preserve"> in Burns v Burns [1984] Ch 317, regarding contributions to upgrades and household expenses. (casemine, </w:t>
      </w:r>
      <w:r w:rsidR="00E141EB">
        <w:rPr>
          <w:color w:val="000000" w:themeColor="text1"/>
        </w:rPr>
        <w:t>2023). The claimant’s contribution does not a</w:t>
      </w:r>
      <w:r w:rsidR="00F54956">
        <w:rPr>
          <w:color w:val="000000" w:themeColor="text1"/>
        </w:rPr>
        <w:t>m</w:t>
      </w:r>
      <w:r w:rsidR="00E141EB">
        <w:rPr>
          <w:color w:val="000000" w:themeColor="text1"/>
        </w:rPr>
        <w:t>ount to detri</w:t>
      </w:r>
      <w:r w:rsidR="00F54956">
        <w:rPr>
          <w:color w:val="000000" w:themeColor="text1"/>
        </w:rPr>
        <w:t>mental reliance establishing a constructive trust because she got financial help and lived in the house rent-free for many years.</w:t>
      </w:r>
    </w:p>
    <w:p w14:paraId="22F84A5B" w14:textId="77777777" w:rsidR="005F216E" w:rsidRPr="009D531E" w:rsidRDefault="005F216E" w:rsidP="009D531E">
      <w:pPr>
        <w:pStyle w:val="Heading1"/>
      </w:pPr>
      <w:r w:rsidRPr="009D531E">
        <w:t xml:space="preserve">Conclusions </w:t>
      </w:r>
    </w:p>
    <w:p w14:paraId="1255B254" w14:textId="77777777" w:rsidR="0075695E" w:rsidRPr="00674F24" w:rsidRDefault="0075695E" w:rsidP="0075695E">
      <w:pPr>
        <w:pStyle w:val="Heading2"/>
        <w:rPr>
          <w:color w:val="000000" w:themeColor="text1"/>
        </w:rPr>
      </w:pPr>
      <w:r w:rsidRPr="00674F24">
        <w:rPr>
          <w:color w:val="000000" w:themeColor="text1"/>
        </w:rPr>
        <w:t>The claimant is unable to prove a meaningful harm or a shared purpose. The defendant continues to be the only beneficial and legal owner, and no constructive trust develops.</w:t>
      </w:r>
    </w:p>
    <w:p w14:paraId="3FA2DFDB" w14:textId="77777777" w:rsidR="005F216E" w:rsidRPr="009D531E" w:rsidRDefault="005F216E" w:rsidP="009D531E">
      <w:pPr>
        <w:pStyle w:val="Heading1"/>
        <w:numPr>
          <w:ilvl w:val="0"/>
          <w:numId w:val="0"/>
        </w:numPr>
        <w:ind w:left="680" w:hanging="680"/>
        <w:rPr>
          <w:rStyle w:val="SubtleEmphasis"/>
          <w:b/>
          <w:iCs w:val="0"/>
        </w:rPr>
      </w:pPr>
      <w:r w:rsidRPr="009D531E">
        <w:rPr>
          <w:rStyle w:val="SubtleEmphasis"/>
          <w:b/>
          <w:iCs w:val="0"/>
        </w:rPr>
        <w:t xml:space="preserve">Claim arising under a proprietary estoppel </w:t>
      </w:r>
    </w:p>
    <w:p w14:paraId="6672ADB9" w14:textId="77777777" w:rsidR="005F216E" w:rsidRPr="009D531E" w:rsidRDefault="005F216E" w:rsidP="009D531E">
      <w:pPr>
        <w:pStyle w:val="Heading1"/>
      </w:pPr>
      <w:r w:rsidRPr="009D531E">
        <w:t xml:space="preserve">The law </w:t>
      </w:r>
    </w:p>
    <w:p w14:paraId="27E6EAD9" w14:textId="77777777" w:rsidR="003570C4" w:rsidRDefault="004E30DD" w:rsidP="006249F4">
      <w:pPr>
        <w:pStyle w:val="Heading2"/>
        <w:rPr>
          <w:color w:val="000000" w:themeColor="text1"/>
        </w:rPr>
      </w:pPr>
      <w:r w:rsidRPr="006B2CD5">
        <w:rPr>
          <w:color w:val="000000" w:themeColor="text1"/>
        </w:rPr>
        <w:t xml:space="preserve"> An </w:t>
      </w:r>
      <w:r w:rsidR="006B2CD5" w:rsidRPr="006B2CD5">
        <w:rPr>
          <w:color w:val="000000" w:themeColor="text1"/>
        </w:rPr>
        <w:t>equitable doctrine known as ‘Proprietary estoppel’</w:t>
      </w:r>
      <w:r w:rsidR="00800EBE">
        <w:rPr>
          <w:color w:val="000000" w:themeColor="text1"/>
        </w:rPr>
        <w:t xml:space="preserve"> prevent</w:t>
      </w:r>
      <w:r w:rsidR="000F4025">
        <w:rPr>
          <w:color w:val="000000" w:themeColor="text1"/>
        </w:rPr>
        <w:t>s</w:t>
      </w:r>
      <w:r w:rsidR="00800EBE">
        <w:rPr>
          <w:color w:val="000000" w:themeColor="text1"/>
        </w:rPr>
        <w:t xml:space="preserve"> one party from </w:t>
      </w:r>
      <w:r w:rsidR="000F4025">
        <w:rPr>
          <w:color w:val="000000" w:themeColor="text1"/>
        </w:rPr>
        <w:t>rejecting another’s property rights, given that doing so would be un</w:t>
      </w:r>
      <w:r w:rsidR="008E12AF">
        <w:rPr>
          <w:color w:val="000000" w:themeColor="text1"/>
        </w:rPr>
        <w:t>conscionable. To establish proprietary estoppel</w:t>
      </w:r>
      <w:r w:rsidR="005C4689">
        <w:rPr>
          <w:color w:val="000000" w:themeColor="text1"/>
        </w:rPr>
        <w:t>, the claimant must demonstrate a clear assurance or representation on property rights, reliance on tha</w:t>
      </w:r>
      <w:r w:rsidR="0039554C">
        <w:rPr>
          <w:color w:val="000000" w:themeColor="text1"/>
        </w:rPr>
        <w:t>t assurance and detriment suffered. (LexisNexis, 2026).</w:t>
      </w:r>
      <w:r w:rsidR="006249F4">
        <w:rPr>
          <w:color w:val="000000" w:themeColor="text1"/>
        </w:rPr>
        <w:t xml:space="preserve"> </w:t>
      </w:r>
    </w:p>
    <w:p w14:paraId="502D0877" w14:textId="77777777" w:rsidR="003570C4" w:rsidRDefault="006249F4" w:rsidP="006249F4">
      <w:pPr>
        <w:pStyle w:val="Heading2"/>
        <w:rPr>
          <w:color w:val="000000" w:themeColor="text1"/>
        </w:rPr>
      </w:pPr>
      <w:r>
        <w:rPr>
          <w:color w:val="000000" w:themeColor="text1"/>
        </w:rPr>
        <w:t xml:space="preserve">Curran v Collins [2015] </w:t>
      </w:r>
      <w:r w:rsidR="003570C4">
        <w:rPr>
          <w:color w:val="000000" w:themeColor="text1"/>
        </w:rPr>
        <w:t xml:space="preserve">EWCA Civ 404 established a summary of these elements. </w:t>
      </w:r>
    </w:p>
    <w:p w14:paraId="7F5564DA" w14:textId="77777777" w:rsidR="00987C0D" w:rsidRDefault="003570C4" w:rsidP="006249F4">
      <w:pPr>
        <w:pStyle w:val="Heading2"/>
        <w:rPr>
          <w:color w:val="000000" w:themeColor="text1"/>
        </w:rPr>
      </w:pPr>
      <w:r>
        <w:rPr>
          <w:color w:val="000000" w:themeColor="text1"/>
        </w:rPr>
        <w:t xml:space="preserve">In Thorner v Major [2009] UKHL 18, the court established that a claimant may rely on unofficial property guarantees </w:t>
      </w:r>
      <w:r w:rsidR="00996822" w:rsidRPr="00127808">
        <w:rPr>
          <w:color w:val="000000" w:themeColor="text1"/>
        </w:rPr>
        <w:t>provided they are sufficiently explicit, the claimant acts in reliance on them, and the claimant experiences a negative outcome.</w:t>
      </w:r>
      <w:r w:rsidR="00996822">
        <w:rPr>
          <w:color w:val="000000" w:themeColor="text1"/>
        </w:rPr>
        <w:t xml:space="preserve"> (House of Lords, 2008). </w:t>
      </w:r>
    </w:p>
    <w:p w14:paraId="18E78CEF" w14:textId="0201AA5B" w:rsidR="003C5B89" w:rsidRDefault="00987C0D" w:rsidP="003C5B89">
      <w:pPr>
        <w:pStyle w:val="Heading2"/>
        <w:rPr>
          <w:color w:val="000000" w:themeColor="text1"/>
        </w:rPr>
      </w:pPr>
      <w:r>
        <w:rPr>
          <w:color w:val="000000" w:themeColor="text1"/>
        </w:rPr>
        <w:t>According to James v Thomas [2007] EWCA Civ 1212,</w:t>
      </w:r>
      <w:r w:rsidR="00535509">
        <w:rPr>
          <w:color w:val="000000" w:themeColor="text1"/>
        </w:rPr>
        <w:t xml:space="preserve"> ambiguous or relational statements are insufficient. The guarantee must be specific to the property’s ownership or rights, not just general declarations of commitment.</w:t>
      </w:r>
      <w:r w:rsidR="00097359">
        <w:rPr>
          <w:color w:val="000000" w:themeColor="text1"/>
        </w:rPr>
        <w:t xml:space="preserve"> (</w:t>
      </w:r>
      <w:r w:rsidR="003062EF">
        <w:rPr>
          <w:color w:val="000000" w:themeColor="text1"/>
        </w:rPr>
        <w:t xml:space="preserve">Casemine, 2023). </w:t>
      </w:r>
      <w:r w:rsidR="003C5B89">
        <w:rPr>
          <w:color w:val="000000" w:themeColor="text1"/>
        </w:rPr>
        <w:t>It must be demonstrated that reliance comes from the</w:t>
      </w:r>
      <w:r w:rsidR="008C1F91">
        <w:rPr>
          <w:color w:val="000000" w:themeColor="text1"/>
        </w:rPr>
        <w:t xml:space="preserve"> </w:t>
      </w:r>
      <w:r w:rsidR="003C5B89">
        <w:rPr>
          <w:color w:val="000000" w:themeColor="text1"/>
        </w:rPr>
        <w:lastRenderedPageBreak/>
        <w:t>guarantees rather than from cohabitation or relationship expectations. For cohabiting couples, harm must be significant and “out of the ordinary.”</w:t>
      </w:r>
    </w:p>
    <w:p w14:paraId="16DC50F6" w14:textId="06C4DD2F" w:rsidR="008C1F91" w:rsidRPr="008C1F91" w:rsidRDefault="00BA2195" w:rsidP="008C1F91">
      <w:pPr>
        <w:pStyle w:val="Heading2"/>
        <w:rPr>
          <w:color w:val="000000" w:themeColor="text1"/>
        </w:rPr>
      </w:pPr>
      <w:r>
        <w:rPr>
          <w:color w:val="000000" w:themeColor="text1"/>
        </w:rPr>
        <w:t>According to Jennings v Rice &amp; Ors [2003] 1 FCR 50</w:t>
      </w:r>
      <w:r w:rsidR="008C1F91">
        <w:rPr>
          <w:color w:val="000000" w:themeColor="text1"/>
        </w:rPr>
        <w:t>1, if estoppel is shown, the remedy must be reasonable and offer just the bare minimum of equity to achieve justice. (Casemine, 2023).</w:t>
      </w:r>
    </w:p>
    <w:p w14:paraId="3C3827A7" w14:textId="77777777" w:rsidR="005F216E" w:rsidRPr="009D531E" w:rsidRDefault="005F216E" w:rsidP="009D531E">
      <w:pPr>
        <w:pStyle w:val="Heading1"/>
      </w:pPr>
      <w:r w:rsidRPr="009D531E">
        <w:t xml:space="preserve">Submissions </w:t>
      </w:r>
    </w:p>
    <w:p w14:paraId="49FD31BF" w14:textId="77777777" w:rsidR="000837CC" w:rsidRDefault="0061124B" w:rsidP="007E490D">
      <w:pPr>
        <w:pStyle w:val="Heading2"/>
        <w:rPr>
          <w:color w:val="000000" w:themeColor="text1"/>
        </w:rPr>
      </w:pPr>
      <w:r w:rsidRPr="007E490D">
        <w:rPr>
          <w:color w:val="000000" w:themeColor="text1"/>
        </w:rPr>
        <w:t xml:space="preserve">The </w:t>
      </w:r>
      <w:r w:rsidR="007E490D" w:rsidRPr="007E490D">
        <w:rPr>
          <w:color w:val="000000" w:themeColor="text1"/>
        </w:rPr>
        <w:t>Defendant</w:t>
      </w:r>
      <w:r w:rsidR="000B7052">
        <w:rPr>
          <w:color w:val="000000" w:themeColor="text1"/>
        </w:rPr>
        <w:t xml:space="preserve"> submits that proprietary estoppel cannot be shown by the Claimant. </w:t>
      </w:r>
    </w:p>
    <w:p w14:paraId="3304088A" w14:textId="5308208E" w:rsidR="000837CC" w:rsidRPr="000837CC" w:rsidRDefault="000837CC" w:rsidP="000837CC">
      <w:pPr>
        <w:rPr>
          <w:rFonts w:ascii="Arial" w:hAnsi="Arial" w:cs="Arial"/>
          <w:b/>
          <w:bCs/>
          <w:color w:val="000000" w:themeColor="text1"/>
        </w:rPr>
      </w:pPr>
      <w:r w:rsidRPr="000837CC">
        <w:rPr>
          <w:rFonts w:ascii="Arial" w:hAnsi="Arial" w:cs="Arial"/>
          <w:b/>
          <w:bCs/>
          <w:color w:val="000000" w:themeColor="text1"/>
        </w:rPr>
        <w:t>No Clear Representation</w:t>
      </w:r>
    </w:p>
    <w:p w14:paraId="623B18BF" w14:textId="6961D1D9" w:rsidR="00537A5F" w:rsidRDefault="000B7052" w:rsidP="00537A5F">
      <w:pPr>
        <w:pStyle w:val="Heading2"/>
        <w:rPr>
          <w:color w:val="000000" w:themeColor="text1"/>
        </w:rPr>
      </w:pPr>
      <w:r>
        <w:rPr>
          <w:color w:val="000000" w:themeColor="text1"/>
        </w:rPr>
        <w:t xml:space="preserve">The </w:t>
      </w:r>
      <w:r w:rsidR="000837CC">
        <w:rPr>
          <w:color w:val="000000" w:themeColor="text1"/>
        </w:rPr>
        <w:t xml:space="preserve">Defendant </w:t>
      </w:r>
      <w:r w:rsidR="00BE0F43">
        <w:rPr>
          <w:color w:val="000000" w:themeColor="text1"/>
        </w:rPr>
        <w:t xml:space="preserve">disputes that any declaration granting the Claimant a beneficial interest in the property was made, regardless of the </w:t>
      </w:r>
      <w:r w:rsidR="00A642EB">
        <w:rPr>
          <w:color w:val="000000" w:themeColor="text1"/>
        </w:rPr>
        <w:t>C</w:t>
      </w:r>
      <w:r w:rsidR="00BE0F43">
        <w:rPr>
          <w:color w:val="000000" w:themeColor="text1"/>
        </w:rPr>
        <w:t>laim</w:t>
      </w:r>
      <w:r w:rsidR="00530845">
        <w:rPr>
          <w:color w:val="000000" w:themeColor="text1"/>
        </w:rPr>
        <w:t>ant’s reliance on broad assurances that the property would be divided equally.</w:t>
      </w:r>
      <w:r w:rsidR="00DD0217">
        <w:rPr>
          <w:color w:val="000000" w:themeColor="text1"/>
        </w:rPr>
        <w:t xml:space="preserve"> The relied-upon text messages, such as “you’ve got nothing to worry</w:t>
      </w:r>
      <w:r w:rsidR="00A14F4E">
        <w:rPr>
          <w:color w:val="000000" w:themeColor="text1"/>
        </w:rPr>
        <w:t xml:space="preserve"> about,” do not represent a clear or legally binding agreement of ownership; rather</w:t>
      </w:r>
      <w:r w:rsidR="00E9655B">
        <w:rPr>
          <w:color w:val="000000" w:themeColor="text1"/>
        </w:rPr>
        <w:t>, they are only emotional reassurance within the relationship. The Court of Appeal ruled in James v Thomas [</w:t>
      </w:r>
      <w:r w:rsidR="00BE30E4">
        <w:rPr>
          <w:color w:val="000000" w:themeColor="text1"/>
        </w:rPr>
        <w:t>2007] EWCA Civ 1212 that property rights cannot be established by making unclear statements about a shared future. (Casemine, 2023). Similarly, the court underlined that any guarantee must be explicit and unambigu</w:t>
      </w:r>
      <w:r w:rsidR="006D34D5">
        <w:rPr>
          <w:color w:val="000000" w:themeColor="text1"/>
        </w:rPr>
        <w:t>ous in Thorner v Major [2009] UKHL 18. (House of Lords, 20</w:t>
      </w:r>
      <w:r w:rsidR="00A1134E">
        <w:rPr>
          <w:color w:val="000000" w:themeColor="text1"/>
        </w:rPr>
        <w:t>13)</w:t>
      </w:r>
      <w:r w:rsidR="008803D3">
        <w:rPr>
          <w:color w:val="000000" w:themeColor="text1"/>
        </w:rPr>
        <w:t>.</w:t>
      </w:r>
      <w:r w:rsidR="0063503C">
        <w:rPr>
          <w:color w:val="000000" w:themeColor="text1"/>
        </w:rPr>
        <w:t xml:space="preserve"> As a result, the defendant argues that there was insufficient representation to support a proprietary estoppel claim. </w:t>
      </w:r>
    </w:p>
    <w:p w14:paraId="1EF9E5C2" w14:textId="77777777" w:rsidR="00537A5F" w:rsidRPr="00537A5F" w:rsidRDefault="00537A5F" w:rsidP="00537A5F"/>
    <w:p w14:paraId="6D904ACC" w14:textId="0E08BC89" w:rsidR="0063503C" w:rsidRPr="001B788A" w:rsidRDefault="0063503C" w:rsidP="0063503C">
      <w:pPr>
        <w:rPr>
          <w:rFonts w:ascii="Arial" w:hAnsi="Arial" w:cs="Arial"/>
          <w:b/>
          <w:bCs/>
        </w:rPr>
      </w:pPr>
      <w:r w:rsidRPr="001B788A">
        <w:rPr>
          <w:rFonts w:ascii="Arial" w:hAnsi="Arial" w:cs="Arial"/>
          <w:b/>
          <w:bCs/>
        </w:rPr>
        <w:t>La</w:t>
      </w:r>
      <w:r w:rsidR="001B788A" w:rsidRPr="001B788A">
        <w:rPr>
          <w:rFonts w:ascii="Arial" w:hAnsi="Arial" w:cs="Arial"/>
          <w:b/>
          <w:bCs/>
        </w:rPr>
        <w:t>ck of Reliance</w:t>
      </w:r>
    </w:p>
    <w:p w14:paraId="3F670DCA" w14:textId="77777777" w:rsidR="0050150A" w:rsidRDefault="0063503C" w:rsidP="007E490D">
      <w:pPr>
        <w:pStyle w:val="Heading2"/>
        <w:rPr>
          <w:color w:val="000000" w:themeColor="text1"/>
        </w:rPr>
      </w:pPr>
      <w:r>
        <w:rPr>
          <w:color w:val="000000" w:themeColor="text1"/>
        </w:rPr>
        <w:t xml:space="preserve">The claimant </w:t>
      </w:r>
      <w:r w:rsidR="00C820FF">
        <w:rPr>
          <w:color w:val="000000" w:themeColor="text1"/>
        </w:rPr>
        <w:t xml:space="preserve">must demonstrate that she relied on the assurance when acting against her best interests, even if the court determines that </w:t>
      </w:r>
      <w:r w:rsidR="00A26BD8">
        <w:rPr>
          <w:color w:val="000000" w:themeColor="text1"/>
        </w:rPr>
        <w:t>some kind of assurance was given. The Defendant submits that rather than depending on any assurance of ownership, the Claimant’s payment for repairs</w:t>
      </w:r>
      <w:r w:rsidR="00650488">
        <w:rPr>
          <w:color w:val="000000" w:themeColor="text1"/>
        </w:rPr>
        <w:t xml:space="preserve"> was motivated by their need to restore the family home. The Court of Appeal underlined that reliance must be directly connected to the promise in Curran v Collins [1025] EWCA Civ 404</w:t>
      </w:r>
      <w:r w:rsidR="00D43DBD">
        <w:rPr>
          <w:color w:val="000000" w:themeColor="text1"/>
        </w:rPr>
        <w:t>. (LexisNexis, 2015). In the same way, dependence was only proven in</w:t>
      </w:r>
      <w:r w:rsidR="00C50934">
        <w:rPr>
          <w:color w:val="000000" w:themeColor="text1"/>
        </w:rPr>
        <w:t xml:space="preserve"> Greasley v Cook [1980] 3 All ER 710</w:t>
      </w:r>
      <w:r w:rsidR="00427454">
        <w:rPr>
          <w:color w:val="000000" w:themeColor="text1"/>
        </w:rPr>
        <w:t>,</w:t>
      </w:r>
      <w:r w:rsidR="00C50934">
        <w:rPr>
          <w:color w:val="000000" w:themeColor="text1"/>
        </w:rPr>
        <w:t xml:space="preserve"> where a promise had a direct impact on behav</w:t>
      </w:r>
      <w:r w:rsidR="00427454">
        <w:rPr>
          <w:color w:val="000000" w:themeColor="text1"/>
        </w:rPr>
        <w:t xml:space="preserve">iour. (LexisNexis, 2026). In this case, the </w:t>
      </w:r>
      <w:r w:rsidR="00427454">
        <w:rPr>
          <w:color w:val="000000" w:themeColor="text1"/>
        </w:rPr>
        <w:lastRenderedPageBreak/>
        <w:t>claimant’s action seem</w:t>
      </w:r>
      <w:r w:rsidR="0050150A">
        <w:rPr>
          <w:color w:val="000000" w:themeColor="text1"/>
        </w:rPr>
        <w:t>s</w:t>
      </w:r>
      <w:r w:rsidR="00427454">
        <w:rPr>
          <w:color w:val="000000" w:themeColor="text1"/>
        </w:rPr>
        <w:t xml:space="preserve"> practical and voluntary rather than based on a certain gu</w:t>
      </w:r>
      <w:r w:rsidR="0050150A">
        <w:rPr>
          <w:color w:val="000000" w:themeColor="text1"/>
        </w:rPr>
        <w:t>arantee of beneficial interest.</w:t>
      </w:r>
    </w:p>
    <w:p w14:paraId="579CC36A" w14:textId="77777777" w:rsidR="00537A5F" w:rsidRPr="00537A5F" w:rsidRDefault="00537A5F" w:rsidP="00537A5F"/>
    <w:p w14:paraId="6CD6972A" w14:textId="0EDB0FF3" w:rsidR="0050150A" w:rsidRPr="0050150A" w:rsidRDefault="0050150A" w:rsidP="0050150A">
      <w:pPr>
        <w:rPr>
          <w:rFonts w:ascii="Arial" w:hAnsi="Arial" w:cs="Arial"/>
          <w:b/>
          <w:bCs/>
        </w:rPr>
      </w:pPr>
      <w:r w:rsidRPr="0050150A">
        <w:rPr>
          <w:rFonts w:ascii="Arial" w:hAnsi="Arial" w:cs="Arial"/>
          <w:b/>
          <w:bCs/>
        </w:rPr>
        <w:t>No Relevant Detriment</w:t>
      </w:r>
    </w:p>
    <w:p w14:paraId="69FC2ED0" w14:textId="223EB759" w:rsidR="005F216E" w:rsidRPr="007E490D" w:rsidRDefault="0050150A" w:rsidP="007E490D">
      <w:pPr>
        <w:pStyle w:val="Heading2"/>
        <w:rPr>
          <w:color w:val="000000" w:themeColor="text1"/>
        </w:rPr>
      </w:pPr>
      <w:r>
        <w:rPr>
          <w:color w:val="000000" w:themeColor="text1"/>
        </w:rPr>
        <w:t xml:space="preserve"> Although the claimant made </w:t>
      </w:r>
      <w:r w:rsidR="00B75D7C">
        <w:rPr>
          <w:color w:val="000000" w:themeColor="text1"/>
        </w:rPr>
        <w:t>financial contributions to renovations and repairs</w:t>
      </w:r>
      <w:r w:rsidR="00E35B8E">
        <w:rPr>
          <w:color w:val="000000" w:themeColor="text1"/>
        </w:rPr>
        <w:t>, these</w:t>
      </w:r>
      <w:r w:rsidR="00F5547A">
        <w:rPr>
          <w:color w:val="000000" w:themeColor="text1"/>
        </w:rPr>
        <w:t xml:space="preserve"> contributions are typical in long-term domestic relationships and may not often result in property rights. (Nettleship, S. and </w:t>
      </w:r>
      <w:r w:rsidR="00555AAB">
        <w:rPr>
          <w:color w:val="000000" w:themeColor="text1"/>
        </w:rPr>
        <w:t>O’Donnell, D. 2026). Additionally, the Claimant benefited from the Defendant’s</w:t>
      </w:r>
      <w:r w:rsidR="008E2598">
        <w:rPr>
          <w:color w:val="000000" w:themeColor="text1"/>
        </w:rPr>
        <w:t xml:space="preserve"> financial support while living in the property for many years without paying rent. Ordinary con</w:t>
      </w:r>
      <w:r w:rsidR="003337CE">
        <w:rPr>
          <w:color w:val="000000" w:themeColor="text1"/>
        </w:rPr>
        <w:t>tributions within a relationship are insufficient to establish a beneficial interest, according to the court’s ruling in Burns v Burns [1984] Ch 317. (Casemine, 2023).</w:t>
      </w:r>
      <w:r w:rsidR="00010215">
        <w:rPr>
          <w:color w:val="000000" w:themeColor="text1"/>
        </w:rPr>
        <w:t xml:space="preserve"> Similar to this, contributions given within a relationship were not seen as detrimental reliance in James v Thomas EWCA Civ 1212. (Casemine, 2023). As a result, the financial contributions made by the claimant cannot be classified as detriment resulting</w:t>
      </w:r>
      <w:r w:rsidR="00F02DD0">
        <w:rPr>
          <w:color w:val="000000" w:themeColor="text1"/>
        </w:rPr>
        <w:t xml:space="preserve"> from reliance on a proprietary assurance.</w:t>
      </w:r>
    </w:p>
    <w:p w14:paraId="0A9CE178" w14:textId="77777777" w:rsidR="005F216E" w:rsidRPr="009D531E" w:rsidRDefault="005F216E" w:rsidP="009D531E">
      <w:pPr>
        <w:pStyle w:val="Heading1"/>
      </w:pPr>
      <w:r w:rsidRPr="009D531E">
        <w:t xml:space="preserve">Conclusions </w:t>
      </w:r>
    </w:p>
    <w:p w14:paraId="09D1DC35" w14:textId="77BC3193" w:rsidR="005F216E" w:rsidRPr="009D531E" w:rsidRDefault="005B7E1F" w:rsidP="00A34761">
      <w:pPr>
        <w:pStyle w:val="Heading2"/>
        <w:rPr>
          <w:color w:val="002060"/>
        </w:rPr>
      </w:pPr>
      <w:r w:rsidRPr="00A34761">
        <w:rPr>
          <w:color w:val="000000" w:themeColor="text1"/>
        </w:rPr>
        <w:t xml:space="preserve">The Defendant </w:t>
      </w:r>
      <w:r w:rsidR="00556967" w:rsidRPr="00A34761">
        <w:rPr>
          <w:color w:val="000000" w:themeColor="text1"/>
        </w:rPr>
        <w:t>submits that</w:t>
      </w:r>
      <w:r w:rsidR="00A34761">
        <w:rPr>
          <w:color w:val="000000" w:themeColor="text1"/>
        </w:rPr>
        <w:t xml:space="preserve"> the </w:t>
      </w:r>
      <w:r w:rsidR="00490B0F">
        <w:rPr>
          <w:color w:val="000000" w:themeColor="text1"/>
        </w:rPr>
        <w:t>claimant fail</w:t>
      </w:r>
      <w:r w:rsidR="00FB68A0">
        <w:rPr>
          <w:color w:val="000000" w:themeColor="text1"/>
        </w:rPr>
        <w:t xml:space="preserve">s to meet </w:t>
      </w:r>
      <w:r w:rsidR="006E0993">
        <w:rPr>
          <w:color w:val="000000" w:themeColor="text1"/>
        </w:rPr>
        <w:t xml:space="preserve">the </w:t>
      </w:r>
      <w:r w:rsidR="00FB68A0">
        <w:rPr>
          <w:color w:val="000000" w:themeColor="text1"/>
        </w:rPr>
        <w:t>propriet</w:t>
      </w:r>
      <w:r w:rsidR="00591677">
        <w:rPr>
          <w:color w:val="000000" w:themeColor="text1"/>
        </w:rPr>
        <w:t xml:space="preserve">ary estoppel conditions. The claimant lacks </w:t>
      </w:r>
      <w:r w:rsidR="006E0993">
        <w:rPr>
          <w:color w:val="000000" w:themeColor="text1"/>
        </w:rPr>
        <w:t xml:space="preserve">a </w:t>
      </w:r>
      <w:r w:rsidR="00591677">
        <w:rPr>
          <w:color w:val="000000" w:themeColor="text1"/>
        </w:rPr>
        <w:t xml:space="preserve">beneficial interest, and her claims are unclear, focusing on connection rather than ownership. She </w:t>
      </w:r>
      <w:r w:rsidR="00E10479">
        <w:rPr>
          <w:color w:val="000000" w:themeColor="text1"/>
        </w:rPr>
        <w:t xml:space="preserve">fails to </w:t>
      </w:r>
      <w:r w:rsidR="006E0993">
        <w:rPr>
          <w:color w:val="000000" w:themeColor="text1"/>
        </w:rPr>
        <w:t xml:space="preserve">demonstrate reliance or detriment. Therefore, the </w:t>
      </w:r>
      <w:r w:rsidR="00885F7F">
        <w:rPr>
          <w:color w:val="000000" w:themeColor="text1"/>
        </w:rPr>
        <w:t>claim must be dismissed.</w:t>
      </w:r>
    </w:p>
    <w:p w14:paraId="52F9839E" w14:textId="77777777" w:rsidR="005F216E" w:rsidRPr="009D531E" w:rsidRDefault="005F216E" w:rsidP="009D531E">
      <w:pPr>
        <w:pStyle w:val="Heading1"/>
      </w:pPr>
      <w:r w:rsidRPr="009D531E">
        <w:t xml:space="preserve">Overall conclusions </w:t>
      </w:r>
    </w:p>
    <w:p w14:paraId="493B1E3D" w14:textId="5825F940" w:rsidR="005F216E" w:rsidRPr="00D34872" w:rsidRDefault="00D34872" w:rsidP="009D531E">
      <w:pPr>
        <w:pStyle w:val="Heading2"/>
        <w:rPr>
          <w:color w:val="000000" w:themeColor="text1"/>
        </w:rPr>
      </w:pPr>
      <w:r w:rsidRPr="00D34872">
        <w:rPr>
          <w:color w:val="000000" w:themeColor="text1"/>
        </w:rPr>
        <w:t xml:space="preserve">The Defendant </w:t>
      </w:r>
      <w:r w:rsidR="00BD1600">
        <w:rPr>
          <w:color w:val="000000" w:themeColor="text1"/>
        </w:rPr>
        <w:t xml:space="preserve">submits that neither a constructive trust </w:t>
      </w:r>
      <w:r w:rsidR="00D52AE3">
        <w:rPr>
          <w:color w:val="000000" w:themeColor="text1"/>
        </w:rPr>
        <w:t>n</w:t>
      </w:r>
      <w:r w:rsidR="00BD1600">
        <w:rPr>
          <w:color w:val="000000" w:themeColor="text1"/>
        </w:rPr>
        <w:t>or proprietary estoppel ha</w:t>
      </w:r>
      <w:r w:rsidR="00D52AE3">
        <w:rPr>
          <w:color w:val="000000" w:themeColor="text1"/>
        </w:rPr>
        <w:t>s</w:t>
      </w:r>
      <w:r w:rsidR="00BD1600">
        <w:rPr>
          <w:color w:val="000000" w:themeColor="text1"/>
        </w:rPr>
        <w:t xml:space="preserve"> been established by the claimant. The claimant did not</w:t>
      </w:r>
      <w:r w:rsidR="00D52AE3">
        <w:rPr>
          <w:color w:val="000000" w:themeColor="text1"/>
        </w:rPr>
        <w:t xml:space="preserve"> rely on any clear assurance to her detriment, nor is there enough evidence of a common intention to shared ownership. Accordingly, the Claimant’s claim for 50% beneficial interest in The Gatehouse is invited to be dismissed by the Court.</w:t>
      </w:r>
    </w:p>
    <w:p w14:paraId="131D7151" w14:textId="77777777" w:rsidR="00D52AE3" w:rsidRDefault="00D52AE3" w:rsidP="00D50296">
      <w:pPr>
        <w:spacing w:line="360" w:lineRule="auto"/>
        <w:jc w:val="right"/>
        <w:rPr>
          <w:rFonts w:asciiTheme="majorHAnsi" w:hAnsiTheme="majorHAnsi" w:cstheme="majorHAnsi"/>
          <w:b/>
          <w:bCs/>
        </w:rPr>
      </w:pPr>
    </w:p>
    <w:p w14:paraId="3686543A" w14:textId="03313DD3" w:rsidR="00D50296" w:rsidRDefault="00D50296" w:rsidP="00D50296">
      <w:pPr>
        <w:spacing w:line="360" w:lineRule="auto"/>
        <w:jc w:val="right"/>
        <w:rPr>
          <w:rFonts w:asciiTheme="majorHAnsi" w:hAnsiTheme="majorHAnsi" w:cstheme="majorHAnsi"/>
          <w:b/>
          <w:bCs/>
        </w:rPr>
      </w:pPr>
      <w:r>
        <w:rPr>
          <w:rFonts w:asciiTheme="majorHAnsi" w:hAnsiTheme="majorHAnsi" w:cstheme="majorHAnsi"/>
          <w:b/>
          <w:bCs/>
        </w:rPr>
        <w:t>Diana Demeterova</w:t>
      </w:r>
    </w:p>
    <w:p w14:paraId="705F01AE" w14:textId="77777777" w:rsidR="00526DE6" w:rsidRPr="00D62530" w:rsidRDefault="00526DE6" w:rsidP="00526DE6">
      <w:pPr>
        <w:spacing w:line="360" w:lineRule="auto"/>
        <w:jc w:val="right"/>
        <w:rPr>
          <w:rFonts w:asciiTheme="majorHAnsi" w:hAnsiTheme="majorHAnsi" w:cstheme="majorHAnsi"/>
          <w:b/>
          <w:bCs/>
        </w:rPr>
      </w:pPr>
      <w:r>
        <w:rPr>
          <w:rFonts w:asciiTheme="majorHAnsi" w:hAnsiTheme="majorHAnsi" w:cstheme="majorHAnsi"/>
          <w:b/>
          <w:bCs/>
        </w:rPr>
        <w:t>Defendant Represent</w:t>
      </w:r>
    </w:p>
    <w:p w14:paraId="0ADC9468" w14:textId="5B9E6006" w:rsidR="00D62530" w:rsidRPr="00D62530" w:rsidRDefault="004F2766" w:rsidP="00EA787D">
      <w:pPr>
        <w:spacing w:line="360" w:lineRule="auto"/>
        <w:jc w:val="right"/>
        <w:rPr>
          <w:rFonts w:asciiTheme="majorHAnsi" w:hAnsiTheme="majorHAnsi" w:cstheme="majorHAnsi"/>
          <w:b/>
          <w:bCs/>
        </w:rPr>
      </w:pPr>
      <w:r>
        <w:rPr>
          <w:rFonts w:asciiTheme="majorHAnsi" w:hAnsiTheme="majorHAnsi" w:cstheme="majorHAnsi"/>
          <w:b/>
          <w:bCs/>
        </w:rPr>
        <w:lastRenderedPageBreak/>
        <w:t xml:space="preserve">Date: </w:t>
      </w:r>
      <w:r w:rsidR="00EA787D">
        <w:rPr>
          <w:rFonts w:asciiTheme="majorHAnsi" w:hAnsiTheme="majorHAnsi" w:cstheme="majorHAnsi"/>
          <w:b/>
          <w:bCs/>
        </w:rPr>
        <w:t xml:space="preserve">16.03.2026 </w:t>
      </w:r>
    </w:p>
    <w:p w14:paraId="0699BBAE" w14:textId="33468D4E" w:rsidR="0003621E" w:rsidRPr="00F02DD0" w:rsidRDefault="0003621E" w:rsidP="00F02DD0">
      <w:pPr>
        <w:spacing w:line="360" w:lineRule="auto"/>
        <w:rPr>
          <w:rFonts w:ascii="Arial" w:hAnsi="Arial" w:cs="Arial"/>
        </w:rPr>
      </w:pPr>
      <w:r w:rsidRPr="0003621E">
        <w:rPr>
          <w:rFonts w:asciiTheme="minorHAnsi" w:hAnsiTheme="minorHAnsi" w:cstheme="minorHAnsi"/>
          <w:b/>
          <w:bCs/>
        </w:rPr>
        <w:t>Case note</w:t>
      </w:r>
    </w:p>
    <w:p w14:paraId="6E60BBB7" w14:textId="77777777" w:rsidR="0003621E" w:rsidRDefault="0003621E">
      <w:pPr>
        <w:rPr>
          <w:rFonts w:asciiTheme="minorHAnsi" w:hAnsiTheme="minorHAnsi" w:cstheme="minorHAnsi"/>
          <w:b/>
          <w:bCs/>
        </w:rPr>
      </w:pPr>
    </w:p>
    <w:p w14:paraId="57D1079D" w14:textId="4B7F1F4D" w:rsidR="00863CE9" w:rsidRPr="001D7ECA" w:rsidRDefault="008912EA" w:rsidP="00863CE9">
      <w:pPr>
        <w:spacing w:line="276" w:lineRule="auto"/>
        <w:jc w:val="center"/>
        <w:rPr>
          <w:rFonts w:asciiTheme="minorHAnsi" w:hAnsiTheme="minorHAnsi" w:cstheme="minorHAnsi"/>
          <w:b/>
          <w:bCs/>
          <w:color w:val="000000" w:themeColor="text1"/>
        </w:rPr>
      </w:pPr>
      <w:r w:rsidRPr="001D7ECA">
        <w:rPr>
          <w:rFonts w:asciiTheme="minorHAnsi" w:hAnsiTheme="minorHAnsi" w:cstheme="minorHAnsi"/>
          <w:b/>
          <w:bCs/>
          <w:color w:val="000000" w:themeColor="text1"/>
        </w:rPr>
        <w:t>Case Name</w:t>
      </w:r>
      <w:r w:rsidR="001D7ECA">
        <w:rPr>
          <w:rFonts w:asciiTheme="minorHAnsi" w:hAnsiTheme="minorHAnsi" w:cstheme="minorHAnsi"/>
          <w:b/>
          <w:bCs/>
          <w:color w:val="000000" w:themeColor="text1"/>
        </w:rPr>
        <w:t>:</w:t>
      </w:r>
      <w:r w:rsidRPr="001D7ECA">
        <w:rPr>
          <w:rFonts w:asciiTheme="minorHAnsi" w:hAnsiTheme="minorHAnsi" w:cstheme="minorHAnsi"/>
          <w:b/>
          <w:bCs/>
          <w:color w:val="000000" w:themeColor="text1"/>
        </w:rPr>
        <w:t xml:space="preserve"> </w:t>
      </w:r>
      <w:r w:rsidR="00863CE9" w:rsidRPr="001D7ECA">
        <w:rPr>
          <w:rFonts w:asciiTheme="minorHAnsi" w:hAnsiTheme="minorHAnsi" w:cstheme="minorHAnsi"/>
          <w:b/>
          <w:bCs/>
          <w:color w:val="000000" w:themeColor="text1"/>
        </w:rPr>
        <w:t>James v Thomas</w:t>
      </w:r>
    </w:p>
    <w:p w14:paraId="29318BE1" w14:textId="7825BC85" w:rsidR="00ED529E" w:rsidRPr="0051383F" w:rsidRDefault="008912EA" w:rsidP="00ED529E">
      <w:pPr>
        <w:spacing w:line="276" w:lineRule="auto"/>
        <w:jc w:val="center"/>
        <w:rPr>
          <w:rFonts w:asciiTheme="minorHAnsi" w:hAnsiTheme="minorHAnsi" w:cstheme="minorHAnsi"/>
          <w:b/>
          <w:bCs/>
          <w:color w:val="000000" w:themeColor="text1"/>
        </w:rPr>
      </w:pPr>
      <w:r w:rsidRPr="001D7ECA">
        <w:rPr>
          <w:rFonts w:asciiTheme="minorHAnsi" w:hAnsiTheme="minorHAnsi" w:cstheme="minorHAnsi"/>
          <w:b/>
          <w:bCs/>
          <w:color w:val="000000" w:themeColor="text1"/>
        </w:rPr>
        <w:t>Citation</w:t>
      </w:r>
      <w:r w:rsidR="001D7ECA">
        <w:rPr>
          <w:rFonts w:asciiTheme="minorHAnsi" w:hAnsiTheme="minorHAnsi" w:cstheme="minorHAnsi"/>
          <w:b/>
          <w:bCs/>
          <w:color w:val="000000" w:themeColor="text1"/>
        </w:rPr>
        <w:t xml:space="preserve">: </w:t>
      </w:r>
      <w:r w:rsidR="00ED529E" w:rsidRPr="0051383F">
        <w:rPr>
          <w:rFonts w:asciiTheme="minorHAnsi" w:hAnsiTheme="minorHAnsi" w:cstheme="minorHAnsi"/>
          <w:b/>
          <w:bCs/>
          <w:color w:val="000000" w:themeColor="text1"/>
        </w:rPr>
        <w:t>[2007] EWCA Civ 1212</w:t>
      </w:r>
    </w:p>
    <w:p w14:paraId="7D8FAEE6" w14:textId="77777777" w:rsidR="000D1496" w:rsidRPr="00483FF3" w:rsidRDefault="000D1496" w:rsidP="000D1496">
      <w:pPr>
        <w:spacing w:line="276" w:lineRule="auto"/>
        <w:jc w:val="center"/>
        <w:rPr>
          <w:rFonts w:asciiTheme="minorHAnsi" w:hAnsiTheme="minorHAnsi" w:cstheme="minorHAnsi"/>
          <w:b/>
          <w:bCs/>
          <w:color w:val="000000" w:themeColor="text1"/>
        </w:rPr>
      </w:pPr>
      <w:r w:rsidRPr="0051383F">
        <w:rPr>
          <w:rFonts w:asciiTheme="minorHAnsi" w:hAnsiTheme="minorHAnsi" w:cstheme="minorHAnsi"/>
          <w:b/>
          <w:bCs/>
          <w:color w:val="000000" w:themeColor="text1"/>
        </w:rPr>
        <w:t>Court of Appeal (Civil Division)</w:t>
      </w:r>
    </w:p>
    <w:p w14:paraId="1AF377E3" w14:textId="77777777" w:rsidR="008912EA" w:rsidRDefault="008912EA" w:rsidP="008912EA">
      <w:pPr>
        <w:jc w:val="center"/>
        <w:rPr>
          <w:rFonts w:asciiTheme="minorHAnsi" w:hAnsiTheme="minorHAnsi" w:cstheme="minorHAnsi"/>
          <w:b/>
          <w:bCs/>
          <w:color w:val="70AD47" w:themeColor="accent6"/>
        </w:rPr>
      </w:pPr>
    </w:p>
    <w:p w14:paraId="43A22AF8" w14:textId="568E24A7" w:rsidR="001A6CEE" w:rsidRPr="001A6CEE" w:rsidRDefault="001A6CEE" w:rsidP="008912EA">
      <w:pPr>
        <w:jc w:val="center"/>
        <w:rPr>
          <w:rFonts w:asciiTheme="minorHAnsi" w:hAnsiTheme="minorHAnsi" w:cstheme="minorHAnsi"/>
          <w:b/>
          <w:bCs/>
          <w:color w:val="002060"/>
        </w:rPr>
      </w:pPr>
    </w:p>
    <w:p w14:paraId="17C74CC6" w14:textId="77777777" w:rsidR="001A6CEE" w:rsidRPr="001A6CEE" w:rsidRDefault="001A6CEE" w:rsidP="008912EA">
      <w:pPr>
        <w:jc w:val="center"/>
        <w:rPr>
          <w:rFonts w:asciiTheme="minorHAnsi" w:hAnsiTheme="minorHAnsi" w:cstheme="minorHAnsi"/>
          <w:b/>
          <w:bCs/>
          <w:color w:val="002060"/>
        </w:rPr>
      </w:pPr>
    </w:p>
    <w:p w14:paraId="6BBE8D0D" w14:textId="77777777" w:rsidR="008912EA" w:rsidRDefault="008912EA" w:rsidP="008912EA">
      <w:pPr>
        <w:rPr>
          <w:rFonts w:asciiTheme="minorHAnsi" w:hAnsiTheme="minorHAnsi" w:cstheme="minorHAnsi"/>
          <w:b/>
          <w:bCs/>
        </w:rPr>
      </w:pPr>
      <w:r>
        <w:rPr>
          <w:rFonts w:asciiTheme="minorHAnsi" w:hAnsiTheme="minorHAnsi" w:cstheme="minorHAnsi"/>
          <w:b/>
          <w:bCs/>
        </w:rPr>
        <w:t>Parties</w:t>
      </w:r>
    </w:p>
    <w:p w14:paraId="7EC701B9" w14:textId="77777777" w:rsidR="00F94AE0" w:rsidRDefault="00F94AE0" w:rsidP="00FA0630">
      <w:pPr>
        <w:spacing w:line="276" w:lineRule="auto"/>
        <w:rPr>
          <w:rFonts w:asciiTheme="minorHAnsi" w:hAnsiTheme="minorHAnsi" w:cstheme="minorHAnsi"/>
          <w:color w:val="000000" w:themeColor="text1"/>
        </w:rPr>
      </w:pPr>
    </w:p>
    <w:p w14:paraId="4C9A1C9C" w14:textId="6AA95FA4" w:rsidR="00FA0630" w:rsidRPr="00483FF3" w:rsidRDefault="00FA0630" w:rsidP="00FA0630">
      <w:pPr>
        <w:spacing w:line="276" w:lineRule="auto"/>
        <w:rPr>
          <w:rFonts w:asciiTheme="minorHAnsi" w:hAnsiTheme="minorHAnsi" w:cstheme="minorHAnsi"/>
          <w:color w:val="000000" w:themeColor="text1"/>
        </w:rPr>
      </w:pPr>
      <w:r w:rsidRPr="00483FF3">
        <w:rPr>
          <w:rFonts w:asciiTheme="minorHAnsi" w:hAnsiTheme="minorHAnsi" w:cstheme="minorHAnsi"/>
          <w:color w:val="000000" w:themeColor="text1"/>
        </w:rPr>
        <w:t>Catherine James (Appellant)</w:t>
      </w:r>
    </w:p>
    <w:p w14:paraId="1E61BAB5" w14:textId="41F53F13" w:rsidR="001A6CEE" w:rsidRPr="00FA0630" w:rsidRDefault="00FA0630" w:rsidP="00FA0630">
      <w:pPr>
        <w:spacing w:line="276" w:lineRule="auto"/>
        <w:rPr>
          <w:rFonts w:asciiTheme="minorHAnsi" w:hAnsiTheme="minorHAnsi" w:cstheme="minorHAnsi"/>
          <w:color w:val="000000" w:themeColor="text1"/>
        </w:rPr>
      </w:pPr>
      <w:r w:rsidRPr="00483FF3">
        <w:rPr>
          <w:rFonts w:asciiTheme="minorHAnsi" w:hAnsiTheme="minorHAnsi" w:cstheme="minorHAnsi"/>
          <w:color w:val="000000" w:themeColor="text1"/>
        </w:rPr>
        <w:t>Dylan Thomas (Respondent)</w:t>
      </w:r>
    </w:p>
    <w:p w14:paraId="41F667AA" w14:textId="77777777" w:rsidR="008912EA" w:rsidRDefault="008912EA" w:rsidP="008912EA">
      <w:pPr>
        <w:rPr>
          <w:rFonts w:asciiTheme="minorHAnsi" w:hAnsiTheme="minorHAnsi" w:cstheme="minorHAnsi"/>
          <w:b/>
          <w:bCs/>
        </w:rPr>
      </w:pPr>
    </w:p>
    <w:p w14:paraId="1A4CBE6D" w14:textId="5E641E97" w:rsidR="008912EA" w:rsidRDefault="008912EA" w:rsidP="008912EA">
      <w:pPr>
        <w:rPr>
          <w:rFonts w:asciiTheme="minorHAnsi" w:hAnsiTheme="minorHAnsi" w:cstheme="minorHAnsi"/>
          <w:b/>
          <w:bCs/>
        </w:rPr>
      </w:pPr>
      <w:r>
        <w:rPr>
          <w:rFonts w:asciiTheme="minorHAnsi" w:hAnsiTheme="minorHAnsi" w:cstheme="minorHAnsi"/>
          <w:b/>
          <w:bCs/>
        </w:rPr>
        <w:t>Procedural History</w:t>
      </w:r>
    </w:p>
    <w:p w14:paraId="142F0396" w14:textId="77777777" w:rsidR="00F94AE0" w:rsidRDefault="00F94AE0" w:rsidP="00F94AE0">
      <w:pPr>
        <w:rPr>
          <w:rFonts w:asciiTheme="minorHAnsi" w:hAnsiTheme="minorHAnsi" w:cstheme="minorHAnsi"/>
        </w:rPr>
      </w:pPr>
    </w:p>
    <w:p w14:paraId="3EBD28F4" w14:textId="14E79AEC" w:rsidR="00F94AE0" w:rsidRPr="00B45659" w:rsidRDefault="00F94AE0" w:rsidP="00F94AE0">
      <w:pPr>
        <w:rPr>
          <w:rFonts w:asciiTheme="minorHAnsi" w:hAnsiTheme="minorHAnsi" w:cstheme="minorHAnsi"/>
        </w:rPr>
      </w:pPr>
      <w:r>
        <w:rPr>
          <w:rFonts w:asciiTheme="minorHAnsi" w:hAnsiTheme="minorHAnsi" w:cstheme="minorHAnsi"/>
        </w:rPr>
        <w:t>Initially</w:t>
      </w:r>
      <w:r w:rsidRPr="00B45659">
        <w:rPr>
          <w:rFonts w:asciiTheme="minorHAnsi" w:hAnsiTheme="minorHAnsi" w:cstheme="minorHAnsi"/>
        </w:rPr>
        <w:t>, the appellant’s grounds for proprietary estoppel and a constructive trust were rejected. The Court of Appeal rejected her appeal.</w:t>
      </w:r>
    </w:p>
    <w:p w14:paraId="62A33DD3" w14:textId="77777777" w:rsidR="008912EA" w:rsidRDefault="008912EA" w:rsidP="008912EA">
      <w:pPr>
        <w:rPr>
          <w:rFonts w:asciiTheme="minorHAnsi" w:hAnsiTheme="minorHAnsi" w:cstheme="minorHAnsi"/>
          <w:color w:val="70AD47" w:themeColor="accent6"/>
        </w:rPr>
      </w:pPr>
    </w:p>
    <w:p w14:paraId="6ABE88E2" w14:textId="77777777" w:rsidR="008912EA" w:rsidRDefault="008912EA" w:rsidP="008912EA">
      <w:pPr>
        <w:rPr>
          <w:rFonts w:asciiTheme="minorHAnsi" w:hAnsiTheme="minorHAnsi" w:cstheme="minorHAnsi"/>
          <w:b/>
          <w:bCs/>
        </w:rPr>
      </w:pPr>
      <w:r>
        <w:rPr>
          <w:rFonts w:asciiTheme="minorHAnsi" w:hAnsiTheme="minorHAnsi" w:cstheme="minorHAnsi"/>
          <w:b/>
          <w:bCs/>
        </w:rPr>
        <w:t>Material facts</w:t>
      </w:r>
    </w:p>
    <w:p w14:paraId="6EA73E1F" w14:textId="77777777" w:rsidR="00C37849" w:rsidRDefault="00C37849" w:rsidP="00C37849">
      <w:pPr>
        <w:rPr>
          <w:rFonts w:asciiTheme="minorHAnsi" w:hAnsiTheme="minorHAnsi" w:cstheme="minorHAnsi"/>
        </w:rPr>
      </w:pPr>
    </w:p>
    <w:p w14:paraId="4679B0AE" w14:textId="325B2BAC" w:rsidR="00C37849" w:rsidRDefault="00C37849" w:rsidP="00C37849">
      <w:pPr>
        <w:rPr>
          <w:rFonts w:asciiTheme="minorHAnsi" w:hAnsiTheme="minorHAnsi" w:cstheme="minorHAnsi"/>
        </w:rPr>
      </w:pPr>
      <w:r w:rsidRPr="009F69F6">
        <w:rPr>
          <w:rFonts w:asciiTheme="minorHAnsi" w:hAnsiTheme="minorHAnsi" w:cstheme="minorHAnsi"/>
        </w:rPr>
        <w:t>The respondent was the only owner of the property where the parties lived together for around eighteen years. The appellant did not contribute any money towards the mortgage or purchase price. She relied on claims about their shared future and mutual gain while working extensively and often unpaid, in the respondent’s business. The ownership of the property was not specifically discussed.</w:t>
      </w:r>
    </w:p>
    <w:p w14:paraId="2C0AB8AA" w14:textId="77777777" w:rsidR="00C37849" w:rsidRDefault="00C37849" w:rsidP="008912EA">
      <w:pPr>
        <w:rPr>
          <w:rFonts w:asciiTheme="minorHAnsi" w:hAnsiTheme="minorHAnsi" w:cstheme="minorHAnsi"/>
          <w:b/>
          <w:bCs/>
        </w:rPr>
      </w:pPr>
    </w:p>
    <w:p w14:paraId="36443AEA" w14:textId="48CAED9F" w:rsidR="008912EA" w:rsidRDefault="008912EA" w:rsidP="008912EA">
      <w:pPr>
        <w:rPr>
          <w:rFonts w:asciiTheme="minorHAnsi" w:hAnsiTheme="minorHAnsi" w:cstheme="minorHAnsi"/>
          <w:b/>
          <w:bCs/>
        </w:rPr>
      </w:pPr>
      <w:r>
        <w:rPr>
          <w:rFonts w:asciiTheme="minorHAnsi" w:hAnsiTheme="minorHAnsi" w:cstheme="minorHAnsi"/>
          <w:b/>
          <w:bCs/>
        </w:rPr>
        <w:t xml:space="preserve">Legal </w:t>
      </w:r>
      <w:r w:rsidR="001A6CEE">
        <w:rPr>
          <w:rFonts w:asciiTheme="minorHAnsi" w:hAnsiTheme="minorHAnsi" w:cstheme="minorHAnsi"/>
          <w:b/>
          <w:bCs/>
        </w:rPr>
        <w:t>questions for the court</w:t>
      </w:r>
      <w:r>
        <w:rPr>
          <w:rFonts w:asciiTheme="minorHAnsi" w:hAnsiTheme="minorHAnsi" w:cstheme="minorHAnsi"/>
          <w:b/>
          <w:bCs/>
        </w:rPr>
        <w:t xml:space="preserve"> </w:t>
      </w:r>
    </w:p>
    <w:p w14:paraId="2E339B45" w14:textId="77777777" w:rsidR="00F51504" w:rsidRDefault="00F51504" w:rsidP="008912EA">
      <w:pPr>
        <w:rPr>
          <w:rFonts w:asciiTheme="minorHAnsi" w:hAnsiTheme="minorHAnsi" w:cstheme="minorHAnsi"/>
          <w:b/>
          <w:bCs/>
        </w:rPr>
      </w:pPr>
    </w:p>
    <w:p w14:paraId="37377CF3" w14:textId="77777777" w:rsidR="00F51504" w:rsidRPr="00D169EC" w:rsidRDefault="00F51504" w:rsidP="00F51504">
      <w:pPr>
        <w:pStyle w:val="ListParagraph"/>
        <w:numPr>
          <w:ilvl w:val="0"/>
          <w:numId w:val="16"/>
        </w:numPr>
        <w:rPr>
          <w:rFonts w:asciiTheme="minorHAnsi" w:hAnsiTheme="minorHAnsi" w:cstheme="minorHAnsi"/>
        </w:rPr>
      </w:pPr>
      <w:r w:rsidRPr="00D169EC">
        <w:rPr>
          <w:rFonts w:asciiTheme="minorHAnsi" w:hAnsiTheme="minorHAnsi" w:cstheme="minorHAnsi"/>
        </w:rPr>
        <w:t>Whether general relational statements may be enough to create a constructive trust by contributing to a shared aim.</w:t>
      </w:r>
    </w:p>
    <w:p w14:paraId="66C14E77" w14:textId="77777777" w:rsidR="00F51504" w:rsidRPr="00D905A8" w:rsidRDefault="00F51504" w:rsidP="00F51504">
      <w:pPr>
        <w:pStyle w:val="ListParagraph"/>
        <w:numPr>
          <w:ilvl w:val="0"/>
          <w:numId w:val="16"/>
        </w:numPr>
        <w:rPr>
          <w:rFonts w:asciiTheme="minorHAnsi" w:hAnsiTheme="minorHAnsi" w:cstheme="minorHAnsi"/>
        </w:rPr>
      </w:pPr>
      <w:r w:rsidRPr="00D169EC">
        <w:rPr>
          <w:rFonts w:asciiTheme="minorHAnsi" w:hAnsiTheme="minorHAnsi" w:cstheme="minorHAnsi"/>
        </w:rPr>
        <w:t>Whether such remarks and unpaid work might result in property estoppel.</w:t>
      </w:r>
    </w:p>
    <w:p w14:paraId="6B20F962" w14:textId="77777777" w:rsidR="008912EA" w:rsidRDefault="008912EA" w:rsidP="008912EA">
      <w:pPr>
        <w:rPr>
          <w:rFonts w:asciiTheme="minorHAnsi" w:hAnsiTheme="minorHAnsi" w:cstheme="minorHAnsi"/>
          <w:color w:val="70AD47" w:themeColor="accent6"/>
        </w:rPr>
      </w:pPr>
    </w:p>
    <w:p w14:paraId="5C0D4EA2" w14:textId="54B97E92" w:rsidR="001A6CEE" w:rsidRDefault="001A6CEE" w:rsidP="001A6CEE">
      <w:pPr>
        <w:rPr>
          <w:rFonts w:asciiTheme="minorHAnsi" w:hAnsiTheme="minorHAnsi" w:cstheme="minorHAnsi"/>
          <w:b/>
          <w:bCs/>
        </w:rPr>
      </w:pPr>
      <w:r>
        <w:rPr>
          <w:rFonts w:asciiTheme="minorHAnsi" w:hAnsiTheme="minorHAnsi" w:cstheme="minorHAnsi"/>
          <w:b/>
          <w:bCs/>
        </w:rPr>
        <w:t>Appellant arguments</w:t>
      </w:r>
    </w:p>
    <w:p w14:paraId="2ED6ADDA" w14:textId="77777777" w:rsidR="00E30DC5" w:rsidRDefault="00E30DC5" w:rsidP="00E30DC5">
      <w:pPr>
        <w:rPr>
          <w:rFonts w:asciiTheme="minorHAnsi" w:hAnsiTheme="minorHAnsi" w:cstheme="minorHAnsi"/>
        </w:rPr>
      </w:pPr>
    </w:p>
    <w:p w14:paraId="1E8569BB" w14:textId="610F9BBE" w:rsidR="00E30DC5" w:rsidRPr="006D6EC7" w:rsidRDefault="00E30DC5" w:rsidP="00E30DC5">
      <w:pPr>
        <w:rPr>
          <w:rFonts w:asciiTheme="minorHAnsi" w:hAnsiTheme="minorHAnsi" w:cstheme="minorHAnsi"/>
        </w:rPr>
      </w:pPr>
      <w:r w:rsidRPr="006D6EC7">
        <w:rPr>
          <w:rFonts w:asciiTheme="minorHAnsi" w:hAnsiTheme="minorHAnsi" w:cstheme="minorHAnsi"/>
        </w:rPr>
        <w:t xml:space="preserve">The appellant claimed that the respondent’s statement regarding “their future” and mutual gain amounted to guarantees of a proprietary interest. She argued that a constructive trust or proprietary estoppel </w:t>
      </w:r>
      <w:r>
        <w:rPr>
          <w:rFonts w:asciiTheme="minorHAnsi" w:hAnsiTheme="minorHAnsi" w:cstheme="minorHAnsi"/>
        </w:rPr>
        <w:t xml:space="preserve">had </w:t>
      </w:r>
      <w:r w:rsidRPr="006D6EC7">
        <w:rPr>
          <w:rFonts w:asciiTheme="minorHAnsi" w:hAnsiTheme="minorHAnsi" w:cstheme="minorHAnsi"/>
        </w:rPr>
        <w:t xml:space="preserve">resulted from her unpaid employment in the respondent’s business, which </w:t>
      </w:r>
      <w:r>
        <w:rPr>
          <w:rFonts w:asciiTheme="minorHAnsi" w:hAnsiTheme="minorHAnsi" w:cstheme="minorHAnsi"/>
        </w:rPr>
        <w:t>constituted</w:t>
      </w:r>
      <w:r w:rsidRPr="006D6EC7">
        <w:rPr>
          <w:rFonts w:asciiTheme="minorHAnsi" w:hAnsiTheme="minorHAnsi" w:cstheme="minorHAnsi"/>
        </w:rPr>
        <w:t xml:space="preserve"> reliance and harm. </w:t>
      </w:r>
    </w:p>
    <w:p w14:paraId="282B3E1A" w14:textId="77777777" w:rsidR="001A6CEE" w:rsidRDefault="001A6CEE" w:rsidP="001A6CEE">
      <w:pPr>
        <w:rPr>
          <w:rFonts w:asciiTheme="minorHAnsi" w:hAnsiTheme="minorHAnsi" w:cstheme="minorHAnsi"/>
          <w:color w:val="70AD47" w:themeColor="accent6"/>
        </w:rPr>
      </w:pPr>
    </w:p>
    <w:p w14:paraId="1176F083" w14:textId="2B58D9DB" w:rsidR="001A6CEE" w:rsidRDefault="001A6CEE" w:rsidP="001A6CEE">
      <w:pPr>
        <w:rPr>
          <w:rFonts w:asciiTheme="minorHAnsi" w:hAnsiTheme="minorHAnsi" w:cstheme="minorHAnsi"/>
          <w:b/>
          <w:bCs/>
        </w:rPr>
      </w:pPr>
      <w:r>
        <w:rPr>
          <w:rFonts w:asciiTheme="minorHAnsi" w:hAnsiTheme="minorHAnsi" w:cstheme="minorHAnsi"/>
          <w:b/>
          <w:bCs/>
        </w:rPr>
        <w:t>Respondent’s arguments</w:t>
      </w:r>
    </w:p>
    <w:p w14:paraId="33136844" w14:textId="77777777" w:rsidR="00721259" w:rsidRDefault="00721259" w:rsidP="00721259">
      <w:pPr>
        <w:rPr>
          <w:rFonts w:asciiTheme="minorHAnsi" w:hAnsiTheme="minorHAnsi" w:cstheme="minorHAnsi"/>
        </w:rPr>
      </w:pPr>
    </w:p>
    <w:p w14:paraId="4F85B389" w14:textId="346F7620" w:rsidR="00721259" w:rsidRPr="003309AF" w:rsidRDefault="00721259" w:rsidP="00721259">
      <w:pPr>
        <w:rPr>
          <w:rFonts w:asciiTheme="minorHAnsi" w:hAnsiTheme="minorHAnsi" w:cstheme="minorHAnsi"/>
        </w:rPr>
      </w:pPr>
      <w:r w:rsidRPr="003309AF">
        <w:rPr>
          <w:rFonts w:asciiTheme="minorHAnsi" w:hAnsiTheme="minorHAnsi" w:cstheme="minorHAnsi"/>
        </w:rPr>
        <w:t>The respondent argued that the stated remarks lacked any private information and were vague relational claims. He argued that there was insufficient evidence of purpose, reliance, or harm because the appellant’s work in the firm was done willingly within the partnership.</w:t>
      </w:r>
    </w:p>
    <w:p w14:paraId="49B912A6" w14:textId="77777777" w:rsidR="001A6CEE" w:rsidRPr="001A6CEE" w:rsidRDefault="001A6CEE" w:rsidP="001A6CEE"/>
    <w:p w14:paraId="2F034DC2" w14:textId="4E196F4B" w:rsidR="001A6CEE" w:rsidRDefault="001A6CEE" w:rsidP="001A6CEE">
      <w:pPr>
        <w:rPr>
          <w:rFonts w:asciiTheme="minorHAnsi" w:hAnsiTheme="minorHAnsi" w:cstheme="minorHAnsi"/>
          <w:b/>
          <w:bCs/>
        </w:rPr>
      </w:pPr>
      <w:r>
        <w:rPr>
          <w:rFonts w:asciiTheme="minorHAnsi" w:hAnsiTheme="minorHAnsi" w:cstheme="minorHAnsi"/>
          <w:b/>
          <w:bCs/>
        </w:rPr>
        <w:t>Decision of court</w:t>
      </w:r>
    </w:p>
    <w:p w14:paraId="77AE0A4C" w14:textId="77777777" w:rsidR="00207D9B" w:rsidRDefault="00207D9B" w:rsidP="00207D9B">
      <w:pPr>
        <w:rPr>
          <w:rFonts w:asciiTheme="minorHAnsi" w:hAnsiTheme="minorHAnsi" w:cstheme="minorHAnsi"/>
        </w:rPr>
      </w:pPr>
    </w:p>
    <w:p w14:paraId="08C36CD1" w14:textId="6759B628" w:rsidR="00207D9B" w:rsidRPr="003309AF" w:rsidRDefault="00207D9B" w:rsidP="00207D9B">
      <w:pPr>
        <w:rPr>
          <w:rFonts w:asciiTheme="minorHAnsi" w:hAnsiTheme="minorHAnsi" w:cstheme="minorHAnsi"/>
        </w:rPr>
      </w:pPr>
      <w:r w:rsidRPr="003309AF">
        <w:rPr>
          <w:rFonts w:asciiTheme="minorHAnsi" w:hAnsiTheme="minorHAnsi" w:cstheme="minorHAnsi"/>
        </w:rPr>
        <w:t xml:space="preserve">Appeal dismissed </w:t>
      </w:r>
    </w:p>
    <w:p w14:paraId="46178BAA" w14:textId="77777777" w:rsidR="001A6CEE" w:rsidRDefault="001A6CEE" w:rsidP="008912EA">
      <w:pPr>
        <w:rPr>
          <w:rFonts w:asciiTheme="minorHAnsi" w:hAnsiTheme="minorHAnsi" w:cstheme="minorHAnsi"/>
        </w:rPr>
      </w:pPr>
    </w:p>
    <w:p w14:paraId="1055E542" w14:textId="3BCCBD5F" w:rsidR="001A6CEE" w:rsidRDefault="001A6CEE" w:rsidP="001A6CEE">
      <w:pPr>
        <w:rPr>
          <w:rFonts w:asciiTheme="minorHAnsi" w:hAnsiTheme="minorHAnsi" w:cstheme="minorHAnsi"/>
          <w:b/>
          <w:bCs/>
        </w:rPr>
      </w:pPr>
      <w:r>
        <w:rPr>
          <w:rFonts w:asciiTheme="minorHAnsi" w:hAnsiTheme="minorHAnsi" w:cstheme="minorHAnsi"/>
          <w:b/>
          <w:bCs/>
        </w:rPr>
        <w:t>Rule of law</w:t>
      </w:r>
    </w:p>
    <w:p w14:paraId="5E497D72" w14:textId="77777777" w:rsidR="00A60CCD" w:rsidRDefault="00A60CCD" w:rsidP="00A60CCD">
      <w:pPr>
        <w:rPr>
          <w:rFonts w:asciiTheme="minorHAnsi" w:hAnsiTheme="minorHAnsi" w:cstheme="minorHAnsi"/>
        </w:rPr>
      </w:pPr>
    </w:p>
    <w:p w14:paraId="2C21CF53" w14:textId="7AE27FB0" w:rsidR="00A60CCD" w:rsidRPr="00C6628D" w:rsidRDefault="00A60CCD" w:rsidP="00A60CCD">
      <w:pPr>
        <w:rPr>
          <w:rFonts w:asciiTheme="minorHAnsi" w:hAnsiTheme="minorHAnsi" w:cstheme="minorHAnsi"/>
        </w:rPr>
      </w:pPr>
      <w:r w:rsidRPr="00C6628D">
        <w:rPr>
          <w:rFonts w:asciiTheme="minorHAnsi" w:hAnsiTheme="minorHAnsi" w:cstheme="minorHAnsi"/>
        </w:rPr>
        <w:t>Without specific guarantees about property rights, general remarks about shared life or goals for the future are insufficient to establish a common purpose, constructive trust or proprietary estoppel.</w:t>
      </w:r>
    </w:p>
    <w:p w14:paraId="7F7D0980" w14:textId="77777777" w:rsidR="00A60CCD" w:rsidRDefault="00A60CCD" w:rsidP="001A6CEE">
      <w:pPr>
        <w:rPr>
          <w:rFonts w:asciiTheme="minorHAnsi" w:hAnsiTheme="minorHAnsi" w:cstheme="minorHAnsi"/>
          <w:b/>
          <w:bCs/>
        </w:rPr>
      </w:pPr>
    </w:p>
    <w:p w14:paraId="008C3387" w14:textId="6DFF8ACF" w:rsidR="001A6CEE" w:rsidRDefault="001A6CEE" w:rsidP="001A6CEE">
      <w:pPr>
        <w:rPr>
          <w:rFonts w:asciiTheme="minorHAnsi" w:hAnsiTheme="minorHAnsi" w:cstheme="minorHAnsi"/>
          <w:b/>
          <w:bCs/>
        </w:rPr>
      </w:pPr>
      <w:r>
        <w:rPr>
          <w:rFonts w:asciiTheme="minorHAnsi" w:hAnsiTheme="minorHAnsi" w:cstheme="minorHAnsi"/>
          <w:b/>
          <w:bCs/>
        </w:rPr>
        <w:t>Reasoning</w:t>
      </w:r>
    </w:p>
    <w:p w14:paraId="1006F8AB" w14:textId="77777777" w:rsidR="000824DA" w:rsidRDefault="000824DA" w:rsidP="000824DA">
      <w:pPr>
        <w:rPr>
          <w:rFonts w:asciiTheme="minorHAnsi" w:hAnsiTheme="minorHAnsi" w:cstheme="minorHAnsi"/>
        </w:rPr>
      </w:pPr>
    </w:p>
    <w:p w14:paraId="77DCC3A1" w14:textId="50E22DE1" w:rsidR="000824DA" w:rsidRDefault="000824DA" w:rsidP="000824DA">
      <w:pPr>
        <w:rPr>
          <w:rFonts w:asciiTheme="minorHAnsi" w:hAnsiTheme="minorHAnsi" w:cstheme="minorHAnsi"/>
        </w:rPr>
      </w:pPr>
      <w:r w:rsidRPr="00FB2AEE">
        <w:rPr>
          <w:rFonts w:asciiTheme="minorHAnsi" w:hAnsiTheme="minorHAnsi" w:cstheme="minorHAnsi"/>
        </w:rPr>
        <w:t>According to the Court of Appeal, the Appellant was unable to prove that there was a shared purpose about beneficial ownership, directly or indirectly. The alleged comments were not relevant to property rights and were too vague. The Court stated that living together and making contributions out of love or commitment to a partnership do not establish equitable interests. Regarding proprietary estoppel, the court determined that there was neither a clear guarantee nor any harm beyond what is usually expected in a domestic relationship. Despite its importance, the appellant’s unpaid work was not done in expectation of a guarantee of property rights.</w:t>
      </w:r>
    </w:p>
    <w:p w14:paraId="58DBBD68" w14:textId="77777777" w:rsidR="00A57D4A" w:rsidRDefault="00A57D4A"/>
    <w:p w14:paraId="2F87977C" w14:textId="77777777" w:rsidR="00A57D4A" w:rsidRDefault="00A57D4A"/>
    <w:p w14:paraId="7FCB4BAF" w14:textId="3F559645" w:rsidR="00A57D4A" w:rsidRPr="009D531E" w:rsidRDefault="00A57D4A" w:rsidP="00A57D4A">
      <w:pPr>
        <w:spacing w:line="360" w:lineRule="auto"/>
        <w:rPr>
          <w:rFonts w:ascii="Arial" w:hAnsi="Arial" w:cs="Arial"/>
          <w:color w:val="70AD47" w:themeColor="accent6"/>
        </w:rPr>
      </w:pPr>
      <w:r w:rsidRPr="009D531E">
        <w:rPr>
          <w:rFonts w:ascii="Arial" w:hAnsi="Arial" w:cs="Arial"/>
          <w:b/>
          <w:bCs/>
        </w:rPr>
        <w:t xml:space="preserve">Word count: </w:t>
      </w:r>
      <w:r w:rsidR="000C03FD">
        <w:rPr>
          <w:rFonts w:ascii="Arial" w:hAnsi="Arial" w:cs="Arial"/>
          <w:b/>
          <w:bCs/>
        </w:rPr>
        <w:t>2,</w:t>
      </w:r>
      <w:r w:rsidR="004F3CF6">
        <w:rPr>
          <w:rFonts w:ascii="Arial" w:hAnsi="Arial" w:cs="Arial"/>
          <w:b/>
          <w:bCs/>
        </w:rPr>
        <w:t>2</w:t>
      </w:r>
      <w:r w:rsidR="000C03FD">
        <w:rPr>
          <w:rFonts w:ascii="Arial" w:hAnsi="Arial" w:cs="Arial"/>
          <w:b/>
          <w:bCs/>
        </w:rPr>
        <w:t>15</w:t>
      </w:r>
      <w:r>
        <w:rPr>
          <w:rFonts w:ascii="Arial" w:hAnsi="Arial" w:cs="Arial"/>
          <w:color w:val="70AD47" w:themeColor="accent6"/>
        </w:rPr>
        <w:t xml:space="preserve">. </w:t>
      </w:r>
    </w:p>
    <w:p w14:paraId="73A72906" w14:textId="00FE1C12" w:rsidR="001A6CEE" w:rsidRDefault="001A6CEE">
      <w:pPr>
        <w:rPr>
          <w:rFonts w:asciiTheme="majorHAnsi" w:eastAsiaTheme="majorEastAsia" w:hAnsiTheme="majorHAnsi" w:cstheme="majorBidi"/>
          <w:b/>
          <w:szCs w:val="40"/>
        </w:rPr>
      </w:pPr>
      <w:r>
        <w:br w:type="page"/>
      </w:r>
    </w:p>
    <w:p w14:paraId="7081837F" w14:textId="290A85EF" w:rsidR="00C966E0" w:rsidRDefault="00C966E0" w:rsidP="009D531E">
      <w:pPr>
        <w:pStyle w:val="Heading1"/>
        <w:numPr>
          <w:ilvl w:val="0"/>
          <w:numId w:val="0"/>
        </w:numPr>
        <w:ind w:left="680" w:hanging="680"/>
      </w:pPr>
      <w:r>
        <w:lastRenderedPageBreak/>
        <w:t xml:space="preserve">Cases: </w:t>
      </w:r>
    </w:p>
    <w:p w14:paraId="6A981C0D" w14:textId="06DCB212" w:rsidR="00C966E0" w:rsidRPr="001F1253" w:rsidRDefault="00C966E0" w:rsidP="001F1253">
      <w:pPr>
        <w:pStyle w:val="ListParagraph"/>
        <w:numPr>
          <w:ilvl w:val="0"/>
          <w:numId w:val="21"/>
        </w:numPr>
        <w:spacing w:line="276" w:lineRule="auto"/>
      </w:pPr>
      <w:r>
        <w:rPr>
          <w:rFonts w:ascii="Arial" w:hAnsi="Arial" w:cs="Arial"/>
        </w:rPr>
        <w:t>Geary v Rankine [2012] EWCA Civ 555</w:t>
      </w:r>
    </w:p>
    <w:p w14:paraId="259138D8" w14:textId="4F3E7E06" w:rsidR="001F1253" w:rsidRPr="001F1253" w:rsidRDefault="001F1253" w:rsidP="001F1253">
      <w:pPr>
        <w:pStyle w:val="ListParagraph"/>
        <w:numPr>
          <w:ilvl w:val="0"/>
          <w:numId w:val="21"/>
        </w:numPr>
        <w:spacing w:line="276" w:lineRule="auto"/>
      </w:pPr>
      <w:r w:rsidRPr="005D76D6">
        <w:rPr>
          <w:rFonts w:ascii="Arial" w:hAnsi="Arial" w:cs="Arial"/>
        </w:rPr>
        <w:t>Lloyds Bank Plc v Rosset [1988] EWCA Civ J0513-7</w:t>
      </w:r>
    </w:p>
    <w:p w14:paraId="0B41829D" w14:textId="6B3C843E" w:rsidR="001F1253" w:rsidRPr="00105302" w:rsidRDefault="001F1253" w:rsidP="001F1253">
      <w:pPr>
        <w:pStyle w:val="ListParagraph"/>
        <w:numPr>
          <w:ilvl w:val="0"/>
          <w:numId w:val="21"/>
        </w:numPr>
        <w:spacing w:line="276" w:lineRule="auto"/>
      </w:pPr>
      <w:r w:rsidRPr="005D76D6">
        <w:rPr>
          <w:rFonts w:ascii="Arial" w:hAnsi="Arial" w:cs="Arial"/>
        </w:rPr>
        <w:t>Stack (Appellant) v Dowden (Respondent) [2005] EWCA Civ 857 and [2007] UKHL 1.</w:t>
      </w:r>
    </w:p>
    <w:p w14:paraId="4E53BD8A" w14:textId="30DABB71" w:rsidR="00105302" w:rsidRPr="002034A9" w:rsidRDefault="00105302" w:rsidP="001F1253">
      <w:pPr>
        <w:pStyle w:val="ListParagraph"/>
        <w:numPr>
          <w:ilvl w:val="0"/>
          <w:numId w:val="21"/>
        </w:numPr>
        <w:spacing w:line="276" w:lineRule="auto"/>
      </w:pPr>
      <w:r>
        <w:rPr>
          <w:rFonts w:ascii="Arial" w:hAnsi="Arial" w:cs="Arial"/>
        </w:rPr>
        <w:t>James v Thomas [2007] EWCA Civ 1212</w:t>
      </w:r>
    </w:p>
    <w:p w14:paraId="5E6471E1" w14:textId="00256F72" w:rsidR="002034A9" w:rsidRPr="00EB0814" w:rsidRDefault="002034A9" w:rsidP="001F1253">
      <w:pPr>
        <w:pStyle w:val="ListParagraph"/>
        <w:numPr>
          <w:ilvl w:val="0"/>
          <w:numId w:val="21"/>
        </w:numPr>
        <w:spacing w:line="276" w:lineRule="auto"/>
      </w:pPr>
      <w:r>
        <w:rPr>
          <w:rFonts w:ascii="Arial" w:hAnsi="Arial" w:cs="Arial"/>
        </w:rPr>
        <w:t>Burns v Burns</w:t>
      </w:r>
      <w:r w:rsidR="00237B8E">
        <w:rPr>
          <w:rFonts w:ascii="Arial" w:hAnsi="Arial" w:cs="Arial"/>
        </w:rPr>
        <w:t xml:space="preserve"> [1984] Ch 317</w:t>
      </w:r>
    </w:p>
    <w:p w14:paraId="444AFD6B" w14:textId="0BE8CF9C" w:rsidR="00EB0814" w:rsidRPr="0001194E" w:rsidRDefault="00EB0814" w:rsidP="001F1253">
      <w:pPr>
        <w:pStyle w:val="ListParagraph"/>
        <w:numPr>
          <w:ilvl w:val="0"/>
          <w:numId w:val="21"/>
        </w:numPr>
        <w:spacing w:line="276" w:lineRule="auto"/>
      </w:pPr>
      <w:r>
        <w:rPr>
          <w:rFonts w:ascii="Arial" w:hAnsi="Arial" w:cs="Arial"/>
        </w:rPr>
        <w:t>Curran v Collins [2015] EWCA Civ 404.</w:t>
      </w:r>
    </w:p>
    <w:p w14:paraId="28A9DFC5" w14:textId="03FFE5D6" w:rsidR="0001194E" w:rsidRPr="0001194E" w:rsidRDefault="0001194E" w:rsidP="001F1253">
      <w:pPr>
        <w:pStyle w:val="ListParagraph"/>
        <w:numPr>
          <w:ilvl w:val="0"/>
          <w:numId w:val="21"/>
        </w:numPr>
        <w:spacing w:line="276" w:lineRule="auto"/>
      </w:pPr>
      <w:r>
        <w:rPr>
          <w:rFonts w:ascii="Arial" w:hAnsi="Arial" w:cs="Arial"/>
        </w:rPr>
        <w:t>Thorner v Major [2009] UKHL 18</w:t>
      </w:r>
    </w:p>
    <w:p w14:paraId="3628C060" w14:textId="54690435" w:rsidR="0001194E" w:rsidRPr="00A26F9A" w:rsidRDefault="0001194E" w:rsidP="001F1253">
      <w:pPr>
        <w:pStyle w:val="ListParagraph"/>
        <w:numPr>
          <w:ilvl w:val="0"/>
          <w:numId w:val="21"/>
        </w:numPr>
        <w:spacing w:line="276" w:lineRule="auto"/>
      </w:pPr>
      <w:r>
        <w:rPr>
          <w:rFonts w:ascii="Arial" w:hAnsi="Arial" w:cs="Arial"/>
        </w:rPr>
        <w:t>Jennings v Rice &amp; Ors [2003] 1 FCR 501</w:t>
      </w:r>
    </w:p>
    <w:p w14:paraId="6814359C" w14:textId="628409B4" w:rsidR="00C966E0" w:rsidRDefault="00A26F9A" w:rsidP="00537A5F">
      <w:pPr>
        <w:pStyle w:val="ListParagraph"/>
        <w:numPr>
          <w:ilvl w:val="0"/>
          <w:numId w:val="21"/>
        </w:numPr>
        <w:spacing w:line="276" w:lineRule="auto"/>
      </w:pPr>
      <w:r>
        <w:rPr>
          <w:rFonts w:ascii="Arial" w:hAnsi="Arial" w:cs="Arial"/>
        </w:rPr>
        <w:t>Greasley v Cooke [1980] 3 All ER 710.</w:t>
      </w:r>
    </w:p>
    <w:p w14:paraId="0C08295F" w14:textId="339EA45C" w:rsidR="005F216E" w:rsidRDefault="005F216E" w:rsidP="009D531E">
      <w:pPr>
        <w:pStyle w:val="Heading1"/>
        <w:numPr>
          <w:ilvl w:val="0"/>
          <w:numId w:val="0"/>
        </w:numPr>
        <w:ind w:left="680" w:hanging="680"/>
      </w:pPr>
      <w:r w:rsidRPr="009D531E">
        <w:t>References</w:t>
      </w:r>
    </w:p>
    <w:p w14:paraId="461DDF23" w14:textId="77777777" w:rsidR="00776B68" w:rsidRDefault="00E87608" w:rsidP="00E87608">
      <w:pPr>
        <w:rPr>
          <w:rFonts w:ascii="Arial" w:hAnsi="Arial" w:cs="Arial"/>
        </w:rPr>
      </w:pPr>
      <w:r w:rsidRPr="00776B68">
        <w:rPr>
          <w:rFonts w:ascii="Arial" w:hAnsi="Arial" w:cs="Arial"/>
        </w:rPr>
        <w:t xml:space="preserve">Casemine (2023) Burns v Burns [1984] Ch </w:t>
      </w:r>
      <w:r w:rsidR="00884392" w:rsidRPr="00776B68">
        <w:rPr>
          <w:rFonts w:ascii="Arial" w:hAnsi="Arial" w:cs="Arial"/>
        </w:rPr>
        <w:t>317, England and Wales Court of Appeal (Civil Division), Judgement, Law</w:t>
      </w:r>
      <w:r w:rsidR="00776B68" w:rsidRPr="00776B68">
        <w:rPr>
          <w:rFonts w:ascii="Arial" w:hAnsi="Arial" w:cs="Arial"/>
        </w:rPr>
        <w:t xml:space="preserve">. Available at: </w:t>
      </w:r>
      <w:hyperlink r:id="rId7" w:history="1">
        <w:r w:rsidR="00776B68" w:rsidRPr="00776B68">
          <w:rPr>
            <w:rStyle w:val="Hyperlink"/>
            <w:rFonts w:ascii="Arial" w:hAnsi="Arial" w:cs="Arial"/>
          </w:rPr>
          <w:t>https://www.casemine.com/judgement/uk/5a8ff87a60d03e7f57ec1194</w:t>
        </w:r>
      </w:hyperlink>
      <w:r w:rsidR="00776B68" w:rsidRPr="00776B68">
        <w:rPr>
          <w:rFonts w:ascii="Arial" w:hAnsi="Arial" w:cs="Arial"/>
        </w:rPr>
        <w:t xml:space="preserve"> </w:t>
      </w:r>
    </w:p>
    <w:p w14:paraId="23AFE1A4" w14:textId="5096D95F" w:rsidR="00E87608" w:rsidRPr="00776B68" w:rsidRDefault="00776B68" w:rsidP="00E87608">
      <w:pPr>
        <w:rPr>
          <w:rFonts w:ascii="Arial" w:hAnsi="Arial" w:cs="Arial"/>
        </w:rPr>
      </w:pPr>
      <w:r w:rsidRPr="00776B68">
        <w:rPr>
          <w:rFonts w:ascii="Arial" w:hAnsi="Arial" w:cs="Arial"/>
        </w:rPr>
        <w:t>(Accessed: 17,03,2026)</w:t>
      </w:r>
    </w:p>
    <w:p w14:paraId="12015ECE" w14:textId="77777777" w:rsidR="00E87608" w:rsidRPr="00E87608" w:rsidRDefault="00E87608" w:rsidP="00E87608"/>
    <w:p w14:paraId="5F73E0EB" w14:textId="54BFCE07" w:rsidR="00D55C98" w:rsidRDefault="00D55C98" w:rsidP="00D55C98">
      <w:pPr>
        <w:rPr>
          <w:rFonts w:ascii="Arial" w:hAnsi="Arial" w:cs="Arial"/>
        </w:rPr>
      </w:pPr>
      <w:r w:rsidRPr="00D72C5D">
        <w:rPr>
          <w:rFonts w:ascii="Arial" w:hAnsi="Arial" w:cs="Arial"/>
        </w:rPr>
        <w:t>Casemine (2023). James v Thomas [2007] EWCA Civ 1212</w:t>
      </w:r>
      <w:r w:rsidR="00367D6B" w:rsidRPr="00D72C5D">
        <w:rPr>
          <w:rFonts w:ascii="Arial" w:hAnsi="Arial" w:cs="Arial"/>
        </w:rPr>
        <w:t xml:space="preserve"> | England and Wales Court of Appeal (Civil Division)</w:t>
      </w:r>
      <w:r w:rsidR="00D72C5D" w:rsidRPr="00D72C5D">
        <w:rPr>
          <w:rFonts w:ascii="Arial" w:hAnsi="Arial" w:cs="Arial"/>
        </w:rPr>
        <w:t xml:space="preserve">, Judgment Law. Available at: </w:t>
      </w:r>
      <w:hyperlink r:id="rId8" w:history="1">
        <w:r w:rsidR="00D72C5D" w:rsidRPr="00D72C5D">
          <w:rPr>
            <w:rStyle w:val="Hyperlink"/>
            <w:rFonts w:ascii="Arial" w:hAnsi="Arial" w:cs="Arial"/>
          </w:rPr>
          <w:t>https://www.casemine.com/judgement/uk/5a8ff7a260d03e7f57eb0881</w:t>
        </w:r>
      </w:hyperlink>
      <w:r w:rsidR="00D72C5D" w:rsidRPr="00D72C5D">
        <w:rPr>
          <w:rFonts w:ascii="Arial" w:hAnsi="Arial" w:cs="Arial"/>
        </w:rPr>
        <w:t xml:space="preserve"> (accessed: 16.03.2026)</w:t>
      </w:r>
    </w:p>
    <w:p w14:paraId="08779F44" w14:textId="77777777" w:rsidR="0040768D" w:rsidRDefault="0040768D" w:rsidP="00D55C98">
      <w:pPr>
        <w:rPr>
          <w:rFonts w:ascii="Arial" w:hAnsi="Arial" w:cs="Arial"/>
        </w:rPr>
      </w:pPr>
    </w:p>
    <w:p w14:paraId="08C1D0B0" w14:textId="4959107E" w:rsidR="0040768D" w:rsidRDefault="0040768D" w:rsidP="00D55C98">
      <w:pPr>
        <w:rPr>
          <w:rFonts w:ascii="Arial" w:hAnsi="Arial" w:cs="Arial"/>
        </w:rPr>
      </w:pPr>
      <w:r>
        <w:rPr>
          <w:rFonts w:ascii="Arial" w:hAnsi="Arial" w:cs="Arial"/>
        </w:rPr>
        <w:t>Casemine (2023). Jennings</w:t>
      </w:r>
      <w:r w:rsidR="00E96816">
        <w:rPr>
          <w:rFonts w:ascii="Arial" w:hAnsi="Arial" w:cs="Arial"/>
        </w:rPr>
        <w:t xml:space="preserve"> v Rice &amp; Ors [2003] 1 FCR 501 |</w:t>
      </w:r>
      <w:r w:rsidR="00B83374">
        <w:rPr>
          <w:rFonts w:ascii="Arial" w:hAnsi="Arial" w:cs="Arial"/>
        </w:rPr>
        <w:t xml:space="preserve"> England and Wales Court of Appeal (Civil Division), Judgment Law. Available at:</w:t>
      </w:r>
      <w:r w:rsidR="00D515B9">
        <w:rPr>
          <w:rFonts w:ascii="Arial" w:hAnsi="Arial" w:cs="Arial"/>
        </w:rPr>
        <w:t xml:space="preserve"> </w:t>
      </w:r>
      <w:hyperlink r:id="rId9" w:history="1">
        <w:r w:rsidR="00D515B9" w:rsidRPr="00675C0F">
          <w:rPr>
            <w:rStyle w:val="Hyperlink"/>
            <w:rFonts w:ascii="Arial" w:hAnsi="Arial" w:cs="Arial"/>
          </w:rPr>
          <w:t>https://www.casemine.com/judgement/uk/5a8ff7aa60d03e7f57eb1065</w:t>
        </w:r>
      </w:hyperlink>
      <w:r w:rsidR="00D515B9">
        <w:rPr>
          <w:rFonts w:ascii="Arial" w:hAnsi="Arial" w:cs="Arial"/>
        </w:rPr>
        <w:t xml:space="preserve"> (accessed: 17.03.2026)</w:t>
      </w:r>
    </w:p>
    <w:p w14:paraId="4693617D" w14:textId="77777777" w:rsidR="00B61C61" w:rsidRPr="00D72C5D" w:rsidRDefault="00B61C61" w:rsidP="00D55C98">
      <w:pPr>
        <w:rPr>
          <w:rFonts w:ascii="Arial" w:hAnsi="Arial" w:cs="Arial"/>
        </w:rPr>
      </w:pPr>
    </w:p>
    <w:p w14:paraId="0F44AC13" w14:textId="77777777" w:rsidR="00B61C61" w:rsidRDefault="00B61C61" w:rsidP="00B61C61">
      <w:pPr>
        <w:spacing w:line="276" w:lineRule="auto"/>
        <w:rPr>
          <w:rFonts w:ascii="Arial" w:hAnsi="Arial" w:cs="Arial"/>
        </w:rPr>
      </w:pPr>
      <w:r w:rsidRPr="005D76D6">
        <w:rPr>
          <w:rFonts w:ascii="Arial" w:hAnsi="Arial" w:cs="Arial"/>
        </w:rPr>
        <w:t xml:space="preserve">House of Lords (2007). House of Lords – Stack (Appellant) v Dowden (Respondent) [2005] EWCA Civ 857 and [2007] UKHL 1. Publications. Parliament.uk. available at: </w:t>
      </w:r>
      <w:hyperlink r:id="rId10" w:history="1">
        <w:r w:rsidRPr="005D76D6">
          <w:rPr>
            <w:rStyle w:val="Hyperlink"/>
            <w:rFonts w:ascii="Arial" w:hAnsi="Arial" w:cs="Arial"/>
          </w:rPr>
          <w:t>https://publications.parliament.uk/pa/ld200607/ldjudgmt/jd070425/stack-1.htm</w:t>
        </w:r>
      </w:hyperlink>
      <w:r w:rsidRPr="005D76D6">
        <w:rPr>
          <w:rFonts w:ascii="Arial" w:hAnsi="Arial" w:cs="Arial"/>
        </w:rPr>
        <w:t xml:space="preserve"> (accessed: 16.03.2026)</w:t>
      </w:r>
    </w:p>
    <w:p w14:paraId="24DA5C4B" w14:textId="77777777" w:rsidR="007F37A6" w:rsidRDefault="007F37A6" w:rsidP="00B61C61">
      <w:pPr>
        <w:spacing w:line="276" w:lineRule="auto"/>
        <w:rPr>
          <w:rFonts w:ascii="Arial" w:hAnsi="Arial" w:cs="Arial"/>
        </w:rPr>
      </w:pPr>
    </w:p>
    <w:p w14:paraId="4D2610DB" w14:textId="50532F5B" w:rsidR="007F37A6" w:rsidRDefault="007F37A6" w:rsidP="00B61C61">
      <w:pPr>
        <w:spacing w:line="276" w:lineRule="auto"/>
        <w:rPr>
          <w:rFonts w:ascii="Arial" w:hAnsi="Arial" w:cs="Arial"/>
        </w:rPr>
      </w:pPr>
      <w:r>
        <w:rPr>
          <w:rFonts w:ascii="Arial" w:hAnsi="Arial" w:cs="Arial"/>
        </w:rPr>
        <w:t>House of Lords (2</w:t>
      </w:r>
      <w:r w:rsidR="00A1134E">
        <w:rPr>
          <w:rFonts w:ascii="Arial" w:hAnsi="Arial" w:cs="Arial"/>
        </w:rPr>
        <w:t>013</w:t>
      </w:r>
      <w:r>
        <w:rPr>
          <w:rFonts w:ascii="Arial" w:hAnsi="Arial" w:cs="Arial"/>
        </w:rPr>
        <w:t>)</w:t>
      </w:r>
      <w:r w:rsidR="00E45815">
        <w:rPr>
          <w:rFonts w:ascii="Arial" w:hAnsi="Arial" w:cs="Arial"/>
        </w:rPr>
        <w:t>. House of Lords – Thorner (Appellant) v Ma</w:t>
      </w:r>
      <w:r w:rsidR="007B27E5">
        <w:rPr>
          <w:rFonts w:ascii="Arial" w:hAnsi="Arial" w:cs="Arial"/>
        </w:rPr>
        <w:t>jors and others (Respondents).</w:t>
      </w:r>
      <w:r w:rsidR="00ED7EC3">
        <w:rPr>
          <w:rFonts w:ascii="Arial" w:hAnsi="Arial" w:cs="Arial"/>
        </w:rPr>
        <w:t xml:space="preserve"> [2009] UKHL 18. Available at: </w:t>
      </w:r>
      <w:hyperlink r:id="rId11" w:history="1">
        <w:r w:rsidR="00954D17" w:rsidRPr="00675C0F">
          <w:rPr>
            <w:rStyle w:val="Hyperlink"/>
            <w:rFonts w:ascii="Arial" w:hAnsi="Arial" w:cs="Arial"/>
          </w:rPr>
          <w:t>https://publications.parliament.uk/pa/ld200809/ldjudgmt/jd090325/thorn-1.htm</w:t>
        </w:r>
      </w:hyperlink>
      <w:r w:rsidR="00954D17">
        <w:rPr>
          <w:rFonts w:ascii="Arial" w:hAnsi="Arial" w:cs="Arial"/>
        </w:rPr>
        <w:t xml:space="preserve"> (accessed: 18.03.2026)</w:t>
      </w:r>
    </w:p>
    <w:p w14:paraId="114FAE22" w14:textId="77777777" w:rsidR="00954D17" w:rsidRDefault="00954D17" w:rsidP="00B61C61">
      <w:pPr>
        <w:spacing w:line="276" w:lineRule="auto"/>
        <w:rPr>
          <w:rFonts w:ascii="Arial" w:hAnsi="Arial" w:cs="Arial"/>
        </w:rPr>
      </w:pPr>
    </w:p>
    <w:p w14:paraId="16A382AF" w14:textId="4BDCA843" w:rsidR="00045CAA" w:rsidRDefault="00EF4B26" w:rsidP="005D76D6">
      <w:pPr>
        <w:spacing w:line="276" w:lineRule="auto"/>
        <w:rPr>
          <w:rFonts w:ascii="Arial" w:hAnsi="Arial" w:cs="Arial"/>
        </w:rPr>
      </w:pPr>
      <w:r w:rsidRPr="005D76D6">
        <w:rPr>
          <w:rFonts w:ascii="Arial" w:hAnsi="Arial" w:cs="Arial"/>
        </w:rPr>
        <w:t>IPSA (2022). Geary v Rankine [2012] EWCA</w:t>
      </w:r>
      <w:r w:rsidR="00E01C5D" w:rsidRPr="005D76D6">
        <w:rPr>
          <w:rFonts w:ascii="Arial" w:hAnsi="Arial" w:cs="Arial"/>
        </w:rPr>
        <w:t xml:space="preserve"> Civ 555 – Case Summary. IPSA LOQUITUR</w:t>
      </w:r>
      <w:r w:rsidR="00C966E0" w:rsidRPr="005D76D6">
        <w:rPr>
          <w:rFonts w:ascii="Arial" w:hAnsi="Arial" w:cs="Arial"/>
        </w:rPr>
        <w:t xml:space="preserve">. Available: </w:t>
      </w:r>
      <w:hyperlink r:id="rId12" w:anchor="google_vignette" w:history="1">
        <w:r w:rsidR="00C966E0" w:rsidRPr="005D76D6">
          <w:rPr>
            <w:rStyle w:val="Hyperlink"/>
            <w:rFonts w:ascii="Arial" w:hAnsi="Arial" w:cs="Arial"/>
          </w:rPr>
          <w:t>https://ipsaloquitur.com/land-law/cases/geary-v-rankine/#google_vignette</w:t>
        </w:r>
      </w:hyperlink>
      <w:r w:rsidR="00C966E0" w:rsidRPr="005D76D6">
        <w:rPr>
          <w:rFonts w:ascii="Arial" w:hAnsi="Arial" w:cs="Arial"/>
        </w:rPr>
        <w:t xml:space="preserve"> (accessed: 16.03.2026)</w:t>
      </w:r>
    </w:p>
    <w:p w14:paraId="4FBAB6E3" w14:textId="77777777" w:rsidR="00D22DF9" w:rsidRDefault="00D22DF9" w:rsidP="005D76D6">
      <w:pPr>
        <w:spacing w:line="276" w:lineRule="auto"/>
        <w:rPr>
          <w:rFonts w:ascii="Arial" w:hAnsi="Arial" w:cs="Arial"/>
        </w:rPr>
      </w:pPr>
    </w:p>
    <w:p w14:paraId="63243680" w14:textId="08BD5D68" w:rsidR="00D22DF9" w:rsidRDefault="00D22DF9" w:rsidP="005D76D6">
      <w:pPr>
        <w:spacing w:line="276" w:lineRule="auto"/>
        <w:rPr>
          <w:rFonts w:ascii="Arial" w:hAnsi="Arial" w:cs="Arial"/>
        </w:rPr>
      </w:pPr>
      <w:r>
        <w:rPr>
          <w:rFonts w:ascii="Arial" w:hAnsi="Arial" w:cs="Arial"/>
        </w:rPr>
        <w:lastRenderedPageBreak/>
        <w:t>LexisNexis (2015). Curran v Collins [2015] EWCA Civ 404. Available at:</w:t>
      </w:r>
      <w:r w:rsidR="00194502">
        <w:rPr>
          <w:rFonts w:ascii="Arial" w:hAnsi="Arial" w:cs="Arial"/>
        </w:rPr>
        <w:t xml:space="preserve"> </w:t>
      </w:r>
      <w:hyperlink r:id="rId13" w:history="1">
        <w:r w:rsidR="00194502" w:rsidRPr="00675C0F">
          <w:rPr>
            <w:rStyle w:val="Hyperlink"/>
            <w:rFonts w:ascii="Arial" w:hAnsi="Arial" w:cs="Arial"/>
          </w:rPr>
          <w:t>https://plus-lexis-com.uwtsd.idm.oclc.org/uk/cases-uk/curran-v-collins/?crid=ae04cb36-79eb-44a4-bba7-6599b9e9070e&amp;pddocumentnumber=1</w:t>
        </w:r>
      </w:hyperlink>
      <w:r w:rsidR="00194502">
        <w:rPr>
          <w:rFonts w:ascii="Arial" w:hAnsi="Arial" w:cs="Arial"/>
        </w:rPr>
        <w:t xml:space="preserve"> (17.03.2026)</w:t>
      </w:r>
    </w:p>
    <w:p w14:paraId="7E25423A" w14:textId="77777777" w:rsidR="0050752E" w:rsidRDefault="0050752E" w:rsidP="005D76D6">
      <w:pPr>
        <w:spacing w:line="276" w:lineRule="auto"/>
        <w:rPr>
          <w:rFonts w:ascii="Arial" w:hAnsi="Arial" w:cs="Arial"/>
        </w:rPr>
      </w:pPr>
    </w:p>
    <w:p w14:paraId="61AB1D01" w14:textId="51079C8D" w:rsidR="0050752E" w:rsidRDefault="0050752E" w:rsidP="005D76D6">
      <w:pPr>
        <w:spacing w:line="276" w:lineRule="auto"/>
        <w:rPr>
          <w:rFonts w:ascii="Arial" w:hAnsi="Arial" w:cs="Arial"/>
        </w:rPr>
      </w:pPr>
      <w:r>
        <w:rPr>
          <w:rFonts w:ascii="Arial" w:hAnsi="Arial" w:cs="Arial"/>
        </w:rPr>
        <w:t>LexisNexis (</w:t>
      </w:r>
      <w:r w:rsidR="006014E9">
        <w:rPr>
          <w:rFonts w:ascii="Arial" w:hAnsi="Arial" w:cs="Arial"/>
        </w:rPr>
        <w:t>2026). Greasley v Cooke [1980] 3 All ER 710.</w:t>
      </w:r>
      <w:r w:rsidR="004B0506">
        <w:rPr>
          <w:rFonts w:ascii="Arial" w:hAnsi="Arial" w:cs="Arial"/>
        </w:rPr>
        <w:t xml:space="preserve"> Available at: </w:t>
      </w:r>
      <w:hyperlink r:id="rId14" w:history="1">
        <w:r w:rsidR="004B0506" w:rsidRPr="00675C0F">
          <w:rPr>
            <w:rStyle w:val="Hyperlink"/>
            <w:rFonts w:ascii="Arial" w:hAnsi="Arial" w:cs="Arial"/>
          </w:rPr>
          <w:t>https://plus-lexis-com.uwtsd.idm.oclc.org/uk/cases-uk/greasley-v-cooke/?crid=f852677e-2ecd-431d-9d85-4b62640c0b14&amp;pddocumentnumber=1</w:t>
        </w:r>
      </w:hyperlink>
      <w:r w:rsidR="004B0506">
        <w:rPr>
          <w:rFonts w:ascii="Arial" w:hAnsi="Arial" w:cs="Arial"/>
        </w:rPr>
        <w:t xml:space="preserve"> (accessed: 18.03.2026)</w:t>
      </w:r>
    </w:p>
    <w:p w14:paraId="60C01A0A" w14:textId="77777777" w:rsidR="00241639" w:rsidRDefault="00241639" w:rsidP="005D76D6">
      <w:pPr>
        <w:spacing w:line="276" w:lineRule="auto"/>
        <w:rPr>
          <w:rFonts w:ascii="Arial" w:hAnsi="Arial" w:cs="Arial"/>
        </w:rPr>
      </w:pPr>
    </w:p>
    <w:p w14:paraId="2FC5A869" w14:textId="2511AA0B" w:rsidR="00923A30" w:rsidRDefault="00241639" w:rsidP="005D76D6">
      <w:pPr>
        <w:spacing w:line="276" w:lineRule="auto"/>
        <w:rPr>
          <w:rFonts w:ascii="Arial" w:hAnsi="Arial" w:cs="Arial"/>
        </w:rPr>
      </w:pPr>
      <w:r>
        <w:rPr>
          <w:rFonts w:ascii="Arial" w:hAnsi="Arial" w:cs="Arial"/>
        </w:rPr>
        <w:t>LexisNexis (2026)</w:t>
      </w:r>
      <w:r w:rsidR="00E51484">
        <w:rPr>
          <w:rFonts w:ascii="Arial" w:hAnsi="Arial" w:cs="Arial"/>
        </w:rPr>
        <w:t>.</w:t>
      </w:r>
      <w:r>
        <w:rPr>
          <w:rFonts w:ascii="Arial" w:hAnsi="Arial" w:cs="Arial"/>
        </w:rPr>
        <w:t xml:space="preserve"> Proprietary estoppel | Legal guidance | LexisNexis. Available at:</w:t>
      </w:r>
      <w:r w:rsidR="00E51484">
        <w:rPr>
          <w:rFonts w:ascii="Arial" w:hAnsi="Arial" w:cs="Arial"/>
        </w:rPr>
        <w:t xml:space="preserve"> </w:t>
      </w:r>
      <w:hyperlink r:id="rId15" w:history="1">
        <w:r w:rsidR="00E51484" w:rsidRPr="00675C0F">
          <w:rPr>
            <w:rStyle w:val="Hyperlink"/>
            <w:rFonts w:ascii="Arial" w:hAnsi="Arial" w:cs="Arial"/>
          </w:rPr>
          <w:t>https://www.lexisnexis.co.uk/legal/guidance/proprietary-estoppel</w:t>
        </w:r>
      </w:hyperlink>
      <w:r w:rsidR="00E51484">
        <w:rPr>
          <w:rFonts w:ascii="Arial" w:hAnsi="Arial" w:cs="Arial"/>
        </w:rPr>
        <w:t xml:space="preserve"> (accessed: 17.03.2026)</w:t>
      </w:r>
    </w:p>
    <w:p w14:paraId="0F91F89A" w14:textId="77777777" w:rsidR="00923A30" w:rsidRDefault="00923A30" w:rsidP="005D76D6">
      <w:pPr>
        <w:spacing w:line="276" w:lineRule="auto"/>
        <w:rPr>
          <w:rFonts w:ascii="Arial" w:hAnsi="Arial" w:cs="Arial"/>
        </w:rPr>
      </w:pPr>
    </w:p>
    <w:p w14:paraId="2434F2DE" w14:textId="5E1F43E6" w:rsidR="00E50EA0" w:rsidRDefault="00923A30" w:rsidP="005D76D6">
      <w:pPr>
        <w:spacing w:line="276" w:lineRule="auto"/>
        <w:rPr>
          <w:rFonts w:ascii="Arial" w:hAnsi="Arial" w:cs="Arial"/>
        </w:rPr>
      </w:pPr>
      <w:r>
        <w:rPr>
          <w:rFonts w:ascii="Arial" w:hAnsi="Arial" w:cs="Arial"/>
        </w:rPr>
        <w:t>Nettleship, S. and O’Donnell, D. (2026). What rights do cohabit</w:t>
      </w:r>
      <w:r w:rsidR="003C704D">
        <w:rPr>
          <w:rFonts w:ascii="Arial" w:hAnsi="Arial" w:cs="Arial"/>
        </w:rPr>
        <w:t>ing couples have</w:t>
      </w:r>
      <w:r w:rsidR="001C52C3">
        <w:rPr>
          <w:rFonts w:ascii="Arial" w:hAnsi="Arial" w:cs="Arial"/>
        </w:rPr>
        <w:t>,</w:t>
      </w:r>
      <w:r w:rsidR="003C704D">
        <w:rPr>
          <w:rFonts w:ascii="Arial" w:hAnsi="Arial" w:cs="Arial"/>
        </w:rPr>
        <w:t xml:space="preserve"> and how can they best protect themselves? Thomson Snell &amp; Passmore. </w:t>
      </w:r>
      <w:r w:rsidR="001C52C3">
        <w:rPr>
          <w:rFonts w:ascii="Arial" w:hAnsi="Arial" w:cs="Arial"/>
        </w:rPr>
        <w:t>Available</w:t>
      </w:r>
      <w:r w:rsidR="003C704D">
        <w:rPr>
          <w:rFonts w:ascii="Arial" w:hAnsi="Arial" w:cs="Arial"/>
        </w:rPr>
        <w:t xml:space="preserve"> at</w:t>
      </w:r>
      <w:r w:rsidR="001C52C3">
        <w:rPr>
          <w:rFonts w:ascii="Arial" w:hAnsi="Arial" w:cs="Arial"/>
        </w:rPr>
        <w:t xml:space="preserve">: </w:t>
      </w:r>
      <w:hyperlink r:id="rId16" w:history="1">
        <w:r w:rsidR="001C52C3" w:rsidRPr="00675C0F">
          <w:rPr>
            <w:rStyle w:val="Hyperlink"/>
            <w:rFonts w:ascii="Arial" w:hAnsi="Arial" w:cs="Arial"/>
          </w:rPr>
          <w:t>https://ts-p.co.uk/insights/what-rights-do-cohabiting-couples-have-and-how-can-they-best-protect-themselves/</w:t>
        </w:r>
      </w:hyperlink>
      <w:r w:rsidR="001C52C3">
        <w:rPr>
          <w:rFonts w:ascii="Arial" w:hAnsi="Arial" w:cs="Arial"/>
        </w:rPr>
        <w:t xml:space="preserve"> (accessed: 18.03.2026)</w:t>
      </w:r>
    </w:p>
    <w:p w14:paraId="0F339B1D" w14:textId="77777777" w:rsidR="00B61C61" w:rsidRDefault="00B61C61" w:rsidP="005D76D6">
      <w:pPr>
        <w:spacing w:line="276" w:lineRule="auto"/>
        <w:rPr>
          <w:rFonts w:ascii="Arial" w:hAnsi="Arial" w:cs="Arial"/>
        </w:rPr>
      </w:pPr>
    </w:p>
    <w:p w14:paraId="4860408B" w14:textId="5939886D" w:rsidR="00382456" w:rsidRDefault="00382456" w:rsidP="005D76D6">
      <w:pPr>
        <w:spacing w:line="276" w:lineRule="auto"/>
        <w:rPr>
          <w:rFonts w:ascii="Arial" w:hAnsi="Arial" w:cs="Arial"/>
        </w:rPr>
      </w:pPr>
      <w:r w:rsidRPr="005D76D6">
        <w:rPr>
          <w:rFonts w:ascii="Arial" w:hAnsi="Arial" w:cs="Arial"/>
        </w:rPr>
        <w:t>Vlex (1988). Lloyds Bank Plc v Rosset [</w:t>
      </w:r>
      <w:r w:rsidR="00676B98" w:rsidRPr="005D76D6">
        <w:rPr>
          <w:rFonts w:ascii="Arial" w:hAnsi="Arial" w:cs="Arial"/>
        </w:rPr>
        <w:t>1988] EWCA Civ J0513-7. Available at:</w:t>
      </w:r>
      <w:r w:rsidR="0022317C" w:rsidRPr="005D76D6">
        <w:rPr>
          <w:rFonts w:ascii="Arial" w:hAnsi="Arial" w:cs="Arial"/>
        </w:rPr>
        <w:t xml:space="preserve"> </w:t>
      </w:r>
      <w:hyperlink r:id="rId17" w:history="1">
        <w:r w:rsidR="0022317C" w:rsidRPr="005D76D6">
          <w:rPr>
            <w:rStyle w:val="Hyperlink"/>
            <w:rFonts w:ascii="Arial" w:hAnsi="Arial" w:cs="Arial"/>
          </w:rPr>
          <w:t>https://vlex.co.uk/vid/lloyds-bank-plc-v-793778589</w:t>
        </w:r>
      </w:hyperlink>
      <w:r w:rsidR="0022317C" w:rsidRPr="005D76D6">
        <w:rPr>
          <w:rFonts w:ascii="Arial" w:hAnsi="Arial" w:cs="Arial"/>
        </w:rPr>
        <w:t xml:space="preserve"> (accessed: 16.03.2026)</w:t>
      </w:r>
    </w:p>
    <w:p w14:paraId="65D47D9A" w14:textId="77777777" w:rsidR="005D76D6" w:rsidRPr="00BD4011" w:rsidRDefault="005D76D6" w:rsidP="005D76D6">
      <w:pPr>
        <w:spacing w:line="276" w:lineRule="auto"/>
      </w:pPr>
    </w:p>
    <w:p w14:paraId="46189DBA" w14:textId="77777777" w:rsidR="00C966E0" w:rsidRPr="00EF4B26" w:rsidRDefault="00C966E0" w:rsidP="00C966E0">
      <w:pPr>
        <w:pStyle w:val="ListParagraph"/>
      </w:pPr>
    </w:p>
    <w:p w14:paraId="6C408D3D" w14:textId="41AAEC75" w:rsidR="005F216E" w:rsidRPr="009D531E" w:rsidRDefault="005F216E" w:rsidP="009D531E">
      <w:pPr>
        <w:spacing w:line="360" w:lineRule="auto"/>
        <w:rPr>
          <w:rFonts w:ascii="Arial" w:hAnsi="Arial" w:cs="Arial"/>
        </w:rPr>
      </w:pPr>
    </w:p>
    <w:sectPr w:rsidR="005F216E" w:rsidRPr="009D531E">
      <w:headerReference w:type="default" r:id="rId18"/>
      <w:footerReference w:type="even" r:id="rId19"/>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C682B2" w14:textId="77777777" w:rsidR="00674757" w:rsidRDefault="00674757" w:rsidP="00A27820">
      <w:r>
        <w:separator/>
      </w:r>
    </w:p>
  </w:endnote>
  <w:endnote w:type="continuationSeparator" w:id="0">
    <w:p w14:paraId="2F618720" w14:textId="77777777" w:rsidR="00674757" w:rsidRDefault="00674757" w:rsidP="00A278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182042476"/>
      <w:docPartObj>
        <w:docPartGallery w:val="Page Numbers (Bottom of Page)"/>
        <w:docPartUnique/>
      </w:docPartObj>
    </w:sdtPr>
    <w:sdtEndPr>
      <w:rPr>
        <w:rStyle w:val="PageNumber"/>
      </w:rPr>
    </w:sdtEndPr>
    <w:sdtContent>
      <w:p w14:paraId="506C8DEB" w14:textId="1BD1DADE" w:rsidR="00A27820" w:rsidRDefault="00A27820" w:rsidP="005E5DC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C18541F" w14:textId="77777777" w:rsidR="00A27820" w:rsidRDefault="00A27820" w:rsidP="00A2782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053464338"/>
      <w:docPartObj>
        <w:docPartGallery w:val="Page Numbers (Bottom of Page)"/>
        <w:docPartUnique/>
      </w:docPartObj>
    </w:sdtPr>
    <w:sdtEndPr>
      <w:rPr>
        <w:rStyle w:val="PageNumber"/>
      </w:rPr>
    </w:sdtEndPr>
    <w:sdtContent>
      <w:p w14:paraId="355AE08A" w14:textId="733A5AC3" w:rsidR="00A27820" w:rsidRDefault="00A27820" w:rsidP="005E5DC7">
        <w:pPr>
          <w:pStyle w:val="Footer"/>
          <w:framePr w:wrap="none" w:vAnchor="text" w:hAnchor="margin" w:xAlign="right" w:y="1"/>
          <w:rPr>
            <w:rStyle w:val="PageNumber"/>
          </w:rPr>
        </w:pPr>
        <w:r w:rsidRPr="005F216E">
          <w:rPr>
            <w:rStyle w:val="PageNumber"/>
            <w:rFonts w:asciiTheme="majorHAnsi" w:hAnsiTheme="majorHAnsi" w:cstheme="majorHAnsi"/>
          </w:rPr>
          <w:fldChar w:fldCharType="begin"/>
        </w:r>
        <w:r w:rsidRPr="005F216E">
          <w:rPr>
            <w:rStyle w:val="PageNumber"/>
            <w:rFonts w:asciiTheme="majorHAnsi" w:hAnsiTheme="majorHAnsi" w:cstheme="majorHAnsi"/>
          </w:rPr>
          <w:instrText xml:space="preserve"> PAGE </w:instrText>
        </w:r>
        <w:r w:rsidRPr="005F216E">
          <w:rPr>
            <w:rStyle w:val="PageNumber"/>
            <w:rFonts w:asciiTheme="majorHAnsi" w:hAnsiTheme="majorHAnsi" w:cstheme="majorHAnsi"/>
          </w:rPr>
          <w:fldChar w:fldCharType="separate"/>
        </w:r>
        <w:r w:rsidRPr="005F216E">
          <w:rPr>
            <w:rStyle w:val="PageNumber"/>
            <w:rFonts w:asciiTheme="majorHAnsi" w:hAnsiTheme="majorHAnsi" w:cstheme="majorHAnsi"/>
            <w:noProof/>
          </w:rPr>
          <w:t>1</w:t>
        </w:r>
        <w:r w:rsidRPr="005F216E">
          <w:rPr>
            <w:rStyle w:val="PageNumber"/>
            <w:rFonts w:asciiTheme="majorHAnsi" w:hAnsiTheme="majorHAnsi" w:cstheme="majorHAnsi"/>
          </w:rPr>
          <w:fldChar w:fldCharType="end"/>
        </w:r>
      </w:p>
    </w:sdtContent>
  </w:sdt>
  <w:p w14:paraId="24F1ACD8" w14:textId="77777777" w:rsidR="00A27820" w:rsidRDefault="00A27820" w:rsidP="00A2782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AAB3AF" w14:textId="77777777" w:rsidR="00674757" w:rsidRDefault="00674757" w:rsidP="00A27820">
      <w:r>
        <w:separator/>
      </w:r>
    </w:p>
  </w:footnote>
  <w:footnote w:type="continuationSeparator" w:id="0">
    <w:p w14:paraId="46962E75" w14:textId="77777777" w:rsidR="00674757" w:rsidRDefault="00674757" w:rsidP="00A278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6D7F8A" w14:textId="174C4B32" w:rsidR="00050416" w:rsidRPr="00050416" w:rsidRDefault="00050416">
    <w:pPr>
      <w:pStyle w:val="Header"/>
      <w:rPr>
        <w:rFonts w:ascii="Arial" w:hAnsi="Arial" w:cs="Arial"/>
      </w:rPr>
    </w:pPr>
    <w:r w:rsidRPr="00050416">
      <w:rPr>
        <w:rFonts w:ascii="Arial" w:hAnsi="Arial" w:cs="Arial"/>
      </w:rPr>
      <w:t>Diana Demeterova                                                                     Land Law</w:t>
    </w:r>
  </w:p>
  <w:p w14:paraId="31D9C898" w14:textId="47E3D5F3" w:rsidR="00050416" w:rsidRPr="00050416" w:rsidRDefault="00050416">
    <w:pPr>
      <w:pStyle w:val="Header"/>
      <w:rPr>
        <w:rFonts w:ascii="Arial" w:hAnsi="Arial" w:cs="Arial"/>
      </w:rPr>
    </w:pPr>
    <w:r w:rsidRPr="00050416">
      <w:rPr>
        <w:rFonts w:ascii="Arial" w:hAnsi="Arial" w:cs="Arial"/>
      </w:rPr>
      <w:t xml:space="preserve">      2314066                                                                Assignment 1- Resubmission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90264"/>
    <w:multiLevelType w:val="multilevel"/>
    <w:tmpl w:val="C8B2E30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2633E2A"/>
    <w:multiLevelType w:val="multilevel"/>
    <w:tmpl w:val="060424E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0C693CEF"/>
    <w:multiLevelType w:val="multilevel"/>
    <w:tmpl w:val="AE881D9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0D440AB6"/>
    <w:multiLevelType w:val="hybridMultilevel"/>
    <w:tmpl w:val="3B04845A"/>
    <w:lvl w:ilvl="0" w:tplc="8872DD78">
      <w:start w:val="1"/>
      <w:numFmt w:val="bullet"/>
      <w:pStyle w:val="Heading4"/>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C425D"/>
    <w:multiLevelType w:val="multilevel"/>
    <w:tmpl w:val="E004732A"/>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1D296EAA"/>
    <w:multiLevelType w:val="multilevel"/>
    <w:tmpl w:val="68A62DB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 w15:restartNumberingAfterBreak="0">
    <w:nsid w:val="1DA6104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DED3C60"/>
    <w:multiLevelType w:val="hybridMultilevel"/>
    <w:tmpl w:val="C8308A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3F52117"/>
    <w:multiLevelType w:val="multilevel"/>
    <w:tmpl w:val="5C024BD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15:restartNumberingAfterBreak="0">
    <w:nsid w:val="30584F44"/>
    <w:multiLevelType w:val="hybridMultilevel"/>
    <w:tmpl w:val="59824F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2CC018B"/>
    <w:multiLevelType w:val="multilevel"/>
    <w:tmpl w:val="C3AE9B7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3A36587E"/>
    <w:multiLevelType w:val="hybridMultilevel"/>
    <w:tmpl w:val="67AA82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D663AF2"/>
    <w:multiLevelType w:val="multilevel"/>
    <w:tmpl w:val="38E4F0A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3E5E65B2"/>
    <w:multiLevelType w:val="hybridMultilevel"/>
    <w:tmpl w:val="58ECA7F2"/>
    <w:lvl w:ilvl="0" w:tplc="1E98391C">
      <w:start w:val="1"/>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3F4F6E02"/>
    <w:multiLevelType w:val="multilevel"/>
    <w:tmpl w:val="331C036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40D55DFF"/>
    <w:multiLevelType w:val="multilevel"/>
    <w:tmpl w:val="828E1294"/>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48DF6366"/>
    <w:multiLevelType w:val="multilevel"/>
    <w:tmpl w:val="1AA69AB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4CF9416E"/>
    <w:multiLevelType w:val="multilevel"/>
    <w:tmpl w:val="08090025"/>
    <w:styleLink w:val="CurrentList1"/>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8" w15:restartNumberingAfterBreak="0">
    <w:nsid w:val="5122509F"/>
    <w:multiLevelType w:val="hybridMultilevel"/>
    <w:tmpl w:val="5AEEB5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3203489"/>
    <w:multiLevelType w:val="multilevel"/>
    <w:tmpl w:val="0809001D"/>
    <w:styleLink w:val="CurrentList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591F44B6"/>
    <w:multiLevelType w:val="hybridMultilevel"/>
    <w:tmpl w:val="5F98B3AA"/>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618745DF"/>
    <w:multiLevelType w:val="hybridMultilevel"/>
    <w:tmpl w:val="695081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BFB3C95"/>
    <w:multiLevelType w:val="multilevel"/>
    <w:tmpl w:val="9BDA626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2142338276">
    <w:abstractNumId w:val="16"/>
  </w:num>
  <w:num w:numId="2" w16cid:durableId="2120635015">
    <w:abstractNumId w:val="1"/>
  </w:num>
  <w:num w:numId="3" w16cid:durableId="409429405">
    <w:abstractNumId w:val="12"/>
  </w:num>
  <w:num w:numId="4" w16cid:durableId="966425405">
    <w:abstractNumId w:val="2"/>
  </w:num>
  <w:num w:numId="5" w16cid:durableId="905720763">
    <w:abstractNumId w:val="10"/>
  </w:num>
  <w:num w:numId="6" w16cid:durableId="1688821942">
    <w:abstractNumId w:val="14"/>
  </w:num>
  <w:num w:numId="7" w16cid:durableId="1028261598">
    <w:abstractNumId w:val="4"/>
  </w:num>
  <w:num w:numId="8" w16cid:durableId="1507552221">
    <w:abstractNumId w:val="17"/>
  </w:num>
  <w:num w:numId="9" w16cid:durableId="2146777341">
    <w:abstractNumId w:val="3"/>
  </w:num>
  <w:num w:numId="10" w16cid:durableId="1605649047">
    <w:abstractNumId w:val="8"/>
  </w:num>
  <w:num w:numId="11" w16cid:durableId="1501387600">
    <w:abstractNumId w:val="0"/>
  </w:num>
  <w:num w:numId="12" w16cid:durableId="759907699">
    <w:abstractNumId w:val="5"/>
  </w:num>
  <w:num w:numId="13" w16cid:durableId="1294866029">
    <w:abstractNumId w:val="22"/>
  </w:num>
  <w:num w:numId="14" w16cid:durableId="600912506">
    <w:abstractNumId w:val="20"/>
  </w:num>
  <w:num w:numId="15" w16cid:durableId="882865229">
    <w:abstractNumId w:val="13"/>
  </w:num>
  <w:num w:numId="16" w16cid:durableId="1743873993">
    <w:abstractNumId w:val="18"/>
  </w:num>
  <w:num w:numId="17" w16cid:durableId="2084256102">
    <w:abstractNumId w:val="15"/>
  </w:num>
  <w:num w:numId="18" w16cid:durableId="472792330">
    <w:abstractNumId w:val="19"/>
  </w:num>
  <w:num w:numId="19" w16cid:durableId="1130787387">
    <w:abstractNumId w:val="6"/>
  </w:num>
  <w:num w:numId="20" w16cid:durableId="1942684453">
    <w:abstractNumId w:val="21"/>
  </w:num>
  <w:num w:numId="21" w16cid:durableId="1464233582">
    <w:abstractNumId w:val="9"/>
  </w:num>
  <w:num w:numId="22" w16cid:durableId="1153522674">
    <w:abstractNumId w:val="7"/>
  </w:num>
  <w:num w:numId="23" w16cid:durableId="163336781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7D75"/>
    <w:rsid w:val="00001F02"/>
    <w:rsid w:val="00006E5F"/>
    <w:rsid w:val="00010215"/>
    <w:rsid w:val="0001194E"/>
    <w:rsid w:val="0003621E"/>
    <w:rsid w:val="00045CAA"/>
    <w:rsid w:val="00046C22"/>
    <w:rsid w:val="00050416"/>
    <w:rsid w:val="00080655"/>
    <w:rsid w:val="0008089A"/>
    <w:rsid w:val="000824DA"/>
    <w:rsid w:val="000837CC"/>
    <w:rsid w:val="00091C2F"/>
    <w:rsid w:val="00097359"/>
    <w:rsid w:val="000B02BA"/>
    <w:rsid w:val="000B7052"/>
    <w:rsid w:val="000C03FD"/>
    <w:rsid w:val="000D1496"/>
    <w:rsid w:val="000F4025"/>
    <w:rsid w:val="00105302"/>
    <w:rsid w:val="00121032"/>
    <w:rsid w:val="001546C1"/>
    <w:rsid w:val="00186ADD"/>
    <w:rsid w:val="001917B1"/>
    <w:rsid w:val="00193EAB"/>
    <w:rsid w:val="00194502"/>
    <w:rsid w:val="001A6CEE"/>
    <w:rsid w:val="001B37C3"/>
    <w:rsid w:val="001B788A"/>
    <w:rsid w:val="001C2704"/>
    <w:rsid w:val="001C52C3"/>
    <w:rsid w:val="001D15C4"/>
    <w:rsid w:val="001D7ECA"/>
    <w:rsid w:val="001F1253"/>
    <w:rsid w:val="001F2EFC"/>
    <w:rsid w:val="002034A9"/>
    <w:rsid w:val="002055A5"/>
    <w:rsid w:val="00207D9B"/>
    <w:rsid w:val="0022317C"/>
    <w:rsid w:val="00237B8E"/>
    <w:rsid w:val="00241639"/>
    <w:rsid w:val="00241AA0"/>
    <w:rsid w:val="00254C3C"/>
    <w:rsid w:val="00277060"/>
    <w:rsid w:val="002C58EF"/>
    <w:rsid w:val="002F5055"/>
    <w:rsid w:val="002F7D75"/>
    <w:rsid w:val="003041F2"/>
    <w:rsid w:val="003062EF"/>
    <w:rsid w:val="003074CC"/>
    <w:rsid w:val="00310729"/>
    <w:rsid w:val="00323528"/>
    <w:rsid w:val="003337CE"/>
    <w:rsid w:val="00346244"/>
    <w:rsid w:val="00354FCD"/>
    <w:rsid w:val="003570C4"/>
    <w:rsid w:val="003665CE"/>
    <w:rsid w:val="00367D6B"/>
    <w:rsid w:val="00382456"/>
    <w:rsid w:val="0039554C"/>
    <w:rsid w:val="003A3413"/>
    <w:rsid w:val="003B1FAC"/>
    <w:rsid w:val="003B59A3"/>
    <w:rsid w:val="003C5B89"/>
    <w:rsid w:val="003C704D"/>
    <w:rsid w:val="003D1849"/>
    <w:rsid w:val="003D2720"/>
    <w:rsid w:val="003D41FC"/>
    <w:rsid w:val="003E1633"/>
    <w:rsid w:val="003F7D57"/>
    <w:rsid w:val="00403E8A"/>
    <w:rsid w:val="0040713C"/>
    <w:rsid w:val="0040768D"/>
    <w:rsid w:val="004176CB"/>
    <w:rsid w:val="004211EA"/>
    <w:rsid w:val="00422FFA"/>
    <w:rsid w:val="00426056"/>
    <w:rsid w:val="00427454"/>
    <w:rsid w:val="0045153C"/>
    <w:rsid w:val="00480037"/>
    <w:rsid w:val="00482678"/>
    <w:rsid w:val="00490B0F"/>
    <w:rsid w:val="004B0506"/>
    <w:rsid w:val="004E30DD"/>
    <w:rsid w:val="004E39F6"/>
    <w:rsid w:val="004E7F74"/>
    <w:rsid w:val="004F2766"/>
    <w:rsid w:val="004F3CF6"/>
    <w:rsid w:val="0050150A"/>
    <w:rsid w:val="00502513"/>
    <w:rsid w:val="0050752E"/>
    <w:rsid w:val="005162DB"/>
    <w:rsid w:val="00526DE6"/>
    <w:rsid w:val="00530845"/>
    <w:rsid w:val="00535509"/>
    <w:rsid w:val="00537A5F"/>
    <w:rsid w:val="00551EEB"/>
    <w:rsid w:val="00555AAB"/>
    <w:rsid w:val="00556967"/>
    <w:rsid w:val="00576F0A"/>
    <w:rsid w:val="00591677"/>
    <w:rsid w:val="005969C8"/>
    <w:rsid w:val="005A5F1F"/>
    <w:rsid w:val="005B7E1F"/>
    <w:rsid w:val="005C4689"/>
    <w:rsid w:val="005D76D6"/>
    <w:rsid w:val="005E08CB"/>
    <w:rsid w:val="005F216E"/>
    <w:rsid w:val="005F7B4E"/>
    <w:rsid w:val="006014E9"/>
    <w:rsid w:val="00603BF7"/>
    <w:rsid w:val="0061124B"/>
    <w:rsid w:val="006202AE"/>
    <w:rsid w:val="00623578"/>
    <w:rsid w:val="006249F4"/>
    <w:rsid w:val="0063503C"/>
    <w:rsid w:val="00650488"/>
    <w:rsid w:val="006642EC"/>
    <w:rsid w:val="00674757"/>
    <w:rsid w:val="00676B98"/>
    <w:rsid w:val="006851C1"/>
    <w:rsid w:val="00691F19"/>
    <w:rsid w:val="006933DA"/>
    <w:rsid w:val="006B2CD5"/>
    <w:rsid w:val="006D34D5"/>
    <w:rsid w:val="006E0993"/>
    <w:rsid w:val="006E4921"/>
    <w:rsid w:val="006E49AA"/>
    <w:rsid w:val="00721259"/>
    <w:rsid w:val="0075695E"/>
    <w:rsid w:val="0076572F"/>
    <w:rsid w:val="00776B68"/>
    <w:rsid w:val="007913DE"/>
    <w:rsid w:val="007B27E5"/>
    <w:rsid w:val="007D435B"/>
    <w:rsid w:val="007E490D"/>
    <w:rsid w:val="007F37A6"/>
    <w:rsid w:val="00800EBE"/>
    <w:rsid w:val="00803FB4"/>
    <w:rsid w:val="008143F1"/>
    <w:rsid w:val="00853F3A"/>
    <w:rsid w:val="008565CB"/>
    <w:rsid w:val="00863CE9"/>
    <w:rsid w:val="008803D3"/>
    <w:rsid w:val="00880851"/>
    <w:rsid w:val="00884154"/>
    <w:rsid w:val="00884392"/>
    <w:rsid w:val="00885F7F"/>
    <w:rsid w:val="008912EA"/>
    <w:rsid w:val="008B3572"/>
    <w:rsid w:val="008C1F91"/>
    <w:rsid w:val="008C4ED8"/>
    <w:rsid w:val="008C518A"/>
    <w:rsid w:val="008C5609"/>
    <w:rsid w:val="008E12AF"/>
    <w:rsid w:val="008E2598"/>
    <w:rsid w:val="00920B22"/>
    <w:rsid w:val="00923A30"/>
    <w:rsid w:val="009309BF"/>
    <w:rsid w:val="00954D17"/>
    <w:rsid w:val="00980D6E"/>
    <w:rsid w:val="0098202F"/>
    <w:rsid w:val="00987C0D"/>
    <w:rsid w:val="00996822"/>
    <w:rsid w:val="009C0CDD"/>
    <w:rsid w:val="009D531E"/>
    <w:rsid w:val="009D63D4"/>
    <w:rsid w:val="009E58BB"/>
    <w:rsid w:val="00A07126"/>
    <w:rsid w:val="00A1134E"/>
    <w:rsid w:val="00A12368"/>
    <w:rsid w:val="00A14F4E"/>
    <w:rsid w:val="00A21E3E"/>
    <w:rsid w:val="00A26BD8"/>
    <w:rsid w:val="00A26F9A"/>
    <w:rsid w:val="00A27820"/>
    <w:rsid w:val="00A34761"/>
    <w:rsid w:val="00A44C1C"/>
    <w:rsid w:val="00A57D4A"/>
    <w:rsid w:val="00A60CCD"/>
    <w:rsid w:val="00A642EB"/>
    <w:rsid w:val="00A66EA0"/>
    <w:rsid w:val="00A75214"/>
    <w:rsid w:val="00A777C2"/>
    <w:rsid w:val="00A935DF"/>
    <w:rsid w:val="00AF5A87"/>
    <w:rsid w:val="00AF5C85"/>
    <w:rsid w:val="00B0767C"/>
    <w:rsid w:val="00B3586F"/>
    <w:rsid w:val="00B61C61"/>
    <w:rsid w:val="00B67821"/>
    <w:rsid w:val="00B75D7C"/>
    <w:rsid w:val="00B83374"/>
    <w:rsid w:val="00B877B2"/>
    <w:rsid w:val="00B91837"/>
    <w:rsid w:val="00B9200F"/>
    <w:rsid w:val="00BA0A8D"/>
    <w:rsid w:val="00BA2195"/>
    <w:rsid w:val="00BB4FF7"/>
    <w:rsid w:val="00BC1BBE"/>
    <w:rsid w:val="00BD1600"/>
    <w:rsid w:val="00BD4011"/>
    <w:rsid w:val="00BE0F43"/>
    <w:rsid w:val="00BE30E4"/>
    <w:rsid w:val="00BF177A"/>
    <w:rsid w:val="00C37849"/>
    <w:rsid w:val="00C41F17"/>
    <w:rsid w:val="00C50934"/>
    <w:rsid w:val="00C54914"/>
    <w:rsid w:val="00C635DE"/>
    <w:rsid w:val="00C67930"/>
    <w:rsid w:val="00C73338"/>
    <w:rsid w:val="00C7391D"/>
    <w:rsid w:val="00C820FF"/>
    <w:rsid w:val="00C966E0"/>
    <w:rsid w:val="00CA2FD5"/>
    <w:rsid w:val="00CC281F"/>
    <w:rsid w:val="00CC73A4"/>
    <w:rsid w:val="00CE02B4"/>
    <w:rsid w:val="00D13835"/>
    <w:rsid w:val="00D1624F"/>
    <w:rsid w:val="00D22DF9"/>
    <w:rsid w:val="00D34872"/>
    <w:rsid w:val="00D43DBD"/>
    <w:rsid w:val="00D50296"/>
    <w:rsid w:val="00D515B9"/>
    <w:rsid w:val="00D52AE3"/>
    <w:rsid w:val="00D55C98"/>
    <w:rsid w:val="00D62530"/>
    <w:rsid w:val="00D71470"/>
    <w:rsid w:val="00D72C5D"/>
    <w:rsid w:val="00D94925"/>
    <w:rsid w:val="00DD0217"/>
    <w:rsid w:val="00E00E65"/>
    <w:rsid w:val="00E01C5D"/>
    <w:rsid w:val="00E10479"/>
    <w:rsid w:val="00E141EB"/>
    <w:rsid w:val="00E30DC5"/>
    <w:rsid w:val="00E3405E"/>
    <w:rsid w:val="00E35B8E"/>
    <w:rsid w:val="00E377C1"/>
    <w:rsid w:val="00E44F48"/>
    <w:rsid w:val="00E45815"/>
    <w:rsid w:val="00E46499"/>
    <w:rsid w:val="00E50EA0"/>
    <w:rsid w:val="00E51484"/>
    <w:rsid w:val="00E83E70"/>
    <w:rsid w:val="00E87608"/>
    <w:rsid w:val="00E951F5"/>
    <w:rsid w:val="00E9655B"/>
    <w:rsid w:val="00E96816"/>
    <w:rsid w:val="00EA787D"/>
    <w:rsid w:val="00EB0814"/>
    <w:rsid w:val="00ED529E"/>
    <w:rsid w:val="00ED7EC3"/>
    <w:rsid w:val="00EE14C2"/>
    <w:rsid w:val="00EF4B26"/>
    <w:rsid w:val="00F02ACA"/>
    <w:rsid w:val="00F02DD0"/>
    <w:rsid w:val="00F04579"/>
    <w:rsid w:val="00F10F77"/>
    <w:rsid w:val="00F14498"/>
    <w:rsid w:val="00F178C7"/>
    <w:rsid w:val="00F31919"/>
    <w:rsid w:val="00F51504"/>
    <w:rsid w:val="00F54956"/>
    <w:rsid w:val="00F5547A"/>
    <w:rsid w:val="00F564F0"/>
    <w:rsid w:val="00F6130D"/>
    <w:rsid w:val="00F76905"/>
    <w:rsid w:val="00F94AE0"/>
    <w:rsid w:val="00FA0630"/>
    <w:rsid w:val="00FB68A0"/>
    <w:rsid w:val="00FC7A53"/>
    <w:rsid w:val="00FD397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E80978"/>
  <w15:chartTrackingRefBased/>
  <w15:docId w15:val="{E861BE5F-1F2B-FE4C-9BDF-092B2AD56C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0A8D"/>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5F216E"/>
    <w:pPr>
      <w:numPr>
        <w:numId w:val="7"/>
      </w:numPr>
      <w:snapToGrid w:val="0"/>
      <w:spacing w:before="360" w:after="80" w:line="360" w:lineRule="auto"/>
      <w:ind w:left="680" w:hanging="680"/>
      <w:outlineLvl w:val="0"/>
    </w:pPr>
    <w:rPr>
      <w:rFonts w:asciiTheme="majorHAnsi" w:eastAsiaTheme="majorEastAsia" w:hAnsiTheme="majorHAnsi" w:cstheme="majorBidi"/>
      <w:b/>
      <w:szCs w:val="40"/>
    </w:rPr>
  </w:style>
  <w:style w:type="paragraph" w:styleId="Heading2">
    <w:name w:val="heading 2"/>
    <w:aliases w:val="Main body"/>
    <w:basedOn w:val="Normal"/>
    <w:next w:val="Normal"/>
    <w:link w:val="Heading2Char"/>
    <w:uiPriority w:val="9"/>
    <w:unhideWhenUsed/>
    <w:qFormat/>
    <w:rsid w:val="005F216E"/>
    <w:pPr>
      <w:keepNext/>
      <w:numPr>
        <w:ilvl w:val="1"/>
        <w:numId w:val="7"/>
      </w:numPr>
      <w:spacing w:before="160" w:after="80" w:line="360" w:lineRule="auto"/>
      <w:ind w:left="680" w:hanging="680"/>
      <w:outlineLvl w:val="1"/>
    </w:pPr>
    <w:rPr>
      <w:rFonts w:ascii="Arial" w:eastAsiaTheme="majorEastAsia" w:hAnsi="Arial" w:cstheme="majorBidi"/>
      <w:szCs w:val="32"/>
    </w:rPr>
  </w:style>
  <w:style w:type="paragraph" w:styleId="Heading3">
    <w:name w:val="heading 3"/>
    <w:basedOn w:val="Normal"/>
    <w:next w:val="Normal"/>
    <w:link w:val="Heading3Char"/>
    <w:uiPriority w:val="9"/>
    <w:unhideWhenUsed/>
    <w:rsid w:val="002F7D75"/>
    <w:pPr>
      <w:keepNext/>
      <w:keepLines/>
      <w:numPr>
        <w:ilvl w:val="2"/>
        <w:numId w:val="7"/>
      </w:numPr>
      <w:spacing w:before="160" w:after="80"/>
      <w:outlineLvl w:val="2"/>
    </w:pPr>
    <w:rPr>
      <w:rFonts w:eastAsiaTheme="majorEastAsia" w:cstheme="majorBidi"/>
      <w:color w:val="2F5496" w:themeColor="accent1" w:themeShade="BF"/>
      <w:sz w:val="28"/>
      <w:szCs w:val="28"/>
    </w:rPr>
  </w:style>
  <w:style w:type="paragraph" w:styleId="Heading4">
    <w:name w:val="heading 4"/>
    <w:aliases w:val="bullet list"/>
    <w:basedOn w:val="Normal"/>
    <w:next w:val="Normal"/>
    <w:link w:val="Heading4Char"/>
    <w:uiPriority w:val="9"/>
    <w:unhideWhenUsed/>
    <w:qFormat/>
    <w:rsid w:val="00F6130D"/>
    <w:pPr>
      <w:keepNext/>
      <w:keepLines/>
      <w:numPr>
        <w:numId w:val="9"/>
      </w:numPr>
      <w:spacing w:before="80" w:after="40" w:line="360" w:lineRule="auto"/>
      <w:ind w:left="1020" w:hanging="340"/>
      <w:outlineLvl w:val="3"/>
    </w:pPr>
    <w:rPr>
      <w:rFonts w:asciiTheme="majorHAnsi" w:eastAsiaTheme="majorEastAsia" w:hAnsiTheme="majorHAnsi" w:cstheme="majorBidi"/>
      <w:iCs/>
    </w:rPr>
  </w:style>
  <w:style w:type="paragraph" w:styleId="Heading5">
    <w:name w:val="heading 5"/>
    <w:basedOn w:val="Normal"/>
    <w:next w:val="Normal"/>
    <w:link w:val="Heading5Char"/>
    <w:uiPriority w:val="9"/>
    <w:unhideWhenUsed/>
    <w:rsid w:val="002F7D75"/>
    <w:pPr>
      <w:keepNext/>
      <w:keepLines/>
      <w:numPr>
        <w:ilvl w:val="4"/>
        <w:numId w:val="7"/>
      </w:numPr>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F7D75"/>
    <w:pPr>
      <w:keepNext/>
      <w:keepLines/>
      <w:numPr>
        <w:ilvl w:val="5"/>
        <w:numId w:val="7"/>
      </w:numPr>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F7D75"/>
    <w:pPr>
      <w:keepNext/>
      <w:keepLines/>
      <w:numPr>
        <w:ilvl w:val="6"/>
        <w:numId w:val="7"/>
      </w:numPr>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F7D75"/>
    <w:pPr>
      <w:keepNext/>
      <w:keepLines/>
      <w:numPr>
        <w:ilvl w:val="7"/>
        <w:numId w:val="7"/>
      </w:numPr>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F7D75"/>
    <w:pPr>
      <w:keepNext/>
      <w:keepLines/>
      <w:numPr>
        <w:ilvl w:val="8"/>
        <w:numId w:val="7"/>
      </w:numPr>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216E"/>
    <w:rPr>
      <w:rFonts w:asciiTheme="majorHAnsi" w:eastAsiaTheme="majorEastAsia" w:hAnsiTheme="majorHAnsi" w:cstheme="majorBidi"/>
      <w:b/>
      <w:kern w:val="0"/>
      <w:szCs w:val="40"/>
      <w:lang w:eastAsia="en-GB"/>
      <w14:ligatures w14:val="none"/>
    </w:rPr>
  </w:style>
  <w:style w:type="character" w:customStyle="1" w:styleId="Heading2Char">
    <w:name w:val="Heading 2 Char"/>
    <w:aliases w:val="Main body Char"/>
    <w:basedOn w:val="DefaultParagraphFont"/>
    <w:link w:val="Heading2"/>
    <w:uiPriority w:val="9"/>
    <w:rsid w:val="005F216E"/>
    <w:rPr>
      <w:rFonts w:ascii="Arial" w:eastAsiaTheme="majorEastAsia" w:hAnsi="Arial" w:cstheme="majorBidi"/>
      <w:kern w:val="0"/>
      <w:szCs w:val="32"/>
      <w:lang w:eastAsia="en-GB"/>
      <w14:ligatures w14:val="none"/>
    </w:rPr>
  </w:style>
  <w:style w:type="character" w:customStyle="1" w:styleId="Heading3Char">
    <w:name w:val="Heading 3 Char"/>
    <w:basedOn w:val="DefaultParagraphFont"/>
    <w:link w:val="Heading3"/>
    <w:uiPriority w:val="9"/>
    <w:rsid w:val="002F7D75"/>
    <w:rPr>
      <w:rFonts w:eastAsiaTheme="majorEastAsia" w:cstheme="majorBidi"/>
      <w:color w:val="2F5496" w:themeColor="accent1" w:themeShade="BF"/>
      <w:sz w:val="28"/>
      <w:szCs w:val="28"/>
    </w:rPr>
  </w:style>
  <w:style w:type="character" w:customStyle="1" w:styleId="Heading4Char">
    <w:name w:val="Heading 4 Char"/>
    <w:aliases w:val="bullet list Char"/>
    <w:basedOn w:val="DefaultParagraphFont"/>
    <w:link w:val="Heading4"/>
    <w:uiPriority w:val="9"/>
    <w:rsid w:val="00F6130D"/>
    <w:rPr>
      <w:rFonts w:asciiTheme="majorHAnsi" w:eastAsiaTheme="majorEastAsia" w:hAnsiTheme="majorHAnsi" w:cstheme="majorBidi"/>
      <w:iCs/>
      <w:kern w:val="0"/>
      <w:lang w:eastAsia="en-GB"/>
      <w14:ligatures w14:val="none"/>
    </w:rPr>
  </w:style>
  <w:style w:type="character" w:customStyle="1" w:styleId="Heading5Char">
    <w:name w:val="Heading 5 Char"/>
    <w:basedOn w:val="DefaultParagraphFont"/>
    <w:link w:val="Heading5"/>
    <w:uiPriority w:val="9"/>
    <w:rsid w:val="002F7D7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F7D7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F7D7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F7D7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F7D75"/>
    <w:rPr>
      <w:rFonts w:eastAsiaTheme="majorEastAsia" w:cstheme="majorBidi"/>
      <w:color w:val="272727" w:themeColor="text1" w:themeTint="D8"/>
    </w:rPr>
  </w:style>
  <w:style w:type="paragraph" w:styleId="Title">
    <w:name w:val="Title"/>
    <w:basedOn w:val="Normal"/>
    <w:next w:val="Normal"/>
    <w:link w:val="TitleChar"/>
    <w:uiPriority w:val="10"/>
    <w:rsid w:val="002F7D7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F7D7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rsid w:val="002F7D75"/>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F7D7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F7D7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F7D75"/>
    <w:rPr>
      <w:i/>
      <w:iCs/>
      <w:color w:val="404040" w:themeColor="text1" w:themeTint="BF"/>
    </w:rPr>
  </w:style>
  <w:style w:type="paragraph" w:styleId="ListParagraph">
    <w:name w:val="List Paragraph"/>
    <w:basedOn w:val="Normal"/>
    <w:uiPriority w:val="34"/>
    <w:qFormat/>
    <w:rsid w:val="002F7D75"/>
    <w:pPr>
      <w:ind w:left="720"/>
      <w:contextualSpacing/>
    </w:pPr>
  </w:style>
  <w:style w:type="character" w:styleId="IntenseEmphasis">
    <w:name w:val="Intense Emphasis"/>
    <w:basedOn w:val="DefaultParagraphFont"/>
    <w:uiPriority w:val="21"/>
    <w:rsid w:val="002F7D75"/>
    <w:rPr>
      <w:i/>
      <w:iCs/>
      <w:color w:val="2F5496" w:themeColor="accent1" w:themeShade="BF"/>
    </w:rPr>
  </w:style>
  <w:style w:type="paragraph" w:styleId="IntenseQuote">
    <w:name w:val="Intense Quote"/>
    <w:basedOn w:val="Normal"/>
    <w:next w:val="Normal"/>
    <w:link w:val="IntenseQuoteChar"/>
    <w:uiPriority w:val="30"/>
    <w:rsid w:val="002F7D7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F7D75"/>
    <w:rPr>
      <w:i/>
      <w:iCs/>
      <w:color w:val="2F5496" w:themeColor="accent1" w:themeShade="BF"/>
    </w:rPr>
  </w:style>
  <w:style w:type="character" w:styleId="IntenseReference">
    <w:name w:val="Intense Reference"/>
    <w:basedOn w:val="DefaultParagraphFont"/>
    <w:uiPriority w:val="32"/>
    <w:rsid w:val="002F7D75"/>
    <w:rPr>
      <w:b/>
      <w:bCs/>
      <w:smallCaps/>
      <w:color w:val="2F5496" w:themeColor="accent1" w:themeShade="BF"/>
      <w:spacing w:val="5"/>
    </w:rPr>
  </w:style>
  <w:style w:type="numbering" w:customStyle="1" w:styleId="CurrentList1">
    <w:name w:val="Current List1"/>
    <w:uiPriority w:val="99"/>
    <w:rsid w:val="00BA0A8D"/>
    <w:pPr>
      <w:numPr>
        <w:numId w:val="8"/>
      </w:numPr>
    </w:pPr>
  </w:style>
  <w:style w:type="character" w:styleId="Hyperlink">
    <w:name w:val="Hyperlink"/>
    <w:basedOn w:val="DefaultParagraphFont"/>
    <w:uiPriority w:val="99"/>
    <w:unhideWhenUsed/>
    <w:rsid w:val="008143F1"/>
    <w:rPr>
      <w:color w:val="0563C1" w:themeColor="hyperlink"/>
      <w:u w:val="single"/>
    </w:rPr>
  </w:style>
  <w:style w:type="character" w:styleId="UnresolvedMention">
    <w:name w:val="Unresolved Mention"/>
    <w:basedOn w:val="DefaultParagraphFont"/>
    <w:uiPriority w:val="99"/>
    <w:semiHidden/>
    <w:unhideWhenUsed/>
    <w:rsid w:val="008143F1"/>
    <w:rPr>
      <w:color w:val="605E5C"/>
      <w:shd w:val="clear" w:color="auto" w:fill="E1DFDD"/>
    </w:rPr>
  </w:style>
  <w:style w:type="character" w:styleId="FollowedHyperlink">
    <w:name w:val="FollowedHyperlink"/>
    <w:basedOn w:val="DefaultParagraphFont"/>
    <w:uiPriority w:val="99"/>
    <w:semiHidden/>
    <w:unhideWhenUsed/>
    <w:rsid w:val="008143F1"/>
    <w:rPr>
      <w:color w:val="954F72" w:themeColor="followedHyperlink"/>
      <w:u w:val="single"/>
    </w:rPr>
  </w:style>
  <w:style w:type="character" w:styleId="SubtleEmphasis">
    <w:name w:val="Subtle Emphasis"/>
    <w:aliases w:val="Subtitle 1"/>
    <w:basedOn w:val="DefaultParagraphFont"/>
    <w:uiPriority w:val="19"/>
    <w:qFormat/>
    <w:rsid w:val="00F6130D"/>
    <w:rPr>
      <w:rFonts w:asciiTheme="majorHAnsi" w:hAnsiTheme="majorHAnsi"/>
      <w:b/>
      <w:iCs/>
      <w:color w:val="auto"/>
      <w:spacing w:val="0"/>
      <w:sz w:val="24"/>
      <w:u w:val="none"/>
    </w:rPr>
  </w:style>
  <w:style w:type="paragraph" w:styleId="Header">
    <w:name w:val="header"/>
    <w:basedOn w:val="Normal"/>
    <w:link w:val="HeaderChar"/>
    <w:uiPriority w:val="99"/>
    <w:unhideWhenUsed/>
    <w:rsid w:val="00A27820"/>
    <w:pPr>
      <w:tabs>
        <w:tab w:val="center" w:pos="4513"/>
        <w:tab w:val="right" w:pos="9026"/>
      </w:tabs>
    </w:pPr>
  </w:style>
  <w:style w:type="character" w:customStyle="1" w:styleId="HeaderChar">
    <w:name w:val="Header Char"/>
    <w:basedOn w:val="DefaultParagraphFont"/>
    <w:link w:val="Header"/>
    <w:uiPriority w:val="99"/>
    <w:rsid w:val="00A27820"/>
    <w:rPr>
      <w:rFonts w:ascii="Times New Roman" w:eastAsia="Times New Roman" w:hAnsi="Times New Roman" w:cs="Times New Roman"/>
      <w:kern w:val="0"/>
      <w:lang w:eastAsia="en-GB"/>
      <w14:ligatures w14:val="none"/>
    </w:rPr>
  </w:style>
  <w:style w:type="paragraph" w:styleId="Footer">
    <w:name w:val="footer"/>
    <w:basedOn w:val="Normal"/>
    <w:link w:val="FooterChar"/>
    <w:uiPriority w:val="99"/>
    <w:unhideWhenUsed/>
    <w:rsid w:val="00A27820"/>
    <w:pPr>
      <w:tabs>
        <w:tab w:val="center" w:pos="4513"/>
        <w:tab w:val="right" w:pos="9026"/>
      </w:tabs>
    </w:pPr>
  </w:style>
  <w:style w:type="character" w:customStyle="1" w:styleId="FooterChar">
    <w:name w:val="Footer Char"/>
    <w:basedOn w:val="DefaultParagraphFont"/>
    <w:link w:val="Footer"/>
    <w:uiPriority w:val="99"/>
    <w:rsid w:val="00A27820"/>
    <w:rPr>
      <w:rFonts w:ascii="Times New Roman" w:eastAsia="Times New Roman" w:hAnsi="Times New Roman" w:cs="Times New Roman"/>
      <w:kern w:val="0"/>
      <w:lang w:eastAsia="en-GB"/>
      <w14:ligatures w14:val="none"/>
    </w:rPr>
  </w:style>
  <w:style w:type="character" w:styleId="PageNumber">
    <w:name w:val="page number"/>
    <w:basedOn w:val="DefaultParagraphFont"/>
    <w:uiPriority w:val="99"/>
    <w:semiHidden/>
    <w:unhideWhenUsed/>
    <w:rsid w:val="00A27820"/>
  </w:style>
  <w:style w:type="numbering" w:customStyle="1" w:styleId="CurrentList2">
    <w:name w:val="Current List2"/>
    <w:uiPriority w:val="99"/>
    <w:rsid w:val="00AF5C85"/>
    <w:pPr>
      <w:numPr>
        <w:numId w:val="18"/>
      </w:numPr>
    </w:pPr>
  </w:style>
  <w:style w:type="paragraph" w:styleId="NormalWeb">
    <w:name w:val="Normal (Web)"/>
    <w:basedOn w:val="Normal"/>
    <w:uiPriority w:val="99"/>
    <w:semiHidden/>
    <w:unhideWhenUsed/>
    <w:rsid w:val="00045CAA"/>
    <w:pPr>
      <w:spacing w:before="100" w:beforeAutospacing="1" w:after="100" w:afterAutospacing="1"/>
    </w:pPr>
  </w:style>
  <w:style w:type="character" w:customStyle="1" w:styleId="apple-converted-space">
    <w:name w:val="apple-converted-space"/>
    <w:basedOn w:val="DefaultParagraphFont"/>
    <w:rsid w:val="00045C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04228">
      <w:bodyDiv w:val="1"/>
      <w:marLeft w:val="0"/>
      <w:marRight w:val="0"/>
      <w:marTop w:val="0"/>
      <w:marBottom w:val="0"/>
      <w:divBdr>
        <w:top w:val="none" w:sz="0" w:space="0" w:color="auto"/>
        <w:left w:val="none" w:sz="0" w:space="0" w:color="auto"/>
        <w:bottom w:val="none" w:sz="0" w:space="0" w:color="auto"/>
        <w:right w:val="none" w:sz="0" w:space="0" w:color="auto"/>
      </w:divBdr>
    </w:div>
    <w:div w:id="45305397">
      <w:bodyDiv w:val="1"/>
      <w:marLeft w:val="0"/>
      <w:marRight w:val="0"/>
      <w:marTop w:val="0"/>
      <w:marBottom w:val="0"/>
      <w:divBdr>
        <w:top w:val="none" w:sz="0" w:space="0" w:color="auto"/>
        <w:left w:val="none" w:sz="0" w:space="0" w:color="auto"/>
        <w:bottom w:val="none" w:sz="0" w:space="0" w:color="auto"/>
        <w:right w:val="none" w:sz="0" w:space="0" w:color="auto"/>
      </w:divBdr>
    </w:div>
    <w:div w:id="202910413">
      <w:bodyDiv w:val="1"/>
      <w:marLeft w:val="0"/>
      <w:marRight w:val="0"/>
      <w:marTop w:val="0"/>
      <w:marBottom w:val="0"/>
      <w:divBdr>
        <w:top w:val="none" w:sz="0" w:space="0" w:color="auto"/>
        <w:left w:val="none" w:sz="0" w:space="0" w:color="auto"/>
        <w:bottom w:val="none" w:sz="0" w:space="0" w:color="auto"/>
        <w:right w:val="none" w:sz="0" w:space="0" w:color="auto"/>
      </w:divBdr>
    </w:div>
    <w:div w:id="967469452">
      <w:bodyDiv w:val="1"/>
      <w:marLeft w:val="0"/>
      <w:marRight w:val="0"/>
      <w:marTop w:val="0"/>
      <w:marBottom w:val="0"/>
      <w:divBdr>
        <w:top w:val="none" w:sz="0" w:space="0" w:color="auto"/>
        <w:left w:val="none" w:sz="0" w:space="0" w:color="auto"/>
        <w:bottom w:val="none" w:sz="0" w:space="0" w:color="auto"/>
        <w:right w:val="none" w:sz="0" w:space="0" w:color="auto"/>
      </w:divBdr>
    </w:div>
    <w:div w:id="1175803410">
      <w:bodyDiv w:val="1"/>
      <w:marLeft w:val="0"/>
      <w:marRight w:val="0"/>
      <w:marTop w:val="0"/>
      <w:marBottom w:val="0"/>
      <w:divBdr>
        <w:top w:val="none" w:sz="0" w:space="0" w:color="auto"/>
        <w:left w:val="none" w:sz="0" w:space="0" w:color="auto"/>
        <w:bottom w:val="none" w:sz="0" w:space="0" w:color="auto"/>
        <w:right w:val="none" w:sz="0" w:space="0" w:color="auto"/>
      </w:divBdr>
    </w:div>
    <w:div w:id="1254897530">
      <w:bodyDiv w:val="1"/>
      <w:marLeft w:val="0"/>
      <w:marRight w:val="0"/>
      <w:marTop w:val="0"/>
      <w:marBottom w:val="0"/>
      <w:divBdr>
        <w:top w:val="none" w:sz="0" w:space="0" w:color="auto"/>
        <w:left w:val="none" w:sz="0" w:space="0" w:color="auto"/>
        <w:bottom w:val="none" w:sz="0" w:space="0" w:color="auto"/>
        <w:right w:val="none" w:sz="0" w:space="0" w:color="auto"/>
      </w:divBdr>
    </w:div>
    <w:div w:id="1845127967">
      <w:bodyDiv w:val="1"/>
      <w:marLeft w:val="0"/>
      <w:marRight w:val="0"/>
      <w:marTop w:val="0"/>
      <w:marBottom w:val="0"/>
      <w:divBdr>
        <w:top w:val="none" w:sz="0" w:space="0" w:color="auto"/>
        <w:left w:val="none" w:sz="0" w:space="0" w:color="auto"/>
        <w:bottom w:val="none" w:sz="0" w:space="0" w:color="auto"/>
        <w:right w:val="none" w:sz="0" w:space="0" w:color="auto"/>
      </w:divBdr>
    </w:div>
    <w:div w:id="1872839953">
      <w:bodyDiv w:val="1"/>
      <w:marLeft w:val="0"/>
      <w:marRight w:val="0"/>
      <w:marTop w:val="0"/>
      <w:marBottom w:val="0"/>
      <w:divBdr>
        <w:top w:val="none" w:sz="0" w:space="0" w:color="auto"/>
        <w:left w:val="none" w:sz="0" w:space="0" w:color="auto"/>
        <w:bottom w:val="none" w:sz="0" w:space="0" w:color="auto"/>
        <w:right w:val="none" w:sz="0" w:space="0" w:color="auto"/>
      </w:divBdr>
    </w:div>
    <w:div w:id="2076775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semine.com/judgement/uk/5a8ff7a260d03e7f57eb0881" TargetMode="External"/><Relationship Id="rId13" Type="http://schemas.openxmlformats.org/officeDocument/2006/relationships/hyperlink" Target="https://plus-lexis-com.uwtsd.idm.oclc.org/uk/cases-uk/curran-v-collins/?crid=ae04cb36-79eb-44a4-bba7-6599b9e9070e&amp;pddocumentnumber=1"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casemine.com/judgement/uk/5a8ff87a60d03e7f57ec1194" TargetMode="External"/><Relationship Id="rId12" Type="http://schemas.openxmlformats.org/officeDocument/2006/relationships/hyperlink" Target="https://ipsaloquitur.com/land-law/cases/geary-v-rankine/" TargetMode="External"/><Relationship Id="rId17" Type="http://schemas.openxmlformats.org/officeDocument/2006/relationships/hyperlink" Target="https://vlex.co.uk/vid/lloyds-bank-plc-v-793778589" TargetMode="External"/><Relationship Id="rId2" Type="http://schemas.openxmlformats.org/officeDocument/2006/relationships/styles" Target="styles.xml"/><Relationship Id="rId16" Type="http://schemas.openxmlformats.org/officeDocument/2006/relationships/hyperlink" Target="https://ts-p.co.uk/insights/what-rights-do-cohabiting-couples-have-and-how-can-they-best-protect-themselves/"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ublications.parliament.uk/pa/ld200809/ldjudgmt/jd090325/thorn-1.htm" TargetMode="External"/><Relationship Id="rId5" Type="http://schemas.openxmlformats.org/officeDocument/2006/relationships/footnotes" Target="footnotes.xml"/><Relationship Id="rId15" Type="http://schemas.openxmlformats.org/officeDocument/2006/relationships/hyperlink" Target="https://www.lexisnexis.co.uk/legal/guidance/proprietary-estoppel" TargetMode="External"/><Relationship Id="rId10" Type="http://schemas.openxmlformats.org/officeDocument/2006/relationships/hyperlink" Target="https://publications.parliament.uk/pa/ld200607/ldjudgmt/jd070425/stack-1.htm"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casemine.com/judgement/uk/5a8ff7aa60d03e7f57eb1065" TargetMode="External"/><Relationship Id="rId14" Type="http://schemas.openxmlformats.org/officeDocument/2006/relationships/hyperlink" Target="https://plus-lexis-com.uwtsd.idm.oclc.org/uk/cases-uk/greasley-v-cooke/?crid=f852677e-2ecd-431d-9d85-4b62640c0b14&amp;pddocumentnumber=1"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11</Pages>
  <Words>2768</Words>
  <Characters>15780</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Jones</dc:creator>
  <cp:keywords/>
  <dc:description/>
  <cp:lastModifiedBy>diana demeterova</cp:lastModifiedBy>
  <cp:revision>2</cp:revision>
  <dcterms:created xsi:type="dcterms:W3CDTF">2026-03-20T14:06:00Z</dcterms:created>
  <dcterms:modified xsi:type="dcterms:W3CDTF">2026-03-20T14:06:00Z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713ce8d41c516e582e98b5f018eb162afc4ba5c41942df03a473457eadc8f201</vt:lpwstr>
  </property>
</Properties>
</file>