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C2F38" w14:textId="77777777" w:rsidR="00BC42DD" w:rsidRDefault="00000000">
      <w:pPr>
        <w:spacing w:after="160" w:line="259" w:lineRule="auto"/>
        <w:jc w:val="center"/>
      </w:pPr>
      <w:r>
        <w:rPr>
          <w:noProof/>
        </w:rPr>
        <w:drawing>
          <wp:anchor distT="0" distB="0" distL="114300" distR="114300" simplePos="0" relativeHeight="251658240" behindDoc="0" locked="0" layoutInCell="1" hidden="0" allowOverlap="1" wp14:anchorId="19E70C63" wp14:editId="4FD2FD7E">
            <wp:simplePos x="0" y="0"/>
            <wp:positionH relativeFrom="column">
              <wp:posOffset>-273049</wp:posOffset>
            </wp:positionH>
            <wp:positionV relativeFrom="paragraph">
              <wp:posOffset>0</wp:posOffset>
            </wp:positionV>
            <wp:extent cx="1455420" cy="47244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55420" cy="472440"/>
                    </a:xfrm>
                    <a:prstGeom prst="rect">
                      <a:avLst/>
                    </a:prstGeom>
                    <a:ln/>
                  </pic:spPr>
                </pic:pic>
              </a:graphicData>
            </a:graphic>
          </wp:anchor>
        </w:drawing>
      </w:r>
    </w:p>
    <w:p w14:paraId="796C457E" w14:textId="77777777" w:rsidR="00BC42DD" w:rsidRDefault="00BC42DD">
      <w:pPr>
        <w:spacing w:after="160" w:line="259" w:lineRule="auto"/>
        <w:jc w:val="center"/>
      </w:pPr>
    </w:p>
    <w:p w14:paraId="49B2DDEC" w14:textId="77777777" w:rsidR="00BC42DD" w:rsidRDefault="00BC42DD">
      <w:pPr>
        <w:jc w:val="center"/>
        <w:rPr>
          <w:b/>
          <w:bCs/>
        </w:rPr>
      </w:pPr>
    </w:p>
    <w:p w14:paraId="6DF876FB" w14:textId="77777777" w:rsidR="00BC42DD" w:rsidRDefault="00000000">
      <w:pPr>
        <w:jc w:val="center"/>
        <w:rPr>
          <w:rFonts w:ascii="Arial" w:eastAsia="Arial" w:hAnsi="Arial" w:cs="Arial"/>
          <w:b/>
          <w:bCs/>
          <w:sz w:val="28"/>
          <w:szCs w:val="28"/>
        </w:rPr>
      </w:pPr>
      <w:r>
        <w:rPr>
          <w:rFonts w:ascii="Arial" w:eastAsia="Arial" w:hAnsi="Arial" w:cs="Arial"/>
          <w:b/>
          <w:bCs/>
          <w:sz w:val="28"/>
          <w:szCs w:val="28"/>
        </w:rPr>
        <w:t>Programme Name: BA (Hons) Leadership and Management Skills in the Workplace</w:t>
      </w:r>
    </w:p>
    <w:p w14:paraId="6FF969A0" w14:textId="77777777" w:rsidR="00BC42DD" w:rsidRDefault="00000000">
      <w:pPr>
        <w:jc w:val="center"/>
        <w:rPr>
          <w:rFonts w:ascii="Arial" w:eastAsia="Arial" w:hAnsi="Arial" w:cs="Arial"/>
          <w:b/>
          <w:bCs/>
          <w:sz w:val="28"/>
          <w:szCs w:val="28"/>
        </w:rPr>
      </w:pPr>
      <w:r>
        <w:rPr>
          <w:rFonts w:ascii="Arial" w:eastAsia="Arial" w:hAnsi="Arial" w:cs="Arial"/>
          <w:b/>
          <w:bCs/>
          <w:sz w:val="28"/>
          <w:szCs w:val="28"/>
        </w:rPr>
        <w:t>Module Name: Strategic Management for Business</w:t>
      </w:r>
    </w:p>
    <w:p w14:paraId="4E561570" w14:textId="77777777" w:rsidR="00BC42DD" w:rsidRDefault="00000000">
      <w:pPr>
        <w:jc w:val="center"/>
        <w:rPr>
          <w:rFonts w:ascii="Arial" w:eastAsia="Arial" w:hAnsi="Arial" w:cs="Arial"/>
          <w:b/>
          <w:bCs/>
          <w:sz w:val="28"/>
          <w:szCs w:val="28"/>
        </w:rPr>
      </w:pPr>
      <w:r>
        <w:rPr>
          <w:rFonts w:ascii="Arial" w:eastAsia="Arial" w:hAnsi="Arial" w:cs="Arial"/>
          <w:b/>
          <w:bCs/>
          <w:sz w:val="28"/>
          <w:szCs w:val="28"/>
        </w:rPr>
        <w:t>Module code: LCLM6001_LON</w:t>
      </w:r>
    </w:p>
    <w:p w14:paraId="57813C55" w14:textId="77777777" w:rsidR="00BC42DD" w:rsidRDefault="00000000">
      <w:pPr>
        <w:spacing w:after="160" w:line="259" w:lineRule="auto"/>
        <w:jc w:val="center"/>
        <w:rPr>
          <w:rFonts w:ascii="Arial" w:eastAsia="Arial" w:hAnsi="Arial" w:cs="Arial"/>
          <w:sz w:val="28"/>
          <w:szCs w:val="28"/>
        </w:rPr>
      </w:pPr>
      <w:r>
        <w:rPr>
          <w:rFonts w:ascii="Arial" w:eastAsia="Arial" w:hAnsi="Arial" w:cs="Arial"/>
          <w:b/>
          <w:bCs/>
          <w:sz w:val="28"/>
          <w:szCs w:val="28"/>
        </w:rPr>
        <w:t>Lecturer: Dr Faizu Edu</w:t>
      </w:r>
    </w:p>
    <w:p w14:paraId="13F47022" w14:textId="77777777" w:rsidR="00BC42DD" w:rsidRDefault="00BC42DD">
      <w:pPr>
        <w:spacing w:after="160" w:line="259" w:lineRule="auto"/>
        <w:jc w:val="center"/>
      </w:pPr>
    </w:p>
    <w:p w14:paraId="237E875E" w14:textId="77777777" w:rsidR="00BC42DD" w:rsidRDefault="00BC42DD">
      <w:pPr>
        <w:spacing w:after="160" w:line="259" w:lineRule="auto"/>
        <w:jc w:val="center"/>
      </w:pPr>
    </w:p>
    <w:p w14:paraId="481BF1C5" w14:textId="77777777" w:rsidR="00BC42DD" w:rsidRDefault="00BC42DD">
      <w:pPr>
        <w:spacing w:after="160" w:line="360" w:lineRule="auto"/>
        <w:jc w:val="center"/>
        <w:rPr>
          <w:rFonts w:ascii="Arial" w:eastAsia="Arial" w:hAnsi="Arial" w:cs="Arial"/>
          <w:b/>
          <w:bCs/>
          <w:sz w:val="40"/>
          <w:szCs w:val="40"/>
        </w:rPr>
      </w:pPr>
    </w:p>
    <w:p w14:paraId="7316FD7C" w14:textId="77777777" w:rsidR="00BC42DD" w:rsidRDefault="00BC42DD">
      <w:pPr>
        <w:spacing w:after="160" w:line="360" w:lineRule="auto"/>
        <w:jc w:val="center"/>
        <w:rPr>
          <w:rFonts w:ascii="Arial" w:eastAsia="Arial" w:hAnsi="Arial" w:cs="Arial"/>
          <w:b/>
          <w:bCs/>
          <w:sz w:val="40"/>
          <w:szCs w:val="40"/>
        </w:rPr>
      </w:pPr>
    </w:p>
    <w:p w14:paraId="540785F7" w14:textId="77777777" w:rsidR="00BC42DD" w:rsidRDefault="00000000">
      <w:pPr>
        <w:spacing w:after="160" w:line="360" w:lineRule="auto"/>
        <w:jc w:val="center"/>
        <w:rPr>
          <w:rFonts w:ascii="Arial" w:eastAsia="Arial" w:hAnsi="Arial" w:cs="Arial"/>
          <w:b/>
          <w:bCs/>
          <w:sz w:val="46"/>
          <w:szCs w:val="46"/>
        </w:rPr>
      </w:pPr>
      <w:r>
        <w:rPr>
          <w:rFonts w:ascii="Arial" w:eastAsia="Arial" w:hAnsi="Arial" w:cs="Arial"/>
          <w:b/>
          <w:bCs/>
          <w:sz w:val="46"/>
          <w:szCs w:val="46"/>
        </w:rPr>
        <w:t>Strategic Management for Vodafone UK</w:t>
      </w:r>
    </w:p>
    <w:p w14:paraId="3FAB41C0" w14:textId="77777777" w:rsidR="00BC42DD" w:rsidRDefault="00BC42DD">
      <w:pPr>
        <w:spacing w:after="160" w:line="360" w:lineRule="auto"/>
        <w:jc w:val="center"/>
        <w:rPr>
          <w:rFonts w:ascii="Arial" w:eastAsia="Arial" w:hAnsi="Arial" w:cs="Arial"/>
          <w:b/>
          <w:bCs/>
          <w:sz w:val="40"/>
          <w:szCs w:val="40"/>
        </w:rPr>
      </w:pPr>
    </w:p>
    <w:p w14:paraId="2806479B" w14:textId="77777777" w:rsidR="00BC42DD" w:rsidRDefault="00BC42DD">
      <w:pPr>
        <w:spacing w:after="160" w:line="360" w:lineRule="auto"/>
        <w:jc w:val="center"/>
        <w:rPr>
          <w:rFonts w:ascii="Arial" w:eastAsia="Arial" w:hAnsi="Arial" w:cs="Arial"/>
          <w:b/>
          <w:bCs/>
          <w:sz w:val="28"/>
          <w:szCs w:val="28"/>
        </w:rPr>
      </w:pPr>
    </w:p>
    <w:p w14:paraId="13F5CB85" w14:textId="77777777" w:rsidR="00BC42DD" w:rsidRDefault="00000000">
      <w:pPr>
        <w:jc w:val="center"/>
        <w:rPr>
          <w:rFonts w:ascii="Arial" w:eastAsia="Arial" w:hAnsi="Arial" w:cs="Arial"/>
          <w:b/>
          <w:bCs/>
          <w:sz w:val="28"/>
          <w:szCs w:val="28"/>
        </w:rPr>
      </w:pPr>
      <w:r>
        <w:rPr>
          <w:rFonts w:ascii="Arial" w:eastAsia="Arial" w:hAnsi="Arial" w:cs="Arial"/>
          <w:b/>
          <w:bCs/>
          <w:sz w:val="28"/>
          <w:szCs w:val="28"/>
        </w:rPr>
        <w:t>Student Name: Cristina Graur</w:t>
      </w:r>
    </w:p>
    <w:p w14:paraId="578D685C" w14:textId="77777777" w:rsidR="00BC42DD" w:rsidRDefault="00000000">
      <w:pPr>
        <w:jc w:val="center"/>
        <w:rPr>
          <w:b/>
          <w:bCs/>
          <w:sz w:val="28"/>
          <w:szCs w:val="28"/>
        </w:rPr>
      </w:pPr>
      <w:r>
        <w:rPr>
          <w:rFonts w:ascii="Arial" w:eastAsia="Arial" w:hAnsi="Arial" w:cs="Arial"/>
          <w:b/>
          <w:bCs/>
          <w:sz w:val="28"/>
          <w:szCs w:val="28"/>
        </w:rPr>
        <w:t>Student ID: 2332971</w:t>
      </w:r>
    </w:p>
    <w:p w14:paraId="66E9705B" w14:textId="77777777" w:rsidR="00BC42DD" w:rsidRDefault="00BC42DD">
      <w:pPr>
        <w:jc w:val="center"/>
        <w:rPr>
          <w:b/>
          <w:bCs/>
          <w:sz w:val="32"/>
          <w:szCs w:val="32"/>
        </w:rPr>
      </w:pPr>
    </w:p>
    <w:p w14:paraId="24883238" w14:textId="77777777" w:rsidR="00BC42DD" w:rsidRDefault="00000000">
      <w:pPr>
        <w:pBdr>
          <w:top w:val="nil"/>
          <w:left w:val="nil"/>
          <w:bottom w:val="nil"/>
          <w:right w:val="nil"/>
          <w:between w:val="nil"/>
        </w:pBdr>
        <w:spacing w:before="0" w:after="0" w:line="240" w:lineRule="auto"/>
        <w:jc w:val="center"/>
        <w:rPr>
          <w:rFonts w:ascii="Arial" w:eastAsia="Arial" w:hAnsi="Arial" w:cs="Arial"/>
          <w:b/>
          <w:bCs/>
          <w:color w:val="000000"/>
          <w:sz w:val="28"/>
          <w:szCs w:val="28"/>
        </w:rPr>
      </w:pPr>
      <w:bookmarkStart w:id="0" w:name="_heading=h.y0dm7ubzzw0c" w:colFirst="0" w:colLast="0"/>
      <w:bookmarkEnd w:id="0"/>
      <w:r>
        <w:rPr>
          <w:rFonts w:ascii="Arial" w:eastAsia="Arial" w:hAnsi="Arial" w:cs="Arial"/>
          <w:b/>
          <w:bCs/>
          <w:color w:val="000000"/>
          <w:sz w:val="28"/>
          <w:szCs w:val="28"/>
        </w:rPr>
        <w:t>August 2026</w:t>
      </w:r>
    </w:p>
    <w:p w14:paraId="17FB5C0C" w14:textId="77777777" w:rsidR="00BC42DD" w:rsidRDefault="00BC42DD">
      <w:pPr>
        <w:pBdr>
          <w:top w:val="nil"/>
          <w:left w:val="nil"/>
          <w:bottom w:val="nil"/>
          <w:right w:val="nil"/>
          <w:between w:val="nil"/>
        </w:pBdr>
        <w:spacing w:before="0" w:after="0" w:line="240" w:lineRule="auto"/>
        <w:jc w:val="center"/>
        <w:rPr>
          <w:rFonts w:ascii="Arial" w:eastAsia="Arial" w:hAnsi="Arial" w:cs="Arial"/>
          <w:b/>
          <w:bCs/>
          <w:color w:val="000000"/>
          <w:sz w:val="28"/>
          <w:szCs w:val="28"/>
        </w:rPr>
      </w:pPr>
    </w:p>
    <w:p w14:paraId="2106F9B3" w14:textId="77777777" w:rsidR="00BC42DD" w:rsidRDefault="00000000">
      <w:pPr>
        <w:pStyle w:val="Heading1"/>
        <w:keepNext w:val="0"/>
        <w:keepLines w:val="0"/>
        <w:spacing w:after="80" w:line="360" w:lineRule="auto"/>
        <w:jc w:val="center"/>
        <w:rPr>
          <w:rFonts w:ascii="Arial" w:eastAsia="Arial" w:hAnsi="Arial" w:cs="Arial"/>
        </w:rPr>
      </w:pPr>
      <w:bookmarkStart w:id="1" w:name="_heading=h.k5i907n2oddg" w:colFirst="0" w:colLast="0"/>
      <w:bookmarkEnd w:id="1"/>
      <w:r>
        <w:rPr>
          <w:rFonts w:ascii="Arial" w:eastAsia="Arial" w:hAnsi="Arial" w:cs="Arial"/>
        </w:rPr>
        <w:lastRenderedPageBreak/>
        <w:t>Executive Summary</w:t>
      </w:r>
    </w:p>
    <w:p w14:paraId="23A60A7E"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This report assesses the strategic growth opportunities before VodafoneThree UK following the merger of Vodafone UK and Three UK in 2025. The merger made VodafoneThree the UK's largest mobile network operator, and it has announced that it will spend £11 billion over the next 10 years on a standalone 5G network that will cover the whole of the UK with coverage, supporting around 27 million subscribers. The merger will enhance the competitive position of VodafoneThree, but it will also introduce the risk of integration as well as strong competition, the cost of infrastructure, and rising customer expectations. The report uses techniques </w:t>
      </w:r>
      <w:r>
        <w:rPr>
          <w:rFonts w:ascii="Arial" w:eastAsia="Arial" w:hAnsi="Arial" w:cs="Arial"/>
          <w:sz w:val="22"/>
          <w:szCs w:val="22"/>
          <w:highlight w:val="white"/>
        </w:rPr>
        <w:t>such as SWOT Analysis, Ansoff Matrix, the SFA Framework, and Mendelow's Stakeholder Matrix</w:t>
      </w:r>
      <w:r>
        <w:rPr>
          <w:rFonts w:ascii="Arial" w:eastAsia="Arial" w:hAnsi="Arial" w:cs="Arial"/>
          <w:sz w:val="22"/>
          <w:szCs w:val="22"/>
        </w:rPr>
        <w:t xml:space="preserve"> to analyse VodafoneThree's internal strengths and weaknesses and external opportunities and threats. Analysis highlights important opportunities in enterprise digital services, Internet of Things, artificial intelligence, and private 5G networks. After considering strategic options, the report suggests a Product Development/Market Development strategic approach with a Differentiation competitive approach. This will help VodafoneThree to get the most out of its investment in standalone 5G deployments and to show its value by going into high-value enterprise markets instead of purely pricing competitiveness. The report concludes that, once successfully rolled out, this will create a more competitive and effective VodafoneThree, a better customer experience, greater market share, higher shareholder value, and contribute to the UK's digital transformation agenda.</w:t>
      </w:r>
    </w:p>
    <w:p w14:paraId="33ED3BAC" w14:textId="77777777" w:rsidR="00BC42DD" w:rsidRDefault="00BC42DD">
      <w:pPr>
        <w:spacing w:line="360" w:lineRule="auto"/>
        <w:jc w:val="both"/>
        <w:rPr>
          <w:color w:val="60657B"/>
        </w:rPr>
      </w:pPr>
    </w:p>
    <w:p w14:paraId="2F16FC4B" w14:textId="77777777" w:rsidR="00BC42DD" w:rsidRDefault="00BC42DD">
      <w:pPr>
        <w:spacing w:line="360" w:lineRule="auto"/>
        <w:jc w:val="both"/>
        <w:rPr>
          <w:color w:val="60657B"/>
        </w:rPr>
      </w:pPr>
    </w:p>
    <w:p w14:paraId="1FD995AD" w14:textId="77777777" w:rsidR="00BC42DD" w:rsidRDefault="00BC42DD">
      <w:pPr>
        <w:spacing w:line="360" w:lineRule="auto"/>
        <w:jc w:val="both"/>
        <w:rPr>
          <w:color w:val="60657B"/>
        </w:rPr>
      </w:pPr>
    </w:p>
    <w:p w14:paraId="794FCBCF" w14:textId="77777777" w:rsidR="00BC42DD" w:rsidRDefault="00BC42DD">
      <w:pPr>
        <w:spacing w:line="360" w:lineRule="auto"/>
        <w:jc w:val="both"/>
        <w:rPr>
          <w:color w:val="60657B"/>
        </w:rPr>
      </w:pPr>
    </w:p>
    <w:p w14:paraId="054ACCB9" w14:textId="77777777" w:rsidR="00BC42DD" w:rsidRDefault="00000000">
      <w:pPr>
        <w:spacing w:line="360" w:lineRule="auto"/>
        <w:jc w:val="both"/>
        <w:rPr>
          <w:color w:val="60657B"/>
        </w:rPr>
      </w:pPr>
      <w:r>
        <w:br w:type="page"/>
      </w:r>
    </w:p>
    <w:p w14:paraId="219C86E3" w14:textId="77777777" w:rsidR="00BC42DD" w:rsidRDefault="00000000">
      <w:pPr>
        <w:keepNext/>
        <w:keepLines/>
        <w:pBdr>
          <w:top w:val="nil"/>
          <w:left w:val="nil"/>
          <w:bottom w:val="nil"/>
          <w:right w:val="nil"/>
          <w:between w:val="nil"/>
        </w:pBdr>
        <w:spacing w:before="480" w:after="0" w:line="276" w:lineRule="auto"/>
        <w:rPr>
          <w:rFonts w:ascii="Arial" w:eastAsia="Arial" w:hAnsi="Arial" w:cs="Arial"/>
          <w:b/>
          <w:bCs/>
          <w:color w:val="366091"/>
          <w:sz w:val="28"/>
          <w:szCs w:val="28"/>
        </w:rPr>
      </w:pPr>
      <w:bookmarkStart w:id="2" w:name="_heading=h.b2vfrq14onrv" w:colFirst="0" w:colLast="0"/>
      <w:bookmarkEnd w:id="2"/>
      <w:r>
        <w:rPr>
          <w:rFonts w:ascii="Arial" w:eastAsia="Arial" w:hAnsi="Arial" w:cs="Arial"/>
          <w:b/>
          <w:bCs/>
          <w:color w:val="366091"/>
          <w:sz w:val="28"/>
          <w:szCs w:val="28"/>
        </w:rPr>
        <w:lastRenderedPageBreak/>
        <w:t>Table of Contents</w:t>
      </w:r>
    </w:p>
    <w:sdt>
      <w:sdtPr>
        <w:id w:val="2117307412"/>
        <w:docPartObj>
          <w:docPartGallery w:val="Table of Contents"/>
          <w:docPartUnique/>
        </w:docPartObj>
      </w:sdtPr>
      <w:sdtContent>
        <w:p w14:paraId="0CEF765A"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r>
            <w:fldChar w:fldCharType="begin"/>
          </w:r>
          <w:r>
            <w:instrText xml:space="preserve"> TOC \h \u \z \t "Heading 1,1,Heading 2,2,Heading 3,3,"</w:instrText>
          </w:r>
          <w:r>
            <w:fldChar w:fldCharType="separate"/>
          </w:r>
          <w:hyperlink w:anchor="_heading=h.k5i907n2oddg">
            <w:r>
              <w:rPr>
                <w:rFonts w:ascii="Arial" w:eastAsia="Arial" w:hAnsi="Arial" w:cs="Arial"/>
                <w:b/>
                <w:bCs/>
                <w:i/>
                <w:iCs/>
                <w:color w:val="000000"/>
              </w:rPr>
              <w:t>Executive Summary……………………………………………………………………….</w:t>
            </w:r>
            <w:r>
              <w:rPr>
                <w:rFonts w:ascii="Arial" w:eastAsia="Arial" w:hAnsi="Arial" w:cs="Arial"/>
                <w:b/>
                <w:bCs/>
                <w:i/>
                <w:iCs/>
                <w:color w:val="000000"/>
              </w:rPr>
              <w:tab/>
              <w:t>2</w:t>
            </w:r>
          </w:hyperlink>
        </w:p>
        <w:p w14:paraId="599C23E6"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8kbuyt7z680j">
            <w:r>
              <w:rPr>
                <w:rFonts w:ascii="Arial" w:eastAsia="Arial" w:hAnsi="Arial" w:cs="Arial"/>
                <w:b/>
                <w:bCs/>
                <w:i/>
                <w:iCs/>
                <w:color w:val="000000"/>
              </w:rPr>
              <w:t>1. Introduction………………………………………………………………………………</w:t>
            </w:r>
            <w:r>
              <w:rPr>
                <w:rFonts w:ascii="Arial" w:eastAsia="Arial" w:hAnsi="Arial" w:cs="Arial"/>
                <w:b/>
                <w:bCs/>
                <w:i/>
                <w:iCs/>
                <w:color w:val="000000"/>
              </w:rPr>
              <w:tab/>
              <w:t>4</w:t>
            </w:r>
          </w:hyperlink>
        </w:p>
        <w:p w14:paraId="561A1A27"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sg71wyo7v3xt">
            <w:r>
              <w:rPr>
                <w:rFonts w:ascii="Arial" w:eastAsia="Arial" w:hAnsi="Arial" w:cs="Arial"/>
                <w:b/>
                <w:bCs/>
                <w:i/>
                <w:iCs/>
                <w:color w:val="000000"/>
              </w:rPr>
              <w:t>2. Current Market Evaluation…………………………………………………………….</w:t>
            </w:r>
            <w:r>
              <w:rPr>
                <w:rFonts w:ascii="Arial" w:eastAsia="Arial" w:hAnsi="Arial" w:cs="Arial"/>
                <w:b/>
                <w:bCs/>
                <w:i/>
                <w:iCs/>
                <w:color w:val="000000"/>
              </w:rPr>
              <w:tab/>
            </w:r>
          </w:hyperlink>
          <w:r>
            <w:rPr>
              <w:rFonts w:ascii="Arial" w:eastAsia="Arial" w:hAnsi="Arial" w:cs="Arial"/>
              <w:b/>
              <w:bCs/>
            </w:rPr>
            <w:t>5</w:t>
          </w:r>
        </w:p>
        <w:p w14:paraId="426A1DB7" w14:textId="77777777" w:rsidR="00BC42DD" w:rsidRDefault="00000000">
          <w:pPr>
            <w:widowControl w:val="0"/>
            <w:tabs>
              <w:tab w:val="right" w:pos="12000"/>
            </w:tabs>
            <w:spacing w:before="60" w:after="0" w:line="240" w:lineRule="auto"/>
            <w:ind w:left="360"/>
            <w:rPr>
              <w:rFonts w:ascii="Arial" w:eastAsia="Arial" w:hAnsi="Arial" w:cs="Arial"/>
              <w:b/>
              <w:bCs/>
              <w:color w:val="000000"/>
              <w:sz w:val="22"/>
              <w:szCs w:val="22"/>
            </w:rPr>
          </w:pPr>
          <w:hyperlink w:anchor="_heading=h.gog1jlppua08">
            <w:r>
              <w:rPr>
                <w:rFonts w:ascii="Arial" w:eastAsia="Arial" w:hAnsi="Arial" w:cs="Arial"/>
                <w:b/>
                <w:bCs/>
                <w:color w:val="000000"/>
                <w:sz w:val="22"/>
                <w:szCs w:val="22"/>
              </w:rPr>
              <w:t>Industry Overview………………………………………………………………………………</w:t>
            </w:r>
            <w:r>
              <w:rPr>
                <w:rFonts w:ascii="Arial" w:eastAsia="Arial" w:hAnsi="Arial" w:cs="Arial"/>
                <w:b/>
                <w:bCs/>
                <w:color w:val="000000"/>
                <w:sz w:val="22"/>
                <w:szCs w:val="22"/>
              </w:rPr>
              <w:tab/>
              <w:t>5</w:t>
            </w:r>
          </w:hyperlink>
        </w:p>
        <w:p w14:paraId="7C02BD42" w14:textId="77777777" w:rsidR="00BC42DD" w:rsidRDefault="00000000">
          <w:pPr>
            <w:widowControl w:val="0"/>
            <w:tabs>
              <w:tab w:val="right" w:pos="12000"/>
            </w:tabs>
            <w:spacing w:before="60" w:after="0" w:line="240" w:lineRule="auto"/>
            <w:ind w:left="360"/>
            <w:rPr>
              <w:rFonts w:ascii="Arial" w:eastAsia="Arial" w:hAnsi="Arial" w:cs="Arial"/>
              <w:b/>
              <w:bCs/>
              <w:color w:val="000000"/>
              <w:sz w:val="22"/>
              <w:szCs w:val="22"/>
            </w:rPr>
          </w:pPr>
          <w:hyperlink w:anchor="_heading=h.ljldxfktc2g0">
            <w:r>
              <w:rPr>
                <w:rFonts w:ascii="Arial" w:eastAsia="Arial" w:hAnsi="Arial" w:cs="Arial"/>
                <w:b/>
                <w:bCs/>
                <w:color w:val="000000"/>
                <w:sz w:val="22"/>
                <w:szCs w:val="22"/>
              </w:rPr>
              <w:t>SWOT Analysis………………………………………………………………………………….</w:t>
            </w:r>
            <w:r>
              <w:rPr>
                <w:rFonts w:ascii="Arial" w:eastAsia="Arial" w:hAnsi="Arial" w:cs="Arial"/>
                <w:b/>
                <w:bCs/>
                <w:color w:val="000000"/>
                <w:sz w:val="22"/>
                <w:szCs w:val="22"/>
              </w:rPr>
              <w:tab/>
              <w:t>5</w:t>
            </w:r>
          </w:hyperlink>
        </w:p>
        <w:p w14:paraId="10238DA2" w14:textId="77777777" w:rsidR="00BC42DD" w:rsidRDefault="00000000">
          <w:pPr>
            <w:widowControl w:val="0"/>
            <w:tabs>
              <w:tab w:val="right" w:pos="12000"/>
            </w:tabs>
            <w:spacing w:before="60" w:after="0" w:line="240" w:lineRule="auto"/>
            <w:ind w:left="360"/>
            <w:rPr>
              <w:rFonts w:ascii="Arial" w:eastAsia="Arial" w:hAnsi="Arial" w:cs="Arial"/>
              <w:b/>
              <w:bCs/>
              <w:color w:val="000000"/>
              <w:sz w:val="22"/>
              <w:szCs w:val="22"/>
            </w:rPr>
          </w:pPr>
          <w:hyperlink w:anchor="_heading=h.yo4w5aioptg1">
            <w:r>
              <w:rPr>
                <w:rFonts w:ascii="Arial" w:eastAsia="Arial" w:hAnsi="Arial" w:cs="Arial"/>
                <w:b/>
                <w:bCs/>
                <w:color w:val="000000"/>
                <w:sz w:val="22"/>
                <w:szCs w:val="22"/>
              </w:rPr>
              <w:t>Market Evaluation Summary………………………………………………………………….</w:t>
            </w:r>
            <w:r>
              <w:rPr>
                <w:rFonts w:ascii="Arial" w:eastAsia="Arial" w:hAnsi="Arial" w:cs="Arial"/>
                <w:b/>
                <w:bCs/>
                <w:color w:val="000000"/>
                <w:sz w:val="22"/>
                <w:szCs w:val="22"/>
              </w:rPr>
              <w:tab/>
              <w:t>6</w:t>
            </w:r>
          </w:hyperlink>
        </w:p>
        <w:p w14:paraId="3EFD2EAF"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olyiqhe0oouc">
            <w:r>
              <w:rPr>
                <w:rFonts w:ascii="Arial" w:eastAsia="Arial" w:hAnsi="Arial" w:cs="Arial"/>
                <w:b/>
                <w:bCs/>
                <w:i/>
                <w:iCs/>
                <w:color w:val="000000"/>
              </w:rPr>
              <w:t>3. Strategic Growth Options……………………………………………………………...</w:t>
            </w:r>
            <w:r>
              <w:rPr>
                <w:rFonts w:ascii="Arial" w:eastAsia="Arial" w:hAnsi="Arial" w:cs="Arial"/>
                <w:b/>
                <w:bCs/>
                <w:i/>
                <w:iCs/>
                <w:color w:val="000000"/>
              </w:rPr>
              <w:tab/>
              <w:t>6</w:t>
            </w:r>
          </w:hyperlink>
        </w:p>
        <w:p w14:paraId="11F4B735"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j4jp8vhco798">
            <w:r>
              <w:rPr>
                <w:rFonts w:ascii="Arial" w:eastAsia="Arial" w:hAnsi="Arial" w:cs="Arial"/>
                <w:b/>
                <w:bCs/>
                <w:i/>
                <w:iCs/>
                <w:color w:val="000000"/>
              </w:rPr>
              <w:t>4. Strategy Evaluation (SFA Framework)………………………………………………</w:t>
            </w:r>
            <w:r>
              <w:rPr>
                <w:rFonts w:ascii="Arial" w:eastAsia="Arial" w:hAnsi="Arial" w:cs="Arial"/>
                <w:b/>
                <w:bCs/>
                <w:i/>
                <w:iCs/>
                <w:color w:val="000000"/>
              </w:rPr>
              <w:tab/>
              <w:t>7</w:t>
            </w:r>
          </w:hyperlink>
        </w:p>
        <w:p w14:paraId="7425389A"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lxbxfs2zoba4">
            <w:r>
              <w:rPr>
                <w:rFonts w:ascii="Arial" w:eastAsia="Arial" w:hAnsi="Arial" w:cs="Arial"/>
                <w:b/>
                <w:bCs/>
                <w:i/>
                <w:iCs/>
                <w:color w:val="000000"/>
              </w:rPr>
              <w:t>5. Stakeholder Analysis………………………………………………………………….</w:t>
            </w:r>
            <w:r>
              <w:rPr>
                <w:rFonts w:ascii="Arial" w:eastAsia="Arial" w:hAnsi="Arial" w:cs="Arial"/>
                <w:b/>
                <w:bCs/>
                <w:i/>
                <w:iCs/>
                <w:color w:val="000000"/>
              </w:rPr>
              <w:tab/>
              <w:t>9</w:t>
            </w:r>
          </w:hyperlink>
        </w:p>
        <w:p w14:paraId="52F96FAB"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vo2lemlo3sqs">
            <w:r>
              <w:rPr>
                <w:rFonts w:ascii="Arial" w:eastAsia="Arial" w:hAnsi="Arial" w:cs="Arial"/>
                <w:b/>
                <w:bCs/>
                <w:i/>
                <w:iCs/>
                <w:color w:val="000000"/>
              </w:rPr>
              <w:t>6. Implementation and Monitoring…………………………………………………….</w:t>
            </w:r>
            <w:r>
              <w:rPr>
                <w:rFonts w:ascii="Arial" w:eastAsia="Arial" w:hAnsi="Arial" w:cs="Arial"/>
                <w:b/>
                <w:bCs/>
                <w:i/>
                <w:iCs/>
                <w:color w:val="000000"/>
              </w:rPr>
              <w:tab/>
              <w:t>10</w:t>
            </w:r>
          </w:hyperlink>
        </w:p>
        <w:p w14:paraId="463DD98C"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93ep9ao8zxj4">
            <w:r>
              <w:rPr>
                <w:rFonts w:ascii="Arial" w:eastAsia="Arial" w:hAnsi="Arial" w:cs="Arial"/>
                <w:b/>
                <w:bCs/>
                <w:i/>
                <w:iCs/>
                <w:color w:val="000000"/>
              </w:rPr>
              <w:t>7. Conclusion……………………………………………………………………………...</w:t>
            </w:r>
            <w:r>
              <w:rPr>
                <w:rFonts w:ascii="Arial" w:eastAsia="Arial" w:hAnsi="Arial" w:cs="Arial"/>
                <w:b/>
                <w:bCs/>
                <w:i/>
                <w:iCs/>
                <w:color w:val="000000"/>
              </w:rPr>
              <w:tab/>
              <w:t>12</w:t>
            </w:r>
          </w:hyperlink>
        </w:p>
        <w:p w14:paraId="4DCFB550" w14:textId="77777777" w:rsidR="00BC42DD" w:rsidRDefault="00000000">
          <w:pPr>
            <w:widowControl w:val="0"/>
            <w:tabs>
              <w:tab w:val="right" w:pos="12000"/>
            </w:tabs>
            <w:spacing w:before="60" w:after="0" w:line="240" w:lineRule="auto"/>
            <w:rPr>
              <w:rFonts w:ascii="Arial" w:eastAsia="Arial" w:hAnsi="Arial" w:cs="Arial"/>
              <w:b/>
              <w:bCs/>
              <w:color w:val="000000"/>
              <w:sz w:val="22"/>
              <w:szCs w:val="22"/>
            </w:rPr>
          </w:pPr>
          <w:hyperlink w:anchor="_heading=h.xlq9xzo56oiq">
            <w:r>
              <w:rPr>
                <w:rFonts w:ascii="Arial" w:eastAsia="Arial" w:hAnsi="Arial" w:cs="Arial"/>
                <w:b/>
                <w:bCs/>
                <w:i/>
                <w:iCs/>
                <w:color w:val="000000"/>
              </w:rPr>
              <w:t>8. References………………………………………………………………………………</w:t>
            </w:r>
            <w:r>
              <w:rPr>
                <w:rFonts w:ascii="Arial" w:eastAsia="Arial" w:hAnsi="Arial" w:cs="Arial"/>
                <w:b/>
                <w:bCs/>
                <w:i/>
                <w:iCs/>
                <w:color w:val="000000"/>
              </w:rPr>
              <w:tab/>
              <w:t>13</w:t>
            </w:r>
          </w:hyperlink>
          <w:r>
            <w:fldChar w:fldCharType="end"/>
          </w:r>
        </w:p>
      </w:sdtContent>
    </w:sdt>
    <w:p w14:paraId="346B95A8" w14:textId="77777777" w:rsidR="00BC42DD" w:rsidRDefault="00000000">
      <w:pPr>
        <w:rPr>
          <w:rFonts w:ascii="Arial" w:eastAsia="Arial" w:hAnsi="Arial" w:cs="Arial"/>
          <w:b/>
          <w:bCs/>
          <w:color w:val="000000"/>
        </w:rPr>
      </w:pPr>
      <w:r>
        <w:br w:type="page"/>
      </w:r>
    </w:p>
    <w:p w14:paraId="1E590E79" w14:textId="77777777" w:rsidR="00BC42DD" w:rsidRDefault="00000000">
      <w:pPr>
        <w:pStyle w:val="Heading1"/>
        <w:keepNext w:val="0"/>
        <w:keepLines w:val="0"/>
        <w:spacing w:before="480" w:line="360" w:lineRule="auto"/>
        <w:jc w:val="both"/>
        <w:rPr>
          <w:rFonts w:ascii="Arial" w:eastAsia="Arial" w:hAnsi="Arial" w:cs="Arial"/>
          <w:sz w:val="28"/>
          <w:szCs w:val="28"/>
        </w:rPr>
      </w:pPr>
      <w:bookmarkStart w:id="3" w:name="_heading=h.8kbuyt7z680j" w:colFirst="0" w:colLast="0"/>
      <w:bookmarkEnd w:id="3"/>
      <w:r>
        <w:rPr>
          <w:rFonts w:ascii="Arial" w:eastAsia="Arial" w:hAnsi="Arial" w:cs="Arial"/>
          <w:sz w:val="28"/>
          <w:szCs w:val="28"/>
        </w:rPr>
        <w:lastRenderedPageBreak/>
        <w:t>1. Introduction</w:t>
      </w:r>
    </w:p>
    <w:p w14:paraId="598CF386" w14:textId="0CD0BEF6" w:rsidR="00BC42DD" w:rsidRDefault="00000000">
      <w:pPr>
        <w:spacing w:line="360" w:lineRule="auto"/>
        <w:jc w:val="both"/>
        <w:rPr>
          <w:rFonts w:ascii="Arial" w:eastAsia="Arial" w:hAnsi="Arial" w:cs="Arial"/>
          <w:sz w:val="22"/>
          <w:szCs w:val="22"/>
        </w:rPr>
      </w:pPr>
      <w:r>
        <w:rPr>
          <w:rFonts w:ascii="Arial" w:eastAsia="Arial" w:hAnsi="Arial" w:cs="Arial"/>
          <w:sz w:val="22"/>
          <w:szCs w:val="22"/>
          <w:highlight w:val="white"/>
        </w:rPr>
        <w:t>Vodafone Group Plc is a major European and African Mobile Communications, broadband, digital services, and enterprise connectivity provider across the world</w:t>
      </w:r>
      <w:r w:rsidR="00812A4D">
        <w:rPr>
          <w:rFonts w:ascii="Arial" w:eastAsia="Arial" w:hAnsi="Arial" w:cs="Arial"/>
          <w:sz w:val="22"/>
          <w:szCs w:val="22"/>
          <w:highlight w:val="white"/>
        </w:rPr>
        <w:t xml:space="preserve"> </w:t>
      </w:r>
      <w:r w:rsidR="00812A4D">
        <w:rPr>
          <w:rFonts w:ascii="Arial" w:hAnsi="Arial" w:cs="Arial"/>
          <w:sz w:val="22"/>
          <w:szCs w:val="22"/>
          <w:highlight w:val="white"/>
        </w:rPr>
        <w:t>(Vodafone Group, 2026)</w:t>
      </w:r>
      <w:r w:rsidR="00812A4D" w:rsidRPr="00B3765A">
        <w:rPr>
          <w:rFonts w:ascii="Arial" w:hAnsi="Arial" w:cs="Arial"/>
          <w:sz w:val="22"/>
          <w:szCs w:val="22"/>
          <w:highlight w:val="white"/>
        </w:rPr>
        <w:t>.</w:t>
      </w:r>
      <w:r>
        <w:rPr>
          <w:rFonts w:ascii="Arial" w:eastAsia="Arial" w:hAnsi="Arial" w:cs="Arial"/>
          <w:sz w:val="22"/>
          <w:szCs w:val="22"/>
          <w:highlight w:val="white"/>
        </w:rPr>
        <w:t xml:space="preserve"> In June 2025, Vodafone UK and Three UK combined to form the UK's biggest mobile network, VodafoneThree, providing services to some 27 million subscribers. The one-of-a-kind standalone 5G network will cost the merged company some €11bn to implement over 10 years and is one of the most sophisticated standalone 5G networks in Europe</w:t>
      </w:r>
      <w:r w:rsidR="002D3105">
        <w:rPr>
          <w:rFonts w:ascii="Arial" w:eastAsia="Arial" w:hAnsi="Arial" w:cs="Arial"/>
          <w:sz w:val="22"/>
          <w:szCs w:val="22"/>
          <w:highlight w:val="white"/>
        </w:rPr>
        <w:t xml:space="preserve"> </w:t>
      </w:r>
      <w:r w:rsidR="002D3105">
        <w:rPr>
          <w:rFonts w:ascii="Arial" w:hAnsi="Arial" w:cs="Arial"/>
          <w:sz w:val="22"/>
          <w:szCs w:val="22"/>
          <w:highlight w:val="white"/>
        </w:rPr>
        <w:t>(IG, 2026)</w:t>
      </w:r>
      <w:r w:rsidR="002D3105" w:rsidRPr="00B3765A">
        <w:rPr>
          <w:rFonts w:ascii="Arial" w:hAnsi="Arial" w:cs="Arial"/>
          <w:sz w:val="22"/>
          <w:szCs w:val="22"/>
          <w:highlight w:val="white"/>
        </w:rPr>
        <w:t>.</w:t>
      </w:r>
      <w:r>
        <w:rPr>
          <w:rFonts w:ascii="Arial" w:eastAsia="Arial" w:hAnsi="Arial" w:cs="Arial"/>
          <w:sz w:val="22"/>
          <w:szCs w:val="22"/>
          <w:highlight w:val="white"/>
        </w:rPr>
        <w:t xml:space="preserve"> The investment will support areas of growth and innovation, including the development of autonomous vehicles, AI, IoT, smart cities, and cloud computing, boost digitalisation and connectivity across the UK, and create sustainable economic opportunities over the long-term. Vodafone's Vision is "To connect for a better future. Its mission is to create a digital society; all these secure, innovative, and sustainable communication solutions will help to increase the quality of people's lives and enhance business strength. It follows a principle and philosophy of customer focus, simplicity, speed, innovation, trust, and sustainability.  </w:t>
      </w:r>
    </w:p>
    <w:p w14:paraId="0F674508" w14:textId="77777777" w:rsidR="00BC42DD" w:rsidRDefault="00BC42DD"/>
    <w:p w14:paraId="07D00639" w14:textId="77777777" w:rsidR="00BC42DD" w:rsidRDefault="00BC42DD"/>
    <w:p w14:paraId="528B62AB" w14:textId="77777777" w:rsidR="00BC42DD" w:rsidRDefault="00000000">
      <w:pPr>
        <w:pStyle w:val="Heading1"/>
        <w:keepNext w:val="0"/>
        <w:keepLines w:val="0"/>
        <w:spacing w:before="480" w:line="360" w:lineRule="auto"/>
        <w:jc w:val="both"/>
        <w:rPr>
          <w:rFonts w:ascii="Arial" w:eastAsia="Arial" w:hAnsi="Arial" w:cs="Arial"/>
          <w:sz w:val="28"/>
          <w:szCs w:val="28"/>
        </w:rPr>
      </w:pPr>
      <w:bookmarkStart w:id="4" w:name="_heading=h.sg71wyo7v3xt" w:colFirst="0" w:colLast="0"/>
      <w:bookmarkEnd w:id="4"/>
      <w:r>
        <w:br w:type="page"/>
      </w:r>
      <w:r>
        <w:rPr>
          <w:rFonts w:ascii="Arial" w:eastAsia="Arial" w:hAnsi="Arial" w:cs="Arial"/>
          <w:sz w:val="28"/>
          <w:szCs w:val="28"/>
        </w:rPr>
        <w:lastRenderedPageBreak/>
        <w:t>2. Current Market Evaluation</w:t>
      </w:r>
    </w:p>
    <w:p w14:paraId="4855092C" w14:textId="77777777" w:rsidR="00BC42DD" w:rsidRDefault="00000000">
      <w:pPr>
        <w:pStyle w:val="Heading2"/>
        <w:rPr>
          <w:rFonts w:ascii="Arial" w:eastAsia="Arial" w:hAnsi="Arial" w:cs="Arial"/>
          <w:sz w:val="24"/>
          <w:szCs w:val="24"/>
        </w:rPr>
      </w:pPr>
      <w:bookmarkStart w:id="5" w:name="_heading=h.gog1jlppua08" w:colFirst="0" w:colLast="0"/>
      <w:bookmarkEnd w:id="5"/>
      <w:r>
        <w:rPr>
          <w:rFonts w:ascii="Arial" w:eastAsia="Arial" w:hAnsi="Arial" w:cs="Arial"/>
          <w:sz w:val="24"/>
          <w:szCs w:val="24"/>
        </w:rPr>
        <w:t>Industry Overview</w:t>
      </w:r>
    </w:p>
    <w:p w14:paraId="014DA8AB" w14:textId="77777777" w:rsidR="00BC42DD" w:rsidRDefault="00000000">
      <w:pPr>
        <w:spacing w:line="360" w:lineRule="auto"/>
        <w:jc w:val="both"/>
        <w:rPr>
          <w:rFonts w:ascii="Arial" w:eastAsia="Arial" w:hAnsi="Arial" w:cs="Arial"/>
          <w:sz w:val="22"/>
          <w:szCs w:val="22"/>
          <w:highlight w:val="white"/>
        </w:rPr>
      </w:pPr>
      <w:bookmarkStart w:id="6" w:name="_heading=h.5tnmngow1qdq" w:colFirst="0" w:colLast="0"/>
      <w:bookmarkEnd w:id="6"/>
      <w:r>
        <w:rPr>
          <w:rFonts w:ascii="Arial" w:eastAsia="Arial" w:hAnsi="Arial" w:cs="Arial"/>
          <w:sz w:val="22"/>
          <w:szCs w:val="22"/>
          <w:highlight w:val="white"/>
        </w:rPr>
        <w:t>The telecom market is one of the most competitive digital markets in Europe. Serving the market are four big network operators – Vodafone, Three, EE, and Virgin Media O2, plus several Mobile Virtual Network Operators (MVNOs) such as Sky Mobile, Tesco Mobile, and Giffgaff. This is due to the growing demand for high-speed mobile Internet connectivity, cloud services, and digital connectivity among consumers, leading to a competitive market and major investments in 5G infrastructure (Simões, 2024). The integration of the assets of Vodafone with Three will have most changed the dynamics of the market, with both companies' networks, spectrum holdings, and customers merged. It now maintains a more extensive mobile spectrum portfolio in the UK, which enables the deployment of standalone 5G technology at a quicker pace and improves coverage across the UK (Sanchita, 2022). In the telecommunications industry, technological innovation is still a big competitive factor. Telecommunications providers are becoming digital service providers, as 5G, artificial intelligence (AI), cloud, Internet of Things (IoT), edge, and network automation have become integral parts of the industry. In addition to mobile services, operators are increasingly looking to enterprise customers with cybersecurity solutions, private 5G networks, cloud connectivity, IoT platforms, and digital transformation services. High-value business segments enable revenue diversification, as well as lessening reliance on traditional voice and mobile subscription revenues.</w:t>
      </w:r>
    </w:p>
    <w:p w14:paraId="1B4C46C5" w14:textId="77777777" w:rsidR="00BC42DD" w:rsidRDefault="00000000">
      <w:pPr>
        <w:spacing w:line="360" w:lineRule="auto"/>
        <w:jc w:val="both"/>
        <w:rPr>
          <w:rFonts w:ascii="Arial" w:eastAsia="Arial" w:hAnsi="Arial" w:cs="Arial"/>
          <w:sz w:val="22"/>
          <w:szCs w:val="22"/>
          <w:highlight w:val="white"/>
        </w:rPr>
      </w:pPr>
      <w:bookmarkStart w:id="7" w:name="_heading=h.u8s04jgha2nq" w:colFirst="0" w:colLast="0"/>
      <w:bookmarkEnd w:id="7"/>
      <w:r>
        <w:rPr>
          <w:rFonts w:ascii="Arial" w:eastAsia="Arial" w:hAnsi="Arial" w:cs="Arial"/>
          <w:sz w:val="22"/>
          <w:szCs w:val="22"/>
          <w:highlight w:val="white"/>
        </w:rPr>
        <w:t xml:space="preserve">Therefore, innovation, resource optimization, and value-added services, namely digital services, are becoming an ever more critical component of the competitive advantage in the long-term. It's a fluid situation that will provide VodafoneThree with growth potential but will also require them to take care of their strategic position as the UK telecoms market continues to change </w:t>
      </w:r>
      <w:r>
        <w:rPr>
          <w:rFonts w:ascii="Arial" w:eastAsia="Arial" w:hAnsi="Arial" w:cs="Arial"/>
          <w:sz w:val="22"/>
          <w:szCs w:val="22"/>
        </w:rPr>
        <w:t>(Whittington et al., 2020)</w:t>
      </w:r>
      <w:r>
        <w:rPr>
          <w:rFonts w:ascii="Arial" w:eastAsia="Arial" w:hAnsi="Arial" w:cs="Arial"/>
          <w:sz w:val="22"/>
          <w:szCs w:val="22"/>
          <w:highlight w:val="white"/>
        </w:rPr>
        <w:t>.</w:t>
      </w:r>
    </w:p>
    <w:p w14:paraId="5843B235" w14:textId="77777777" w:rsidR="00BC42DD" w:rsidRDefault="00000000">
      <w:pPr>
        <w:pStyle w:val="Heading2"/>
        <w:keepNext w:val="0"/>
        <w:keepLines w:val="0"/>
        <w:spacing w:line="360" w:lineRule="auto"/>
        <w:jc w:val="both"/>
        <w:rPr>
          <w:rFonts w:ascii="Arial" w:eastAsia="Arial" w:hAnsi="Arial" w:cs="Arial"/>
          <w:sz w:val="24"/>
          <w:szCs w:val="24"/>
        </w:rPr>
      </w:pPr>
      <w:bookmarkStart w:id="8" w:name="_heading=h.ljldxfktc2g0" w:colFirst="0" w:colLast="0"/>
      <w:bookmarkEnd w:id="8"/>
      <w:r>
        <w:rPr>
          <w:rFonts w:ascii="Arial" w:eastAsia="Arial" w:hAnsi="Arial" w:cs="Arial"/>
          <w:sz w:val="24"/>
          <w:szCs w:val="24"/>
        </w:rPr>
        <w:t>SWOT Analysis</w:t>
      </w:r>
    </w:p>
    <w:p w14:paraId="38187AE7" w14:textId="77777777" w:rsidR="00BC42DD" w:rsidRDefault="00000000">
      <w:pPr>
        <w:numPr>
          <w:ilvl w:val="0"/>
          <w:numId w:val="3"/>
        </w:numPr>
        <w:pBdr>
          <w:top w:val="nil"/>
          <w:left w:val="nil"/>
          <w:bottom w:val="nil"/>
          <w:right w:val="nil"/>
          <w:between w:val="nil"/>
        </w:pBdr>
        <w:spacing w:after="0" w:line="360" w:lineRule="auto"/>
        <w:jc w:val="both"/>
        <w:rPr>
          <w:b/>
          <w:bCs/>
          <w:color w:val="000000"/>
        </w:rPr>
      </w:pPr>
      <w:bookmarkStart w:id="9" w:name="_heading=h.olyhsc29cpvz" w:colFirst="0" w:colLast="0"/>
      <w:bookmarkEnd w:id="9"/>
      <w:r>
        <w:rPr>
          <w:rFonts w:ascii="Arial" w:eastAsia="Arial" w:hAnsi="Arial" w:cs="Arial"/>
          <w:b/>
          <w:bCs/>
          <w:color w:val="000000"/>
          <w:sz w:val="22"/>
          <w:szCs w:val="22"/>
        </w:rPr>
        <w:t xml:space="preserve">Strengths: </w:t>
      </w:r>
      <w:r>
        <w:rPr>
          <w:rFonts w:ascii="Arial" w:eastAsia="Arial" w:hAnsi="Arial" w:cs="Arial"/>
          <w:color w:val="000000"/>
          <w:sz w:val="22"/>
          <w:szCs w:val="22"/>
        </w:rPr>
        <w:t>VodafoneThree has around 27 million subscribers, which is considerably more than the number of subscribers it has at any one time. The combination of the two enhances economies of scale, eliminates duplicate operational expenses, and generates more leverage among the two companies' purchasing power. The investment of £11bn</w:t>
      </w:r>
      <w:r>
        <w:rPr>
          <w:color w:val="000000"/>
        </w:rPr>
        <w:t xml:space="preserve"> </w:t>
      </w:r>
      <w:r>
        <w:rPr>
          <w:rFonts w:ascii="Arial" w:eastAsia="Arial" w:hAnsi="Arial" w:cs="Arial"/>
          <w:color w:val="000000"/>
          <w:sz w:val="22"/>
          <w:szCs w:val="22"/>
        </w:rPr>
        <w:t>in standalone 5G infrastructure offers the chance to become the UK's technological leader for next-generation connec</w:t>
      </w:r>
      <w:r>
        <w:rPr>
          <w:rFonts w:ascii="Arial" w:eastAsia="Arial" w:hAnsi="Arial" w:cs="Arial"/>
          <w:sz w:val="22"/>
          <w:szCs w:val="22"/>
        </w:rPr>
        <w:t>tivity (Ghaleb, 2024).</w:t>
      </w:r>
    </w:p>
    <w:p w14:paraId="1E2FB168" w14:textId="77777777" w:rsidR="00BC42DD" w:rsidRDefault="00000000">
      <w:pPr>
        <w:numPr>
          <w:ilvl w:val="0"/>
          <w:numId w:val="3"/>
        </w:numPr>
        <w:pBdr>
          <w:top w:val="nil"/>
          <w:left w:val="nil"/>
          <w:bottom w:val="nil"/>
          <w:right w:val="nil"/>
          <w:between w:val="nil"/>
        </w:pBdr>
        <w:spacing w:before="0" w:after="0" w:line="360" w:lineRule="auto"/>
        <w:jc w:val="both"/>
        <w:rPr>
          <w:b/>
          <w:bCs/>
          <w:color w:val="000000"/>
          <w:sz w:val="22"/>
          <w:szCs w:val="22"/>
        </w:rPr>
      </w:pPr>
      <w:bookmarkStart w:id="10" w:name="_heading=h.e7fsxqyh80e7" w:colFirst="0" w:colLast="0"/>
      <w:bookmarkEnd w:id="10"/>
      <w:r>
        <w:rPr>
          <w:rFonts w:ascii="Arial" w:eastAsia="Arial" w:hAnsi="Arial" w:cs="Arial"/>
          <w:b/>
          <w:bCs/>
          <w:color w:val="000000"/>
          <w:sz w:val="22"/>
          <w:szCs w:val="22"/>
        </w:rPr>
        <w:lastRenderedPageBreak/>
        <w:t xml:space="preserve">Weaknesses: </w:t>
      </w:r>
      <w:r>
        <w:rPr>
          <w:rFonts w:ascii="Arial" w:eastAsia="Arial" w:hAnsi="Arial" w:cs="Arial"/>
          <w:color w:val="000000"/>
          <w:sz w:val="22"/>
          <w:szCs w:val="22"/>
        </w:rPr>
        <w:t>These are strengths, but with integration comes issues. It costs a lot of money and takes a long time to integrate the organisational culture, IT systems, customer databases, and network infrastructure. The scale of expenditure is likely to create financial pressure, and the uncertain integration prospects run the risk of low retention. Additionally, there could be strategic flexibility requirements due to regulatory oversight from Ofcom and the Competition and Markets Authority.</w:t>
      </w:r>
    </w:p>
    <w:p w14:paraId="26B5B32E" w14:textId="77777777" w:rsidR="00BC42DD" w:rsidRDefault="00000000">
      <w:pPr>
        <w:numPr>
          <w:ilvl w:val="0"/>
          <w:numId w:val="3"/>
        </w:numPr>
        <w:pBdr>
          <w:top w:val="nil"/>
          <w:left w:val="nil"/>
          <w:bottom w:val="nil"/>
          <w:right w:val="nil"/>
          <w:between w:val="nil"/>
        </w:pBdr>
        <w:spacing w:before="0" w:after="0" w:line="360" w:lineRule="auto"/>
        <w:jc w:val="both"/>
        <w:rPr>
          <w:b/>
          <w:bCs/>
          <w:color w:val="000000"/>
          <w:sz w:val="22"/>
          <w:szCs w:val="22"/>
        </w:rPr>
      </w:pPr>
      <w:r>
        <w:rPr>
          <w:rFonts w:ascii="Arial" w:eastAsia="Arial" w:hAnsi="Arial" w:cs="Arial"/>
          <w:b/>
          <w:bCs/>
          <w:color w:val="000000"/>
          <w:sz w:val="22"/>
          <w:szCs w:val="22"/>
        </w:rPr>
        <w:t xml:space="preserve">Opportunities: </w:t>
      </w:r>
      <w:r>
        <w:rPr>
          <w:rFonts w:ascii="Arial" w:eastAsia="Arial" w:hAnsi="Arial" w:cs="Arial"/>
          <w:color w:val="000000"/>
          <w:sz w:val="22"/>
          <w:szCs w:val="22"/>
        </w:rPr>
        <w:t>The Internet of Things, Artificial Intelligence, Cloud computing, Edge computing, and Smart cities are areas where there is a huge revenue opportunity. The trend of private 5G networks has gained momentum in the manufacturing, logistics, healthcare, and education industries, amongst others (Kern and Gospel, 2023).</w:t>
      </w:r>
    </w:p>
    <w:p w14:paraId="23A7C1BB" w14:textId="77777777" w:rsidR="00BC42DD" w:rsidRDefault="00000000">
      <w:pPr>
        <w:numPr>
          <w:ilvl w:val="0"/>
          <w:numId w:val="3"/>
        </w:numPr>
        <w:pBdr>
          <w:top w:val="nil"/>
          <w:left w:val="nil"/>
          <w:bottom w:val="nil"/>
          <w:right w:val="nil"/>
          <w:between w:val="nil"/>
        </w:pBdr>
        <w:spacing w:before="0" w:line="360" w:lineRule="auto"/>
        <w:jc w:val="both"/>
        <w:rPr>
          <w:b/>
          <w:bCs/>
          <w:color w:val="000000"/>
          <w:sz w:val="22"/>
          <w:szCs w:val="22"/>
        </w:rPr>
      </w:pPr>
      <w:bookmarkStart w:id="11" w:name="_heading=h.nncm30wmkosw" w:colFirst="0" w:colLast="0"/>
      <w:bookmarkEnd w:id="11"/>
      <w:r>
        <w:rPr>
          <w:rFonts w:ascii="Arial" w:eastAsia="Arial" w:hAnsi="Arial" w:cs="Arial"/>
          <w:b/>
          <w:bCs/>
          <w:color w:val="000000"/>
          <w:sz w:val="22"/>
          <w:szCs w:val="22"/>
        </w:rPr>
        <w:t xml:space="preserve">Threats: </w:t>
      </w:r>
      <w:r>
        <w:rPr>
          <w:rFonts w:ascii="Arial" w:eastAsia="Arial" w:hAnsi="Arial" w:cs="Arial"/>
          <w:color w:val="000000"/>
          <w:sz w:val="22"/>
          <w:szCs w:val="22"/>
        </w:rPr>
        <w:t>EE is well recognised and has good broadband integration, and Virgin Media O2 offers mobile and fixed line. Additional challenges to the business today include competition, shifts in technology, cybersecurity threats, economic instability, and evolving needs of consumers. Fast changeover and development could further shorten the life cycles of technologies and require further investments.</w:t>
      </w:r>
    </w:p>
    <w:p w14:paraId="75BFEA7D" w14:textId="77777777" w:rsidR="00BC42DD" w:rsidRDefault="00000000">
      <w:pPr>
        <w:pStyle w:val="Heading2"/>
        <w:spacing w:line="360" w:lineRule="auto"/>
        <w:jc w:val="both"/>
        <w:rPr>
          <w:rFonts w:ascii="Arial" w:eastAsia="Arial" w:hAnsi="Arial" w:cs="Arial"/>
          <w:sz w:val="24"/>
          <w:szCs w:val="24"/>
        </w:rPr>
      </w:pPr>
      <w:bookmarkStart w:id="12" w:name="_heading=h.yo4w5aioptg1" w:colFirst="0" w:colLast="0"/>
      <w:bookmarkEnd w:id="12"/>
      <w:r>
        <w:rPr>
          <w:rFonts w:ascii="Arial" w:eastAsia="Arial" w:hAnsi="Arial" w:cs="Arial"/>
          <w:sz w:val="24"/>
          <w:szCs w:val="24"/>
        </w:rPr>
        <w:t>Market Evaluation Summary</w:t>
      </w:r>
    </w:p>
    <w:p w14:paraId="5E93A928"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VodafoneThree has a great deal of competitive advantages after the merger, especially its customer base, network infrastructure, and financial investment in 5G infrastructure. As competition continues to be fierce, the future growth potential has become increasingly reliant on providing innovative digital solutions, not just on price (</w:t>
      </w:r>
      <w:proofErr w:type="spellStart"/>
      <w:r>
        <w:rPr>
          <w:rFonts w:ascii="Arial" w:eastAsia="Arial" w:hAnsi="Arial" w:cs="Arial"/>
          <w:sz w:val="22"/>
          <w:szCs w:val="22"/>
        </w:rPr>
        <w:t>Ndzabukelwako</w:t>
      </w:r>
      <w:proofErr w:type="spellEnd"/>
      <w:r>
        <w:rPr>
          <w:rFonts w:ascii="Arial" w:eastAsia="Arial" w:hAnsi="Arial" w:cs="Arial"/>
          <w:sz w:val="22"/>
          <w:szCs w:val="22"/>
        </w:rPr>
        <w:t xml:space="preserve"> et al., 2024).</w:t>
      </w:r>
    </w:p>
    <w:p w14:paraId="61CD4529" w14:textId="77777777" w:rsidR="00BC42DD" w:rsidRDefault="00000000">
      <w:pPr>
        <w:pStyle w:val="Heading1"/>
        <w:spacing w:line="360" w:lineRule="auto"/>
        <w:jc w:val="both"/>
        <w:rPr>
          <w:rFonts w:ascii="Arial" w:eastAsia="Arial" w:hAnsi="Arial" w:cs="Arial"/>
          <w:sz w:val="28"/>
          <w:szCs w:val="28"/>
        </w:rPr>
      </w:pPr>
      <w:bookmarkStart w:id="13" w:name="_heading=h.olyiqhe0oouc" w:colFirst="0" w:colLast="0"/>
      <w:bookmarkEnd w:id="13"/>
      <w:r>
        <w:rPr>
          <w:rFonts w:ascii="Arial" w:eastAsia="Arial" w:hAnsi="Arial" w:cs="Arial"/>
          <w:sz w:val="28"/>
          <w:szCs w:val="28"/>
        </w:rPr>
        <w:t>3. Strategic Growth Options</w:t>
      </w:r>
    </w:p>
    <w:p w14:paraId="1AE329B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VodafoneThree needs to take a growth approach that takes advantage of its newly consolidated capabilities and addresses the changing consumer needs.</w:t>
      </w:r>
    </w:p>
    <w:p w14:paraId="17C4E418" w14:textId="77777777" w:rsidR="00BC42DD" w:rsidRDefault="00000000">
      <w:pPr>
        <w:numPr>
          <w:ilvl w:val="0"/>
          <w:numId w:val="1"/>
        </w:numPr>
        <w:pBdr>
          <w:top w:val="nil"/>
          <w:left w:val="nil"/>
          <w:bottom w:val="nil"/>
          <w:right w:val="nil"/>
          <w:between w:val="nil"/>
        </w:pBdr>
        <w:spacing w:after="0" w:line="360" w:lineRule="auto"/>
        <w:jc w:val="both"/>
        <w:rPr>
          <w:b/>
          <w:bCs/>
          <w:color w:val="000000"/>
          <w:sz w:val="22"/>
          <w:szCs w:val="22"/>
        </w:rPr>
      </w:pPr>
      <w:bookmarkStart w:id="14" w:name="_heading=h.o9ns3cln88li" w:colFirst="0" w:colLast="0"/>
      <w:bookmarkEnd w:id="14"/>
      <w:r>
        <w:rPr>
          <w:rFonts w:ascii="Arial" w:eastAsia="Arial" w:hAnsi="Arial" w:cs="Arial"/>
          <w:b/>
          <w:bCs/>
          <w:color w:val="000000"/>
          <w:sz w:val="22"/>
          <w:szCs w:val="22"/>
        </w:rPr>
        <w:t xml:space="preserve">Market Penetration: </w:t>
      </w:r>
      <w:r>
        <w:rPr>
          <w:rFonts w:ascii="Arial" w:eastAsia="Arial" w:hAnsi="Arial" w:cs="Arial"/>
          <w:color w:val="000000"/>
          <w:sz w:val="22"/>
          <w:szCs w:val="22"/>
        </w:rPr>
        <w:t>Market penetration involves promoting the product to current user groups, using competitive pricing, offering multi-sell and loyalty programs. This can lead to higher numbers of subscribers but can also</w:t>
      </w:r>
      <w:r>
        <w:rPr>
          <w:rFonts w:ascii="Arial" w:eastAsia="Arial" w:hAnsi="Arial" w:cs="Arial"/>
          <w:sz w:val="22"/>
          <w:szCs w:val="22"/>
        </w:rPr>
        <w:t xml:space="preserve"> lead to higher prices, which could lead to lower profit margins and reprisals from others (Barney and Hesterly, 2015).</w:t>
      </w:r>
    </w:p>
    <w:p w14:paraId="776F3B8A" w14:textId="77777777" w:rsidR="00BC42DD" w:rsidRDefault="00000000">
      <w:pPr>
        <w:numPr>
          <w:ilvl w:val="0"/>
          <w:numId w:val="1"/>
        </w:numPr>
        <w:pBdr>
          <w:top w:val="nil"/>
          <w:left w:val="nil"/>
          <w:bottom w:val="nil"/>
          <w:right w:val="nil"/>
          <w:between w:val="nil"/>
        </w:pBdr>
        <w:spacing w:before="0" w:after="0" w:line="360" w:lineRule="auto"/>
        <w:jc w:val="both"/>
        <w:rPr>
          <w:b/>
          <w:bCs/>
          <w:color w:val="000000"/>
          <w:sz w:val="22"/>
          <w:szCs w:val="22"/>
        </w:rPr>
      </w:pPr>
      <w:bookmarkStart w:id="15" w:name="_heading=h.twyq7i2clct3" w:colFirst="0" w:colLast="0"/>
      <w:bookmarkEnd w:id="15"/>
      <w:r>
        <w:rPr>
          <w:rFonts w:ascii="Arial" w:eastAsia="Arial" w:hAnsi="Arial" w:cs="Arial"/>
          <w:b/>
          <w:bCs/>
          <w:color w:val="000000"/>
          <w:sz w:val="22"/>
          <w:szCs w:val="22"/>
        </w:rPr>
        <w:t xml:space="preserve">Product Development: </w:t>
      </w:r>
      <w:r>
        <w:rPr>
          <w:rFonts w:ascii="Arial" w:eastAsia="Arial" w:hAnsi="Arial" w:cs="Arial"/>
          <w:color w:val="000000"/>
          <w:sz w:val="22"/>
          <w:szCs w:val="22"/>
        </w:rPr>
        <w:t>Product Development is the process of creating new digital products/services for existing customers. VodafoneThree could tap into the standalone 5G technology to offer AI-powered connectivity, cybersecurity and enterprise digital</w:t>
      </w:r>
      <w:r>
        <w:rPr>
          <w:color w:val="000000"/>
        </w:rPr>
        <w:t xml:space="preserve"> </w:t>
      </w:r>
      <w:r>
        <w:rPr>
          <w:rFonts w:ascii="Arial" w:eastAsia="Arial" w:hAnsi="Arial" w:cs="Arial"/>
          <w:color w:val="000000"/>
          <w:sz w:val="22"/>
          <w:szCs w:val="22"/>
        </w:rPr>
        <w:t xml:space="preserve">transformation solutions. This approach will create more profitable revenue streams and improve customer loyalty (Hasan, </w:t>
      </w:r>
      <w:proofErr w:type="spellStart"/>
      <w:r>
        <w:rPr>
          <w:rFonts w:ascii="Arial" w:eastAsia="Arial" w:hAnsi="Arial" w:cs="Arial"/>
          <w:color w:val="000000"/>
          <w:sz w:val="22"/>
          <w:szCs w:val="22"/>
        </w:rPr>
        <w:t>Syahrizan</w:t>
      </w:r>
      <w:proofErr w:type="spellEnd"/>
      <w:r>
        <w:rPr>
          <w:rFonts w:ascii="Arial" w:eastAsia="Arial" w:hAnsi="Arial" w:cs="Arial"/>
          <w:color w:val="000000"/>
          <w:sz w:val="22"/>
          <w:szCs w:val="22"/>
        </w:rPr>
        <w:t xml:space="preserve"> and Zain, 2025).</w:t>
      </w:r>
    </w:p>
    <w:p w14:paraId="014C20A3" w14:textId="77777777" w:rsidR="00BC42DD" w:rsidRDefault="00000000">
      <w:pPr>
        <w:numPr>
          <w:ilvl w:val="0"/>
          <w:numId w:val="1"/>
        </w:numPr>
        <w:pBdr>
          <w:top w:val="nil"/>
          <w:left w:val="nil"/>
          <w:bottom w:val="nil"/>
          <w:right w:val="nil"/>
          <w:between w:val="nil"/>
        </w:pBdr>
        <w:spacing w:before="0" w:after="0" w:line="360" w:lineRule="auto"/>
        <w:jc w:val="both"/>
        <w:rPr>
          <w:b/>
          <w:bCs/>
          <w:color w:val="000000"/>
          <w:sz w:val="22"/>
          <w:szCs w:val="22"/>
        </w:rPr>
      </w:pPr>
      <w:bookmarkStart w:id="16" w:name="_heading=h.hrbcgxi05pnb" w:colFirst="0" w:colLast="0"/>
      <w:bookmarkEnd w:id="16"/>
      <w:r>
        <w:rPr>
          <w:rFonts w:ascii="Arial" w:eastAsia="Arial" w:hAnsi="Arial" w:cs="Arial"/>
          <w:b/>
          <w:bCs/>
          <w:color w:val="000000"/>
          <w:sz w:val="22"/>
          <w:szCs w:val="22"/>
        </w:rPr>
        <w:lastRenderedPageBreak/>
        <w:t xml:space="preserve">Market Development: </w:t>
      </w:r>
      <w:r>
        <w:rPr>
          <w:rFonts w:ascii="Arial" w:eastAsia="Arial" w:hAnsi="Arial" w:cs="Arial"/>
          <w:color w:val="000000"/>
          <w:sz w:val="22"/>
          <w:szCs w:val="22"/>
        </w:rPr>
        <w:t>Market development is geared towards new customer segments such as small and medium-sized enterprises, government institutions, healthcare institutions, universities, and manufacturing companies that need private 5G networks and digital infrastructu</w:t>
      </w:r>
      <w:r>
        <w:rPr>
          <w:rFonts w:ascii="Arial" w:eastAsia="Arial" w:hAnsi="Arial" w:cs="Arial"/>
          <w:sz w:val="22"/>
          <w:szCs w:val="22"/>
        </w:rPr>
        <w:t xml:space="preserve">re (Lynch, 2018). </w:t>
      </w:r>
    </w:p>
    <w:p w14:paraId="608CB84C" w14:textId="77777777" w:rsidR="00BC42DD" w:rsidRDefault="00000000">
      <w:pPr>
        <w:numPr>
          <w:ilvl w:val="0"/>
          <w:numId w:val="1"/>
        </w:numPr>
        <w:pBdr>
          <w:top w:val="nil"/>
          <w:left w:val="nil"/>
          <w:bottom w:val="nil"/>
          <w:right w:val="nil"/>
          <w:between w:val="nil"/>
        </w:pBdr>
        <w:spacing w:before="0" w:after="0" w:line="360" w:lineRule="auto"/>
        <w:jc w:val="both"/>
        <w:rPr>
          <w:b/>
          <w:bCs/>
          <w:color w:val="000000"/>
          <w:sz w:val="22"/>
          <w:szCs w:val="22"/>
        </w:rPr>
      </w:pPr>
      <w:bookmarkStart w:id="17" w:name="_heading=h.wwxl11cwh9lv" w:colFirst="0" w:colLast="0"/>
      <w:bookmarkEnd w:id="17"/>
      <w:r>
        <w:rPr>
          <w:rFonts w:ascii="Arial" w:eastAsia="Arial" w:hAnsi="Arial" w:cs="Arial"/>
          <w:b/>
          <w:bCs/>
          <w:color w:val="000000"/>
          <w:sz w:val="22"/>
          <w:szCs w:val="22"/>
        </w:rPr>
        <w:t xml:space="preserve">Diversification: </w:t>
      </w:r>
      <w:r>
        <w:rPr>
          <w:rFonts w:ascii="Arial" w:eastAsia="Arial" w:hAnsi="Arial" w:cs="Arial"/>
          <w:color w:val="000000"/>
          <w:sz w:val="22"/>
          <w:szCs w:val="22"/>
        </w:rPr>
        <w:t>VodafoneThree may branch out into financial technology, digital healthcare, mobility, and cloud-based business software. While diversification is a long-term strategy, it is a higher-risk investment with more uncertainties (Badem and Hurma, 2025).</w:t>
      </w:r>
    </w:p>
    <w:p w14:paraId="11872676" w14:textId="77777777" w:rsidR="00BC42DD" w:rsidRDefault="00000000">
      <w:pPr>
        <w:numPr>
          <w:ilvl w:val="0"/>
          <w:numId w:val="1"/>
        </w:numPr>
        <w:pBdr>
          <w:top w:val="nil"/>
          <w:left w:val="nil"/>
          <w:bottom w:val="nil"/>
          <w:right w:val="nil"/>
          <w:between w:val="nil"/>
        </w:pBdr>
        <w:spacing w:before="0" w:after="0" w:line="360" w:lineRule="auto"/>
        <w:jc w:val="both"/>
        <w:rPr>
          <w:b/>
          <w:bCs/>
          <w:color w:val="000000"/>
          <w:sz w:val="22"/>
          <w:szCs w:val="22"/>
        </w:rPr>
      </w:pPr>
      <w:bookmarkStart w:id="18" w:name="_heading=h.sgvfww9ut490" w:colFirst="0" w:colLast="0"/>
      <w:bookmarkEnd w:id="18"/>
      <w:r>
        <w:rPr>
          <w:rFonts w:ascii="Arial" w:eastAsia="Arial" w:hAnsi="Arial" w:cs="Arial"/>
          <w:b/>
          <w:bCs/>
          <w:color w:val="000000"/>
          <w:sz w:val="22"/>
          <w:szCs w:val="22"/>
        </w:rPr>
        <w:t xml:space="preserve">Ansoff Matrix Evaluation: </w:t>
      </w:r>
      <w:r>
        <w:rPr>
          <w:rFonts w:ascii="Arial" w:eastAsia="Arial" w:hAnsi="Arial" w:cs="Arial"/>
          <w:color w:val="000000"/>
          <w:sz w:val="22"/>
          <w:szCs w:val="22"/>
        </w:rPr>
        <w:t>According to the Ansoff Matrix, Product Development and Market Development are the two growth options that balance risk and growth. The only degree of differentiation achieved by market penetration is of limited value in the long-term; diversification introduces too much uncertainty into the integration phase following the merger</w:t>
      </w:r>
      <w:r>
        <w:rPr>
          <w:rFonts w:ascii="Arial" w:eastAsia="Arial" w:hAnsi="Arial" w:cs="Arial"/>
          <w:sz w:val="22"/>
          <w:szCs w:val="22"/>
        </w:rPr>
        <w:t xml:space="preserve"> </w:t>
      </w:r>
      <w:r>
        <w:rPr>
          <w:rFonts w:ascii="Arial" w:eastAsia="Arial" w:hAnsi="Arial" w:cs="Arial"/>
          <w:color w:val="000000"/>
          <w:sz w:val="22"/>
          <w:szCs w:val="22"/>
        </w:rPr>
        <w:t>(</w:t>
      </w:r>
      <w:proofErr w:type="spellStart"/>
      <w:r>
        <w:rPr>
          <w:rFonts w:ascii="Arial" w:eastAsia="Arial" w:hAnsi="Arial" w:cs="Arial"/>
          <w:color w:val="000000"/>
          <w:sz w:val="22"/>
          <w:szCs w:val="22"/>
        </w:rPr>
        <w:t>Zatonatska</w:t>
      </w:r>
      <w:proofErr w:type="spellEnd"/>
      <w:r>
        <w:rPr>
          <w:rFonts w:ascii="Arial" w:eastAsia="Arial" w:hAnsi="Arial" w:cs="Arial"/>
          <w:color w:val="000000"/>
          <w:sz w:val="22"/>
          <w:szCs w:val="22"/>
        </w:rPr>
        <w:t xml:space="preserve"> et al., 2022).</w:t>
      </w:r>
    </w:p>
    <w:p w14:paraId="08DB3C8F" w14:textId="77777777" w:rsidR="00BC42DD" w:rsidRDefault="00000000">
      <w:pPr>
        <w:spacing w:line="360" w:lineRule="auto"/>
        <w:jc w:val="both"/>
        <w:rPr>
          <w:rFonts w:ascii="Arial" w:eastAsia="Arial" w:hAnsi="Arial" w:cs="Arial"/>
          <w:b/>
          <w:bCs/>
        </w:rPr>
      </w:pPr>
      <w:bookmarkStart w:id="19" w:name="_heading=h.o5jzen9y4779" w:colFirst="0" w:colLast="0"/>
      <w:bookmarkEnd w:id="19"/>
      <w:r>
        <w:rPr>
          <w:rFonts w:ascii="Arial" w:eastAsia="Arial" w:hAnsi="Arial" w:cs="Arial"/>
          <w:b/>
          <w:bCs/>
        </w:rPr>
        <w:t>Recommended Strategy</w:t>
      </w:r>
    </w:p>
    <w:p w14:paraId="5DAEFC8F"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The suggested strategy is a product development and a market development within a Differentiation Strategy.</w:t>
      </w:r>
    </w:p>
    <w:p w14:paraId="1D1BE626" w14:textId="77777777" w:rsidR="00BC42DD" w:rsidRDefault="00000000">
      <w:pPr>
        <w:spacing w:line="360" w:lineRule="auto"/>
        <w:jc w:val="both"/>
        <w:rPr>
          <w:rFonts w:ascii="Arial" w:eastAsia="Arial" w:hAnsi="Arial" w:cs="Arial"/>
          <w:b/>
          <w:bCs/>
        </w:rPr>
      </w:pPr>
      <w:r>
        <w:rPr>
          <w:rFonts w:ascii="Arial" w:eastAsia="Arial" w:hAnsi="Arial" w:cs="Arial"/>
          <w:b/>
          <w:bCs/>
        </w:rPr>
        <w:t>Key initiatives include:</w:t>
      </w:r>
    </w:p>
    <w:p w14:paraId="5258FE5E" w14:textId="77777777" w:rsidR="00BC42DD" w:rsidRDefault="00000000">
      <w:pPr>
        <w:numPr>
          <w:ilvl w:val="0"/>
          <w:numId w:val="2"/>
        </w:numPr>
        <w:spacing w:after="0" w:line="360" w:lineRule="auto"/>
        <w:jc w:val="both"/>
        <w:rPr>
          <w:rFonts w:ascii="Arial" w:eastAsia="Arial" w:hAnsi="Arial" w:cs="Arial"/>
          <w:sz w:val="22"/>
          <w:szCs w:val="22"/>
        </w:rPr>
      </w:pPr>
      <w:r>
        <w:rPr>
          <w:rFonts w:ascii="Arial" w:eastAsia="Arial" w:hAnsi="Arial" w:cs="Arial"/>
          <w:sz w:val="22"/>
          <w:szCs w:val="22"/>
        </w:rPr>
        <w:t>Growing enterprise 5G deployment solutions.</w:t>
      </w:r>
    </w:p>
    <w:p w14:paraId="3B234FB0" w14:textId="77777777" w:rsidR="00BC42DD" w:rsidRDefault="00000000">
      <w:pPr>
        <w:numPr>
          <w:ilvl w:val="0"/>
          <w:numId w:val="2"/>
        </w:numPr>
        <w:spacing w:before="0" w:after="0" w:line="360" w:lineRule="auto"/>
        <w:jc w:val="both"/>
        <w:rPr>
          <w:rFonts w:ascii="Arial" w:eastAsia="Arial" w:hAnsi="Arial" w:cs="Arial"/>
          <w:sz w:val="22"/>
          <w:szCs w:val="22"/>
        </w:rPr>
      </w:pPr>
      <w:r>
        <w:rPr>
          <w:rFonts w:ascii="Arial" w:eastAsia="Arial" w:hAnsi="Arial" w:cs="Arial"/>
          <w:sz w:val="22"/>
          <w:szCs w:val="22"/>
        </w:rPr>
        <w:t>Building up business platforms based on IoT and AI.</w:t>
      </w:r>
    </w:p>
    <w:p w14:paraId="54B4F039" w14:textId="77777777" w:rsidR="00BC42DD" w:rsidRDefault="00000000">
      <w:pPr>
        <w:numPr>
          <w:ilvl w:val="0"/>
          <w:numId w:val="2"/>
        </w:numPr>
        <w:spacing w:before="0" w:after="0" w:line="360" w:lineRule="auto"/>
        <w:jc w:val="both"/>
        <w:rPr>
          <w:rFonts w:ascii="Arial" w:eastAsia="Arial" w:hAnsi="Arial" w:cs="Arial"/>
          <w:sz w:val="22"/>
          <w:szCs w:val="22"/>
        </w:rPr>
      </w:pPr>
      <w:r>
        <w:rPr>
          <w:rFonts w:ascii="Arial" w:eastAsia="Arial" w:hAnsi="Arial" w:cs="Arial"/>
          <w:sz w:val="22"/>
          <w:szCs w:val="22"/>
        </w:rPr>
        <w:t>Providing private 5G networks.</w:t>
      </w:r>
    </w:p>
    <w:p w14:paraId="3C709A04" w14:textId="77777777" w:rsidR="00BC42DD" w:rsidRDefault="00000000">
      <w:pPr>
        <w:numPr>
          <w:ilvl w:val="0"/>
          <w:numId w:val="2"/>
        </w:numPr>
        <w:spacing w:before="0" w:after="0" w:line="360" w:lineRule="auto"/>
        <w:jc w:val="both"/>
        <w:rPr>
          <w:rFonts w:ascii="Arial" w:eastAsia="Arial" w:hAnsi="Arial" w:cs="Arial"/>
          <w:sz w:val="22"/>
          <w:szCs w:val="22"/>
        </w:rPr>
      </w:pPr>
      <w:r>
        <w:rPr>
          <w:rFonts w:ascii="Arial" w:eastAsia="Arial" w:hAnsi="Arial" w:cs="Arial"/>
          <w:sz w:val="22"/>
          <w:szCs w:val="22"/>
        </w:rPr>
        <w:t>Assisting smart city infrastructure.</w:t>
      </w:r>
    </w:p>
    <w:p w14:paraId="46D16717" w14:textId="77777777" w:rsidR="00BC42DD" w:rsidRDefault="00000000">
      <w:pPr>
        <w:numPr>
          <w:ilvl w:val="0"/>
          <w:numId w:val="2"/>
        </w:numPr>
        <w:spacing w:before="0" w:after="0" w:line="360" w:lineRule="auto"/>
        <w:jc w:val="both"/>
        <w:rPr>
          <w:rFonts w:ascii="Arial" w:eastAsia="Arial" w:hAnsi="Arial" w:cs="Arial"/>
          <w:sz w:val="22"/>
          <w:szCs w:val="22"/>
        </w:rPr>
      </w:pPr>
      <w:r>
        <w:rPr>
          <w:rFonts w:ascii="Arial" w:eastAsia="Arial" w:hAnsi="Arial" w:cs="Arial"/>
          <w:sz w:val="22"/>
          <w:szCs w:val="22"/>
        </w:rPr>
        <w:t>Delivering advanced cybersecurity and cloud connectivity services.</w:t>
      </w:r>
    </w:p>
    <w:p w14:paraId="6A6CBCD0" w14:textId="77777777" w:rsidR="00BC42DD" w:rsidRDefault="00000000">
      <w:pPr>
        <w:numPr>
          <w:ilvl w:val="0"/>
          <w:numId w:val="2"/>
        </w:numPr>
        <w:spacing w:before="0" w:line="360" w:lineRule="auto"/>
        <w:jc w:val="both"/>
        <w:rPr>
          <w:rFonts w:ascii="Arial" w:eastAsia="Arial" w:hAnsi="Arial" w:cs="Arial"/>
          <w:sz w:val="22"/>
          <w:szCs w:val="22"/>
        </w:rPr>
      </w:pPr>
      <w:r>
        <w:rPr>
          <w:rFonts w:ascii="Arial" w:eastAsia="Arial" w:hAnsi="Arial" w:cs="Arial"/>
          <w:sz w:val="22"/>
          <w:szCs w:val="22"/>
        </w:rPr>
        <w:t>Enhancing digital customer experiences.</w:t>
      </w:r>
    </w:p>
    <w:p w14:paraId="68946122" w14:textId="77777777" w:rsidR="00BC42DD" w:rsidRDefault="00000000">
      <w:pPr>
        <w:spacing w:line="360" w:lineRule="auto"/>
        <w:jc w:val="both"/>
        <w:rPr>
          <w:rFonts w:ascii="Arial" w:eastAsia="Arial" w:hAnsi="Arial" w:cs="Arial"/>
          <w:sz w:val="22"/>
          <w:szCs w:val="22"/>
        </w:rPr>
      </w:pPr>
      <w:bookmarkStart w:id="20" w:name="_heading=h.j4jp8vhco798" w:colFirst="0" w:colLast="0"/>
      <w:bookmarkEnd w:id="20"/>
      <w:r>
        <w:rPr>
          <w:rFonts w:ascii="Arial" w:eastAsia="Arial" w:hAnsi="Arial" w:cs="Arial"/>
          <w:sz w:val="22"/>
          <w:szCs w:val="22"/>
        </w:rPr>
        <w:t>The approach is in keeping with Vodafone's vision of connecting people for a better future and maximising the return on its £11 billion investment in infrastructure (Schlund, Schulte and Sprenger, 2022).</w:t>
      </w:r>
    </w:p>
    <w:p w14:paraId="1F5F52EF" w14:textId="77777777" w:rsidR="00BC42DD" w:rsidRDefault="00000000">
      <w:pPr>
        <w:pStyle w:val="Heading1"/>
        <w:spacing w:line="360" w:lineRule="auto"/>
        <w:rPr>
          <w:rFonts w:ascii="Arial" w:eastAsia="Arial" w:hAnsi="Arial" w:cs="Arial"/>
          <w:sz w:val="28"/>
          <w:szCs w:val="28"/>
        </w:rPr>
      </w:pPr>
      <w:r>
        <w:rPr>
          <w:rFonts w:ascii="Arial" w:eastAsia="Arial" w:hAnsi="Arial" w:cs="Arial"/>
          <w:sz w:val="28"/>
          <w:szCs w:val="28"/>
        </w:rPr>
        <w:t>4. Strategy Evaluation (SFA Framework)</w:t>
      </w:r>
    </w:p>
    <w:p w14:paraId="26FD5EC9" w14:textId="77777777" w:rsidR="00BC42DD" w:rsidRDefault="00000000">
      <w:pPr>
        <w:spacing w:line="360" w:lineRule="auto"/>
        <w:jc w:val="both"/>
        <w:rPr>
          <w:rFonts w:ascii="Arial" w:eastAsia="Arial" w:hAnsi="Arial" w:cs="Arial"/>
          <w:b/>
          <w:bCs/>
        </w:rPr>
      </w:pPr>
      <w:bookmarkStart w:id="21" w:name="_heading=h.mnh2jo8w3t8q" w:colFirst="0" w:colLast="0"/>
      <w:bookmarkEnd w:id="21"/>
      <w:r>
        <w:rPr>
          <w:rFonts w:ascii="Arial" w:eastAsia="Arial" w:hAnsi="Arial" w:cs="Arial"/>
          <w:b/>
          <w:bCs/>
        </w:rPr>
        <w:t>Suitability</w:t>
      </w:r>
    </w:p>
    <w:p w14:paraId="612A1531" w14:textId="2A0B7C6A" w:rsidR="00BC42DD"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The proposed strategy is very appropriate since it directly tackles the opportunities and challenges identified during the external and internal analyses. The UK telecommunications industry is growing fast in the areas of 5G, Artificial Intelligence, Cloud, and Internet of Things </w:t>
      </w:r>
      <w:r>
        <w:rPr>
          <w:rFonts w:ascii="Arial" w:eastAsia="Arial" w:hAnsi="Arial" w:cs="Arial"/>
          <w:sz w:val="22"/>
          <w:szCs w:val="22"/>
        </w:rPr>
        <w:lastRenderedPageBreak/>
        <w:t>(IoT) applications (Almuhanna</w:t>
      </w:r>
      <w:r w:rsidR="00425C8D">
        <w:rPr>
          <w:rFonts w:ascii="Arial" w:eastAsia="Arial" w:hAnsi="Arial" w:cs="Arial"/>
          <w:sz w:val="22"/>
          <w:szCs w:val="22"/>
        </w:rPr>
        <w:t xml:space="preserve"> and Alharbi</w:t>
      </w:r>
      <w:r>
        <w:rPr>
          <w:rFonts w:ascii="Arial" w:eastAsia="Arial" w:hAnsi="Arial" w:cs="Arial"/>
          <w:sz w:val="22"/>
          <w:szCs w:val="22"/>
        </w:rPr>
        <w:t xml:space="preserve">, 2023). The Vodafone–Three merger has given the company the largest mobile customer base in the UK and a significant network footprint, which will enable it to expand. Moreover, the strategy aligns with Vodafone's vision to become a technology-enabled connectivity service provider and not just a mobile network operator. Vodafone can expand its business operations to tap into the consumer market and boost its revenue from non-subscription sources while also reaching businesses to diversify its revenue strategy. The strategy also reflects Vodafone's vision of connecting people for a better future through digital innovation and sustainable technological development. The SWOT analysis has shown the market opportunities, which are directly taken care of by the proposed strategy. VodafoneThree has powerful competitive attributes in these emerging markets, such as enterprise digitalisation, artificial intelligence, IoT, and smart infrastructure (Freeman, 2023).  </w:t>
      </w:r>
    </w:p>
    <w:p w14:paraId="267BE047" w14:textId="77777777" w:rsidR="00BC42DD" w:rsidRDefault="00000000">
      <w:pPr>
        <w:spacing w:line="360" w:lineRule="auto"/>
        <w:jc w:val="both"/>
        <w:rPr>
          <w:rFonts w:ascii="Arial" w:eastAsia="Arial" w:hAnsi="Arial" w:cs="Arial"/>
          <w:b/>
          <w:bCs/>
        </w:rPr>
      </w:pPr>
      <w:r>
        <w:rPr>
          <w:rFonts w:ascii="Arial" w:eastAsia="Arial" w:hAnsi="Arial" w:cs="Arial"/>
          <w:b/>
          <w:bCs/>
        </w:rPr>
        <w:t>Feasibility</w:t>
      </w:r>
    </w:p>
    <w:p w14:paraId="7957D7B6" w14:textId="688D23D3" w:rsidR="00BC42DD" w:rsidRDefault="00000000">
      <w:pPr>
        <w:spacing w:line="360" w:lineRule="auto"/>
        <w:jc w:val="both"/>
        <w:rPr>
          <w:rFonts w:ascii="Arial" w:eastAsia="Arial" w:hAnsi="Arial" w:cs="Arial"/>
          <w:sz w:val="22"/>
          <w:szCs w:val="22"/>
        </w:rPr>
      </w:pPr>
      <w:bookmarkStart w:id="22" w:name="_heading=h.1y6c893o1etw" w:colFirst="0" w:colLast="0"/>
      <w:bookmarkEnd w:id="22"/>
      <w:r>
        <w:rPr>
          <w:rFonts w:ascii="Arial" w:eastAsia="Arial" w:hAnsi="Arial" w:cs="Arial"/>
          <w:sz w:val="22"/>
          <w:szCs w:val="22"/>
        </w:rPr>
        <w:t xml:space="preserve">It's a viable plan from a monetary and a functional standpoint. VodafoneThree has invested about £11bn in its network over the past 10 years and predicts it will save around £700m a year from the merger due to cost synergies. These monetary resources offer the necessary capacity to build up AI solutions, expand networks, provide cybersecurity services, and create enterprise digital solutions. Vodafone already has the technology capabilities, engineering knowledge, enterprise customers, and retail and digital distribution channels to be operationally able to achieve that. Implementation capabilities are further bolstered by strategic partnerships with cloud service providers and technology companies (Elsas-Nicolle, </w:t>
      </w:r>
      <w:proofErr w:type="spellStart"/>
      <w:r w:rsidR="00C1285B">
        <w:rPr>
          <w:rFonts w:ascii="Arial" w:eastAsia="Arial" w:hAnsi="Arial" w:cs="Arial"/>
          <w:sz w:val="22"/>
          <w:szCs w:val="22"/>
        </w:rPr>
        <w:t>Genakos</w:t>
      </w:r>
      <w:proofErr w:type="spellEnd"/>
      <w:r w:rsidR="00C1285B">
        <w:rPr>
          <w:rFonts w:ascii="Arial" w:eastAsia="Arial" w:hAnsi="Arial" w:cs="Arial"/>
          <w:sz w:val="22"/>
          <w:szCs w:val="22"/>
        </w:rPr>
        <w:t xml:space="preserve"> and </w:t>
      </w:r>
      <w:r w:rsidR="00C1285B" w:rsidRPr="00F052EA">
        <w:rPr>
          <w:rFonts w:ascii="Arial" w:hAnsi="Arial" w:cs="Arial"/>
          <w:color w:val="000000" w:themeColor="text1"/>
          <w:sz w:val="22"/>
          <w:szCs w:val="22"/>
          <w:highlight w:val="white"/>
        </w:rPr>
        <w:t>Kretschmer</w:t>
      </w:r>
      <w:r w:rsidR="00C1285B">
        <w:rPr>
          <w:rFonts w:ascii="Arial" w:eastAsia="Arial" w:hAnsi="Arial" w:cs="Arial"/>
          <w:sz w:val="22"/>
          <w:szCs w:val="22"/>
        </w:rPr>
        <w:t xml:space="preserve">, </w:t>
      </w:r>
      <w:r>
        <w:rPr>
          <w:rFonts w:ascii="Arial" w:eastAsia="Arial" w:hAnsi="Arial" w:cs="Arial"/>
          <w:sz w:val="22"/>
          <w:szCs w:val="22"/>
        </w:rPr>
        <w:t xml:space="preserve">2026). To successfully implement, however, it will take ongoing employee training, good project management, and regulatory compliance in the integration of the network. VodafoneThree has plenty of cash, a large base of customers, technical expertise, and advanced telecoms infrastructure. We need the foundations in place to help deliver innovative products, and the £11 billion planned investment will achieve this. This report </w:t>
      </w:r>
      <w:proofErr w:type="gramStart"/>
      <w:r>
        <w:rPr>
          <w:rFonts w:ascii="Arial" w:eastAsia="Arial" w:hAnsi="Arial" w:cs="Arial"/>
          <w:sz w:val="22"/>
          <w:szCs w:val="22"/>
        </w:rPr>
        <w:t>is based on an assumption</w:t>
      </w:r>
      <w:proofErr w:type="gramEnd"/>
      <w:r>
        <w:rPr>
          <w:rFonts w:ascii="Arial" w:eastAsia="Arial" w:hAnsi="Arial" w:cs="Arial"/>
          <w:sz w:val="22"/>
          <w:szCs w:val="22"/>
        </w:rPr>
        <w:t xml:space="preserve"> of network integration and that the network will continue to be subject to regulatory licensing. There will be further investments in employee training, cybersecurity, and enterprise sales capabilities, but these will be possible within Vodafone Three's financial means (Kujala et al., 2022).</w:t>
      </w:r>
    </w:p>
    <w:p w14:paraId="39FB4BBE" w14:textId="77777777" w:rsidR="00BC42DD" w:rsidRDefault="00000000">
      <w:pPr>
        <w:spacing w:line="360" w:lineRule="auto"/>
        <w:jc w:val="both"/>
        <w:rPr>
          <w:rFonts w:ascii="Arial" w:eastAsia="Arial" w:hAnsi="Arial" w:cs="Arial"/>
          <w:b/>
          <w:bCs/>
        </w:rPr>
      </w:pPr>
      <w:r>
        <w:rPr>
          <w:rFonts w:ascii="Arial" w:eastAsia="Arial" w:hAnsi="Arial" w:cs="Arial"/>
          <w:b/>
          <w:bCs/>
        </w:rPr>
        <w:t>Acceptability</w:t>
      </w:r>
    </w:p>
    <w:p w14:paraId="78957DC7" w14:textId="77777777" w:rsidR="00BC42DD" w:rsidRDefault="00000000">
      <w:pPr>
        <w:spacing w:line="360" w:lineRule="auto"/>
        <w:jc w:val="both"/>
        <w:rPr>
          <w:rFonts w:ascii="Arial" w:eastAsia="Arial" w:hAnsi="Arial" w:cs="Arial"/>
          <w:sz w:val="22"/>
          <w:szCs w:val="22"/>
        </w:rPr>
      </w:pPr>
      <w:bookmarkStart w:id="23" w:name="_heading=h.8bqtugveo0mi" w:colFirst="0" w:colLast="0"/>
      <w:bookmarkEnd w:id="23"/>
      <w:r>
        <w:rPr>
          <w:rFonts w:ascii="Arial" w:eastAsia="Arial" w:hAnsi="Arial" w:cs="Arial"/>
          <w:sz w:val="22"/>
          <w:szCs w:val="22"/>
        </w:rPr>
        <w:t xml:space="preserve">The suggested approach appears to have very appealing benefits for important stakeholders. The customers will get better network coverage, better connectivity, personalized AI-assisted services, and better Cyber Security. Shareholders will be able to achieve improved profitability, higher customer retention, and service diversification, which will lead to increased revenues </w:t>
      </w:r>
      <w:r>
        <w:rPr>
          <w:rFonts w:ascii="Arial" w:eastAsia="Arial" w:hAnsi="Arial" w:cs="Arial"/>
          <w:sz w:val="22"/>
          <w:szCs w:val="22"/>
        </w:rPr>
        <w:lastRenderedPageBreak/>
        <w:t xml:space="preserve">and long-term value for shareholders. Employees will have opportunities to develop digital skills and will have opportunities for the development of their careers, although there may be some temporary uncertainty due to organisational restructuring. Innovative solutions like IoT, cloud connectivity, and cybersecurity will help business clients be more efficient. The costs of initial investment are likely to be significant in this strategy; implementation risks are possible with some of these; however, expected financial return and increased competitiveness are likely to be long-term and will therefore be beneficial. In all, the strategy seems satisfactory for all the investors and other concerned parties and possesses a positive risk-return ratio as per </w:t>
      </w:r>
      <w:proofErr w:type="spellStart"/>
      <w:r>
        <w:rPr>
          <w:rFonts w:ascii="Arial" w:eastAsia="Arial" w:hAnsi="Arial" w:cs="Arial"/>
          <w:sz w:val="22"/>
          <w:szCs w:val="22"/>
        </w:rPr>
        <w:t>Thayyil</w:t>
      </w:r>
      <w:proofErr w:type="spellEnd"/>
      <w:r>
        <w:rPr>
          <w:rFonts w:ascii="Arial" w:eastAsia="Arial" w:hAnsi="Arial" w:cs="Arial"/>
          <w:sz w:val="22"/>
          <w:szCs w:val="22"/>
        </w:rPr>
        <w:t xml:space="preserve"> and Baruah (2026).</w:t>
      </w:r>
    </w:p>
    <w:p w14:paraId="1A073F9E" w14:textId="77777777" w:rsidR="00BC42DD" w:rsidRDefault="00000000">
      <w:pPr>
        <w:pStyle w:val="Heading1"/>
        <w:spacing w:line="360" w:lineRule="auto"/>
        <w:jc w:val="both"/>
        <w:rPr>
          <w:rFonts w:ascii="Arial" w:eastAsia="Arial" w:hAnsi="Arial" w:cs="Arial"/>
          <w:sz w:val="28"/>
          <w:szCs w:val="28"/>
        </w:rPr>
      </w:pPr>
      <w:bookmarkStart w:id="24" w:name="_heading=h.lxbxfs2zoba4" w:colFirst="0" w:colLast="0"/>
      <w:bookmarkEnd w:id="24"/>
      <w:r>
        <w:rPr>
          <w:rFonts w:ascii="Arial" w:eastAsia="Arial" w:hAnsi="Arial" w:cs="Arial"/>
          <w:sz w:val="28"/>
          <w:szCs w:val="28"/>
        </w:rPr>
        <w:t>5. Stakeholder Analysis</w:t>
      </w:r>
    </w:p>
    <w:p w14:paraId="232061D9" w14:textId="77777777" w:rsidR="00BC42DD" w:rsidRDefault="00000000">
      <w:pPr>
        <w:pBdr>
          <w:top w:val="nil"/>
          <w:left w:val="nil"/>
          <w:bottom w:val="nil"/>
          <w:right w:val="nil"/>
          <w:between w:val="nil"/>
        </w:pBdr>
        <w:spacing w:before="280" w:after="280" w:line="360" w:lineRule="auto"/>
        <w:jc w:val="both"/>
        <w:rPr>
          <w:rFonts w:ascii="Arial" w:eastAsia="Arial" w:hAnsi="Arial" w:cs="Arial"/>
          <w:color w:val="FFFFFF"/>
          <w:sz w:val="22"/>
          <w:szCs w:val="22"/>
        </w:rPr>
      </w:pPr>
      <w:r>
        <w:rPr>
          <w:rFonts w:ascii="Arial" w:eastAsia="Arial" w:hAnsi="Arial" w:cs="Arial"/>
          <w:color w:val="000000"/>
          <w:sz w:val="22"/>
          <w:szCs w:val="22"/>
        </w:rPr>
        <w:t xml:space="preserve">Stakeholder Theory states that the success of an organization is based on stakeholders' value creation rather than shareholders. The stakeholders of VodafoneThree can be segmented based on their power and interest using Mendelow's Matrix. Effective stakeholder management is crucial for the success of VodafoneThree's proposed strategies: increasing AI-powered digital services, enterprise 5G solutions, and customer-centric innovation. Freeman (1984) proposed that Stakeholder Theory is a theory that states that organisations can create sustainable value by ensuring that they take care of all stakeholders in preference to just shareholders. This means VodafoneThree will have to engage its key stakeholder groups in the process of implementation. Customers – the primary stakeholder – are the key actors for success because the strategy revolves around better network quality, AI tools to support them, and personalized digital services. Any complete connections from one form to another, upfront costs, and improved customer experience will help boost customer satisfaction and loyalty. Employees are key to Digital Transformation. As AI technologies and advanced enterprise services are introduced, ongoing training, capability development through digitalization, and effective change management efforts should be implemented. Organisational change will be resisted </w:t>
      </w:r>
      <w:proofErr w:type="gramStart"/>
      <w:r>
        <w:rPr>
          <w:rFonts w:ascii="Arial" w:eastAsia="Arial" w:hAnsi="Arial" w:cs="Arial"/>
          <w:color w:val="000000"/>
          <w:sz w:val="22"/>
          <w:szCs w:val="22"/>
        </w:rPr>
        <w:t>as a result of</w:t>
      </w:r>
      <w:proofErr w:type="gramEnd"/>
      <w:r>
        <w:rPr>
          <w:rFonts w:ascii="Arial" w:eastAsia="Arial" w:hAnsi="Arial" w:cs="Arial"/>
          <w:color w:val="000000"/>
          <w:sz w:val="22"/>
          <w:szCs w:val="22"/>
        </w:rPr>
        <w:t xml:space="preserve"> poor communication and career development (McGahan, 2023). </w:t>
      </w:r>
    </w:p>
    <w:tbl>
      <w:tblPr>
        <w:tblStyle w:val="a1"/>
        <w:tblW w:w="9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3"/>
        <w:gridCol w:w="1030"/>
        <w:gridCol w:w="1030"/>
        <w:gridCol w:w="4616"/>
      </w:tblGrid>
      <w:tr w:rsidR="00BC42DD" w14:paraId="361BD5F5" w14:textId="77777777">
        <w:tc>
          <w:tcPr>
            <w:tcW w:w="2343" w:type="dxa"/>
          </w:tcPr>
          <w:p w14:paraId="2C568651"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Stakeholder</w:t>
            </w:r>
          </w:p>
        </w:tc>
        <w:tc>
          <w:tcPr>
            <w:tcW w:w="1030" w:type="dxa"/>
          </w:tcPr>
          <w:p w14:paraId="0E6BAC04"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Power</w:t>
            </w:r>
          </w:p>
        </w:tc>
        <w:tc>
          <w:tcPr>
            <w:tcW w:w="1030" w:type="dxa"/>
          </w:tcPr>
          <w:p w14:paraId="53B2E015"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Interest</w:t>
            </w:r>
          </w:p>
        </w:tc>
        <w:tc>
          <w:tcPr>
            <w:tcW w:w="4616" w:type="dxa"/>
          </w:tcPr>
          <w:p w14:paraId="104B5C2D"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Engagement Strategy</w:t>
            </w:r>
          </w:p>
        </w:tc>
      </w:tr>
      <w:tr w:rsidR="00BC42DD" w14:paraId="1287D42C" w14:textId="77777777">
        <w:tc>
          <w:tcPr>
            <w:tcW w:w="2343" w:type="dxa"/>
          </w:tcPr>
          <w:p w14:paraId="64EBE6E7"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Shareholders &amp; Board of Directors</w:t>
            </w:r>
          </w:p>
        </w:tc>
        <w:tc>
          <w:tcPr>
            <w:tcW w:w="1030" w:type="dxa"/>
          </w:tcPr>
          <w:p w14:paraId="4906100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1030" w:type="dxa"/>
          </w:tcPr>
          <w:p w14:paraId="08A1836F"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4616" w:type="dxa"/>
          </w:tcPr>
          <w:p w14:paraId="373BF737"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Through periodic performance reporting, governance meetings, and strategic reviews.</w:t>
            </w:r>
          </w:p>
        </w:tc>
      </w:tr>
      <w:tr w:rsidR="00BC42DD" w14:paraId="661F77A0" w14:textId="77777777">
        <w:tc>
          <w:tcPr>
            <w:tcW w:w="2343" w:type="dxa"/>
          </w:tcPr>
          <w:p w14:paraId="7FE351A1"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Customers</w:t>
            </w:r>
          </w:p>
        </w:tc>
        <w:tc>
          <w:tcPr>
            <w:tcW w:w="1030" w:type="dxa"/>
          </w:tcPr>
          <w:p w14:paraId="4EBF8FCA"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1030" w:type="dxa"/>
          </w:tcPr>
          <w:p w14:paraId="25FC0D6E"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4616" w:type="dxa"/>
          </w:tcPr>
          <w:p w14:paraId="519BEEA8"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Keep customers engaged by soliciting feedback, servicing them individually, and providing loyalty initiatives.</w:t>
            </w:r>
          </w:p>
        </w:tc>
      </w:tr>
      <w:tr w:rsidR="00BC42DD" w14:paraId="3AD20801" w14:textId="77777777">
        <w:tc>
          <w:tcPr>
            <w:tcW w:w="2343" w:type="dxa"/>
          </w:tcPr>
          <w:p w14:paraId="603D11B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lastRenderedPageBreak/>
              <w:t>Employees</w:t>
            </w:r>
          </w:p>
        </w:tc>
        <w:tc>
          <w:tcPr>
            <w:tcW w:w="1030" w:type="dxa"/>
          </w:tcPr>
          <w:p w14:paraId="21DE469F"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Medium</w:t>
            </w:r>
          </w:p>
        </w:tc>
        <w:tc>
          <w:tcPr>
            <w:tcW w:w="1030" w:type="dxa"/>
          </w:tcPr>
          <w:p w14:paraId="6747F5C3"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4616" w:type="dxa"/>
          </w:tcPr>
          <w:p w14:paraId="4EAC15ED"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Provide regular communication, digital skills training, and change management support.</w:t>
            </w:r>
          </w:p>
        </w:tc>
      </w:tr>
      <w:tr w:rsidR="00BC42DD" w14:paraId="7872D8DE" w14:textId="77777777">
        <w:tc>
          <w:tcPr>
            <w:tcW w:w="2343" w:type="dxa"/>
          </w:tcPr>
          <w:p w14:paraId="2689DF3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Ofcom &amp; UK Government</w:t>
            </w:r>
          </w:p>
        </w:tc>
        <w:tc>
          <w:tcPr>
            <w:tcW w:w="1030" w:type="dxa"/>
          </w:tcPr>
          <w:p w14:paraId="1244F41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1030" w:type="dxa"/>
          </w:tcPr>
          <w:p w14:paraId="7A549ED2"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Medium</w:t>
            </w:r>
          </w:p>
        </w:tc>
        <w:tc>
          <w:tcPr>
            <w:tcW w:w="4616" w:type="dxa"/>
          </w:tcPr>
          <w:p w14:paraId="1B5DCC49"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Keep satisfied through regulatory compliance, reporting, and policy collaboration.</w:t>
            </w:r>
          </w:p>
        </w:tc>
      </w:tr>
      <w:tr w:rsidR="00BC42DD" w14:paraId="4E205D6C" w14:textId="77777777">
        <w:tc>
          <w:tcPr>
            <w:tcW w:w="2343" w:type="dxa"/>
          </w:tcPr>
          <w:p w14:paraId="68F6C05F"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Enterprise Clients &amp; Technology Partners</w:t>
            </w:r>
          </w:p>
        </w:tc>
        <w:tc>
          <w:tcPr>
            <w:tcW w:w="1030" w:type="dxa"/>
          </w:tcPr>
          <w:p w14:paraId="5D3EE2F0"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Medium</w:t>
            </w:r>
          </w:p>
        </w:tc>
        <w:tc>
          <w:tcPr>
            <w:tcW w:w="1030" w:type="dxa"/>
          </w:tcPr>
          <w:p w14:paraId="5094F6A4"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High</w:t>
            </w:r>
          </w:p>
        </w:tc>
        <w:tc>
          <w:tcPr>
            <w:tcW w:w="4616" w:type="dxa"/>
          </w:tcPr>
          <w:p w14:paraId="7DC6C92A"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Strategic partners, collaborative innovation initiatives, and enterprise service relationships.</w:t>
            </w:r>
          </w:p>
        </w:tc>
      </w:tr>
      <w:tr w:rsidR="00BC42DD" w14:paraId="7FAC510F" w14:textId="77777777">
        <w:tc>
          <w:tcPr>
            <w:tcW w:w="2343" w:type="dxa"/>
          </w:tcPr>
          <w:p w14:paraId="4AACDA2A"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Suppliers</w:t>
            </w:r>
          </w:p>
        </w:tc>
        <w:tc>
          <w:tcPr>
            <w:tcW w:w="1030" w:type="dxa"/>
          </w:tcPr>
          <w:p w14:paraId="643A669B"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Low</w:t>
            </w:r>
          </w:p>
        </w:tc>
        <w:tc>
          <w:tcPr>
            <w:tcW w:w="1030" w:type="dxa"/>
          </w:tcPr>
          <w:p w14:paraId="2F7F30F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Medium</w:t>
            </w:r>
          </w:p>
        </w:tc>
        <w:tc>
          <w:tcPr>
            <w:tcW w:w="4616" w:type="dxa"/>
          </w:tcPr>
          <w:p w14:paraId="3D8703DF"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Keep informed through supplier relationship management and operational coordination.</w:t>
            </w:r>
          </w:p>
        </w:tc>
      </w:tr>
    </w:tbl>
    <w:p w14:paraId="10AE9E7E" w14:textId="77777777" w:rsidR="00BC42DD" w:rsidRDefault="00000000">
      <w:pPr>
        <w:pStyle w:val="Heading1"/>
        <w:spacing w:line="360" w:lineRule="auto"/>
        <w:rPr>
          <w:rFonts w:ascii="Arial" w:eastAsia="Arial" w:hAnsi="Arial" w:cs="Arial"/>
          <w:sz w:val="28"/>
          <w:szCs w:val="28"/>
        </w:rPr>
      </w:pPr>
      <w:bookmarkStart w:id="25" w:name="bookmark=id.x1dhqiptza1l" w:colFirst="0" w:colLast="0"/>
      <w:bookmarkStart w:id="26" w:name="_heading=h.vo2lemlo3sqs" w:colFirst="0" w:colLast="0"/>
      <w:bookmarkEnd w:id="25"/>
      <w:bookmarkEnd w:id="26"/>
      <w:r>
        <w:rPr>
          <w:rFonts w:ascii="Arial" w:eastAsia="Arial" w:hAnsi="Arial" w:cs="Arial"/>
          <w:sz w:val="28"/>
          <w:szCs w:val="28"/>
        </w:rPr>
        <w:t>6. Implementation and Monitoring</w:t>
      </w:r>
    </w:p>
    <w:p w14:paraId="16030CEF" w14:textId="77777777" w:rsidR="00BC42DD" w:rsidRDefault="00000000">
      <w:pPr>
        <w:spacing w:line="360" w:lineRule="auto"/>
        <w:jc w:val="both"/>
        <w:rPr>
          <w:rFonts w:ascii="Arial" w:eastAsia="Arial" w:hAnsi="Arial" w:cs="Arial"/>
          <w:sz w:val="22"/>
          <w:szCs w:val="22"/>
          <w:highlight w:val="white"/>
        </w:rPr>
      </w:pPr>
      <w:r>
        <w:rPr>
          <w:rFonts w:ascii="Arial" w:eastAsia="Arial" w:hAnsi="Arial" w:cs="Arial"/>
          <w:sz w:val="22"/>
          <w:szCs w:val="22"/>
          <w:highlight w:val="white"/>
        </w:rPr>
        <w:t>For the successful execution of the proposed approach for market development and diversification of services, it is advised to implement the above strategy in phases over a period of 2 years (24 months). Building competitive advantage through an improvement in network quality, building a faster digital service adoption pipeline, expanding enterprise solutions, and improving customer satisfaction and sustainable revenue growth are the main goals. For the initial six months, Vodafone must put in place a dedicated Strategy Implementation Office (SIO) to coordinate efforts across all departments that are involved in network integration, digital transformation, marketing, and customer operations. The focus for investment should be on deploying 5G network integration after the Three UK deal is finalised, increasing 5G standalone coverage, and creating AI-powered customer service systems. At the same time, cloud service providers, IoT solutions vendors, and enterprise technology companies should be strengthened into partnerships to spur the development of business services.</w:t>
      </w:r>
    </w:p>
    <w:p w14:paraId="0E13F968" w14:textId="77777777" w:rsidR="00BC42DD" w:rsidRDefault="00000000">
      <w:pPr>
        <w:spacing w:line="360" w:lineRule="auto"/>
        <w:jc w:val="both"/>
      </w:pPr>
      <w:r>
        <w:rPr>
          <w:rFonts w:ascii="Arial" w:eastAsia="Arial" w:hAnsi="Arial" w:cs="Arial"/>
          <w:sz w:val="22"/>
          <w:szCs w:val="22"/>
          <w:highlight w:val="white"/>
        </w:rPr>
        <w:t xml:space="preserve">Vodafone should introduce new digital offerings such as AI-driven customer support, packages for smart homes, cybersecurity solutions for SMEs, and cutting-edge IoT solutions for healthcare, manufacturing, and logistics sectors in the months from 7 to 18. Marketing efforts should be targeted to promoting the benefits of the network regarding its quality, innovation, and productivity of business. </w:t>
      </w:r>
      <w:r>
        <w:rPr>
          <w:rFonts w:ascii="Arial" w:eastAsia="Arial" w:hAnsi="Arial" w:cs="Arial"/>
          <w:sz w:val="22"/>
          <w:szCs w:val="22"/>
        </w:rPr>
        <w:t>Staff digital skills need to be continually improved for them to provide better service delivery and customer engagement (Khan and Khan, 2022). In the final implementation phase (3rd implementation month 19 to 24), the management should be careful to track operational performance and customer feedback, financial results, and</w:t>
      </w:r>
      <w:r>
        <w:t xml:space="preserve"> </w:t>
      </w:r>
      <w:r>
        <w:rPr>
          <w:rFonts w:ascii="Arial" w:eastAsia="Arial" w:hAnsi="Arial" w:cs="Arial"/>
          <w:sz w:val="22"/>
          <w:szCs w:val="22"/>
        </w:rPr>
        <w:t>technology utilization. Programs that are not effective should be adapted or phased out based on program measures, and those that are effective should be scaled up/implemented on a national basis.</w:t>
      </w:r>
    </w:p>
    <w:p w14:paraId="2F53B052"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highlight w:val="white"/>
        </w:rPr>
        <w:lastRenderedPageBreak/>
        <w:t>It is necessary to monitor on an ongoing basis to achieve strategic goals. Senior management should review and discuss the business every month and evaluate performance and strategy every quarter on a balanced scorecard basis. The key performance indicators (KPIs) can be financial performance, customer outcomes, internal processes, and the capability to be innovative. Corrective measures should be taken when actual performance falls short of planned targets, with strategic flexibility being created in the highly dynamic telecommunications market in the UK (Giles-Corti et al. 2022). For it to be effective, it needs to have goals, specific duties, and measurable performance measures.</w:t>
      </w:r>
    </w:p>
    <w:tbl>
      <w:tblPr>
        <w:tblStyle w:val="a2"/>
        <w:tblW w:w="90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968"/>
        <w:gridCol w:w="2004"/>
        <w:gridCol w:w="1337"/>
        <w:gridCol w:w="2098"/>
        <w:gridCol w:w="1618"/>
      </w:tblGrid>
      <w:tr w:rsidR="00BC42DD" w14:paraId="355973BF" w14:textId="77777777">
        <w:trPr>
          <w:trHeight w:val="808"/>
        </w:trPr>
        <w:tc>
          <w:tcPr>
            <w:tcW w:w="1968" w:type="dxa"/>
          </w:tcPr>
          <w:p w14:paraId="38A013B4"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Strategic Objective</w:t>
            </w:r>
          </w:p>
        </w:tc>
        <w:tc>
          <w:tcPr>
            <w:tcW w:w="2004" w:type="dxa"/>
          </w:tcPr>
          <w:p w14:paraId="7020B907"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Key Action</w:t>
            </w:r>
          </w:p>
        </w:tc>
        <w:tc>
          <w:tcPr>
            <w:tcW w:w="1337" w:type="dxa"/>
          </w:tcPr>
          <w:p w14:paraId="32673D2D"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Timeline</w:t>
            </w:r>
          </w:p>
        </w:tc>
        <w:tc>
          <w:tcPr>
            <w:tcW w:w="2098" w:type="dxa"/>
          </w:tcPr>
          <w:p w14:paraId="3DA2B619"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Responsibility</w:t>
            </w:r>
          </w:p>
        </w:tc>
        <w:tc>
          <w:tcPr>
            <w:tcW w:w="1618" w:type="dxa"/>
          </w:tcPr>
          <w:p w14:paraId="2630B340" w14:textId="77777777" w:rsidR="00BC42DD" w:rsidRDefault="00000000">
            <w:pPr>
              <w:spacing w:line="360" w:lineRule="auto"/>
              <w:jc w:val="center"/>
              <w:rPr>
                <w:rFonts w:ascii="Arial" w:eastAsia="Arial" w:hAnsi="Arial" w:cs="Arial"/>
                <w:b/>
                <w:bCs/>
                <w:sz w:val="22"/>
                <w:szCs w:val="22"/>
              </w:rPr>
            </w:pPr>
            <w:r>
              <w:rPr>
                <w:rFonts w:ascii="Arial" w:eastAsia="Arial" w:hAnsi="Arial" w:cs="Arial"/>
                <w:b/>
                <w:bCs/>
                <w:sz w:val="22"/>
                <w:szCs w:val="22"/>
              </w:rPr>
              <w:t>KPI</w:t>
            </w:r>
          </w:p>
        </w:tc>
      </w:tr>
      <w:tr w:rsidR="00BC42DD" w14:paraId="6861E988" w14:textId="77777777">
        <w:trPr>
          <w:trHeight w:val="1387"/>
        </w:trPr>
        <w:tc>
          <w:tcPr>
            <w:tcW w:w="1968" w:type="dxa"/>
          </w:tcPr>
          <w:p w14:paraId="43BA2387"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Complete network integration</w:t>
            </w:r>
          </w:p>
        </w:tc>
        <w:tc>
          <w:tcPr>
            <w:tcW w:w="2004" w:type="dxa"/>
          </w:tcPr>
          <w:p w14:paraId="56F1D44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Merge infrastructure and systems</w:t>
            </w:r>
          </w:p>
        </w:tc>
        <w:tc>
          <w:tcPr>
            <w:tcW w:w="1337" w:type="dxa"/>
          </w:tcPr>
          <w:p w14:paraId="1669604B"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Year 1–2</w:t>
            </w:r>
          </w:p>
        </w:tc>
        <w:tc>
          <w:tcPr>
            <w:tcW w:w="2098" w:type="dxa"/>
          </w:tcPr>
          <w:p w14:paraId="639FCF12"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Chief Technology Officer</w:t>
            </w:r>
          </w:p>
        </w:tc>
        <w:tc>
          <w:tcPr>
            <w:tcW w:w="1618" w:type="dxa"/>
          </w:tcPr>
          <w:p w14:paraId="04D7DDBA"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98% population coverage</w:t>
            </w:r>
          </w:p>
        </w:tc>
      </w:tr>
      <w:tr w:rsidR="00BC42DD" w14:paraId="4CFE6138" w14:textId="77777777">
        <w:trPr>
          <w:trHeight w:val="1407"/>
        </w:trPr>
        <w:tc>
          <w:tcPr>
            <w:tcW w:w="1968" w:type="dxa"/>
          </w:tcPr>
          <w:p w14:paraId="0F48F2C1"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Launch enterprise 5G services</w:t>
            </w:r>
          </w:p>
        </w:tc>
        <w:tc>
          <w:tcPr>
            <w:tcW w:w="2004" w:type="dxa"/>
          </w:tcPr>
          <w:p w14:paraId="7C95A29D"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Develop business solutions</w:t>
            </w:r>
          </w:p>
        </w:tc>
        <w:tc>
          <w:tcPr>
            <w:tcW w:w="1337" w:type="dxa"/>
          </w:tcPr>
          <w:p w14:paraId="138C4C5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Year 2</w:t>
            </w:r>
          </w:p>
        </w:tc>
        <w:tc>
          <w:tcPr>
            <w:tcW w:w="2098" w:type="dxa"/>
          </w:tcPr>
          <w:p w14:paraId="085936EB"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Enterprise Division</w:t>
            </w:r>
          </w:p>
        </w:tc>
        <w:tc>
          <w:tcPr>
            <w:tcW w:w="1618" w:type="dxa"/>
          </w:tcPr>
          <w:p w14:paraId="619C8746"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Enterprise revenue growth</w:t>
            </w:r>
          </w:p>
        </w:tc>
      </w:tr>
      <w:tr w:rsidR="00BC42DD" w14:paraId="2F392ED3" w14:textId="77777777">
        <w:trPr>
          <w:trHeight w:val="1405"/>
        </w:trPr>
        <w:tc>
          <w:tcPr>
            <w:tcW w:w="1968" w:type="dxa"/>
          </w:tcPr>
          <w:p w14:paraId="55E4848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Expand AI and IoT portfolio</w:t>
            </w:r>
          </w:p>
        </w:tc>
        <w:tc>
          <w:tcPr>
            <w:tcW w:w="2004" w:type="dxa"/>
          </w:tcPr>
          <w:p w14:paraId="3ABDDB95"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Introduce digital platforms</w:t>
            </w:r>
          </w:p>
        </w:tc>
        <w:tc>
          <w:tcPr>
            <w:tcW w:w="1337" w:type="dxa"/>
          </w:tcPr>
          <w:p w14:paraId="209DAC1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Year 2–3</w:t>
            </w:r>
          </w:p>
        </w:tc>
        <w:tc>
          <w:tcPr>
            <w:tcW w:w="2098" w:type="dxa"/>
          </w:tcPr>
          <w:p w14:paraId="5BE084DD"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Innovation Team</w:t>
            </w:r>
          </w:p>
        </w:tc>
        <w:tc>
          <w:tcPr>
            <w:tcW w:w="1618" w:type="dxa"/>
          </w:tcPr>
          <w:p w14:paraId="4F55F231"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Number of enterprise clients</w:t>
            </w:r>
          </w:p>
        </w:tc>
      </w:tr>
      <w:tr w:rsidR="00BC42DD" w14:paraId="4FD022F4" w14:textId="77777777">
        <w:trPr>
          <w:trHeight w:val="1703"/>
        </w:trPr>
        <w:tc>
          <w:tcPr>
            <w:tcW w:w="1968" w:type="dxa"/>
          </w:tcPr>
          <w:p w14:paraId="3FC61325"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Improve customer retention</w:t>
            </w:r>
          </w:p>
        </w:tc>
        <w:tc>
          <w:tcPr>
            <w:tcW w:w="2004" w:type="dxa"/>
          </w:tcPr>
          <w:p w14:paraId="2CD938A7"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Enhance loyalty programmes</w:t>
            </w:r>
          </w:p>
        </w:tc>
        <w:tc>
          <w:tcPr>
            <w:tcW w:w="1337" w:type="dxa"/>
          </w:tcPr>
          <w:p w14:paraId="245F19B7"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Ongoing</w:t>
            </w:r>
          </w:p>
        </w:tc>
        <w:tc>
          <w:tcPr>
            <w:tcW w:w="2098" w:type="dxa"/>
          </w:tcPr>
          <w:p w14:paraId="6F6A3A0C"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Marketing Department</w:t>
            </w:r>
          </w:p>
        </w:tc>
        <w:tc>
          <w:tcPr>
            <w:tcW w:w="1618" w:type="dxa"/>
          </w:tcPr>
          <w:p w14:paraId="5941E3E1"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Churn rate below industry average</w:t>
            </w:r>
          </w:p>
        </w:tc>
      </w:tr>
      <w:tr w:rsidR="00BC42DD" w14:paraId="2649FD71" w14:textId="77777777">
        <w:trPr>
          <w:trHeight w:val="1427"/>
        </w:trPr>
        <w:tc>
          <w:tcPr>
            <w:tcW w:w="1968" w:type="dxa"/>
          </w:tcPr>
          <w:p w14:paraId="7ED9B9E9"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Improve sustainability</w:t>
            </w:r>
          </w:p>
        </w:tc>
        <w:tc>
          <w:tcPr>
            <w:tcW w:w="2004" w:type="dxa"/>
          </w:tcPr>
          <w:p w14:paraId="01BE2698"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Reduce network energy consumption</w:t>
            </w:r>
          </w:p>
        </w:tc>
        <w:tc>
          <w:tcPr>
            <w:tcW w:w="1337" w:type="dxa"/>
          </w:tcPr>
          <w:p w14:paraId="76DB4DF0"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Year 1–5</w:t>
            </w:r>
          </w:p>
        </w:tc>
        <w:tc>
          <w:tcPr>
            <w:tcW w:w="2098" w:type="dxa"/>
          </w:tcPr>
          <w:p w14:paraId="5649DD49"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Sustainability Team</w:t>
            </w:r>
          </w:p>
        </w:tc>
        <w:tc>
          <w:tcPr>
            <w:tcW w:w="1618" w:type="dxa"/>
          </w:tcPr>
          <w:p w14:paraId="6ABB160E"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Carbon emission reduction</w:t>
            </w:r>
          </w:p>
        </w:tc>
      </w:tr>
    </w:tbl>
    <w:p w14:paraId="7F8C902B" w14:textId="77777777" w:rsidR="00BC42DD" w:rsidRDefault="00000000">
      <w:pPr>
        <w:spacing w:line="360" w:lineRule="auto"/>
        <w:jc w:val="both"/>
        <w:rPr>
          <w:rFonts w:ascii="Arial" w:eastAsia="Arial" w:hAnsi="Arial" w:cs="Arial"/>
          <w:sz w:val="22"/>
          <w:szCs w:val="22"/>
        </w:rPr>
      </w:pPr>
      <w:bookmarkStart w:id="27" w:name="_heading=h.xs1sdgeiv2xb" w:colFirst="0" w:colLast="0"/>
      <w:bookmarkEnd w:id="27"/>
      <w:r>
        <w:rPr>
          <w:rFonts w:ascii="Arial" w:eastAsia="Arial" w:hAnsi="Arial" w:cs="Arial"/>
          <w:sz w:val="22"/>
          <w:szCs w:val="22"/>
          <w:highlight w:val="white"/>
        </w:rPr>
        <w:t>A Balanced Scorecard, involving the four perspectives of Health and Social Services, should be used to monitor performance, to help managers to detect any problems with implementation, as well as to evaluate progress and make necessary adjustments in the strategic initiatives (Danforth et al., 2023).</w:t>
      </w:r>
      <w:r>
        <w:br w:type="page"/>
      </w:r>
    </w:p>
    <w:p w14:paraId="4E83C3B2" w14:textId="77777777" w:rsidR="00BC42DD" w:rsidRDefault="00000000">
      <w:pPr>
        <w:pStyle w:val="Heading1"/>
        <w:keepNext w:val="0"/>
        <w:keepLines w:val="0"/>
        <w:spacing w:before="480" w:line="360" w:lineRule="auto"/>
        <w:jc w:val="both"/>
        <w:rPr>
          <w:rFonts w:ascii="Arial" w:eastAsia="Arial" w:hAnsi="Arial" w:cs="Arial"/>
          <w:sz w:val="28"/>
          <w:szCs w:val="28"/>
        </w:rPr>
      </w:pPr>
      <w:bookmarkStart w:id="28" w:name="_heading=h.93ep9ao8zxj4" w:colFirst="0" w:colLast="0"/>
      <w:bookmarkEnd w:id="28"/>
      <w:r>
        <w:rPr>
          <w:rFonts w:ascii="Arial" w:eastAsia="Arial" w:hAnsi="Arial" w:cs="Arial"/>
          <w:sz w:val="28"/>
          <w:szCs w:val="28"/>
        </w:rPr>
        <w:lastRenderedPageBreak/>
        <w:t>7. Conclusion</w:t>
      </w:r>
    </w:p>
    <w:p w14:paraId="2FF76A18"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This report has assessed Vodafone Three's strategic position in the very competitive UK telecoms sector after the company acquired Three UK. The analysis revealed that while the competitive and regulatory environment is growing more complex, there are many significant opportunities to be capitalized on as 5G expands, digital transformation continues, artificial intelligence becomes more prevalent, and enterprise connectivity is enhanced. Strategic frameworks such as SWOT analysis, Ansoff Matrix, and the SFA framework were used to identify some of the key opportunities that exist in the 5G world, despite the rising competition and regulatory pressures. The findings of the report suggest the following approach: market development and service diversification, focused on the digital services powered by AI, enterprise IoT solutions, cyber security, and customer experience improvement. The plan is in line with Vodafone Three's goal to be the UK's most prominent technology-enabled connectivity service, utilising its growing network assets and operational abilities. In addition, the stakeholder analysis and implementation plan show that the strategy is achievable, feasible, and will be of value over the long-term. Vodafone Three's successful implementation of this strategy will enable them to enhance their competitive edge, customer satisfaction, and diversify their revenue streams, ultimately leading to sustainable growth in the dynamic telecommunications landscape of the UK.</w:t>
      </w:r>
    </w:p>
    <w:p w14:paraId="41ADD9CF" w14:textId="77777777" w:rsidR="00BC42DD" w:rsidRDefault="00000000">
      <w:pPr>
        <w:spacing w:line="360" w:lineRule="auto"/>
        <w:jc w:val="both"/>
      </w:pPr>
      <w:r>
        <w:br w:type="page"/>
      </w:r>
    </w:p>
    <w:p w14:paraId="4589B1CA" w14:textId="77777777" w:rsidR="00BC42DD" w:rsidRDefault="00000000">
      <w:pPr>
        <w:pStyle w:val="Heading1"/>
        <w:spacing w:line="360" w:lineRule="auto"/>
        <w:jc w:val="both"/>
        <w:rPr>
          <w:rFonts w:ascii="Arial" w:eastAsia="Arial" w:hAnsi="Arial" w:cs="Arial"/>
        </w:rPr>
      </w:pPr>
      <w:bookmarkStart w:id="29" w:name="_heading=h.xlq9xzo56oiq" w:colFirst="0" w:colLast="0"/>
      <w:bookmarkEnd w:id="29"/>
      <w:r>
        <w:rPr>
          <w:rFonts w:ascii="Arial" w:eastAsia="Arial" w:hAnsi="Arial" w:cs="Arial"/>
        </w:rPr>
        <w:lastRenderedPageBreak/>
        <w:t>8. References</w:t>
      </w:r>
    </w:p>
    <w:p w14:paraId="15D887C7" w14:textId="2EF1345E" w:rsidR="00683D34" w:rsidRPr="00606622" w:rsidRDefault="00683D34">
      <w:pPr>
        <w:spacing w:line="360" w:lineRule="auto"/>
        <w:jc w:val="both"/>
        <w:rPr>
          <w:color w:val="000000" w:themeColor="text1"/>
        </w:rPr>
      </w:pPr>
      <w:r w:rsidRPr="00683D34">
        <w:rPr>
          <w:rFonts w:ascii="Arial" w:hAnsi="Arial" w:cs="Arial"/>
          <w:color w:val="000000" w:themeColor="text1"/>
          <w:sz w:val="22"/>
          <w:szCs w:val="22"/>
          <w:highlight w:val="white"/>
        </w:rPr>
        <w:t xml:space="preserve">Almuhanna, N. and Alharbi, Z.H. (2023) ‘Factors affecting customer satisfaction with the telecommunication industry in Saudi Arabia’, TEM Journal, 12(1), p.424. Available at: </w:t>
      </w:r>
      <w:hyperlink r:id="rId9" w:history="1">
        <w:r w:rsidRPr="00404FF0">
          <w:rPr>
            <w:rStyle w:val="Hyperlink"/>
            <w:rFonts w:ascii="Arial" w:hAnsi="Arial" w:cs="Arial"/>
            <w:sz w:val="22"/>
            <w:szCs w:val="22"/>
            <w:highlight w:val="white"/>
          </w:rPr>
          <w:t>https://doi.org/10.18421/TEM121-52</w:t>
        </w:r>
      </w:hyperlink>
      <w:r w:rsidRPr="00404FF0">
        <w:rPr>
          <w:rStyle w:val="Hyperlink"/>
          <w:highlight w:val="white"/>
        </w:rPr>
        <w:t xml:space="preserve"> </w:t>
      </w:r>
      <w:r w:rsidRPr="00683D34">
        <w:rPr>
          <w:rFonts w:ascii="Arial" w:hAnsi="Arial" w:cs="Arial"/>
          <w:color w:val="000000" w:themeColor="text1"/>
          <w:sz w:val="22"/>
          <w:szCs w:val="22"/>
          <w:highlight w:val="white"/>
        </w:rPr>
        <w:t>(Accessed 3rd August 2026).</w:t>
      </w:r>
    </w:p>
    <w:p w14:paraId="4A3C9EF1" w14:textId="0A67EF03" w:rsidR="00677F5E" w:rsidRPr="00683D34" w:rsidRDefault="00677F5E">
      <w:pPr>
        <w:spacing w:line="360" w:lineRule="auto"/>
        <w:jc w:val="both"/>
        <w:rPr>
          <w:rFonts w:ascii="Arial" w:hAnsi="Arial" w:cs="Arial"/>
          <w:color w:val="000000" w:themeColor="text1"/>
          <w:sz w:val="22"/>
          <w:szCs w:val="22"/>
          <w:highlight w:val="white"/>
        </w:rPr>
      </w:pPr>
      <w:r w:rsidRPr="00BC5D37">
        <w:rPr>
          <w:rFonts w:ascii="Arial" w:hAnsi="Arial" w:cs="Arial"/>
          <w:color w:val="000000" w:themeColor="text1"/>
          <w:sz w:val="22"/>
          <w:szCs w:val="22"/>
          <w:highlight w:val="white"/>
        </w:rPr>
        <w:t xml:space="preserve">Ansoff, H.I. (1957) 'Strategies for Diversification', </w:t>
      </w:r>
      <w:r w:rsidRPr="00BC5D37">
        <w:rPr>
          <w:rFonts w:ascii="Arial" w:hAnsi="Arial" w:cs="Arial"/>
          <w:i/>
          <w:iCs/>
          <w:color w:val="000000" w:themeColor="text1"/>
          <w:sz w:val="22"/>
          <w:szCs w:val="22"/>
          <w:highlight w:val="white"/>
        </w:rPr>
        <w:t>Harvard Business Review</w:t>
      </w:r>
      <w:r w:rsidRPr="00BC5D37">
        <w:rPr>
          <w:rFonts w:ascii="Arial" w:hAnsi="Arial" w:cs="Arial"/>
          <w:color w:val="000000" w:themeColor="text1"/>
          <w:sz w:val="22"/>
          <w:szCs w:val="22"/>
          <w:highlight w:val="white"/>
        </w:rPr>
        <w:t>, 35(5), pp. 113–124.</w:t>
      </w:r>
    </w:p>
    <w:p w14:paraId="1E22B516" w14:textId="77777777" w:rsidR="00404FF0" w:rsidRDefault="00404FF0" w:rsidP="00404FF0">
      <w:pPr>
        <w:spacing w:line="360" w:lineRule="auto"/>
        <w:jc w:val="both"/>
        <w:rPr>
          <w:rFonts w:ascii="Arial" w:hAnsi="Arial" w:cs="Arial"/>
          <w:sz w:val="22"/>
          <w:szCs w:val="22"/>
        </w:rPr>
      </w:pPr>
      <w:r w:rsidRPr="001A6271">
        <w:rPr>
          <w:rFonts w:ascii="Arial" w:hAnsi="Arial" w:cs="Arial"/>
          <w:sz w:val="22"/>
          <w:szCs w:val="22"/>
          <w:highlight w:val="white"/>
        </w:rPr>
        <w:t xml:space="preserve">Badem, M. and Hurma, H. (2025) ‘Evaluation of the profitability and competitiveness of strategic products with the Policy Analysis Matrix: The case of </w:t>
      </w:r>
      <w:proofErr w:type="spellStart"/>
      <w:r w:rsidRPr="001A6271">
        <w:rPr>
          <w:rFonts w:ascii="Arial" w:hAnsi="Arial" w:cs="Arial"/>
          <w:sz w:val="22"/>
          <w:szCs w:val="22"/>
          <w:highlight w:val="white"/>
        </w:rPr>
        <w:t>Tekirdağ</w:t>
      </w:r>
      <w:proofErr w:type="spellEnd"/>
      <w:r w:rsidRPr="001A6271">
        <w:rPr>
          <w:rFonts w:ascii="Arial" w:hAnsi="Arial" w:cs="Arial"/>
          <w:sz w:val="22"/>
          <w:szCs w:val="22"/>
          <w:highlight w:val="white"/>
        </w:rPr>
        <w:t xml:space="preserve">, Türkiye’, </w:t>
      </w:r>
      <w:r w:rsidRPr="001A6271">
        <w:rPr>
          <w:rFonts w:ascii="Arial" w:hAnsi="Arial" w:cs="Arial"/>
          <w:i/>
          <w:iCs/>
          <w:sz w:val="22"/>
          <w:szCs w:val="22"/>
          <w:highlight w:val="white"/>
        </w:rPr>
        <w:t>Sustainability</w:t>
      </w:r>
      <w:r w:rsidRPr="001A6271">
        <w:rPr>
          <w:rFonts w:ascii="Arial" w:hAnsi="Arial" w:cs="Arial"/>
          <w:sz w:val="22"/>
          <w:szCs w:val="22"/>
          <w:highlight w:val="white"/>
        </w:rPr>
        <w:t xml:space="preserve">, </w:t>
      </w:r>
      <w:r w:rsidRPr="001A6271">
        <w:rPr>
          <w:rFonts w:ascii="Arial" w:hAnsi="Arial" w:cs="Arial"/>
          <w:b/>
          <w:bCs/>
          <w:sz w:val="22"/>
          <w:szCs w:val="22"/>
          <w:highlight w:val="white"/>
        </w:rPr>
        <w:t>17</w:t>
      </w:r>
      <w:r w:rsidRPr="001A6271">
        <w:rPr>
          <w:rFonts w:ascii="Arial" w:hAnsi="Arial" w:cs="Arial"/>
          <w:sz w:val="22"/>
          <w:szCs w:val="22"/>
          <w:highlight w:val="white"/>
        </w:rPr>
        <w:t xml:space="preserve">(11), p. 5112. </w:t>
      </w:r>
      <w:r>
        <w:rPr>
          <w:rFonts w:ascii="Arial" w:hAnsi="Arial" w:cs="Arial"/>
          <w:sz w:val="22"/>
          <w:szCs w:val="22"/>
          <w:highlight w:val="white"/>
        </w:rPr>
        <w:t xml:space="preserve">Available at: </w:t>
      </w:r>
      <w:hyperlink r:id="rId10" w:history="1">
        <w:r w:rsidRPr="00940CE8">
          <w:rPr>
            <w:rStyle w:val="Hyperlink"/>
            <w:rFonts w:ascii="Arial" w:hAnsi="Arial" w:cs="Arial"/>
            <w:sz w:val="22"/>
            <w:szCs w:val="22"/>
            <w:highlight w:val="white"/>
          </w:rPr>
          <w:t>https://doi.org/10.3390/su17115112</w:t>
        </w:r>
      </w:hyperlink>
      <w:r>
        <w:rPr>
          <w:rFonts w:ascii="Arial" w:hAnsi="Arial" w:cs="Arial"/>
          <w:sz w:val="22"/>
          <w:szCs w:val="22"/>
        </w:rPr>
        <w:t xml:space="preserve"> (Accessed: 3</w:t>
      </w:r>
      <w:r w:rsidRPr="005401EC">
        <w:rPr>
          <w:rFonts w:ascii="Arial" w:hAnsi="Arial" w:cs="Arial"/>
          <w:sz w:val="22"/>
          <w:szCs w:val="22"/>
          <w:vertAlign w:val="superscript"/>
        </w:rPr>
        <w:t>rd</w:t>
      </w:r>
      <w:r>
        <w:rPr>
          <w:rFonts w:ascii="Arial" w:hAnsi="Arial" w:cs="Arial"/>
          <w:sz w:val="22"/>
          <w:szCs w:val="22"/>
        </w:rPr>
        <w:t xml:space="preserve"> August 2026).</w:t>
      </w:r>
    </w:p>
    <w:p w14:paraId="3E0CF22C" w14:textId="77777777" w:rsidR="00AD10CB" w:rsidRDefault="00AD10CB" w:rsidP="00AD10CB">
      <w:pPr>
        <w:spacing w:line="360" w:lineRule="auto"/>
        <w:jc w:val="both"/>
        <w:rPr>
          <w:rFonts w:ascii="Arial" w:hAnsi="Arial" w:cs="Arial"/>
          <w:color w:val="222222"/>
          <w:sz w:val="22"/>
          <w:szCs w:val="22"/>
        </w:rPr>
      </w:pPr>
      <w:r w:rsidRPr="00025666">
        <w:rPr>
          <w:rFonts w:ascii="Arial" w:hAnsi="Arial" w:cs="Arial"/>
          <w:color w:val="222222"/>
          <w:sz w:val="22"/>
          <w:szCs w:val="22"/>
        </w:rPr>
        <w:t xml:space="preserve">Barney, J.B. and Hesterly, W.S. (2015) </w:t>
      </w:r>
      <w:r w:rsidRPr="00025666">
        <w:rPr>
          <w:rFonts w:ascii="Arial" w:hAnsi="Arial" w:cs="Arial"/>
          <w:i/>
          <w:iCs/>
          <w:color w:val="222222"/>
          <w:sz w:val="22"/>
          <w:szCs w:val="22"/>
        </w:rPr>
        <w:t>Strategic Management and Competitive Advantage: Concepts and Cases</w:t>
      </w:r>
      <w:r w:rsidRPr="00025666">
        <w:rPr>
          <w:rFonts w:ascii="Arial" w:hAnsi="Arial" w:cs="Arial"/>
          <w:color w:val="222222"/>
          <w:sz w:val="22"/>
          <w:szCs w:val="22"/>
        </w:rPr>
        <w:t>, Global ed. Harlow: Pearson Education Limited, Edinburgh Gate Harlow</w:t>
      </w:r>
      <w:r>
        <w:rPr>
          <w:rFonts w:ascii="Arial" w:hAnsi="Arial" w:cs="Arial"/>
          <w:color w:val="222222"/>
          <w:sz w:val="22"/>
          <w:szCs w:val="22"/>
        </w:rPr>
        <w:t>.</w:t>
      </w:r>
    </w:p>
    <w:p w14:paraId="34462629" w14:textId="77777777" w:rsidR="00287FFE" w:rsidRDefault="00287FFE" w:rsidP="00287FFE">
      <w:pPr>
        <w:spacing w:line="360" w:lineRule="auto"/>
        <w:jc w:val="both"/>
        <w:rPr>
          <w:rFonts w:ascii="Arial" w:hAnsi="Arial" w:cs="Arial"/>
          <w:sz w:val="22"/>
          <w:szCs w:val="22"/>
        </w:rPr>
      </w:pPr>
      <w:r w:rsidRPr="00025666">
        <w:rPr>
          <w:rFonts w:ascii="Arial" w:hAnsi="Arial" w:cs="Arial"/>
          <w:sz w:val="22"/>
          <w:szCs w:val="22"/>
          <w:highlight w:val="white"/>
        </w:rPr>
        <w:t>Danforth, K.</w:t>
      </w:r>
      <w:r>
        <w:rPr>
          <w:rFonts w:ascii="Arial" w:hAnsi="Arial" w:cs="Arial"/>
          <w:sz w:val="22"/>
          <w:szCs w:val="22"/>
          <w:highlight w:val="white"/>
        </w:rPr>
        <w:t xml:space="preserve"> et al. (</w:t>
      </w:r>
      <w:r w:rsidRPr="00025666">
        <w:rPr>
          <w:rFonts w:ascii="Arial" w:hAnsi="Arial" w:cs="Arial"/>
          <w:sz w:val="22"/>
          <w:szCs w:val="22"/>
          <w:highlight w:val="white"/>
        </w:rPr>
        <w:t>2023</w:t>
      </w:r>
      <w:r>
        <w:rPr>
          <w:rFonts w:ascii="Arial" w:hAnsi="Arial" w:cs="Arial"/>
          <w:sz w:val="22"/>
          <w:szCs w:val="22"/>
          <w:highlight w:val="white"/>
        </w:rPr>
        <w:t>)</w:t>
      </w:r>
      <w:r w:rsidRPr="00025666">
        <w:rPr>
          <w:rFonts w:ascii="Arial" w:hAnsi="Arial" w:cs="Arial"/>
          <w:sz w:val="22"/>
          <w:szCs w:val="22"/>
          <w:highlight w:val="white"/>
        </w:rPr>
        <w:t xml:space="preserve"> </w:t>
      </w:r>
      <w:r>
        <w:rPr>
          <w:rFonts w:ascii="Arial" w:hAnsi="Arial" w:cs="Arial"/>
          <w:sz w:val="22"/>
          <w:szCs w:val="22"/>
          <w:highlight w:val="white"/>
        </w:rPr>
        <w:t>‘</w:t>
      </w:r>
      <w:r w:rsidRPr="00E40F58">
        <w:rPr>
          <w:rFonts w:ascii="Arial" w:hAnsi="Arial" w:cs="Arial"/>
          <w:sz w:val="22"/>
          <w:szCs w:val="22"/>
          <w:highlight w:val="white"/>
        </w:rPr>
        <w:t>Monitoring and evaluating the implementation of essential packages of health services</w:t>
      </w:r>
      <w:r>
        <w:rPr>
          <w:rFonts w:ascii="Arial" w:hAnsi="Arial" w:cs="Arial"/>
          <w:sz w:val="22"/>
          <w:szCs w:val="22"/>
          <w:highlight w:val="white"/>
        </w:rPr>
        <w:t xml:space="preserve">’, </w:t>
      </w:r>
      <w:r w:rsidRPr="001F139E">
        <w:rPr>
          <w:rFonts w:ascii="Arial" w:hAnsi="Arial" w:cs="Arial"/>
          <w:i/>
          <w:iCs/>
          <w:sz w:val="22"/>
          <w:szCs w:val="22"/>
          <w:highlight w:val="white"/>
        </w:rPr>
        <w:t>BMJ global health</w:t>
      </w:r>
      <w:r w:rsidRPr="00AD0B27">
        <w:rPr>
          <w:rFonts w:ascii="Arial" w:hAnsi="Arial" w:cs="Arial"/>
          <w:sz w:val="22"/>
          <w:szCs w:val="22"/>
          <w:highlight w:val="white"/>
        </w:rPr>
        <w:t>, 8</w:t>
      </w:r>
      <w:r w:rsidRPr="00025666">
        <w:rPr>
          <w:rFonts w:ascii="Arial" w:hAnsi="Arial" w:cs="Arial"/>
          <w:sz w:val="22"/>
          <w:szCs w:val="22"/>
          <w:highlight w:val="white"/>
        </w:rPr>
        <w:t>(Suppl 1), p.e010726.</w:t>
      </w:r>
      <w:r>
        <w:rPr>
          <w:rFonts w:ascii="Arial" w:hAnsi="Arial" w:cs="Arial"/>
          <w:sz w:val="22"/>
          <w:szCs w:val="22"/>
          <w:highlight w:val="white"/>
        </w:rPr>
        <w:t xml:space="preserve"> Available at: </w:t>
      </w:r>
      <w:hyperlink r:id="rId11" w:history="1">
        <w:r w:rsidRPr="00940CE8">
          <w:rPr>
            <w:rStyle w:val="Hyperlink"/>
            <w:rFonts w:ascii="Arial" w:hAnsi="Arial" w:cs="Arial"/>
            <w:sz w:val="22"/>
            <w:szCs w:val="22"/>
          </w:rPr>
          <w:t>https://doi.org/10.1136/bmjgh-2022-010726</w:t>
        </w:r>
      </w:hyperlink>
      <w:r>
        <w:rPr>
          <w:rFonts w:ascii="Arial" w:hAnsi="Arial" w:cs="Arial"/>
          <w:sz w:val="22"/>
          <w:szCs w:val="22"/>
        </w:rPr>
        <w:t xml:space="preserve"> (Accessed: 8</w:t>
      </w:r>
      <w:r w:rsidRPr="00D24F13">
        <w:rPr>
          <w:rFonts w:ascii="Arial" w:hAnsi="Arial" w:cs="Arial"/>
          <w:sz w:val="22"/>
          <w:szCs w:val="22"/>
          <w:vertAlign w:val="superscript"/>
        </w:rPr>
        <w:t>th</w:t>
      </w:r>
      <w:r>
        <w:rPr>
          <w:rFonts w:ascii="Arial" w:hAnsi="Arial" w:cs="Arial"/>
          <w:sz w:val="22"/>
          <w:szCs w:val="22"/>
        </w:rPr>
        <w:t xml:space="preserve"> August 2026).</w:t>
      </w:r>
    </w:p>
    <w:p w14:paraId="1181036B" w14:textId="3EC09715" w:rsidR="00F052EA" w:rsidRPr="008959F2" w:rsidRDefault="00F052EA" w:rsidP="00287FFE">
      <w:pPr>
        <w:spacing w:line="360" w:lineRule="auto"/>
        <w:jc w:val="both"/>
        <w:rPr>
          <w:rFonts w:ascii="Arial" w:hAnsi="Arial" w:cs="Arial"/>
          <w:color w:val="EE0000"/>
          <w:sz w:val="22"/>
          <w:szCs w:val="22"/>
        </w:rPr>
      </w:pPr>
      <w:r w:rsidRPr="00F052EA">
        <w:rPr>
          <w:rFonts w:ascii="Arial" w:hAnsi="Arial" w:cs="Arial"/>
          <w:color w:val="000000" w:themeColor="text1"/>
          <w:sz w:val="22"/>
          <w:szCs w:val="22"/>
          <w:highlight w:val="white"/>
        </w:rPr>
        <w:t xml:space="preserve">Elsas-Nicolle, A. </w:t>
      </w:r>
      <w:proofErr w:type="spellStart"/>
      <w:r w:rsidRPr="00F052EA">
        <w:rPr>
          <w:rFonts w:ascii="Arial" w:hAnsi="Arial" w:cs="Arial"/>
          <w:color w:val="000000" w:themeColor="text1"/>
          <w:sz w:val="22"/>
          <w:szCs w:val="22"/>
          <w:highlight w:val="white"/>
        </w:rPr>
        <w:t>Genakos</w:t>
      </w:r>
      <w:proofErr w:type="spellEnd"/>
      <w:r w:rsidRPr="00F052EA">
        <w:rPr>
          <w:rFonts w:ascii="Arial" w:hAnsi="Arial" w:cs="Arial"/>
          <w:color w:val="000000" w:themeColor="text1"/>
          <w:sz w:val="22"/>
          <w:szCs w:val="22"/>
          <w:highlight w:val="white"/>
        </w:rPr>
        <w:t xml:space="preserve">, C. and Kretschmer, T. (2026) ‘Strategic </w:t>
      </w:r>
      <w:proofErr w:type="spellStart"/>
      <w:r w:rsidRPr="00F052EA">
        <w:rPr>
          <w:rFonts w:ascii="Arial" w:hAnsi="Arial" w:cs="Arial"/>
          <w:color w:val="000000" w:themeColor="text1"/>
          <w:sz w:val="22"/>
          <w:szCs w:val="22"/>
          <w:highlight w:val="white"/>
        </w:rPr>
        <w:t>confusopoly</w:t>
      </w:r>
      <w:proofErr w:type="spellEnd"/>
      <w:r w:rsidRPr="00F052EA">
        <w:rPr>
          <w:rFonts w:ascii="Arial" w:hAnsi="Arial" w:cs="Arial"/>
          <w:color w:val="000000" w:themeColor="text1"/>
          <w:sz w:val="22"/>
          <w:szCs w:val="22"/>
          <w:highlight w:val="white"/>
        </w:rPr>
        <w:t>: Evidence from the UK mobile telecommunications market</w:t>
      </w:r>
      <w:r w:rsidRPr="00F052EA">
        <w:rPr>
          <w:rFonts w:ascii="Arial" w:hAnsi="Arial" w:cs="Arial"/>
          <w:i/>
          <w:iCs/>
          <w:color w:val="000000" w:themeColor="text1"/>
          <w:sz w:val="22"/>
          <w:szCs w:val="22"/>
          <w:highlight w:val="white"/>
        </w:rPr>
        <w:t>’, Strategy Science</w:t>
      </w:r>
      <w:r w:rsidRPr="00F052EA">
        <w:rPr>
          <w:rFonts w:ascii="Arial" w:hAnsi="Arial" w:cs="Arial"/>
          <w:color w:val="000000" w:themeColor="text1"/>
          <w:sz w:val="22"/>
          <w:szCs w:val="22"/>
          <w:highlight w:val="white"/>
        </w:rPr>
        <w:t xml:space="preserve">, 11(2), pp.272-292. Available at: </w:t>
      </w:r>
      <w:hyperlink r:id="rId12" w:history="1">
        <w:r w:rsidRPr="00940CE8">
          <w:rPr>
            <w:rStyle w:val="Hyperlink"/>
            <w:rFonts w:ascii="Arial" w:hAnsi="Arial" w:cs="Arial"/>
            <w:sz w:val="22"/>
            <w:szCs w:val="22"/>
          </w:rPr>
          <w:t>https://doi.org/10.1287/stsc.2024.0285</w:t>
        </w:r>
      </w:hyperlink>
      <w:r>
        <w:rPr>
          <w:rFonts w:ascii="Arial" w:hAnsi="Arial" w:cs="Arial"/>
          <w:color w:val="EE0000"/>
          <w:sz w:val="22"/>
          <w:szCs w:val="22"/>
        </w:rPr>
        <w:t xml:space="preserve"> </w:t>
      </w:r>
      <w:r w:rsidRPr="008959F2">
        <w:rPr>
          <w:rFonts w:ascii="Arial" w:hAnsi="Arial" w:cs="Arial"/>
          <w:color w:val="000000" w:themeColor="text1"/>
          <w:sz w:val="22"/>
          <w:szCs w:val="22"/>
        </w:rPr>
        <w:t xml:space="preserve">(Accessed: </w:t>
      </w:r>
      <w:r w:rsidR="008959F2" w:rsidRPr="008959F2">
        <w:rPr>
          <w:rFonts w:ascii="Arial" w:hAnsi="Arial" w:cs="Arial"/>
          <w:color w:val="000000" w:themeColor="text1"/>
          <w:sz w:val="22"/>
          <w:szCs w:val="22"/>
        </w:rPr>
        <w:t>3</w:t>
      </w:r>
      <w:r w:rsidR="008959F2" w:rsidRPr="008959F2">
        <w:rPr>
          <w:rFonts w:ascii="Arial" w:hAnsi="Arial" w:cs="Arial"/>
          <w:color w:val="000000" w:themeColor="text1"/>
          <w:sz w:val="22"/>
          <w:szCs w:val="22"/>
          <w:vertAlign w:val="superscript"/>
        </w:rPr>
        <w:t>rd</w:t>
      </w:r>
      <w:r w:rsidR="008959F2" w:rsidRPr="008959F2">
        <w:rPr>
          <w:rFonts w:ascii="Arial" w:hAnsi="Arial" w:cs="Arial"/>
          <w:color w:val="000000" w:themeColor="text1"/>
          <w:sz w:val="22"/>
          <w:szCs w:val="22"/>
        </w:rPr>
        <w:t xml:space="preserve"> August 2026).</w:t>
      </w:r>
    </w:p>
    <w:p w14:paraId="3C74873F" w14:textId="77777777" w:rsidR="008B5399" w:rsidRDefault="008B5399" w:rsidP="008B5399">
      <w:pPr>
        <w:spacing w:line="360" w:lineRule="auto"/>
        <w:jc w:val="both"/>
        <w:rPr>
          <w:rFonts w:ascii="Arial" w:hAnsi="Arial" w:cs="Arial"/>
          <w:sz w:val="22"/>
          <w:szCs w:val="22"/>
          <w:highlight w:val="white"/>
        </w:rPr>
      </w:pPr>
      <w:r w:rsidRPr="00BD1823">
        <w:rPr>
          <w:rFonts w:ascii="Arial" w:hAnsi="Arial" w:cs="Arial"/>
          <w:sz w:val="22"/>
          <w:szCs w:val="22"/>
          <w:highlight w:val="white"/>
        </w:rPr>
        <w:t xml:space="preserve">Freeman, R.E. (2023) ‘Stakeholder management: Framework and philosophy’, in </w:t>
      </w:r>
      <w:r w:rsidRPr="00BD1823">
        <w:rPr>
          <w:rFonts w:ascii="Arial" w:hAnsi="Arial" w:cs="Arial"/>
          <w:i/>
          <w:iCs/>
          <w:sz w:val="22"/>
          <w:szCs w:val="22"/>
          <w:highlight w:val="white"/>
        </w:rPr>
        <w:t>R. Edward Freeman’s Selected Works on Stakeholder Theory and Business Ethics</w:t>
      </w:r>
      <w:r w:rsidRPr="00BD1823">
        <w:rPr>
          <w:rFonts w:ascii="Arial" w:hAnsi="Arial" w:cs="Arial"/>
          <w:sz w:val="22"/>
          <w:szCs w:val="22"/>
          <w:highlight w:val="white"/>
        </w:rPr>
        <w:t>. Cham: Springer International Publishing, pp. 61–88.</w:t>
      </w:r>
    </w:p>
    <w:p w14:paraId="0EC8AB6F" w14:textId="524E6460" w:rsidR="007539CC" w:rsidRPr="00931D09" w:rsidRDefault="007539CC" w:rsidP="008B5399">
      <w:pPr>
        <w:spacing w:line="360" w:lineRule="auto"/>
        <w:jc w:val="both"/>
        <w:rPr>
          <w:rFonts w:ascii="Arial" w:hAnsi="Arial" w:cs="Arial"/>
          <w:color w:val="000000" w:themeColor="text1"/>
          <w:sz w:val="22"/>
          <w:szCs w:val="22"/>
          <w:highlight w:val="white"/>
        </w:rPr>
      </w:pPr>
      <w:r w:rsidRPr="00931D09">
        <w:rPr>
          <w:rFonts w:ascii="Arial" w:hAnsi="Arial" w:cs="Arial"/>
          <w:color w:val="000000" w:themeColor="text1"/>
          <w:sz w:val="22"/>
          <w:szCs w:val="22"/>
          <w:highlight w:val="white"/>
        </w:rPr>
        <w:t xml:space="preserve">Ghaleb, B.D.S. (2024) ‘The importance of using SWOT analysis in business success’, </w:t>
      </w:r>
      <w:r w:rsidRPr="00931D09">
        <w:rPr>
          <w:rFonts w:ascii="Arial" w:hAnsi="Arial" w:cs="Arial"/>
          <w:i/>
          <w:iCs/>
          <w:color w:val="000000" w:themeColor="text1"/>
          <w:sz w:val="22"/>
          <w:szCs w:val="22"/>
          <w:highlight w:val="white"/>
        </w:rPr>
        <w:t>International Journal of Asian Business and Management</w:t>
      </w:r>
      <w:r w:rsidRPr="00931D09">
        <w:rPr>
          <w:rFonts w:ascii="Arial" w:hAnsi="Arial" w:cs="Arial"/>
          <w:color w:val="000000" w:themeColor="text1"/>
          <w:sz w:val="22"/>
          <w:szCs w:val="22"/>
          <w:highlight w:val="white"/>
        </w:rPr>
        <w:t xml:space="preserve">, </w:t>
      </w:r>
      <w:r w:rsidRPr="00931D09">
        <w:rPr>
          <w:rFonts w:ascii="Arial" w:hAnsi="Arial" w:cs="Arial"/>
          <w:b/>
          <w:bCs/>
          <w:color w:val="000000" w:themeColor="text1"/>
          <w:sz w:val="22"/>
          <w:szCs w:val="22"/>
          <w:highlight w:val="white"/>
        </w:rPr>
        <w:t>3</w:t>
      </w:r>
      <w:r w:rsidRPr="00931D09">
        <w:rPr>
          <w:rFonts w:ascii="Arial" w:hAnsi="Arial" w:cs="Arial"/>
          <w:color w:val="000000" w:themeColor="text1"/>
          <w:sz w:val="22"/>
          <w:szCs w:val="22"/>
          <w:highlight w:val="white"/>
        </w:rPr>
        <w:t xml:space="preserve">(4), pp. 557–564. Available at: </w:t>
      </w:r>
      <w:hyperlink r:id="rId13" w:history="1">
        <w:r w:rsidRPr="00931D09">
          <w:rPr>
            <w:rStyle w:val="Hyperlink"/>
            <w:rFonts w:ascii="Arial" w:hAnsi="Arial" w:cs="Arial"/>
            <w:color w:val="000000" w:themeColor="text1"/>
            <w:sz w:val="22"/>
            <w:szCs w:val="22"/>
            <w:highlight w:val="white"/>
          </w:rPr>
          <w:t>https://doi.org/10.55927/ijabm.v3i4.10857</w:t>
        </w:r>
      </w:hyperlink>
      <w:r w:rsidRPr="00931D09">
        <w:rPr>
          <w:rFonts w:ascii="Arial" w:hAnsi="Arial" w:cs="Arial"/>
          <w:color w:val="000000" w:themeColor="text1"/>
          <w:sz w:val="22"/>
          <w:szCs w:val="22"/>
          <w:highlight w:val="white"/>
        </w:rPr>
        <w:t xml:space="preserve"> (Accessed: </w:t>
      </w:r>
      <w:r w:rsidR="005A50F5">
        <w:rPr>
          <w:rFonts w:ascii="Arial" w:hAnsi="Arial" w:cs="Arial"/>
          <w:color w:val="000000" w:themeColor="text1"/>
          <w:sz w:val="22"/>
          <w:szCs w:val="22"/>
          <w:highlight w:val="white"/>
        </w:rPr>
        <w:t>3</w:t>
      </w:r>
      <w:r w:rsidR="005A50F5" w:rsidRPr="005A50F5">
        <w:rPr>
          <w:rFonts w:ascii="Arial" w:hAnsi="Arial" w:cs="Arial"/>
          <w:color w:val="000000" w:themeColor="text1"/>
          <w:sz w:val="22"/>
          <w:szCs w:val="22"/>
          <w:highlight w:val="white"/>
          <w:vertAlign w:val="superscript"/>
        </w:rPr>
        <w:t>rd</w:t>
      </w:r>
      <w:r w:rsidR="005A50F5">
        <w:rPr>
          <w:rFonts w:ascii="Arial" w:hAnsi="Arial" w:cs="Arial"/>
          <w:color w:val="000000" w:themeColor="text1"/>
          <w:sz w:val="22"/>
          <w:szCs w:val="22"/>
          <w:highlight w:val="white"/>
        </w:rPr>
        <w:t xml:space="preserve"> August 2026).</w:t>
      </w:r>
    </w:p>
    <w:p w14:paraId="5AE5AAEA" w14:textId="77777777" w:rsidR="00C9732B" w:rsidRDefault="00C9732B" w:rsidP="00C9732B">
      <w:pPr>
        <w:spacing w:line="360" w:lineRule="auto"/>
        <w:jc w:val="both"/>
        <w:rPr>
          <w:rFonts w:ascii="Arial" w:hAnsi="Arial" w:cs="Arial"/>
          <w:sz w:val="22"/>
          <w:szCs w:val="22"/>
          <w:highlight w:val="white"/>
        </w:rPr>
      </w:pPr>
      <w:r w:rsidRPr="00385CB9">
        <w:rPr>
          <w:rFonts w:ascii="Arial" w:hAnsi="Arial" w:cs="Arial"/>
          <w:sz w:val="22"/>
          <w:szCs w:val="22"/>
          <w:highlight w:val="white"/>
        </w:rPr>
        <w:t xml:space="preserve">Giles-Corti, B. </w:t>
      </w:r>
      <w:r w:rsidRPr="00385CB9">
        <w:rPr>
          <w:rFonts w:ascii="Arial" w:hAnsi="Arial" w:cs="Arial"/>
          <w:i/>
          <w:iCs/>
          <w:sz w:val="22"/>
          <w:szCs w:val="22"/>
          <w:highlight w:val="white"/>
        </w:rPr>
        <w:t>et al.</w:t>
      </w:r>
      <w:r w:rsidRPr="00385CB9">
        <w:rPr>
          <w:rFonts w:ascii="Arial" w:hAnsi="Arial" w:cs="Arial"/>
          <w:sz w:val="22"/>
          <w:szCs w:val="22"/>
          <w:highlight w:val="white"/>
        </w:rPr>
        <w:t xml:space="preserve"> (2022) ‘What next? Expanding our view of city planning and global health, and implementing and monitoring evidence-informed policy’, </w:t>
      </w:r>
      <w:r w:rsidRPr="00385CB9">
        <w:rPr>
          <w:rFonts w:ascii="Arial" w:hAnsi="Arial" w:cs="Arial"/>
          <w:i/>
          <w:iCs/>
          <w:sz w:val="22"/>
          <w:szCs w:val="22"/>
          <w:highlight w:val="white"/>
        </w:rPr>
        <w:t>The Lancet Global Health</w:t>
      </w:r>
      <w:r w:rsidRPr="00385CB9">
        <w:rPr>
          <w:rFonts w:ascii="Arial" w:hAnsi="Arial" w:cs="Arial"/>
          <w:sz w:val="22"/>
          <w:szCs w:val="22"/>
          <w:highlight w:val="white"/>
        </w:rPr>
        <w:t xml:space="preserve">, </w:t>
      </w:r>
      <w:r w:rsidRPr="00385CB9">
        <w:rPr>
          <w:rFonts w:ascii="Arial" w:hAnsi="Arial" w:cs="Arial"/>
          <w:b/>
          <w:bCs/>
          <w:sz w:val="22"/>
          <w:szCs w:val="22"/>
          <w:highlight w:val="white"/>
        </w:rPr>
        <w:t>10</w:t>
      </w:r>
      <w:r w:rsidRPr="00385CB9">
        <w:rPr>
          <w:rFonts w:ascii="Arial" w:hAnsi="Arial" w:cs="Arial"/>
          <w:sz w:val="22"/>
          <w:szCs w:val="22"/>
          <w:highlight w:val="white"/>
        </w:rPr>
        <w:t xml:space="preserve">(6), pp. e919–e926. </w:t>
      </w:r>
      <w:r>
        <w:rPr>
          <w:rFonts w:ascii="Arial" w:hAnsi="Arial" w:cs="Arial"/>
          <w:sz w:val="22"/>
          <w:szCs w:val="22"/>
          <w:highlight w:val="white"/>
        </w:rPr>
        <w:t xml:space="preserve">Available at: </w:t>
      </w:r>
      <w:hyperlink r:id="rId14" w:history="1">
        <w:r w:rsidRPr="00940CE8">
          <w:rPr>
            <w:rStyle w:val="Hyperlink"/>
            <w:rFonts w:ascii="Arial" w:hAnsi="Arial" w:cs="Arial"/>
            <w:sz w:val="22"/>
            <w:szCs w:val="22"/>
            <w:highlight w:val="white"/>
          </w:rPr>
          <w:t>https://doi.org/10.1016/S2214-109X(22)00066-3</w:t>
        </w:r>
      </w:hyperlink>
      <w:r>
        <w:rPr>
          <w:rFonts w:ascii="Arial" w:hAnsi="Arial" w:cs="Arial"/>
          <w:sz w:val="22"/>
          <w:szCs w:val="22"/>
          <w:highlight w:val="white"/>
        </w:rPr>
        <w:t xml:space="preserve"> (Accessed: 8</w:t>
      </w:r>
      <w:r w:rsidRPr="00F668AA">
        <w:rPr>
          <w:rFonts w:ascii="Arial" w:hAnsi="Arial" w:cs="Arial"/>
          <w:sz w:val="22"/>
          <w:szCs w:val="22"/>
          <w:highlight w:val="white"/>
          <w:vertAlign w:val="superscript"/>
        </w:rPr>
        <w:t>th</w:t>
      </w:r>
      <w:r>
        <w:rPr>
          <w:rFonts w:ascii="Arial" w:hAnsi="Arial" w:cs="Arial"/>
          <w:sz w:val="22"/>
          <w:szCs w:val="22"/>
          <w:highlight w:val="white"/>
        </w:rPr>
        <w:t xml:space="preserve"> August 2026).</w:t>
      </w:r>
    </w:p>
    <w:p w14:paraId="6D513896" w14:textId="6D861A95" w:rsidR="00BC42DD" w:rsidRDefault="00B1744E">
      <w:pPr>
        <w:spacing w:line="360" w:lineRule="auto"/>
        <w:jc w:val="both"/>
        <w:rPr>
          <w:rFonts w:ascii="Arial" w:hAnsi="Arial" w:cs="Arial"/>
          <w:sz w:val="22"/>
          <w:szCs w:val="22"/>
          <w:highlight w:val="white"/>
        </w:rPr>
      </w:pPr>
      <w:r w:rsidRPr="00454D31">
        <w:rPr>
          <w:rFonts w:ascii="Arial" w:hAnsi="Arial" w:cs="Arial"/>
          <w:sz w:val="22"/>
          <w:szCs w:val="22"/>
          <w:highlight w:val="white"/>
        </w:rPr>
        <w:t xml:space="preserve">Hasan, Z., </w:t>
      </w:r>
      <w:proofErr w:type="spellStart"/>
      <w:r w:rsidRPr="00454D31">
        <w:rPr>
          <w:rFonts w:ascii="Arial" w:hAnsi="Arial" w:cs="Arial"/>
          <w:sz w:val="22"/>
          <w:szCs w:val="22"/>
          <w:highlight w:val="white"/>
        </w:rPr>
        <w:t>Syahrizan</w:t>
      </w:r>
      <w:proofErr w:type="spellEnd"/>
      <w:r w:rsidRPr="00454D31">
        <w:rPr>
          <w:rFonts w:ascii="Arial" w:hAnsi="Arial" w:cs="Arial"/>
          <w:sz w:val="22"/>
          <w:szCs w:val="22"/>
          <w:highlight w:val="white"/>
        </w:rPr>
        <w:t xml:space="preserve">, M. and Zain, N.R.B.M. (2025) ‘Efficiency evaluation of Islamic commercial banks in Indonesia using stochastic frontier analysis (SFA): A panel data </w:t>
      </w:r>
      <w:r w:rsidRPr="00454D31">
        <w:rPr>
          <w:rFonts w:ascii="Arial" w:hAnsi="Arial" w:cs="Arial"/>
          <w:sz w:val="22"/>
          <w:szCs w:val="22"/>
          <w:highlight w:val="white"/>
        </w:rPr>
        <w:lastRenderedPageBreak/>
        <w:t xml:space="preserve">approach’, </w:t>
      </w:r>
      <w:r w:rsidRPr="00454D31">
        <w:rPr>
          <w:rFonts w:ascii="Arial" w:hAnsi="Arial" w:cs="Arial"/>
          <w:i/>
          <w:iCs/>
          <w:sz w:val="22"/>
          <w:szCs w:val="22"/>
          <w:highlight w:val="white"/>
        </w:rPr>
        <w:t>Journal of Islamic Economics and Business Ethics</w:t>
      </w:r>
      <w:r w:rsidRPr="00454D31">
        <w:rPr>
          <w:rFonts w:ascii="Arial" w:hAnsi="Arial" w:cs="Arial"/>
          <w:sz w:val="22"/>
          <w:szCs w:val="22"/>
          <w:highlight w:val="white"/>
        </w:rPr>
        <w:t xml:space="preserve">, </w:t>
      </w:r>
      <w:r w:rsidRPr="00454D31">
        <w:rPr>
          <w:rFonts w:ascii="Arial" w:hAnsi="Arial" w:cs="Arial"/>
          <w:b/>
          <w:bCs/>
          <w:sz w:val="22"/>
          <w:szCs w:val="22"/>
          <w:highlight w:val="white"/>
        </w:rPr>
        <w:t>2</w:t>
      </w:r>
      <w:r w:rsidRPr="00454D31">
        <w:rPr>
          <w:rFonts w:ascii="Arial" w:hAnsi="Arial" w:cs="Arial"/>
          <w:sz w:val="22"/>
          <w:szCs w:val="22"/>
          <w:highlight w:val="white"/>
        </w:rPr>
        <w:t xml:space="preserve">(3), pp. 299–324. </w:t>
      </w:r>
      <w:r>
        <w:rPr>
          <w:rFonts w:ascii="Arial" w:hAnsi="Arial" w:cs="Arial"/>
          <w:sz w:val="22"/>
          <w:szCs w:val="22"/>
          <w:highlight w:val="white"/>
        </w:rPr>
        <w:t xml:space="preserve">Available at: </w:t>
      </w:r>
      <w:hyperlink r:id="rId15" w:history="1">
        <w:r w:rsidRPr="00940CE8">
          <w:rPr>
            <w:rStyle w:val="Hyperlink"/>
            <w:rFonts w:ascii="Arial" w:hAnsi="Arial" w:cs="Arial"/>
            <w:sz w:val="22"/>
            <w:szCs w:val="22"/>
            <w:highlight w:val="white"/>
          </w:rPr>
          <w:t>https://doi.org/10.24235/jiesbi.v2i3.436</w:t>
        </w:r>
      </w:hyperlink>
      <w:r>
        <w:rPr>
          <w:rFonts w:ascii="Arial" w:hAnsi="Arial" w:cs="Arial"/>
          <w:sz w:val="22"/>
          <w:szCs w:val="22"/>
          <w:highlight w:val="white"/>
        </w:rPr>
        <w:t xml:space="preserve"> (Accessed: 3</w:t>
      </w:r>
      <w:r w:rsidRPr="0037188A">
        <w:rPr>
          <w:rFonts w:ascii="Arial" w:hAnsi="Arial" w:cs="Arial"/>
          <w:sz w:val="22"/>
          <w:szCs w:val="22"/>
          <w:highlight w:val="white"/>
          <w:vertAlign w:val="superscript"/>
        </w:rPr>
        <w:t>rd</w:t>
      </w:r>
      <w:r>
        <w:rPr>
          <w:rFonts w:ascii="Arial" w:hAnsi="Arial" w:cs="Arial"/>
          <w:sz w:val="22"/>
          <w:szCs w:val="22"/>
          <w:highlight w:val="white"/>
        </w:rPr>
        <w:t xml:space="preserve"> August 2026).</w:t>
      </w:r>
    </w:p>
    <w:p w14:paraId="1F2414A1" w14:textId="7FB81EED" w:rsidR="0046532B" w:rsidRPr="0046532B" w:rsidRDefault="0046532B">
      <w:pPr>
        <w:spacing w:line="360" w:lineRule="auto"/>
        <w:jc w:val="both"/>
        <w:rPr>
          <w:rFonts w:ascii="Arial" w:hAnsi="Arial" w:cs="Arial"/>
          <w:i/>
          <w:iCs/>
          <w:sz w:val="22"/>
          <w:szCs w:val="22"/>
          <w:highlight w:val="white"/>
        </w:rPr>
      </w:pPr>
      <w:r>
        <w:rPr>
          <w:rFonts w:ascii="Arial" w:hAnsi="Arial" w:cs="Arial"/>
          <w:sz w:val="22"/>
          <w:szCs w:val="22"/>
          <w:highlight w:val="white"/>
        </w:rPr>
        <w:t xml:space="preserve">IG (2026) </w:t>
      </w:r>
      <w:r w:rsidRPr="00FA0755">
        <w:rPr>
          <w:rFonts w:ascii="Arial" w:hAnsi="Arial" w:cs="Arial"/>
          <w:i/>
          <w:iCs/>
          <w:sz w:val="22"/>
          <w:szCs w:val="22"/>
          <w:highlight w:val="white"/>
        </w:rPr>
        <w:t>Vodafone-Three merger: what next after the creation of the UK's largest mobile operator?</w:t>
      </w:r>
      <w:r>
        <w:rPr>
          <w:rFonts w:ascii="Arial" w:hAnsi="Arial" w:cs="Arial"/>
          <w:i/>
          <w:iCs/>
          <w:sz w:val="22"/>
          <w:szCs w:val="22"/>
          <w:highlight w:val="white"/>
        </w:rPr>
        <w:t xml:space="preserve"> </w:t>
      </w:r>
      <w:r w:rsidRPr="00B27F67">
        <w:rPr>
          <w:rFonts w:ascii="Arial" w:hAnsi="Arial" w:cs="Arial"/>
          <w:sz w:val="22"/>
          <w:szCs w:val="22"/>
          <w:highlight w:val="white"/>
        </w:rPr>
        <w:t xml:space="preserve">Available at: </w:t>
      </w:r>
      <w:hyperlink r:id="rId16" w:history="1">
        <w:r w:rsidRPr="00B27F67">
          <w:rPr>
            <w:rStyle w:val="Hyperlink"/>
            <w:rFonts w:ascii="Arial" w:hAnsi="Arial" w:cs="Arial"/>
            <w:sz w:val="22"/>
            <w:szCs w:val="22"/>
          </w:rPr>
          <w:t>https://www.ig.com/en/news-and-trade-ideas/vodafone-three-merger--what-next-after-the-creation-of-the-uk-s--250611</w:t>
        </w:r>
      </w:hyperlink>
      <w:r>
        <w:rPr>
          <w:rFonts w:ascii="Arial" w:hAnsi="Arial" w:cs="Arial"/>
          <w:i/>
          <w:iCs/>
          <w:sz w:val="22"/>
          <w:szCs w:val="22"/>
        </w:rPr>
        <w:t xml:space="preserve"> (Accessed: 3</w:t>
      </w:r>
      <w:r w:rsidRPr="00D4613A">
        <w:rPr>
          <w:rFonts w:ascii="Arial" w:hAnsi="Arial" w:cs="Arial"/>
          <w:i/>
          <w:iCs/>
          <w:sz w:val="22"/>
          <w:szCs w:val="22"/>
          <w:vertAlign w:val="superscript"/>
        </w:rPr>
        <w:t>rd</w:t>
      </w:r>
      <w:r>
        <w:rPr>
          <w:rFonts w:ascii="Arial" w:hAnsi="Arial" w:cs="Arial"/>
          <w:i/>
          <w:iCs/>
          <w:sz w:val="22"/>
          <w:szCs w:val="22"/>
        </w:rPr>
        <w:t xml:space="preserve"> August 2026).</w:t>
      </w:r>
    </w:p>
    <w:p w14:paraId="23DA9DED" w14:textId="77777777" w:rsidR="0076279B" w:rsidRDefault="0076279B" w:rsidP="0076279B">
      <w:pPr>
        <w:spacing w:line="360" w:lineRule="auto"/>
        <w:jc w:val="both"/>
        <w:rPr>
          <w:rFonts w:ascii="Arial" w:hAnsi="Arial" w:cs="Arial"/>
          <w:sz w:val="22"/>
          <w:szCs w:val="22"/>
          <w:highlight w:val="white"/>
        </w:rPr>
      </w:pPr>
      <w:r w:rsidRPr="00342559">
        <w:rPr>
          <w:rFonts w:ascii="Arial" w:hAnsi="Arial" w:cs="Arial"/>
          <w:sz w:val="22"/>
          <w:szCs w:val="22"/>
          <w:highlight w:val="white"/>
        </w:rPr>
        <w:t xml:space="preserve">Kern, P. and Gospel, H. (2023) ‘The effects of strategy and institutions on value creation and appropriation in firms: A longitudinal study of three telecom companies’, </w:t>
      </w:r>
      <w:r w:rsidRPr="00342559">
        <w:rPr>
          <w:rFonts w:ascii="Arial" w:hAnsi="Arial" w:cs="Arial"/>
          <w:i/>
          <w:iCs/>
          <w:sz w:val="22"/>
          <w:szCs w:val="22"/>
          <w:highlight w:val="white"/>
        </w:rPr>
        <w:t>Strategic Management Journal</w:t>
      </w:r>
      <w:r w:rsidRPr="00342559">
        <w:rPr>
          <w:rFonts w:ascii="Arial" w:hAnsi="Arial" w:cs="Arial"/>
          <w:sz w:val="22"/>
          <w:szCs w:val="22"/>
          <w:highlight w:val="white"/>
        </w:rPr>
        <w:t xml:space="preserve">, </w:t>
      </w:r>
      <w:r w:rsidRPr="00342559">
        <w:rPr>
          <w:rFonts w:ascii="Arial" w:hAnsi="Arial" w:cs="Arial"/>
          <w:b/>
          <w:bCs/>
          <w:sz w:val="22"/>
          <w:szCs w:val="22"/>
          <w:highlight w:val="white"/>
        </w:rPr>
        <w:t>44</w:t>
      </w:r>
      <w:r w:rsidRPr="00342559">
        <w:rPr>
          <w:rFonts w:ascii="Arial" w:hAnsi="Arial" w:cs="Arial"/>
          <w:sz w:val="22"/>
          <w:szCs w:val="22"/>
          <w:highlight w:val="white"/>
        </w:rPr>
        <w:t xml:space="preserve">(1), pp. 343–366. </w:t>
      </w:r>
      <w:r>
        <w:rPr>
          <w:rFonts w:ascii="Arial" w:hAnsi="Arial" w:cs="Arial"/>
          <w:sz w:val="22"/>
          <w:szCs w:val="22"/>
          <w:highlight w:val="white"/>
        </w:rPr>
        <w:t xml:space="preserve">Available at: </w:t>
      </w:r>
      <w:hyperlink r:id="rId17" w:history="1">
        <w:r w:rsidRPr="00940CE8">
          <w:rPr>
            <w:rStyle w:val="Hyperlink"/>
            <w:rFonts w:ascii="Arial" w:hAnsi="Arial" w:cs="Arial"/>
            <w:sz w:val="22"/>
            <w:szCs w:val="22"/>
            <w:highlight w:val="white"/>
          </w:rPr>
          <w:t>https://doi.org/10.1002/smj.3443</w:t>
        </w:r>
      </w:hyperlink>
      <w:r>
        <w:rPr>
          <w:rFonts w:ascii="Arial" w:hAnsi="Arial" w:cs="Arial"/>
          <w:sz w:val="22"/>
          <w:szCs w:val="22"/>
          <w:highlight w:val="white"/>
        </w:rPr>
        <w:t xml:space="preserve"> (Accessed: 3</w:t>
      </w:r>
      <w:r w:rsidRPr="00F67596">
        <w:rPr>
          <w:rFonts w:ascii="Arial" w:hAnsi="Arial" w:cs="Arial"/>
          <w:sz w:val="22"/>
          <w:szCs w:val="22"/>
          <w:highlight w:val="white"/>
          <w:vertAlign w:val="superscript"/>
        </w:rPr>
        <w:t>rd</w:t>
      </w:r>
      <w:r>
        <w:rPr>
          <w:rFonts w:ascii="Arial" w:hAnsi="Arial" w:cs="Arial"/>
          <w:sz w:val="22"/>
          <w:szCs w:val="22"/>
          <w:highlight w:val="white"/>
        </w:rPr>
        <w:t xml:space="preserve"> August 2026).</w:t>
      </w:r>
    </w:p>
    <w:p w14:paraId="21787F1F" w14:textId="77777777" w:rsidR="008955AB" w:rsidRDefault="008955AB" w:rsidP="008955AB">
      <w:pPr>
        <w:spacing w:line="360" w:lineRule="auto"/>
        <w:jc w:val="both"/>
        <w:rPr>
          <w:rFonts w:ascii="Arial" w:hAnsi="Arial" w:cs="Arial"/>
          <w:sz w:val="22"/>
          <w:szCs w:val="22"/>
          <w:highlight w:val="white"/>
        </w:rPr>
      </w:pPr>
      <w:r w:rsidRPr="00AC69CE">
        <w:rPr>
          <w:rFonts w:ascii="Arial" w:hAnsi="Arial" w:cs="Arial"/>
          <w:sz w:val="22"/>
          <w:szCs w:val="22"/>
          <w:highlight w:val="white"/>
        </w:rPr>
        <w:t xml:space="preserve">Khan, A.A. and Khan, F.A. (2022) ‘A cost-efficient radiation monitoring system for nuclear sites: Designing and implementation’, </w:t>
      </w:r>
      <w:r w:rsidRPr="00AC69CE">
        <w:rPr>
          <w:rFonts w:ascii="Arial" w:hAnsi="Arial" w:cs="Arial"/>
          <w:i/>
          <w:iCs/>
          <w:sz w:val="22"/>
          <w:szCs w:val="22"/>
          <w:highlight w:val="white"/>
        </w:rPr>
        <w:t>Intelligent Automation &amp; Soft Computing</w:t>
      </w:r>
      <w:r w:rsidRPr="00AC69CE">
        <w:rPr>
          <w:rFonts w:ascii="Arial" w:hAnsi="Arial" w:cs="Arial"/>
          <w:sz w:val="22"/>
          <w:szCs w:val="22"/>
          <w:highlight w:val="white"/>
        </w:rPr>
        <w:t xml:space="preserve">, </w:t>
      </w:r>
      <w:r w:rsidRPr="00AC69CE">
        <w:rPr>
          <w:rFonts w:ascii="Arial" w:hAnsi="Arial" w:cs="Arial"/>
          <w:b/>
          <w:bCs/>
          <w:sz w:val="22"/>
          <w:szCs w:val="22"/>
          <w:highlight w:val="white"/>
        </w:rPr>
        <w:t>32</w:t>
      </w:r>
      <w:r w:rsidRPr="00AC69CE">
        <w:rPr>
          <w:rFonts w:ascii="Arial" w:hAnsi="Arial" w:cs="Arial"/>
          <w:sz w:val="22"/>
          <w:szCs w:val="22"/>
          <w:highlight w:val="white"/>
        </w:rPr>
        <w:t xml:space="preserve">(3), pp. 1357–1367. </w:t>
      </w:r>
      <w:r>
        <w:rPr>
          <w:rFonts w:ascii="Arial" w:hAnsi="Arial" w:cs="Arial"/>
          <w:sz w:val="22"/>
          <w:szCs w:val="22"/>
          <w:highlight w:val="white"/>
        </w:rPr>
        <w:t xml:space="preserve">Available at: </w:t>
      </w:r>
      <w:hyperlink r:id="rId18" w:history="1">
        <w:r w:rsidRPr="00940CE8">
          <w:rPr>
            <w:rStyle w:val="Hyperlink"/>
            <w:rFonts w:ascii="Arial" w:hAnsi="Arial" w:cs="Arial"/>
            <w:sz w:val="22"/>
            <w:szCs w:val="22"/>
            <w:highlight w:val="white"/>
          </w:rPr>
          <w:t>https://doi.org/10.32604/IASC.2022.022958</w:t>
        </w:r>
      </w:hyperlink>
      <w:r>
        <w:rPr>
          <w:rFonts w:ascii="Arial" w:hAnsi="Arial" w:cs="Arial"/>
          <w:sz w:val="22"/>
          <w:szCs w:val="22"/>
          <w:highlight w:val="white"/>
        </w:rPr>
        <w:t xml:space="preserve"> (Accessed: 6</w:t>
      </w:r>
      <w:r w:rsidRPr="0072469D">
        <w:rPr>
          <w:rFonts w:ascii="Arial" w:hAnsi="Arial" w:cs="Arial"/>
          <w:sz w:val="22"/>
          <w:szCs w:val="22"/>
          <w:highlight w:val="white"/>
          <w:vertAlign w:val="superscript"/>
        </w:rPr>
        <w:t>th</w:t>
      </w:r>
      <w:r>
        <w:rPr>
          <w:rFonts w:ascii="Arial" w:hAnsi="Arial" w:cs="Arial"/>
          <w:sz w:val="22"/>
          <w:szCs w:val="22"/>
          <w:highlight w:val="white"/>
        </w:rPr>
        <w:t xml:space="preserve"> August 2026).</w:t>
      </w:r>
    </w:p>
    <w:p w14:paraId="093D59DE" w14:textId="77777777" w:rsidR="006F5212" w:rsidRPr="007633A0" w:rsidRDefault="006F5212" w:rsidP="006F5212">
      <w:pPr>
        <w:spacing w:line="360" w:lineRule="auto"/>
        <w:jc w:val="both"/>
        <w:rPr>
          <w:rFonts w:ascii="Arial" w:hAnsi="Arial" w:cs="Arial"/>
          <w:sz w:val="22"/>
          <w:szCs w:val="22"/>
          <w:highlight w:val="white"/>
        </w:rPr>
      </w:pPr>
      <w:r w:rsidRPr="00025666">
        <w:rPr>
          <w:rFonts w:ascii="Arial" w:hAnsi="Arial" w:cs="Arial"/>
          <w:sz w:val="22"/>
          <w:szCs w:val="22"/>
          <w:highlight w:val="white"/>
        </w:rPr>
        <w:t>Kujala</w:t>
      </w:r>
      <w:r>
        <w:rPr>
          <w:rFonts w:ascii="Arial" w:hAnsi="Arial" w:cs="Arial"/>
          <w:sz w:val="22"/>
          <w:szCs w:val="22"/>
          <w:highlight w:val="white"/>
        </w:rPr>
        <w:t xml:space="preserve"> et al. (</w:t>
      </w:r>
      <w:r w:rsidRPr="00025666">
        <w:rPr>
          <w:rFonts w:ascii="Arial" w:hAnsi="Arial" w:cs="Arial"/>
          <w:sz w:val="22"/>
          <w:szCs w:val="22"/>
          <w:highlight w:val="white"/>
        </w:rPr>
        <w:t>2022</w:t>
      </w:r>
      <w:r>
        <w:rPr>
          <w:rFonts w:ascii="Arial" w:hAnsi="Arial" w:cs="Arial"/>
          <w:sz w:val="22"/>
          <w:szCs w:val="22"/>
          <w:highlight w:val="white"/>
        </w:rPr>
        <w:t>)</w:t>
      </w:r>
      <w:r w:rsidRPr="00025666">
        <w:rPr>
          <w:rFonts w:ascii="Arial" w:hAnsi="Arial" w:cs="Arial"/>
          <w:sz w:val="22"/>
          <w:szCs w:val="22"/>
          <w:highlight w:val="white"/>
        </w:rPr>
        <w:t xml:space="preserve"> </w:t>
      </w:r>
      <w:r w:rsidRPr="00B7339C">
        <w:rPr>
          <w:rFonts w:ascii="Arial" w:hAnsi="Arial" w:cs="Arial"/>
          <w:i/>
          <w:iCs/>
          <w:sz w:val="22"/>
          <w:szCs w:val="22"/>
          <w:highlight w:val="white"/>
        </w:rPr>
        <w:t>‘</w:t>
      </w:r>
      <w:r w:rsidRPr="0066514C">
        <w:rPr>
          <w:rFonts w:ascii="Arial" w:hAnsi="Arial" w:cs="Arial"/>
          <w:sz w:val="22"/>
          <w:szCs w:val="22"/>
          <w:highlight w:val="white"/>
        </w:rPr>
        <w:t>Stakeholder engagement: Past, present, and future’</w:t>
      </w:r>
      <w:r w:rsidRPr="00B7339C">
        <w:rPr>
          <w:rFonts w:ascii="Arial" w:hAnsi="Arial" w:cs="Arial"/>
          <w:i/>
          <w:iCs/>
          <w:sz w:val="22"/>
          <w:szCs w:val="22"/>
          <w:highlight w:val="white"/>
        </w:rPr>
        <w:t xml:space="preserve">, Business &amp; Society, </w:t>
      </w:r>
      <w:r w:rsidRPr="00B7339C">
        <w:rPr>
          <w:rFonts w:ascii="Arial" w:hAnsi="Arial" w:cs="Arial"/>
          <w:b/>
          <w:bCs/>
          <w:i/>
          <w:iCs/>
          <w:sz w:val="22"/>
          <w:szCs w:val="22"/>
          <w:highlight w:val="white"/>
        </w:rPr>
        <w:t>61</w:t>
      </w:r>
      <w:r w:rsidRPr="00B7339C">
        <w:rPr>
          <w:rFonts w:ascii="Arial" w:hAnsi="Arial" w:cs="Arial"/>
          <w:i/>
          <w:iCs/>
          <w:sz w:val="22"/>
          <w:szCs w:val="22"/>
          <w:highlight w:val="white"/>
        </w:rPr>
        <w:t>(5), pp. 1136–1196.</w:t>
      </w:r>
      <w:r>
        <w:rPr>
          <w:rFonts w:ascii="Arial" w:hAnsi="Arial" w:cs="Arial"/>
          <w:i/>
          <w:iCs/>
          <w:sz w:val="22"/>
          <w:szCs w:val="22"/>
          <w:highlight w:val="white"/>
        </w:rPr>
        <w:t xml:space="preserve"> </w:t>
      </w:r>
      <w:r>
        <w:rPr>
          <w:rFonts w:ascii="Arial" w:hAnsi="Arial" w:cs="Arial"/>
          <w:sz w:val="22"/>
          <w:szCs w:val="22"/>
          <w:highlight w:val="white"/>
        </w:rPr>
        <w:t xml:space="preserve">Available at: </w:t>
      </w:r>
      <w:hyperlink r:id="rId19" w:history="1">
        <w:r w:rsidRPr="006F5212">
          <w:rPr>
            <w:rStyle w:val="Hyperlink"/>
            <w:rFonts w:ascii="Arial" w:hAnsi="Arial" w:cs="Arial"/>
            <w:sz w:val="22"/>
            <w:szCs w:val="22"/>
            <w:highlight w:val="white"/>
          </w:rPr>
          <w:t>https://doi.org/10.1177/00076503211066595</w:t>
        </w:r>
      </w:hyperlink>
      <w:r w:rsidRPr="006F5212">
        <w:rPr>
          <w:rFonts w:ascii="Arial" w:hAnsi="Arial" w:cs="Arial"/>
          <w:sz w:val="22"/>
          <w:szCs w:val="22"/>
          <w:highlight w:val="white"/>
        </w:rPr>
        <w:t xml:space="preserve"> </w:t>
      </w:r>
      <w:r>
        <w:rPr>
          <w:rFonts w:ascii="Arial" w:hAnsi="Arial" w:cs="Arial"/>
          <w:sz w:val="22"/>
          <w:szCs w:val="22"/>
          <w:highlight w:val="white"/>
        </w:rPr>
        <w:t>(Accessed: 4</w:t>
      </w:r>
      <w:r w:rsidRPr="00FC6043">
        <w:rPr>
          <w:rFonts w:ascii="Arial" w:hAnsi="Arial" w:cs="Arial"/>
          <w:sz w:val="22"/>
          <w:szCs w:val="22"/>
          <w:highlight w:val="white"/>
          <w:vertAlign w:val="superscript"/>
        </w:rPr>
        <w:t>th</w:t>
      </w:r>
      <w:r>
        <w:rPr>
          <w:rFonts w:ascii="Arial" w:hAnsi="Arial" w:cs="Arial"/>
          <w:sz w:val="22"/>
          <w:szCs w:val="22"/>
          <w:highlight w:val="white"/>
        </w:rPr>
        <w:t xml:space="preserve"> August 2026).</w:t>
      </w:r>
    </w:p>
    <w:p w14:paraId="3447E7D8" w14:textId="77777777" w:rsidR="0095741B" w:rsidRDefault="0095741B" w:rsidP="0095741B">
      <w:pPr>
        <w:spacing w:line="360" w:lineRule="auto"/>
        <w:jc w:val="both"/>
        <w:rPr>
          <w:rFonts w:ascii="Arial" w:hAnsi="Arial" w:cs="Arial"/>
          <w:color w:val="222222"/>
          <w:sz w:val="22"/>
          <w:szCs w:val="22"/>
        </w:rPr>
      </w:pPr>
      <w:r w:rsidRPr="00E74043">
        <w:rPr>
          <w:rFonts w:ascii="Arial" w:hAnsi="Arial" w:cs="Arial"/>
          <w:color w:val="222222"/>
          <w:sz w:val="22"/>
          <w:szCs w:val="22"/>
        </w:rPr>
        <w:t xml:space="preserve">Lynch, R. (2018) </w:t>
      </w:r>
      <w:r w:rsidRPr="00E74043">
        <w:rPr>
          <w:rFonts w:ascii="Arial" w:hAnsi="Arial" w:cs="Arial"/>
          <w:i/>
          <w:iCs/>
          <w:color w:val="222222"/>
          <w:sz w:val="22"/>
          <w:szCs w:val="22"/>
        </w:rPr>
        <w:t>Strategic management</w:t>
      </w:r>
      <w:r w:rsidRPr="00E74043">
        <w:rPr>
          <w:rFonts w:ascii="Arial" w:hAnsi="Arial" w:cs="Arial"/>
          <w:color w:val="222222"/>
          <w:sz w:val="22"/>
          <w:szCs w:val="22"/>
        </w:rPr>
        <w:t xml:space="preserve">. 8th </w:t>
      </w:r>
      <w:proofErr w:type="spellStart"/>
      <w:r w:rsidRPr="00E74043">
        <w:rPr>
          <w:rFonts w:ascii="Arial" w:hAnsi="Arial" w:cs="Arial"/>
          <w:color w:val="222222"/>
          <w:sz w:val="22"/>
          <w:szCs w:val="22"/>
        </w:rPr>
        <w:t>edn</w:t>
      </w:r>
      <w:proofErr w:type="spellEnd"/>
      <w:r w:rsidRPr="00E74043">
        <w:rPr>
          <w:rFonts w:ascii="Arial" w:hAnsi="Arial" w:cs="Arial"/>
          <w:color w:val="222222"/>
          <w:sz w:val="22"/>
          <w:szCs w:val="22"/>
        </w:rPr>
        <w:t>. Harlow: Pearson.</w:t>
      </w:r>
    </w:p>
    <w:p w14:paraId="481063A9" w14:textId="77777777" w:rsidR="00A81F09" w:rsidRDefault="00A81F09" w:rsidP="00A81F09">
      <w:pPr>
        <w:spacing w:line="360" w:lineRule="auto"/>
        <w:jc w:val="both"/>
        <w:rPr>
          <w:rFonts w:ascii="Arial" w:hAnsi="Arial" w:cs="Arial"/>
          <w:sz w:val="22"/>
          <w:szCs w:val="22"/>
          <w:highlight w:val="white"/>
        </w:rPr>
      </w:pPr>
      <w:r w:rsidRPr="007C4E04">
        <w:rPr>
          <w:rFonts w:ascii="Arial" w:hAnsi="Arial" w:cs="Arial"/>
          <w:sz w:val="22"/>
          <w:szCs w:val="22"/>
          <w:highlight w:val="white"/>
        </w:rPr>
        <w:t xml:space="preserve">McGahan, A.M. (2023) ‘The new stakeholder theory on organizational purpose’, </w:t>
      </w:r>
      <w:r w:rsidRPr="007C4E04">
        <w:rPr>
          <w:rFonts w:ascii="Arial" w:hAnsi="Arial" w:cs="Arial"/>
          <w:i/>
          <w:iCs/>
          <w:sz w:val="22"/>
          <w:szCs w:val="22"/>
          <w:highlight w:val="white"/>
        </w:rPr>
        <w:t>Strategy Science</w:t>
      </w:r>
      <w:r w:rsidRPr="007C4E04">
        <w:rPr>
          <w:rFonts w:ascii="Arial" w:hAnsi="Arial" w:cs="Arial"/>
          <w:sz w:val="22"/>
          <w:szCs w:val="22"/>
          <w:highlight w:val="white"/>
        </w:rPr>
        <w:t xml:space="preserve">, </w:t>
      </w:r>
      <w:r w:rsidRPr="007C4E04">
        <w:rPr>
          <w:rFonts w:ascii="Arial" w:hAnsi="Arial" w:cs="Arial"/>
          <w:b/>
          <w:bCs/>
          <w:sz w:val="22"/>
          <w:szCs w:val="22"/>
          <w:highlight w:val="white"/>
        </w:rPr>
        <w:t>8</w:t>
      </w:r>
      <w:r w:rsidRPr="007C4E04">
        <w:rPr>
          <w:rFonts w:ascii="Arial" w:hAnsi="Arial" w:cs="Arial"/>
          <w:sz w:val="22"/>
          <w:szCs w:val="22"/>
          <w:highlight w:val="white"/>
        </w:rPr>
        <w:t xml:space="preserve">(2), pp. 245–255. </w:t>
      </w:r>
      <w:r>
        <w:rPr>
          <w:rFonts w:ascii="Arial" w:hAnsi="Arial" w:cs="Arial"/>
          <w:sz w:val="22"/>
          <w:szCs w:val="22"/>
          <w:highlight w:val="white"/>
        </w:rPr>
        <w:t xml:space="preserve">Available at: </w:t>
      </w:r>
      <w:hyperlink r:id="rId20" w:history="1">
        <w:r w:rsidRPr="00940CE8">
          <w:rPr>
            <w:rStyle w:val="Hyperlink"/>
            <w:rFonts w:ascii="Arial" w:hAnsi="Arial" w:cs="Arial"/>
            <w:sz w:val="22"/>
            <w:szCs w:val="22"/>
            <w:highlight w:val="white"/>
          </w:rPr>
          <w:t>https://doi.org/10.1287/stsc.2022.0171</w:t>
        </w:r>
      </w:hyperlink>
      <w:r>
        <w:rPr>
          <w:rFonts w:ascii="Arial" w:hAnsi="Arial" w:cs="Arial"/>
          <w:sz w:val="22"/>
          <w:szCs w:val="22"/>
          <w:highlight w:val="white"/>
        </w:rPr>
        <w:t xml:space="preserve"> (Accessed: 5</w:t>
      </w:r>
      <w:r w:rsidRPr="00A84084">
        <w:rPr>
          <w:rFonts w:ascii="Arial" w:hAnsi="Arial" w:cs="Arial"/>
          <w:sz w:val="22"/>
          <w:szCs w:val="22"/>
          <w:highlight w:val="white"/>
          <w:vertAlign w:val="superscript"/>
        </w:rPr>
        <w:t>th</w:t>
      </w:r>
      <w:r>
        <w:rPr>
          <w:rFonts w:ascii="Arial" w:hAnsi="Arial" w:cs="Arial"/>
          <w:sz w:val="22"/>
          <w:szCs w:val="22"/>
          <w:highlight w:val="white"/>
        </w:rPr>
        <w:t xml:space="preserve"> August 2026).</w:t>
      </w:r>
    </w:p>
    <w:p w14:paraId="2DD12C00" w14:textId="5C2890EE" w:rsidR="0045061B" w:rsidRDefault="0045061B" w:rsidP="00A81F09">
      <w:pPr>
        <w:spacing w:line="360" w:lineRule="auto"/>
        <w:jc w:val="both"/>
        <w:rPr>
          <w:rFonts w:ascii="Arial" w:hAnsi="Arial" w:cs="Arial"/>
          <w:sz w:val="22"/>
          <w:szCs w:val="22"/>
          <w:highlight w:val="white"/>
        </w:rPr>
      </w:pPr>
      <w:r w:rsidRPr="008E7605">
        <w:rPr>
          <w:rFonts w:ascii="Arial" w:hAnsi="Arial" w:cs="Arial"/>
          <w:sz w:val="22"/>
          <w:szCs w:val="22"/>
          <w:highlight w:val="white"/>
        </w:rPr>
        <w:t xml:space="preserve">Mendelow, A.L. (1991) 'Stakeholder Mapping'. </w:t>
      </w:r>
      <w:r w:rsidRPr="008E7605">
        <w:rPr>
          <w:rFonts w:ascii="Arial" w:hAnsi="Arial" w:cs="Arial"/>
          <w:i/>
          <w:iCs/>
          <w:sz w:val="22"/>
          <w:szCs w:val="22"/>
          <w:highlight w:val="white"/>
        </w:rPr>
        <w:t>Proceedings of the 2nd International Conference on Information Systems</w:t>
      </w:r>
      <w:r w:rsidRPr="008E7605">
        <w:rPr>
          <w:rFonts w:ascii="Arial" w:hAnsi="Arial" w:cs="Arial"/>
          <w:sz w:val="22"/>
          <w:szCs w:val="22"/>
          <w:highlight w:val="white"/>
        </w:rPr>
        <w:t>.</w:t>
      </w:r>
    </w:p>
    <w:p w14:paraId="4522D654" w14:textId="77777777" w:rsidR="009D7383" w:rsidRDefault="009D7383" w:rsidP="009D7383">
      <w:pPr>
        <w:spacing w:line="360" w:lineRule="auto"/>
        <w:jc w:val="both"/>
        <w:rPr>
          <w:rFonts w:ascii="Arial" w:hAnsi="Arial" w:cs="Arial"/>
          <w:sz w:val="22"/>
          <w:szCs w:val="22"/>
          <w:highlight w:val="white"/>
        </w:rPr>
      </w:pPr>
      <w:proofErr w:type="spellStart"/>
      <w:r w:rsidRPr="00025666">
        <w:rPr>
          <w:rFonts w:ascii="Arial" w:hAnsi="Arial" w:cs="Arial"/>
          <w:sz w:val="22"/>
          <w:szCs w:val="22"/>
          <w:highlight w:val="white"/>
        </w:rPr>
        <w:t>Ndzabukelwako</w:t>
      </w:r>
      <w:proofErr w:type="spellEnd"/>
      <w:r w:rsidRPr="00025666">
        <w:rPr>
          <w:rFonts w:ascii="Arial" w:hAnsi="Arial" w:cs="Arial"/>
          <w:sz w:val="22"/>
          <w:szCs w:val="22"/>
          <w:highlight w:val="white"/>
        </w:rPr>
        <w:t>, Z.</w:t>
      </w:r>
      <w:r>
        <w:rPr>
          <w:rFonts w:ascii="Arial" w:hAnsi="Arial" w:cs="Arial"/>
          <w:sz w:val="22"/>
          <w:szCs w:val="22"/>
          <w:highlight w:val="white"/>
        </w:rPr>
        <w:t xml:space="preserve"> et al. (</w:t>
      </w:r>
      <w:r w:rsidRPr="00025666">
        <w:rPr>
          <w:rFonts w:ascii="Arial" w:hAnsi="Arial" w:cs="Arial"/>
          <w:sz w:val="22"/>
          <w:szCs w:val="22"/>
          <w:highlight w:val="white"/>
        </w:rPr>
        <w:t>2024</w:t>
      </w:r>
      <w:r>
        <w:rPr>
          <w:rFonts w:ascii="Arial" w:hAnsi="Arial" w:cs="Arial"/>
          <w:sz w:val="22"/>
          <w:szCs w:val="22"/>
          <w:highlight w:val="white"/>
        </w:rPr>
        <w:t xml:space="preserve">) </w:t>
      </w:r>
      <w:r w:rsidRPr="003E77CB">
        <w:rPr>
          <w:rFonts w:ascii="Arial" w:hAnsi="Arial" w:cs="Arial"/>
          <w:i/>
          <w:iCs/>
          <w:sz w:val="22"/>
          <w:szCs w:val="22"/>
          <w:highlight w:val="white"/>
        </w:rPr>
        <w:t xml:space="preserve">‘The impact of Porter’s five forces model on SMEs performance: A systematic review’. SSRN Electronic Journal. </w:t>
      </w:r>
      <w:r w:rsidRPr="00D64856">
        <w:rPr>
          <w:rFonts w:ascii="Arial" w:hAnsi="Arial" w:cs="Arial"/>
          <w:sz w:val="22"/>
          <w:szCs w:val="22"/>
          <w:highlight w:val="white"/>
        </w:rPr>
        <w:t xml:space="preserve">Available at: </w:t>
      </w:r>
      <w:hyperlink r:id="rId21" w:tgtFrame="_new" w:history="1">
        <w:r w:rsidRPr="00D64856">
          <w:rPr>
            <w:rStyle w:val="Hyperlink"/>
            <w:rFonts w:ascii="Arial" w:hAnsi="Arial" w:cs="Arial"/>
            <w:sz w:val="22"/>
            <w:szCs w:val="22"/>
            <w:highlight w:val="white"/>
          </w:rPr>
          <w:t>https://doi.org/10.2139/ssrn.4999059</w:t>
        </w:r>
      </w:hyperlink>
      <w:r>
        <w:rPr>
          <w:rFonts w:ascii="Arial" w:hAnsi="Arial" w:cs="Arial"/>
          <w:sz w:val="22"/>
          <w:szCs w:val="22"/>
          <w:highlight w:val="white"/>
        </w:rPr>
        <w:t xml:space="preserve"> (Accessed: 3</w:t>
      </w:r>
      <w:r w:rsidRPr="00B0230E">
        <w:rPr>
          <w:rFonts w:ascii="Arial" w:hAnsi="Arial" w:cs="Arial"/>
          <w:sz w:val="22"/>
          <w:szCs w:val="22"/>
          <w:highlight w:val="white"/>
          <w:vertAlign w:val="superscript"/>
        </w:rPr>
        <w:t>rd</w:t>
      </w:r>
      <w:r>
        <w:rPr>
          <w:rFonts w:ascii="Arial" w:hAnsi="Arial" w:cs="Arial"/>
          <w:sz w:val="22"/>
          <w:szCs w:val="22"/>
          <w:highlight w:val="white"/>
        </w:rPr>
        <w:t xml:space="preserve"> August 2026).</w:t>
      </w:r>
    </w:p>
    <w:p w14:paraId="2421CFC7" w14:textId="77777777" w:rsidR="0094077C" w:rsidRDefault="00BF6759" w:rsidP="005640A5">
      <w:pPr>
        <w:spacing w:line="360" w:lineRule="auto"/>
        <w:jc w:val="both"/>
        <w:rPr>
          <w:rFonts w:ascii="Arial" w:hAnsi="Arial" w:cs="Arial"/>
          <w:sz w:val="22"/>
          <w:szCs w:val="22"/>
          <w:highlight w:val="white"/>
        </w:rPr>
      </w:pPr>
      <w:r w:rsidRPr="00BF6759">
        <w:rPr>
          <w:rFonts w:ascii="Arial" w:hAnsi="Arial" w:cs="Arial"/>
          <w:sz w:val="22"/>
          <w:szCs w:val="22"/>
          <w:highlight w:val="white"/>
        </w:rPr>
        <w:t xml:space="preserve">Sanchita, S. (2022) ‘An Analysis of the Vodafone and Idea Merger’, </w:t>
      </w:r>
      <w:r w:rsidRPr="00BF6759">
        <w:rPr>
          <w:rFonts w:ascii="Arial" w:hAnsi="Arial" w:cs="Arial"/>
          <w:i/>
          <w:iCs/>
          <w:sz w:val="22"/>
          <w:szCs w:val="22"/>
          <w:highlight w:val="white"/>
        </w:rPr>
        <w:t>Indian Journal of Law and Legal Research</w:t>
      </w:r>
      <w:r w:rsidRPr="00BF6759">
        <w:rPr>
          <w:rFonts w:ascii="Arial" w:hAnsi="Arial" w:cs="Arial"/>
          <w:sz w:val="22"/>
          <w:szCs w:val="22"/>
          <w:highlight w:val="white"/>
        </w:rPr>
        <w:t>, 4(3), p. 1.</w:t>
      </w:r>
    </w:p>
    <w:p w14:paraId="63AC9E85" w14:textId="4DDFF75F" w:rsidR="005640A5" w:rsidRDefault="005640A5" w:rsidP="005640A5">
      <w:pPr>
        <w:spacing w:line="360" w:lineRule="auto"/>
        <w:jc w:val="both"/>
        <w:rPr>
          <w:rFonts w:ascii="Arial" w:hAnsi="Arial" w:cs="Arial"/>
          <w:i/>
          <w:iCs/>
          <w:sz w:val="22"/>
          <w:szCs w:val="22"/>
          <w:highlight w:val="white"/>
        </w:rPr>
      </w:pPr>
      <w:r w:rsidRPr="00025666">
        <w:rPr>
          <w:rFonts w:ascii="Arial" w:hAnsi="Arial" w:cs="Arial"/>
          <w:sz w:val="22"/>
          <w:szCs w:val="22"/>
          <w:highlight w:val="white"/>
        </w:rPr>
        <w:t>Schlund, D., Schulte, S. and Sprenger, T.</w:t>
      </w:r>
      <w:r>
        <w:rPr>
          <w:rFonts w:ascii="Arial" w:hAnsi="Arial" w:cs="Arial"/>
          <w:sz w:val="22"/>
          <w:szCs w:val="22"/>
          <w:highlight w:val="white"/>
        </w:rPr>
        <w:t xml:space="preserve"> (</w:t>
      </w:r>
      <w:r w:rsidRPr="00025666">
        <w:rPr>
          <w:rFonts w:ascii="Arial" w:hAnsi="Arial" w:cs="Arial"/>
          <w:sz w:val="22"/>
          <w:szCs w:val="22"/>
          <w:highlight w:val="white"/>
        </w:rPr>
        <w:t>2022.</w:t>
      </w:r>
      <w:r>
        <w:rPr>
          <w:rFonts w:ascii="Arial" w:hAnsi="Arial" w:cs="Arial"/>
          <w:sz w:val="22"/>
          <w:szCs w:val="22"/>
          <w:highlight w:val="white"/>
        </w:rPr>
        <w:t>)</w:t>
      </w:r>
      <w:r w:rsidRPr="00025666">
        <w:rPr>
          <w:rFonts w:ascii="Arial" w:hAnsi="Arial" w:cs="Arial"/>
          <w:sz w:val="22"/>
          <w:szCs w:val="22"/>
          <w:highlight w:val="white"/>
        </w:rPr>
        <w:t xml:space="preserve"> </w:t>
      </w:r>
      <w:r w:rsidRPr="00DD7AD0">
        <w:rPr>
          <w:rFonts w:ascii="Arial" w:hAnsi="Arial" w:cs="Arial"/>
          <w:i/>
          <w:iCs/>
          <w:sz w:val="22"/>
          <w:szCs w:val="22"/>
          <w:highlight w:val="white"/>
        </w:rPr>
        <w:t xml:space="preserve">‘The who’s who of a hydrogen market ramp-up: A stakeholder analysis for Germany’, Renewable and Sustainable Energy Reviews, </w:t>
      </w:r>
      <w:r w:rsidRPr="00DD7AD0">
        <w:rPr>
          <w:rFonts w:ascii="Arial" w:hAnsi="Arial" w:cs="Arial"/>
          <w:b/>
          <w:bCs/>
          <w:i/>
          <w:iCs/>
          <w:sz w:val="22"/>
          <w:szCs w:val="22"/>
          <w:highlight w:val="white"/>
        </w:rPr>
        <w:t>154</w:t>
      </w:r>
      <w:r w:rsidRPr="00DD7AD0">
        <w:rPr>
          <w:rFonts w:ascii="Arial" w:hAnsi="Arial" w:cs="Arial"/>
          <w:i/>
          <w:iCs/>
          <w:sz w:val="22"/>
          <w:szCs w:val="22"/>
          <w:highlight w:val="white"/>
        </w:rPr>
        <w:t xml:space="preserve">, </w:t>
      </w:r>
      <w:r w:rsidRPr="00DD7AD0">
        <w:rPr>
          <w:rFonts w:ascii="Arial" w:hAnsi="Arial" w:cs="Arial"/>
          <w:i/>
          <w:iCs/>
          <w:sz w:val="22"/>
          <w:szCs w:val="22"/>
          <w:highlight w:val="white"/>
        </w:rPr>
        <w:lastRenderedPageBreak/>
        <w:t xml:space="preserve">p. 111810. </w:t>
      </w:r>
      <w:r>
        <w:rPr>
          <w:rFonts w:ascii="Arial" w:hAnsi="Arial" w:cs="Arial"/>
          <w:sz w:val="22"/>
          <w:szCs w:val="22"/>
          <w:highlight w:val="white"/>
        </w:rPr>
        <w:t xml:space="preserve">Available at: </w:t>
      </w:r>
      <w:hyperlink r:id="rId22" w:history="1">
        <w:r w:rsidRPr="00940CE8">
          <w:rPr>
            <w:rStyle w:val="Hyperlink"/>
            <w:rFonts w:ascii="Arial" w:hAnsi="Arial" w:cs="Arial"/>
            <w:sz w:val="22"/>
            <w:szCs w:val="22"/>
            <w:highlight w:val="white"/>
          </w:rPr>
          <w:t>https://doi.org/10.1016/j.rser.2021.111810</w:t>
        </w:r>
      </w:hyperlink>
      <w:r>
        <w:rPr>
          <w:rFonts w:ascii="Arial" w:hAnsi="Arial" w:cs="Arial"/>
          <w:sz w:val="22"/>
          <w:szCs w:val="22"/>
          <w:highlight w:val="white"/>
        </w:rPr>
        <w:t xml:space="preserve"> (Accessed: 4th August 2026).</w:t>
      </w:r>
    </w:p>
    <w:p w14:paraId="1F38E40E" w14:textId="77777777" w:rsidR="00FD7D10" w:rsidRDefault="00FD7D10" w:rsidP="00FD7D10">
      <w:pPr>
        <w:spacing w:line="360" w:lineRule="auto"/>
        <w:jc w:val="both"/>
        <w:rPr>
          <w:rFonts w:ascii="Arial" w:hAnsi="Arial" w:cs="Arial"/>
          <w:sz w:val="22"/>
          <w:szCs w:val="22"/>
          <w:highlight w:val="white"/>
        </w:rPr>
      </w:pPr>
      <w:r w:rsidRPr="002F4F93">
        <w:rPr>
          <w:rFonts w:ascii="Arial" w:hAnsi="Arial" w:cs="Arial"/>
          <w:sz w:val="22"/>
          <w:szCs w:val="22"/>
          <w:highlight w:val="white"/>
        </w:rPr>
        <w:t xml:space="preserve">Simões, J.S. (2024) </w:t>
      </w:r>
      <w:r w:rsidRPr="002F4F93">
        <w:rPr>
          <w:rFonts w:ascii="Arial" w:hAnsi="Arial" w:cs="Arial"/>
          <w:i/>
          <w:iCs/>
          <w:sz w:val="22"/>
          <w:szCs w:val="22"/>
          <w:highlight w:val="white"/>
        </w:rPr>
        <w:t>Equity research of Vodafone Group Plc</w:t>
      </w:r>
      <w:r w:rsidRPr="002F4F93">
        <w:rPr>
          <w:rFonts w:ascii="Arial" w:hAnsi="Arial" w:cs="Arial"/>
          <w:sz w:val="22"/>
          <w:szCs w:val="22"/>
          <w:highlight w:val="white"/>
        </w:rPr>
        <w:t xml:space="preserve">. Master's thesis. Faculty of Economics, University of Porto. Available at: </w:t>
      </w:r>
      <w:hyperlink r:id="rId23" w:tgtFrame="_new" w:history="1">
        <w:r w:rsidRPr="002F4F93">
          <w:rPr>
            <w:rStyle w:val="Hyperlink"/>
            <w:rFonts w:ascii="Arial" w:hAnsi="Arial" w:cs="Arial"/>
            <w:sz w:val="22"/>
            <w:szCs w:val="22"/>
            <w:highlight w:val="white"/>
          </w:rPr>
          <w:t>https://vskp.vse.cz/english/93102</w:t>
        </w:r>
      </w:hyperlink>
      <w:r>
        <w:rPr>
          <w:rFonts w:ascii="Arial" w:hAnsi="Arial" w:cs="Arial"/>
          <w:sz w:val="22"/>
          <w:szCs w:val="22"/>
          <w:highlight w:val="white"/>
        </w:rPr>
        <w:t xml:space="preserve"> (Accessed: 3</w:t>
      </w:r>
      <w:r w:rsidRPr="000B2C06">
        <w:rPr>
          <w:rFonts w:ascii="Arial" w:hAnsi="Arial" w:cs="Arial"/>
          <w:sz w:val="22"/>
          <w:szCs w:val="22"/>
          <w:highlight w:val="white"/>
          <w:vertAlign w:val="superscript"/>
        </w:rPr>
        <w:t>rd</w:t>
      </w:r>
      <w:r>
        <w:rPr>
          <w:rFonts w:ascii="Arial" w:hAnsi="Arial" w:cs="Arial"/>
          <w:sz w:val="22"/>
          <w:szCs w:val="22"/>
          <w:highlight w:val="white"/>
        </w:rPr>
        <w:t xml:space="preserve"> August 2026). </w:t>
      </w:r>
    </w:p>
    <w:p w14:paraId="132103A9" w14:textId="77777777" w:rsidR="00880EED" w:rsidRDefault="00880EED" w:rsidP="00880EED">
      <w:pPr>
        <w:spacing w:line="360" w:lineRule="auto"/>
        <w:jc w:val="both"/>
        <w:rPr>
          <w:rFonts w:ascii="Arial" w:hAnsi="Arial" w:cs="Arial"/>
          <w:sz w:val="22"/>
          <w:szCs w:val="22"/>
        </w:rPr>
      </w:pPr>
      <w:proofErr w:type="spellStart"/>
      <w:r w:rsidRPr="00B606B8">
        <w:rPr>
          <w:rFonts w:ascii="Arial" w:hAnsi="Arial" w:cs="Arial"/>
          <w:sz w:val="22"/>
          <w:szCs w:val="22"/>
          <w:highlight w:val="white"/>
        </w:rPr>
        <w:t>Thayyil</w:t>
      </w:r>
      <w:proofErr w:type="spellEnd"/>
      <w:r w:rsidRPr="00B606B8">
        <w:rPr>
          <w:rFonts w:ascii="Arial" w:hAnsi="Arial" w:cs="Arial"/>
          <w:sz w:val="22"/>
          <w:szCs w:val="22"/>
          <w:highlight w:val="white"/>
        </w:rPr>
        <w:t xml:space="preserve">, S. and Baruah, P. (2026) ‘The 5G era – “Opportunity” for Vodafone Idea Ltd’, </w:t>
      </w:r>
      <w:r w:rsidRPr="00B606B8">
        <w:rPr>
          <w:rFonts w:ascii="Arial" w:hAnsi="Arial" w:cs="Arial"/>
          <w:i/>
          <w:iCs/>
          <w:sz w:val="22"/>
          <w:szCs w:val="22"/>
          <w:highlight w:val="white"/>
        </w:rPr>
        <w:t>Emerald Emerging Markets Case Studies</w:t>
      </w:r>
      <w:r w:rsidRPr="00B606B8">
        <w:rPr>
          <w:rFonts w:ascii="Arial" w:hAnsi="Arial" w:cs="Arial"/>
          <w:sz w:val="22"/>
          <w:szCs w:val="22"/>
          <w:highlight w:val="white"/>
        </w:rPr>
        <w:t xml:space="preserve">, </w:t>
      </w:r>
      <w:r w:rsidRPr="00B606B8">
        <w:rPr>
          <w:rFonts w:ascii="Arial" w:hAnsi="Arial" w:cs="Arial"/>
          <w:b/>
          <w:bCs/>
          <w:sz w:val="22"/>
          <w:szCs w:val="22"/>
          <w:highlight w:val="white"/>
        </w:rPr>
        <w:t>16</w:t>
      </w:r>
      <w:r w:rsidRPr="00B606B8">
        <w:rPr>
          <w:rFonts w:ascii="Arial" w:hAnsi="Arial" w:cs="Arial"/>
          <w:sz w:val="22"/>
          <w:szCs w:val="22"/>
          <w:highlight w:val="white"/>
        </w:rPr>
        <w:t xml:space="preserve">(1), pp. 1–16. </w:t>
      </w:r>
      <w:r>
        <w:rPr>
          <w:rFonts w:ascii="Arial" w:hAnsi="Arial" w:cs="Arial"/>
          <w:sz w:val="22"/>
          <w:szCs w:val="22"/>
          <w:highlight w:val="white"/>
        </w:rPr>
        <w:t xml:space="preserve">Available at: </w:t>
      </w:r>
      <w:hyperlink r:id="rId24" w:history="1">
        <w:r w:rsidRPr="00940CE8">
          <w:rPr>
            <w:rStyle w:val="Hyperlink"/>
            <w:rFonts w:ascii="Arial" w:hAnsi="Arial" w:cs="Arial"/>
            <w:sz w:val="22"/>
            <w:szCs w:val="22"/>
            <w:highlight w:val="white"/>
          </w:rPr>
          <w:t>https://doi.org/10.1108/EEMCS-07-2025-0263</w:t>
        </w:r>
      </w:hyperlink>
      <w:r>
        <w:rPr>
          <w:rFonts w:ascii="Arial" w:hAnsi="Arial" w:cs="Arial"/>
          <w:sz w:val="22"/>
          <w:szCs w:val="22"/>
        </w:rPr>
        <w:t xml:space="preserve"> (Accessed: 4</w:t>
      </w:r>
      <w:r w:rsidRPr="00227E5A">
        <w:rPr>
          <w:rFonts w:ascii="Arial" w:hAnsi="Arial" w:cs="Arial"/>
          <w:sz w:val="22"/>
          <w:szCs w:val="22"/>
          <w:vertAlign w:val="superscript"/>
        </w:rPr>
        <w:t>th</w:t>
      </w:r>
      <w:r>
        <w:rPr>
          <w:rFonts w:ascii="Arial" w:hAnsi="Arial" w:cs="Arial"/>
          <w:sz w:val="22"/>
          <w:szCs w:val="22"/>
        </w:rPr>
        <w:t xml:space="preserve"> August 2026).</w:t>
      </w:r>
    </w:p>
    <w:p w14:paraId="7397997C" w14:textId="4073CE0C" w:rsidR="007A1A0A" w:rsidRDefault="007A1A0A" w:rsidP="00880EED">
      <w:pPr>
        <w:spacing w:line="360" w:lineRule="auto"/>
        <w:jc w:val="both"/>
        <w:rPr>
          <w:rFonts w:ascii="Arial" w:hAnsi="Arial" w:cs="Arial"/>
          <w:sz w:val="22"/>
          <w:szCs w:val="22"/>
        </w:rPr>
      </w:pPr>
      <w:r>
        <w:rPr>
          <w:rFonts w:ascii="Arial" w:hAnsi="Arial" w:cs="Arial"/>
          <w:sz w:val="22"/>
          <w:szCs w:val="22"/>
        </w:rPr>
        <w:t xml:space="preserve">Vodafone Group (2026) </w:t>
      </w:r>
      <w:r w:rsidRPr="00B91381">
        <w:rPr>
          <w:rFonts w:ascii="Arial" w:hAnsi="Arial" w:cs="Arial"/>
          <w:i/>
          <w:iCs/>
          <w:sz w:val="22"/>
          <w:szCs w:val="22"/>
        </w:rPr>
        <w:t>Our Strategic Priorities</w:t>
      </w:r>
      <w:r>
        <w:rPr>
          <w:rFonts w:ascii="Arial" w:hAnsi="Arial" w:cs="Arial"/>
          <w:i/>
          <w:iCs/>
          <w:sz w:val="22"/>
          <w:szCs w:val="22"/>
        </w:rPr>
        <w:t xml:space="preserve">. </w:t>
      </w:r>
      <w:r>
        <w:rPr>
          <w:rFonts w:ascii="Arial" w:hAnsi="Arial" w:cs="Arial"/>
          <w:sz w:val="22"/>
          <w:szCs w:val="22"/>
        </w:rPr>
        <w:t xml:space="preserve">Available at: </w:t>
      </w:r>
      <w:hyperlink r:id="rId25" w:history="1">
        <w:r w:rsidRPr="000612C1">
          <w:rPr>
            <w:rStyle w:val="Hyperlink"/>
            <w:rFonts w:ascii="Arial" w:hAnsi="Arial" w:cs="Arial"/>
            <w:sz w:val="22"/>
            <w:szCs w:val="22"/>
          </w:rPr>
          <w:t>https://www.vodafone.com/our-company/our-strategic-priorities</w:t>
        </w:r>
      </w:hyperlink>
      <w:r>
        <w:rPr>
          <w:rFonts w:ascii="Arial" w:hAnsi="Arial" w:cs="Arial"/>
          <w:sz w:val="22"/>
          <w:szCs w:val="22"/>
        </w:rPr>
        <w:t xml:space="preserve"> (Accessed: 3</w:t>
      </w:r>
      <w:r w:rsidRPr="00E03B14">
        <w:rPr>
          <w:rFonts w:ascii="Arial" w:hAnsi="Arial" w:cs="Arial"/>
          <w:sz w:val="22"/>
          <w:szCs w:val="22"/>
          <w:vertAlign w:val="superscript"/>
        </w:rPr>
        <w:t>rd</w:t>
      </w:r>
      <w:r>
        <w:rPr>
          <w:rFonts w:ascii="Arial" w:hAnsi="Arial" w:cs="Arial"/>
          <w:sz w:val="22"/>
          <w:szCs w:val="22"/>
        </w:rPr>
        <w:t xml:space="preserve"> August 2026).</w:t>
      </w:r>
    </w:p>
    <w:p w14:paraId="489F3AA1" w14:textId="77777777" w:rsidR="001C16C8" w:rsidRDefault="001C16C8">
      <w:pPr>
        <w:spacing w:line="360" w:lineRule="auto"/>
        <w:jc w:val="both"/>
        <w:rPr>
          <w:rFonts w:ascii="Arial" w:hAnsi="Arial" w:cs="Arial"/>
          <w:sz w:val="22"/>
          <w:szCs w:val="22"/>
        </w:rPr>
      </w:pPr>
      <w:r w:rsidRPr="00025666">
        <w:rPr>
          <w:rFonts w:ascii="Arial" w:hAnsi="Arial" w:cs="Arial"/>
          <w:color w:val="222222"/>
          <w:sz w:val="22"/>
          <w:szCs w:val="22"/>
        </w:rPr>
        <w:t>Whitti</w:t>
      </w:r>
      <w:r w:rsidRPr="00025666">
        <w:rPr>
          <w:rFonts w:ascii="Arial" w:hAnsi="Arial" w:cs="Arial"/>
          <w:sz w:val="22"/>
          <w:szCs w:val="22"/>
        </w:rPr>
        <w:t xml:space="preserve">ngton, R. et al. (2020) </w:t>
      </w:r>
      <w:r w:rsidRPr="00025666">
        <w:rPr>
          <w:rFonts w:ascii="Arial" w:hAnsi="Arial" w:cs="Arial"/>
          <w:i/>
          <w:iCs/>
          <w:sz w:val="22"/>
          <w:szCs w:val="22"/>
        </w:rPr>
        <w:t>Exploring strategy</w:t>
      </w:r>
      <w:r w:rsidRPr="00025666">
        <w:rPr>
          <w:rFonts w:ascii="Arial" w:hAnsi="Arial" w:cs="Arial"/>
          <w:sz w:val="22"/>
          <w:szCs w:val="22"/>
        </w:rPr>
        <w:t xml:space="preserve"> .12th </w:t>
      </w:r>
      <w:proofErr w:type="spellStart"/>
      <w:r w:rsidRPr="00025666">
        <w:rPr>
          <w:rFonts w:ascii="Arial" w:hAnsi="Arial" w:cs="Arial"/>
          <w:sz w:val="22"/>
          <w:szCs w:val="22"/>
        </w:rPr>
        <w:t>edn</w:t>
      </w:r>
      <w:proofErr w:type="spellEnd"/>
      <w:r w:rsidRPr="00025666">
        <w:rPr>
          <w:rFonts w:ascii="Arial" w:hAnsi="Arial" w:cs="Arial"/>
          <w:sz w:val="22"/>
          <w:szCs w:val="22"/>
        </w:rPr>
        <w:t>. Harlow</w:t>
      </w:r>
      <w:r>
        <w:rPr>
          <w:rFonts w:ascii="Arial" w:hAnsi="Arial" w:cs="Arial"/>
          <w:sz w:val="22"/>
          <w:szCs w:val="22"/>
        </w:rPr>
        <w:t>: Pearson.</w:t>
      </w:r>
    </w:p>
    <w:p w14:paraId="1BA3B275" w14:textId="77777777" w:rsidR="001A4820" w:rsidRDefault="001A4820" w:rsidP="001A4820">
      <w:pPr>
        <w:spacing w:line="360" w:lineRule="auto"/>
        <w:jc w:val="both"/>
        <w:rPr>
          <w:rFonts w:ascii="Arial" w:eastAsia="Arial" w:hAnsi="Arial" w:cs="Arial"/>
          <w:sz w:val="20"/>
          <w:szCs w:val="20"/>
          <w:highlight w:val="white"/>
        </w:rPr>
      </w:pPr>
      <w:proofErr w:type="spellStart"/>
      <w:r w:rsidRPr="00025666">
        <w:rPr>
          <w:rFonts w:ascii="Arial" w:hAnsi="Arial" w:cs="Arial"/>
          <w:sz w:val="22"/>
          <w:szCs w:val="22"/>
          <w:highlight w:val="white"/>
        </w:rPr>
        <w:t>Zatonatska</w:t>
      </w:r>
      <w:proofErr w:type="spellEnd"/>
      <w:r w:rsidRPr="00025666">
        <w:rPr>
          <w:rFonts w:ascii="Arial" w:hAnsi="Arial" w:cs="Arial"/>
          <w:sz w:val="22"/>
          <w:szCs w:val="22"/>
          <w:highlight w:val="white"/>
        </w:rPr>
        <w:t>, T.</w:t>
      </w:r>
      <w:r>
        <w:rPr>
          <w:rFonts w:ascii="Arial" w:hAnsi="Arial" w:cs="Arial"/>
          <w:sz w:val="22"/>
          <w:szCs w:val="22"/>
          <w:highlight w:val="white"/>
        </w:rPr>
        <w:t xml:space="preserve"> et al. (</w:t>
      </w:r>
      <w:r w:rsidRPr="00025666">
        <w:rPr>
          <w:rFonts w:ascii="Arial" w:hAnsi="Arial" w:cs="Arial"/>
          <w:sz w:val="22"/>
          <w:szCs w:val="22"/>
          <w:highlight w:val="white"/>
        </w:rPr>
        <w:t>2022</w:t>
      </w:r>
      <w:r>
        <w:rPr>
          <w:rFonts w:ascii="Arial" w:hAnsi="Arial" w:cs="Arial"/>
          <w:sz w:val="22"/>
          <w:szCs w:val="22"/>
          <w:highlight w:val="white"/>
        </w:rPr>
        <w:t xml:space="preserve">) </w:t>
      </w:r>
      <w:r w:rsidRPr="00D77EE0">
        <w:rPr>
          <w:rFonts w:ascii="Arial" w:hAnsi="Arial" w:cs="Arial"/>
          <w:i/>
          <w:iCs/>
          <w:sz w:val="22"/>
          <w:szCs w:val="22"/>
          <w:highlight w:val="white"/>
        </w:rPr>
        <w:t xml:space="preserve">‘Forecasting the </w:t>
      </w:r>
      <w:proofErr w:type="spellStart"/>
      <w:r w:rsidRPr="00D77EE0">
        <w:rPr>
          <w:rFonts w:ascii="Arial" w:hAnsi="Arial" w:cs="Arial"/>
          <w:i/>
          <w:iCs/>
          <w:sz w:val="22"/>
          <w:szCs w:val="22"/>
          <w:highlight w:val="white"/>
        </w:rPr>
        <w:t>behavior</w:t>
      </w:r>
      <w:proofErr w:type="spellEnd"/>
      <w:r w:rsidRPr="00D77EE0">
        <w:rPr>
          <w:rFonts w:ascii="Arial" w:hAnsi="Arial" w:cs="Arial"/>
          <w:i/>
          <w:iCs/>
          <w:sz w:val="22"/>
          <w:szCs w:val="22"/>
          <w:highlight w:val="white"/>
        </w:rPr>
        <w:t xml:space="preserve"> of target segments to activate advertising tools: Case of mobile operator Vodafone Ukraine’, ECONOMICS, </w:t>
      </w:r>
      <w:r w:rsidRPr="00D77EE0">
        <w:rPr>
          <w:rFonts w:ascii="Arial" w:hAnsi="Arial" w:cs="Arial"/>
          <w:b/>
          <w:bCs/>
          <w:i/>
          <w:iCs/>
          <w:sz w:val="22"/>
          <w:szCs w:val="22"/>
          <w:highlight w:val="white"/>
        </w:rPr>
        <w:t>10</w:t>
      </w:r>
      <w:r w:rsidRPr="00D77EE0">
        <w:rPr>
          <w:rFonts w:ascii="Arial" w:hAnsi="Arial" w:cs="Arial"/>
          <w:i/>
          <w:iCs/>
          <w:sz w:val="22"/>
          <w:szCs w:val="22"/>
          <w:highlight w:val="white"/>
        </w:rPr>
        <w:t xml:space="preserve">(1), pp. 87–104. </w:t>
      </w:r>
      <w:r w:rsidRPr="000527F3">
        <w:rPr>
          <w:rFonts w:ascii="Arial" w:hAnsi="Arial" w:cs="Arial"/>
          <w:sz w:val="22"/>
          <w:szCs w:val="22"/>
          <w:highlight w:val="white"/>
        </w:rPr>
        <w:t xml:space="preserve">Available at: </w:t>
      </w:r>
      <w:hyperlink r:id="rId26" w:history="1">
        <w:r w:rsidRPr="000527F3">
          <w:rPr>
            <w:rStyle w:val="Hyperlink"/>
            <w:rFonts w:ascii="Arial" w:hAnsi="Arial" w:cs="Arial"/>
            <w:sz w:val="22"/>
            <w:szCs w:val="22"/>
            <w:highlight w:val="white"/>
          </w:rPr>
          <w:t>https://doi.org/10.2478/eoik-2022-0005</w:t>
        </w:r>
      </w:hyperlink>
      <w:r>
        <w:rPr>
          <w:rFonts w:ascii="Arial" w:hAnsi="Arial" w:cs="Arial"/>
          <w:sz w:val="22"/>
          <w:szCs w:val="22"/>
          <w:highlight w:val="white"/>
        </w:rPr>
        <w:t xml:space="preserve"> (Accessed: 4</w:t>
      </w:r>
      <w:r w:rsidRPr="00A30168">
        <w:rPr>
          <w:rFonts w:ascii="Arial" w:hAnsi="Arial" w:cs="Arial"/>
          <w:sz w:val="22"/>
          <w:szCs w:val="22"/>
          <w:highlight w:val="white"/>
          <w:vertAlign w:val="superscript"/>
        </w:rPr>
        <w:t>th</w:t>
      </w:r>
      <w:r>
        <w:rPr>
          <w:rFonts w:ascii="Arial" w:hAnsi="Arial" w:cs="Arial"/>
          <w:sz w:val="22"/>
          <w:szCs w:val="22"/>
          <w:highlight w:val="white"/>
        </w:rPr>
        <w:t xml:space="preserve"> August 2026).</w:t>
      </w:r>
    </w:p>
    <w:p w14:paraId="654EF1B3" w14:textId="77777777" w:rsidR="00BC42DD" w:rsidRDefault="00BC42DD">
      <w:pPr>
        <w:spacing w:before="0" w:line="360" w:lineRule="auto"/>
        <w:jc w:val="both"/>
      </w:pPr>
    </w:p>
    <w:p w14:paraId="209B596A" w14:textId="77777777" w:rsidR="00BC42DD" w:rsidRDefault="00BC42DD">
      <w:pPr>
        <w:spacing w:line="360" w:lineRule="auto"/>
        <w:jc w:val="both"/>
        <w:rPr>
          <w:rFonts w:ascii="Arial" w:eastAsia="Arial" w:hAnsi="Arial" w:cs="Arial"/>
          <w:sz w:val="22"/>
          <w:szCs w:val="22"/>
          <w:highlight w:val="white"/>
        </w:rPr>
      </w:pPr>
    </w:p>
    <w:p w14:paraId="02C1F4E1" w14:textId="77777777" w:rsidR="00BC42DD" w:rsidRDefault="00000000">
      <w:pPr>
        <w:spacing w:line="360" w:lineRule="auto"/>
        <w:jc w:val="both"/>
        <w:rPr>
          <w:rFonts w:ascii="Arial" w:eastAsia="Arial" w:hAnsi="Arial" w:cs="Arial"/>
          <w:sz w:val="22"/>
          <w:szCs w:val="22"/>
          <w:highlight w:val="white"/>
        </w:rPr>
      </w:pPr>
      <w:r>
        <w:rPr>
          <w:rFonts w:ascii="Arial" w:eastAsia="Arial" w:hAnsi="Arial" w:cs="Arial"/>
          <w:b/>
          <w:bCs/>
          <w:sz w:val="22"/>
          <w:szCs w:val="22"/>
        </w:rPr>
        <w:t xml:space="preserve"> </w:t>
      </w:r>
    </w:p>
    <w:p w14:paraId="65DC0625" w14:textId="77777777" w:rsidR="00BC42DD"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 </w:t>
      </w:r>
    </w:p>
    <w:p w14:paraId="44E4B24E" w14:textId="77777777" w:rsidR="00BC42DD" w:rsidRDefault="00BC42DD">
      <w:pPr>
        <w:spacing w:line="360" w:lineRule="auto"/>
        <w:jc w:val="both"/>
        <w:rPr>
          <w:rFonts w:ascii="Arial" w:eastAsia="Arial" w:hAnsi="Arial" w:cs="Arial"/>
          <w:sz w:val="22"/>
          <w:szCs w:val="22"/>
          <w:highlight w:val="white"/>
        </w:rPr>
      </w:pPr>
    </w:p>
    <w:p w14:paraId="1499244B" w14:textId="77777777" w:rsidR="00BC42DD" w:rsidRDefault="00BC42DD">
      <w:pPr>
        <w:jc w:val="both"/>
        <w:rPr>
          <w:rFonts w:ascii="Arial" w:eastAsia="Arial" w:hAnsi="Arial" w:cs="Arial"/>
          <w:sz w:val="20"/>
          <w:szCs w:val="20"/>
          <w:highlight w:val="white"/>
        </w:rPr>
      </w:pPr>
    </w:p>
    <w:p w14:paraId="52120F70" w14:textId="77777777" w:rsidR="00BC42DD" w:rsidRDefault="00BC42DD">
      <w:pPr>
        <w:jc w:val="both"/>
      </w:pPr>
    </w:p>
    <w:sectPr w:rsidR="00BC42DD">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7A8D4" w14:textId="77777777" w:rsidR="009D2A3C" w:rsidRDefault="009D2A3C">
      <w:pPr>
        <w:spacing w:before="0" w:after="0" w:line="240" w:lineRule="auto"/>
      </w:pPr>
      <w:r>
        <w:separator/>
      </w:r>
    </w:p>
  </w:endnote>
  <w:endnote w:type="continuationSeparator" w:id="0">
    <w:p w14:paraId="57425D0E" w14:textId="77777777" w:rsidR="009D2A3C" w:rsidRDefault="009D2A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5B962F6-06C1-4C23-904D-3DBD8A5442E2}"/>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10CFFC4B-6C51-483B-A200-CCB4F52CE12D}"/>
  </w:font>
  <w:font w:name="Calibri">
    <w:panose1 w:val="020F0502020204030204"/>
    <w:charset w:val="00"/>
    <w:family w:val="swiss"/>
    <w:pitch w:val="variable"/>
    <w:sig w:usb0="E4002EFF" w:usb1="C200247B" w:usb2="00000009" w:usb3="00000000" w:csb0="000001FF" w:csb1="00000000"/>
    <w:embedRegular r:id="rId3" w:fontKey="{6D00AF1C-1681-48FB-B7A9-F03F562E460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E0F57" w14:textId="77777777" w:rsidR="00BC42DD" w:rsidRDefault="00000000">
    <w:pPr>
      <w:pBdr>
        <w:top w:val="nil"/>
        <w:left w:val="nil"/>
        <w:bottom w:val="nil"/>
        <w:right w:val="nil"/>
        <w:between w:val="nil"/>
      </w:pBdr>
      <w:tabs>
        <w:tab w:val="center" w:pos="4513"/>
        <w:tab w:val="right" w:pos="9026"/>
      </w:tabs>
      <w:spacing w:before="0" w:after="0" w:line="240" w:lineRule="auto"/>
      <w:jc w:val="center"/>
      <w:rPr>
        <w:color w:val="000000"/>
      </w:rPr>
    </w:pPr>
    <w:r>
      <w:rPr>
        <w:color w:val="000000"/>
      </w:rPr>
      <w:fldChar w:fldCharType="begin"/>
    </w:r>
    <w:r>
      <w:rPr>
        <w:color w:val="000000"/>
      </w:rPr>
      <w:instrText>PAGE</w:instrText>
    </w:r>
    <w:r>
      <w:rPr>
        <w:color w:val="000000"/>
      </w:rPr>
      <w:fldChar w:fldCharType="separate"/>
    </w:r>
    <w:r w:rsidR="00F625EB">
      <w:rPr>
        <w:noProof/>
        <w:color w:val="000000"/>
      </w:rPr>
      <w:t>1</w:t>
    </w:r>
    <w:r>
      <w:rPr>
        <w:color w:val="000000"/>
      </w:rPr>
      <w:fldChar w:fldCharType="end"/>
    </w:r>
  </w:p>
  <w:p w14:paraId="735F267D" w14:textId="77777777" w:rsidR="00BC42DD" w:rsidRDefault="00BC42DD">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866E5" w14:textId="77777777" w:rsidR="009D2A3C" w:rsidRDefault="009D2A3C">
      <w:pPr>
        <w:spacing w:before="0" w:after="0" w:line="240" w:lineRule="auto"/>
      </w:pPr>
      <w:r>
        <w:separator/>
      </w:r>
    </w:p>
  </w:footnote>
  <w:footnote w:type="continuationSeparator" w:id="0">
    <w:p w14:paraId="484600F7" w14:textId="77777777" w:rsidR="009D2A3C" w:rsidRDefault="009D2A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A6B01"/>
    <w:multiLevelType w:val="multilevel"/>
    <w:tmpl w:val="B764F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6003A7"/>
    <w:multiLevelType w:val="multilevel"/>
    <w:tmpl w:val="6D34D4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DE35BC5"/>
    <w:multiLevelType w:val="multilevel"/>
    <w:tmpl w:val="9F9A4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24468902">
    <w:abstractNumId w:val="1"/>
  </w:num>
  <w:num w:numId="2" w16cid:durableId="714428830">
    <w:abstractNumId w:val="0"/>
  </w:num>
  <w:num w:numId="3" w16cid:durableId="15848003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2DD"/>
    <w:rsid w:val="000A5338"/>
    <w:rsid w:val="001A4820"/>
    <w:rsid w:val="001C16C8"/>
    <w:rsid w:val="002010AA"/>
    <w:rsid w:val="00287FFE"/>
    <w:rsid w:val="002D3105"/>
    <w:rsid w:val="002F6928"/>
    <w:rsid w:val="00404FF0"/>
    <w:rsid w:val="00425C8D"/>
    <w:rsid w:val="0045061B"/>
    <w:rsid w:val="0046532B"/>
    <w:rsid w:val="0049047F"/>
    <w:rsid w:val="005640A5"/>
    <w:rsid w:val="005A50F5"/>
    <w:rsid w:val="00606622"/>
    <w:rsid w:val="00677F5E"/>
    <w:rsid w:val="00683D34"/>
    <w:rsid w:val="006F5212"/>
    <w:rsid w:val="007539CC"/>
    <w:rsid w:val="0076279B"/>
    <w:rsid w:val="007A1A0A"/>
    <w:rsid w:val="00801B34"/>
    <w:rsid w:val="00812A4D"/>
    <w:rsid w:val="00880EED"/>
    <w:rsid w:val="008955AB"/>
    <w:rsid w:val="008959F2"/>
    <w:rsid w:val="008B5399"/>
    <w:rsid w:val="00931D09"/>
    <w:rsid w:val="0094077C"/>
    <w:rsid w:val="0095741B"/>
    <w:rsid w:val="009D2A3C"/>
    <w:rsid w:val="009D7383"/>
    <w:rsid w:val="00A55177"/>
    <w:rsid w:val="00A81F09"/>
    <w:rsid w:val="00AD10CB"/>
    <w:rsid w:val="00B1744E"/>
    <w:rsid w:val="00BC42DD"/>
    <w:rsid w:val="00BF6759"/>
    <w:rsid w:val="00C1285B"/>
    <w:rsid w:val="00C9732B"/>
    <w:rsid w:val="00D40F42"/>
    <w:rsid w:val="00D87007"/>
    <w:rsid w:val="00F052EA"/>
    <w:rsid w:val="00F625EB"/>
    <w:rsid w:val="00FD7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EB9EF"/>
  <w15:docId w15:val="{049E4739-3776-4C09-9782-E5CF3B1FD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40" w:after="240" w:line="33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sz w:val="32"/>
      <w:szCs w:val="32"/>
    </w:rPr>
  </w:style>
  <w:style w:type="paragraph" w:styleId="Heading2">
    <w:name w:val="heading 2"/>
    <w:basedOn w:val="Normal"/>
    <w:next w:val="Normal"/>
    <w:uiPriority w:val="9"/>
    <w:unhideWhenUsed/>
    <w:qFormat/>
    <w:pPr>
      <w:keepNext/>
      <w:keepLines/>
      <w:spacing w:before="280" w:after="120"/>
      <w:outlineLvl w:val="1"/>
    </w:pPr>
    <w:rPr>
      <w:b/>
      <w:bCs/>
      <w:sz w:val="28"/>
      <w:szCs w:val="28"/>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pPr>
      <w:spacing w:before="0"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1"/>
    <w:pPr>
      <w:spacing w:before="0"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617271"/>
    <w:pPr>
      <w:spacing w:before="0" w:after="160" w:line="259" w:lineRule="auto"/>
      <w:ind w:left="720"/>
      <w:contextualSpacing/>
    </w:pPr>
    <w:rPr>
      <w:rFonts w:asciiTheme="minorHAnsi" w:eastAsiaTheme="minorHAnsi" w:hAnsiTheme="minorHAnsi" w:cstheme="minorBidi"/>
      <w:kern w:val="2"/>
      <w:sz w:val="22"/>
      <w:szCs w:val="22"/>
    </w:rPr>
  </w:style>
  <w:style w:type="paragraph" w:styleId="TOCHeading">
    <w:name w:val="TOC Heading"/>
    <w:basedOn w:val="Heading1"/>
    <w:next w:val="Normal"/>
    <w:uiPriority w:val="39"/>
    <w:unhideWhenUsed/>
    <w:qFormat/>
    <w:rsid w:val="00617271"/>
    <w:pPr>
      <w:spacing w:before="240" w:after="0" w:line="259" w:lineRule="auto"/>
      <w:outlineLvl w:val="9"/>
    </w:pPr>
    <w:rPr>
      <w:rFonts w:asciiTheme="majorHAnsi" w:eastAsiaTheme="majorEastAsia" w:hAnsiTheme="majorHAnsi" w:cstheme="majorBidi"/>
      <w:b w:val="0"/>
      <w:bCs w:val="0"/>
      <w:color w:val="365F91" w:themeColor="accent1" w:themeShade="BF"/>
      <w:lang w:val="en-US"/>
    </w:rPr>
  </w:style>
  <w:style w:type="paragraph" w:styleId="NoSpacing">
    <w:name w:val="No Spacing"/>
    <w:uiPriority w:val="1"/>
    <w:qFormat/>
    <w:rsid w:val="00617271"/>
    <w:pPr>
      <w:suppressAutoHyphens/>
      <w:spacing w:before="0" w:after="0" w:line="240" w:lineRule="auto"/>
      <w:jc w:val="both"/>
    </w:pPr>
    <w:rPr>
      <w:szCs w:val="20"/>
    </w:rPr>
  </w:style>
  <w:style w:type="paragraph" w:styleId="Header">
    <w:name w:val="header"/>
    <w:basedOn w:val="Normal"/>
    <w:link w:val="HeaderChar"/>
    <w:uiPriority w:val="99"/>
    <w:unhideWhenUsed/>
    <w:rsid w:val="009A4AC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4AC4"/>
  </w:style>
  <w:style w:type="paragraph" w:styleId="Footer">
    <w:name w:val="footer"/>
    <w:basedOn w:val="Normal"/>
    <w:link w:val="FooterChar"/>
    <w:uiPriority w:val="99"/>
    <w:unhideWhenUsed/>
    <w:rsid w:val="009A4AC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4AC4"/>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1">
    <w:basedOn w:val="TableNormal"/>
    <w:pPr>
      <w:spacing w:before="0" w:after="0" w:line="240" w:lineRule="auto"/>
    </w:pPr>
    <w:tblPr>
      <w:tblStyleRowBandSize w:val="1"/>
      <w:tblStyleColBandSize w:val="1"/>
    </w:tblPr>
  </w:style>
  <w:style w:type="table" w:customStyle="1" w:styleId="a2">
    <w:basedOn w:val="TableNormal"/>
    <w:pPr>
      <w:spacing w:before="0" w:after="0" w:line="240" w:lineRule="auto"/>
    </w:pPr>
    <w:tblPr>
      <w:tblStyleRowBandSize w:val="1"/>
      <w:tblStyleColBandSize w:val="1"/>
    </w:tblPr>
  </w:style>
  <w:style w:type="character" w:styleId="Hyperlink">
    <w:name w:val="Hyperlink"/>
    <w:basedOn w:val="DefaultParagraphFont"/>
    <w:uiPriority w:val="99"/>
    <w:unhideWhenUsed/>
    <w:rsid w:val="00683D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5927/ijabm.v3i4.10857" TargetMode="External"/><Relationship Id="rId18" Type="http://schemas.openxmlformats.org/officeDocument/2006/relationships/hyperlink" Target="https://doi.org/10.32604/IASC.2022.022958" TargetMode="External"/><Relationship Id="rId26" Type="http://schemas.openxmlformats.org/officeDocument/2006/relationships/hyperlink" Target="https://doi.org/10.2478/eoik-2022-0005" TargetMode="External"/><Relationship Id="rId3" Type="http://schemas.openxmlformats.org/officeDocument/2006/relationships/styles" Target="styles.xml"/><Relationship Id="rId21" Type="http://schemas.openxmlformats.org/officeDocument/2006/relationships/hyperlink" Target="https://doi.org/10.2139/ssrn.4999059" TargetMode="External"/><Relationship Id="rId7" Type="http://schemas.openxmlformats.org/officeDocument/2006/relationships/endnotes" Target="endnotes.xml"/><Relationship Id="rId12" Type="http://schemas.openxmlformats.org/officeDocument/2006/relationships/hyperlink" Target="https://doi.org/10.1287/stsc.2024.0285" TargetMode="External"/><Relationship Id="rId17" Type="http://schemas.openxmlformats.org/officeDocument/2006/relationships/hyperlink" Target="https://doi.org/10.1002/smj.3443" TargetMode="External"/><Relationship Id="rId25" Type="http://schemas.openxmlformats.org/officeDocument/2006/relationships/hyperlink" Target="https://www.vodafone.com/our-company/our-strategic-priorities" TargetMode="External"/><Relationship Id="rId2" Type="http://schemas.openxmlformats.org/officeDocument/2006/relationships/numbering" Target="numbering.xml"/><Relationship Id="rId16" Type="http://schemas.openxmlformats.org/officeDocument/2006/relationships/hyperlink" Target="https://www.ig.com/en/news-and-trade-ideas/vodafone-three-merger--what-next-after-the-creation-of-the-uk-s--250611" TargetMode="External"/><Relationship Id="rId20" Type="http://schemas.openxmlformats.org/officeDocument/2006/relationships/hyperlink" Target="https://doi.org/10.1287/stsc.2022.017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gh-2022-010726" TargetMode="External"/><Relationship Id="rId24" Type="http://schemas.openxmlformats.org/officeDocument/2006/relationships/hyperlink" Target="https://doi.org/10.1108/EEMCS-07-2025-0263" TargetMode="External"/><Relationship Id="rId5" Type="http://schemas.openxmlformats.org/officeDocument/2006/relationships/webSettings" Target="webSettings.xml"/><Relationship Id="rId15" Type="http://schemas.openxmlformats.org/officeDocument/2006/relationships/hyperlink" Target="https://doi.org/10.24235/jiesbi.v2i3.436" TargetMode="External"/><Relationship Id="rId23" Type="http://schemas.openxmlformats.org/officeDocument/2006/relationships/hyperlink" Target="https://vskp.vse.cz/english/93102" TargetMode="External"/><Relationship Id="rId28" Type="http://schemas.openxmlformats.org/officeDocument/2006/relationships/fontTable" Target="fontTable.xml"/><Relationship Id="rId10" Type="http://schemas.openxmlformats.org/officeDocument/2006/relationships/hyperlink" Target="https://doi.org/10.3390/su17115112" TargetMode="External"/><Relationship Id="rId19" Type="http://schemas.openxmlformats.org/officeDocument/2006/relationships/hyperlink" Target="https://doi.org/10.1177/00076503211066595" TargetMode="External"/><Relationship Id="rId4" Type="http://schemas.openxmlformats.org/officeDocument/2006/relationships/settings" Target="settings.xml"/><Relationship Id="rId9" Type="http://schemas.openxmlformats.org/officeDocument/2006/relationships/hyperlink" Target="https://doi.org/10.18421/TEM121-52" TargetMode="External"/><Relationship Id="rId14" Type="http://schemas.openxmlformats.org/officeDocument/2006/relationships/hyperlink" Target="https://doi.org/10.1016/S2214-109X(22)00066-3" TargetMode="External"/><Relationship Id="rId22" Type="http://schemas.openxmlformats.org/officeDocument/2006/relationships/hyperlink" Target="https://doi.org/10.1016/j.rser.2021.111810"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J2bnDsL7zqCX9H2tywkUE3zZzA==">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4305</Words>
  <Characters>24541</Characters>
  <Application>Microsoft Office Word</Application>
  <DocSecurity>0</DocSecurity>
  <Lines>204</Lines>
  <Paragraphs>57</Paragraphs>
  <ScaleCrop>false</ScaleCrop>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TAMIM</dc:creator>
  <cp:lastModifiedBy>Iulian Laurentiu Graur</cp:lastModifiedBy>
  <cp:revision>44</cp:revision>
  <dcterms:created xsi:type="dcterms:W3CDTF">2026-08-10T17:59:00Z</dcterms:created>
  <dcterms:modified xsi:type="dcterms:W3CDTF">2026-08-10T18:30:00Z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efa2b529-355f-47b2-a88f-01e9bd7fb926</vt:lpwstr>
  </property>
</Properties>
</file>