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65C1" w14:textId="6C4BC99A" w:rsidR="003932D7" w:rsidRDefault="003932D7">
      <w:pPr>
        <w:rPr>
          <w:rFonts w:cs="Calibri"/>
          <w:b/>
          <w:bCs/>
          <w:sz w:val="28"/>
          <w:szCs w:val="28"/>
        </w:rPr>
      </w:pPr>
    </w:p>
    <w:p w14:paraId="6470ED5F" w14:textId="77777777" w:rsidR="003932D7" w:rsidRDefault="003932D7">
      <w:pPr>
        <w:rPr>
          <w:rFonts w:cs="Calibri"/>
          <w:b/>
          <w:bCs/>
          <w:sz w:val="28"/>
          <w:szCs w:val="28"/>
        </w:rPr>
      </w:pPr>
    </w:p>
    <w:p w14:paraId="0CA989E4" w14:textId="77777777" w:rsidR="003932D7" w:rsidRDefault="003932D7">
      <w:pPr>
        <w:rPr>
          <w:rFonts w:cs="Calibri"/>
          <w:b/>
          <w:bCs/>
          <w:sz w:val="28"/>
          <w:szCs w:val="28"/>
        </w:rPr>
      </w:pPr>
    </w:p>
    <w:p w14:paraId="41C7DF58" w14:textId="77777777" w:rsidR="003932D7" w:rsidRDefault="003932D7">
      <w:pPr>
        <w:rPr>
          <w:rFonts w:cs="Calibri"/>
          <w:b/>
          <w:bCs/>
          <w:sz w:val="28"/>
          <w:szCs w:val="28"/>
        </w:rPr>
      </w:pPr>
    </w:p>
    <w:p w14:paraId="68FB0230" w14:textId="77777777" w:rsidR="003932D7" w:rsidRDefault="003932D7">
      <w:pPr>
        <w:rPr>
          <w:rFonts w:cs="Calibri"/>
          <w:b/>
          <w:bCs/>
          <w:sz w:val="28"/>
          <w:szCs w:val="28"/>
        </w:rPr>
      </w:pPr>
    </w:p>
    <w:p w14:paraId="07767A46" w14:textId="77777777" w:rsidR="003932D7" w:rsidRPr="003932D7" w:rsidRDefault="003932D7" w:rsidP="003932D7">
      <w:pPr>
        <w:jc w:val="center"/>
        <w:rPr>
          <w:rFonts w:cs="Calibri"/>
          <w:b/>
          <w:bCs/>
          <w:sz w:val="36"/>
          <w:szCs w:val="36"/>
        </w:rPr>
      </w:pPr>
      <w:r w:rsidRPr="003932D7">
        <w:rPr>
          <w:rFonts w:cs="Calibri"/>
          <w:b/>
          <w:bCs/>
          <w:sz w:val="36"/>
          <w:szCs w:val="36"/>
        </w:rPr>
        <w:t>How Do Secondary Schools Enable or Constrain Students’ Post-16 Pathways within the Curriculum for Wales? A Capability Approach</w:t>
      </w:r>
    </w:p>
    <w:p w14:paraId="6BDE63CA" w14:textId="77777777" w:rsidR="003932D7" w:rsidRDefault="003932D7">
      <w:pPr>
        <w:rPr>
          <w:rFonts w:cs="Calibri"/>
          <w:b/>
          <w:bCs/>
          <w:sz w:val="28"/>
          <w:szCs w:val="28"/>
        </w:rPr>
      </w:pPr>
    </w:p>
    <w:p w14:paraId="23CEF809" w14:textId="77777777" w:rsidR="003932D7" w:rsidRDefault="003932D7">
      <w:pPr>
        <w:rPr>
          <w:rFonts w:cs="Calibri"/>
          <w:b/>
          <w:bCs/>
          <w:sz w:val="28"/>
          <w:szCs w:val="28"/>
        </w:rPr>
      </w:pPr>
    </w:p>
    <w:p w14:paraId="7CB4EABB" w14:textId="77777777" w:rsidR="003932D7" w:rsidRDefault="003932D7">
      <w:pPr>
        <w:rPr>
          <w:rFonts w:cs="Calibri"/>
          <w:b/>
          <w:bCs/>
          <w:sz w:val="28"/>
          <w:szCs w:val="28"/>
        </w:rPr>
      </w:pPr>
    </w:p>
    <w:p w14:paraId="1E0776C8" w14:textId="77777777" w:rsidR="003932D7" w:rsidRDefault="003932D7">
      <w:pPr>
        <w:rPr>
          <w:rFonts w:cs="Calibri"/>
          <w:b/>
          <w:bCs/>
          <w:sz w:val="28"/>
          <w:szCs w:val="28"/>
        </w:rPr>
      </w:pPr>
    </w:p>
    <w:p w14:paraId="706A1CA2" w14:textId="77777777" w:rsidR="003932D7" w:rsidRDefault="003932D7">
      <w:pPr>
        <w:rPr>
          <w:rFonts w:cs="Calibri"/>
          <w:b/>
          <w:bCs/>
          <w:sz w:val="28"/>
          <w:szCs w:val="28"/>
        </w:rPr>
      </w:pPr>
    </w:p>
    <w:p w14:paraId="798DC664" w14:textId="77777777" w:rsidR="003932D7" w:rsidRDefault="003932D7">
      <w:pPr>
        <w:rPr>
          <w:rFonts w:cs="Calibri"/>
          <w:b/>
          <w:bCs/>
          <w:sz w:val="28"/>
          <w:szCs w:val="28"/>
        </w:rPr>
      </w:pPr>
    </w:p>
    <w:p w14:paraId="6F85E87F" w14:textId="77777777" w:rsidR="003932D7" w:rsidRDefault="003932D7">
      <w:pPr>
        <w:rPr>
          <w:rFonts w:cs="Calibri"/>
          <w:b/>
          <w:bCs/>
          <w:sz w:val="28"/>
          <w:szCs w:val="28"/>
        </w:rPr>
      </w:pPr>
    </w:p>
    <w:p w14:paraId="37A635FA" w14:textId="77777777" w:rsidR="003932D7" w:rsidRDefault="003932D7">
      <w:pPr>
        <w:rPr>
          <w:rFonts w:cs="Calibri"/>
          <w:b/>
          <w:bCs/>
          <w:sz w:val="28"/>
          <w:szCs w:val="28"/>
        </w:rPr>
      </w:pPr>
    </w:p>
    <w:p w14:paraId="642D663D" w14:textId="77777777" w:rsidR="003932D7" w:rsidRDefault="003932D7">
      <w:pPr>
        <w:rPr>
          <w:rFonts w:cs="Calibri"/>
          <w:b/>
          <w:bCs/>
          <w:sz w:val="28"/>
          <w:szCs w:val="28"/>
        </w:rPr>
      </w:pPr>
    </w:p>
    <w:p w14:paraId="0000FC04" w14:textId="77777777" w:rsidR="003932D7" w:rsidRDefault="003932D7">
      <w:pPr>
        <w:rPr>
          <w:rFonts w:cs="Calibri"/>
          <w:b/>
          <w:bCs/>
          <w:sz w:val="28"/>
          <w:szCs w:val="28"/>
        </w:rPr>
      </w:pPr>
    </w:p>
    <w:p w14:paraId="259DC577" w14:textId="77777777" w:rsidR="003932D7" w:rsidRDefault="003932D7">
      <w:pPr>
        <w:rPr>
          <w:rFonts w:cs="Calibri"/>
          <w:b/>
          <w:bCs/>
          <w:sz w:val="28"/>
          <w:szCs w:val="28"/>
        </w:rPr>
      </w:pPr>
    </w:p>
    <w:p w14:paraId="449BF7EA" w14:textId="77777777" w:rsidR="003932D7" w:rsidRDefault="003932D7" w:rsidP="003932D7">
      <w:pPr>
        <w:spacing w:after="0"/>
        <w:rPr>
          <w:rFonts w:cs="Calibri"/>
          <w:b/>
          <w:bCs/>
          <w:sz w:val="28"/>
          <w:szCs w:val="28"/>
        </w:rPr>
      </w:pPr>
    </w:p>
    <w:p w14:paraId="648EAE19" w14:textId="77777777" w:rsidR="003932D7" w:rsidRDefault="003932D7" w:rsidP="003932D7">
      <w:pPr>
        <w:spacing w:after="0"/>
        <w:rPr>
          <w:rFonts w:cs="Calibri"/>
          <w:b/>
          <w:bCs/>
          <w:sz w:val="28"/>
          <w:szCs w:val="28"/>
        </w:rPr>
      </w:pPr>
    </w:p>
    <w:p w14:paraId="05F30680" w14:textId="77777777" w:rsidR="003932D7" w:rsidRDefault="003932D7" w:rsidP="003932D7">
      <w:pPr>
        <w:spacing w:after="0"/>
        <w:rPr>
          <w:rFonts w:cs="Calibri"/>
          <w:b/>
          <w:bCs/>
          <w:sz w:val="28"/>
          <w:szCs w:val="28"/>
        </w:rPr>
      </w:pPr>
    </w:p>
    <w:p w14:paraId="1EC41A16" w14:textId="574D1C0A" w:rsidR="003932D7" w:rsidRPr="003932D7" w:rsidRDefault="003932D7" w:rsidP="003932D7">
      <w:pPr>
        <w:spacing w:after="0"/>
        <w:rPr>
          <w:rFonts w:cs="Calibri"/>
          <w:sz w:val="28"/>
          <w:szCs w:val="28"/>
        </w:rPr>
      </w:pPr>
      <w:r w:rsidRPr="003932D7">
        <w:rPr>
          <w:rFonts w:cs="Calibri"/>
          <w:sz w:val="28"/>
          <w:szCs w:val="28"/>
        </w:rPr>
        <w:t>Research Design and Management in Education</w:t>
      </w:r>
    </w:p>
    <w:p w14:paraId="6429785C" w14:textId="77777777" w:rsidR="003932D7" w:rsidRPr="003932D7" w:rsidRDefault="003932D7" w:rsidP="003932D7">
      <w:pPr>
        <w:spacing w:after="0"/>
        <w:rPr>
          <w:rFonts w:cs="Calibri"/>
          <w:sz w:val="28"/>
          <w:szCs w:val="28"/>
        </w:rPr>
      </w:pPr>
      <w:r w:rsidRPr="003932D7">
        <w:rPr>
          <w:rFonts w:cs="Calibri"/>
          <w:sz w:val="28"/>
          <w:szCs w:val="28"/>
        </w:rPr>
        <w:t>ECDE7012</w:t>
      </w:r>
    </w:p>
    <w:p w14:paraId="25FB4E5F" w14:textId="1F8491ED" w:rsidR="003932D7" w:rsidRPr="003932D7" w:rsidRDefault="003932D7" w:rsidP="003932D7">
      <w:pPr>
        <w:spacing w:after="0"/>
        <w:rPr>
          <w:rFonts w:cs="Calibri"/>
          <w:sz w:val="28"/>
          <w:szCs w:val="28"/>
        </w:rPr>
      </w:pPr>
      <w:r w:rsidRPr="003932D7">
        <w:rPr>
          <w:rFonts w:cs="Calibri"/>
          <w:sz w:val="28"/>
          <w:szCs w:val="28"/>
        </w:rPr>
        <w:t xml:space="preserve">Assessment component 1   </w:t>
      </w:r>
    </w:p>
    <w:p w14:paraId="1C027EFF" w14:textId="30AD3641" w:rsidR="002C377B" w:rsidRDefault="002C377B">
      <w:pPr>
        <w:rPr>
          <w:rFonts w:cs="Calibri"/>
          <w:b/>
          <w:bCs/>
          <w:sz w:val="28"/>
          <w:szCs w:val="28"/>
        </w:rPr>
      </w:pPr>
      <w:r>
        <w:rPr>
          <w:rFonts w:cs="Calibri"/>
          <w:b/>
          <w:bCs/>
          <w:sz w:val="28"/>
          <w:szCs w:val="28"/>
        </w:rPr>
        <w:br w:type="page"/>
      </w:r>
    </w:p>
    <w:p w14:paraId="17A0F735" w14:textId="77777777" w:rsidR="003932D7" w:rsidRDefault="003932D7" w:rsidP="003932D7">
      <w:pPr>
        <w:rPr>
          <w:rFonts w:eastAsia="DengXian Light" w:cs="Times New Roman"/>
          <w:b/>
          <w:bCs/>
          <w:kern w:val="0"/>
          <w:sz w:val="28"/>
          <w:szCs w:val="28"/>
          <w:lang w:val="en-US"/>
          <w14:ligatures w14:val="none"/>
        </w:rPr>
      </w:pPr>
    </w:p>
    <w:p w14:paraId="31E51644" w14:textId="77777777" w:rsidR="003932D7" w:rsidRDefault="003932D7" w:rsidP="003932D7">
      <w:pPr>
        <w:rPr>
          <w:rFonts w:eastAsia="DengXian Light" w:cs="Times New Roman"/>
          <w:b/>
          <w:bCs/>
          <w:kern w:val="0"/>
          <w:sz w:val="28"/>
          <w:szCs w:val="28"/>
          <w:lang w:val="en-US"/>
          <w14:ligatures w14:val="none"/>
        </w:rPr>
      </w:pPr>
    </w:p>
    <w:p w14:paraId="34AB6118" w14:textId="153874CA" w:rsidR="003932D7" w:rsidRPr="003932D7" w:rsidRDefault="003932D7" w:rsidP="003932D7">
      <w:pPr>
        <w:rPr>
          <w:rFonts w:eastAsia="DengXian Light" w:cs="Times New Roman"/>
          <w:b/>
          <w:bCs/>
          <w:kern w:val="0"/>
          <w:sz w:val="28"/>
          <w:szCs w:val="28"/>
          <w:lang w:val="en-US"/>
          <w14:ligatures w14:val="none"/>
        </w:rPr>
      </w:pPr>
      <w:r w:rsidRPr="003932D7">
        <w:rPr>
          <w:rFonts w:eastAsia="DengXian Light" w:cs="Times New Roman"/>
          <w:b/>
          <w:bCs/>
          <w:kern w:val="0"/>
          <w:sz w:val="28"/>
          <w:szCs w:val="28"/>
          <w:lang w:val="en-US"/>
          <w14:ligatures w14:val="none"/>
        </w:rPr>
        <w:t>Table of Contents</w:t>
      </w:r>
    </w:p>
    <w:p w14:paraId="32F7CF9B" w14:textId="532795D9" w:rsidR="003932D7" w:rsidRPr="003932D7" w:rsidRDefault="003932D7" w:rsidP="003932D7">
      <w:pPr>
        <w:pStyle w:val="ListParagraph"/>
        <w:numPr>
          <w:ilvl w:val="0"/>
          <w:numId w:val="3"/>
        </w:numPr>
        <w:spacing w:after="0"/>
        <w:rPr>
          <w:rFonts w:eastAsia="DengXian Light" w:cs="Times New Roman"/>
          <w:kern w:val="0"/>
          <w:sz w:val="28"/>
          <w:szCs w:val="28"/>
          <w:lang w:val="en-US"/>
          <w14:ligatures w14:val="none"/>
        </w:rPr>
      </w:pPr>
      <w:r>
        <w:rPr>
          <w:rFonts w:eastAsia="DengXian Light" w:cs="Times New Roman"/>
          <w:kern w:val="0"/>
          <w:sz w:val="26"/>
          <w:szCs w:val="26"/>
          <w:lang w:val="en-US"/>
          <w14:ligatures w14:val="none"/>
        </w:rPr>
        <w:t xml:space="preserve"> </w:t>
      </w:r>
      <w:r w:rsidRPr="003932D7">
        <w:rPr>
          <w:rFonts w:eastAsia="DengXian Light" w:cs="Times New Roman"/>
          <w:kern w:val="0"/>
          <w:sz w:val="28"/>
          <w:szCs w:val="28"/>
          <w:lang w:val="en-US"/>
          <w14:ligatures w14:val="none"/>
        </w:rPr>
        <w:t>Introduction (</w:t>
      </w:r>
      <w:r w:rsidRPr="003932D7">
        <w:rPr>
          <w:rFonts w:eastAsia="DengXian Light" w:cs="Times New Roman"/>
          <w:i/>
          <w:iCs/>
          <w:kern w:val="0"/>
          <w:sz w:val="28"/>
          <w:szCs w:val="28"/>
          <w:lang w:val="en-US"/>
          <w14:ligatures w14:val="none"/>
        </w:rPr>
        <w:t>4</w:t>
      </w:r>
      <w:r w:rsidRPr="003932D7">
        <w:rPr>
          <w:rFonts w:eastAsia="DengXian Light" w:cs="Times New Roman"/>
          <w:kern w:val="0"/>
          <w:sz w:val="28"/>
          <w:szCs w:val="28"/>
          <w:lang w:val="en-US"/>
          <w14:ligatures w14:val="none"/>
        </w:rPr>
        <w:t>)</w:t>
      </w:r>
    </w:p>
    <w:p w14:paraId="145D364F" w14:textId="77777777" w:rsidR="003932D7" w:rsidRPr="003932D7" w:rsidRDefault="003932D7" w:rsidP="003932D7">
      <w:pPr>
        <w:pStyle w:val="ListParagraph"/>
        <w:spacing w:after="0"/>
        <w:ind w:left="1080"/>
        <w:rPr>
          <w:rFonts w:eastAsia="DengXian Light" w:cs="Times New Roman"/>
          <w:kern w:val="0"/>
          <w:sz w:val="28"/>
          <w:szCs w:val="28"/>
          <w:lang w:val="en-US"/>
          <w14:ligatures w14:val="none"/>
        </w:rPr>
      </w:pPr>
    </w:p>
    <w:p w14:paraId="56F92447" w14:textId="1167BCC6" w:rsidR="003932D7" w:rsidRPr="003932D7" w:rsidRDefault="003932D7" w:rsidP="003932D7">
      <w:pPr>
        <w:spacing w:after="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2.0 Literature Review</w:t>
      </w:r>
    </w:p>
    <w:p w14:paraId="2EF19EBF" w14:textId="5373ABC2"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2.1 </w:t>
      </w:r>
      <w:r w:rsidRPr="003932D7">
        <w:rPr>
          <w:rFonts w:eastAsia="DengXian Light" w:cs="Times New Roman"/>
          <w:kern w:val="0"/>
          <w:sz w:val="28"/>
          <w:szCs w:val="28"/>
          <w14:ligatures w14:val="none"/>
        </w:rPr>
        <w:t>Conceptualising Capability and Educational Choice</w:t>
      </w:r>
      <w:r w:rsidRPr="003932D7">
        <w:rPr>
          <w:rFonts w:eastAsia="DengXian Light" w:cs="Times New Roman"/>
          <w:i/>
          <w:iCs/>
          <w:kern w:val="0"/>
          <w:sz w:val="28"/>
          <w:szCs w:val="28"/>
          <w:lang w:val="en-US"/>
          <w14:ligatures w14:val="none"/>
        </w:rPr>
        <w:t xml:space="preserve"> (4)</w:t>
      </w:r>
    </w:p>
    <w:p w14:paraId="0663CEE5" w14:textId="188620E9"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2.2 </w:t>
      </w:r>
      <w:r w:rsidRPr="003932D7">
        <w:rPr>
          <w:rFonts w:eastAsia="DengXian Light" w:cs="Times New Roman"/>
          <w:kern w:val="0"/>
          <w:sz w:val="28"/>
          <w:szCs w:val="28"/>
          <w14:ligatures w14:val="none"/>
        </w:rPr>
        <w:t>Schools, Structures and Post-16 Pathways</w:t>
      </w:r>
      <w:r w:rsidRPr="003932D7">
        <w:rPr>
          <w:rFonts w:eastAsia="DengXian Light" w:cs="Times New Roman"/>
          <w:i/>
          <w:iCs/>
          <w:kern w:val="0"/>
          <w:sz w:val="28"/>
          <w:szCs w:val="28"/>
          <w:lang w:val="en-US"/>
          <w14:ligatures w14:val="none"/>
        </w:rPr>
        <w:t xml:space="preserve"> (6)</w:t>
      </w:r>
    </w:p>
    <w:p w14:paraId="3E04E1F0" w14:textId="2F596625"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2.3 </w:t>
      </w:r>
      <w:r w:rsidRPr="003932D7">
        <w:rPr>
          <w:rFonts w:eastAsia="DengXian Light" w:cs="Times New Roman"/>
          <w:kern w:val="0"/>
          <w:sz w:val="28"/>
          <w:szCs w:val="28"/>
          <w14:ligatures w14:val="none"/>
        </w:rPr>
        <w:t>Schools, social environments and post-16 pathways</w:t>
      </w:r>
      <w:r w:rsidRPr="003932D7">
        <w:rPr>
          <w:rFonts w:eastAsia="DengXian Light" w:cs="Times New Roman"/>
          <w:i/>
          <w:iCs/>
          <w:kern w:val="0"/>
          <w:sz w:val="28"/>
          <w:szCs w:val="28"/>
          <w:lang w:val="en-US"/>
          <w14:ligatures w14:val="none"/>
        </w:rPr>
        <w:t xml:space="preserve"> (7)</w:t>
      </w:r>
    </w:p>
    <w:p w14:paraId="5C5C773F" w14:textId="68EA5085"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2.4 </w:t>
      </w:r>
      <w:r w:rsidRPr="003932D7">
        <w:rPr>
          <w:rFonts w:eastAsia="DengXian Light" w:cs="Times New Roman"/>
          <w:kern w:val="0"/>
          <w:sz w:val="28"/>
          <w:szCs w:val="28"/>
          <w14:ligatures w14:val="none"/>
        </w:rPr>
        <w:t>Schools, Individual Agency and Perceived Possibility</w:t>
      </w:r>
      <w:r w:rsidRPr="003932D7">
        <w:rPr>
          <w:rFonts w:eastAsia="DengXian Light" w:cs="Times New Roman"/>
          <w:b/>
          <w:bCs/>
          <w:kern w:val="0"/>
          <w:sz w:val="28"/>
          <w:szCs w:val="28"/>
          <w14:ligatures w14:val="none"/>
        </w:rPr>
        <w:t xml:space="preserve"> </w:t>
      </w:r>
      <w:r w:rsidRPr="003932D7">
        <w:rPr>
          <w:rFonts w:eastAsia="DengXian Light" w:cs="Times New Roman"/>
          <w:i/>
          <w:iCs/>
          <w:kern w:val="0"/>
          <w:sz w:val="28"/>
          <w:szCs w:val="28"/>
          <w:lang w:val="en-US"/>
          <w14:ligatures w14:val="none"/>
        </w:rPr>
        <w:t>(8)</w:t>
      </w:r>
    </w:p>
    <w:p w14:paraId="62579B87" w14:textId="49027CF2"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2.5 </w:t>
      </w:r>
      <w:r w:rsidRPr="003932D7">
        <w:rPr>
          <w:rFonts w:eastAsia="DengXian Light" w:cs="Times New Roman"/>
          <w:kern w:val="0"/>
          <w:sz w:val="28"/>
          <w:szCs w:val="28"/>
          <w14:ligatures w14:val="none"/>
        </w:rPr>
        <w:t>Conclusion</w:t>
      </w:r>
      <w:r w:rsidRPr="003932D7">
        <w:rPr>
          <w:rFonts w:eastAsia="DengXian Light" w:cs="Times New Roman"/>
          <w:i/>
          <w:iCs/>
          <w:kern w:val="0"/>
          <w:sz w:val="28"/>
          <w:szCs w:val="28"/>
          <w:lang w:val="en-US"/>
          <w14:ligatures w14:val="none"/>
        </w:rPr>
        <w:t xml:space="preserve"> (9)</w:t>
      </w:r>
    </w:p>
    <w:p w14:paraId="55F67C9B" w14:textId="77777777" w:rsidR="003932D7" w:rsidRPr="003932D7" w:rsidRDefault="003932D7" w:rsidP="003932D7">
      <w:pPr>
        <w:spacing w:after="0"/>
        <w:ind w:left="720"/>
        <w:rPr>
          <w:rFonts w:eastAsia="DengXian Light" w:cs="Times New Roman"/>
          <w:kern w:val="0"/>
          <w:sz w:val="28"/>
          <w:szCs w:val="28"/>
          <w:lang w:val="en-US"/>
          <w14:ligatures w14:val="none"/>
        </w:rPr>
      </w:pPr>
    </w:p>
    <w:p w14:paraId="6C173C18" w14:textId="27AB87AE" w:rsidR="003932D7" w:rsidRPr="003932D7" w:rsidRDefault="003932D7" w:rsidP="003932D7">
      <w:pPr>
        <w:spacing w:after="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3.0 Relevance to the Study</w:t>
      </w:r>
    </w:p>
    <w:p w14:paraId="5269533D" w14:textId="35B37576"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3.1 </w:t>
      </w:r>
      <w:r w:rsidRPr="003932D7">
        <w:rPr>
          <w:rFonts w:eastAsia="DengXian Light" w:cs="Times New Roman"/>
          <w:kern w:val="0"/>
          <w:sz w:val="28"/>
          <w:szCs w:val="28"/>
          <w14:ligatures w14:val="none"/>
        </w:rPr>
        <w:t>Synthesis of Literature and Research Gap</w:t>
      </w:r>
      <w:r w:rsidRPr="003932D7">
        <w:rPr>
          <w:rFonts w:eastAsia="DengXian Light" w:cs="Times New Roman"/>
          <w:i/>
          <w:iCs/>
          <w:kern w:val="0"/>
          <w:sz w:val="28"/>
          <w:szCs w:val="28"/>
          <w:lang w:val="en-US"/>
          <w14:ligatures w14:val="none"/>
        </w:rPr>
        <w:t xml:space="preserve"> (9)</w:t>
      </w:r>
    </w:p>
    <w:p w14:paraId="2DAB2201" w14:textId="0A0C0C22"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3.2 </w:t>
      </w:r>
      <w:r w:rsidRPr="003932D7">
        <w:rPr>
          <w:rFonts w:eastAsia="DengXian Light" w:cs="Times New Roman"/>
          <w:kern w:val="0"/>
          <w:sz w:val="28"/>
          <w:szCs w:val="28"/>
          <w14:ligatures w14:val="none"/>
        </w:rPr>
        <w:t>Research Questions</w:t>
      </w:r>
      <w:r w:rsidRPr="003932D7">
        <w:rPr>
          <w:rFonts w:eastAsia="DengXian Light" w:cs="Times New Roman"/>
          <w:i/>
          <w:iCs/>
          <w:kern w:val="0"/>
          <w:sz w:val="28"/>
          <w:szCs w:val="28"/>
          <w:lang w:val="en-US"/>
          <w14:ligatures w14:val="none"/>
        </w:rPr>
        <w:t xml:space="preserve"> (10)</w:t>
      </w:r>
    </w:p>
    <w:p w14:paraId="194447D9" w14:textId="6827E237"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3.3 </w:t>
      </w:r>
      <w:r w:rsidRPr="003932D7">
        <w:rPr>
          <w:rFonts w:eastAsia="DengXian Light" w:cs="Times New Roman"/>
          <w:kern w:val="0"/>
          <w:sz w:val="28"/>
          <w:szCs w:val="28"/>
          <w14:ligatures w14:val="none"/>
        </w:rPr>
        <w:t>Aims and Objectives</w:t>
      </w:r>
      <w:r w:rsidRPr="003932D7">
        <w:rPr>
          <w:rFonts w:eastAsia="DengXian Light" w:cs="Times New Roman"/>
          <w:i/>
          <w:iCs/>
          <w:kern w:val="0"/>
          <w:sz w:val="28"/>
          <w:szCs w:val="28"/>
          <w:lang w:val="en-US"/>
          <w14:ligatures w14:val="none"/>
        </w:rPr>
        <w:t xml:space="preserve"> (12)</w:t>
      </w:r>
    </w:p>
    <w:p w14:paraId="6B850E3F" w14:textId="31348333" w:rsidR="003932D7" w:rsidRPr="003932D7" w:rsidRDefault="003932D7" w:rsidP="003932D7">
      <w:pPr>
        <w:spacing w:after="0"/>
        <w:ind w:left="720"/>
        <w:rPr>
          <w:rFonts w:eastAsia="DengXian Light" w:cs="Times New Roman"/>
          <w:kern w:val="0"/>
          <w:sz w:val="28"/>
          <w:szCs w:val="28"/>
          <w:lang w:val="en-US"/>
          <w14:ligatures w14:val="none"/>
        </w:rPr>
      </w:pPr>
      <w:r w:rsidRPr="003932D7">
        <w:rPr>
          <w:rFonts w:eastAsia="DengXian Light" w:cs="Times New Roman"/>
          <w:kern w:val="0"/>
          <w:sz w:val="28"/>
          <w:szCs w:val="28"/>
          <w:lang w:val="en-US"/>
          <w14:ligatures w14:val="none"/>
        </w:rPr>
        <w:t xml:space="preserve">3.4 </w:t>
      </w:r>
      <w:r w:rsidRPr="003932D7">
        <w:rPr>
          <w:rFonts w:eastAsia="DengXian Light" w:cs="Times New Roman"/>
          <w:kern w:val="0"/>
          <w:sz w:val="28"/>
          <w:szCs w:val="28"/>
          <w14:ligatures w14:val="none"/>
        </w:rPr>
        <w:t>Contribution to the Field (</w:t>
      </w:r>
      <w:r w:rsidRPr="003932D7">
        <w:rPr>
          <w:rFonts w:eastAsia="DengXian Light" w:cs="Times New Roman"/>
          <w:i/>
          <w:iCs/>
          <w:kern w:val="0"/>
          <w:sz w:val="28"/>
          <w:szCs w:val="28"/>
          <w:lang w:val="en-US"/>
          <w14:ligatures w14:val="none"/>
        </w:rPr>
        <w:t>13)</w:t>
      </w:r>
    </w:p>
    <w:p w14:paraId="6A806C7D" w14:textId="77777777" w:rsidR="003932D7" w:rsidRPr="003932D7" w:rsidRDefault="003932D7" w:rsidP="003932D7">
      <w:pPr>
        <w:spacing w:after="0"/>
        <w:ind w:left="720"/>
        <w:rPr>
          <w:rFonts w:eastAsia="DengXian Light" w:cs="Times New Roman"/>
          <w:kern w:val="0"/>
          <w:sz w:val="28"/>
          <w:szCs w:val="28"/>
          <w:lang w:val="en-US"/>
          <w14:ligatures w14:val="none"/>
        </w:rPr>
      </w:pPr>
    </w:p>
    <w:p w14:paraId="1C612183" w14:textId="295DFDB9" w:rsidR="003932D7" w:rsidRPr="003932D7" w:rsidRDefault="003932D7" w:rsidP="003932D7">
      <w:pPr>
        <w:spacing w:after="0"/>
        <w:rPr>
          <w:rFonts w:eastAsia="DengXian" w:cs="Calibri Light"/>
          <w:noProof/>
          <w:sz w:val="28"/>
          <w:szCs w:val="28"/>
          <w:lang w:eastAsia="zh-CN"/>
        </w:rPr>
      </w:pPr>
      <w:r w:rsidRPr="003932D7">
        <w:rPr>
          <w:rFonts w:eastAsia="DengXian" w:cs="Calibri Light"/>
          <w:noProof/>
          <w:sz w:val="28"/>
          <w:szCs w:val="28"/>
          <w:lang w:eastAsia="zh-CN"/>
        </w:rPr>
        <w:t>4.0 Limitations and Scope (</w:t>
      </w:r>
      <w:r w:rsidRPr="003932D7">
        <w:rPr>
          <w:rFonts w:eastAsia="DengXian" w:cs="Calibri Light"/>
          <w:i/>
          <w:iCs/>
          <w:noProof/>
          <w:sz w:val="28"/>
          <w:szCs w:val="28"/>
          <w:lang w:eastAsia="zh-CN"/>
        </w:rPr>
        <w:t>14</w:t>
      </w:r>
      <w:r w:rsidRPr="003932D7">
        <w:rPr>
          <w:rFonts w:eastAsia="DengXian" w:cs="Calibri Light"/>
          <w:noProof/>
          <w:sz w:val="28"/>
          <w:szCs w:val="28"/>
          <w:lang w:eastAsia="zh-CN"/>
        </w:rPr>
        <w:t>)</w:t>
      </w:r>
    </w:p>
    <w:p w14:paraId="1D8C488E" w14:textId="77777777" w:rsidR="003932D7" w:rsidRPr="003932D7" w:rsidRDefault="003932D7" w:rsidP="003932D7">
      <w:pPr>
        <w:spacing w:after="0"/>
        <w:rPr>
          <w:rFonts w:eastAsia="DengXian" w:cs="Calibri Light"/>
          <w:noProof/>
          <w:sz w:val="28"/>
          <w:szCs w:val="28"/>
          <w:lang w:eastAsia="zh-CN"/>
        </w:rPr>
      </w:pPr>
    </w:p>
    <w:p w14:paraId="7FEA17FA" w14:textId="7835B6BD" w:rsidR="003932D7" w:rsidRPr="003932D7" w:rsidRDefault="003932D7" w:rsidP="003932D7">
      <w:pPr>
        <w:spacing w:after="0"/>
        <w:rPr>
          <w:rFonts w:eastAsia="DengXian" w:cs="Calibri Light"/>
          <w:noProof/>
          <w:sz w:val="28"/>
          <w:szCs w:val="28"/>
          <w:lang w:eastAsia="zh-CN"/>
        </w:rPr>
      </w:pPr>
      <w:r w:rsidRPr="003932D7">
        <w:rPr>
          <w:rFonts w:eastAsia="DengXian" w:cs="Calibri Light"/>
          <w:noProof/>
          <w:sz w:val="28"/>
          <w:szCs w:val="28"/>
          <w:lang w:eastAsia="zh-CN"/>
        </w:rPr>
        <w:t>References (</w:t>
      </w:r>
      <w:r w:rsidRPr="003932D7">
        <w:rPr>
          <w:rFonts w:eastAsia="DengXian" w:cs="Calibri Light"/>
          <w:i/>
          <w:iCs/>
          <w:noProof/>
          <w:sz w:val="28"/>
          <w:szCs w:val="28"/>
          <w:lang w:eastAsia="zh-CN"/>
        </w:rPr>
        <w:t>15</w:t>
      </w:r>
      <w:r w:rsidRPr="003932D7">
        <w:rPr>
          <w:rFonts w:eastAsia="DengXian" w:cs="Calibri Light"/>
          <w:noProof/>
          <w:sz w:val="28"/>
          <w:szCs w:val="28"/>
          <w:lang w:eastAsia="zh-CN"/>
        </w:rPr>
        <w:t>)</w:t>
      </w:r>
    </w:p>
    <w:p w14:paraId="65CAD1BA" w14:textId="7A3C7914" w:rsidR="002C377B" w:rsidRPr="003932D7" w:rsidRDefault="002C377B">
      <w:pPr>
        <w:rPr>
          <w:rFonts w:cs="Calibri"/>
          <w:b/>
          <w:bCs/>
          <w:sz w:val="28"/>
          <w:szCs w:val="28"/>
        </w:rPr>
      </w:pPr>
      <w:r w:rsidRPr="003932D7">
        <w:rPr>
          <w:rFonts w:cs="Calibri"/>
          <w:b/>
          <w:bCs/>
          <w:sz w:val="28"/>
          <w:szCs w:val="28"/>
        </w:rPr>
        <w:br w:type="page"/>
      </w:r>
    </w:p>
    <w:p w14:paraId="5A1202BF" w14:textId="26CEC791" w:rsidR="0027047F" w:rsidRPr="008B2CE2" w:rsidRDefault="00B61306" w:rsidP="003C2710">
      <w:pPr>
        <w:spacing w:line="360" w:lineRule="auto"/>
        <w:jc w:val="both"/>
        <w:rPr>
          <w:rFonts w:cs="Calibri"/>
          <w:b/>
          <w:bCs/>
          <w:sz w:val="28"/>
          <w:szCs w:val="28"/>
        </w:rPr>
      </w:pPr>
      <w:r w:rsidRPr="008B2CE2">
        <w:rPr>
          <w:rFonts w:cs="Calibri"/>
          <w:b/>
          <w:bCs/>
          <w:sz w:val="28"/>
          <w:szCs w:val="28"/>
        </w:rPr>
        <w:lastRenderedPageBreak/>
        <w:t xml:space="preserve">1.0 </w:t>
      </w:r>
      <w:r w:rsidR="0027047F" w:rsidRPr="008B2CE2">
        <w:rPr>
          <w:rFonts w:cs="Calibri"/>
          <w:b/>
          <w:bCs/>
          <w:sz w:val="28"/>
          <w:szCs w:val="28"/>
        </w:rPr>
        <w:t xml:space="preserve">Introduction </w:t>
      </w:r>
    </w:p>
    <w:p w14:paraId="000030D5" w14:textId="6445CD4A" w:rsidR="0027047F" w:rsidRPr="003C2710" w:rsidRDefault="0027047F" w:rsidP="003C2710">
      <w:pPr>
        <w:spacing w:line="360" w:lineRule="auto"/>
        <w:jc w:val="both"/>
        <w:rPr>
          <w:rFonts w:cs="Calibri"/>
          <w:sz w:val="24"/>
          <w:szCs w:val="24"/>
        </w:rPr>
      </w:pPr>
      <w:r w:rsidRPr="003C2710">
        <w:rPr>
          <w:rFonts w:cs="Calibri"/>
          <w:sz w:val="24"/>
          <w:szCs w:val="24"/>
        </w:rPr>
        <w:t>Th</w:t>
      </w:r>
      <w:r w:rsidR="00F22FD5" w:rsidRPr="003C2710">
        <w:rPr>
          <w:rFonts w:cs="Calibri"/>
          <w:sz w:val="24"/>
          <w:szCs w:val="24"/>
        </w:rPr>
        <w:t>e</w:t>
      </w:r>
      <w:r w:rsidRPr="003C2710">
        <w:rPr>
          <w:rFonts w:cs="Calibri"/>
          <w:sz w:val="24"/>
          <w:szCs w:val="24"/>
        </w:rPr>
        <w:t xml:space="preserve"> study explores how secondary schools in Wales enable or constrain students’ perceptions of and access to post-16 pathways within the context of the Curriculum for Wales (2022), drawing on the Capability Approach (Sen, 1999). My interest in this issue stems from three decades as a secondary classroom practitioner and ten years as a senior leader in an economically disadvantaged school context (Welsh Government, 2026). This experience has led me to reflect on how effectively secondary schools in Wales are supporting students’ to pursue futures they value, beyond compulsory education. </w:t>
      </w:r>
    </w:p>
    <w:p w14:paraId="225E0DE2" w14:textId="28C86CF6" w:rsidR="0027047F" w:rsidRPr="003C2710" w:rsidRDefault="0027047F" w:rsidP="003C2710">
      <w:pPr>
        <w:spacing w:line="360" w:lineRule="auto"/>
        <w:jc w:val="both"/>
        <w:rPr>
          <w:rFonts w:cs="Calibri"/>
          <w:sz w:val="24"/>
          <w:szCs w:val="24"/>
        </w:rPr>
      </w:pPr>
      <w:r w:rsidRPr="003C2710">
        <w:rPr>
          <w:rFonts w:cs="Calibri"/>
          <w:sz w:val="24"/>
          <w:szCs w:val="24"/>
        </w:rPr>
        <w:t xml:space="preserve">Despite policy reforms in Wales emphasising equity and the development of learner qualities such as ambition, enterprise and informed citizenship (Welsh Government, 2023), alongside an expansion of academic and vocational pathways (Qualifications Wales, 2025), inspection evidence from Estyn (2025) </w:t>
      </w:r>
      <w:r w:rsidR="00FC1262">
        <w:rPr>
          <w:rFonts w:cs="Calibri"/>
          <w:sz w:val="24"/>
          <w:szCs w:val="24"/>
        </w:rPr>
        <w:t>suggests</w:t>
      </w:r>
      <w:r w:rsidRPr="003C2710">
        <w:rPr>
          <w:rFonts w:cs="Calibri"/>
          <w:sz w:val="24"/>
          <w:szCs w:val="24"/>
        </w:rPr>
        <w:t xml:space="preserve"> that access to post-16 pathways is variable across schools. This raises questions about whether formal entitlement equates to actual opportunity for students in Wales.</w:t>
      </w:r>
    </w:p>
    <w:p w14:paraId="0D475AEB" w14:textId="7BB6A957" w:rsidR="0027047F" w:rsidRPr="003C2710" w:rsidRDefault="0027047F" w:rsidP="003C2710">
      <w:pPr>
        <w:spacing w:line="360" w:lineRule="auto"/>
        <w:jc w:val="both"/>
        <w:rPr>
          <w:rFonts w:cs="Calibri"/>
          <w:sz w:val="24"/>
          <w:szCs w:val="24"/>
        </w:rPr>
      </w:pPr>
      <w:r w:rsidRPr="003C2710">
        <w:rPr>
          <w:rFonts w:cs="Calibri"/>
          <w:sz w:val="24"/>
          <w:szCs w:val="24"/>
        </w:rPr>
        <w:t xml:space="preserve">Research suggests that young people’s perceptions of their futures influence educational outcomes and longer-term social mobility (Hughes et al., 2016). However, it is recognised </w:t>
      </w:r>
      <w:r w:rsidR="00502278">
        <w:rPr>
          <w:rFonts w:cs="Calibri"/>
          <w:sz w:val="24"/>
          <w:szCs w:val="24"/>
        </w:rPr>
        <w:t>(</w:t>
      </w:r>
      <w:r w:rsidR="00502278" w:rsidRPr="003C2710">
        <w:rPr>
          <w:rFonts w:cs="Calibri"/>
          <w:sz w:val="24"/>
          <w:szCs w:val="24"/>
        </w:rPr>
        <w:t>Morris, 2021</w:t>
      </w:r>
      <w:r w:rsidR="00502278">
        <w:rPr>
          <w:rFonts w:cs="Calibri"/>
          <w:sz w:val="24"/>
          <w:szCs w:val="24"/>
        </w:rPr>
        <w:t>)</w:t>
      </w:r>
      <w:r w:rsidR="00502278" w:rsidRPr="003C2710">
        <w:rPr>
          <w:rFonts w:cs="Calibri"/>
          <w:sz w:val="24"/>
          <w:szCs w:val="24"/>
        </w:rPr>
        <w:t xml:space="preserve"> that</w:t>
      </w:r>
      <w:r w:rsidRPr="003C2710">
        <w:rPr>
          <w:rFonts w:cs="Calibri"/>
          <w:sz w:val="24"/>
          <w:szCs w:val="24"/>
        </w:rPr>
        <w:t xml:space="preserve"> there is limited empirical evidence examining how the aims of the Curriculum for Wales are being implemented at school-level to support post-16 transitions</w:t>
      </w:r>
      <w:r w:rsidR="00502278">
        <w:rPr>
          <w:rFonts w:cs="Calibri"/>
          <w:sz w:val="24"/>
          <w:szCs w:val="24"/>
        </w:rPr>
        <w:t>.</w:t>
      </w:r>
      <w:r w:rsidRPr="003C2710">
        <w:rPr>
          <w:rFonts w:cs="Calibri"/>
          <w:sz w:val="24"/>
          <w:szCs w:val="24"/>
        </w:rPr>
        <w:t xml:space="preserve"> The study seeks to address this gap through a contextual exploratory case study of how institutional structures and school experiences </w:t>
      </w:r>
      <w:r w:rsidR="00004CE4">
        <w:rPr>
          <w:rFonts w:cs="Calibri"/>
          <w:sz w:val="24"/>
          <w:szCs w:val="24"/>
        </w:rPr>
        <w:t>shape</w:t>
      </w:r>
      <w:r w:rsidRPr="003C2710">
        <w:rPr>
          <w:rFonts w:cs="Calibri"/>
          <w:sz w:val="24"/>
          <w:szCs w:val="24"/>
        </w:rPr>
        <w:t xml:space="preserve"> secondary school students’ post-16 </w:t>
      </w:r>
      <w:r w:rsidR="00BE340C">
        <w:rPr>
          <w:rFonts w:cs="Calibri"/>
          <w:sz w:val="24"/>
          <w:szCs w:val="24"/>
        </w:rPr>
        <w:t>pathways</w:t>
      </w:r>
      <w:r w:rsidRPr="003C2710">
        <w:rPr>
          <w:rFonts w:cs="Calibri"/>
          <w:sz w:val="24"/>
          <w:szCs w:val="24"/>
        </w:rPr>
        <w:t>.</w:t>
      </w:r>
    </w:p>
    <w:p w14:paraId="6AE27DE7" w14:textId="77777777" w:rsidR="0027047F" w:rsidRPr="003C2710" w:rsidRDefault="0027047F" w:rsidP="003C2710">
      <w:pPr>
        <w:spacing w:line="360" w:lineRule="auto"/>
        <w:rPr>
          <w:rFonts w:cs="Calibri"/>
          <w:b/>
          <w:bCs/>
          <w:sz w:val="24"/>
          <w:szCs w:val="24"/>
        </w:rPr>
      </w:pPr>
    </w:p>
    <w:p w14:paraId="12B822F3" w14:textId="2DF5DC19" w:rsidR="00B61306" w:rsidRPr="008B2CE2" w:rsidRDefault="00B61306" w:rsidP="003C2710">
      <w:pPr>
        <w:spacing w:line="360" w:lineRule="auto"/>
        <w:rPr>
          <w:rFonts w:cs="Calibri"/>
          <w:b/>
          <w:bCs/>
          <w:sz w:val="28"/>
          <w:szCs w:val="28"/>
        </w:rPr>
      </w:pPr>
      <w:r w:rsidRPr="008B2CE2">
        <w:rPr>
          <w:rFonts w:cs="Calibri"/>
          <w:b/>
          <w:bCs/>
          <w:sz w:val="28"/>
          <w:szCs w:val="28"/>
        </w:rPr>
        <w:t>2.0 Literature Review</w:t>
      </w:r>
    </w:p>
    <w:p w14:paraId="5D6D5296" w14:textId="36F2912C" w:rsidR="0027047F" w:rsidRPr="008B2CE2" w:rsidRDefault="0027047F" w:rsidP="003C2710">
      <w:pPr>
        <w:spacing w:line="360" w:lineRule="auto"/>
        <w:rPr>
          <w:rFonts w:cs="Calibri"/>
          <w:b/>
          <w:bCs/>
          <w:sz w:val="28"/>
          <w:szCs w:val="28"/>
        </w:rPr>
      </w:pPr>
      <w:r w:rsidRPr="008B2CE2">
        <w:rPr>
          <w:rFonts w:cs="Calibri"/>
          <w:b/>
          <w:bCs/>
          <w:sz w:val="28"/>
          <w:szCs w:val="28"/>
        </w:rPr>
        <w:t>2.1 Conceptualising Capability and Educational Choice</w:t>
      </w:r>
    </w:p>
    <w:p w14:paraId="46063196" w14:textId="28D8D0C2" w:rsidR="0027047F" w:rsidRPr="003C2710" w:rsidRDefault="0027047F" w:rsidP="003C2710">
      <w:pPr>
        <w:spacing w:line="360" w:lineRule="auto"/>
        <w:jc w:val="both"/>
        <w:rPr>
          <w:rFonts w:cs="Calibri"/>
          <w:sz w:val="24"/>
          <w:szCs w:val="24"/>
        </w:rPr>
      </w:pPr>
      <w:r w:rsidRPr="003C2710">
        <w:rPr>
          <w:rFonts w:cs="Calibri"/>
          <w:sz w:val="24"/>
          <w:szCs w:val="24"/>
        </w:rPr>
        <w:t xml:space="preserve">Research suggests that young people’s educational and career pathways are influenced by a range of complex factors, including individual ambition (Bandura, 1986; Sheu et al., 2022), social context (Bourdieu, 1977; Hart, 2019), and pragmatic decision-making (Hodkinson and Sparkes, 1997; Gater, 2022). Although studies indicate that many young </w:t>
      </w:r>
      <w:r w:rsidRPr="003C2710">
        <w:rPr>
          <w:rFonts w:cs="Calibri"/>
          <w:sz w:val="24"/>
          <w:szCs w:val="24"/>
        </w:rPr>
        <w:lastRenderedPageBreak/>
        <w:t>people have high aspirations (Archer, et al., 2023; Price, 2025), the Capability Approach focuses on whether they have genuine opportunities to realise them (Sen, 1999). This distinction is particularly significant in the context of post-16 pathways, where</w:t>
      </w:r>
      <w:r w:rsidR="00F20205">
        <w:rPr>
          <w:rFonts w:cs="Calibri"/>
          <w:sz w:val="24"/>
          <w:szCs w:val="24"/>
        </w:rPr>
        <w:t>, it is argued,</w:t>
      </w:r>
      <w:r w:rsidRPr="003C2710">
        <w:rPr>
          <w:rFonts w:cs="Calibri"/>
          <w:sz w:val="24"/>
          <w:szCs w:val="24"/>
        </w:rPr>
        <w:t xml:space="preserve"> aspirations may not always align with the realistic opportunities available to students (St Clair et al., 2014; Hughes,</w:t>
      </w:r>
      <w:r w:rsidR="009A33B7">
        <w:rPr>
          <w:rFonts w:cs="Calibri"/>
          <w:sz w:val="24"/>
          <w:szCs w:val="24"/>
        </w:rPr>
        <w:t xml:space="preserve"> et al., </w:t>
      </w:r>
      <w:r w:rsidR="009A33B7" w:rsidRPr="003C2710">
        <w:rPr>
          <w:rFonts w:cs="Calibri"/>
          <w:sz w:val="24"/>
          <w:szCs w:val="24"/>
        </w:rPr>
        <w:t>2016</w:t>
      </w:r>
      <w:r w:rsidRPr="003C2710">
        <w:rPr>
          <w:rFonts w:cs="Calibri"/>
          <w:sz w:val="24"/>
          <w:szCs w:val="24"/>
        </w:rPr>
        <w:t>).</w:t>
      </w:r>
    </w:p>
    <w:p w14:paraId="76A93350" w14:textId="282FE54A" w:rsidR="0027047F" w:rsidRPr="003C2710" w:rsidRDefault="000A449C" w:rsidP="003C2710">
      <w:pPr>
        <w:spacing w:line="360" w:lineRule="auto"/>
        <w:jc w:val="both"/>
        <w:rPr>
          <w:rFonts w:cs="Calibri"/>
          <w:sz w:val="24"/>
          <w:szCs w:val="24"/>
        </w:rPr>
      </w:pPr>
      <w:r w:rsidRPr="000A449C">
        <w:rPr>
          <w:rFonts w:cs="Calibri"/>
          <w:sz w:val="24"/>
          <w:szCs w:val="24"/>
        </w:rPr>
        <w:t xml:space="preserve">From a capability perspective, individuals’ freedoms and opportunities to pursue lives they value are understood as </w:t>
      </w:r>
      <w:r w:rsidRPr="000A449C">
        <w:rPr>
          <w:rFonts w:cs="Calibri"/>
          <w:i/>
          <w:iCs/>
          <w:sz w:val="24"/>
          <w:szCs w:val="24"/>
        </w:rPr>
        <w:t>capabilities</w:t>
      </w:r>
      <w:r w:rsidRPr="000A449C">
        <w:rPr>
          <w:rFonts w:cs="Calibri"/>
          <w:sz w:val="24"/>
          <w:szCs w:val="24"/>
        </w:rPr>
        <w:t xml:space="preserve"> (Sen, 1999). These represent the possibility of achieving different ways of “</w:t>
      </w:r>
      <w:r w:rsidRPr="000A449C">
        <w:rPr>
          <w:rFonts w:cs="Calibri"/>
          <w:i/>
          <w:iCs/>
          <w:sz w:val="24"/>
          <w:szCs w:val="24"/>
        </w:rPr>
        <w:t>being</w:t>
      </w:r>
      <w:r w:rsidRPr="000A449C">
        <w:rPr>
          <w:rFonts w:cs="Calibri"/>
          <w:sz w:val="24"/>
          <w:szCs w:val="24"/>
        </w:rPr>
        <w:t>” and “</w:t>
      </w:r>
      <w:r w:rsidRPr="000A449C">
        <w:rPr>
          <w:rFonts w:cs="Calibri"/>
          <w:i/>
          <w:iCs/>
          <w:sz w:val="24"/>
          <w:szCs w:val="24"/>
        </w:rPr>
        <w:t>doing</w:t>
      </w:r>
      <w:r w:rsidRPr="000A449C">
        <w:rPr>
          <w:rFonts w:cs="Calibri"/>
          <w:sz w:val="24"/>
          <w:szCs w:val="24"/>
        </w:rPr>
        <w:t>”</w:t>
      </w:r>
      <w:r>
        <w:rPr>
          <w:rFonts w:cs="Calibri"/>
          <w:sz w:val="24"/>
          <w:szCs w:val="24"/>
        </w:rPr>
        <w:t>, which</w:t>
      </w:r>
      <w:r w:rsidRPr="000A449C">
        <w:rPr>
          <w:rFonts w:cs="Calibri"/>
          <w:sz w:val="24"/>
          <w:szCs w:val="24"/>
        </w:rPr>
        <w:t xml:space="preserve"> Sen </w:t>
      </w:r>
      <w:r>
        <w:rPr>
          <w:rFonts w:cs="Calibri"/>
          <w:sz w:val="24"/>
          <w:szCs w:val="24"/>
        </w:rPr>
        <w:t>describes as</w:t>
      </w:r>
      <w:r w:rsidRPr="000A449C">
        <w:rPr>
          <w:rFonts w:cs="Calibri"/>
          <w:sz w:val="24"/>
          <w:szCs w:val="24"/>
        </w:rPr>
        <w:t xml:space="preserve"> </w:t>
      </w:r>
      <w:r w:rsidRPr="000A449C">
        <w:rPr>
          <w:rFonts w:cs="Calibri"/>
          <w:i/>
          <w:iCs/>
          <w:sz w:val="24"/>
          <w:szCs w:val="24"/>
        </w:rPr>
        <w:t>functionings</w:t>
      </w:r>
      <w:r w:rsidRPr="000A449C">
        <w:rPr>
          <w:rFonts w:cs="Calibri"/>
          <w:sz w:val="24"/>
          <w:szCs w:val="24"/>
        </w:rPr>
        <w:t xml:space="preserve"> (</w:t>
      </w:r>
      <w:r w:rsidRPr="000A449C">
        <w:rPr>
          <w:rFonts w:cs="Calibri"/>
          <w:i/>
          <w:iCs/>
          <w:sz w:val="24"/>
          <w:szCs w:val="24"/>
        </w:rPr>
        <w:t>ibid</w:t>
      </w:r>
      <w:r w:rsidRPr="000A449C">
        <w:rPr>
          <w:rFonts w:cs="Calibri"/>
          <w:sz w:val="24"/>
          <w:szCs w:val="24"/>
        </w:rPr>
        <w:t>, p.17).</w:t>
      </w:r>
      <w:r>
        <w:rPr>
          <w:rFonts w:cs="Calibri"/>
          <w:sz w:val="24"/>
          <w:szCs w:val="24"/>
        </w:rPr>
        <w:t xml:space="preserve"> </w:t>
      </w:r>
      <w:r w:rsidR="0027047F" w:rsidRPr="003C2710">
        <w:rPr>
          <w:rFonts w:cs="Calibri"/>
          <w:sz w:val="24"/>
          <w:szCs w:val="24"/>
        </w:rPr>
        <w:t xml:space="preserve">The Capability Approach recognises that individuals do not have the same capacity to convert resources into meaningful opportunities due to </w:t>
      </w:r>
      <w:r w:rsidR="00801337">
        <w:rPr>
          <w:rFonts w:cs="Calibri"/>
          <w:sz w:val="24"/>
          <w:szCs w:val="24"/>
        </w:rPr>
        <w:t xml:space="preserve">the influence of </w:t>
      </w:r>
      <w:r w:rsidR="0027047F" w:rsidRPr="003C2710">
        <w:rPr>
          <w:rFonts w:cs="Calibri"/>
          <w:sz w:val="24"/>
          <w:szCs w:val="24"/>
        </w:rPr>
        <w:t xml:space="preserve">personal, social, and environmental </w:t>
      </w:r>
      <w:r w:rsidR="0027047F" w:rsidRPr="003C2710">
        <w:rPr>
          <w:rFonts w:cs="Calibri"/>
          <w:i/>
          <w:iCs/>
          <w:sz w:val="24"/>
          <w:szCs w:val="24"/>
        </w:rPr>
        <w:t>conversion factors</w:t>
      </w:r>
      <w:r w:rsidR="0027047F" w:rsidRPr="003C2710">
        <w:rPr>
          <w:rFonts w:cs="Calibri"/>
          <w:sz w:val="24"/>
          <w:szCs w:val="24"/>
        </w:rPr>
        <w:t>. Consequently, providing equal resources does not necessarily produce equal access to opportunity</w:t>
      </w:r>
      <w:r w:rsidR="00A427B2">
        <w:rPr>
          <w:rFonts w:cs="Calibri"/>
          <w:sz w:val="24"/>
          <w:szCs w:val="24"/>
        </w:rPr>
        <w:t xml:space="preserve"> or equitable outcomes</w:t>
      </w:r>
      <w:r w:rsidR="0027047F" w:rsidRPr="003C2710">
        <w:rPr>
          <w:rFonts w:cs="Calibri"/>
          <w:sz w:val="24"/>
          <w:szCs w:val="24"/>
        </w:rPr>
        <w:t xml:space="preserve"> (Sen, 1999; Nussbaum, 2011).</w:t>
      </w:r>
    </w:p>
    <w:p w14:paraId="3A2D53BE" w14:textId="7226CD9A" w:rsidR="000A449C" w:rsidRPr="003C2710" w:rsidRDefault="000A449C" w:rsidP="003C2710">
      <w:pPr>
        <w:spacing w:line="360" w:lineRule="auto"/>
        <w:jc w:val="both"/>
        <w:rPr>
          <w:rFonts w:cs="Calibri"/>
          <w:sz w:val="24"/>
          <w:szCs w:val="24"/>
        </w:rPr>
      </w:pPr>
      <w:r w:rsidRPr="000A449C">
        <w:rPr>
          <w:rFonts w:cs="Calibri"/>
          <w:sz w:val="24"/>
          <w:szCs w:val="24"/>
        </w:rPr>
        <w:t xml:space="preserve">Schools are </w:t>
      </w:r>
      <w:r w:rsidR="00A57957">
        <w:rPr>
          <w:rFonts w:cs="Calibri"/>
          <w:sz w:val="24"/>
          <w:szCs w:val="24"/>
        </w:rPr>
        <w:t>considered to</w:t>
      </w:r>
      <w:r w:rsidRPr="000A449C">
        <w:rPr>
          <w:rFonts w:cs="Calibri"/>
          <w:sz w:val="24"/>
          <w:szCs w:val="24"/>
        </w:rPr>
        <w:t xml:space="preserve"> play </w:t>
      </w:r>
      <w:r>
        <w:rPr>
          <w:rFonts w:cs="Calibri"/>
          <w:sz w:val="24"/>
          <w:szCs w:val="24"/>
        </w:rPr>
        <w:t>an important</w:t>
      </w:r>
      <w:r w:rsidRPr="000A449C">
        <w:rPr>
          <w:rFonts w:cs="Calibri"/>
          <w:sz w:val="24"/>
          <w:szCs w:val="24"/>
        </w:rPr>
        <w:t xml:space="preserve"> role in </w:t>
      </w:r>
      <w:r>
        <w:rPr>
          <w:rFonts w:cs="Calibri"/>
          <w:sz w:val="24"/>
          <w:szCs w:val="24"/>
        </w:rPr>
        <w:t>developing</w:t>
      </w:r>
      <w:r w:rsidRPr="000A449C">
        <w:rPr>
          <w:rFonts w:cs="Calibri"/>
          <w:sz w:val="24"/>
          <w:szCs w:val="24"/>
        </w:rPr>
        <w:t xml:space="preserve"> </w:t>
      </w:r>
      <w:r w:rsidR="00A57957">
        <w:rPr>
          <w:rFonts w:cs="Calibri"/>
          <w:sz w:val="24"/>
          <w:szCs w:val="24"/>
        </w:rPr>
        <w:t>individuals’ capabilities</w:t>
      </w:r>
      <w:r w:rsidRPr="000A449C">
        <w:rPr>
          <w:rFonts w:cs="Calibri"/>
          <w:sz w:val="24"/>
          <w:szCs w:val="24"/>
        </w:rPr>
        <w:t xml:space="preserve"> (Nussbaum, 2011).</w:t>
      </w:r>
      <w:r w:rsidRPr="000A449C">
        <w:t xml:space="preserve"> </w:t>
      </w:r>
      <w:r w:rsidRPr="000A449C">
        <w:rPr>
          <w:rFonts w:cs="Calibri"/>
          <w:sz w:val="24"/>
          <w:szCs w:val="24"/>
        </w:rPr>
        <w:t>While education has been regarded as a capability in itself (Hart, 2019)</w:t>
      </w:r>
      <w:r w:rsidR="00A57957">
        <w:rPr>
          <w:rFonts w:cs="Calibri"/>
          <w:sz w:val="24"/>
          <w:szCs w:val="24"/>
        </w:rPr>
        <w:t xml:space="preserve">, </w:t>
      </w:r>
      <w:r w:rsidRPr="000A449C">
        <w:rPr>
          <w:rFonts w:cs="Calibri"/>
          <w:sz w:val="24"/>
          <w:szCs w:val="24"/>
        </w:rPr>
        <w:t xml:space="preserve">it is more commonly understood as a </w:t>
      </w:r>
      <w:r w:rsidRPr="00564935">
        <w:rPr>
          <w:rFonts w:cs="Calibri"/>
          <w:sz w:val="24"/>
          <w:szCs w:val="24"/>
        </w:rPr>
        <w:t>conversion factor</w:t>
      </w:r>
      <w:r w:rsidRPr="000A449C">
        <w:rPr>
          <w:rFonts w:cs="Calibri"/>
          <w:sz w:val="24"/>
          <w:szCs w:val="24"/>
        </w:rPr>
        <w:t>, where school structures, practices, and culture</w:t>
      </w:r>
      <w:r w:rsidR="00A57957">
        <w:rPr>
          <w:rFonts w:cs="Calibri"/>
          <w:sz w:val="24"/>
          <w:szCs w:val="24"/>
        </w:rPr>
        <w:t>,</w:t>
      </w:r>
      <w:r w:rsidRPr="000A449C">
        <w:rPr>
          <w:rFonts w:cs="Calibri"/>
          <w:sz w:val="24"/>
          <w:szCs w:val="24"/>
        </w:rPr>
        <w:t xml:space="preserve"> influences how resources are translated into real opportunities (Walker, et al., 2017).</w:t>
      </w:r>
      <w:r w:rsidR="00A57957">
        <w:rPr>
          <w:rFonts w:cs="Calibri"/>
          <w:sz w:val="24"/>
          <w:szCs w:val="24"/>
        </w:rPr>
        <w:t xml:space="preserve"> </w:t>
      </w:r>
      <w:r w:rsidR="0027047F" w:rsidRPr="003C2710">
        <w:rPr>
          <w:rFonts w:cs="Calibri"/>
          <w:sz w:val="24"/>
          <w:szCs w:val="24"/>
        </w:rPr>
        <w:t xml:space="preserve">In the context of this study, </w:t>
      </w:r>
      <w:r w:rsidR="0027047F" w:rsidRPr="003C2710">
        <w:rPr>
          <w:rFonts w:cs="Calibri"/>
          <w:i/>
          <w:iCs/>
          <w:sz w:val="24"/>
          <w:szCs w:val="24"/>
        </w:rPr>
        <w:t>functionings</w:t>
      </w:r>
      <w:r w:rsidR="0027047F" w:rsidRPr="003C2710">
        <w:rPr>
          <w:rFonts w:cs="Calibri"/>
          <w:sz w:val="24"/>
          <w:szCs w:val="24"/>
        </w:rPr>
        <w:t xml:space="preserve"> will refer to achieved post-16 outcomes, such as entering employment or enrolling in a particular post-16 pathway, while </w:t>
      </w:r>
      <w:r w:rsidR="0027047F" w:rsidRPr="003C2710">
        <w:rPr>
          <w:rFonts w:cs="Calibri"/>
          <w:i/>
          <w:iCs/>
          <w:sz w:val="24"/>
          <w:szCs w:val="24"/>
        </w:rPr>
        <w:t>capabilities</w:t>
      </w:r>
      <w:r w:rsidR="0027047F" w:rsidRPr="003C2710">
        <w:rPr>
          <w:rFonts w:cs="Calibri"/>
          <w:sz w:val="24"/>
          <w:szCs w:val="24"/>
        </w:rPr>
        <w:t xml:space="preserve"> will refer to students’ genuine access to those pathways. This interpretation will be central to exploring </w:t>
      </w:r>
      <w:r w:rsidR="003F338B" w:rsidRPr="003F338B">
        <w:rPr>
          <w:rFonts w:cs="Calibri"/>
          <w:sz w:val="24"/>
          <w:szCs w:val="24"/>
        </w:rPr>
        <w:t xml:space="preserve">how school practices enable or constrain students’ access to different post-16 </w:t>
      </w:r>
      <w:r w:rsidR="00564935" w:rsidRPr="003F338B">
        <w:rPr>
          <w:rFonts w:cs="Calibri"/>
          <w:sz w:val="24"/>
          <w:szCs w:val="24"/>
        </w:rPr>
        <w:t>routes</w:t>
      </w:r>
      <w:r w:rsidR="003F338B" w:rsidRPr="003F338B">
        <w:rPr>
          <w:rFonts w:cs="Calibri"/>
          <w:sz w:val="24"/>
          <w:szCs w:val="24"/>
        </w:rPr>
        <w:t>.</w:t>
      </w:r>
    </w:p>
    <w:p w14:paraId="47A9BF85" w14:textId="767DF1EA" w:rsidR="0027047F" w:rsidRPr="003C2710" w:rsidRDefault="0027047F" w:rsidP="003C2710">
      <w:pPr>
        <w:spacing w:line="360" w:lineRule="auto"/>
        <w:jc w:val="both"/>
        <w:rPr>
          <w:rFonts w:cs="Calibri"/>
          <w:sz w:val="24"/>
          <w:szCs w:val="24"/>
        </w:rPr>
      </w:pPr>
      <w:r w:rsidRPr="003C2710">
        <w:rPr>
          <w:rFonts w:cs="Calibri"/>
          <w:sz w:val="24"/>
          <w:szCs w:val="24"/>
        </w:rPr>
        <w:t>Although considered influential in educational research (</w:t>
      </w:r>
      <w:r w:rsidR="00082609">
        <w:rPr>
          <w:rFonts w:cs="Calibri"/>
          <w:sz w:val="24"/>
          <w:szCs w:val="24"/>
        </w:rPr>
        <w:t>Hart, 2019</w:t>
      </w:r>
      <w:r w:rsidRPr="003C2710">
        <w:rPr>
          <w:rFonts w:cs="Calibri"/>
          <w:sz w:val="24"/>
          <w:szCs w:val="24"/>
        </w:rPr>
        <w:t>), the Capability Approach has been c</w:t>
      </w:r>
      <w:r w:rsidR="00D92DD2">
        <w:rPr>
          <w:rFonts w:cs="Calibri"/>
          <w:sz w:val="24"/>
          <w:szCs w:val="24"/>
        </w:rPr>
        <w:t>riticised</w:t>
      </w:r>
      <w:r w:rsidRPr="003C2710">
        <w:rPr>
          <w:rFonts w:cs="Calibri"/>
          <w:sz w:val="24"/>
          <w:szCs w:val="24"/>
        </w:rPr>
        <w:t xml:space="preserve"> for being conceptually vague</w:t>
      </w:r>
      <w:r w:rsidR="00D92DD2">
        <w:rPr>
          <w:rFonts w:cs="Calibri"/>
          <w:sz w:val="24"/>
          <w:szCs w:val="24"/>
        </w:rPr>
        <w:t xml:space="preserve"> (</w:t>
      </w:r>
      <w:r w:rsidR="00D92DD2" w:rsidRPr="003C2710">
        <w:rPr>
          <w:rFonts w:cs="Calibri"/>
          <w:sz w:val="24"/>
          <w:szCs w:val="24"/>
        </w:rPr>
        <w:t>Clark, 2005</w:t>
      </w:r>
      <w:r w:rsidR="00D92DD2">
        <w:rPr>
          <w:rFonts w:cs="Calibri"/>
          <w:sz w:val="24"/>
          <w:szCs w:val="24"/>
        </w:rPr>
        <w:t>)</w:t>
      </w:r>
      <w:r w:rsidR="006179DA">
        <w:rPr>
          <w:rFonts w:cs="Calibri"/>
          <w:sz w:val="24"/>
          <w:szCs w:val="24"/>
        </w:rPr>
        <w:t xml:space="preserve">, with </w:t>
      </w:r>
      <w:r w:rsidRPr="003C2710">
        <w:rPr>
          <w:rFonts w:cs="Calibri"/>
          <w:sz w:val="24"/>
          <w:szCs w:val="24"/>
        </w:rPr>
        <w:t xml:space="preserve">limited practical guidance on how to identify and measure </w:t>
      </w:r>
      <w:r w:rsidR="009C237D">
        <w:rPr>
          <w:rFonts w:cs="Calibri"/>
          <w:sz w:val="24"/>
          <w:szCs w:val="24"/>
        </w:rPr>
        <w:t xml:space="preserve">the impact of </w:t>
      </w:r>
      <w:r w:rsidRPr="003C2710">
        <w:rPr>
          <w:rFonts w:cs="Calibri"/>
          <w:sz w:val="24"/>
          <w:szCs w:val="24"/>
        </w:rPr>
        <w:t xml:space="preserve">conversion factors (Robeyns, 2017). Furthermore, as a </w:t>
      </w:r>
      <w:r w:rsidRPr="00801337">
        <w:rPr>
          <w:rFonts w:cs="Calibri"/>
          <w:sz w:val="24"/>
          <w:szCs w:val="24"/>
        </w:rPr>
        <w:t>normative</w:t>
      </w:r>
      <w:r w:rsidRPr="003C2710">
        <w:rPr>
          <w:rFonts w:cs="Calibri"/>
          <w:sz w:val="24"/>
          <w:szCs w:val="24"/>
        </w:rPr>
        <w:t xml:space="preserve"> framework (Clark, 2005), it has been challenged for potential cultural and political bias (Pogge, 2010; Ribeiro, 2015).  However, advocates</w:t>
      </w:r>
      <w:r w:rsidR="00D92DD2">
        <w:rPr>
          <w:rFonts w:cs="Calibri"/>
          <w:sz w:val="24"/>
          <w:szCs w:val="24"/>
        </w:rPr>
        <w:t xml:space="preserve"> of this </w:t>
      </w:r>
      <w:r w:rsidR="0066160C">
        <w:rPr>
          <w:rFonts w:cs="Calibri"/>
          <w:sz w:val="24"/>
          <w:szCs w:val="24"/>
        </w:rPr>
        <w:t>approach</w:t>
      </w:r>
      <w:r w:rsidRPr="003C2710">
        <w:rPr>
          <w:rFonts w:cs="Calibri"/>
          <w:sz w:val="24"/>
          <w:szCs w:val="24"/>
        </w:rPr>
        <w:t xml:space="preserve"> </w:t>
      </w:r>
      <w:r w:rsidR="00082609" w:rsidRPr="003C2710">
        <w:rPr>
          <w:rFonts w:cs="Calibri"/>
          <w:sz w:val="24"/>
          <w:szCs w:val="24"/>
        </w:rPr>
        <w:t xml:space="preserve">(Walker, et al., 2017; Price, 2025), </w:t>
      </w:r>
      <w:r w:rsidR="00270F95">
        <w:rPr>
          <w:rFonts w:cs="Calibri"/>
          <w:sz w:val="24"/>
          <w:szCs w:val="24"/>
        </w:rPr>
        <w:t>argue</w:t>
      </w:r>
      <w:r w:rsidRPr="003C2710">
        <w:rPr>
          <w:rFonts w:cs="Calibri"/>
          <w:sz w:val="24"/>
          <w:szCs w:val="24"/>
        </w:rPr>
        <w:t xml:space="preserve"> that it provides a valuable insight into how personal, social and institutional environments </w:t>
      </w:r>
      <w:r w:rsidR="00082609">
        <w:rPr>
          <w:rFonts w:cs="Calibri"/>
          <w:sz w:val="24"/>
          <w:szCs w:val="24"/>
        </w:rPr>
        <w:t>impact</w:t>
      </w:r>
      <w:r w:rsidRPr="003C2710">
        <w:rPr>
          <w:rFonts w:cs="Calibri"/>
          <w:sz w:val="24"/>
          <w:szCs w:val="24"/>
        </w:rPr>
        <w:t xml:space="preserve"> young people’s career trajectories</w:t>
      </w:r>
      <w:r w:rsidR="00082609">
        <w:rPr>
          <w:rFonts w:cs="Calibri"/>
          <w:sz w:val="24"/>
          <w:szCs w:val="24"/>
        </w:rPr>
        <w:t>,</w:t>
      </w:r>
      <w:r w:rsidRPr="003C2710">
        <w:rPr>
          <w:rFonts w:cs="Calibri"/>
          <w:sz w:val="24"/>
          <w:szCs w:val="24"/>
        </w:rPr>
        <w:t xml:space="preserve"> making it a suitable lens through which to examine educational disparities in post-16 pathways (Hart, 2019). </w:t>
      </w:r>
    </w:p>
    <w:p w14:paraId="56253AAA" w14:textId="77777777" w:rsidR="0027047F" w:rsidRPr="008B2CE2" w:rsidRDefault="0027047F" w:rsidP="003C2710">
      <w:pPr>
        <w:spacing w:line="360" w:lineRule="auto"/>
        <w:rPr>
          <w:rFonts w:cs="Calibri"/>
          <w:b/>
          <w:bCs/>
          <w:sz w:val="28"/>
          <w:szCs w:val="28"/>
        </w:rPr>
      </w:pPr>
      <w:r w:rsidRPr="008B2CE2">
        <w:rPr>
          <w:rFonts w:cs="Calibri"/>
          <w:b/>
          <w:bCs/>
          <w:sz w:val="28"/>
          <w:szCs w:val="28"/>
        </w:rPr>
        <w:lastRenderedPageBreak/>
        <w:t>2.2 Schools, Structures and Post-16 Pathways</w:t>
      </w:r>
    </w:p>
    <w:p w14:paraId="6D48746E" w14:textId="74B661CD" w:rsidR="0027047F" w:rsidRPr="003C2710" w:rsidRDefault="0027047F" w:rsidP="003C2710">
      <w:pPr>
        <w:spacing w:line="360" w:lineRule="auto"/>
        <w:jc w:val="both"/>
        <w:rPr>
          <w:rFonts w:cs="Calibri"/>
          <w:sz w:val="24"/>
          <w:szCs w:val="24"/>
        </w:rPr>
      </w:pPr>
      <w:r w:rsidRPr="003C2710">
        <w:rPr>
          <w:rFonts w:cs="Calibri"/>
          <w:sz w:val="24"/>
          <w:szCs w:val="24"/>
        </w:rPr>
        <w:t xml:space="preserve">From a capability perspective, schools play an important role in shaping how students convert resources into real opportunities (Nussbaum, 2011). Within secondary education, studies have found that curriculum design can enable or constrain post-16 </w:t>
      </w:r>
      <w:r w:rsidR="003F26E7">
        <w:rPr>
          <w:rFonts w:cs="Calibri"/>
          <w:sz w:val="24"/>
          <w:szCs w:val="24"/>
        </w:rPr>
        <w:t>trajectories</w:t>
      </w:r>
      <w:r w:rsidRPr="003C2710">
        <w:rPr>
          <w:rFonts w:cs="Calibri"/>
          <w:sz w:val="24"/>
          <w:szCs w:val="24"/>
        </w:rPr>
        <w:t xml:space="preserve"> by legitimising certain subjects and career routes over others (McMullin et al., 2016; Fidler, 2022; Archer, et al., 2023; Freeman et al., 2024). In a Welsh context, research suggests that practices such as curriculum stratification, option systems, and qualification provision can significantly influence students’ post-16 choices (Taylor, 2024; Morris, 2021).  Concerns have been expressed that these institutional structures and practices may reproduce existing inequalities</w:t>
      </w:r>
      <w:r w:rsidR="00FC1781">
        <w:rPr>
          <w:rFonts w:cs="Calibri"/>
          <w:sz w:val="24"/>
          <w:szCs w:val="24"/>
        </w:rPr>
        <w:t xml:space="preserve"> (Morris, 2021)</w:t>
      </w:r>
      <w:r w:rsidRPr="003C2710">
        <w:rPr>
          <w:rFonts w:cs="Calibri"/>
          <w:sz w:val="24"/>
          <w:szCs w:val="24"/>
        </w:rPr>
        <w:t xml:space="preserve">, as higher-performing schools often prioritise academic pathways, with vocational routes depicted as lower-status alternatives (Estyn, 2025; </w:t>
      </w:r>
      <w:r w:rsidR="00FC1781" w:rsidRPr="00FC1781">
        <w:rPr>
          <w:rFonts w:cs="Calibri"/>
          <w:sz w:val="24"/>
          <w:szCs w:val="24"/>
        </w:rPr>
        <w:t>Taylor, 2024</w:t>
      </w:r>
      <w:r w:rsidRPr="003C2710">
        <w:rPr>
          <w:rFonts w:cs="Calibri"/>
          <w:sz w:val="24"/>
          <w:szCs w:val="24"/>
        </w:rPr>
        <w:t>).</w:t>
      </w:r>
      <w:r w:rsidR="00FC1781">
        <w:rPr>
          <w:rFonts w:cs="Calibri"/>
          <w:sz w:val="24"/>
          <w:szCs w:val="24"/>
        </w:rPr>
        <w:t xml:space="preserve"> </w:t>
      </w:r>
    </w:p>
    <w:p w14:paraId="0FA796A7" w14:textId="4DD221C6" w:rsidR="0027047F" w:rsidRPr="003C2710" w:rsidRDefault="0027047F" w:rsidP="003C2710">
      <w:pPr>
        <w:spacing w:line="360" w:lineRule="auto"/>
        <w:jc w:val="both"/>
        <w:rPr>
          <w:rFonts w:cs="Calibri"/>
          <w:sz w:val="24"/>
          <w:szCs w:val="24"/>
        </w:rPr>
      </w:pPr>
      <w:r w:rsidRPr="003C2710">
        <w:rPr>
          <w:rFonts w:cs="Calibri"/>
          <w:sz w:val="24"/>
          <w:szCs w:val="24"/>
        </w:rPr>
        <w:t xml:space="preserve">It is further proposed that students’ access to particular subjects can impact their future opportunities (Francis et al., 2017; Archer et al., 2023). Evidence from the </w:t>
      </w:r>
      <w:r w:rsidRPr="003C2710">
        <w:rPr>
          <w:rFonts w:cs="Calibri"/>
          <w:i/>
          <w:iCs/>
          <w:sz w:val="24"/>
          <w:szCs w:val="24"/>
        </w:rPr>
        <w:t>Aspires</w:t>
      </w:r>
      <w:r w:rsidRPr="003C2710">
        <w:rPr>
          <w:rFonts w:cs="Calibri"/>
          <w:sz w:val="24"/>
          <w:szCs w:val="24"/>
        </w:rPr>
        <w:t xml:space="preserve"> longitudinal study (2010–2023) identifies the process of educational</w:t>
      </w:r>
      <w:r w:rsidRPr="003C2710">
        <w:rPr>
          <w:rFonts w:cs="Calibri"/>
          <w:i/>
          <w:iCs/>
          <w:sz w:val="24"/>
          <w:szCs w:val="24"/>
        </w:rPr>
        <w:t xml:space="preserve"> “gatekeeping</w:t>
      </w:r>
      <w:r w:rsidRPr="003C2710">
        <w:rPr>
          <w:rFonts w:cs="Calibri"/>
          <w:sz w:val="24"/>
          <w:szCs w:val="24"/>
        </w:rPr>
        <w:t xml:space="preserve">” (Archer et al., 2023, p8), where institutional practices influence which students access subjects such as Triple Science, shaping how </w:t>
      </w:r>
      <w:r w:rsidR="00E62441" w:rsidRPr="003C2710">
        <w:rPr>
          <w:rFonts w:cs="Calibri"/>
          <w:sz w:val="24"/>
          <w:szCs w:val="24"/>
        </w:rPr>
        <w:t>students</w:t>
      </w:r>
      <w:r w:rsidRPr="003C2710">
        <w:rPr>
          <w:rFonts w:cs="Calibri"/>
          <w:sz w:val="24"/>
          <w:szCs w:val="24"/>
        </w:rPr>
        <w:t xml:space="preserve"> perceive the suitability of particular pathways, irrespective of their interest or ability (</w:t>
      </w:r>
      <w:r w:rsidRPr="003C2710">
        <w:rPr>
          <w:rFonts w:cs="Calibri"/>
          <w:i/>
          <w:iCs/>
          <w:sz w:val="24"/>
          <w:szCs w:val="24"/>
        </w:rPr>
        <w:t>ibid</w:t>
      </w:r>
      <w:r w:rsidRPr="003C2710">
        <w:rPr>
          <w:rFonts w:cs="Calibri"/>
          <w:sz w:val="24"/>
          <w:szCs w:val="24"/>
        </w:rPr>
        <w:t>). These findings suggest that school structures may not simply provide post-16 opportunities but also enable or constrain access to them.</w:t>
      </w:r>
    </w:p>
    <w:p w14:paraId="2B4B2D5B" w14:textId="5C1165A1" w:rsidR="0027047F" w:rsidRPr="003C2710" w:rsidRDefault="0027047F" w:rsidP="003C2710">
      <w:pPr>
        <w:spacing w:line="360" w:lineRule="auto"/>
        <w:jc w:val="both"/>
        <w:rPr>
          <w:rFonts w:cs="Calibri"/>
          <w:sz w:val="24"/>
          <w:szCs w:val="24"/>
        </w:rPr>
      </w:pPr>
      <w:r w:rsidRPr="003C2710">
        <w:rPr>
          <w:rFonts w:cs="Calibri"/>
          <w:sz w:val="24"/>
          <w:szCs w:val="24"/>
        </w:rPr>
        <w:t>The role of career education and guidance in schools is also considered significant (Hughes et al., 2016; Estyn, 2025). It is asserted that high-quality career-guidance can support students in understanding available pathways (Hooley et al., 2017; McCash et al., 2021), potentially acting as a bridge between aspiration and opportunity (</w:t>
      </w:r>
      <w:r w:rsidR="00802638">
        <w:rPr>
          <w:rFonts w:cs="Calibri"/>
          <w:sz w:val="24"/>
          <w:szCs w:val="24"/>
        </w:rPr>
        <w:t>Hughes, et al., 2016</w:t>
      </w:r>
      <w:r w:rsidRPr="003C2710">
        <w:rPr>
          <w:rFonts w:cs="Calibri"/>
          <w:sz w:val="24"/>
          <w:szCs w:val="24"/>
        </w:rPr>
        <w:t xml:space="preserve">; Taylor, 2024). However, </w:t>
      </w:r>
      <w:r w:rsidR="00CD5838" w:rsidRPr="00310729">
        <w:rPr>
          <w:rFonts w:cs="Calibri"/>
          <w:color w:val="000000" w:themeColor="text1"/>
          <w:sz w:val="24"/>
          <w:szCs w:val="24"/>
        </w:rPr>
        <w:t>despite an increased focus on Career and Work-related experiences</w:t>
      </w:r>
      <w:r w:rsidR="00556C84">
        <w:rPr>
          <w:rFonts w:cs="Calibri"/>
          <w:color w:val="000000" w:themeColor="text1"/>
          <w:sz w:val="24"/>
          <w:szCs w:val="24"/>
        </w:rPr>
        <w:t xml:space="preserve"> (CWRE)</w:t>
      </w:r>
      <w:r w:rsidR="00CD5838" w:rsidRPr="00310729">
        <w:rPr>
          <w:rFonts w:cs="Calibri"/>
          <w:color w:val="000000" w:themeColor="text1"/>
          <w:sz w:val="24"/>
          <w:szCs w:val="24"/>
        </w:rPr>
        <w:t xml:space="preserve"> within the curriculum for Wales</w:t>
      </w:r>
      <w:r w:rsidR="00310729">
        <w:rPr>
          <w:rFonts w:cs="Calibri"/>
          <w:color w:val="000000" w:themeColor="text1"/>
          <w:sz w:val="24"/>
          <w:szCs w:val="24"/>
        </w:rPr>
        <w:t xml:space="preserve"> (Welsh Government, 2022),</w:t>
      </w:r>
      <w:r w:rsidR="00CD5838" w:rsidRPr="00310729">
        <w:rPr>
          <w:rFonts w:cs="Calibri"/>
          <w:color w:val="000000" w:themeColor="text1"/>
          <w:sz w:val="24"/>
          <w:szCs w:val="24"/>
        </w:rPr>
        <w:t xml:space="preserve"> </w:t>
      </w:r>
      <w:r w:rsidRPr="003C2710">
        <w:rPr>
          <w:rFonts w:cs="Calibri"/>
          <w:sz w:val="24"/>
          <w:szCs w:val="24"/>
        </w:rPr>
        <w:t xml:space="preserve">inspection evidence </w:t>
      </w:r>
      <w:r w:rsidR="00047201">
        <w:rPr>
          <w:rFonts w:cs="Calibri"/>
          <w:sz w:val="24"/>
          <w:szCs w:val="24"/>
        </w:rPr>
        <w:t>suggests</w:t>
      </w:r>
      <w:r w:rsidRPr="003C2710">
        <w:rPr>
          <w:rFonts w:cs="Calibri"/>
          <w:sz w:val="24"/>
          <w:szCs w:val="24"/>
        </w:rPr>
        <w:t xml:space="preserve"> that such provision is inconsistent across schools</w:t>
      </w:r>
      <w:r w:rsidR="00310729">
        <w:rPr>
          <w:rFonts w:cs="Calibri"/>
          <w:sz w:val="24"/>
          <w:szCs w:val="24"/>
        </w:rPr>
        <w:t xml:space="preserve"> </w:t>
      </w:r>
      <w:r w:rsidRPr="003C2710">
        <w:rPr>
          <w:rFonts w:cs="Calibri"/>
          <w:sz w:val="24"/>
          <w:szCs w:val="24"/>
        </w:rPr>
        <w:t xml:space="preserve">(Estyn, 2025), potentially limiting its impact. This suggests that whilst the Curriculum for Wales seeks to provide more equitable post-16 opportunities (Welsh Government, 2023), the </w:t>
      </w:r>
      <w:r w:rsidRPr="003C2710">
        <w:rPr>
          <w:rFonts w:cs="Calibri"/>
          <w:sz w:val="24"/>
          <w:szCs w:val="24"/>
        </w:rPr>
        <w:lastRenderedPageBreak/>
        <w:t>impact of educational reform in Wales may be dependent upon how these policies are implemented at school-level (Ball, 2021).</w:t>
      </w:r>
    </w:p>
    <w:p w14:paraId="7E17C7BC" w14:textId="77777777" w:rsidR="0027047F" w:rsidRPr="008B2CE2" w:rsidRDefault="0027047F" w:rsidP="003C2710">
      <w:pPr>
        <w:spacing w:line="360" w:lineRule="auto"/>
        <w:rPr>
          <w:rFonts w:cs="Calibri"/>
          <w:b/>
          <w:bCs/>
          <w:color w:val="000000" w:themeColor="text1"/>
          <w:sz w:val="28"/>
          <w:szCs w:val="28"/>
        </w:rPr>
      </w:pPr>
      <w:r w:rsidRPr="008B2CE2">
        <w:rPr>
          <w:rFonts w:cs="Calibri"/>
          <w:b/>
          <w:bCs/>
          <w:color w:val="000000" w:themeColor="text1"/>
          <w:sz w:val="28"/>
          <w:szCs w:val="28"/>
        </w:rPr>
        <w:t>2.3 Schools, social environments and post-16 pathways</w:t>
      </w:r>
    </w:p>
    <w:p w14:paraId="715662AB" w14:textId="77777777" w:rsidR="0027047F" w:rsidRPr="003C2710" w:rsidRDefault="0027047F" w:rsidP="003C2710">
      <w:pPr>
        <w:spacing w:line="360" w:lineRule="auto"/>
        <w:jc w:val="both"/>
        <w:rPr>
          <w:rFonts w:cs="Calibri"/>
          <w:sz w:val="24"/>
          <w:szCs w:val="24"/>
        </w:rPr>
      </w:pPr>
      <w:r w:rsidRPr="003C2710">
        <w:rPr>
          <w:rFonts w:cs="Calibri"/>
          <w:sz w:val="24"/>
          <w:szCs w:val="24"/>
        </w:rPr>
        <w:t xml:space="preserve">In addition to curriculum structures, it is proposed that schools function as social environments where interactions with teachers, peers and the institutional culture can influence the futures that appear realistic or attainable for students (St Clair et al., 2014; Archer et al., 2023). </w:t>
      </w:r>
    </w:p>
    <w:p w14:paraId="1A141F34" w14:textId="01582484" w:rsidR="0027047F" w:rsidRPr="003C2710" w:rsidRDefault="0027047F" w:rsidP="003C2710">
      <w:pPr>
        <w:spacing w:line="360" w:lineRule="auto"/>
        <w:jc w:val="both"/>
        <w:rPr>
          <w:rFonts w:cs="Calibri"/>
          <w:sz w:val="24"/>
          <w:szCs w:val="24"/>
        </w:rPr>
      </w:pPr>
      <w:r w:rsidRPr="003C2710">
        <w:rPr>
          <w:rFonts w:cs="Calibri"/>
          <w:sz w:val="24"/>
          <w:szCs w:val="24"/>
        </w:rPr>
        <w:t xml:space="preserve">Sociological perspectives emphasise that aspirations are not only a reflection of individual preference but are also </w:t>
      </w:r>
      <w:r w:rsidR="00853801">
        <w:rPr>
          <w:rFonts w:cs="Calibri"/>
          <w:sz w:val="24"/>
          <w:szCs w:val="24"/>
        </w:rPr>
        <w:t>socially constructed</w:t>
      </w:r>
      <w:r w:rsidRPr="003C2710">
        <w:rPr>
          <w:rFonts w:cs="Calibri"/>
          <w:sz w:val="24"/>
          <w:szCs w:val="24"/>
        </w:rPr>
        <w:t xml:space="preserve"> (Bourdieu, 1977; </w:t>
      </w:r>
      <w:proofErr w:type="spellStart"/>
      <w:r w:rsidRPr="003C2710">
        <w:rPr>
          <w:rFonts w:cs="Calibri"/>
          <w:sz w:val="24"/>
          <w:szCs w:val="24"/>
        </w:rPr>
        <w:t>Kintrea</w:t>
      </w:r>
      <w:proofErr w:type="spellEnd"/>
      <w:r w:rsidRPr="003C2710">
        <w:rPr>
          <w:rFonts w:cs="Calibri"/>
          <w:sz w:val="24"/>
          <w:szCs w:val="24"/>
        </w:rPr>
        <w:t xml:space="preserve">, 2011; Hart, 2019). Bourdieu’s concept of </w:t>
      </w:r>
      <w:r w:rsidRPr="003C2710">
        <w:rPr>
          <w:rFonts w:cs="Calibri"/>
          <w:i/>
          <w:iCs/>
          <w:sz w:val="24"/>
          <w:szCs w:val="24"/>
        </w:rPr>
        <w:t>Habitus</w:t>
      </w:r>
      <w:r w:rsidRPr="003C2710">
        <w:rPr>
          <w:rFonts w:cs="Calibri"/>
          <w:sz w:val="24"/>
          <w:szCs w:val="24"/>
        </w:rPr>
        <w:t xml:space="preserve"> (1977) proposes that young people internalise social experiences and expectations, </w:t>
      </w:r>
      <w:r w:rsidR="00853801">
        <w:rPr>
          <w:rFonts w:cs="Calibri"/>
          <w:sz w:val="24"/>
          <w:szCs w:val="24"/>
        </w:rPr>
        <w:t>which influences</w:t>
      </w:r>
      <w:r w:rsidRPr="003C2710">
        <w:rPr>
          <w:rFonts w:cs="Calibri"/>
          <w:sz w:val="24"/>
          <w:szCs w:val="24"/>
        </w:rPr>
        <w:t xml:space="preserve"> their perceptions of possible futures. Empirical research supports this, </w:t>
      </w:r>
      <w:r w:rsidR="00853801">
        <w:rPr>
          <w:rFonts w:cs="Calibri"/>
          <w:sz w:val="24"/>
          <w:szCs w:val="24"/>
        </w:rPr>
        <w:t xml:space="preserve">with </w:t>
      </w:r>
      <w:r w:rsidR="00853801" w:rsidRPr="003C2710">
        <w:rPr>
          <w:rFonts w:cs="Calibri"/>
          <w:sz w:val="24"/>
          <w:szCs w:val="24"/>
        </w:rPr>
        <w:t>indicati</w:t>
      </w:r>
      <w:r w:rsidR="00853801">
        <w:rPr>
          <w:rFonts w:cs="Calibri"/>
          <w:sz w:val="24"/>
          <w:szCs w:val="24"/>
        </w:rPr>
        <w:t>ons</w:t>
      </w:r>
      <w:r w:rsidRPr="003C2710">
        <w:rPr>
          <w:rFonts w:cs="Calibri"/>
          <w:sz w:val="24"/>
          <w:szCs w:val="24"/>
        </w:rPr>
        <w:t xml:space="preserve"> that inequalities in post-16 pathways are more closely linked to unequal access to knowledge, networks, and support</w:t>
      </w:r>
      <w:r w:rsidR="00AC175D" w:rsidRPr="003C2710">
        <w:rPr>
          <w:rFonts w:cs="Calibri"/>
          <w:sz w:val="24"/>
          <w:szCs w:val="24"/>
        </w:rPr>
        <w:t>,</w:t>
      </w:r>
      <w:r w:rsidRPr="003C2710">
        <w:rPr>
          <w:rFonts w:cs="Calibri"/>
          <w:sz w:val="24"/>
          <w:szCs w:val="24"/>
        </w:rPr>
        <w:t xml:space="preserve"> than to a lack of aspiration (St Clair et al., 2011; Hughes et al., 2016; Archer et al., 2023). It is argued (Hart, 2019), that students from more advantaged backgrounds are likely to have greater social capital, such as access to role models and networks, which facilitate aspiration formation and realisation. </w:t>
      </w:r>
      <w:r w:rsidR="00853801">
        <w:rPr>
          <w:rFonts w:cs="Calibri"/>
          <w:sz w:val="24"/>
          <w:szCs w:val="24"/>
        </w:rPr>
        <w:t>Despite criticism that</w:t>
      </w:r>
      <w:r w:rsidRPr="003C2710">
        <w:rPr>
          <w:rFonts w:cs="Calibri"/>
          <w:sz w:val="24"/>
          <w:szCs w:val="24"/>
        </w:rPr>
        <w:t xml:space="preserve"> </w:t>
      </w:r>
      <w:r w:rsidR="00853801">
        <w:rPr>
          <w:rFonts w:cs="Calibri"/>
          <w:sz w:val="24"/>
          <w:szCs w:val="24"/>
        </w:rPr>
        <w:t xml:space="preserve">some </w:t>
      </w:r>
      <w:r w:rsidRPr="003C2710">
        <w:rPr>
          <w:rFonts w:cs="Calibri"/>
          <w:sz w:val="24"/>
          <w:szCs w:val="24"/>
        </w:rPr>
        <w:t xml:space="preserve">sociological perspectives </w:t>
      </w:r>
      <w:r w:rsidR="00853801">
        <w:rPr>
          <w:rFonts w:cs="Calibri"/>
          <w:sz w:val="24"/>
          <w:szCs w:val="24"/>
        </w:rPr>
        <w:t>hold</w:t>
      </w:r>
      <w:r w:rsidRPr="003C2710">
        <w:rPr>
          <w:rFonts w:cs="Calibri"/>
          <w:sz w:val="24"/>
          <w:szCs w:val="24"/>
        </w:rPr>
        <w:t xml:space="preserve"> deterministic tendencies (Dweck, 2020) and </w:t>
      </w:r>
      <w:r w:rsidR="00853801">
        <w:rPr>
          <w:rFonts w:cs="Calibri"/>
          <w:sz w:val="24"/>
          <w:szCs w:val="24"/>
        </w:rPr>
        <w:t xml:space="preserve">underestimate </w:t>
      </w:r>
      <w:r w:rsidRPr="003C2710">
        <w:rPr>
          <w:rFonts w:cs="Calibri"/>
          <w:sz w:val="24"/>
          <w:szCs w:val="24"/>
        </w:rPr>
        <w:t xml:space="preserve">the extent to which </w:t>
      </w:r>
      <w:r w:rsidR="00ED25D9">
        <w:rPr>
          <w:rFonts w:cs="Calibri"/>
          <w:sz w:val="24"/>
          <w:szCs w:val="24"/>
        </w:rPr>
        <w:t>individuals</w:t>
      </w:r>
      <w:r w:rsidRPr="003C2710">
        <w:rPr>
          <w:rFonts w:cs="Calibri"/>
          <w:sz w:val="24"/>
          <w:szCs w:val="24"/>
        </w:rPr>
        <w:t xml:space="preserve"> interpret their</w:t>
      </w:r>
      <w:r w:rsidR="00853801">
        <w:rPr>
          <w:rFonts w:cs="Calibri"/>
          <w:sz w:val="24"/>
          <w:szCs w:val="24"/>
        </w:rPr>
        <w:t xml:space="preserve"> own</w:t>
      </w:r>
      <w:r w:rsidRPr="003C2710">
        <w:rPr>
          <w:rFonts w:cs="Calibri"/>
          <w:sz w:val="24"/>
          <w:szCs w:val="24"/>
        </w:rPr>
        <w:t xml:space="preserve"> social and educational experiences (Anderson, 2018), it is </w:t>
      </w:r>
      <w:r w:rsidR="00ED25D9">
        <w:rPr>
          <w:rFonts w:cs="Calibri"/>
          <w:sz w:val="24"/>
          <w:szCs w:val="24"/>
        </w:rPr>
        <w:t>proposed</w:t>
      </w:r>
      <w:r w:rsidRPr="003C2710">
        <w:rPr>
          <w:rFonts w:cs="Calibri"/>
          <w:sz w:val="24"/>
          <w:szCs w:val="24"/>
        </w:rPr>
        <w:t xml:space="preserve"> that they complement the Capability Approach by demonstrating how social structures </w:t>
      </w:r>
      <w:r w:rsidR="003E4193">
        <w:rPr>
          <w:rFonts w:cs="Calibri"/>
          <w:sz w:val="24"/>
          <w:szCs w:val="24"/>
        </w:rPr>
        <w:t xml:space="preserve">can </w:t>
      </w:r>
      <w:r w:rsidRPr="003C2710">
        <w:rPr>
          <w:rFonts w:cs="Calibri"/>
          <w:sz w:val="24"/>
          <w:szCs w:val="24"/>
        </w:rPr>
        <w:t xml:space="preserve">shape access to opportunity (Hart, 2019; Price, 2025). </w:t>
      </w:r>
    </w:p>
    <w:p w14:paraId="10FDC2B8" w14:textId="77777777" w:rsidR="0027047F" w:rsidRPr="003C2710" w:rsidRDefault="0027047F" w:rsidP="003C2710">
      <w:pPr>
        <w:spacing w:line="360" w:lineRule="auto"/>
        <w:jc w:val="both"/>
        <w:rPr>
          <w:rFonts w:cs="Calibri"/>
          <w:color w:val="EE0000"/>
          <w:sz w:val="24"/>
          <w:szCs w:val="24"/>
        </w:rPr>
      </w:pPr>
      <w:r w:rsidRPr="003C2710">
        <w:rPr>
          <w:rFonts w:cs="Calibri"/>
          <w:sz w:val="24"/>
          <w:szCs w:val="24"/>
        </w:rPr>
        <w:t>In an educational context, everyday social interactions including teacher expectations, peer interactions and informal cultural norms are considered to have an impact on how students interpret available pathways (Hughes et al., 2016; Archer et al., 2023). For example, it is argued that gendered representations of subjects such as Engineering and Physics may portray them as less accessible to certain groups</w:t>
      </w:r>
      <w:r w:rsidRPr="003C2710">
        <w:rPr>
          <w:rFonts w:cs="Calibri"/>
          <w:color w:val="EE0000"/>
          <w:sz w:val="24"/>
          <w:szCs w:val="24"/>
        </w:rPr>
        <w:t xml:space="preserve"> </w:t>
      </w:r>
      <w:r w:rsidRPr="003C2710">
        <w:rPr>
          <w:rFonts w:cs="Calibri"/>
          <w:sz w:val="24"/>
          <w:szCs w:val="24"/>
        </w:rPr>
        <w:t xml:space="preserve">(Francis et al., 2017), while the </w:t>
      </w:r>
      <w:r w:rsidRPr="003C2710">
        <w:rPr>
          <w:rFonts w:cs="Calibri"/>
          <w:i/>
          <w:iCs/>
          <w:sz w:val="24"/>
          <w:szCs w:val="24"/>
        </w:rPr>
        <w:t>hidden curriculum</w:t>
      </w:r>
      <w:r w:rsidRPr="003C2710">
        <w:rPr>
          <w:rFonts w:cs="Calibri"/>
          <w:sz w:val="24"/>
          <w:szCs w:val="24"/>
        </w:rPr>
        <w:t>, defined as the implicit norms and expectations embedded within school culture (Reay, 2015), can reinforce class-based assumptions about appropriate educational routes (Evans &amp; Furlong, 2019). This may explain why some pathways are perceived as “</w:t>
      </w:r>
      <w:r w:rsidRPr="003C2710">
        <w:rPr>
          <w:rFonts w:cs="Calibri"/>
          <w:i/>
          <w:iCs/>
          <w:sz w:val="24"/>
          <w:szCs w:val="24"/>
        </w:rPr>
        <w:t>not for me</w:t>
      </w:r>
      <w:r w:rsidRPr="003C2710">
        <w:rPr>
          <w:rFonts w:cs="Calibri"/>
          <w:sz w:val="24"/>
          <w:szCs w:val="24"/>
        </w:rPr>
        <w:t>” (Archer et al., 2023, p.7), even when they are formally available.</w:t>
      </w:r>
    </w:p>
    <w:p w14:paraId="7223C27D" w14:textId="1DC3B73A" w:rsidR="0027047F" w:rsidRPr="003C2710" w:rsidRDefault="0027047F" w:rsidP="003C2710">
      <w:pPr>
        <w:spacing w:line="360" w:lineRule="auto"/>
        <w:jc w:val="both"/>
        <w:rPr>
          <w:rFonts w:cs="Calibri"/>
          <w:sz w:val="24"/>
          <w:szCs w:val="24"/>
        </w:rPr>
      </w:pPr>
      <w:r w:rsidRPr="003C2710">
        <w:rPr>
          <w:rFonts w:cs="Calibri"/>
          <w:sz w:val="24"/>
          <w:szCs w:val="24"/>
        </w:rPr>
        <w:lastRenderedPageBreak/>
        <w:t xml:space="preserve">These findings suggest that access to post-16 pathways may be influenced, not only by formal provision, but also through every day social interactions within school environments. From a capability perspective, these interactions can act as conversion factors, influencing how institutional opportunities are </w:t>
      </w:r>
      <w:r w:rsidR="00A343F7">
        <w:rPr>
          <w:rFonts w:cs="Calibri"/>
          <w:sz w:val="24"/>
          <w:szCs w:val="24"/>
        </w:rPr>
        <w:t>interpreted</w:t>
      </w:r>
      <w:r w:rsidRPr="003C2710">
        <w:rPr>
          <w:rFonts w:cs="Calibri"/>
          <w:sz w:val="24"/>
          <w:szCs w:val="24"/>
        </w:rPr>
        <w:t xml:space="preserve"> by students (</w:t>
      </w:r>
      <w:r w:rsidR="00B162AB">
        <w:rPr>
          <w:rFonts w:cs="Calibri"/>
          <w:sz w:val="24"/>
          <w:szCs w:val="24"/>
        </w:rPr>
        <w:t xml:space="preserve">Nussbaum, 2011; </w:t>
      </w:r>
      <w:r w:rsidRPr="003C2710">
        <w:rPr>
          <w:rFonts w:cs="Calibri"/>
          <w:sz w:val="24"/>
          <w:szCs w:val="24"/>
        </w:rPr>
        <w:t xml:space="preserve">Hart, 2019; Price, 2025). This emphasises the importance within my own study, of exploring how social experiences and </w:t>
      </w:r>
      <w:r w:rsidR="003F26E7">
        <w:rPr>
          <w:rFonts w:cs="Calibri"/>
          <w:sz w:val="24"/>
          <w:szCs w:val="24"/>
        </w:rPr>
        <w:t xml:space="preserve">institutional </w:t>
      </w:r>
      <w:r w:rsidR="003F26E7" w:rsidRPr="003C2710">
        <w:rPr>
          <w:rFonts w:cs="Calibri"/>
          <w:sz w:val="24"/>
          <w:szCs w:val="24"/>
        </w:rPr>
        <w:t>expectations</w:t>
      </w:r>
      <w:r w:rsidR="00A343F7">
        <w:rPr>
          <w:rFonts w:cs="Calibri"/>
          <w:sz w:val="24"/>
          <w:szCs w:val="24"/>
        </w:rPr>
        <w:t xml:space="preserve"> within schools</w:t>
      </w:r>
      <w:r w:rsidR="003F26E7">
        <w:rPr>
          <w:rFonts w:cs="Calibri"/>
          <w:sz w:val="24"/>
          <w:szCs w:val="24"/>
        </w:rPr>
        <w:t xml:space="preserve">, </w:t>
      </w:r>
      <w:r w:rsidR="003F26E7" w:rsidRPr="003C2710">
        <w:rPr>
          <w:rFonts w:cs="Calibri"/>
          <w:sz w:val="24"/>
          <w:szCs w:val="24"/>
        </w:rPr>
        <w:t>shape</w:t>
      </w:r>
      <w:r w:rsidRPr="003C2710">
        <w:rPr>
          <w:rFonts w:cs="Calibri"/>
          <w:sz w:val="24"/>
          <w:szCs w:val="24"/>
        </w:rPr>
        <w:t xml:space="preserve"> students’ access to post-16 pathways.</w:t>
      </w:r>
    </w:p>
    <w:p w14:paraId="60E937B5" w14:textId="77777777" w:rsidR="0027047F" w:rsidRPr="008B2CE2" w:rsidRDefault="0027047F" w:rsidP="003C2710">
      <w:pPr>
        <w:spacing w:line="360" w:lineRule="auto"/>
        <w:rPr>
          <w:rFonts w:cs="Calibri"/>
          <w:b/>
          <w:bCs/>
          <w:sz w:val="28"/>
          <w:szCs w:val="28"/>
        </w:rPr>
      </w:pPr>
      <w:r w:rsidRPr="008B2CE2">
        <w:rPr>
          <w:rFonts w:cs="Calibri"/>
          <w:b/>
          <w:bCs/>
          <w:sz w:val="28"/>
          <w:szCs w:val="28"/>
        </w:rPr>
        <w:t xml:space="preserve">2.4 Schools, Individual Agency and Perceived Possibility </w:t>
      </w:r>
    </w:p>
    <w:p w14:paraId="6E0B1629" w14:textId="77777777" w:rsidR="0027047F" w:rsidRPr="003C2710" w:rsidRDefault="0027047F" w:rsidP="003C2710">
      <w:pPr>
        <w:spacing w:line="360" w:lineRule="auto"/>
        <w:jc w:val="both"/>
        <w:rPr>
          <w:rFonts w:cs="Calibri"/>
          <w:sz w:val="24"/>
          <w:szCs w:val="24"/>
        </w:rPr>
      </w:pPr>
      <w:r w:rsidRPr="003C2710">
        <w:rPr>
          <w:rFonts w:cs="Calibri"/>
          <w:sz w:val="24"/>
          <w:szCs w:val="24"/>
        </w:rPr>
        <w:t xml:space="preserve">Schools may also act as conversion factors through their role in supporting students’ personal development (Walker, et al., 2017; Archer, et al., 2023).  This is reflected in the Curriculum for Wales (2022), which emphasises the development of individual qualities such as ambition, confidence, and resilience (Welsh Government, 2022). </w:t>
      </w:r>
    </w:p>
    <w:p w14:paraId="3A5E02F4" w14:textId="3C5BA700" w:rsidR="0027047F" w:rsidRPr="003C2710" w:rsidRDefault="0027047F" w:rsidP="003C2710">
      <w:pPr>
        <w:spacing w:line="360" w:lineRule="auto"/>
        <w:jc w:val="both"/>
        <w:rPr>
          <w:rFonts w:cs="Calibri"/>
          <w:color w:val="000000" w:themeColor="text1"/>
          <w:sz w:val="24"/>
          <w:szCs w:val="24"/>
        </w:rPr>
      </w:pPr>
      <w:r w:rsidRPr="003C2710">
        <w:rPr>
          <w:rFonts w:cs="Calibri"/>
          <w:color w:val="000000" w:themeColor="text1"/>
          <w:sz w:val="24"/>
          <w:szCs w:val="24"/>
        </w:rPr>
        <w:t>Within psychological research, personal development is recognised as an important factor in shaping how young people perceive their future opportunities (Lent et al., 1997; Ridley, 2024). Seminal theories of social cognition and future self-concept suggest that beliefs about one’s ability, alongside imagined future identities, influence motivation and decision-making (Bandura, 1986; Markus and Nurius, 1986). Empirical research supports this relationship in the context of post-16 pathways. For example, Sheu et al. (2022) found that self-belief and outcome expectations influence students’ educational and career choices, while Ridley (2024) note</w:t>
      </w:r>
      <w:r w:rsidR="00197EA9">
        <w:rPr>
          <w:rFonts w:cs="Calibri"/>
          <w:color w:val="000000" w:themeColor="text1"/>
          <w:sz w:val="24"/>
          <w:szCs w:val="24"/>
        </w:rPr>
        <w:t>s</w:t>
      </w:r>
      <w:r w:rsidRPr="003C2710">
        <w:rPr>
          <w:rFonts w:cs="Calibri"/>
          <w:color w:val="000000" w:themeColor="text1"/>
          <w:sz w:val="24"/>
          <w:szCs w:val="24"/>
        </w:rPr>
        <w:t xml:space="preserve"> that identity formation plays a prominent role in shaping how young people perceive </w:t>
      </w:r>
      <w:r w:rsidR="00BF0165">
        <w:rPr>
          <w:rFonts w:cs="Calibri"/>
          <w:color w:val="000000" w:themeColor="text1"/>
          <w:sz w:val="24"/>
          <w:szCs w:val="24"/>
        </w:rPr>
        <w:t>their futures</w:t>
      </w:r>
      <w:r w:rsidRPr="003C2710">
        <w:rPr>
          <w:rFonts w:cs="Calibri"/>
          <w:color w:val="000000" w:themeColor="text1"/>
          <w:sz w:val="24"/>
          <w:szCs w:val="24"/>
        </w:rPr>
        <w:t xml:space="preserve">. These findings suggest that schools influence not only the opportunities available to students (Archer et al., 2923), but also how these opportunities are perceived and interpreted (Ridley, 2024). </w:t>
      </w:r>
    </w:p>
    <w:p w14:paraId="43A41F62" w14:textId="5D2993DE" w:rsidR="0027047F" w:rsidRPr="003C2710" w:rsidRDefault="0027047F" w:rsidP="003C2710">
      <w:pPr>
        <w:spacing w:line="360" w:lineRule="auto"/>
        <w:jc w:val="both"/>
        <w:rPr>
          <w:rFonts w:cs="Calibri"/>
          <w:sz w:val="24"/>
          <w:szCs w:val="24"/>
        </w:rPr>
      </w:pPr>
      <w:r w:rsidRPr="003C2710">
        <w:rPr>
          <w:rFonts w:cs="Calibri"/>
          <w:sz w:val="24"/>
          <w:szCs w:val="24"/>
        </w:rPr>
        <w:t xml:space="preserve">However, an overly individualistic perspective </w:t>
      </w:r>
      <w:r w:rsidR="009A7671">
        <w:rPr>
          <w:rFonts w:cs="Calibri"/>
          <w:sz w:val="24"/>
          <w:szCs w:val="24"/>
        </w:rPr>
        <w:t xml:space="preserve">of career-development </w:t>
      </w:r>
      <w:r w:rsidRPr="003C2710">
        <w:rPr>
          <w:rFonts w:cs="Calibri"/>
          <w:sz w:val="24"/>
          <w:szCs w:val="24"/>
        </w:rPr>
        <w:t xml:space="preserve">has been criticised for understating the structural and social constraints that </w:t>
      </w:r>
      <w:r w:rsidR="0004523F">
        <w:rPr>
          <w:rFonts w:cs="Calibri"/>
          <w:sz w:val="24"/>
          <w:szCs w:val="24"/>
        </w:rPr>
        <w:t>affect</w:t>
      </w:r>
      <w:r w:rsidRPr="003C2710">
        <w:rPr>
          <w:rFonts w:cs="Calibri"/>
          <w:sz w:val="24"/>
          <w:szCs w:val="24"/>
        </w:rPr>
        <w:t xml:space="preserve"> decision-making (Morris, 2021; Archer, et al., 2023).  It is argued that students’ perceptions of what is possible cannot be understood in isolation from the institutional and social contexts in which they are formed (Evans &amp; Furlong, 2019). Nevertheless, these studies support the rationale for my own study to consider how schools develop student </w:t>
      </w:r>
      <w:r w:rsidR="00BF0165">
        <w:rPr>
          <w:rFonts w:cs="Calibri"/>
          <w:sz w:val="24"/>
          <w:szCs w:val="24"/>
        </w:rPr>
        <w:t>“</w:t>
      </w:r>
      <w:r w:rsidRPr="003C2710">
        <w:rPr>
          <w:rFonts w:cs="Calibri"/>
          <w:sz w:val="24"/>
          <w:szCs w:val="24"/>
        </w:rPr>
        <w:t>agency</w:t>
      </w:r>
      <w:r w:rsidR="00BF0165">
        <w:rPr>
          <w:rFonts w:cs="Calibri"/>
          <w:sz w:val="24"/>
          <w:szCs w:val="24"/>
        </w:rPr>
        <w:t>” (Dewey, 1981),</w:t>
      </w:r>
      <w:r w:rsidRPr="003C2710">
        <w:rPr>
          <w:rFonts w:cs="Calibri"/>
          <w:sz w:val="24"/>
          <w:szCs w:val="24"/>
        </w:rPr>
        <w:t xml:space="preserve"> </w:t>
      </w:r>
      <w:r w:rsidRPr="003C2710">
        <w:rPr>
          <w:rFonts w:cs="Calibri"/>
          <w:sz w:val="24"/>
          <w:szCs w:val="24"/>
        </w:rPr>
        <w:lastRenderedPageBreak/>
        <w:t xml:space="preserve">alongside social and institutional influences, and </w:t>
      </w:r>
      <w:r w:rsidR="00BF0165">
        <w:rPr>
          <w:rFonts w:cs="Calibri"/>
          <w:sz w:val="24"/>
          <w:szCs w:val="24"/>
        </w:rPr>
        <w:t>the role this plays in</w:t>
      </w:r>
      <w:r w:rsidRPr="003C2710">
        <w:rPr>
          <w:rFonts w:cs="Calibri"/>
          <w:sz w:val="24"/>
          <w:szCs w:val="24"/>
        </w:rPr>
        <w:t xml:space="preserve"> </w:t>
      </w:r>
      <w:r w:rsidR="00BF0165">
        <w:rPr>
          <w:rFonts w:cs="Calibri"/>
          <w:sz w:val="24"/>
          <w:szCs w:val="24"/>
        </w:rPr>
        <w:t>converting</w:t>
      </w:r>
      <w:r w:rsidRPr="003C2710">
        <w:rPr>
          <w:rFonts w:cs="Calibri"/>
          <w:sz w:val="24"/>
          <w:szCs w:val="24"/>
        </w:rPr>
        <w:t xml:space="preserve"> resources into meaningful post-16 opportunities</w:t>
      </w:r>
      <w:r w:rsidR="00686553">
        <w:rPr>
          <w:rFonts w:cs="Calibri"/>
          <w:sz w:val="24"/>
          <w:szCs w:val="24"/>
        </w:rPr>
        <w:t xml:space="preserve"> (Sen, 1999)</w:t>
      </w:r>
      <w:r w:rsidRPr="003C2710">
        <w:rPr>
          <w:rFonts w:cs="Calibri"/>
          <w:sz w:val="24"/>
          <w:szCs w:val="24"/>
        </w:rPr>
        <w:t>.</w:t>
      </w:r>
    </w:p>
    <w:p w14:paraId="0A54DD27" w14:textId="4C096E4B" w:rsidR="0027047F" w:rsidRPr="008B2CE2" w:rsidRDefault="0027047F" w:rsidP="003C2710">
      <w:pPr>
        <w:spacing w:line="360" w:lineRule="auto"/>
        <w:jc w:val="both"/>
        <w:rPr>
          <w:rFonts w:cs="Calibri"/>
          <w:b/>
          <w:bCs/>
          <w:sz w:val="28"/>
          <w:szCs w:val="28"/>
        </w:rPr>
      </w:pPr>
      <w:r w:rsidRPr="008B2CE2">
        <w:rPr>
          <w:rFonts w:cs="Calibri"/>
          <w:b/>
          <w:bCs/>
          <w:sz w:val="28"/>
          <w:szCs w:val="28"/>
        </w:rPr>
        <w:t xml:space="preserve">2.5 Conclusion </w:t>
      </w:r>
    </w:p>
    <w:p w14:paraId="74B4DFE1" w14:textId="4DB531CC" w:rsidR="0027047F" w:rsidRPr="003C2710" w:rsidRDefault="0027047F" w:rsidP="003C2710">
      <w:pPr>
        <w:spacing w:line="360" w:lineRule="auto"/>
        <w:jc w:val="both"/>
        <w:rPr>
          <w:rFonts w:cs="Calibri"/>
          <w:sz w:val="24"/>
          <w:szCs w:val="24"/>
        </w:rPr>
      </w:pPr>
      <w:r w:rsidRPr="003C2710">
        <w:rPr>
          <w:rFonts w:cs="Calibri"/>
          <w:sz w:val="24"/>
          <w:szCs w:val="24"/>
        </w:rPr>
        <w:t xml:space="preserve">Overall, the literature indicates that while personal qualities such as confidence and ambition are important in relation to post-16 transition (Sheu et al., 2022; Ridley, 2024), these are often influenced by </w:t>
      </w:r>
      <w:r w:rsidR="00153A71">
        <w:rPr>
          <w:rFonts w:cs="Calibri"/>
          <w:sz w:val="24"/>
          <w:szCs w:val="24"/>
        </w:rPr>
        <w:t>institutional</w:t>
      </w:r>
      <w:r w:rsidRPr="003C2710">
        <w:rPr>
          <w:rFonts w:cs="Calibri"/>
          <w:sz w:val="24"/>
          <w:szCs w:val="24"/>
        </w:rPr>
        <w:t xml:space="preserve">, social and cultural factors (Hofmann, 2024; Hart, 2019). From a capability perspective, </w:t>
      </w:r>
      <w:r w:rsidR="00093991">
        <w:rPr>
          <w:rFonts w:cs="Calibri"/>
          <w:sz w:val="24"/>
          <w:szCs w:val="24"/>
        </w:rPr>
        <w:t xml:space="preserve">one of the </w:t>
      </w:r>
      <w:r w:rsidRPr="003C2710">
        <w:rPr>
          <w:rFonts w:cs="Calibri"/>
          <w:sz w:val="24"/>
          <w:szCs w:val="24"/>
        </w:rPr>
        <w:t>main issue</w:t>
      </w:r>
      <w:r w:rsidR="00093991">
        <w:rPr>
          <w:rFonts w:cs="Calibri"/>
          <w:sz w:val="24"/>
          <w:szCs w:val="24"/>
        </w:rPr>
        <w:t>s</w:t>
      </w:r>
      <w:r w:rsidRPr="003C2710">
        <w:rPr>
          <w:rFonts w:cs="Calibri"/>
          <w:sz w:val="24"/>
          <w:szCs w:val="24"/>
        </w:rPr>
        <w:t xml:space="preserve"> is not whether resources are available in schools, but rather how these are perceived, interpreted and acted upon by students (Hart, 2019). Although there is research examining the </w:t>
      </w:r>
      <w:r w:rsidR="00153A71">
        <w:rPr>
          <w:rFonts w:cs="Calibri"/>
          <w:sz w:val="24"/>
          <w:szCs w:val="24"/>
        </w:rPr>
        <w:t>impact of these</w:t>
      </w:r>
      <w:r w:rsidRPr="003C2710">
        <w:rPr>
          <w:rFonts w:cs="Calibri"/>
          <w:sz w:val="24"/>
          <w:szCs w:val="24"/>
        </w:rPr>
        <w:t xml:space="preserve"> factors </w:t>
      </w:r>
      <w:r w:rsidR="00153A71">
        <w:rPr>
          <w:rFonts w:cs="Calibri"/>
          <w:sz w:val="24"/>
          <w:szCs w:val="24"/>
        </w:rPr>
        <w:t>on</w:t>
      </w:r>
      <w:r w:rsidRPr="003C2710">
        <w:rPr>
          <w:rFonts w:cs="Calibri"/>
          <w:sz w:val="24"/>
          <w:szCs w:val="24"/>
        </w:rPr>
        <w:t xml:space="preserve"> post-16 trajectories (Hughes, 2016, Hoffmann, 2024), it is proposed that these </w:t>
      </w:r>
      <w:r w:rsidR="00153A71">
        <w:rPr>
          <w:rFonts w:cs="Calibri"/>
          <w:sz w:val="24"/>
          <w:szCs w:val="24"/>
        </w:rPr>
        <w:t xml:space="preserve">studies </w:t>
      </w:r>
      <w:r w:rsidRPr="003C2710">
        <w:rPr>
          <w:rFonts w:cs="Calibri"/>
          <w:sz w:val="24"/>
          <w:szCs w:val="24"/>
        </w:rPr>
        <w:t xml:space="preserve">are often limited in scope (Price, 2025). It is asserted that there is a need for further empirical research into how these factors interact within a school-setting to enable or constrain access to post-16 pathways (Price, 2025), including within the Curriculum for Wales (Morris, 2021).  </w:t>
      </w:r>
    </w:p>
    <w:p w14:paraId="41733B31" w14:textId="77777777" w:rsidR="00B61306" w:rsidRPr="003C2710" w:rsidRDefault="00B61306" w:rsidP="003C2710">
      <w:pPr>
        <w:spacing w:line="360" w:lineRule="auto"/>
        <w:rPr>
          <w:b/>
          <w:bCs/>
          <w:sz w:val="24"/>
          <w:szCs w:val="24"/>
        </w:rPr>
      </w:pPr>
    </w:p>
    <w:p w14:paraId="6A56B5EE" w14:textId="15381EAA" w:rsidR="00B61306" w:rsidRPr="008B2CE2" w:rsidRDefault="00B61306" w:rsidP="003C2710">
      <w:pPr>
        <w:spacing w:line="360" w:lineRule="auto"/>
        <w:rPr>
          <w:b/>
          <w:bCs/>
          <w:sz w:val="28"/>
          <w:szCs w:val="28"/>
        </w:rPr>
      </w:pPr>
      <w:r w:rsidRPr="008B2CE2">
        <w:rPr>
          <w:b/>
          <w:bCs/>
          <w:sz w:val="28"/>
          <w:szCs w:val="28"/>
        </w:rPr>
        <w:t>3.0 Relevance to the Study</w:t>
      </w:r>
    </w:p>
    <w:p w14:paraId="6C50A01C" w14:textId="7CB296F8" w:rsidR="00CF1092" w:rsidRPr="008B2CE2" w:rsidRDefault="00CF1092" w:rsidP="003C2710">
      <w:pPr>
        <w:spacing w:line="360" w:lineRule="auto"/>
        <w:rPr>
          <w:b/>
          <w:bCs/>
          <w:sz w:val="28"/>
          <w:szCs w:val="28"/>
        </w:rPr>
      </w:pPr>
      <w:r w:rsidRPr="008B2CE2">
        <w:rPr>
          <w:b/>
          <w:bCs/>
          <w:sz w:val="28"/>
          <w:szCs w:val="28"/>
        </w:rPr>
        <w:t>3.1 Synthesis of Literature and Research Gap</w:t>
      </w:r>
    </w:p>
    <w:p w14:paraId="6C1B38E5" w14:textId="21CB1FFF" w:rsidR="00CF1092" w:rsidRPr="003C2710" w:rsidRDefault="00CF1092" w:rsidP="003C2710">
      <w:pPr>
        <w:spacing w:line="360" w:lineRule="auto"/>
        <w:jc w:val="both"/>
        <w:rPr>
          <w:sz w:val="24"/>
          <w:szCs w:val="24"/>
        </w:rPr>
      </w:pPr>
      <w:r w:rsidRPr="003C2710">
        <w:rPr>
          <w:sz w:val="24"/>
          <w:szCs w:val="24"/>
        </w:rPr>
        <w:t>Within the literature, a distinction is made between the aspirations that students hold, and their genuine opportunities to realise them (Archer, et al., 2023; Price, 2025). It is proposed that while many students express high aspirations, these do not necessarily translate into outcomes they value (St Clair et al., 2014; Hughes, 2016), as the choices they make can be influenced, not only by individual preference</w:t>
      </w:r>
      <w:r w:rsidR="00E52CDB">
        <w:rPr>
          <w:sz w:val="24"/>
          <w:szCs w:val="24"/>
        </w:rPr>
        <w:t xml:space="preserve"> (Sheu, et al., 2022)</w:t>
      </w:r>
      <w:r w:rsidRPr="003C2710">
        <w:rPr>
          <w:sz w:val="24"/>
          <w:szCs w:val="24"/>
        </w:rPr>
        <w:t xml:space="preserve">, but also by institutional structures and social contexts (Hart, 2019; Archer, 2023). This reinforces the importance of exploring not just what students want to do, but what they are realistically able to access in practice (Sen, 1999; </w:t>
      </w:r>
      <w:r w:rsidRPr="003C2710">
        <w:rPr>
          <w:rFonts w:cs="Calibri"/>
          <w:sz w:val="24"/>
          <w:szCs w:val="24"/>
        </w:rPr>
        <w:t>Nussbaum, 2011</w:t>
      </w:r>
      <w:r w:rsidRPr="003C2710">
        <w:rPr>
          <w:sz w:val="24"/>
          <w:szCs w:val="24"/>
        </w:rPr>
        <w:t>).</w:t>
      </w:r>
    </w:p>
    <w:p w14:paraId="6B62AA97" w14:textId="706AF57F" w:rsidR="00CF1092" w:rsidRPr="003C2710" w:rsidRDefault="00CF1092" w:rsidP="003C2710">
      <w:pPr>
        <w:spacing w:line="360" w:lineRule="auto"/>
        <w:jc w:val="both"/>
        <w:rPr>
          <w:sz w:val="24"/>
          <w:szCs w:val="24"/>
        </w:rPr>
      </w:pPr>
      <w:r w:rsidRPr="003C2710">
        <w:rPr>
          <w:sz w:val="24"/>
          <w:szCs w:val="24"/>
        </w:rPr>
        <w:t xml:space="preserve">Within the Welsh context, the Curriculum for Wales (2022) aims to develop individual qualities such as enterprise and ambition (Welsh, Government, 2023) as well as expand vocational and academic </w:t>
      </w:r>
      <w:r w:rsidR="003F26E7">
        <w:rPr>
          <w:sz w:val="24"/>
          <w:szCs w:val="24"/>
        </w:rPr>
        <w:t>opportunities</w:t>
      </w:r>
      <w:r w:rsidRPr="003C2710">
        <w:rPr>
          <w:sz w:val="24"/>
          <w:szCs w:val="24"/>
        </w:rPr>
        <w:t xml:space="preserve"> (Qualifications Wales, 2025). However, the literature suggests that access to post-16 pathways is variable (Morris, 2021; Estyn, </w:t>
      </w:r>
      <w:r w:rsidRPr="003C2710">
        <w:rPr>
          <w:sz w:val="24"/>
          <w:szCs w:val="24"/>
        </w:rPr>
        <w:lastRenderedPageBreak/>
        <w:t>2025), influenced by curriculum structures, teacher expectations, a</w:t>
      </w:r>
      <w:r w:rsidR="000E6854">
        <w:rPr>
          <w:sz w:val="24"/>
          <w:szCs w:val="24"/>
        </w:rPr>
        <w:t>longside</w:t>
      </w:r>
      <w:r w:rsidRPr="003C2710">
        <w:rPr>
          <w:sz w:val="24"/>
          <w:szCs w:val="24"/>
        </w:rPr>
        <w:t xml:space="preserve"> access to resources (Taylor, 2024).  From a capability perspective, this </w:t>
      </w:r>
      <w:r w:rsidR="00B2037B">
        <w:rPr>
          <w:sz w:val="24"/>
          <w:szCs w:val="24"/>
        </w:rPr>
        <w:t xml:space="preserve">could </w:t>
      </w:r>
      <w:r w:rsidRPr="003C2710">
        <w:rPr>
          <w:sz w:val="24"/>
          <w:szCs w:val="24"/>
        </w:rPr>
        <w:t xml:space="preserve">reflect the role of conversion factors, where equal provision does not automatically result in equal opportunities (Sen, 1999). The main issue, therefore, is not only the availability of resources, but how students perceive and engage with them (Archer, 2023), and this will be central to my research. </w:t>
      </w:r>
    </w:p>
    <w:p w14:paraId="4337575E" w14:textId="13A6F525" w:rsidR="00CF1092" w:rsidRPr="003C2710" w:rsidRDefault="00CF1092" w:rsidP="003C2710">
      <w:pPr>
        <w:spacing w:line="360" w:lineRule="auto"/>
        <w:jc w:val="both"/>
        <w:rPr>
          <w:sz w:val="24"/>
          <w:szCs w:val="24"/>
        </w:rPr>
      </w:pPr>
      <w:r w:rsidRPr="003C2710">
        <w:rPr>
          <w:sz w:val="24"/>
          <w:szCs w:val="24"/>
        </w:rPr>
        <w:t xml:space="preserve">Although the literature recognises the influence of structural, social and personal factors on aspiration formation and realisation (Hughes, 2016; Ridley, 2024), there is limited research that examines these through a capability lens to investigate how school practices enable or constrain </w:t>
      </w:r>
      <w:r w:rsidR="003F26E7">
        <w:rPr>
          <w:sz w:val="24"/>
          <w:szCs w:val="24"/>
        </w:rPr>
        <w:t>post-16 routes taken by students</w:t>
      </w:r>
      <w:r w:rsidRPr="003C2710">
        <w:rPr>
          <w:sz w:val="24"/>
          <w:szCs w:val="24"/>
        </w:rPr>
        <w:t xml:space="preserve">. This gap is particularly evident within a Welsh context, where it is further recognised (Morris, 2021), that there is limited empirical research examining how the policy intent of the curriculum for Wales </w:t>
      </w:r>
      <w:r w:rsidR="00870E97">
        <w:rPr>
          <w:sz w:val="24"/>
          <w:szCs w:val="24"/>
        </w:rPr>
        <w:t>is translated into practice at school-level,</w:t>
      </w:r>
      <w:r w:rsidRPr="003C2710">
        <w:rPr>
          <w:sz w:val="24"/>
          <w:szCs w:val="24"/>
        </w:rPr>
        <w:t xml:space="preserve"> to facilitate post-16 transitions. </w:t>
      </w:r>
    </w:p>
    <w:p w14:paraId="3D1F9C5F" w14:textId="376D3469" w:rsidR="00CF1092" w:rsidRPr="003C2710" w:rsidRDefault="00CF1092" w:rsidP="003C2710">
      <w:pPr>
        <w:spacing w:line="360" w:lineRule="auto"/>
        <w:jc w:val="both"/>
        <w:rPr>
          <w:sz w:val="24"/>
          <w:szCs w:val="24"/>
        </w:rPr>
      </w:pPr>
      <w:r w:rsidRPr="003C2710">
        <w:rPr>
          <w:sz w:val="24"/>
          <w:szCs w:val="24"/>
        </w:rPr>
        <w:t xml:space="preserve">In response to this gap, </w:t>
      </w:r>
      <w:r w:rsidR="002442B7">
        <w:rPr>
          <w:sz w:val="24"/>
          <w:szCs w:val="24"/>
        </w:rPr>
        <w:t xml:space="preserve">this </w:t>
      </w:r>
      <w:r w:rsidRPr="003C2710">
        <w:rPr>
          <w:sz w:val="24"/>
          <w:szCs w:val="24"/>
        </w:rPr>
        <w:t>study will adopt a context-specific, capability-informed case study to explore how school structures, practices, and social interactions shape students’ access to post-16 pathways in practice. In doing so, it seeks to contribute to both theoretical understanding and policy development within the Welsh educational context.</w:t>
      </w:r>
    </w:p>
    <w:p w14:paraId="00BEBF95" w14:textId="77777777" w:rsidR="00CF1092" w:rsidRPr="003C2710" w:rsidRDefault="00CF1092" w:rsidP="003C2710">
      <w:pPr>
        <w:spacing w:line="360" w:lineRule="auto"/>
        <w:rPr>
          <w:sz w:val="24"/>
          <w:szCs w:val="24"/>
        </w:rPr>
      </w:pPr>
    </w:p>
    <w:p w14:paraId="30C86D27" w14:textId="77777777" w:rsidR="00CF1092" w:rsidRPr="008B2CE2" w:rsidRDefault="00CF1092" w:rsidP="003C2710">
      <w:pPr>
        <w:spacing w:line="360" w:lineRule="auto"/>
        <w:rPr>
          <w:b/>
          <w:bCs/>
          <w:sz w:val="28"/>
          <w:szCs w:val="28"/>
        </w:rPr>
      </w:pPr>
      <w:r w:rsidRPr="008B2CE2">
        <w:rPr>
          <w:b/>
          <w:bCs/>
          <w:sz w:val="28"/>
          <w:szCs w:val="28"/>
        </w:rPr>
        <w:t>3.2 Research Questions</w:t>
      </w:r>
    </w:p>
    <w:p w14:paraId="14104996" w14:textId="4946B5E9" w:rsidR="00CF1092" w:rsidRPr="003C2710" w:rsidRDefault="00CF1092" w:rsidP="003C2710">
      <w:pPr>
        <w:spacing w:line="360" w:lineRule="auto"/>
        <w:jc w:val="both"/>
        <w:rPr>
          <w:sz w:val="24"/>
          <w:szCs w:val="24"/>
        </w:rPr>
      </w:pPr>
      <w:r w:rsidRPr="003C2710">
        <w:rPr>
          <w:sz w:val="24"/>
          <w:szCs w:val="24"/>
        </w:rPr>
        <w:t>To address the identified gap, the study will be guided by an overarching research question which is supported by three sub-questions</w:t>
      </w:r>
      <w:r w:rsidR="0060346C" w:rsidRPr="003C2710">
        <w:rPr>
          <w:sz w:val="24"/>
          <w:szCs w:val="24"/>
        </w:rPr>
        <w:t xml:space="preserve"> (RQs)</w:t>
      </w:r>
      <w:r w:rsidRPr="003C2710">
        <w:rPr>
          <w:sz w:val="24"/>
          <w:szCs w:val="24"/>
        </w:rPr>
        <w:t>. This will enable focused exploration of the central phenomenon from multiple perspectives (</w:t>
      </w:r>
      <w:r w:rsidR="00727E21">
        <w:rPr>
          <w:sz w:val="24"/>
          <w:szCs w:val="24"/>
        </w:rPr>
        <w:t>Yin, 2018</w:t>
      </w:r>
      <w:r w:rsidRPr="003C2710">
        <w:rPr>
          <w:sz w:val="24"/>
          <w:szCs w:val="24"/>
        </w:rPr>
        <w:t>). The questions are informed by the Capability Approach</w:t>
      </w:r>
      <w:r w:rsidR="00212B78">
        <w:rPr>
          <w:sz w:val="24"/>
          <w:szCs w:val="24"/>
        </w:rPr>
        <w:t xml:space="preserve"> (Sen, 1999)</w:t>
      </w:r>
      <w:r w:rsidRPr="003C2710">
        <w:rPr>
          <w:sz w:val="24"/>
          <w:szCs w:val="24"/>
        </w:rPr>
        <w:t xml:space="preserve">, with an emphasis on opportunity and constraint, within the context of the Curriculum for Wales (2022). However, while the Curriculum for Wales (2022) will provide the context, the primary focus of the research will be on how opportunities are experienced and accessed by students in practice. </w:t>
      </w:r>
    </w:p>
    <w:p w14:paraId="4FE3CB5B" w14:textId="50913F84" w:rsidR="00CF1092" w:rsidRPr="003C2710" w:rsidRDefault="00CF1092" w:rsidP="003C2710">
      <w:pPr>
        <w:spacing w:line="360" w:lineRule="auto"/>
        <w:jc w:val="both"/>
        <w:rPr>
          <w:sz w:val="24"/>
          <w:szCs w:val="24"/>
        </w:rPr>
      </w:pPr>
      <w:r w:rsidRPr="003C2710">
        <w:rPr>
          <w:sz w:val="24"/>
          <w:szCs w:val="24"/>
        </w:rPr>
        <w:lastRenderedPageBreak/>
        <w:t xml:space="preserve">Informed by the literature, the research questions are designed to explore how access to post-16 pathways is structured, perceived, and engaged with, at school level. </w:t>
      </w:r>
    </w:p>
    <w:p w14:paraId="70FD4BAB" w14:textId="77777777" w:rsidR="00CF1092" w:rsidRPr="003C2710" w:rsidRDefault="00CF1092" w:rsidP="003C2710">
      <w:pPr>
        <w:spacing w:line="360" w:lineRule="auto"/>
        <w:rPr>
          <w:b/>
          <w:bCs/>
          <w:sz w:val="24"/>
          <w:szCs w:val="24"/>
        </w:rPr>
      </w:pPr>
      <w:r w:rsidRPr="003C2710">
        <w:rPr>
          <w:b/>
          <w:bCs/>
          <w:sz w:val="24"/>
          <w:szCs w:val="24"/>
        </w:rPr>
        <w:t xml:space="preserve">Overarching Research Question: </w:t>
      </w:r>
    </w:p>
    <w:p w14:paraId="404CCCF7" w14:textId="77777777" w:rsidR="00CF1092" w:rsidRPr="003C2710" w:rsidRDefault="00CF1092" w:rsidP="003C2710">
      <w:pPr>
        <w:spacing w:line="360" w:lineRule="auto"/>
        <w:rPr>
          <w:b/>
          <w:bCs/>
          <w:sz w:val="24"/>
          <w:szCs w:val="24"/>
        </w:rPr>
      </w:pPr>
      <w:r w:rsidRPr="003C2710">
        <w:rPr>
          <w:sz w:val="24"/>
          <w:szCs w:val="24"/>
        </w:rPr>
        <w:t>How do secondary schools enable or constrain students’ access to post-16 pathways within the Curriculum for Wales?</w:t>
      </w:r>
    </w:p>
    <w:p w14:paraId="5D6004A8" w14:textId="77777777" w:rsidR="00CF1092" w:rsidRPr="003C2710" w:rsidRDefault="00CF1092" w:rsidP="003C2710">
      <w:pPr>
        <w:pStyle w:val="ListParagraph"/>
        <w:numPr>
          <w:ilvl w:val="0"/>
          <w:numId w:val="1"/>
        </w:numPr>
        <w:spacing w:line="360" w:lineRule="auto"/>
        <w:rPr>
          <w:b/>
          <w:bCs/>
          <w:sz w:val="24"/>
          <w:szCs w:val="24"/>
        </w:rPr>
      </w:pPr>
      <w:r w:rsidRPr="003C2710">
        <w:rPr>
          <w:b/>
          <w:bCs/>
          <w:sz w:val="24"/>
          <w:szCs w:val="24"/>
        </w:rPr>
        <w:t>RQ1: How do school practices and structures, within the Curriculum for Wales, enable or constrain students’ access to post-16 pathways?</w:t>
      </w:r>
    </w:p>
    <w:p w14:paraId="479F9492" w14:textId="26424878" w:rsidR="00CF1092" w:rsidRPr="003C2710" w:rsidRDefault="00CF1092" w:rsidP="003C2710">
      <w:pPr>
        <w:pStyle w:val="ListParagraph"/>
        <w:spacing w:line="360" w:lineRule="auto"/>
        <w:ind w:left="360"/>
        <w:jc w:val="both"/>
        <w:rPr>
          <w:sz w:val="24"/>
          <w:szCs w:val="24"/>
        </w:rPr>
      </w:pPr>
      <w:r w:rsidRPr="003C2710">
        <w:rPr>
          <w:sz w:val="24"/>
          <w:szCs w:val="24"/>
        </w:rPr>
        <w:t>This question is informed by literature that emphasises the role of institutional structures, such as curriculum organisation and practices, and provision for careers-education, in shaping access to post-16 opportunities (Hughes et al., 2016; Rainford, 2023; Archer,</w:t>
      </w:r>
      <w:r w:rsidR="009312B9" w:rsidRPr="003C2710">
        <w:rPr>
          <w:sz w:val="24"/>
          <w:szCs w:val="24"/>
        </w:rPr>
        <w:t xml:space="preserve"> et al.,</w:t>
      </w:r>
      <w:r w:rsidRPr="003C2710">
        <w:rPr>
          <w:sz w:val="24"/>
          <w:szCs w:val="24"/>
        </w:rPr>
        <w:t xml:space="preserve"> 2023). It will address the need to further explore how schools contextually translate national policy into practice (Ball, 2021), and the influence of these processes on </w:t>
      </w:r>
      <w:r w:rsidR="00983D90" w:rsidRPr="003C2710">
        <w:rPr>
          <w:sz w:val="24"/>
          <w:szCs w:val="24"/>
        </w:rPr>
        <w:t xml:space="preserve">perceived </w:t>
      </w:r>
      <w:r w:rsidRPr="003C2710">
        <w:rPr>
          <w:sz w:val="24"/>
          <w:szCs w:val="24"/>
        </w:rPr>
        <w:t>post-16 pathways (</w:t>
      </w:r>
      <w:r w:rsidR="009312B9" w:rsidRPr="003C2710">
        <w:rPr>
          <w:sz w:val="24"/>
          <w:szCs w:val="24"/>
        </w:rPr>
        <w:t>Archer et al., 2023</w:t>
      </w:r>
      <w:r w:rsidRPr="003C2710">
        <w:rPr>
          <w:sz w:val="24"/>
          <w:szCs w:val="24"/>
        </w:rPr>
        <w:t xml:space="preserve">). </w:t>
      </w:r>
    </w:p>
    <w:p w14:paraId="50138253" w14:textId="77777777" w:rsidR="00CF1092" w:rsidRPr="003C2710" w:rsidRDefault="00CF1092" w:rsidP="003C2710">
      <w:pPr>
        <w:pStyle w:val="ListParagraph"/>
        <w:spacing w:line="360" w:lineRule="auto"/>
        <w:ind w:left="360"/>
        <w:jc w:val="both"/>
        <w:rPr>
          <w:sz w:val="24"/>
          <w:szCs w:val="24"/>
        </w:rPr>
      </w:pPr>
    </w:p>
    <w:p w14:paraId="177B8977" w14:textId="77777777" w:rsidR="00CF1092" w:rsidRPr="003C2710" w:rsidRDefault="00CF1092" w:rsidP="003C2710">
      <w:pPr>
        <w:pStyle w:val="ListParagraph"/>
        <w:numPr>
          <w:ilvl w:val="0"/>
          <w:numId w:val="1"/>
        </w:numPr>
        <w:spacing w:line="360" w:lineRule="auto"/>
        <w:rPr>
          <w:b/>
          <w:bCs/>
          <w:sz w:val="24"/>
          <w:szCs w:val="24"/>
        </w:rPr>
      </w:pPr>
      <w:r w:rsidRPr="003C2710">
        <w:rPr>
          <w:b/>
          <w:bCs/>
          <w:sz w:val="24"/>
          <w:szCs w:val="24"/>
        </w:rPr>
        <w:t>RQ2: How do students perceive their available post-16 choices and opportunities within this context?</w:t>
      </w:r>
    </w:p>
    <w:p w14:paraId="79554F80" w14:textId="246685A9" w:rsidR="00CF1092" w:rsidRPr="003C2710" w:rsidRDefault="00CF1092" w:rsidP="003C2710">
      <w:pPr>
        <w:pStyle w:val="ListParagraph"/>
        <w:spacing w:line="360" w:lineRule="auto"/>
        <w:ind w:left="360"/>
        <w:jc w:val="both"/>
        <w:rPr>
          <w:sz w:val="24"/>
          <w:szCs w:val="24"/>
        </w:rPr>
      </w:pPr>
      <w:r w:rsidRPr="003C2710">
        <w:rPr>
          <w:sz w:val="24"/>
          <w:szCs w:val="24"/>
        </w:rPr>
        <w:t>This question reflects the Capability Approach emphasis on conversion factors rather than availability of resources</w:t>
      </w:r>
      <w:r w:rsidR="00F2329A">
        <w:rPr>
          <w:sz w:val="24"/>
          <w:szCs w:val="24"/>
        </w:rPr>
        <w:t xml:space="preserve"> alone</w:t>
      </w:r>
      <w:r w:rsidRPr="003C2710">
        <w:rPr>
          <w:sz w:val="24"/>
          <w:szCs w:val="24"/>
        </w:rPr>
        <w:t xml:space="preserve"> (Sen, 1999), and will explore how students experience, interpret, and engage with, available pathways. In doing so, it </w:t>
      </w:r>
      <w:r w:rsidR="00124E3D">
        <w:rPr>
          <w:sz w:val="24"/>
          <w:szCs w:val="24"/>
        </w:rPr>
        <w:t>will address</w:t>
      </w:r>
      <w:r w:rsidRPr="003C2710">
        <w:rPr>
          <w:sz w:val="24"/>
          <w:szCs w:val="24"/>
        </w:rPr>
        <w:t xml:space="preserve"> a gap in empirical literature </w:t>
      </w:r>
      <w:r w:rsidR="00124E3D" w:rsidRPr="003C2710">
        <w:rPr>
          <w:sz w:val="24"/>
          <w:szCs w:val="24"/>
        </w:rPr>
        <w:t>regarding</w:t>
      </w:r>
      <w:r w:rsidRPr="003C2710">
        <w:rPr>
          <w:sz w:val="24"/>
          <w:szCs w:val="24"/>
        </w:rPr>
        <w:t xml:space="preserve"> how school</w:t>
      </w:r>
      <w:r w:rsidR="00124E3D">
        <w:rPr>
          <w:sz w:val="24"/>
          <w:szCs w:val="24"/>
        </w:rPr>
        <w:t xml:space="preserve">s contextually </w:t>
      </w:r>
      <w:r w:rsidRPr="003C2710">
        <w:rPr>
          <w:sz w:val="24"/>
          <w:szCs w:val="24"/>
        </w:rPr>
        <w:t xml:space="preserve">translate provision into meaningful and accessible </w:t>
      </w:r>
      <w:r w:rsidR="00124E3D">
        <w:rPr>
          <w:sz w:val="24"/>
          <w:szCs w:val="24"/>
        </w:rPr>
        <w:t xml:space="preserve">post-16 </w:t>
      </w:r>
      <w:r w:rsidRPr="003C2710">
        <w:rPr>
          <w:sz w:val="24"/>
          <w:szCs w:val="24"/>
        </w:rPr>
        <w:t>opportunities (Morris, 2021).</w:t>
      </w:r>
    </w:p>
    <w:p w14:paraId="58D7E752" w14:textId="77777777" w:rsidR="00CF1092" w:rsidRPr="003C2710" w:rsidRDefault="00CF1092" w:rsidP="003C2710">
      <w:pPr>
        <w:pStyle w:val="ListParagraph"/>
        <w:spacing w:line="360" w:lineRule="auto"/>
        <w:ind w:left="360"/>
        <w:rPr>
          <w:sz w:val="24"/>
          <w:szCs w:val="24"/>
        </w:rPr>
      </w:pPr>
    </w:p>
    <w:p w14:paraId="6DD21E83" w14:textId="77777777" w:rsidR="00CF1092" w:rsidRPr="003C2710" w:rsidRDefault="00CF1092" w:rsidP="003C2710">
      <w:pPr>
        <w:pStyle w:val="ListParagraph"/>
        <w:numPr>
          <w:ilvl w:val="0"/>
          <w:numId w:val="1"/>
        </w:numPr>
        <w:spacing w:line="360" w:lineRule="auto"/>
        <w:rPr>
          <w:b/>
          <w:bCs/>
          <w:sz w:val="24"/>
          <w:szCs w:val="24"/>
        </w:rPr>
      </w:pPr>
      <w:r w:rsidRPr="003C2710">
        <w:rPr>
          <w:b/>
          <w:bCs/>
          <w:sz w:val="24"/>
          <w:szCs w:val="24"/>
        </w:rPr>
        <w:t>RQ3: How do staff perceive their role in shaping students’ post-16 opportunities within the Curriculum for Wales?</w:t>
      </w:r>
    </w:p>
    <w:p w14:paraId="30E96CBF" w14:textId="2A7E904B" w:rsidR="00CF1092" w:rsidRPr="003C2710" w:rsidRDefault="00CF1092" w:rsidP="003C2710">
      <w:pPr>
        <w:pStyle w:val="ListParagraph"/>
        <w:spacing w:line="360" w:lineRule="auto"/>
        <w:ind w:left="360"/>
        <w:jc w:val="both"/>
        <w:rPr>
          <w:sz w:val="24"/>
          <w:szCs w:val="24"/>
        </w:rPr>
      </w:pPr>
      <w:r w:rsidRPr="003C2710">
        <w:rPr>
          <w:sz w:val="24"/>
          <w:szCs w:val="24"/>
        </w:rPr>
        <w:t xml:space="preserve">This question is informed by research on policy implementation (Ball, 2021; Morris, 2021) and social mediation of post-16 opportunities within schools (Francis et al., 2017; </w:t>
      </w:r>
      <w:r w:rsidRPr="003C2710">
        <w:rPr>
          <w:rFonts w:cs="Calibri"/>
          <w:sz w:val="24"/>
          <w:szCs w:val="24"/>
        </w:rPr>
        <w:t>Hart, 2019; Archer, 2023</w:t>
      </w:r>
      <w:r w:rsidRPr="003C2710">
        <w:rPr>
          <w:sz w:val="24"/>
          <w:szCs w:val="24"/>
        </w:rPr>
        <w:t>). The intention will be to explore the role of teachers and school staff in shaping how opportunities are portrayed, supported, and legitimised within school contexts (Evans &amp; Furlong, 2019;</w:t>
      </w:r>
      <w:r w:rsidR="00926640" w:rsidRPr="003C2710">
        <w:rPr>
          <w:sz w:val="24"/>
          <w:szCs w:val="24"/>
        </w:rPr>
        <w:t xml:space="preserve"> Archer et al., 2023;</w:t>
      </w:r>
      <w:r w:rsidRPr="003C2710">
        <w:rPr>
          <w:sz w:val="24"/>
          <w:szCs w:val="24"/>
        </w:rPr>
        <w:t xml:space="preserve"> Freeman et al., 2024;</w:t>
      </w:r>
      <w:r w:rsidRPr="003C2710">
        <w:rPr>
          <w:rFonts w:cs="Calibri"/>
          <w:sz w:val="24"/>
          <w:szCs w:val="24"/>
        </w:rPr>
        <w:t xml:space="preserve"> </w:t>
      </w:r>
      <w:r w:rsidRPr="003C2710">
        <w:rPr>
          <w:sz w:val="24"/>
          <w:szCs w:val="24"/>
        </w:rPr>
        <w:t>Taylor, 2024).</w:t>
      </w:r>
    </w:p>
    <w:p w14:paraId="05FD9742" w14:textId="00D12604" w:rsidR="00CF1092" w:rsidRPr="003C2710" w:rsidRDefault="00CF1092" w:rsidP="003C2710">
      <w:pPr>
        <w:spacing w:line="360" w:lineRule="auto"/>
        <w:jc w:val="both"/>
        <w:rPr>
          <w:sz w:val="24"/>
          <w:szCs w:val="24"/>
        </w:rPr>
      </w:pPr>
      <w:r w:rsidRPr="003C2710">
        <w:rPr>
          <w:sz w:val="24"/>
          <w:szCs w:val="24"/>
        </w:rPr>
        <w:lastRenderedPageBreak/>
        <w:t xml:space="preserve">In line with Yin (2018), drawing on multiple stakeholder perspectives will facilitate a contextually informed understanding of how access to post-16 pathways is </w:t>
      </w:r>
      <w:r w:rsidR="00F2329A">
        <w:rPr>
          <w:sz w:val="24"/>
          <w:szCs w:val="24"/>
        </w:rPr>
        <w:t>enabled or constrained</w:t>
      </w:r>
      <w:r w:rsidRPr="003C2710">
        <w:rPr>
          <w:sz w:val="24"/>
          <w:szCs w:val="24"/>
        </w:rPr>
        <w:t xml:space="preserve"> within Welsh secondary schools.</w:t>
      </w:r>
    </w:p>
    <w:p w14:paraId="6CA07778" w14:textId="77777777" w:rsidR="00CF1092" w:rsidRPr="008B2CE2" w:rsidRDefault="00CF1092" w:rsidP="003C2710">
      <w:pPr>
        <w:spacing w:line="360" w:lineRule="auto"/>
        <w:rPr>
          <w:b/>
          <w:bCs/>
          <w:sz w:val="28"/>
          <w:szCs w:val="28"/>
        </w:rPr>
      </w:pPr>
      <w:r w:rsidRPr="008B2CE2">
        <w:rPr>
          <w:b/>
          <w:bCs/>
          <w:sz w:val="28"/>
          <w:szCs w:val="28"/>
        </w:rPr>
        <w:t>3.3 Aims and Objectives</w:t>
      </w:r>
    </w:p>
    <w:p w14:paraId="63143525" w14:textId="2E608737" w:rsidR="00CF1092" w:rsidRPr="003C2710" w:rsidRDefault="00CF1092" w:rsidP="003C2710">
      <w:pPr>
        <w:spacing w:line="360" w:lineRule="auto"/>
        <w:jc w:val="both"/>
        <w:rPr>
          <w:sz w:val="24"/>
          <w:szCs w:val="24"/>
        </w:rPr>
      </w:pPr>
      <w:r w:rsidRPr="003C2710">
        <w:rPr>
          <w:sz w:val="24"/>
          <w:szCs w:val="24"/>
        </w:rPr>
        <w:t xml:space="preserve">Cohen et al. (2018, p.16) emphasise the importance of </w:t>
      </w:r>
      <w:r w:rsidR="00F2329A">
        <w:rPr>
          <w:sz w:val="24"/>
          <w:szCs w:val="24"/>
        </w:rPr>
        <w:t>“</w:t>
      </w:r>
      <w:r w:rsidRPr="003C2710">
        <w:rPr>
          <w:i/>
          <w:iCs/>
          <w:sz w:val="24"/>
          <w:szCs w:val="24"/>
        </w:rPr>
        <w:t>operationalisatio</w:t>
      </w:r>
      <w:r w:rsidR="00F2329A">
        <w:rPr>
          <w:i/>
          <w:iCs/>
          <w:sz w:val="24"/>
          <w:szCs w:val="24"/>
        </w:rPr>
        <w:t>n”</w:t>
      </w:r>
      <w:r w:rsidRPr="003C2710">
        <w:rPr>
          <w:sz w:val="24"/>
          <w:szCs w:val="24"/>
        </w:rPr>
        <w:t xml:space="preserve"> in ensuring a coherent and effective research design. Within this study, the research aim defines the overall purpose of the study, while the objectives provide a structured framework that will guide the research methods (</w:t>
      </w:r>
      <w:proofErr w:type="spellStart"/>
      <w:r w:rsidR="0026602B">
        <w:rPr>
          <w:sz w:val="24"/>
          <w:szCs w:val="24"/>
        </w:rPr>
        <w:t>Biggam</w:t>
      </w:r>
      <w:proofErr w:type="spellEnd"/>
      <w:r w:rsidRPr="003C2710">
        <w:rPr>
          <w:sz w:val="24"/>
          <w:szCs w:val="24"/>
        </w:rPr>
        <w:t xml:space="preserve">, 2021). This will ensure that the process is feasible within the constraints of a small-scale study, while enabling sufficient depth to address the research problem (Creswell, 2023). The aims and objectives are informed by the literature, which emphasises the need to look beyond </w:t>
      </w:r>
      <w:r w:rsidR="00F2329A">
        <w:rPr>
          <w:sz w:val="24"/>
          <w:szCs w:val="24"/>
        </w:rPr>
        <w:t>availability of</w:t>
      </w:r>
      <w:r w:rsidRPr="003C2710">
        <w:rPr>
          <w:sz w:val="24"/>
          <w:szCs w:val="24"/>
        </w:rPr>
        <w:t xml:space="preserve"> resources to examining how these </w:t>
      </w:r>
      <w:r w:rsidR="00D83507">
        <w:rPr>
          <w:sz w:val="24"/>
          <w:szCs w:val="24"/>
        </w:rPr>
        <w:t>are converted into</w:t>
      </w:r>
      <w:r w:rsidRPr="003C2710">
        <w:rPr>
          <w:sz w:val="24"/>
          <w:szCs w:val="24"/>
        </w:rPr>
        <w:t xml:space="preserve"> genuine opportunities (Sen, 1999), and how they are perceived within school contexts (Archer et al., 2023; Price, 2025).</w:t>
      </w:r>
    </w:p>
    <w:p w14:paraId="1947C4B4" w14:textId="77777777" w:rsidR="00CF1092" w:rsidRPr="003C2710" w:rsidRDefault="00CF1092" w:rsidP="003C2710">
      <w:pPr>
        <w:spacing w:line="360" w:lineRule="auto"/>
        <w:rPr>
          <w:b/>
          <w:bCs/>
          <w:sz w:val="24"/>
          <w:szCs w:val="24"/>
        </w:rPr>
      </w:pPr>
      <w:r w:rsidRPr="003C2710">
        <w:rPr>
          <w:b/>
          <w:bCs/>
          <w:sz w:val="24"/>
          <w:szCs w:val="24"/>
        </w:rPr>
        <w:t>Research Aim</w:t>
      </w:r>
    </w:p>
    <w:p w14:paraId="7151F552" w14:textId="09FFF236" w:rsidR="00CF1092" w:rsidRPr="003C2710" w:rsidRDefault="00CF1092" w:rsidP="003C2710">
      <w:pPr>
        <w:spacing w:line="360" w:lineRule="auto"/>
        <w:jc w:val="both"/>
        <w:rPr>
          <w:sz w:val="24"/>
          <w:szCs w:val="24"/>
        </w:rPr>
      </w:pPr>
      <w:r w:rsidRPr="003C2710">
        <w:rPr>
          <w:sz w:val="24"/>
          <w:szCs w:val="24"/>
        </w:rPr>
        <w:t>The aim of the study will be to explore how secondary school practices, within the Curriculum for Wales, enable or constrain students’ access to post-16 pathways using the Capability Approach</w:t>
      </w:r>
      <w:r w:rsidR="0091722B">
        <w:rPr>
          <w:sz w:val="24"/>
          <w:szCs w:val="24"/>
        </w:rPr>
        <w:t xml:space="preserve"> (Sen, 1999)</w:t>
      </w:r>
      <w:r w:rsidRPr="003C2710">
        <w:rPr>
          <w:sz w:val="24"/>
          <w:szCs w:val="24"/>
        </w:rPr>
        <w:t>.</w:t>
      </w:r>
    </w:p>
    <w:p w14:paraId="703D3303" w14:textId="77777777" w:rsidR="00CF1092" w:rsidRPr="003C2710" w:rsidRDefault="00CF1092" w:rsidP="003C2710">
      <w:pPr>
        <w:spacing w:line="360" w:lineRule="auto"/>
        <w:rPr>
          <w:b/>
          <w:bCs/>
          <w:sz w:val="24"/>
          <w:szCs w:val="24"/>
        </w:rPr>
      </w:pPr>
      <w:r w:rsidRPr="003C2710">
        <w:rPr>
          <w:b/>
          <w:bCs/>
          <w:sz w:val="24"/>
          <w:szCs w:val="24"/>
        </w:rPr>
        <w:t>Research Objectives</w:t>
      </w:r>
    </w:p>
    <w:p w14:paraId="76DAED67" w14:textId="77777777" w:rsidR="00CF1092" w:rsidRPr="003C2710" w:rsidRDefault="00CF1092" w:rsidP="003C2710">
      <w:pPr>
        <w:spacing w:line="360" w:lineRule="auto"/>
        <w:rPr>
          <w:sz w:val="24"/>
          <w:szCs w:val="24"/>
        </w:rPr>
      </w:pPr>
      <w:r w:rsidRPr="003C2710">
        <w:rPr>
          <w:sz w:val="24"/>
          <w:szCs w:val="24"/>
        </w:rPr>
        <w:t>To achieve this aim, the study will:</w:t>
      </w:r>
    </w:p>
    <w:p w14:paraId="47D2773D" w14:textId="77777777" w:rsidR="00CF1092" w:rsidRPr="003C2710" w:rsidRDefault="00CF1092" w:rsidP="003C2710">
      <w:pPr>
        <w:numPr>
          <w:ilvl w:val="0"/>
          <w:numId w:val="2"/>
        </w:numPr>
        <w:spacing w:line="360" w:lineRule="auto"/>
        <w:rPr>
          <w:sz w:val="24"/>
          <w:szCs w:val="24"/>
        </w:rPr>
      </w:pPr>
      <w:r w:rsidRPr="003C2710">
        <w:rPr>
          <w:sz w:val="24"/>
          <w:szCs w:val="24"/>
        </w:rPr>
        <w:t xml:space="preserve">Identify how school structures and practices (e.g. curriculum organisation, option systems, and careers provision) shape access to post-16 pathways </w:t>
      </w:r>
    </w:p>
    <w:p w14:paraId="70352B82" w14:textId="77777777" w:rsidR="00CF1092" w:rsidRPr="003C2710" w:rsidRDefault="00CF1092" w:rsidP="003C2710">
      <w:pPr>
        <w:numPr>
          <w:ilvl w:val="0"/>
          <w:numId w:val="2"/>
        </w:numPr>
        <w:spacing w:line="360" w:lineRule="auto"/>
        <w:rPr>
          <w:sz w:val="24"/>
          <w:szCs w:val="24"/>
        </w:rPr>
      </w:pPr>
      <w:r w:rsidRPr="003C2710">
        <w:rPr>
          <w:sz w:val="24"/>
          <w:szCs w:val="24"/>
        </w:rPr>
        <w:t xml:space="preserve">Explore how students perceive their available post-16 choices and opportunities </w:t>
      </w:r>
    </w:p>
    <w:p w14:paraId="42D31DF3" w14:textId="77777777" w:rsidR="00CF1092" w:rsidRPr="003C2710" w:rsidRDefault="00CF1092" w:rsidP="003C2710">
      <w:pPr>
        <w:numPr>
          <w:ilvl w:val="0"/>
          <w:numId w:val="2"/>
        </w:numPr>
        <w:spacing w:line="360" w:lineRule="auto"/>
        <w:rPr>
          <w:sz w:val="24"/>
          <w:szCs w:val="24"/>
        </w:rPr>
      </w:pPr>
      <w:r w:rsidRPr="003C2710">
        <w:rPr>
          <w:sz w:val="24"/>
          <w:szCs w:val="24"/>
        </w:rPr>
        <w:t xml:space="preserve">Examine how school practices enable or constrain access to post-16 pathways from both student and staff perspectives </w:t>
      </w:r>
    </w:p>
    <w:p w14:paraId="3830D9B5" w14:textId="33948176" w:rsidR="00CF1092" w:rsidRPr="003C2710" w:rsidRDefault="00CF1092" w:rsidP="003C2710">
      <w:pPr>
        <w:numPr>
          <w:ilvl w:val="0"/>
          <w:numId w:val="2"/>
        </w:numPr>
        <w:spacing w:line="360" w:lineRule="auto"/>
        <w:rPr>
          <w:sz w:val="24"/>
          <w:szCs w:val="24"/>
        </w:rPr>
      </w:pPr>
      <w:r w:rsidRPr="003C2710">
        <w:rPr>
          <w:sz w:val="24"/>
          <w:szCs w:val="24"/>
        </w:rPr>
        <w:t>Contextualise these findings within the Curriculum for Wales</w:t>
      </w:r>
      <w:r w:rsidR="004A0917">
        <w:rPr>
          <w:sz w:val="24"/>
          <w:szCs w:val="24"/>
        </w:rPr>
        <w:t xml:space="preserve"> (2022)</w:t>
      </w:r>
      <w:r w:rsidRPr="003C2710">
        <w:rPr>
          <w:sz w:val="24"/>
          <w:szCs w:val="24"/>
        </w:rPr>
        <w:t>.</w:t>
      </w:r>
    </w:p>
    <w:p w14:paraId="451CB3D8" w14:textId="781D2191" w:rsidR="00CF1092" w:rsidRPr="003C2710" w:rsidRDefault="00CF1092" w:rsidP="003C2710">
      <w:pPr>
        <w:spacing w:line="360" w:lineRule="auto"/>
        <w:rPr>
          <w:sz w:val="24"/>
          <w:szCs w:val="24"/>
        </w:rPr>
      </w:pPr>
      <w:r w:rsidRPr="003C2710">
        <w:rPr>
          <w:sz w:val="24"/>
          <w:szCs w:val="24"/>
        </w:rPr>
        <w:t xml:space="preserve">The use of the Capability Approach will allow the study to focus, not only on availability of resources, but also how these are interpreted and realised by students. </w:t>
      </w:r>
    </w:p>
    <w:p w14:paraId="792C3D0F" w14:textId="77777777" w:rsidR="00CF1092" w:rsidRPr="003C2710" w:rsidRDefault="00CF1092" w:rsidP="003C2710">
      <w:pPr>
        <w:spacing w:line="360" w:lineRule="auto"/>
        <w:rPr>
          <w:b/>
          <w:bCs/>
          <w:sz w:val="24"/>
          <w:szCs w:val="24"/>
        </w:rPr>
      </w:pPr>
    </w:p>
    <w:p w14:paraId="312F4F41" w14:textId="4699F9A5" w:rsidR="00CF1092" w:rsidRPr="008B2CE2" w:rsidRDefault="00CF1092" w:rsidP="003C2710">
      <w:pPr>
        <w:spacing w:line="360" w:lineRule="auto"/>
        <w:rPr>
          <w:b/>
          <w:bCs/>
          <w:sz w:val="28"/>
          <w:szCs w:val="28"/>
        </w:rPr>
      </w:pPr>
      <w:r w:rsidRPr="008B2CE2">
        <w:rPr>
          <w:b/>
          <w:bCs/>
          <w:sz w:val="28"/>
          <w:szCs w:val="28"/>
        </w:rPr>
        <w:t>3.4 Contribution</w:t>
      </w:r>
      <w:r w:rsidR="005C07A0" w:rsidRPr="008B2CE2">
        <w:rPr>
          <w:b/>
          <w:bCs/>
          <w:sz w:val="28"/>
          <w:szCs w:val="28"/>
        </w:rPr>
        <w:t xml:space="preserve"> to the Field</w:t>
      </w:r>
    </w:p>
    <w:p w14:paraId="7E2C25D0" w14:textId="1105EEB2" w:rsidR="00F049B1" w:rsidRDefault="00CF1092" w:rsidP="003C2710">
      <w:pPr>
        <w:spacing w:line="360" w:lineRule="auto"/>
        <w:jc w:val="both"/>
        <w:rPr>
          <w:sz w:val="24"/>
          <w:szCs w:val="24"/>
        </w:rPr>
      </w:pPr>
      <w:r w:rsidRPr="003C2710">
        <w:rPr>
          <w:sz w:val="24"/>
          <w:szCs w:val="24"/>
        </w:rPr>
        <w:t xml:space="preserve">This study seeks to </w:t>
      </w:r>
      <w:r w:rsidR="00374297">
        <w:rPr>
          <w:sz w:val="24"/>
          <w:szCs w:val="24"/>
        </w:rPr>
        <w:t>build upon</w:t>
      </w:r>
      <w:r w:rsidRPr="003C2710">
        <w:rPr>
          <w:sz w:val="24"/>
          <w:szCs w:val="24"/>
        </w:rPr>
        <w:t xml:space="preserve"> existing literature by ex</w:t>
      </w:r>
      <w:r w:rsidR="002A61F3">
        <w:rPr>
          <w:sz w:val="24"/>
          <w:szCs w:val="24"/>
        </w:rPr>
        <w:t>ploring</w:t>
      </w:r>
      <w:r w:rsidRPr="003C2710">
        <w:rPr>
          <w:sz w:val="24"/>
          <w:szCs w:val="24"/>
        </w:rPr>
        <w:t xml:space="preserve"> how school practices shape both the perceived and actual accessibility of post-16 pathways within the context of the Curriculum for Wales (2022). Drawing on the Capability Approach (Sen, 1999), it aims to explore the </w:t>
      </w:r>
      <w:r w:rsidR="004E0F7D">
        <w:rPr>
          <w:sz w:val="24"/>
          <w:szCs w:val="24"/>
        </w:rPr>
        <w:t>genuine</w:t>
      </w:r>
      <w:r w:rsidRPr="003C2710">
        <w:rPr>
          <w:sz w:val="24"/>
          <w:szCs w:val="24"/>
        </w:rPr>
        <w:t xml:space="preserve"> opportunities available to students, including the </w:t>
      </w:r>
      <w:r w:rsidR="004E0F7D">
        <w:rPr>
          <w:sz w:val="24"/>
          <w:szCs w:val="24"/>
        </w:rPr>
        <w:t>institutional</w:t>
      </w:r>
      <w:r w:rsidRPr="003C2710">
        <w:rPr>
          <w:sz w:val="24"/>
          <w:szCs w:val="24"/>
        </w:rPr>
        <w:t xml:space="preserve"> and social factors that may enable or constrain their choices. In contrast to research that focusses on policy intent</w:t>
      </w:r>
      <w:r w:rsidR="004E0F7D">
        <w:rPr>
          <w:sz w:val="24"/>
          <w:szCs w:val="24"/>
        </w:rPr>
        <w:t>ions</w:t>
      </w:r>
      <w:r w:rsidRPr="003C2710">
        <w:rPr>
          <w:sz w:val="24"/>
          <w:szCs w:val="24"/>
        </w:rPr>
        <w:t xml:space="preserve"> (Taylor, 2024), </w:t>
      </w:r>
      <w:r w:rsidR="00C5216A">
        <w:rPr>
          <w:sz w:val="24"/>
          <w:szCs w:val="24"/>
        </w:rPr>
        <w:t xml:space="preserve">or on how schools shape aspirations </w:t>
      </w:r>
      <w:r w:rsidRPr="003C2710">
        <w:rPr>
          <w:sz w:val="24"/>
          <w:szCs w:val="24"/>
        </w:rPr>
        <w:t xml:space="preserve">(Hughes et al., 2016), </w:t>
      </w:r>
      <w:r w:rsidR="00C5216A">
        <w:rPr>
          <w:sz w:val="24"/>
          <w:szCs w:val="24"/>
        </w:rPr>
        <w:t>this study</w:t>
      </w:r>
      <w:r w:rsidRPr="003C2710">
        <w:rPr>
          <w:sz w:val="24"/>
          <w:szCs w:val="24"/>
        </w:rPr>
        <w:t xml:space="preserve"> will ex</w:t>
      </w:r>
      <w:r w:rsidR="00C5216A">
        <w:rPr>
          <w:sz w:val="24"/>
          <w:szCs w:val="24"/>
        </w:rPr>
        <w:t>amine</w:t>
      </w:r>
      <w:r w:rsidRPr="003C2710">
        <w:rPr>
          <w:sz w:val="24"/>
          <w:szCs w:val="24"/>
        </w:rPr>
        <w:t xml:space="preserve"> how</w:t>
      </w:r>
      <w:r w:rsidR="005B02FE">
        <w:rPr>
          <w:sz w:val="24"/>
          <w:szCs w:val="24"/>
        </w:rPr>
        <w:t xml:space="preserve"> </w:t>
      </w:r>
      <w:r w:rsidR="005B02FE" w:rsidRPr="005B02FE">
        <w:rPr>
          <w:sz w:val="24"/>
          <w:szCs w:val="24"/>
        </w:rPr>
        <w:t>school practices and structures, situated within the context of the Curriculum for Wales (2022), shape students’ experiences of post-16 pathways.</w:t>
      </w:r>
      <w:r w:rsidR="005B02FE">
        <w:rPr>
          <w:sz w:val="24"/>
          <w:szCs w:val="24"/>
        </w:rPr>
        <w:t xml:space="preserve"> </w:t>
      </w:r>
      <w:r w:rsidRPr="003C2710">
        <w:rPr>
          <w:sz w:val="24"/>
          <w:szCs w:val="24"/>
        </w:rPr>
        <w:t xml:space="preserve">This is an underdeveloped </w:t>
      </w:r>
      <w:r w:rsidR="002A61F3">
        <w:rPr>
          <w:sz w:val="24"/>
          <w:szCs w:val="24"/>
        </w:rPr>
        <w:t>area with</w:t>
      </w:r>
      <w:r w:rsidRPr="003C2710">
        <w:rPr>
          <w:sz w:val="24"/>
          <w:szCs w:val="24"/>
        </w:rPr>
        <w:t xml:space="preserve">in </w:t>
      </w:r>
      <w:r w:rsidR="002A61F3">
        <w:rPr>
          <w:sz w:val="24"/>
          <w:szCs w:val="24"/>
        </w:rPr>
        <w:t xml:space="preserve">the </w:t>
      </w:r>
      <w:r w:rsidRPr="003C2710">
        <w:rPr>
          <w:sz w:val="24"/>
          <w:szCs w:val="24"/>
        </w:rPr>
        <w:t xml:space="preserve">current literature (Morris, 2021). </w:t>
      </w:r>
    </w:p>
    <w:p w14:paraId="0971052F" w14:textId="32B2546F" w:rsidR="00C5216A" w:rsidRPr="00C5216A" w:rsidRDefault="00CF1092" w:rsidP="003C2710">
      <w:pPr>
        <w:spacing w:line="360" w:lineRule="auto"/>
        <w:jc w:val="both"/>
        <w:rPr>
          <w:sz w:val="24"/>
          <w:szCs w:val="24"/>
        </w:rPr>
      </w:pPr>
      <w:r w:rsidRPr="003C2710">
        <w:rPr>
          <w:sz w:val="24"/>
          <w:szCs w:val="24"/>
        </w:rPr>
        <w:t xml:space="preserve">The focus of the study is timely, given ongoing concerns around educational engagement, school attendance and widening gaps in attainment (Welsh Government, 2025; Estyn, 2025; OECD, 2023). Research suggests that young people’s perceptions of their future opportunities are closely linked to their engagement with education and longer-term social mobility (Archer, 2023; Hughes et al., 2016). Understanding how schools shape both access to, and perceptions of, post-16 pathways is therefore </w:t>
      </w:r>
      <w:r w:rsidR="007310DC">
        <w:rPr>
          <w:sz w:val="24"/>
          <w:szCs w:val="24"/>
        </w:rPr>
        <w:t>significant</w:t>
      </w:r>
      <w:r w:rsidRPr="003C2710">
        <w:rPr>
          <w:sz w:val="24"/>
          <w:szCs w:val="24"/>
        </w:rPr>
        <w:t xml:space="preserve">, particularly against a backdrop of educational </w:t>
      </w:r>
      <w:r w:rsidR="00C5216A">
        <w:rPr>
          <w:sz w:val="24"/>
          <w:szCs w:val="24"/>
        </w:rPr>
        <w:t>reform in Wales</w:t>
      </w:r>
      <w:r w:rsidRPr="003C2710">
        <w:rPr>
          <w:sz w:val="24"/>
          <w:szCs w:val="24"/>
        </w:rPr>
        <w:t>,</w:t>
      </w:r>
      <w:r w:rsidR="00C5216A">
        <w:rPr>
          <w:sz w:val="24"/>
          <w:szCs w:val="24"/>
        </w:rPr>
        <w:t xml:space="preserve"> aimed at expanding </w:t>
      </w:r>
      <w:r w:rsidRPr="003C2710">
        <w:rPr>
          <w:sz w:val="24"/>
          <w:szCs w:val="24"/>
        </w:rPr>
        <w:t xml:space="preserve">vocational and academic </w:t>
      </w:r>
      <w:r w:rsidR="00DE054A">
        <w:rPr>
          <w:sz w:val="24"/>
          <w:szCs w:val="24"/>
        </w:rPr>
        <w:t>routes</w:t>
      </w:r>
      <w:r w:rsidRPr="003C2710">
        <w:rPr>
          <w:sz w:val="24"/>
          <w:szCs w:val="24"/>
        </w:rPr>
        <w:t xml:space="preserve"> (Welsh Government, 2023; Qualifications Wales, 2025). </w:t>
      </w:r>
    </w:p>
    <w:p w14:paraId="03799671" w14:textId="3AF98275" w:rsidR="00F26499" w:rsidRPr="00F049B1" w:rsidRDefault="00C5216A" w:rsidP="00F26499">
      <w:pPr>
        <w:spacing w:line="360" w:lineRule="auto"/>
        <w:jc w:val="both"/>
        <w:rPr>
          <w:b/>
          <w:bCs/>
          <w:sz w:val="24"/>
          <w:szCs w:val="24"/>
        </w:rPr>
      </w:pPr>
      <w:r>
        <w:rPr>
          <w:sz w:val="24"/>
          <w:szCs w:val="24"/>
        </w:rPr>
        <w:t>Furthermore</w:t>
      </w:r>
      <w:r w:rsidR="00597B34">
        <w:rPr>
          <w:sz w:val="24"/>
          <w:szCs w:val="24"/>
        </w:rPr>
        <w:t xml:space="preserve">, despite a </w:t>
      </w:r>
      <w:r w:rsidR="00597B34" w:rsidRPr="003C2710">
        <w:rPr>
          <w:sz w:val="24"/>
          <w:szCs w:val="24"/>
        </w:rPr>
        <w:t>commitment</w:t>
      </w:r>
      <w:r w:rsidR="00CF1092" w:rsidRPr="003C2710">
        <w:rPr>
          <w:sz w:val="24"/>
          <w:szCs w:val="24"/>
        </w:rPr>
        <w:t xml:space="preserve"> to equity within the Curriculum for Wales</w:t>
      </w:r>
      <w:r w:rsidR="00597B34">
        <w:rPr>
          <w:sz w:val="24"/>
          <w:szCs w:val="24"/>
        </w:rPr>
        <w:t xml:space="preserve"> </w:t>
      </w:r>
      <w:r w:rsidR="00CF1092" w:rsidRPr="003C2710">
        <w:rPr>
          <w:sz w:val="24"/>
          <w:szCs w:val="24"/>
        </w:rPr>
        <w:t xml:space="preserve">(Welsh Government, 2023), </w:t>
      </w:r>
      <w:r w:rsidR="00597B34">
        <w:rPr>
          <w:sz w:val="24"/>
          <w:szCs w:val="24"/>
        </w:rPr>
        <w:t>concerns have been expressed</w:t>
      </w:r>
      <w:r w:rsidR="00CF1092" w:rsidRPr="003C2710">
        <w:rPr>
          <w:sz w:val="24"/>
          <w:szCs w:val="24"/>
        </w:rPr>
        <w:t xml:space="preserve"> regarding unequal access to post-16 pathways across Wales (Estyn, 2025; Taylor, 2024). From a Capability perspective, this could reflect the </w:t>
      </w:r>
      <w:r>
        <w:rPr>
          <w:sz w:val="24"/>
          <w:szCs w:val="24"/>
        </w:rPr>
        <w:t>role</w:t>
      </w:r>
      <w:r w:rsidR="00CF1092" w:rsidRPr="003C2710">
        <w:rPr>
          <w:sz w:val="24"/>
          <w:szCs w:val="24"/>
        </w:rPr>
        <w:t xml:space="preserve"> of conversion factors (Sen, 1999), where school practices influence how students convert their resources into genuine post-16 opportunities.  </w:t>
      </w:r>
      <w:r w:rsidRPr="00C5216A">
        <w:rPr>
          <w:sz w:val="24"/>
          <w:szCs w:val="24"/>
        </w:rPr>
        <w:t>By ex</w:t>
      </w:r>
      <w:r w:rsidR="00F26499">
        <w:rPr>
          <w:sz w:val="24"/>
          <w:szCs w:val="24"/>
        </w:rPr>
        <w:t>ploring</w:t>
      </w:r>
      <w:r w:rsidRPr="00C5216A">
        <w:rPr>
          <w:sz w:val="24"/>
          <w:szCs w:val="24"/>
        </w:rPr>
        <w:t xml:space="preserve"> how different pathways are enabled, constrained, and perceived, the study will aim to not only contribute </w:t>
      </w:r>
      <w:r w:rsidR="009A084B">
        <w:rPr>
          <w:sz w:val="24"/>
          <w:szCs w:val="24"/>
        </w:rPr>
        <w:t>a</w:t>
      </w:r>
      <w:r w:rsidRPr="00C5216A">
        <w:rPr>
          <w:sz w:val="24"/>
          <w:szCs w:val="24"/>
        </w:rPr>
        <w:t xml:space="preserve"> contextual understanding of available pathways (Morris, 2021), but also </w:t>
      </w:r>
      <w:r w:rsidR="009A084B">
        <w:rPr>
          <w:sz w:val="24"/>
          <w:szCs w:val="24"/>
        </w:rPr>
        <w:t xml:space="preserve">to </w:t>
      </w:r>
      <w:r w:rsidRPr="00C5216A">
        <w:rPr>
          <w:sz w:val="24"/>
          <w:szCs w:val="24"/>
        </w:rPr>
        <w:t>build upon existing literature that seeks to understand how these are made accessible and meaningful to learners (Hart, 2019; Archer et al, 2023).</w:t>
      </w:r>
      <w:r w:rsidR="00F26499" w:rsidRPr="00F26499">
        <w:rPr>
          <w:b/>
          <w:bCs/>
          <w:sz w:val="28"/>
          <w:szCs w:val="28"/>
        </w:rPr>
        <w:t xml:space="preserve"> </w:t>
      </w:r>
      <w:r w:rsidR="00D519DB">
        <w:rPr>
          <w:sz w:val="24"/>
          <w:szCs w:val="24"/>
        </w:rPr>
        <w:t>T</w:t>
      </w:r>
      <w:r w:rsidR="00F26499" w:rsidRPr="00F049B1">
        <w:rPr>
          <w:sz w:val="24"/>
          <w:szCs w:val="24"/>
        </w:rPr>
        <w:t xml:space="preserve">his study </w:t>
      </w:r>
      <w:r w:rsidR="00F26499" w:rsidRPr="00F26499">
        <w:rPr>
          <w:sz w:val="24"/>
          <w:szCs w:val="24"/>
        </w:rPr>
        <w:t xml:space="preserve">will therefore </w:t>
      </w:r>
      <w:r w:rsidR="00F26499" w:rsidRPr="00F049B1">
        <w:rPr>
          <w:sz w:val="24"/>
          <w:szCs w:val="24"/>
        </w:rPr>
        <w:t>contribute a context-specific, capability-informed perspective</w:t>
      </w:r>
      <w:r w:rsidR="00F26499" w:rsidRPr="00F26499">
        <w:rPr>
          <w:sz w:val="24"/>
          <w:szCs w:val="24"/>
        </w:rPr>
        <w:t xml:space="preserve">, while </w:t>
      </w:r>
      <w:r w:rsidR="00F26499" w:rsidRPr="00F049B1">
        <w:rPr>
          <w:sz w:val="24"/>
          <w:szCs w:val="24"/>
        </w:rPr>
        <w:t xml:space="preserve">addressing a </w:t>
      </w:r>
      <w:r w:rsidR="00F26499" w:rsidRPr="00F049B1">
        <w:rPr>
          <w:sz w:val="24"/>
          <w:szCs w:val="24"/>
        </w:rPr>
        <w:lastRenderedPageBreak/>
        <w:t>recognised gap in empirical work on the implementation of the Curriculum for Wales in relation to post-16 transitions (Morris, 2021).</w:t>
      </w:r>
    </w:p>
    <w:p w14:paraId="7DA51214" w14:textId="77777777" w:rsidR="003932D7" w:rsidRDefault="003932D7" w:rsidP="003C2710">
      <w:pPr>
        <w:spacing w:line="360" w:lineRule="auto"/>
        <w:jc w:val="both"/>
        <w:rPr>
          <w:b/>
          <w:bCs/>
          <w:sz w:val="28"/>
          <w:szCs w:val="28"/>
        </w:rPr>
      </w:pPr>
    </w:p>
    <w:p w14:paraId="1A0EAD90" w14:textId="781CA2F9" w:rsidR="005C07A0" w:rsidRPr="008B2CE2" w:rsidRDefault="003932D7" w:rsidP="003C2710">
      <w:pPr>
        <w:spacing w:line="360" w:lineRule="auto"/>
        <w:jc w:val="both"/>
        <w:rPr>
          <w:b/>
          <w:bCs/>
          <w:sz w:val="28"/>
          <w:szCs w:val="28"/>
        </w:rPr>
      </w:pPr>
      <w:r>
        <w:rPr>
          <w:b/>
          <w:bCs/>
          <w:sz w:val="28"/>
          <w:szCs w:val="28"/>
        </w:rPr>
        <w:t>4.0</w:t>
      </w:r>
      <w:r w:rsidR="005C07A0" w:rsidRPr="008B2CE2">
        <w:rPr>
          <w:b/>
          <w:bCs/>
          <w:sz w:val="28"/>
          <w:szCs w:val="28"/>
        </w:rPr>
        <w:t xml:space="preserve"> Limitations and Scope</w:t>
      </w:r>
    </w:p>
    <w:p w14:paraId="248C7DB1" w14:textId="3051F665" w:rsidR="00CF1092" w:rsidRPr="003C2710" w:rsidRDefault="00CF1092" w:rsidP="003C2710">
      <w:pPr>
        <w:spacing w:line="360" w:lineRule="auto"/>
        <w:jc w:val="both"/>
        <w:rPr>
          <w:sz w:val="24"/>
          <w:szCs w:val="24"/>
        </w:rPr>
      </w:pPr>
      <w:r w:rsidRPr="003C2710">
        <w:rPr>
          <w:sz w:val="24"/>
          <w:szCs w:val="24"/>
        </w:rPr>
        <w:t>It is</w:t>
      </w:r>
      <w:r w:rsidR="005C07A0" w:rsidRPr="003C2710">
        <w:rPr>
          <w:sz w:val="24"/>
          <w:szCs w:val="24"/>
        </w:rPr>
        <w:t xml:space="preserve"> </w:t>
      </w:r>
      <w:r w:rsidRPr="003C2710">
        <w:rPr>
          <w:sz w:val="24"/>
          <w:szCs w:val="24"/>
        </w:rPr>
        <w:t xml:space="preserve">important to </w:t>
      </w:r>
      <w:r w:rsidR="005C07A0" w:rsidRPr="003C2710">
        <w:rPr>
          <w:sz w:val="24"/>
          <w:szCs w:val="24"/>
        </w:rPr>
        <w:t>note</w:t>
      </w:r>
      <w:r w:rsidRPr="003C2710">
        <w:rPr>
          <w:sz w:val="24"/>
          <w:szCs w:val="24"/>
        </w:rPr>
        <w:t xml:space="preserve"> that the study will be a small-scale, exploratory case study and is intended to provide in-depth, contextual </w:t>
      </w:r>
      <w:r w:rsidR="007B45DA">
        <w:rPr>
          <w:sz w:val="24"/>
          <w:szCs w:val="24"/>
        </w:rPr>
        <w:t xml:space="preserve">understanding of a </w:t>
      </w:r>
      <w:r w:rsidR="00A410CC">
        <w:rPr>
          <w:sz w:val="24"/>
          <w:szCs w:val="24"/>
        </w:rPr>
        <w:t xml:space="preserve">broader </w:t>
      </w:r>
      <w:r w:rsidR="007B45DA">
        <w:rPr>
          <w:sz w:val="24"/>
          <w:szCs w:val="24"/>
        </w:rPr>
        <w:t xml:space="preserve">phenomenon </w:t>
      </w:r>
      <w:r w:rsidRPr="003C2710">
        <w:rPr>
          <w:sz w:val="24"/>
          <w:szCs w:val="24"/>
        </w:rPr>
        <w:t xml:space="preserve">(Yin, 2018). As the research is conducted within a single school context, the findings are not intended to be generalisable across all secondary schools in Wales, but to address an identified gap in the literature in relation to context-specific, empirical investigations of post-16 pathways (Morris, 2021; Price, 2025). </w:t>
      </w:r>
    </w:p>
    <w:p w14:paraId="3CBEB61C" w14:textId="5E667441" w:rsidR="00CF1092" w:rsidRPr="003C2710" w:rsidRDefault="00CF1092" w:rsidP="003C2710">
      <w:pPr>
        <w:spacing w:line="360" w:lineRule="auto"/>
        <w:jc w:val="both"/>
        <w:rPr>
          <w:sz w:val="24"/>
          <w:szCs w:val="24"/>
        </w:rPr>
      </w:pPr>
      <w:r w:rsidRPr="003C2710">
        <w:rPr>
          <w:sz w:val="24"/>
          <w:szCs w:val="24"/>
        </w:rPr>
        <w:t xml:space="preserve">Furthermore, while the Capability Approach offers a valuable lens through which to explore this issue, it has been criticised for being vague, with conversion factors difficult to identify or measure (Clark, 2005; </w:t>
      </w:r>
      <w:proofErr w:type="spellStart"/>
      <w:r w:rsidRPr="003C2710">
        <w:rPr>
          <w:sz w:val="24"/>
          <w:szCs w:val="24"/>
        </w:rPr>
        <w:t>Robeyns</w:t>
      </w:r>
      <w:proofErr w:type="spellEnd"/>
      <w:r w:rsidRPr="003C2710">
        <w:rPr>
          <w:sz w:val="24"/>
          <w:szCs w:val="24"/>
        </w:rPr>
        <w:t xml:space="preserve">, 2017). Therefore, while the study will present findings on </w:t>
      </w:r>
      <w:r w:rsidR="006A2ED9">
        <w:rPr>
          <w:sz w:val="24"/>
          <w:szCs w:val="24"/>
        </w:rPr>
        <w:t>school practices and participant</w:t>
      </w:r>
      <w:r w:rsidRPr="003C2710">
        <w:rPr>
          <w:sz w:val="24"/>
          <w:szCs w:val="24"/>
        </w:rPr>
        <w:t xml:space="preserve"> experiences, it does not aim to </w:t>
      </w:r>
      <w:r w:rsidR="006A2ED9" w:rsidRPr="003C2710">
        <w:rPr>
          <w:sz w:val="24"/>
          <w:szCs w:val="24"/>
        </w:rPr>
        <w:t>portray</w:t>
      </w:r>
      <w:r w:rsidRPr="003C2710">
        <w:rPr>
          <w:sz w:val="24"/>
          <w:szCs w:val="24"/>
        </w:rPr>
        <w:t xml:space="preserve"> the full range of factors </w:t>
      </w:r>
      <w:r w:rsidR="007B45DA">
        <w:rPr>
          <w:sz w:val="24"/>
          <w:szCs w:val="24"/>
        </w:rPr>
        <w:t>that influence access to post-16 pathways</w:t>
      </w:r>
      <w:r w:rsidRPr="003C2710">
        <w:rPr>
          <w:sz w:val="24"/>
          <w:szCs w:val="24"/>
        </w:rPr>
        <w:t xml:space="preserve">. </w:t>
      </w:r>
    </w:p>
    <w:p w14:paraId="7B5D1C98" w14:textId="3BEFE7B6" w:rsidR="00CF1092" w:rsidRPr="003C2710" w:rsidRDefault="00CF1092" w:rsidP="003C2710">
      <w:pPr>
        <w:spacing w:line="360" w:lineRule="auto"/>
        <w:jc w:val="both"/>
        <w:rPr>
          <w:sz w:val="24"/>
          <w:szCs w:val="24"/>
        </w:rPr>
      </w:pPr>
      <w:r w:rsidRPr="003C2710">
        <w:rPr>
          <w:sz w:val="24"/>
          <w:szCs w:val="24"/>
        </w:rPr>
        <w:t>Nevertheless, despite these limitations, the study aims to contribute to the growing body of policy and academic literature seeking to understand how educational opportunities are differentially realised in practice</w:t>
      </w:r>
      <w:r w:rsidR="007B45DA">
        <w:rPr>
          <w:sz w:val="24"/>
          <w:szCs w:val="24"/>
        </w:rPr>
        <w:t xml:space="preserve"> in Wales</w:t>
      </w:r>
      <w:r w:rsidRPr="003C2710">
        <w:rPr>
          <w:sz w:val="24"/>
          <w:szCs w:val="24"/>
        </w:rPr>
        <w:t>.</w:t>
      </w:r>
    </w:p>
    <w:p w14:paraId="622C065A" w14:textId="1F2E256A" w:rsidR="00A12B91" w:rsidRPr="002C377B" w:rsidRDefault="00A12B91" w:rsidP="0027047F"/>
    <w:sectPr w:rsidR="00A12B91" w:rsidRPr="002C377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605F9" w14:textId="77777777" w:rsidR="00A758D7" w:rsidRDefault="00A758D7" w:rsidP="003932D7">
      <w:pPr>
        <w:spacing w:after="0" w:line="240" w:lineRule="auto"/>
      </w:pPr>
      <w:r>
        <w:separator/>
      </w:r>
    </w:p>
  </w:endnote>
  <w:endnote w:type="continuationSeparator" w:id="0">
    <w:p w14:paraId="481C982E" w14:textId="77777777" w:rsidR="00A758D7" w:rsidRDefault="00A758D7" w:rsidP="00393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091739"/>
      <w:docPartObj>
        <w:docPartGallery w:val="Page Numbers (Bottom of Page)"/>
        <w:docPartUnique/>
      </w:docPartObj>
    </w:sdtPr>
    <w:sdtEndPr>
      <w:rPr>
        <w:noProof/>
      </w:rPr>
    </w:sdtEndPr>
    <w:sdtContent>
      <w:p w14:paraId="7DF25022" w14:textId="23908EBF" w:rsidR="003932D7" w:rsidRDefault="003932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97899" w14:textId="77777777" w:rsidR="003932D7" w:rsidRDefault="00393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DA2CE" w14:textId="77777777" w:rsidR="00A758D7" w:rsidRDefault="00A758D7" w:rsidP="003932D7">
      <w:pPr>
        <w:spacing w:after="0" w:line="240" w:lineRule="auto"/>
      </w:pPr>
      <w:r>
        <w:separator/>
      </w:r>
    </w:p>
  </w:footnote>
  <w:footnote w:type="continuationSeparator" w:id="0">
    <w:p w14:paraId="4CC15DE6" w14:textId="77777777" w:rsidR="00A758D7" w:rsidRDefault="00A758D7" w:rsidP="00393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A5DCF"/>
    <w:multiLevelType w:val="hybridMultilevel"/>
    <w:tmpl w:val="2B4C8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036D8F"/>
    <w:multiLevelType w:val="multilevel"/>
    <w:tmpl w:val="E47ADEFA"/>
    <w:lvl w:ilvl="0">
      <w:start w:val="1"/>
      <w:numFmt w:val="decimal"/>
      <w:lvlText w:val="%1.0"/>
      <w:lvlJc w:val="left"/>
      <w:pPr>
        <w:ind w:left="360" w:hanging="360"/>
      </w:pPr>
      <w:rPr>
        <w:rFonts w:hint="default"/>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BDD47A0"/>
    <w:multiLevelType w:val="multilevel"/>
    <w:tmpl w:val="37922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021159">
    <w:abstractNumId w:val="0"/>
  </w:num>
  <w:num w:numId="2" w16cid:durableId="230117175">
    <w:abstractNumId w:val="2"/>
  </w:num>
  <w:num w:numId="3" w16cid:durableId="1613631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7F"/>
    <w:rsid w:val="00004CE4"/>
    <w:rsid w:val="000251E0"/>
    <w:rsid w:val="0004005C"/>
    <w:rsid w:val="0004523F"/>
    <w:rsid w:val="00047201"/>
    <w:rsid w:val="00051C4D"/>
    <w:rsid w:val="0006730C"/>
    <w:rsid w:val="00073613"/>
    <w:rsid w:val="00082609"/>
    <w:rsid w:val="00085579"/>
    <w:rsid w:val="00090C57"/>
    <w:rsid w:val="00093991"/>
    <w:rsid w:val="000A449C"/>
    <w:rsid w:val="000C2F29"/>
    <w:rsid w:val="000E6854"/>
    <w:rsid w:val="00124E3D"/>
    <w:rsid w:val="00153A71"/>
    <w:rsid w:val="00193294"/>
    <w:rsid w:val="00197EA9"/>
    <w:rsid w:val="001B006D"/>
    <w:rsid w:val="001E13B9"/>
    <w:rsid w:val="00212B78"/>
    <w:rsid w:val="002442B7"/>
    <w:rsid w:val="0026602B"/>
    <w:rsid w:val="0027047F"/>
    <w:rsid w:val="00270F95"/>
    <w:rsid w:val="00276B68"/>
    <w:rsid w:val="002A61F3"/>
    <w:rsid w:val="002C377B"/>
    <w:rsid w:val="002C3FE0"/>
    <w:rsid w:val="00310729"/>
    <w:rsid w:val="00374297"/>
    <w:rsid w:val="003932D7"/>
    <w:rsid w:val="003B547D"/>
    <w:rsid w:val="003C2710"/>
    <w:rsid w:val="003C6932"/>
    <w:rsid w:val="003E4193"/>
    <w:rsid w:val="003F26E7"/>
    <w:rsid w:val="003F338B"/>
    <w:rsid w:val="00421A00"/>
    <w:rsid w:val="0044084D"/>
    <w:rsid w:val="00467618"/>
    <w:rsid w:val="004A0917"/>
    <w:rsid w:val="004B144A"/>
    <w:rsid w:val="004C5F04"/>
    <w:rsid w:val="004E0F7D"/>
    <w:rsid w:val="00502278"/>
    <w:rsid w:val="00556C84"/>
    <w:rsid w:val="00564935"/>
    <w:rsid w:val="00567B05"/>
    <w:rsid w:val="00597B34"/>
    <w:rsid w:val="005B02FE"/>
    <w:rsid w:val="005B0B21"/>
    <w:rsid w:val="005B48D7"/>
    <w:rsid w:val="005C07A0"/>
    <w:rsid w:val="0060346C"/>
    <w:rsid w:val="00612869"/>
    <w:rsid w:val="006179DA"/>
    <w:rsid w:val="0066160C"/>
    <w:rsid w:val="0067466D"/>
    <w:rsid w:val="00686553"/>
    <w:rsid w:val="006A2ED9"/>
    <w:rsid w:val="006C65CA"/>
    <w:rsid w:val="006D1B4C"/>
    <w:rsid w:val="00727E21"/>
    <w:rsid w:val="007310DC"/>
    <w:rsid w:val="00770A28"/>
    <w:rsid w:val="0078447A"/>
    <w:rsid w:val="00784E05"/>
    <w:rsid w:val="00795783"/>
    <w:rsid w:val="007B45DA"/>
    <w:rsid w:val="00801337"/>
    <w:rsid w:val="00802638"/>
    <w:rsid w:val="0085138C"/>
    <w:rsid w:val="00853801"/>
    <w:rsid w:val="00866B5C"/>
    <w:rsid w:val="00870E97"/>
    <w:rsid w:val="008B2CE2"/>
    <w:rsid w:val="008C2CE8"/>
    <w:rsid w:val="00914B75"/>
    <w:rsid w:val="0091722B"/>
    <w:rsid w:val="00926640"/>
    <w:rsid w:val="009312B9"/>
    <w:rsid w:val="00983D90"/>
    <w:rsid w:val="00992A03"/>
    <w:rsid w:val="00996BEC"/>
    <w:rsid w:val="009A084B"/>
    <w:rsid w:val="009A33B7"/>
    <w:rsid w:val="009A7671"/>
    <w:rsid w:val="009C237D"/>
    <w:rsid w:val="00A12B91"/>
    <w:rsid w:val="00A343F7"/>
    <w:rsid w:val="00A410CC"/>
    <w:rsid w:val="00A427B2"/>
    <w:rsid w:val="00A57957"/>
    <w:rsid w:val="00A758D7"/>
    <w:rsid w:val="00AA2AB5"/>
    <w:rsid w:val="00AC175D"/>
    <w:rsid w:val="00AC2973"/>
    <w:rsid w:val="00AE6C00"/>
    <w:rsid w:val="00B136AA"/>
    <w:rsid w:val="00B162AB"/>
    <w:rsid w:val="00B2037B"/>
    <w:rsid w:val="00B51991"/>
    <w:rsid w:val="00B54F40"/>
    <w:rsid w:val="00B61306"/>
    <w:rsid w:val="00BE340C"/>
    <w:rsid w:val="00BF0165"/>
    <w:rsid w:val="00C16287"/>
    <w:rsid w:val="00C22926"/>
    <w:rsid w:val="00C5216A"/>
    <w:rsid w:val="00C9640E"/>
    <w:rsid w:val="00CB48AB"/>
    <w:rsid w:val="00CB5D48"/>
    <w:rsid w:val="00CD5838"/>
    <w:rsid w:val="00CF0FC0"/>
    <w:rsid w:val="00CF1092"/>
    <w:rsid w:val="00D00D5A"/>
    <w:rsid w:val="00D519DB"/>
    <w:rsid w:val="00D83507"/>
    <w:rsid w:val="00D92DD2"/>
    <w:rsid w:val="00DE054A"/>
    <w:rsid w:val="00E13722"/>
    <w:rsid w:val="00E35DCF"/>
    <w:rsid w:val="00E52CDB"/>
    <w:rsid w:val="00E5608B"/>
    <w:rsid w:val="00E62441"/>
    <w:rsid w:val="00E93082"/>
    <w:rsid w:val="00E9640B"/>
    <w:rsid w:val="00EB6E0A"/>
    <w:rsid w:val="00ED25D9"/>
    <w:rsid w:val="00ED64E2"/>
    <w:rsid w:val="00F049B1"/>
    <w:rsid w:val="00F20205"/>
    <w:rsid w:val="00F22FD5"/>
    <w:rsid w:val="00F2329A"/>
    <w:rsid w:val="00F26499"/>
    <w:rsid w:val="00F40B94"/>
    <w:rsid w:val="00F778F4"/>
    <w:rsid w:val="00F81BB8"/>
    <w:rsid w:val="00FC1262"/>
    <w:rsid w:val="00FC1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6F693"/>
  <w15:chartTrackingRefBased/>
  <w15:docId w15:val="{2EB1DBAB-C2B5-4DA2-8246-42CE4F2D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47F"/>
  </w:style>
  <w:style w:type="paragraph" w:styleId="Heading1">
    <w:name w:val="heading 1"/>
    <w:basedOn w:val="Normal"/>
    <w:next w:val="Normal"/>
    <w:link w:val="Heading1Char"/>
    <w:uiPriority w:val="9"/>
    <w:qFormat/>
    <w:rsid w:val="00270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47F"/>
    <w:rPr>
      <w:rFonts w:eastAsiaTheme="majorEastAsia" w:cstheme="majorBidi"/>
      <w:color w:val="272727" w:themeColor="text1" w:themeTint="D8"/>
    </w:rPr>
  </w:style>
  <w:style w:type="paragraph" w:styleId="Title">
    <w:name w:val="Title"/>
    <w:basedOn w:val="Normal"/>
    <w:next w:val="Normal"/>
    <w:link w:val="TitleChar"/>
    <w:uiPriority w:val="10"/>
    <w:qFormat/>
    <w:rsid w:val="00270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47F"/>
    <w:pPr>
      <w:spacing w:before="160"/>
      <w:jc w:val="center"/>
    </w:pPr>
    <w:rPr>
      <w:i/>
      <w:iCs/>
      <w:color w:val="404040" w:themeColor="text1" w:themeTint="BF"/>
    </w:rPr>
  </w:style>
  <w:style w:type="character" w:customStyle="1" w:styleId="QuoteChar">
    <w:name w:val="Quote Char"/>
    <w:basedOn w:val="DefaultParagraphFont"/>
    <w:link w:val="Quote"/>
    <w:uiPriority w:val="29"/>
    <w:rsid w:val="0027047F"/>
    <w:rPr>
      <w:i/>
      <w:iCs/>
      <w:color w:val="404040" w:themeColor="text1" w:themeTint="BF"/>
    </w:rPr>
  </w:style>
  <w:style w:type="paragraph" w:styleId="ListParagraph">
    <w:name w:val="List Paragraph"/>
    <w:basedOn w:val="Normal"/>
    <w:uiPriority w:val="34"/>
    <w:qFormat/>
    <w:rsid w:val="0027047F"/>
    <w:pPr>
      <w:ind w:left="720"/>
      <w:contextualSpacing/>
    </w:pPr>
  </w:style>
  <w:style w:type="character" w:styleId="IntenseEmphasis">
    <w:name w:val="Intense Emphasis"/>
    <w:basedOn w:val="DefaultParagraphFont"/>
    <w:uiPriority w:val="21"/>
    <w:qFormat/>
    <w:rsid w:val="0027047F"/>
    <w:rPr>
      <w:i/>
      <w:iCs/>
      <w:color w:val="0F4761" w:themeColor="accent1" w:themeShade="BF"/>
    </w:rPr>
  </w:style>
  <w:style w:type="paragraph" w:styleId="IntenseQuote">
    <w:name w:val="Intense Quote"/>
    <w:basedOn w:val="Normal"/>
    <w:next w:val="Normal"/>
    <w:link w:val="IntenseQuoteChar"/>
    <w:uiPriority w:val="30"/>
    <w:qFormat/>
    <w:rsid w:val="00270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47F"/>
    <w:rPr>
      <w:i/>
      <w:iCs/>
      <w:color w:val="0F4761" w:themeColor="accent1" w:themeShade="BF"/>
    </w:rPr>
  </w:style>
  <w:style w:type="character" w:styleId="IntenseReference">
    <w:name w:val="Intense Reference"/>
    <w:basedOn w:val="DefaultParagraphFont"/>
    <w:uiPriority w:val="32"/>
    <w:qFormat/>
    <w:rsid w:val="0027047F"/>
    <w:rPr>
      <w:b/>
      <w:bCs/>
      <w:smallCaps/>
      <w:color w:val="0F4761" w:themeColor="accent1" w:themeShade="BF"/>
      <w:spacing w:val="5"/>
    </w:rPr>
  </w:style>
  <w:style w:type="character" w:styleId="Hyperlink">
    <w:name w:val="Hyperlink"/>
    <w:basedOn w:val="DefaultParagraphFont"/>
    <w:uiPriority w:val="99"/>
    <w:unhideWhenUsed/>
    <w:rsid w:val="002C377B"/>
    <w:rPr>
      <w:color w:val="467886" w:themeColor="hyperlink"/>
      <w:u w:val="single"/>
    </w:rPr>
  </w:style>
  <w:style w:type="character" w:styleId="UnresolvedMention">
    <w:name w:val="Unresolved Mention"/>
    <w:basedOn w:val="DefaultParagraphFont"/>
    <w:uiPriority w:val="99"/>
    <w:semiHidden/>
    <w:unhideWhenUsed/>
    <w:rsid w:val="002C377B"/>
    <w:rPr>
      <w:color w:val="605E5C"/>
      <w:shd w:val="clear" w:color="auto" w:fill="E1DFDD"/>
    </w:rPr>
  </w:style>
  <w:style w:type="paragraph" w:styleId="Header">
    <w:name w:val="header"/>
    <w:basedOn w:val="Normal"/>
    <w:link w:val="HeaderChar"/>
    <w:uiPriority w:val="99"/>
    <w:unhideWhenUsed/>
    <w:rsid w:val="00393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2D7"/>
  </w:style>
  <w:style w:type="paragraph" w:styleId="Footer">
    <w:name w:val="footer"/>
    <w:basedOn w:val="Normal"/>
    <w:link w:val="FooterChar"/>
    <w:uiPriority w:val="99"/>
    <w:unhideWhenUsed/>
    <w:rsid w:val="00393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13</Pages>
  <Words>3643</Words>
  <Characters>20769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Bamsey (1450105)</dc:creator>
  <cp:keywords/>
  <dc:description/>
  <cp:lastModifiedBy>Joanna Bamsey (1450105)</cp:lastModifiedBy>
  <cp:revision>112</cp:revision>
  <dcterms:created xsi:type="dcterms:W3CDTF">2026-03-28T11:47:00Z</dcterms:created>
  <dcterms:modified xsi:type="dcterms:W3CDTF">2026-04-17T15:16:00Z</dcterms:modified>
</cp:coreProperties>
</file>