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AB8273" w14:paraId="740CD89C" wp14:textId="6C7E36FD">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65AB8273" w14:paraId="51D8027F" wp14:textId="6178679B">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65AB8273" w14:paraId="4C03A784" wp14:textId="169E8688">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65AB8273" w14:paraId="1DCDDEDC" wp14:textId="2063ADB7">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65AB8273" w14:paraId="0CE2B897" wp14:textId="292E24D9">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65AB8273" w:rsidR="38DB9CA6">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ECAD6007 ASSESSMENT</w:t>
      </w:r>
    </w:p>
    <w:p xmlns:wp14="http://schemas.microsoft.com/office/word/2010/wordml" w:rsidP="65AB8273" w14:paraId="0B28732E" wp14:textId="5B1C14D2">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65AB8273" w14:paraId="71474F2B" wp14:textId="35110884">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65AB8273" w14:paraId="7F5FC656" wp14:textId="15D08E99">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65AB8273" w:rsidR="5497094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ECAD6007 - The learner: who am I teaching?</w:t>
      </w:r>
      <w:r w:rsidRPr="65AB8273" w:rsidR="5497094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65AB8273" w14:paraId="2DA9FE74" wp14:textId="1E860A8E">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65AB8273" w14:paraId="794AEF7E" wp14:textId="273A69D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65AB8273" w14:paraId="1AC2D9D4" wp14:textId="678F200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5AB8273" w:rsidR="549709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 critical evaluation and the Word count (or Equivalent to 5000 identification of next teaching equivalent): words and learning steps focusing on a case study of an individual learner or a group of learners, based on an observed critical incident.</w:t>
      </w:r>
    </w:p>
    <w:p xmlns:wp14="http://schemas.microsoft.com/office/word/2010/wordml" w:rsidP="65AB8273" w14:paraId="52D94C3A" wp14:textId="3064707D">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5AB8273" w14:paraId="74358E2F" wp14:textId="65EF7F99">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5AB8273" w14:paraId="134576E7" wp14:textId="12A7DBEE">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5AB8273" w14:paraId="7CD6B263" wp14:textId="6C5D2181">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5AB8273" w14:paraId="041C4165" wp14:textId="3EC1CCF6">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65AB8273" w:rsidR="247709E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By Jack Bradley-Adams</w:t>
      </w:r>
    </w:p>
    <w:p xmlns:wp14="http://schemas.microsoft.com/office/word/2010/wordml" w:rsidP="65AB8273" w14:paraId="19D91B46" wp14:textId="207AD14D">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65AB8273" w:rsidR="247709E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1250239</w:t>
      </w:r>
    </w:p>
    <w:p xmlns:wp14="http://schemas.microsoft.com/office/word/2010/wordml" w:rsidP="65AB8273" w14:paraId="3AF455A7" wp14:textId="3E27FBF7">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5AB8273" w14:paraId="3E553461" wp14:textId="1ABEEBCA">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5AB8273" w14:paraId="5E5787A5" wp14:textId="515F7B19">
      <w:pPr>
        <w:pStyle w:val="Normal"/>
      </w:pPr>
    </w:p>
    <w:p w:rsidR="65AB8273" w:rsidP="65AB8273" w:rsidRDefault="65AB8273" w14:paraId="1AB0C868" w14:textId="3CF2CBEB">
      <w:pPr>
        <w:pStyle w:val="Normal"/>
      </w:pPr>
    </w:p>
    <w:p w:rsidR="65AB8273" w:rsidP="65AB8273" w:rsidRDefault="65AB8273" w14:paraId="1E613EBC" w14:textId="4680884F">
      <w:pPr>
        <w:pStyle w:val="Normal"/>
      </w:pPr>
    </w:p>
    <w:p w:rsidR="65AB8273" w:rsidP="65AB8273" w:rsidRDefault="65AB8273" w14:paraId="7B3AFD67" w14:textId="315CA503">
      <w:pPr>
        <w:pStyle w:val="Normal"/>
      </w:pPr>
    </w:p>
    <w:p w:rsidR="65AB8273" w:rsidP="65AB8273" w:rsidRDefault="65AB8273" w14:paraId="016D039B" w14:textId="643DDCEC">
      <w:pPr>
        <w:pStyle w:val="Normal"/>
      </w:pPr>
    </w:p>
    <w:p w:rsidR="65AB8273" w:rsidP="65AB8273" w:rsidRDefault="65AB8273" w14:paraId="5D2D676D" w14:textId="5CA651E1">
      <w:pPr>
        <w:pStyle w:val="Normal"/>
      </w:pPr>
    </w:p>
    <w:p w:rsidR="65AB8273" w:rsidP="65AB8273" w:rsidRDefault="65AB8273" w14:paraId="5FA0F066" w14:textId="16AB9CF3">
      <w:pPr>
        <w:pStyle w:val="Normal"/>
      </w:pPr>
    </w:p>
    <w:p w:rsidR="65AB8273" w:rsidP="65AB8273" w:rsidRDefault="65AB8273" w14:paraId="4368DFF6" w14:textId="118EE114">
      <w:pPr>
        <w:pStyle w:val="Normal"/>
      </w:pPr>
    </w:p>
    <w:p w:rsidR="65AB8273" w:rsidP="65AB8273" w:rsidRDefault="65AB8273" w14:paraId="2C643C8C" w14:textId="31F52B37">
      <w:pPr>
        <w:pStyle w:val="Normal"/>
      </w:pPr>
    </w:p>
    <w:p w:rsidR="65AB8273" w:rsidP="65AB8273" w:rsidRDefault="65AB8273" w14:paraId="63CCADB7" w14:textId="577B9759">
      <w:pPr>
        <w:pStyle w:val="Normal"/>
      </w:pPr>
    </w:p>
    <w:p w:rsidR="65AB8273" w:rsidP="65AB8273" w:rsidRDefault="65AB8273" w14:paraId="2E6E59D8" w14:textId="5AC00D3A">
      <w:pPr>
        <w:pStyle w:val="Normal"/>
      </w:pPr>
    </w:p>
    <w:p w:rsidR="5E31C599" w:rsidP="65AB8273" w:rsidRDefault="5E31C599" w14:paraId="42F8693D" w14:textId="6E84504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Whether large or small, disruptive or otherwise- multiple incidents occur daily and are commonplace in education settings and can and should heavily influence the practice of any teacher or mentor (Welsh Assembly Government, 2010). Due to the frequency and sometimes mundane nature of these incidents, often crucial occurrences can be overlooked in the moment that they are taking place, and it is the practitioner’s responsibility to later reflect upon these events that take them from just an incident to one which is deemed critical </w:t>
      </w:r>
      <w:r w:rsidRPr="65AB8273" w:rsidR="5E31C599">
        <w:rPr>
          <w:rFonts w:ascii="Arial" w:hAnsi="Arial" w:eastAsia="Arial" w:cs="Arial"/>
          <w:b w:val="0"/>
          <w:bCs w:val="0"/>
          <w:i w:val="0"/>
          <w:iCs w:val="0"/>
          <w:caps w:val="0"/>
          <w:smallCaps w:val="0"/>
          <w:noProof w:val="0"/>
          <w:color w:val="000000" w:themeColor="text1" w:themeTint="FF" w:themeShade="FF"/>
          <w:sz w:val="24"/>
          <w:szCs w:val="24"/>
          <w:lang w:val="en-GB"/>
        </w:rPr>
        <w:t>(</w:t>
      </w:r>
      <w:r w:rsidRPr="65AB8273" w:rsidR="5E31C599">
        <w:rPr>
          <w:rFonts w:ascii="Arial" w:hAnsi="Arial" w:eastAsia="Arial" w:cs="Arial"/>
          <w:b w:val="0"/>
          <w:bCs w:val="0"/>
          <w:i w:val="0"/>
          <w:iCs w:val="0"/>
          <w:caps w:val="0"/>
          <w:smallCaps w:val="0"/>
          <w:noProof w:val="0"/>
          <w:color w:val="333333"/>
          <w:sz w:val="24"/>
          <w:szCs w:val="24"/>
          <w:lang w:val="en-GB"/>
        </w:rPr>
        <w:t>Singh, Rowan &amp; Allen 2019)</w:t>
      </w:r>
      <w:r w:rsidRPr="65AB8273" w:rsidR="5E31C5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E31C599" w:rsidP="65AB8273" w:rsidRDefault="5E31C599" w14:paraId="36354E71" w14:textId="1136BA4E">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Critical Incidents were first mentioned by Tripp (2011) who argued that identifying a Critical Incident is not a case of looking for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things which exist independently of an observer and are awaiting discovery like gold nuggets or desert islands”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(Tripp, 2011)</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but instead, it was Tripp’s belief that Critical Incidents should be handled and evaluated like any other data, and it is this interpretation of data that deems them to be of critical importance.</w:t>
      </w:r>
    </w:p>
    <w:p w:rsidR="5E31C599" w:rsidP="65AB8273" w:rsidRDefault="5E31C599" w14:paraId="3083CF00" w14:textId="16D31DB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This argument is furthered by Tripp (2011) to argue that Critical Incidents are defined through the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“interpretation of the significance of an event”</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(Tripp, 2011).</w:t>
      </w:r>
      <w:r w:rsidRPr="65AB8273"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Tripp stressed identifying the importance of identifying these events as a means to the betterment and improvement of the practitioner, as often when critically analysing such events, it is less about thinking about what happened, but instead asking ourselves what factors facilitated the incident to take place, expanding upon the prior research of Barthes (1973) who defined myths in a schooling context, as the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expression of significant social phenomena</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and linked these phenomena to the influence they may have on behavioural development. Further supported by Tripp (2011) who believed evaluating and interpreting the link between these phenomena was essential to participating in ‘diagnostic teaching”, described by Tripp (2011) as a reflective tool used to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produce expert interpretations upon which to base and justify their professional judgements</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w:t>
      </w:r>
    </w:p>
    <w:p w:rsidR="5E31C599" w:rsidP="65AB8273" w:rsidRDefault="5E31C599" w14:paraId="77EA5B2A" w14:textId="7061434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significance of reflective practice and how it correlates with teaching and learning development is now also recognised in the pedagogic principles which create the very foundation upon which the New Curriculum for Wales requires in order to progress and succeed (Welsh Assembly Government, (WAG) 2021). </w:t>
      </w:r>
    </w:p>
    <w:p w:rsidR="5E31C599" w:rsidP="65AB8273" w:rsidRDefault="5E31C599" w14:paraId="71A250EE" w14:textId="3C48C10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This requirement for introspection within teaching was first systemised by Dewey (1933) who summarised the main phases of reflective inquiry. It was Dewey’s belief that reflective inquiry was the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active, persistent, and careful consideration of any belief or supposed form of knowledge in the light of the grounds that support it”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(Dewey, 1933)</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and this belief is still shared by many almost a century later and evident in the literature surrounding the New Curriculum for Wales (WAG, 2021)</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w:t>
      </w:r>
    </w:p>
    <w:p w:rsidR="5E31C599" w:rsidP="65AB8273" w:rsidRDefault="5E31C599" w14:paraId="288945F6" w14:textId="3710327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Dewey (1933) sought to encourage teachers to use systematic and conscious reflections as the basis for professional development regarding their approach to teaching by being able to make more informed decisions within their practice, making Dewey an early advocate for evidence-based teaching.</w:t>
      </w:r>
    </w:p>
    <w:p w:rsidR="5E31C599" w:rsidP="65AB8273" w:rsidRDefault="5E31C599" w14:paraId="43FED1A3" w14:textId="33A35C9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Reflective Practice is one of the four elements of the Welsh Government’s ‘Pedagogy for Professional Learning’ (WAG, 2021) and encourages practitioners to seize opportunities to reflect candidly upon their current practice. This requirement for introspection would seem to correlate directly with the research found in Tripp’s (2011) critical incident methodology.</w:t>
      </w:r>
    </w:p>
    <w:p w:rsidR="5E31C599" w:rsidP="65AB8273" w:rsidRDefault="5E31C599" w14:paraId="4F7ACEC0" w14:textId="7B45689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other three elements which comprise the pedagogic principles further reinforce the necessity of reflective practice, through collaboration, coaching and mentoring, and the use of data and research evidence as reflective tools to aid the betterment of professional development (WAG, 2021). </w:t>
      </w:r>
    </w:p>
    <w:p w:rsidR="5E31C599" w:rsidP="65AB8273" w:rsidRDefault="5E31C599" w14:paraId="573DFFF7" w14:textId="6428DB5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four elements of the Welsh Government’s pedagogical principles mirror the four lenses of critically reflective teaching which were first modelled by. Brookfield (1998). The four lenses comprised of the student’s eyes, colleague’s perceptions, personal experience, and theoretical literature. </w:t>
      </w:r>
    </w:p>
    <w:p w:rsidR="5E31C599" w:rsidP="65AB8273" w:rsidRDefault="5E31C599" w14:paraId="1B379C52" w14:textId="353C3055">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The student’s eyes refer to evaluating how the students experience their education and aligns with the Welsh Governments insistence on the use of data and research in reflection (WAG, 2021). This allows the practitioner to use this knowledge to tailor their teaching methods to those that best suit the pupil. Brookfield (1998) suggests this can be implemented through a variety of methods, but anonymous student feedback is crucial, as anonymity is likely to garner more accurate feedback, and as a result, practitioners should remain open to criticism.</w:t>
      </w:r>
    </w:p>
    <w:p w:rsidR="5E31C599" w:rsidP="65AB8273" w:rsidRDefault="5E31C599" w14:paraId="5CC26BC9" w14:textId="6806EDF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How one perceives them the practices of their colleagues can be incredibly influential to their own teaching practices, as Brookfield (2011) noted how often sharing incidents or classroom dynamics thought of as unique to just one teacher, to a group of their colleagues can prompt disclosure for negotiation of the same dynamics from others insight or shared experiences.</w:t>
      </w:r>
    </w:p>
    <w:p w:rsidR="5E31C599" w:rsidP="65AB8273" w:rsidRDefault="5E31C599" w14:paraId="00FC217B" w14:textId="468369CD">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use of Theoretical Literature as a means to further personal and professional development was Brookfield’s (1995) fourth and final lens of critical reflection. Often philosophies and theorems can help to articulate something that a practitioner has been unable to yet put into cogent language. This viewpoint was shared by Schön (1983) , who posed the question,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“h</w:t>
      </w:r>
      <w:r w:rsidRPr="65AB8273" w:rsidR="5E31C599">
        <w:rPr>
          <w:rFonts w:ascii="ArialMT" w:hAnsi="ArialMT" w:eastAsia="ArialMT" w:cs="ArialMT"/>
          <w:b w:val="0"/>
          <w:bCs w:val="0"/>
          <w:i w:val="1"/>
          <w:iCs w:val="1"/>
          <w:caps w:val="0"/>
          <w:smallCaps w:val="0"/>
          <w:noProof w:val="0"/>
          <w:color w:val="1C1D1E"/>
          <w:sz w:val="24"/>
          <w:szCs w:val="24"/>
          <w:lang w:val="en-GB"/>
        </w:rPr>
        <w:t>ow is professional knowing like and unlike the kinds of knowing in academic textbooks, scientific papers, and journals?</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It is clear from both Schön (1983) and Brookfield’s (1995) research that the inquiry into the epistemology of practice is a vital framework for professional development within education.</w:t>
      </w:r>
    </w:p>
    <w:p w:rsidR="5E31C599" w:rsidP="65AB8273" w:rsidRDefault="5E31C599" w14:paraId="43E89E99" w14:textId="11BEB6A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As part of my own professional development, I have conducted my own school observation in order to identify what I would consider a critical incident and use this observation to reflect upon my own practices in teaching. Throughout my own written observation of the school, I will be adhering to the British Educational Research Association’s (BERA, 2018) ethical guidelines with the aim of protecting the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privacy, autonomy, diversity, values, and dignity of any individuals, groups, and communities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(BERA, 2018) that I, the researcher, had observed.</w:t>
      </w:r>
    </w:p>
    <w:p w:rsidR="5E31C599" w:rsidP="65AB8273" w:rsidRDefault="5E31C599" w14:paraId="6BA044B8" w14:textId="179BC878">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researcher spent two full days in an English medium Primary School situated in South Wales, in the Neath Port Talbot local authority. </w:t>
      </w:r>
      <w:r w:rsidRPr="65AB8273" w:rsidR="5E31C599">
        <w:rPr>
          <w:rFonts w:ascii="ArialMT" w:hAnsi="ArialMT" w:eastAsia="ArialMT" w:cs="ArialMT"/>
          <w:b w:val="0"/>
          <w:bCs w:val="0"/>
          <w:i w:val="0"/>
          <w:iCs w:val="0"/>
          <w:caps w:val="0"/>
          <w:smallCaps w:val="0"/>
          <w:noProof w:val="0"/>
          <w:color w:val="2A2C2E"/>
          <w:sz w:val="24"/>
          <w:szCs w:val="24"/>
          <w:lang w:val="en-GB"/>
        </w:rPr>
        <w:t>The lesson observation took place over a Monday and Tuesday, midway into the first school term, with first day’s observations taking place in a Key Stage 2 Year 3 class, and the second day spent observing a Foundation Phase Year 1 class. The researcher made an effort to be a non-participating member of the classroom, with the aim of observing and recording personal notes only.</w:t>
      </w:r>
    </w:p>
    <w:p w:rsidR="5E31C599" w:rsidP="65AB8273" w:rsidRDefault="5E31C599" w14:paraId="6BD9D70D" w14:textId="3FA6A7F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According to the school’s most recent Estyn report, which was published in 2018, four years prior to the date of the observation. Estyn reported that the school provides education for 228 pupils all between the ages of three to eleven years old, the majority of whom are of a White British heritage and are first language English.</w:t>
      </w:r>
    </w:p>
    <w:p w:rsidR="5E31C599" w:rsidP="65AB8273" w:rsidRDefault="5E31C599" w14:paraId="7149C5F2" w14:textId="0B133099">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Despite the school being in an economically deprived area of South Wales, the school’s percentage of pupils eligible for free school meals is 17%, which at Estyn’s time of writing was just below the Welsh National average of pupils eligible for free school meals, at 18%. </w:t>
      </w:r>
    </w:p>
    <w:p w:rsidR="5E31C599" w:rsidP="65AB8273" w:rsidRDefault="5E31C599" w14:paraId="38FC4D1B" w14:textId="6BDBC7ED">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report also estimated that the school had an approximate amount of 37% pupils with having some sort of additional learning need, higher than the national average of 21%. </w:t>
      </w:r>
    </w:p>
    <w:p w:rsidR="5E31C599" w:rsidP="65AB8273" w:rsidRDefault="5E31C599" w14:paraId="0CCCF6DE" w14:textId="13942DB3">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 xml:space="preserve">The critical incident that was observed took place on the first day of the observation within the Year 3 classroom. The class was comprised of twenty-five mixed-ability students, who were seated on round tables that were split by ability as the main priority, with lower-ability pupils seated closer to the teacher, but also taking pupil behaviour into account as a secondary prime concern. Tables were comprised of four to six students each who were sat boy-girl. </w:t>
      </w:r>
    </w:p>
    <w:p w:rsidR="5E31C599" w:rsidP="65AB8273" w:rsidRDefault="5E31C599" w14:paraId="4E0A9584" w14:textId="3D282F0B">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Their teacher who, to protect their anonymity, will be referred to as ‘Teacher X’ , had mentioned to the researcher that they had been teaching for 30 years at the time of observation, and this academic year was the first time they had taught a Year 3 class since their time studying their PGCE, having taught more senior years 5</w:t>
      </w:r>
      <w:r w:rsidRPr="65AB8273"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65AB8273" w:rsidR="5E31C599">
        <w:rPr>
          <w:rFonts w:ascii="ArialMT" w:hAnsi="ArialMT" w:eastAsia="ArialMT" w:cs="ArialMT"/>
          <w:b w:val="0"/>
          <w:bCs w:val="0"/>
          <w:i w:val="0"/>
          <w:iCs w:val="0"/>
          <w:caps w:val="0"/>
          <w:smallCaps w:val="0"/>
          <w:noProof w:val="0"/>
          <w:color w:val="2A2C2E"/>
          <w:sz w:val="24"/>
          <w:szCs w:val="24"/>
          <w:lang w:val="en-GB"/>
        </w:rPr>
        <w:t>&amp;</w:t>
      </w:r>
      <w:r w:rsidRPr="65AB8273"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65AB8273" w:rsidR="5E31C599">
        <w:rPr>
          <w:rFonts w:ascii="ArialMT" w:hAnsi="ArialMT" w:eastAsia="ArialMT" w:cs="ArialMT"/>
          <w:b w:val="0"/>
          <w:bCs w:val="0"/>
          <w:i w:val="0"/>
          <w:iCs w:val="0"/>
          <w:caps w:val="0"/>
          <w:smallCaps w:val="0"/>
          <w:noProof w:val="0"/>
          <w:color w:val="2A2C2E"/>
          <w:sz w:val="24"/>
          <w:szCs w:val="24"/>
          <w:lang w:val="en-GB"/>
        </w:rPr>
        <w:t xml:space="preserve">6 previously. </w:t>
      </w:r>
    </w:p>
    <w:p w:rsidR="5E31C599" w:rsidP="65AB8273" w:rsidRDefault="5E31C599" w14:paraId="7CA21864" w14:textId="2CE9AC5B">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Teacher X had taught at the school for over a decade, but this year had changed classrooms to coincide with their new year group. The classroom was bright and colourful with two whiteboards, one interactive, on opposing sides of the classroom. The classroom had resources such as a reading corner and displays featuring pupil work and information relevant to current classroom topics, but by Teacher X’s own admittance was less than they would have in a classroom they’d spent more time in. Some resources were limited, such as workbooks, as there had been shipping delays spanning several months.</w:t>
      </w:r>
    </w:p>
    <w:p w:rsidR="5E31C599" w:rsidP="65AB8273" w:rsidRDefault="5E31C599" w14:paraId="7450129D" w14:textId="02C831FA">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Teacher X taught the class for the first half of the day, covering numeracy topics such as multiples and factors and mental maths. During mental maths, Teacher X encouraged the children to do their workings out in their heads and raise their hands if they would like to answer. If the classroom ever became too loud, Teacher X would raise their own hand and count down backward from 5. Pupils were taught and expected to stop talking and raise their hand, sit in silence focusing their attention on the teacher. The hand signal was an effective tool in class and was well adhered to by the majority of pupils, who seemed to have a good understanding of the importance of the rule and why, and when it is implemented.</w:t>
      </w:r>
    </w:p>
    <w:p w:rsidR="5E31C599" w:rsidP="65AB8273" w:rsidRDefault="5E31C599" w14:paraId="6B497571" w14:textId="0497A05D">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This behavioural management technique harnessed by Teacher X is a great example of the pupils being in a setting that allows them to be healthy, confident individuals, one of the four key purposes which underpin the new Welsh Curriculum</w:t>
      </w:r>
      <w:r w:rsidRPr="65AB8273"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65AB8273" w:rsidR="5E31C599">
        <w:rPr>
          <w:rFonts w:ascii="ArialMT" w:hAnsi="ArialMT" w:eastAsia="ArialMT" w:cs="ArialMT"/>
          <w:b w:val="0"/>
          <w:bCs w:val="0"/>
          <w:i w:val="0"/>
          <w:iCs w:val="0"/>
          <w:caps w:val="0"/>
          <w:smallCaps w:val="0"/>
          <w:noProof w:val="0"/>
          <w:color w:val="2A2C2E"/>
          <w:sz w:val="24"/>
          <w:szCs w:val="24"/>
          <w:lang w:val="en-GB"/>
        </w:rPr>
        <w:t>(Crown Copyright, 2015) as outlined by Donaldson.</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Donaldson’s (2016) review stressed the importance of forming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positive relationships based on trust and mutual respect”,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in order to achieve a wider goal of producing children who are ready to lead fulfilling lives as valued members of society.</w:t>
      </w:r>
    </w:p>
    <w:p w:rsidR="5E31C599" w:rsidP="65AB8273" w:rsidRDefault="5E31C599" w14:paraId="4EFAEDED" w14:textId="550069DE">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After lunch break, the second half of the day was taught by a peripatetic religious studies teacher who for the purpose of this essay will be referred to as ‘Teacher Y’. This was Teacher Y’s first year teaching at the school and had only met with this particular class a handful of times as it was relatively still early into the academic year.</w:t>
      </w:r>
    </w:p>
    <w:p w:rsidR="5E31C599" w:rsidP="65AB8273" w:rsidRDefault="5E31C599" w14:paraId="5ABEB52D" w14:textId="7650F4F4">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 xml:space="preserve">Teacher Y had prepared a short video of the globe to show how different religions expanded or decreased in population and spread from place to place throughout history. Teacher Y would pause the video at different intervals to pose questions to the class. This time the children were not putting their hands up as they had earlier in the day, and instead were calling out loud and talking over each other. </w:t>
      </w:r>
    </w:p>
    <w:p w:rsidR="5E31C599" w:rsidP="65AB8273" w:rsidRDefault="5E31C599" w14:paraId="31A284DA" w14:textId="461E2178">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 xml:space="preserve">After the video, Teacher Y handed out world maps to the students, who were instructed to work in groups to locate and colour certain countries on the map. The classroom steadily increased in volume, and some children were wandering from their seats to visit other tables. </w:t>
      </w:r>
    </w:p>
    <w:p w:rsidR="5E31C599" w:rsidP="65AB8273" w:rsidRDefault="5E31C599" w14:paraId="2FC4A889" w14:textId="1C2BEA8F">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When the classroom would become too loud, Teacher Y raised their voice to tell the pupils that the class volume was unacceptable and that they would like the class to quieten down. Some children listened to Teacher Y’s instructions, but many continued to chat amongst themselves for the remainder of the lesson, with Teacher Y having to repeat themselves on several occasions.</w:t>
      </w:r>
    </w:p>
    <w:p w:rsidR="5E31C599" w:rsidP="65AB8273" w:rsidRDefault="5E31C599" w14:paraId="068D783B" w14:textId="63E3AA34">
      <w:pPr>
        <w:spacing w:after="160" w:line="259" w:lineRule="auto"/>
        <w:rPr>
          <w:rFonts w:ascii="ArialMT" w:hAnsi="ArialMT" w:eastAsia="ArialMT" w:cs="ArialMT"/>
          <w:b w:val="0"/>
          <w:bCs w:val="0"/>
          <w:i w:val="0"/>
          <w:iCs w:val="0"/>
          <w:caps w:val="0"/>
          <w:smallCaps w:val="0"/>
          <w:noProof w:val="0"/>
          <w:color w:val="2A2C2E"/>
          <w:sz w:val="24"/>
          <w:szCs w:val="24"/>
          <w:lang w:val="en-GB"/>
        </w:rPr>
      </w:pPr>
      <w:r w:rsidRPr="65AB8273" w:rsidR="5E31C599">
        <w:rPr>
          <w:rFonts w:ascii="ArialMT" w:hAnsi="ArialMT" w:eastAsia="ArialMT" w:cs="ArialMT"/>
          <w:b w:val="0"/>
          <w:bCs w:val="0"/>
          <w:i w:val="0"/>
          <w:iCs w:val="0"/>
          <w:caps w:val="0"/>
          <w:smallCaps w:val="0"/>
          <w:noProof w:val="0"/>
          <w:color w:val="2A2C2E"/>
          <w:sz w:val="24"/>
          <w:szCs w:val="24"/>
          <w:lang w:val="en-GB"/>
        </w:rPr>
        <w:t>There was a very clear difference in how the students interacted and responded to Teacher X and Teacher Y and the variation in their practices. Donaldson (2016) emphasises that in order to create ambitious, capable learners, then children must be able to “</w:t>
      </w:r>
      <w:r w:rsidRPr="65AB8273" w:rsidR="5E31C599">
        <w:rPr>
          <w:rFonts w:ascii="ArialMT" w:hAnsi="ArialMT" w:eastAsia="ArialMT" w:cs="ArialMT"/>
          <w:b w:val="0"/>
          <w:bCs w:val="0"/>
          <w:i w:val="1"/>
          <w:iCs w:val="1"/>
          <w:caps w:val="0"/>
          <w:smallCaps w:val="0"/>
          <w:noProof w:val="0"/>
          <w:color w:val="2A2C2E"/>
          <w:sz w:val="24"/>
          <w:szCs w:val="24"/>
          <w:lang w:val="en-GB"/>
        </w:rPr>
        <w:t xml:space="preserve">communicate effectively in different forms and settings”. </w:t>
      </w:r>
      <w:r w:rsidRPr="65AB8273" w:rsidR="5E31C599">
        <w:rPr>
          <w:rFonts w:ascii="ArialMT" w:hAnsi="ArialMT" w:eastAsia="ArialMT" w:cs="ArialMT"/>
          <w:b w:val="0"/>
          <w:bCs w:val="0"/>
          <w:i w:val="0"/>
          <w:iCs w:val="0"/>
          <w:caps w:val="0"/>
          <w:smallCaps w:val="0"/>
          <w:noProof w:val="0"/>
          <w:color w:val="2A2C2E"/>
          <w:sz w:val="24"/>
          <w:szCs w:val="24"/>
          <w:lang w:val="en-GB"/>
        </w:rPr>
        <w:t>The observation of this particular critical incident would also further reinforce Donaldson’s (2016) emphasis on the importance of trust and mutual respect when teaching.</w:t>
      </w:r>
    </w:p>
    <w:p w:rsidR="65AB8273" w:rsidP="65AB8273" w:rsidRDefault="65AB8273" w14:paraId="59A1D480" w14:textId="33F57C2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E31C599" w:rsidP="65AB8273" w:rsidRDefault="5E31C599" w14:paraId="2F67B4BD" w14:textId="40C2A9D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Donaldson (2016) has not been alone in advocating for the requirement of trust and mutual respect, as his report has been informed by the seminal research of child development theorists. Maslow (1943) queried what made life purposeful for people in modern day America, and through his research established his “Pyramid of Needs”. </w:t>
      </w:r>
    </w:p>
    <w:p w:rsidR="65AB8273" w:rsidP="65AB8273" w:rsidRDefault="65AB8273" w14:paraId="4315C29F" w14:textId="4917F106">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65AB8273" w:rsidRDefault="5E31C599" w14:paraId="66E315B7" w14:textId="2AACFD3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E31C599">
        <w:drawing>
          <wp:inline wp14:editId="53CE2155" wp14:anchorId="1F95D7B6">
            <wp:extent cx="4572000" cy="3086100"/>
            <wp:effectExtent l="0" t="0" r="0" b="0"/>
            <wp:docPr id="135512892" name="" title=""/>
            <wp:cNvGraphicFramePr>
              <a:graphicFrameLocks noChangeAspect="1"/>
            </wp:cNvGraphicFramePr>
            <a:graphic>
              <a:graphicData uri="http://schemas.openxmlformats.org/drawingml/2006/picture">
                <pic:pic>
                  <pic:nvPicPr>
                    <pic:cNvPr id="0" name=""/>
                    <pic:cNvPicPr/>
                  </pic:nvPicPr>
                  <pic:blipFill>
                    <a:blip r:embed="R9d543b9507764ad5">
                      <a:extLst>
                        <a:ext xmlns:a="http://schemas.openxmlformats.org/drawingml/2006/main" uri="{28A0092B-C50C-407E-A947-70E740481C1C}">
                          <a14:useLocalDpi val="0"/>
                        </a:ext>
                      </a:extLst>
                    </a:blip>
                    <a:stretch>
                      <a:fillRect/>
                    </a:stretch>
                  </pic:blipFill>
                  <pic:spPr>
                    <a:xfrm>
                      <a:off x="0" y="0"/>
                      <a:ext cx="4572000" cy="3086100"/>
                    </a:xfrm>
                    <a:prstGeom prst="rect">
                      <a:avLst/>
                    </a:prstGeom>
                  </pic:spPr>
                </pic:pic>
              </a:graphicData>
            </a:graphic>
          </wp:inline>
        </w:drawing>
      </w:r>
    </w:p>
    <w:p w:rsidR="5E31C599" w:rsidP="65AB8273" w:rsidRDefault="5E31C599" w14:paraId="00DD8304" w14:textId="3A9811D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1"/>
          <w:bCs w:val="1"/>
          <w:i w:val="0"/>
          <w:iCs w:val="0"/>
          <w:caps w:val="0"/>
          <w:smallCaps w:val="0"/>
          <w:noProof w:val="0"/>
          <w:color w:val="000000" w:themeColor="text1" w:themeTint="FF" w:themeShade="FF"/>
          <w:sz w:val="24"/>
          <w:szCs w:val="24"/>
          <w:lang w:val="en-GB"/>
        </w:rPr>
        <w:t>Figure 1</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Maslow’s 1943 classic hierarchy of needs as adapted by </w:t>
      </w:r>
      <w:r w:rsidRPr="65AB8273" w:rsidR="5E31C599">
        <w:rPr>
          <w:rFonts w:ascii="Arial" w:hAnsi="Arial" w:eastAsia="Arial" w:cs="Arial"/>
          <w:b w:val="0"/>
          <w:bCs w:val="0"/>
          <w:i w:val="0"/>
          <w:iCs w:val="0"/>
          <w:caps w:val="0"/>
          <w:smallCaps w:val="0"/>
          <w:noProof w:val="0"/>
          <w:color w:val="3A3A3A"/>
          <w:sz w:val="24"/>
          <w:szCs w:val="24"/>
          <w:lang w:val="en-GB"/>
        </w:rPr>
        <w:t>Fergeus, Humphreys, Harvey and Herrman (</w:t>
      </w:r>
      <w:r w:rsidRPr="65AB8273" w:rsidR="5E31C599">
        <w:rPr>
          <w:rFonts w:ascii="Arial" w:hAnsi="Arial" w:eastAsia="Arial" w:cs="Arial"/>
          <w:b w:val="0"/>
          <w:bCs w:val="0"/>
          <w:i w:val="0"/>
          <w:iCs w:val="0"/>
          <w:caps w:val="0"/>
          <w:smallCaps w:val="0"/>
          <w:noProof w:val="0"/>
          <w:color w:val="000000" w:themeColor="text1" w:themeTint="FF" w:themeShade="FF"/>
          <w:sz w:val="24"/>
          <w:szCs w:val="24"/>
          <w:lang w:val="en-GB"/>
        </w:rPr>
        <w:t>2019).</w:t>
      </w:r>
    </w:p>
    <w:p w:rsidR="65AB8273" w:rsidP="65AB8273" w:rsidRDefault="65AB8273" w14:paraId="77F3302C" w14:textId="2C50916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65AB8273" w:rsidRDefault="5E31C599" w14:paraId="599878E0" w14:textId="657EDF2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Within the pyramid, Maslow (1943) identified five areas of basic human needs, consisting of both physical and non-physical elements which were then set into a hierarchical order. These needs were deemed by Maslow (1943) to be of critical importance when hypothesising the inherent objectives that sustain human growth and development.</w:t>
      </w:r>
    </w:p>
    <w:p w:rsidR="5E31C599" w:rsidP="65AB8273" w:rsidRDefault="5E31C599" w14:paraId="1BF327F5" w14:textId="55EBAF5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It was Maslow’s (1943) postulation that when one reaches a certain fundamental development goal or a need is apprehended, the priority of such needs change and another need is prioritised and so on in the pursuit of self-actualisation and fulfilment.</w:t>
      </w:r>
    </w:p>
    <w:p w:rsidR="5E31C599" w:rsidP="65AB8273" w:rsidRDefault="5E31C599" w14:paraId="2BFA53FF" w14:textId="05600997">
      <w:pPr>
        <w:spacing w:after="160" w:line="300" w:lineRule="exact"/>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“It is quite true that man lives by bread alone—when there is no bread. But what happens to man's desires when there is plenty of bread and when his belly is chronically filled?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(1943)</w:t>
      </w:r>
    </w:p>
    <w:p w:rsidR="5E31C599" w:rsidP="65AB8273" w:rsidRDefault="5E31C599" w14:paraId="3A5335A7" w14:textId="6C10ED6B">
      <w:pPr>
        <w:spacing w:after="160" w:line="300" w:lineRule="exact"/>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At once other (and “higher”) needs emerge and these, rather than physiological hungers, dominate the organism. And when these in turn are satisfied, again new (and still “higher”) needs emerge and so on. This is what we mean by saying that the basic human needs are organized into a hierarchy of relative prepotency.”</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(Maslow, 1943, p. 375) </w:t>
      </w:r>
    </w:p>
    <w:p w:rsidR="5E31C599" w:rsidP="65AB8273" w:rsidRDefault="5E31C599" w14:paraId="68ADBC73" w14:textId="25C172F0">
      <w:pPr>
        <w:spacing w:after="160" w:line="300" w:lineRule="exact"/>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Although Maslow (1943) does not explicitly outline trust as a need within his hierarchy, the requirement of trust is undeniably intrinsic within fulfilling the needs of safety and belongingness. This concept is further supported by the later research of psychologist Urie Bronfenbrenner (1978), who devised his own ecological paradigm depicting the influence of caregiver relationships, societal interaction and environment upon child development. </w:t>
      </w:r>
    </w:p>
    <w:p w:rsidR="5E31C599" w:rsidP="65AB8273" w:rsidRDefault="5E31C599" w14:paraId="1C60B6DC" w14:textId="0CED9880">
      <w:pPr>
        <w:spacing w:after="160" w:line="300" w:lineRule="exact"/>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E31C599">
        <w:drawing>
          <wp:inline wp14:editId="7426A0E7" wp14:anchorId="29A72524">
            <wp:extent cx="4505325" cy="4572000"/>
            <wp:effectExtent l="0" t="0" r="0" b="0"/>
            <wp:docPr id="226048592" name="" title=""/>
            <wp:cNvGraphicFramePr>
              <a:graphicFrameLocks noChangeAspect="1"/>
            </wp:cNvGraphicFramePr>
            <a:graphic>
              <a:graphicData uri="http://schemas.openxmlformats.org/drawingml/2006/picture">
                <pic:pic>
                  <pic:nvPicPr>
                    <pic:cNvPr id="0" name=""/>
                    <pic:cNvPicPr/>
                  </pic:nvPicPr>
                  <pic:blipFill>
                    <a:blip r:embed="Rfdf67745d89748b5">
                      <a:extLst>
                        <a:ext xmlns:a="http://schemas.openxmlformats.org/drawingml/2006/main" uri="{28A0092B-C50C-407E-A947-70E740481C1C}">
                          <a14:useLocalDpi val="0"/>
                        </a:ext>
                      </a:extLst>
                    </a:blip>
                    <a:stretch>
                      <a:fillRect/>
                    </a:stretch>
                  </pic:blipFill>
                  <pic:spPr>
                    <a:xfrm>
                      <a:off x="0" y="0"/>
                      <a:ext cx="4505325" cy="4572000"/>
                    </a:xfrm>
                    <a:prstGeom prst="rect">
                      <a:avLst/>
                    </a:prstGeom>
                  </pic:spPr>
                </pic:pic>
              </a:graphicData>
            </a:graphic>
          </wp:inline>
        </w:drawing>
      </w:r>
    </w:p>
    <w:p w:rsidR="5E31C599" w:rsidP="65AB8273" w:rsidRDefault="5E31C599" w14:paraId="2321FD6B" w14:textId="65D2CD55">
      <w:pPr>
        <w:spacing w:after="160" w:line="259" w:lineRule="auto"/>
        <w:jc w:val="center"/>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1"/>
          <w:bCs w:val="1"/>
          <w:i w:val="0"/>
          <w:iCs w:val="0"/>
          <w:caps w:val="0"/>
          <w:smallCaps w:val="0"/>
          <w:noProof w:val="0"/>
          <w:color w:val="000000" w:themeColor="text1" w:themeTint="FF" w:themeShade="FF"/>
          <w:sz w:val="24"/>
          <w:szCs w:val="24"/>
          <w:lang w:val="en-GB"/>
        </w:rPr>
        <w:t>Figure 2</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Bronfenbrenner’s Ecological Systems Theory as adapted by Guy-Evans (2020).</w:t>
      </w:r>
    </w:p>
    <w:p w:rsidR="5E31C599" w:rsidP="65AB8273" w:rsidRDefault="5E31C599" w14:paraId="42FD1066" w14:textId="610113C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Bronfenbrenner’s (1978) Ecological Systems Theory places greater emphasis on how assessing the wider world around the child can be imperative when contextualising their behavioural and social development. Speaking at a seminar, Bronfenbrenner (1978) described the greater context surrounding the child as an inevitable factor for discussion when we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concern ourselves with how children in a given society are expected to act, how others are expected to act toward them, and how both children and others in fact behave in relation to these expectations” </w:t>
      </w:r>
    </w:p>
    <w:p w:rsidR="5E31C599" w:rsidP="65AB8273" w:rsidRDefault="5E31C599" w14:paraId="02BD1C89" w14:textId="460B451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This is evident within the microsystem and mesosystem as outlined by Bronfenbrenner’s (1978) ecological system, as the micro and mesosystems refer to the complex immediate relations between a child and their environment, namely the home, school, and neighbourhood, etc. As Bronfenbrenner (1978) states, when analysing the ecological system,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the main effects are in the interaction”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(1996) implying that in order to change or maintain behaviour we must consider changes in environment.</w:t>
      </w:r>
    </w:p>
    <w:p w:rsidR="5E31C599" w:rsidP="65AB8273" w:rsidRDefault="5E31C599" w14:paraId="380D17F9" w14:textId="3755C0D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As caregiver the aspirations and expectations we set children require certain habit and skill, and it was Bronfenbrenner’s (1978) core belief that environment is crucial to a child’s acquisition of these necessary skills. Proof that environment is key to learning can be drawn from the results of Pavlov’s inquiry into classical conditioning, and more</w:t>
      </w:r>
      <w:r w:rsidRPr="65AB8273"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so into the analysis of the oversights of the initial experiment (Wolpe &amp; Plaud, 1997). </w:t>
      </w:r>
    </w:p>
    <w:p w:rsidR="5E31C599" w:rsidP="65AB8273" w:rsidRDefault="5E31C599" w14:paraId="7D6DEAB1" w14:textId="7F1BDE2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Classical conditioning, sometimes better known as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Pavlovian Conditioning</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was first conceptualised by Pavlov (Wolpe &amp; Plaud, 1997), and the term classical conditioning refers to a behavioural reaction demonstrated by an animal or human subject, when faced with an unconditioned stimulus which is then paired with a neutral stimulus, in order to create a conditioned response. An example would be children’s stomach rumbling (response) in anticipation of lunch, when they undertake the same activity (stimuli) in a lesson prior to lunch (Millacci, 2021). Implementation of a conditioned response is often referred to as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Pavlovian Conditioning</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due to the widespread recognition and success of Pavlov’s dog experiment which demonstrated how conditioning is an effective tool for learning.</w:t>
      </w:r>
    </w:p>
    <w:p w:rsidR="5E31C599" w:rsidP="65AB8273" w:rsidRDefault="5E31C599" w14:paraId="596C7204" w14:textId="4F66817C">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experiment was first published by Eroféeva (1912), a student of Pavlov's, in an investigation related to Pavlov’s theories on psychopathology and experimental neuroses. Eroféeva’s (1912) study revolved around administering a mild electric shock to a dog’s epidermis, before proceeding to present the dog with food. The experiment was repeated on multiple occasions upon the same subject in order to build a cognitive association between receiving the shock and then shortly after, being presented with food. </w:t>
      </w:r>
    </w:p>
    <w:p w:rsidR="5E31C599" w:rsidP="65AB8273" w:rsidRDefault="5E31C599" w14:paraId="63F3C7FB" w14:textId="0890C61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Results from the experiment demonstrated that if aversive conditioned stimuli are applied, in this case, an electric shock- then the typically defensive behaviours or reactions to the electric shock were negated by the subject, and instead replaced by a newly conditioned salivary response. From the findings of the experiment, the term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counterconditioning</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was coined and used to describe the paradigm between conditioning methods that were able to neutralise the consequences of aversive stimulation when coordinated with an appetitive response.</w:t>
      </w:r>
    </w:p>
    <w:p w:rsidR="65AB8273" w:rsidP="65AB8273" w:rsidRDefault="65AB8273" w14:paraId="0AA82908" w14:textId="496DCAB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65AB8273" w:rsidRDefault="5E31C599" w14:paraId="35AACC54" w14:textId="3ECEFA6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E31C599">
        <w:drawing>
          <wp:inline wp14:editId="158CCF4A" wp14:anchorId="1AA93DAD">
            <wp:extent cx="4572000" cy="3305175"/>
            <wp:effectExtent l="0" t="0" r="0" b="0"/>
            <wp:docPr id="196418316" name="" title=""/>
            <wp:cNvGraphicFramePr>
              <a:graphicFrameLocks noChangeAspect="1"/>
            </wp:cNvGraphicFramePr>
            <a:graphic>
              <a:graphicData uri="http://schemas.openxmlformats.org/drawingml/2006/picture">
                <pic:pic>
                  <pic:nvPicPr>
                    <pic:cNvPr id="0" name=""/>
                    <pic:cNvPicPr/>
                  </pic:nvPicPr>
                  <pic:blipFill>
                    <a:blip r:embed="Rcb0be42af0de4c4c">
                      <a:extLst>
                        <a:ext xmlns:a="http://schemas.openxmlformats.org/drawingml/2006/main" uri="{28A0092B-C50C-407E-A947-70E740481C1C}">
                          <a14:useLocalDpi val="0"/>
                        </a:ext>
                      </a:extLst>
                    </a:blip>
                    <a:stretch>
                      <a:fillRect/>
                    </a:stretch>
                  </pic:blipFill>
                  <pic:spPr>
                    <a:xfrm>
                      <a:off x="0" y="0"/>
                      <a:ext cx="4572000" cy="3305175"/>
                    </a:xfrm>
                    <a:prstGeom prst="rect">
                      <a:avLst/>
                    </a:prstGeom>
                  </pic:spPr>
                </pic:pic>
              </a:graphicData>
            </a:graphic>
          </wp:inline>
        </w:drawing>
      </w:r>
    </w:p>
    <w:p w:rsidR="5E31C599" w:rsidP="65AB8273" w:rsidRDefault="5E31C599" w14:paraId="09BF524E" w14:textId="4CF108FD">
      <w:pPr>
        <w:spacing w:after="160" w:line="259" w:lineRule="auto"/>
        <w:ind w:left="2160"/>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Misportraying Pavlov's apparatus Goodwin (1991).</w:t>
      </w:r>
    </w:p>
    <w:p w:rsidR="65AB8273" w:rsidP="65AB8273" w:rsidRDefault="65AB8273" w14:paraId="2896012D" w14:textId="386A3B1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E31C599" w:rsidP="65AB8273" w:rsidRDefault="5E31C599" w14:paraId="01AF144F" w14:textId="4718563A">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Additionally, further experiments were carried out on the same subject but introduced the variable of changing the location of where the electric shock was administered onto the subject’s body. These later experiments produced no salivary response from the subject, and the aforementioned conditioned response was not recorded, which would suggest that conditioning practice had been an effective method to produce a particular desired behaviour. </w:t>
      </w:r>
    </w:p>
    <w:p w:rsidR="5E31C599" w:rsidP="65AB8273" w:rsidRDefault="5E31C599" w14:paraId="55420DE0" w14:textId="5912AC3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significance of these findings is cemented Pavlov’s (1927) legacy in the research of behaviour therapy and laid the groundwork for further expansion into the study of modern behaviour therapy. The work of Pavlov (1927) was incredibly influential to Skinner (1935) and the development of his own research. </w:t>
      </w:r>
    </w:p>
    <w:p w:rsidR="5E31C599" w:rsidP="65AB8273" w:rsidRDefault="5E31C599" w14:paraId="16B45C07" w14:textId="2F4106E5">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Skinner (1935) cited Pavlov (1927) and his books as the foundation which had prepared him for a career in psychology (Skinner, 1979). Skinner’s work however diverged from Pavlov’s in a crucial way, as Skinner exposed the primacy in Eroféeva’s (1912) study, as the postulation that the subject’s reaction was isolated to only the circumstances of the experiment, as the only stimuli that Eroféeva (1912) was recording was salivation, which is an involuntary behaviour of the subject. </w:t>
      </w:r>
    </w:p>
    <w:p w:rsidR="5E31C599" w:rsidP="65AB8273" w:rsidRDefault="5E31C599" w14:paraId="210F2D04" w14:textId="52703A83">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Where Skinner (1935) sought to differentiate himself from Pavlov (1927) in his own investigations, was by searching for the association between a voluntary action from the subject to cause consequence, as opposed to associating an involuntary behaviour with stimuli. This differentiation was labelled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Operant Conditioning’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by Skinner (1935), as it was dependent on the application of positive reinforcement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or</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positive punishment after the demonstration of a particular behaviour by the subject.</w:t>
      </w:r>
    </w:p>
    <w:p w:rsidR="5E31C599" w:rsidP="65AB8273" w:rsidRDefault="5E31C599" w14:paraId="3D3B67FA" w14:textId="3ECCC0D3">
      <w:pPr>
        <w:spacing w:after="160" w:line="259" w:lineRule="auto"/>
        <w:rPr>
          <w:rFonts w:ascii="Arial" w:hAnsi="Arial" w:eastAsia="Arial" w:cs="Arial"/>
          <w:b w:val="0"/>
          <w:bCs w:val="0"/>
          <w:i w:val="0"/>
          <w:iCs w:val="0"/>
          <w:caps w:val="0"/>
          <w:smallCaps w:val="0"/>
          <w:noProof w:val="0"/>
          <w:color w:val="3A3A3A"/>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Positive reinforcement refers to a stimuli that can be considered a reward for the subject in question being added as a consequence of their behaviour, whereas positive punishment refers to the addition of an unpleasant stimuli as a consequence of the subject’s behaviour. (</w:t>
      </w:r>
      <w:r w:rsidRPr="65AB8273" w:rsidR="5E31C599">
        <w:rPr>
          <w:rFonts w:ascii="Arial" w:hAnsi="Arial" w:eastAsia="Arial" w:cs="Arial"/>
          <w:b w:val="0"/>
          <w:bCs w:val="0"/>
          <w:i w:val="0"/>
          <w:iCs w:val="0"/>
          <w:caps w:val="0"/>
          <w:smallCaps w:val="0"/>
          <w:noProof w:val="0"/>
          <w:color w:val="3A3A3A"/>
          <w:sz w:val="24"/>
          <w:szCs w:val="24"/>
          <w:lang w:val="en-GB"/>
        </w:rPr>
        <w:t>Catania &amp; Laties,1999)</w:t>
      </w:r>
    </w:p>
    <w:p w:rsidR="5E31C599" w:rsidP="65AB8273" w:rsidRDefault="5E31C599" w14:paraId="71208EAA" w14:textId="5B044D8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In Skinner’s (1935) own experiments, he tested his theories on rodents in an operant chamber or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‘Skinner box’</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The box was fitted with a component dependent on subject interaction, in this case, a button was fitted to the operant chamber that the rat could press in order to release a positive reinforcer, which for the purpose of this experiment was food. Failure to manipulate the button would result in a small electric shock, an example of positive punishment. </w:t>
      </w:r>
    </w:p>
    <w:p w:rsidR="5E31C599" w:rsidP="65AB8273" w:rsidRDefault="5E31C599" w14:paraId="0752C257" w14:textId="1B209A3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This is a critical difference between the work of Pavlov and Skinner, as the apparatus requires conditioning within a particular environment, differentiating itself from classical conditioning to operant conditioning. </w:t>
      </w:r>
    </w:p>
    <w:p w:rsidR="5E31C599" w:rsidP="65AB8273" w:rsidRDefault="5E31C599" w14:paraId="577408CE" w14:textId="63D77DE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This difference also highlights the importance of Bronfenbrenner’s (1978) Ecological Systems theory as it introduces the necessity of monitoring a comparative perspective such as environment. In a natural setting a rat would not typically press a light switch as their main means of sourcing food, such as a dog would not be required to withstand an electrical shock to gratify their hunger, but for the purposes of the experiments this environment was deemed most appropriate. </w:t>
      </w:r>
    </w:p>
    <w:p w:rsidR="5E31C599" w:rsidP="65AB8273" w:rsidRDefault="5E31C599" w14:paraId="39FAEF19" w14:textId="72C96A89">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Bronfenbrenner (1978) had himself been critical of purely lab-based research, as the setting is often one unfamiliar to the subject, which gave Bronfenbrenner a case for questioning the validity of results from experiments carried out in unfamiliar environments. </w:t>
      </w:r>
    </w:p>
    <w:p w:rsidR="5E31C599" w:rsidP="65AB8273" w:rsidRDefault="5E31C599" w14:paraId="4741B7FD" w14:textId="65555A2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The experiment was also dependent on the postulation that the subjects would strengthen their skills through their operant shaping, and this assumption was proven by the outcomes of the investigation. Skinner had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found a process of conditioning that was different from Pavlov’s and much more like most learning in daily life</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(Skinner, 1979). It is because of Skinner’s study into operant shaping and learning processes that it is now understood just how integral they are to the acquisition of knowledge, skills and socialization in childhood development. </w:t>
      </w:r>
    </w:p>
    <w:p w:rsidR="65AB8273" w:rsidP="65AB8273" w:rsidRDefault="65AB8273" w14:paraId="1DAD27AD" w14:textId="20B2FA9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65AB8273" w:rsidRDefault="5E31C599" w14:paraId="3B91B624" w14:textId="37B39B49">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1"/>
          <w:bCs w:val="1"/>
          <w:i w:val="1"/>
          <w:iCs w:val="1"/>
          <w:caps w:val="0"/>
          <w:smallCaps w:val="0"/>
          <w:strike w:val="0"/>
          <w:dstrike w:val="0"/>
          <w:noProof w:val="0"/>
          <w:color w:val="000000" w:themeColor="text1" w:themeTint="FF" w:themeShade="FF"/>
          <w:sz w:val="24"/>
          <w:szCs w:val="24"/>
          <w:u w:val="single"/>
          <w:lang w:val="en-GB"/>
        </w:rPr>
        <w:t>Evaluation</w:t>
      </w:r>
    </w:p>
    <w:p w:rsidR="5E31C599" w:rsidP="65AB8273" w:rsidRDefault="5E31C599" w14:paraId="7F0FE2F3" w14:textId="5D9787D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Through cross validation of both my critical incident observation and theoretical literature, I am able to recognise the importance of reflective practice as outlined by scholars such as Dewey (1933) and Brookfield (2011). Writing my own findings has forced me to think introspectively about the critical incident that I had witnessed and consider how cogent knowledge derived from the literature of theorists can be informative tools that may help me to manipulate future critical incidents in my own practice in a way that is evidence lead.</w:t>
      </w:r>
    </w:p>
    <w:p w:rsidR="5E31C599" w:rsidP="65AB8273" w:rsidRDefault="5E31C599" w14:paraId="2B679F87" w14:textId="346874E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I believe that the critical incident I observed was an undeniable example of effective behavioural conditioning. The form of conditioning observed was operant, as opposed to classical, as the practice sought to encourage voluntary behaviour and was dependant on factors such as reinforcers and punishment. In the example I had witnessed the stimuli for operant behaviour was Teacher X’s raised hand, paired with praise as a form of positive reinforcement if the desired behaviour was demonstrated. Alternatively, if the desired behaviour was not demonstrated by the pupils, they would be subject to criticism or discipline, as a means of negative punishment.</w:t>
      </w:r>
    </w:p>
    <w:p w:rsidR="5E31C599" w:rsidP="65AB8273" w:rsidRDefault="5E31C599" w14:paraId="4C7A0112" w14:textId="6C07DD2C">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The consequences of failing to comply with Teacher X’s command, both negative and positive were well understood by all pupils in the class and would support the claims of Gewirtz and Peláez-Nogueras (1992), who in their synopsis of Skinner’s (1935) legacy described operant shaping and conditioned learning processes as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central to an understanding of the acquisition of skills and socialisation in human infancy and childhood” .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However, Gewirtz and Peláez-Nogueras (1992) also explained how proper analysis of operant conditioning had to consider the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complexity of the controlling environment” </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and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contextual variables involved in their interplay in interactions” </w:t>
      </w:r>
    </w:p>
    <w:p w:rsidR="5E31C599" w:rsidP="65AB8273" w:rsidRDefault="5E31C599" w14:paraId="07F055C2" w14:textId="330FB1FE">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Understanding contextual variables is crucial when analysing the behaviour witnessed within my critical incident. Classroom noise levels were more difficult to control for Teacher Y as they were unaware of the hand-raising practice regularly implemented by Teacher X. This is no fault of Teacher Y or their own particular practice, but instead an example of how the pupils had learnt the importance of being quiet when instructed, but not without the context of the operant conditioning process implemented by Teacher X. </w:t>
      </w:r>
    </w:p>
    <w:p w:rsidR="5E31C599" w:rsidP="65AB8273" w:rsidRDefault="5E31C599" w14:paraId="68FBF283" w14:textId="4EF71903">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An argument could be made for the beliefs of Bronfenbrenner (1978) also being at play here. Due to the next of Teacher Y’s work as a peripatetic teacher, they would have far less exposure to the students than that of their full-time teacher, Teacher X. This would call into question the stability of Teacher Y’s relationship with the pupils in comparison to Teacher X, as they have been afforded far less time not only to build relationships with the class, but also familiarise themselves with the school and its existing processes for behaviour management. </w:t>
      </w:r>
    </w:p>
    <w:p w:rsidR="5E31C599" w:rsidP="65AB8273" w:rsidRDefault="5E31C599" w14:paraId="5AE548FE" w14:textId="3AD8801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It would also reinforce the validity of Tripp’s (2011) insistence on the use of diagnostic teaching as a reflective tool in order to “</w:t>
      </w:r>
      <w:r w:rsidRPr="65AB8273" w:rsidR="5E31C599">
        <w:rPr>
          <w:rFonts w:ascii="ArialMT" w:hAnsi="ArialMT" w:eastAsia="ArialMT" w:cs="ArialMT"/>
          <w:b w:val="0"/>
          <w:bCs w:val="0"/>
          <w:i w:val="1"/>
          <w:iCs w:val="1"/>
          <w:caps w:val="0"/>
          <w:smallCaps w:val="0"/>
          <w:noProof w:val="0"/>
          <w:color w:val="000000" w:themeColor="text1" w:themeTint="FF" w:themeShade="FF"/>
          <w:sz w:val="24"/>
          <w:szCs w:val="24"/>
          <w:lang w:val="en-GB"/>
        </w:rPr>
        <w:t>produce expert interpretations upon which to base and justify their professional judgements</w:t>
      </w: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w:t>
      </w:r>
    </w:p>
    <w:p w:rsidR="5E31C599" w:rsidP="65AB8273" w:rsidRDefault="5E31C599" w14:paraId="16352EE4" w14:textId="03E60EB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It is with these words from Tripp (2011) that I would like to draw this piece to conclusion, as throughout my own short time as a student teacher I am able to appreciate the value of having an existing knowledge through trial and error to inform future practice. </w:t>
      </w:r>
    </w:p>
    <w:p w:rsidR="5E31C599" w:rsidP="65AB8273" w:rsidRDefault="5E31C599" w14:paraId="6A6DDC32" w14:textId="0352CE0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1"/>
          <w:bCs w:val="1"/>
          <w:i w:val="1"/>
          <w:iCs w:val="1"/>
          <w:caps w:val="0"/>
          <w:smallCaps w:val="0"/>
          <w:strike w:val="0"/>
          <w:dstrike w:val="0"/>
          <w:noProof w:val="0"/>
          <w:color w:val="000000" w:themeColor="text1" w:themeTint="FF" w:themeShade="FF"/>
          <w:sz w:val="24"/>
          <w:szCs w:val="24"/>
          <w:u w:val="single"/>
          <w:lang w:val="en-GB"/>
        </w:rPr>
        <w:t>Conclusion</w:t>
      </w:r>
    </w:p>
    <w:p w:rsidR="5E31C599" w:rsidP="65AB8273" w:rsidRDefault="5E31C599" w14:paraId="0053D013" w14:textId="3A471F3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Welsh Assembly Government (2021) have set out professional standards for teaching &amp; leading within Wales, and to support the use of reflection within personal professional development. I have demonstrated a commitment to these aims throughout this work by carrying out my own observation and using theoretical literature to validate assumptions regarding teaching and leading, as well as gain cogent language to accurately describe what theories I have witnessed. </w:t>
      </w:r>
    </w:p>
    <w:p w:rsidR="5E31C599" w:rsidP="65AB8273" w:rsidRDefault="5E31C599" w14:paraId="4F97D052" w14:textId="4639363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Reflective practice has long been recognised as an important skill for assisting the development of professional practice through an analysis of personal experience within a practice setting (Barthes, 1973; Brookfield, 2011; Dewey, 1933; Donaldson, 2016; Tripp, 2011; Schön, 1983). </w:t>
      </w:r>
    </w:p>
    <w:p w:rsidR="5E31C599" w:rsidP="65AB8273" w:rsidRDefault="5E31C599" w14:paraId="077AAA3D" w14:textId="751176C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Donaldson (2016) prepared the report which informed the Welsh Assembly Government’s approach to the development of a framework to be implemented throughout Wales to foster an environment where continuous professional development and life-long learning are able to thrive.</w:t>
      </w:r>
    </w:p>
    <w:p w:rsidR="5E31C599" w:rsidP="65AB8273" w:rsidRDefault="5E31C599" w14:paraId="38D34009" w14:textId="56951F26">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Reflective practice is a key component of this framework (Donaldson, 2016; WAG, 2021) and is widely accepted as best practice for all teachers from novice level to expert practitioner as development and improvement can and should occur at any stage of a teacher’s career, a recognition of life-long development. </w:t>
      </w:r>
    </w:p>
    <w:p w:rsidR="5E31C599" w:rsidP="65AB8273" w:rsidRDefault="5E31C599" w14:paraId="5F830937" w14:textId="5CA0599C">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Similarly, I understand the importance of self-reflection and why it is vital in order to build a wealth of knowledgeable experience that can inform the justification of my own professional judgements and will continue to make use reflections throughout my career as a part of my continuous professional development and in adherence with Donaldson’s (2011) pedagogical principles. </w:t>
      </w:r>
    </w:p>
    <w:p w:rsidR="65AB8273" w:rsidP="65AB8273" w:rsidRDefault="65AB8273" w14:paraId="66E204D6" w14:textId="066AAB2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7BB546B1" w14:textId="194D64AB">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34B15258" w14:textId="381BC99C">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39948086" w14:textId="6EBD23F7">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0149E86D" w14:textId="622D6A85">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5A8A5810" w14:textId="070553BA">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04080986" w14:textId="54D0E4EA">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661C9230" w14:textId="45C63022">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20BB20D7" w14:textId="0AE82864">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74943958" w14:textId="07C1E4C0">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69947ECF" w14:textId="6C2B95DB">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007F2910" w14:textId="6284CE38">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668074AE" w14:textId="14DDE65E">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126A75C2" w14:textId="4EF6A7F0">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71B1188A" w14:textId="2CFA02F9">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2882E9A4" w14:textId="152EFAF7">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3DB7D343" w14:textId="68A44511">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65AB8273" w:rsidP="65AB8273" w:rsidRDefault="65AB8273" w14:paraId="3306FAEB" w14:textId="1760419E">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65AB8273" w:rsidRDefault="5E31C599" w14:paraId="2B384201" w14:textId="30950E5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65AB8273" w:rsidR="5E31C599">
        <w:rPr>
          <w:rFonts w:ascii="ArialMT" w:hAnsi="ArialMT" w:eastAsia="ArialMT" w:cs="ArialMT"/>
          <w:b w:val="1"/>
          <w:bCs w:val="1"/>
          <w:i w:val="1"/>
          <w:iCs w:val="1"/>
          <w:caps w:val="0"/>
          <w:smallCaps w:val="0"/>
          <w:strike w:val="0"/>
          <w:dstrike w:val="0"/>
          <w:noProof w:val="0"/>
          <w:color w:val="000000" w:themeColor="text1" w:themeTint="FF" w:themeShade="FF"/>
          <w:sz w:val="24"/>
          <w:szCs w:val="24"/>
          <w:u w:val="single"/>
          <w:lang w:val="en-GB"/>
        </w:rPr>
        <w:t>References.</w:t>
      </w:r>
    </w:p>
    <w:p w:rsidR="36AED924" w:rsidP="65AB8273" w:rsidRDefault="36AED924" w14:paraId="3C11E7AE" w14:textId="7987489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BERA (2018) Ethical Guidelines for Educational Research fourth edition. Accessed at </w:t>
      </w:r>
      <w:r w:rsidRPr="65AB8273" w:rsidR="36AED924">
        <w:rPr>
          <w:rFonts w:ascii="Arial" w:hAnsi="Arial" w:eastAsia="Arial" w:cs="Arial"/>
          <w:b w:val="0"/>
          <w:bCs w:val="0"/>
          <w:i w:val="0"/>
          <w:iCs w:val="0"/>
          <w:caps w:val="0"/>
          <w:smallCaps w:val="0"/>
          <w:noProof w:val="0"/>
          <w:sz w:val="20"/>
          <w:szCs w:val="20"/>
          <w:lang w:val="en-GB"/>
        </w:rPr>
        <w:t>https://www.bera.ac.uk/publication/ethical-guidelines-for-educational-research-2018</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36AED924" w:rsidP="65AB8273" w:rsidRDefault="36AED924" w14:paraId="39C24B77" w14:textId="4CE1364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eop"/>
          <w:rFonts w:ascii="Arial" w:hAnsi="Arial" w:eastAsia="Arial" w:cs="Arial"/>
          <w:b w:val="0"/>
          <w:bCs w:val="0"/>
          <w:i w:val="0"/>
          <w:iCs w:val="0"/>
          <w:caps w:val="0"/>
          <w:smallCaps w:val="0"/>
          <w:noProof w:val="0"/>
          <w:color w:val="000000" w:themeColor="text1" w:themeTint="FF" w:themeShade="FF"/>
          <w:sz w:val="20"/>
          <w:szCs w:val="20"/>
          <w:lang w:val="en-GB"/>
        </w:rPr>
        <w:t> </w:t>
      </w:r>
    </w:p>
    <w:p w:rsidR="36AED924" w:rsidP="65AB8273" w:rsidRDefault="36AED924" w14:paraId="71DBAA8E" w14:textId="49CACEA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Bronfenbrenner, U., 1978. The social role of the child in ecological perspective/Die soziale Rolle des Kindes in ökologischer Perspektive.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Zeitschrift für Soziologie</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7</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pp.4-20. </w:t>
      </w:r>
    </w:p>
    <w:p w:rsidR="65AB8273" w:rsidP="65AB8273" w:rsidRDefault="65AB8273" w14:paraId="45646864" w14:textId="4975D3F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65AB8273" w:rsidP="65AB8273" w:rsidRDefault="65AB8273" w14:paraId="686E8465" w14:textId="10E01F4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61554502" w14:textId="10DE57B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Bronfenbrenner, U., 1979.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ecology of human development: Experiments by nature and design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Harvard university press. </w:t>
      </w:r>
    </w:p>
    <w:p w:rsidR="65AB8273" w:rsidP="65AB8273" w:rsidRDefault="65AB8273" w14:paraId="787334BB" w14:textId="1FC3B727">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26C3CAA1" w14:textId="5425C7B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Bronfenbrenner. (1996).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ecology of human development experiments by nature and design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Harvard University Press. </w:t>
      </w:r>
    </w:p>
    <w:p w:rsidR="65AB8273" w:rsidP="65AB8273" w:rsidRDefault="65AB8273" w14:paraId="6BED015B" w14:textId="09F83E6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2F0C8E76" w14:textId="07FA8EF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Brookfield, S.D., 2000. The concept of critically reflective practice.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Handbook of adult and continuing education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2</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pp.33-49. </w:t>
      </w:r>
    </w:p>
    <w:p w:rsidR="65AB8273" w:rsidP="65AB8273" w:rsidRDefault="65AB8273" w14:paraId="1B80DC5B" w14:textId="389B2E5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6B24FCDB" w14:textId="1398135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Brookfield, S.D., 2017.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Becoming a critically reflective teacher</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John Wiley &amp; Sons. </w:t>
      </w:r>
    </w:p>
    <w:p w:rsidR="65AB8273" w:rsidP="65AB8273" w:rsidRDefault="65AB8273" w14:paraId="5DAE533F" w14:textId="1E2A6DC1">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65AB8273" w:rsidRDefault="36AED924" w14:paraId="10EB7D5E" w14:textId="45719C9B">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Catania, A.C. and Laties, V.G., 1999. Pavlov and Skinner: Two lives in science (An introduction to BF Skinner's “some responses to the stimulus ‘Pavlov’”).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the Experimental Analysis of Behavior</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72</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(3), pp.455-461. </w:t>
      </w:r>
    </w:p>
    <w:p w:rsidR="65AB8273" w:rsidP="65AB8273" w:rsidRDefault="65AB8273" w14:paraId="35BBD79A" w14:textId="14687C5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0EBA1493" w14:textId="6D754AD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Donaldson, G., 2016. A systematic approach to curriculum reform in Wales. </w:t>
      </w:r>
      <w:proofErr w:type="spellStart"/>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Cylchgrawn</w:t>
      </w:r>
      <w:proofErr w:type="spellEnd"/>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w:t>
      </w:r>
      <w:proofErr w:type="spellStart"/>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Addysg</w:t>
      </w:r>
      <w:proofErr w:type="spellEnd"/>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Cymru/Wales Journal of Education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18</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pp.7-20. </w:t>
      </w:r>
    </w:p>
    <w:p w:rsidR="65AB8273" w:rsidP="65AB8273" w:rsidRDefault="65AB8273" w14:paraId="2801870D" w14:textId="30F62A2A">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65AB8273" w:rsidRDefault="36AED924" w14:paraId="30E162F7" w14:textId="48E8A50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Eliahoo, R., 2016. An analysis of beginning mentors’ critical incidents in English post-compulsory education: navigating stormy waters.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International Journal of Mentoring and Coaching in Education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p>
    <w:p w:rsidR="65AB8273" w:rsidP="65AB8273" w:rsidRDefault="65AB8273" w14:paraId="3DAEF112" w14:textId="2B64D7E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38D4E332" w14:textId="03420C5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ESTYN (2022) Accessed at </w:t>
      </w:r>
      <w:r w:rsidRPr="65AB8273" w:rsidR="36AED924">
        <w:rPr>
          <w:rFonts w:ascii="Arial" w:hAnsi="Arial" w:eastAsia="Arial" w:cs="Arial"/>
          <w:b w:val="0"/>
          <w:bCs w:val="0"/>
          <w:i w:val="0"/>
          <w:iCs w:val="0"/>
          <w:caps w:val="0"/>
          <w:smallCaps w:val="0"/>
          <w:noProof w:val="0"/>
          <w:sz w:val="20"/>
          <w:szCs w:val="20"/>
          <w:lang w:val="en-GB"/>
        </w:rPr>
        <w:t>https://www.estyn.gov.wales/</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65AB8273" w:rsidP="65AB8273" w:rsidRDefault="65AB8273" w14:paraId="15A30F2A" w14:textId="1934002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4CBFEBA9" w14:textId="79B8493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Farrell, T.S., 2012. Reflecting on Reflective Practice:(Re) Visiting Dewey and Schon.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Tesol Journal</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3</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pp.7-16. </w:t>
      </w:r>
    </w:p>
    <w:p w:rsidR="65AB8273" w:rsidP="65AB8273" w:rsidRDefault="65AB8273" w14:paraId="653FB785" w14:textId="6A1D194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1D97AFE6" w14:textId="5CFEF5A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Farrell, T.S., 2018. Operationalizing reflective practice in second language teacher education.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Second Language Teacher Education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pp.1-20. </w:t>
      </w:r>
    </w:p>
    <w:p w:rsidR="65AB8273" w:rsidP="65AB8273" w:rsidRDefault="65AB8273" w14:paraId="0A72DAB3" w14:textId="356A247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56824468" w14:textId="31BCB93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Fergeus, J., Humphreys, C., Harvey, C. and Herrman, H., 2019. The needs of carers: applying a hierarchy of needs to a foster and kinship care context.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Adoption &amp; Fostering</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43</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(2), pp.155-168. </w:t>
      </w:r>
    </w:p>
    <w:p w:rsidR="65AB8273" w:rsidP="65AB8273" w:rsidRDefault="65AB8273" w14:paraId="7E680AAC" w14:textId="2FFC32E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383F7F1E" w14:textId="474F1D8E">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Gewirtz, J.L. and Pelaez-Nogueras, M., 1992. BF Skinner's legacy in human infant behavior and development.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American Psychologist</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47</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(11), p.1411. </w:t>
      </w:r>
    </w:p>
    <w:p w:rsidR="65AB8273" w:rsidP="65AB8273" w:rsidRDefault="65AB8273" w14:paraId="07AE35C8" w14:textId="7985816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2C1430A3" w14:textId="0DD9FFC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Glenn, S.S., Ellis, J. and Greenspoon, J., 1992. On the revolutionary nature of the operant as a unit of behavioral selection.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American Psychologist</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47</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(11), p.1329. </w:t>
      </w:r>
    </w:p>
    <w:p w:rsidR="65AB8273" w:rsidP="65AB8273" w:rsidRDefault="65AB8273" w14:paraId="34766E31" w14:textId="1E362EF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5649FA82" w14:textId="6062565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Goodwin, C.J., 1991. Misportraying Pavlov's apparatus.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American journal of psychology</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pp.135-141. </w:t>
      </w:r>
    </w:p>
    <w:p w:rsidR="65AB8273" w:rsidP="65AB8273" w:rsidRDefault="65AB8273" w14:paraId="0D4E2450" w14:textId="63A8C32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3DCE2CD4" w14:textId="3E52337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Guy-Evans, O., 2020. Bronfenbrenner's ecological systems theory. </w:t>
      </w:r>
      <w:r w:rsidRPr="65AB8273" w:rsidR="36AED924">
        <w:rPr>
          <w:rFonts w:ascii="Arial" w:hAnsi="Arial" w:eastAsia="Arial" w:cs="Arial"/>
          <w:b w:val="0"/>
          <w:bCs w:val="0"/>
          <w:i w:val="1"/>
          <w:iCs w:val="1"/>
          <w:caps w:val="0"/>
          <w:smallCaps w:val="0"/>
          <w:noProof w:val="0"/>
          <w:sz w:val="20"/>
          <w:szCs w:val="20"/>
          <w:lang w:val="en-GB"/>
        </w:rPr>
        <w:t>https://www</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w:t>
      </w:r>
      <w:proofErr w:type="spellStart"/>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simplypsychology</w:t>
      </w:r>
      <w:proofErr w:type="spellEnd"/>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org/Bronfenbrenner. Html</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p>
    <w:p w:rsidR="65AB8273" w:rsidP="65AB8273" w:rsidRDefault="65AB8273" w14:paraId="4DE7D8F0" w14:textId="6D50FE3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7652853B" w14:textId="5F95654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Koltko-Rivera, M.E., 2006. Rediscovering the later version of Maslow's hierarchy of needs: Self-transcendence and opportunities for theory, research, and unification.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Review of general psychology</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10</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(4), pp.302-317. </w:t>
      </w:r>
    </w:p>
    <w:p w:rsidR="65AB8273" w:rsidP="65AB8273" w:rsidRDefault="65AB8273" w14:paraId="03835200" w14:textId="4314EFC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45CCDCAF" w14:textId="10E7B10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Korthagen, F., 2001. A reflection on reflection. In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Linking practice and theory</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(pp. 67-84). Routledge. </w:t>
      </w:r>
    </w:p>
    <w:p w:rsidR="65AB8273" w:rsidP="65AB8273" w:rsidRDefault="65AB8273" w14:paraId="48D4D972" w14:textId="73CEFB10">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3BD5572A" w14:textId="089747C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Leeder, T.M., 2022. Behaviorism, Skinner, and Operant Conditioning: Considerations for Sport Coaching Practice.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Strategies</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35</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(3), pp.27-32. </w:t>
      </w:r>
    </w:p>
    <w:p w:rsidR="65AB8273" w:rsidP="65AB8273" w:rsidRDefault="65AB8273" w14:paraId="18FE0ABB" w14:textId="080C10D7">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1E00E75C" w14:textId="550B499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Maslow, A. H. (1943). A theory of human motivation.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Psychological Review, 50(4), 370-96.</w:t>
      </w:r>
      <w:r w:rsidRPr="65AB8273" w:rsidR="36AED924">
        <w:rPr>
          <w:rStyle w:val="xeop"/>
          <w:rFonts w:ascii="Arial" w:hAnsi="Arial" w:eastAsia="Arial" w:cs="Arial"/>
          <w:b w:val="0"/>
          <w:bCs w:val="0"/>
          <w:i w:val="0"/>
          <w:iCs w:val="0"/>
          <w:caps w:val="0"/>
          <w:smallCaps w:val="0"/>
          <w:noProof w:val="0"/>
          <w:color w:val="000000" w:themeColor="text1" w:themeTint="FF" w:themeShade="FF"/>
          <w:sz w:val="20"/>
          <w:szCs w:val="20"/>
          <w:lang w:val="en-GB"/>
        </w:rPr>
        <w:t> </w:t>
      </w:r>
    </w:p>
    <w:p w:rsidR="65AB8273" w:rsidP="65AB8273" w:rsidRDefault="65AB8273" w14:paraId="17B8CE40" w14:textId="3CDB1F2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65AB8273" w:rsidP="65AB8273" w:rsidRDefault="65AB8273" w14:paraId="739EA4EC" w14:textId="4CCADE8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43F49215" w14:textId="484F84B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Maslow, A.H., 2000. A theory of human motivation.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Classics in Management Thought-Edward Elgar Publishing</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p.450. </w:t>
      </w:r>
    </w:p>
    <w:p w:rsidR="65AB8273" w:rsidP="65AB8273" w:rsidRDefault="65AB8273" w14:paraId="5E3F4D77" w14:textId="4D71092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04FC1019" w14:textId="2CF518C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Millacci, T.S. 2021.  Classical Conditioning Learning Theory: 4 Classroom Examples </w:t>
      </w:r>
    </w:p>
    <w:p w:rsidR="36AED924" w:rsidP="65AB8273" w:rsidRDefault="36AED924" w14:paraId="2824EA57" w14:textId="2C9DBBCB">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No: 086/2010.  Cardiff. WAG </w:t>
      </w:r>
    </w:p>
    <w:p w:rsidR="65AB8273" w:rsidP="65AB8273" w:rsidRDefault="65AB8273" w14:paraId="03A912D9" w14:textId="6C19524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60094047" w14:textId="69AB3EA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O'Donohue, W. and Ferguson, K.E., 2001.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psychology of BF Skinner</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Sage. </w:t>
      </w:r>
    </w:p>
    <w:p w:rsidR="36AED924" w:rsidP="65AB8273" w:rsidRDefault="36AED924" w14:paraId="47472DED" w14:textId="1046EA1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Original ref for 4 lenses is:-  Brookfield, S. (1995)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Becoming a Critically Reflective Teache</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r. San-Francisco: Jossey-Bass. </w:t>
      </w:r>
    </w:p>
    <w:p w:rsidR="65AB8273" w:rsidP="65AB8273" w:rsidRDefault="65AB8273" w14:paraId="46E242FA" w14:textId="6C50E78E">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1D386AA7" w14:textId="33969A97">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Pavlov, I. P. (1927). Conditioned reflexes (G. V. Anrep, Trans.). London: Oxford University Press.  </w:t>
      </w:r>
    </w:p>
    <w:p w:rsidR="36AED924" w:rsidP="65AB8273" w:rsidRDefault="36AED924" w14:paraId="2F4FBE96" w14:textId="5761742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Rosa, E.M. and Tudge, J., 2013. Urie Bronfenbrenner's theory of human development: Its evolution from ecology to bioecology.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family theory &amp; review</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5</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(4), pp.243-258. </w:t>
      </w:r>
    </w:p>
    <w:p w:rsidR="65AB8273" w:rsidP="65AB8273" w:rsidRDefault="65AB8273" w14:paraId="787F4AD7" w14:textId="29668D2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6F9E399F" w14:textId="1BA857C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Schön D. A., (1983).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reflective practitioner: how professionals think in action</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Aldershot: Avebury. </w:t>
      </w:r>
    </w:p>
    <w:p w:rsidR="36AED924" w:rsidP="65AB8273" w:rsidRDefault="36AED924" w14:paraId="0E1056AA" w14:textId="071DCC6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Singh, P., Rowan, L., &amp; Allen, J. (2019). Reflection, research and teacher education. Asia-Pacific Journal of Teacher Education, 47(5), 455-459 </w:t>
      </w:r>
    </w:p>
    <w:p w:rsidR="65AB8273" w:rsidP="65AB8273" w:rsidRDefault="65AB8273" w14:paraId="76C4E93A" w14:textId="2D78ABB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7E1C1C49" w14:textId="5FDB112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Skinner, B. F. (1935). The generic nature of the concepts of stimulus and response.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General Psychology, 12, </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40-65.  </w:t>
      </w:r>
    </w:p>
    <w:p w:rsidR="65AB8273" w:rsidP="65AB8273" w:rsidRDefault="65AB8273" w14:paraId="3B583E1E" w14:textId="03AC144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2145CFB6" w14:textId="17C84E3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Tripp, D., 2011.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Critical incidents in teaching (classic edition): Developing professional judgement</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Routledge. </w:t>
      </w:r>
    </w:p>
    <w:p w:rsidR="65AB8273" w:rsidP="65AB8273" w:rsidRDefault="65AB8273" w14:paraId="580444CC" w14:textId="31B0C99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0754C6A2" w14:textId="76205B4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(2010</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Practical</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xml:space="preserve"> Approaches to Behaviour Management in the Classroom. Information document. </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Cardiff. WAG</w:t>
      </w:r>
      <w:r w:rsidRPr="65AB8273" w:rsidR="36AED924">
        <w:rPr>
          <w:rStyle w:val="xeop"/>
          <w:rFonts w:ascii="Arial" w:hAnsi="Arial" w:eastAsia="Arial" w:cs="Arial"/>
          <w:b w:val="0"/>
          <w:bCs w:val="0"/>
          <w:i w:val="1"/>
          <w:iCs w:val="1"/>
          <w:caps w:val="0"/>
          <w:smallCaps w:val="0"/>
          <w:noProof w:val="0"/>
          <w:color w:val="000000" w:themeColor="text1" w:themeTint="FF" w:themeShade="FF"/>
          <w:sz w:val="20"/>
          <w:szCs w:val="20"/>
          <w:lang w:val="en-GB"/>
        </w:rPr>
        <w:t> </w:t>
      </w:r>
    </w:p>
    <w:p w:rsidR="65AB8273" w:rsidP="65AB8273" w:rsidRDefault="65AB8273" w14:paraId="4AE6BA50" w14:textId="7B42BB9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36AED924" w:rsidP="65AB8273" w:rsidRDefault="36AED924" w14:paraId="1AE85CDF" w14:textId="0BFA4AB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2021).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National Strategy for Educational Research and Enquiry (NSERE): vision document. </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Cardiff. WAG </w:t>
      </w:r>
    </w:p>
    <w:p w:rsidR="65AB8273" w:rsidP="65AB8273" w:rsidRDefault="65AB8273" w14:paraId="7286D537" w14:textId="4904110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65AB8273" w:rsidRDefault="36AED924" w14:paraId="42891FA7" w14:textId="7F7670E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2022).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National Pedagogy Project. </w:t>
      </w:r>
      <w:r w:rsidRPr="65AB8273" w:rsidR="36AED924">
        <w:rPr>
          <w:rFonts w:ascii="Arial" w:hAnsi="Arial" w:eastAsia="Arial" w:cs="Arial"/>
          <w:b w:val="0"/>
          <w:bCs w:val="0"/>
          <w:i w:val="0"/>
          <w:iCs w:val="0"/>
          <w:caps w:val="0"/>
          <w:smallCaps w:val="0"/>
          <w:noProof w:val="0"/>
          <w:sz w:val="20"/>
          <w:szCs w:val="20"/>
          <w:lang w:val="en-GB"/>
        </w:rPr>
        <w:t>https://hwb.gov.wales/professional-development/national-pedagogy-project</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65AB8273" w:rsidP="65AB8273" w:rsidRDefault="65AB8273" w14:paraId="0122810D" w14:textId="04B2CE59">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65AB8273" w:rsidRDefault="36AED924" w14:paraId="467965C0" w14:textId="484A256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2022).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Pedagogy for professional learning. </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Accessed at </w:t>
      </w:r>
      <w:r w:rsidRPr="65AB8273" w:rsidR="36AED924">
        <w:rPr>
          <w:rFonts w:ascii="Arial" w:hAnsi="Arial" w:eastAsia="Arial" w:cs="Arial"/>
          <w:b w:val="0"/>
          <w:bCs w:val="0"/>
          <w:i w:val="0"/>
          <w:iCs w:val="0"/>
          <w:caps w:val="0"/>
          <w:smallCaps w:val="0"/>
          <w:noProof w:val="0"/>
          <w:sz w:val="20"/>
          <w:szCs w:val="20"/>
          <w:lang w:val="en-GB"/>
        </w:rPr>
        <w:t>https://hwb.gov.wales/professional-development/national-approach-to-professional-learning/pedagogy-for-professional-learning</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65AB8273" w:rsidP="65AB8273" w:rsidRDefault="65AB8273" w14:paraId="66FA5A34" w14:textId="48C7A1EB">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65AB8273" w:rsidRDefault="36AED924" w14:paraId="07A1C407" w14:textId="6262ACF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Accessed at </w:t>
      </w:r>
      <w:r w:rsidRPr="65AB8273" w:rsidR="36AED924">
        <w:rPr>
          <w:rFonts w:ascii="Arial" w:hAnsi="Arial" w:eastAsia="Arial" w:cs="Arial"/>
          <w:b w:val="0"/>
          <w:bCs w:val="0"/>
          <w:i w:val="0"/>
          <w:iCs w:val="0"/>
          <w:caps w:val="0"/>
          <w:smallCaps w:val="0"/>
          <w:noProof w:val="0"/>
          <w:sz w:val="20"/>
          <w:szCs w:val="20"/>
          <w:lang w:val="en-GB"/>
        </w:rPr>
        <w:t>https://positivepsychology.com/classical-conditioning-classroom-examples/#:~:text=Conditioning%20in%20the%20Classroom%3A%204%20Examples,-The%20last%20class&amp;text=Perhaps%20students%20have%20music%20class,associate%20music%20class%20with%20hunger</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6/11/2022. </w:t>
      </w:r>
    </w:p>
    <w:p w:rsidR="65AB8273" w:rsidP="65AB8273" w:rsidRDefault="65AB8273" w14:paraId="17259703" w14:textId="0227BA3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36AED924" w:rsidP="65AB8273" w:rsidRDefault="36AED924" w14:paraId="0A2F71A6" w14:textId="266A8FD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Williams, J., 2007. </w:t>
      </w:r>
      <w:bookmarkStart w:name="_Int_4Z9cuoO1" w:id="1982703369"/>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How</w:t>
      </w:r>
      <w:bookmarkEnd w:id="1982703369"/>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social myths about childhood, motherhood and medicine affect the detection of subtle developmental problems in young children.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Contemporary Nurse</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23</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(2), pp.274-287. </w:t>
      </w:r>
    </w:p>
    <w:p w:rsidR="36AED924" w:rsidP="65AB8273" w:rsidRDefault="36AED924" w14:paraId="1E797DC0" w14:textId="1FCCF01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Wolpe, J. and Plaud, J.J., 1997. Pavlov's contributions to behavior therapy: The obvious and the not so obvious.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American Psychologist</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65AB8273"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52</w:t>
      </w:r>
      <w:r w:rsidRPr="65AB8273"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(9), p.966. </w:t>
      </w:r>
    </w:p>
    <w:p w:rsidR="65AB8273" w:rsidP="65AB8273" w:rsidRDefault="65AB8273" w14:paraId="4157BA6B" w14:textId="439A339F">
      <w:pPr>
        <w:pStyle w:val="Normal"/>
      </w:pPr>
    </w:p>
    <w:sectPr>
      <w:pgSz w:w="11906" w:h="16838" w:orient="portrait"/>
      <w:pgMar w:top="1440" w:right="1440" w:bottom="1440" w:left="1440" w:header="720" w:footer="720" w:gutter="0"/>
      <w:cols w:space="720"/>
      <w:docGrid w:linePitch="360"/>
      <w:headerReference w:type="default" r:id="Rfa852ae8e0a0466f"/>
      <w:footerReference w:type="default" r:id="Re6ed7596156a4e6a"/>
      <w:titlePg w:val="1"/>
      <w:headerReference w:type="first" r:id="R92f589444f2f47e8"/>
      <w:footerReference w:type="first" r:id="Rd849b9b667a24b2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7F6716" w:rsidTr="65AB8273" w14:paraId="3EB34A2F">
      <w:tc>
        <w:tcPr>
          <w:tcW w:w="3005" w:type="dxa"/>
          <w:tcMar/>
        </w:tcPr>
        <w:p w:rsidR="147F6716" w:rsidP="147F6716" w:rsidRDefault="147F6716" w14:paraId="0A22A109" w14:textId="540F8AC1">
          <w:pPr>
            <w:pStyle w:val="Header"/>
            <w:bidi w:val="0"/>
            <w:ind w:left="-115"/>
            <w:jc w:val="left"/>
          </w:pPr>
        </w:p>
      </w:tc>
      <w:tc>
        <w:tcPr>
          <w:tcW w:w="3005" w:type="dxa"/>
          <w:tcMar/>
        </w:tcPr>
        <w:p w:rsidR="147F6716" w:rsidP="147F6716" w:rsidRDefault="147F6716" w14:paraId="0D842310" w14:textId="40B07D39">
          <w:pPr>
            <w:pStyle w:val="Header"/>
            <w:bidi w:val="0"/>
            <w:jc w:val="center"/>
          </w:pPr>
        </w:p>
      </w:tc>
      <w:tc>
        <w:tcPr>
          <w:tcW w:w="3005" w:type="dxa"/>
          <w:tcMar/>
        </w:tcPr>
        <w:p w:rsidR="147F6716" w:rsidP="147F6716" w:rsidRDefault="147F6716" w14:paraId="0B2908F9" w14:textId="548C83A2">
          <w:pPr>
            <w:pStyle w:val="Header"/>
            <w:bidi w:val="0"/>
            <w:ind w:right="-115"/>
            <w:jc w:val="right"/>
          </w:pPr>
          <w:r>
            <w:fldChar w:fldCharType="begin"/>
          </w:r>
          <w:r>
            <w:instrText xml:space="preserve">PAGE</w:instrText>
          </w:r>
          <w:r>
            <w:fldChar w:fldCharType="separate"/>
          </w:r>
          <w:r>
            <w:fldChar w:fldCharType="end"/>
          </w:r>
        </w:p>
      </w:tc>
    </w:tr>
  </w:tbl>
  <w:p w:rsidR="147F6716" w:rsidP="147F6716" w:rsidRDefault="147F6716" w14:paraId="69EEC161" w14:textId="012AF54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AB8273" w:rsidTr="65AB8273" w14:paraId="0FFE6CCB">
      <w:tc>
        <w:tcPr>
          <w:tcW w:w="3005" w:type="dxa"/>
          <w:tcMar/>
        </w:tcPr>
        <w:p w:rsidR="65AB8273" w:rsidP="65AB8273" w:rsidRDefault="65AB8273" w14:paraId="2A9053D5" w14:textId="09EF9659">
          <w:pPr>
            <w:pStyle w:val="Header"/>
            <w:bidi w:val="0"/>
            <w:ind w:left="-115"/>
            <w:jc w:val="left"/>
          </w:pPr>
        </w:p>
      </w:tc>
      <w:tc>
        <w:tcPr>
          <w:tcW w:w="3005" w:type="dxa"/>
          <w:tcMar/>
        </w:tcPr>
        <w:p w:rsidR="65AB8273" w:rsidP="65AB8273" w:rsidRDefault="65AB8273" w14:paraId="05275921" w14:textId="554FB899">
          <w:pPr>
            <w:pStyle w:val="Header"/>
            <w:bidi w:val="0"/>
            <w:jc w:val="center"/>
          </w:pPr>
        </w:p>
      </w:tc>
      <w:tc>
        <w:tcPr>
          <w:tcW w:w="3005" w:type="dxa"/>
          <w:tcMar/>
        </w:tcPr>
        <w:p w:rsidR="65AB8273" w:rsidP="65AB8273" w:rsidRDefault="65AB8273" w14:paraId="6F5EDEE1" w14:textId="7264D3AE">
          <w:pPr>
            <w:pStyle w:val="Header"/>
            <w:bidi w:val="0"/>
            <w:ind w:right="-115"/>
            <w:jc w:val="right"/>
          </w:pPr>
        </w:p>
      </w:tc>
    </w:tr>
  </w:tbl>
  <w:p w:rsidR="65AB8273" w:rsidP="65AB8273" w:rsidRDefault="65AB8273" w14:paraId="5D7E681B" w14:textId="657357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7F6716" w:rsidTr="65AB8273" w14:paraId="1E693087">
      <w:tc>
        <w:tcPr>
          <w:tcW w:w="3005" w:type="dxa"/>
          <w:tcMar/>
        </w:tcPr>
        <w:p w:rsidR="147F6716" w:rsidP="147F6716" w:rsidRDefault="147F6716" w14:paraId="1A7C995B" w14:textId="66089A71">
          <w:pPr>
            <w:pStyle w:val="Header"/>
            <w:bidi w:val="0"/>
            <w:ind w:left="-115"/>
            <w:jc w:val="left"/>
          </w:pPr>
          <w:r w:rsidR="65AB8273">
            <w:rPr/>
            <w:t>ECAD6007</w:t>
          </w:r>
        </w:p>
      </w:tc>
      <w:tc>
        <w:tcPr>
          <w:tcW w:w="3005" w:type="dxa"/>
          <w:tcMar/>
        </w:tcPr>
        <w:p w:rsidR="147F6716" w:rsidP="147F6716" w:rsidRDefault="147F6716" w14:paraId="336BDA09" w14:textId="4D93F6C8">
          <w:pPr>
            <w:pStyle w:val="Header"/>
            <w:bidi w:val="0"/>
            <w:jc w:val="center"/>
          </w:pPr>
          <w:r w:rsidR="65AB8273">
            <w:rPr/>
            <w:t>J.W. BRADLEY-ADAMS</w:t>
          </w:r>
        </w:p>
      </w:tc>
      <w:tc>
        <w:tcPr>
          <w:tcW w:w="3005" w:type="dxa"/>
          <w:tcMar/>
        </w:tcPr>
        <w:p w:rsidR="147F6716" w:rsidP="147F6716" w:rsidRDefault="147F6716" w14:paraId="622E894E" w14:textId="3C3DA189">
          <w:pPr>
            <w:pStyle w:val="Header"/>
            <w:bidi w:val="0"/>
            <w:ind w:right="-115"/>
            <w:jc w:val="right"/>
          </w:pPr>
          <w:r w:rsidR="65AB8273">
            <w:rPr/>
            <w:t>1250239</w:t>
          </w:r>
        </w:p>
      </w:tc>
    </w:tr>
  </w:tbl>
  <w:p w:rsidR="147F6716" w:rsidP="147F6716" w:rsidRDefault="147F6716" w14:paraId="72D62B20" w14:textId="19D1665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AB8273" w:rsidTr="65AB8273" w14:paraId="78D1D48C">
      <w:tc>
        <w:tcPr>
          <w:tcW w:w="3005" w:type="dxa"/>
          <w:tcMar/>
        </w:tcPr>
        <w:p w:rsidR="65AB8273" w:rsidP="65AB8273" w:rsidRDefault="65AB8273" w14:paraId="73A3D42E" w14:textId="6FC23DC9">
          <w:pPr>
            <w:pStyle w:val="Header"/>
            <w:bidi w:val="0"/>
            <w:ind w:left="-115"/>
            <w:jc w:val="left"/>
          </w:pPr>
        </w:p>
      </w:tc>
      <w:tc>
        <w:tcPr>
          <w:tcW w:w="3005" w:type="dxa"/>
          <w:tcMar/>
        </w:tcPr>
        <w:p w:rsidR="65AB8273" w:rsidP="65AB8273" w:rsidRDefault="65AB8273" w14:paraId="2F97875C" w14:textId="3FE904FC">
          <w:pPr>
            <w:pStyle w:val="Header"/>
            <w:bidi w:val="0"/>
            <w:jc w:val="center"/>
          </w:pPr>
        </w:p>
      </w:tc>
      <w:tc>
        <w:tcPr>
          <w:tcW w:w="3005" w:type="dxa"/>
          <w:tcMar/>
        </w:tcPr>
        <w:p w:rsidR="65AB8273" w:rsidP="65AB8273" w:rsidRDefault="65AB8273" w14:paraId="49CBFAF6" w14:textId="4B037520">
          <w:pPr>
            <w:pStyle w:val="Header"/>
            <w:bidi w:val="0"/>
            <w:ind w:right="-115"/>
            <w:jc w:val="right"/>
          </w:pPr>
        </w:p>
      </w:tc>
    </w:tr>
  </w:tbl>
  <w:p w:rsidR="65AB8273" w:rsidP="65AB8273" w:rsidRDefault="65AB8273" w14:paraId="6D245F42" w14:textId="25A33F9F">
    <w:pPr>
      <w:pStyle w:val="Header"/>
      <w:bidi w:val="0"/>
    </w:pPr>
  </w:p>
</w:hdr>
</file>

<file path=word/intelligence2.xml><?xml version="1.0" encoding="utf-8"?>
<int2:intelligence xmlns:int2="http://schemas.microsoft.com/office/intelligence/2020/intelligence">
  <int2:observations>
    <int2:bookmark int2:bookmarkName="_Int_4Z9cuoO1" int2:invalidationBookmarkName="" int2:hashCode="DIGryHvcVTjfln" int2:id="b4OVZfVF">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8EBE74"/>
    <w:rsid w:val="05305412"/>
    <w:rsid w:val="0735F988"/>
    <w:rsid w:val="0F84D36C"/>
    <w:rsid w:val="147F6716"/>
    <w:rsid w:val="16EA02F2"/>
    <w:rsid w:val="1AF48395"/>
    <w:rsid w:val="238EBE74"/>
    <w:rsid w:val="23AF5D9D"/>
    <w:rsid w:val="247709E5"/>
    <w:rsid w:val="2794CE44"/>
    <w:rsid w:val="2CAE3275"/>
    <w:rsid w:val="3181D669"/>
    <w:rsid w:val="36AED924"/>
    <w:rsid w:val="38DB9CA6"/>
    <w:rsid w:val="440E3259"/>
    <w:rsid w:val="45640FAC"/>
    <w:rsid w:val="4745D31B"/>
    <w:rsid w:val="5497094A"/>
    <w:rsid w:val="5E31C599"/>
    <w:rsid w:val="65AB8273"/>
    <w:rsid w:val="7006543C"/>
    <w:rsid w:val="7019C1A2"/>
    <w:rsid w:val="71B59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EBE74"/>
  <w15:chartTrackingRefBased/>
  <w15:docId w15:val="{F29C813B-E2B1-4AA6-8A4C-2C7C93A707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character" w:styleId="xnormaltextrun" w:customStyle="true">
    <w:uiPriority w:val="1"/>
    <w:name w:val="x_normaltextrun"/>
    <w:basedOn w:val="DefaultParagraphFont"/>
    <w:rsid w:val="65AB8273"/>
  </w:style>
  <w:style w:type="character" w:styleId="xeop" w:customStyle="true">
    <w:uiPriority w:val="1"/>
    <w:name w:val="x_eop"/>
    <w:basedOn w:val="DefaultParagraphFont"/>
    <w:rsid w:val="65AB8273"/>
  </w:style>
  <w:style w:type="paragraph" w:styleId="xparagraph" w:customStyle="true">
    <w:uiPriority w:val="1"/>
    <w:name w:val="x_paragraph"/>
    <w:basedOn w:val="Normal"/>
    <w:rsid w:val="65AB8273"/>
    <w:rPr>
      <w:rFonts w:ascii="Times New Roman" w:hAnsi="Times New Roman" w:eastAsia="Times New Roman" w:cs="Times New Roman"/>
      <w:sz w:val="24"/>
      <w:szCs w:val="24"/>
      <w:lang w:eastAsia="en-GB"/>
    </w:rPr>
    <w:pPr>
      <w:spacing w:beforeAutospacing="on" w:afterAutospacing="on"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a852ae8e0a0466f" /><Relationship Type="http://schemas.openxmlformats.org/officeDocument/2006/relationships/footer" Target="/word/footer.xml" Id="Re6ed7596156a4e6a" /><Relationship Type="http://schemas.openxmlformats.org/officeDocument/2006/relationships/image" Target="/media/image.jpg" Id="R9d543b9507764ad5" /><Relationship Type="http://schemas.openxmlformats.org/officeDocument/2006/relationships/image" Target="/media/image2.jpg" Id="Rfdf67745d89748b5" /><Relationship Type="http://schemas.openxmlformats.org/officeDocument/2006/relationships/image" Target="/media/image.png" Id="Rcb0be42af0de4c4c" /><Relationship Type="http://schemas.openxmlformats.org/officeDocument/2006/relationships/header" Target="/word/header2.xml" Id="R92f589444f2f47e8" /><Relationship Type="http://schemas.openxmlformats.org/officeDocument/2006/relationships/footer" Target="/word/footer2.xml" Id="Rd849b9b667a24b22" /><Relationship Type="http://schemas.microsoft.com/office/2020/10/relationships/intelligence" Target="/word/intelligence2.xml" Id="R7c5a385ac10a4f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Bradley-Adams (1250239)</dc:creator>
  <keywords/>
  <dc:description/>
  <lastModifiedBy>Jack Bradley-Adams (1250239)</lastModifiedBy>
  <revision>3</revision>
  <dcterms:created xsi:type="dcterms:W3CDTF">2022-11-06T15:56:40.6488247Z</dcterms:created>
  <dcterms:modified xsi:type="dcterms:W3CDTF">2022-11-06T18:11:48.4649664Z</dcterms:modified>
</coreProperties>
</file>