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B9AF0" w14:textId="77777777" w:rsidR="00C80A89" w:rsidRPr="00666710" w:rsidRDefault="00C80A89" w:rsidP="00C80A89">
      <w:pPr>
        <w:pStyle w:val="Heading1"/>
        <w:rPr>
          <w:rFonts w:ascii="Times New Roman" w:hAnsi="Times New Roman" w:cs="Times New Roman"/>
          <w:sz w:val="22"/>
          <w:szCs w:val="22"/>
        </w:rPr>
      </w:pPr>
      <w:bookmarkStart w:id="0" w:name="_GoBack"/>
      <w:bookmarkEnd w:id="0"/>
    </w:p>
    <w:p w14:paraId="7853D7B4" w14:textId="6CC2BD07" w:rsidR="00C80A89" w:rsidRPr="00666710" w:rsidRDefault="00C80A89" w:rsidP="00C80A89">
      <w:pPr>
        <w:pStyle w:val="Heading1"/>
        <w:rPr>
          <w:rFonts w:ascii="Times New Roman" w:hAnsi="Times New Roman" w:cs="Times New Roman"/>
          <w:sz w:val="22"/>
          <w:szCs w:val="22"/>
        </w:rPr>
      </w:pPr>
      <w:r w:rsidRPr="00666710">
        <w:rPr>
          <w:rFonts w:ascii="Times New Roman" w:hAnsi="Times New Roman" w:cs="Times New Roman"/>
          <w:sz w:val="22"/>
          <w:szCs w:val="22"/>
        </w:rPr>
        <w:t>Character Dossier: Berenice the Younger</w:t>
      </w:r>
    </w:p>
    <w:p w14:paraId="05DA95AE" w14:textId="77777777" w:rsidR="00C80A89" w:rsidRPr="00666710" w:rsidRDefault="00C80A89" w:rsidP="00C80A89">
      <w:pPr>
        <w:rPr>
          <w:rFonts w:ascii="Times New Roman" w:hAnsi="Times New Roman" w:cs="Times New Roman"/>
        </w:rPr>
      </w:pPr>
    </w:p>
    <w:p w14:paraId="55D8BBA3" w14:textId="301DB954" w:rsidR="00392256" w:rsidRPr="00666710" w:rsidRDefault="00392256" w:rsidP="00392256">
      <w:pPr>
        <w:keepNext/>
        <w:rPr>
          <w:rFonts w:ascii="Times New Roman" w:hAnsi="Times New Roman" w:cs="Times New Roman"/>
        </w:rPr>
      </w:pPr>
      <w:r w:rsidRPr="00666710">
        <w:rPr>
          <w:rFonts w:ascii="Times New Roman" w:hAnsi="Times New Roman" w:cs="Times New Roman"/>
          <w:noProof/>
        </w:rPr>
        <w:drawing>
          <wp:inline distT="0" distB="0" distL="0" distR="0" wp14:anchorId="44A52D3E" wp14:editId="75B27443">
            <wp:extent cx="5371200" cy="1198800"/>
            <wp:effectExtent l="76200" t="76200" r="77470" b="781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tolemy_III family tree tyndale bennett 2002.jpg"/>
                    <pic:cNvPicPr/>
                  </pic:nvPicPr>
                  <pic:blipFill>
                    <a:blip r:embed="rId6">
                      <a:extLst>
                        <a:ext uri="{28A0092B-C50C-407E-A947-70E740481C1C}">
                          <a14:useLocalDpi xmlns:a14="http://schemas.microsoft.com/office/drawing/2010/main" val="0"/>
                        </a:ext>
                      </a:extLst>
                    </a:blip>
                    <a:stretch>
                      <a:fillRect/>
                    </a:stretch>
                  </pic:blipFill>
                  <pic:spPr>
                    <a:xfrm>
                      <a:off x="0" y="0"/>
                      <a:ext cx="5371200" cy="1198800"/>
                    </a:xfrm>
                    <a:prstGeom prst="rect">
                      <a:avLst/>
                    </a:prstGeom>
                    <a:ln w="76200">
                      <a:solidFill>
                        <a:schemeClr val="bg1"/>
                      </a:solidFill>
                    </a:ln>
                  </pic:spPr>
                </pic:pic>
              </a:graphicData>
            </a:graphic>
          </wp:inline>
        </w:drawing>
      </w:r>
    </w:p>
    <w:p w14:paraId="76A34556" w14:textId="2BAA40B1" w:rsidR="00392256" w:rsidRPr="00666710" w:rsidRDefault="00392256" w:rsidP="00392256">
      <w:pPr>
        <w:pStyle w:val="Caption"/>
        <w:rPr>
          <w:rFonts w:ascii="Times New Roman" w:hAnsi="Times New Roman" w:cs="Times New Roman"/>
          <w:sz w:val="22"/>
          <w:szCs w:val="22"/>
        </w:rPr>
      </w:pPr>
      <w:r w:rsidRPr="00666710">
        <w:rPr>
          <w:rFonts w:ascii="Times New Roman" w:hAnsi="Times New Roman" w:cs="Times New Roman"/>
          <w:sz w:val="22"/>
          <w:szCs w:val="22"/>
        </w:rPr>
        <w:fldChar w:fldCharType="begin"/>
      </w:r>
      <w:r w:rsidRPr="00666710">
        <w:rPr>
          <w:rFonts w:ascii="Times New Roman" w:hAnsi="Times New Roman" w:cs="Times New Roman"/>
          <w:sz w:val="22"/>
          <w:szCs w:val="22"/>
        </w:rPr>
        <w:instrText xml:space="preserve"> SEQ Figure \* ARABIC </w:instrText>
      </w:r>
      <w:r w:rsidRPr="00666710">
        <w:rPr>
          <w:rFonts w:ascii="Times New Roman" w:hAnsi="Times New Roman" w:cs="Times New Roman"/>
          <w:sz w:val="22"/>
          <w:szCs w:val="22"/>
        </w:rPr>
        <w:fldChar w:fldCharType="separate"/>
      </w:r>
      <w:r w:rsidRPr="00666710">
        <w:rPr>
          <w:rFonts w:ascii="Times New Roman" w:hAnsi="Times New Roman" w:cs="Times New Roman"/>
          <w:noProof/>
          <w:sz w:val="22"/>
          <w:szCs w:val="22"/>
        </w:rPr>
        <w:t>1</w:t>
      </w:r>
      <w:r w:rsidRPr="00666710">
        <w:rPr>
          <w:rFonts w:ascii="Times New Roman" w:hAnsi="Times New Roman" w:cs="Times New Roman"/>
          <w:sz w:val="22"/>
          <w:szCs w:val="22"/>
        </w:rPr>
        <w:fldChar w:fldCharType="end"/>
      </w:r>
      <w:r w:rsidRPr="00666710">
        <w:rPr>
          <w:rFonts w:ascii="Times New Roman" w:hAnsi="Times New Roman" w:cs="Times New Roman"/>
          <w:sz w:val="22"/>
          <w:szCs w:val="22"/>
        </w:rPr>
        <w:t>. Family Tree of Ptolemy III. Bennett 2001y</w:t>
      </w:r>
    </w:p>
    <w:p w14:paraId="5D861981" w14:textId="77777777" w:rsidR="00C80A89" w:rsidRPr="00666710" w:rsidRDefault="00C80A89" w:rsidP="00392256">
      <w:pPr>
        <w:rPr>
          <w:rFonts w:ascii="Times New Roman" w:hAnsi="Times New Roman" w:cs="Times New Roman"/>
        </w:rPr>
      </w:pPr>
    </w:p>
    <w:p w14:paraId="4D0516C5" w14:textId="534DB94A" w:rsidR="00E0059D" w:rsidRPr="00666710" w:rsidRDefault="00E0059D" w:rsidP="00392256">
      <w:pPr>
        <w:rPr>
          <w:rFonts w:ascii="Times New Roman" w:hAnsi="Times New Roman" w:cs="Times New Roman"/>
        </w:rPr>
      </w:pPr>
      <w:r w:rsidRPr="00666710">
        <w:rPr>
          <w:rFonts w:ascii="Times New Roman" w:hAnsi="Times New Roman" w:cs="Times New Roman"/>
        </w:rPr>
        <w:t xml:space="preserve">The daughter of Ptolemy III and Berenice II, Berenice the Younger is the sister of Ptolemy Philopater and Arsinoe III. </w:t>
      </w:r>
      <w:r w:rsidR="00392256" w:rsidRPr="00666710">
        <w:rPr>
          <w:rFonts w:ascii="Times New Roman" w:hAnsi="Times New Roman" w:cs="Times New Roman"/>
        </w:rPr>
        <w:t>She was ‘</w:t>
      </w:r>
      <w:r w:rsidRPr="00666710">
        <w:rPr>
          <w:rFonts w:ascii="Times New Roman" w:hAnsi="Times New Roman" w:cs="Times New Roman"/>
        </w:rPr>
        <w:t xml:space="preserve">declared princess (basilissa) </w:t>
      </w:r>
      <w:r w:rsidR="00392256" w:rsidRPr="00666710">
        <w:rPr>
          <w:rFonts w:ascii="Times New Roman" w:hAnsi="Times New Roman" w:cs="Times New Roman"/>
        </w:rPr>
        <w:t>at birth’</w:t>
      </w:r>
      <w:r w:rsidRPr="00666710">
        <w:rPr>
          <w:rStyle w:val="FootnoteReference"/>
          <w:rFonts w:ascii="Times New Roman" w:hAnsi="Times New Roman" w:cs="Times New Roman"/>
        </w:rPr>
        <w:footnoteReference w:id="1"/>
      </w:r>
      <w:r w:rsidR="00392256" w:rsidRPr="00666710">
        <w:rPr>
          <w:rFonts w:ascii="Times New Roman" w:hAnsi="Times New Roman" w:cs="Times New Roman"/>
        </w:rPr>
        <w:t xml:space="preserve"> according to Bennet; ‘basilissa’ is translated as ‘queen’ in </w:t>
      </w:r>
      <w:r w:rsidR="00392256" w:rsidRPr="00666710">
        <w:rPr>
          <w:rFonts w:ascii="Times New Roman" w:hAnsi="Times New Roman" w:cs="Times New Roman"/>
        </w:rPr>
        <w:t>Hölbl</w:t>
      </w:r>
      <w:r w:rsidR="00392256" w:rsidRPr="00666710">
        <w:rPr>
          <w:rFonts w:ascii="Times New Roman" w:hAnsi="Times New Roman" w:cs="Times New Roman"/>
        </w:rPr>
        <w:t>’s History of the Ptolemaic Empire.</w:t>
      </w:r>
      <w:r w:rsidR="00392256" w:rsidRPr="00666710">
        <w:rPr>
          <w:rStyle w:val="FootnoteReference"/>
          <w:rFonts w:ascii="Times New Roman" w:hAnsi="Times New Roman" w:cs="Times New Roman"/>
        </w:rPr>
        <w:footnoteReference w:id="2"/>
      </w:r>
      <w:r w:rsidR="00A221E3" w:rsidRPr="00A221E3">
        <w:rPr>
          <w:rFonts w:ascii="Times New Roman" w:hAnsi="Times New Roman" w:cs="Times New Roman"/>
        </w:rPr>
        <w:t xml:space="preserve"> </w:t>
      </w:r>
      <w:r w:rsidR="00A221E3" w:rsidRPr="00666710">
        <w:rPr>
          <w:rFonts w:ascii="Times New Roman" w:hAnsi="Times New Roman" w:cs="Times New Roman"/>
        </w:rPr>
        <w:t>Historically, there were also the brothers Magus, Alexander and a fourth brother whose name we do not know (but may have been Lysimachus</w:t>
      </w:r>
      <w:r w:rsidR="00A221E3">
        <w:rPr>
          <w:rFonts w:ascii="Times New Roman" w:hAnsi="Times New Roman" w:cs="Times New Roman"/>
        </w:rPr>
        <w:t xml:space="preserve">. </w:t>
      </w:r>
      <w:r w:rsidR="00A221E3" w:rsidRPr="00666710">
        <w:rPr>
          <w:rFonts w:ascii="Times New Roman" w:hAnsi="Times New Roman" w:cs="Times New Roman"/>
        </w:rPr>
        <w:t xml:space="preserve">In this setting, these three died as children of an illness. </w:t>
      </w:r>
      <w:r w:rsidR="00A221E3">
        <w:rPr>
          <w:rStyle w:val="FootnoteReference"/>
          <w:rFonts w:ascii="Times New Roman" w:hAnsi="Times New Roman" w:cs="Times New Roman"/>
        </w:rPr>
        <w:footnoteReference w:id="3"/>
      </w:r>
    </w:p>
    <w:p w14:paraId="574761FA" w14:textId="74EF52CE" w:rsidR="00E0059D" w:rsidRPr="00666710" w:rsidRDefault="00E0059D" w:rsidP="00E0059D">
      <w:pPr>
        <w:rPr>
          <w:rFonts w:ascii="Times New Roman" w:hAnsi="Times New Roman" w:cs="Times New Roman"/>
        </w:rPr>
      </w:pPr>
      <w:r w:rsidRPr="00666710">
        <w:rPr>
          <w:rFonts w:ascii="Times New Roman" w:hAnsi="Times New Roman" w:cs="Times New Roman"/>
        </w:rPr>
        <w:t>This character is based on the Ptolemaic princess who lived 239-238.</w:t>
      </w:r>
      <w:r w:rsidRPr="00666710">
        <w:rPr>
          <w:rStyle w:val="FootnoteReference"/>
          <w:rFonts w:ascii="Times New Roman" w:hAnsi="Times New Roman" w:cs="Times New Roman"/>
        </w:rPr>
        <w:footnoteReference w:id="4"/>
      </w:r>
      <w:r w:rsidRPr="00666710">
        <w:rPr>
          <w:rFonts w:ascii="Times New Roman" w:hAnsi="Times New Roman" w:cs="Times New Roman"/>
        </w:rPr>
        <w:t xml:space="preserve"> In this setting, her birth year is brought forward to 243, to make her 18 in 225.</w:t>
      </w:r>
      <w:r w:rsidR="009207B9" w:rsidRPr="00666710">
        <w:rPr>
          <w:rFonts w:ascii="Times New Roman" w:hAnsi="Times New Roman" w:cs="Times New Roman"/>
        </w:rPr>
        <w:t xml:space="preserve">  </w:t>
      </w:r>
      <w:r w:rsidR="009207B9" w:rsidRPr="00666710">
        <w:rPr>
          <w:rFonts w:ascii="Times New Roman" w:hAnsi="Times New Roman" w:cs="Times New Roman"/>
        </w:rPr>
        <w:t>Bevans disputes the juvenile death of this Berenice, but the inscription he cites refers to Berenice Euergetis, her mother.</w:t>
      </w:r>
      <w:r w:rsidR="00C80A89" w:rsidRPr="00666710">
        <w:rPr>
          <w:rStyle w:val="FootnoteReference"/>
          <w:rFonts w:ascii="Times New Roman" w:hAnsi="Times New Roman" w:cs="Times New Roman"/>
        </w:rPr>
        <w:footnoteReference w:id="5"/>
      </w:r>
      <w:r w:rsidR="00C80A89" w:rsidRPr="00666710">
        <w:rPr>
          <w:rFonts w:ascii="Times New Roman" w:hAnsi="Times New Roman" w:cs="Times New Roman"/>
        </w:rPr>
        <w:t xml:space="preserve"> </w:t>
      </w:r>
      <w:r w:rsidR="00C80A89" w:rsidRPr="00666710">
        <w:rPr>
          <w:rFonts w:ascii="Times New Roman" w:hAnsi="Times New Roman" w:cs="Times New Roman"/>
        </w:rPr>
        <w:t>Berenice was ‘worshipped as Lady of the Virgins’ according to</w:t>
      </w:r>
      <w:r w:rsidR="003734E9" w:rsidRPr="00666710">
        <w:rPr>
          <w:rFonts w:ascii="Times New Roman" w:hAnsi="Times New Roman" w:cs="Times New Roman"/>
        </w:rPr>
        <w:t xml:space="preserve"> the translation of the Canopus Decree</w:t>
      </w:r>
      <w:r w:rsidR="004809BB" w:rsidRPr="00666710">
        <w:rPr>
          <w:rStyle w:val="FootnoteReference"/>
          <w:rFonts w:ascii="Times New Roman" w:hAnsi="Times New Roman" w:cs="Times New Roman"/>
        </w:rPr>
        <w:footnoteReference w:id="6"/>
      </w:r>
      <w:r w:rsidR="003734E9" w:rsidRPr="00666710">
        <w:rPr>
          <w:rFonts w:ascii="Times New Roman" w:hAnsi="Times New Roman" w:cs="Times New Roman"/>
        </w:rPr>
        <w:t xml:space="preserve"> in</w:t>
      </w:r>
      <w:r w:rsidR="00C80A89" w:rsidRPr="00666710">
        <w:rPr>
          <w:rFonts w:ascii="Times New Roman" w:hAnsi="Times New Roman" w:cs="Times New Roman"/>
        </w:rPr>
        <w:t xml:space="preserve"> Bevans,</w:t>
      </w:r>
      <w:r w:rsidR="00C80A89" w:rsidRPr="00666710">
        <w:rPr>
          <w:rStyle w:val="FootnoteReference"/>
          <w:rFonts w:ascii="Times New Roman" w:hAnsi="Times New Roman" w:cs="Times New Roman"/>
        </w:rPr>
        <w:footnoteReference w:id="7"/>
      </w:r>
      <w:r w:rsidR="00C80A89" w:rsidRPr="00666710">
        <w:rPr>
          <w:rFonts w:ascii="Times New Roman" w:hAnsi="Times New Roman" w:cs="Times New Roman"/>
        </w:rPr>
        <w:t xml:space="preserve"> which probably refers to female virgins but</w:t>
      </w:r>
      <w:r w:rsidR="00C80A89" w:rsidRPr="00666710">
        <w:rPr>
          <w:rFonts w:ascii="Times New Roman" w:hAnsi="Times New Roman" w:cs="Times New Roman"/>
        </w:rPr>
        <w:t xml:space="preserve"> may refer to young children</w:t>
      </w:r>
      <w:r w:rsidR="00C80A89" w:rsidRPr="00666710">
        <w:rPr>
          <w:rFonts w:ascii="Times New Roman" w:hAnsi="Times New Roman" w:cs="Times New Roman"/>
        </w:rPr>
        <w:t>.</w:t>
      </w:r>
    </w:p>
    <w:p w14:paraId="0C31E6DD" w14:textId="77777777" w:rsidR="00E0059D" w:rsidRPr="00666710" w:rsidRDefault="00E0059D" w:rsidP="00E0059D">
      <w:pPr>
        <w:rPr>
          <w:rFonts w:ascii="Times New Roman" w:hAnsi="Times New Roman" w:cs="Times New Roman"/>
        </w:rPr>
      </w:pPr>
    </w:p>
    <w:p w14:paraId="4D7FBA1D" w14:textId="79DB46A1" w:rsidR="001D76F5" w:rsidRPr="00666710" w:rsidRDefault="009207B9" w:rsidP="00E0059D">
      <w:pPr>
        <w:rPr>
          <w:rFonts w:ascii="Times New Roman" w:hAnsi="Times New Roman" w:cs="Times New Roman"/>
        </w:rPr>
      </w:pPr>
      <w:r w:rsidRPr="00666710">
        <w:rPr>
          <w:rFonts w:ascii="Times New Roman" w:hAnsi="Times New Roman" w:cs="Times New Roman"/>
        </w:rPr>
        <w:t xml:space="preserve">Berenice the Younger would have been part of her mother’s household and grown up in Alexandria, where the royal family was based. She would have had servants, and expected to grow up to direct the servants in her own house. </w:t>
      </w:r>
      <w:r w:rsidR="001D76F5" w:rsidRPr="00666710">
        <w:rPr>
          <w:rFonts w:ascii="Times New Roman" w:hAnsi="Times New Roman" w:cs="Times New Roman"/>
        </w:rPr>
        <w:t xml:space="preserve">She would have spoken and written Greek, as the lingua franca of Ptolemaic Egypt. Literacy is not highly common or evidenced, but </w:t>
      </w:r>
      <w:r w:rsidR="00A221E3">
        <w:rPr>
          <w:rFonts w:ascii="Times New Roman" w:hAnsi="Times New Roman" w:cs="Times New Roman"/>
        </w:rPr>
        <w:t>Berenice is</w:t>
      </w:r>
      <w:r w:rsidR="001D76F5" w:rsidRPr="00666710">
        <w:rPr>
          <w:rFonts w:ascii="Times New Roman" w:hAnsi="Times New Roman" w:cs="Times New Roman"/>
        </w:rPr>
        <w:t xml:space="preserve"> a noblewoman and her mother</w:t>
      </w:r>
      <w:r w:rsidR="00A221E3">
        <w:rPr>
          <w:rFonts w:ascii="Times New Roman" w:hAnsi="Times New Roman" w:cs="Times New Roman"/>
        </w:rPr>
        <w:t xml:space="preserve"> was</w:t>
      </w:r>
      <w:r w:rsidR="001D76F5" w:rsidRPr="00666710">
        <w:rPr>
          <w:rFonts w:ascii="Times New Roman" w:hAnsi="Times New Roman" w:cs="Times New Roman"/>
        </w:rPr>
        <w:t xml:space="preserve"> famous</w:t>
      </w:r>
      <w:r w:rsidR="00A221E3">
        <w:rPr>
          <w:rFonts w:ascii="Times New Roman" w:hAnsi="Times New Roman" w:cs="Times New Roman"/>
        </w:rPr>
        <w:t xml:space="preserve"> for her</w:t>
      </w:r>
      <w:r w:rsidR="001D76F5" w:rsidRPr="00666710">
        <w:rPr>
          <w:rFonts w:ascii="Times New Roman" w:hAnsi="Times New Roman" w:cs="Times New Roman"/>
        </w:rPr>
        <w:t xml:space="preserve"> patronage of p</w:t>
      </w:r>
      <w:r w:rsidR="00A221E3">
        <w:rPr>
          <w:rFonts w:ascii="Times New Roman" w:hAnsi="Times New Roman" w:cs="Times New Roman"/>
        </w:rPr>
        <w:t>oets</w:t>
      </w:r>
      <w:r w:rsidR="001D76F5" w:rsidRPr="00666710">
        <w:rPr>
          <w:rFonts w:ascii="Times New Roman" w:hAnsi="Times New Roman" w:cs="Times New Roman"/>
        </w:rPr>
        <w:t>.</w:t>
      </w:r>
      <w:r w:rsidR="00A221E3">
        <w:rPr>
          <w:rStyle w:val="FootnoteReference"/>
          <w:rFonts w:ascii="Times New Roman" w:hAnsi="Times New Roman" w:cs="Times New Roman"/>
        </w:rPr>
        <w:footnoteReference w:id="8"/>
      </w:r>
      <w:r w:rsidR="00C80A89" w:rsidRPr="00666710">
        <w:rPr>
          <w:rFonts w:ascii="Times New Roman" w:hAnsi="Times New Roman" w:cs="Times New Roman"/>
        </w:rPr>
        <w:t xml:space="preserve"> M</w:t>
      </w:r>
      <w:r w:rsidR="00D60530" w:rsidRPr="00666710">
        <w:rPr>
          <w:rFonts w:ascii="Times New Roman" w:hAnsi="Times New Roman" w:cs="Times New Roman"/>
        </w:rPr>
        <w:t>any</w:t>
      </w:r>
      <w:r w:rsidR="001D76F5" w:rsidRPr="00666710">
        <w:rPr>
          <w:rFonts w:ascii="Times New Roman" w:hAnsi="Times New Roman" w:cs="Times New Roman"/>
        </w:rPr>
        <w:t xml:space="preserve"> </w:t>
      </w:r>
      <w:r w:rsidR="00D60530" w:rsidRPr="00666710">
        <w:rPr>
          <w:rFonts w:ascii="Times New Roman" w:hAnsi="Times New Roman" w:cs="Times New Roman"/>
        </w:rPr>
        <w:t xml:space="preserve">bureaucratic documents would be written in Greek, as would the papyruses in the Library of Alexandria. </w:t>
      </w:r>
    </w:p>
    <w:p w14:paraId="3813BF94" w14:textId="77777777" w:rsidR="00E0059D" w:rsidRPr="00666710" w:rsidRDefault="00E0059D" w:rsidP="008C5E7F">
      <w:pPr>
        <w:rPr>
          <w:rFonts w:ascii="Times New Roman" w:hAnsi="Times New Roman" w:cs="Times New Roman"/>
        </w:rPr>
      </w:pPr>
      <w:r w:rsidRPr="00666710">
        <w:rPr>
          <w:rFonts w:ascii="Times New Roman" w:hAnsi="Times New Roman" w:cs="Times New Roman"/>
        </w:rPr>
        <w:t xml:space="preserve">She has a strong relationship with </w:t>
      </w:r>
      <w:r w:rsidRPr="00666710">
        <w:rPr>
          <w:rFonts w:ascii="Times New Roman" w:hAnsi="Times New Roman" w:cs="Times New Roman"/>
        </w:rPr>
        <w:t xml:space="preserve">and loyalty to </w:t>
      </w:r>
      <w:r w:rsidRPr="00666710">
        <w:rPr>
          <w:rFonts w:ascii="Times New Roman" w:hAnsi="Times New Roman" w:cs="Times New Roman"/>
        </w:rPr>
        <w:t>her family</w:t>
      </w:r>
      <w:r w:rsidRPr="00666710">
        <w:rPr>
          <w:rFonts w:ascii="Times New Roman" w:hAnsi="Times New Roman" w:cs="Times New Roman"/>
        </w:rPr>
        <w:t>. She understands that her future is tied to the family, and that a lot of her worth as a person and status is due to that background.</w:t>
      </w:r>
      <w:r w:rsidR="00D60530" w:rsidRPr="00666710">
        <w:rPr>
          <w:rFonts w:ascii="Times New Roman" w:hAnsi="Times New Roman" w:cs="Times New Roman"/>
        </w:rPr>
        <w:t xml:space="preserve"> She likes reading.</w:t>
      </w:r>
    </w:p>
    <w:p w14:paraId="68A970D2" w14:textId="77777777" w:rsidR="00E0059D" w:rsidRPr="00666710" w:rsidRDefault="00E0059D" w:rsidP="008C5E7F">
      <w:pPr>
        <w:rPr>
          <w:rFonts w:ascii="Times New Roman" w:hAnsi="Times New Roman" w:cs="Times New Roman"/>
        </w:rPr>
      </w:pPr>
    </w:p>
    <w:p w14:paraId="475A233F" w14:textId="20116FD3" w:rsidR="00BB7979" w:rsidRPr="00666710" w:rsidRDefault="008C5E7F" w:rsidP="008C5E7F">
      <w:pPr>
        <w:rPr>
          <w:rFonts w:ascii="Times New Roman" w:hAnsi="Times New Roman" w:cs="Times New Roman"/>
        </w:rPr>
      </w:pPr>
      <w:r w:rsidRPr="00666710">
        <w:rPr>
          <w:rFonts w:ascii="Times New Roman" w:hAnsi="Times New Roman" w:cs="Times New Roman"/>
        </w:rPr>
        <w:lastRenderedPageBreak/>
        <w:t xml:space="preserve">Women in Ptolemaic Egypt were considerably better positioned than their counterparts in Greece; they could own land, run businesses, and divorce their husbands. </w:t>
      </w:r>
      <w:r w:rsidR="004809BB" w:rsidRPr="00666710">
        <w:rPr>
          <w:rStyle w:val="FootnoteReference"/>
          <w:rFonts w:ascii="Times New Roman" w:hAnsi="Times New Roman" w:cs="Times New Roman"/>
        </w:rPr>
        <w:footnoteReference w:id="9"/>
      </w:r>
    </w:p>
    <w:p w14:paraId="6807047F" w14:textId="77777777" w:rsidR="00BF3867" w:rsidRPr="00666710" w:rsidRDefault="008C5E7F" w:rsidP="00BF3867">
      <w:pPr>
        <w:rPr>
          <w:rFonts w:ascii="Times New Roman" w:hAnsi="Times New Roman" w:cs="Times New Roman"/>
        </w:rPr>
      </w:pPr>
      <w:r w:rsidRPr="00666710">
        <w:rPr>
          <w:rFonts w:ascii="Times New Roman" w:hAnsi="Times New Roman" w:cs="Times New Roman"/>
        </w:rPr>
        <w:t>Macedonian Queens under Alexander and Phillip tended to be political</w:t>
      </w:r>
      <w:r w:rsidR="00BB7979" w:rsidRPr="00666710">
        <w:rPr>
          <w:rFonts w:ascii="Times New Roman" w:hAnsi="Times New Roman" w:cs="Times New Roman"/>
        </w:rPr>
        <w:t xml:space="preserve"> </w:t>
      </w:r>
      <w:r w:rsidRPr="00666710">
        <w:rPr>
          <w:rFonts w:ascii="Times New Roman" w:hAnsi="Times New Roman" w:cs="Times New Roman"/>
        </w:rPr>
        <w:t xml:space="preserve">pawns of their husbands, but separately from that they trained horses, influenced politics and could participate in public life. </w:t>
      </w:r>
      <w:r w:rsidR="00BB7979" w:rsidRPr="00666710">
        <w:rPr>
          <w:rFonts w:ascii="Times New Roman" w:hAnsi="Times New Roman" w:cs="Times New Roman"/>
        </w:rPr>
        <w:t>The Macedonian army had female warriors and generals, and the successor kingdoms of alexander the great shared this trait.</w:t>
      </w:r>
      <w:r w:rsidR="00BB7979" w:rsidRPr="00666710">
        <w:rPr>
          <w:rStyle w:val="FootnoteReference"/>
          <w:rFonts w:ascii="Times New Roman" w:hAnsi="Times New Roman" w:cs="Times New Roman"/>
        </w:rPr>
        <w:footnoteReference w:id="10"/>
      </w:r>
      <w:r w:rsidR="00BB7979" w:rsidRPr="00666710">
        <w:rPr>
          <w:rFonts w:ascii="Times New Roman" w:hAnsi="Times New Roman" w:cs="Times New Roman"/>
        </w:rPr>
        <w:t xml:space="preserve"> </w:t>
      </w:r>
    </w:p>
    <w:p w14:paraId="14032E99" w14:textId="31DA5591" w:rsidR="004809BB" w:rsidRPr="00666710" w:rsidRDefault="008C5E7F" w:rsidP="008C5E7F">
      <w:pPr>
        <w:rPr>
          <w:rFonts w:ascii="Times New Roman" w:hAnsi="Times New Roman" w:cs="Times New Roman"/>
        </w:rPr>
      </w:pPr>
      <w:r w:rsidRPr="00666710">
        <w:rPr>
          <w:rFonts w:ascii="Times New Roman" w:hAnsi="Times New Roman" w:cs="Times New Roman"/>
        </w:rPr>
        <w:t>The Ptolemaic queens came from these traditions and adopted many Egyptian customs, and the first few Ptolem</w:t>
      </w:r>
      <w:r w:rsidR="004809BB" w:rsidRPr="00666710">
        <w:rPr>
          <w:rFonts w:ascii="Times New Roman" w:hAnsi="Times New Roman" w:cs="Times New Roman"/>
        </w:rPr>
        <w:t>aic queens are formidable women.</w:t>
      </w:r>
    </w:p>
    <w:p w14:paraId="75FF2BE2" w14:textId="36D37172" w:rsidR="00BF3867" w:rsidRPr="00666710" w:rsidRDefault="008C5E7F" w:rsidP="008C5E7F">
      <w:pPr>
        <w:rPr>
          <w:rFonts w:ascii="Times New Roman" w:hAnsi="Times New Roman" w:cs="Times New Roman"/>
        </w:rPr>
      </w:pPr>
      <w:r w:rsidRPr="00666710">
        <w:rPr>
          <w:rFonts w:ascii="Times New Roman" w:hAnsi="Times New Roman" w:cs="Times New Roman"/>
        </w:rPr>
        <w:t xml:space="preserve">Arsinoe </w:t>
      </w:r>
      <w:r w:rsidR="00A221E3">
        <w:rPr>
          <w:rFonts w:ascii="Times New Roman" w:hAnsi="Times New Roman" w:cs="Times New Roman"/>
        </w:rPr>
        <w:t>II</w:t>
      </w:r>
      <w:r w:rsidRPr="00666710">
        <w:rPr>
          <w:rFonts w:ascii="Times New Roman" w:hAnsi="Times New Roman" w:cs="Times New Roman"/>
        </w:rPr>
        <w:t xml:space="preserve"> was highly regarded, influential and deified, and her daughter Berenice </w:t>
      </w:r>
      <w:r w:rsidR="00A221E3">
        <w:rPr>
          <w:rFonts w:ascii="Times New Roman" w:hAnsi="Times New Roman" w:cs="Times New Roman"/>
        </w:rPr>
        <w:t>II</w:t>
      </w:r>
      <w:r w:rsidRPr="00666710">
        <w:rPr>
          <w:rFonts w:ascii="Times New Roman" w:hAnsi="Times New Roman" w:cs="Times New Roman"/>
        </w:rPr>
        <w:t xml:space="preserve"> was in a similar position. Both women were influential in the arts and strong horsewomen who had led men in battle. These acts were celebrated in Egypt and were not treated as unwomanly or unsuitable for a </w:t>
      </w:r>
      <w:r w:rsidR="00666710">
        <w:rPr>
          <w:rFonts w:ascii="Times New Roman" w:hAnsi="Times New Roman" w:cs="Times New Roman"/>
        </w:rPr>
        <w:t>queen</w:t>
      </w:r>
      <w:r w:rsidRPr="00666710">
        <w:rPr>
          <w:rFonts w:ascii="Times New Roman" w:hAnsi="Times New Roman" w:cs="Times New Roman"/>
        </w:rPr>
        <w:t>.</w:t>
      </w:r>
      <w:r w:rsidR="00666710">
        <w:rPr>
          <w:rStyle w:val="FootnoteReference"/>
          <w:rFonts w:ascii="Times New Roman" w:hAnsi="Times New Roman" w:cs="Times New Roman"/>
        </w:rPr>
        <w:footnoteReference w:id="11"/>
      </w:r>
      <w:r w:rsidRPr="00666710">
        <w:rPr>
          <w:rFonts w:ascii="Times New Roman" w:hAnsi="Times New Roman" w:cs="Times New Roman"/>
        </w:rPr>
        <w:t xml:space="preserve"> </w:t>
      </w:r>
    </w:p>
    <w:p w14:paraId="59436DF1" w14:textId="26646526" w:rsidR="00E0059D" w:rsidRPr="00666710" w:rsidRDefault="008C5E7F" w:rsidP="00E0059D">
      <w:pPr>
        <w:rPr>
          <w:rFonts w:ascii="Times New Roman" w:hAnsi="Times New Roman" w:cs="Times New Roman"/>
        </w:rPr>
      </w:pPr>
      <w:r w:rsidRPr="00666710">
        <w:rPr>
          <w:rFonts w:ascii="Times New Roman" w:hAnsi="Times New Roman" w:cs="Times New Roman"/>
        </w:rPr>
        <w:t xml:space="preserve">Berenice the Younger is based </w:t>
      </w:r>
      <w:r w:rsidR="00BF3867" w:rsidRPr="00666710">
        <w:rPr>
          <w:rFonts w:ascii="Times New Roman" w:hAnsi="Times New Roman" w:cs="Times New Roman"/>
        </w:rPr>
        <w:t>on</w:t>
      </w:r>
      <w:r w:rsidRPr="00666710">
        <w:rPr>
          <w:rFonts w:ascii="Times New Roman" w:hAnsi="Times New Roman" w:cs="Times New Roman"/>
        </w:rPr>
        <w:t xml:space="preserve"> these women, her grandmother and mother respectively. She is a strong horsewoman and would have been trained in such things from a young age. </w:t>
      </w:r>
      <w:r w:rsidR="007540B4" w:rsidRPr="00666710">
        <w:rPr>
          <w:rFonts w:ascii="Times New Roman" w:hAnsi="Times New Roman" w:cs="Times New Roman"/>
        </w:rPr>
        <w:t>She would have been aware of her mother’s affection for and patronage for the arts.</w:t>
      </w:r>
      <w:r w:rsidR="00666710">
        <w:rPr>
          <w:rStyle w:val="FootnoteReference"/>
          <w:rFonts w:ascii="Times New Roman" w:hAnsi="Times New Roman" w:cs="Times New Roman"/>
        </w:rPr>
        <w:footnoteReference w:id="12"/>
      </w:r>
    </w:p>
    <w:p w14:paraId="0ADDA5AC" w14:textId="77777777" w:rsidR="00BF3867" w:rsidRPr="00666710" w:rsidRDefault="00BF3867" w:rsidP="008C5E7F">
      <w:pPr>
        <w:rPr>
          <w:rFonts w:ascii="Times New Roman" w:hAnsi="Times New Roman" w:cs="Times New Roman"/>
        </w:rPr>
      </w:pPr>
    </w:p>
    <w:p w14:paraId="74297945" w14:textId="0B4CD002" w:rsidR="00BF3867" w:rsidRPr="00666710" w:rsidRDefault="008C5E7F" w:rsidP="008C5E7F">
      <w:pPr>
        <w:rPr>
          <w:rFonts w:ascii="Times New Roman" w:hAnsi="Times New Roman" w:cs="Times New Roman"/>
        </w:rPr>
      </w:pPr>
      <w:r w:rsidRPr="00666710">
        <w:rPr>
          <w:rFonts w:ascii="Times New Roman" w:hAnsi="Times New Roman" w:cs="Times New Roman"/>
        </w:rPr>
        <w:t xml:space="preserve">As a possible future Queen should her older sister Arsinoe </w:t>
      </w:r>
      <w:r w:rsidR="00A221E3">
        <w:rPr>
          <w:rFonts w:ascii="Times New Roman" w:hAnsi="Times New Roman" w:cs="Times New Roman"/>
        </w:rPr>
        <w:t>III</w:t>
      </w:r>
      <w:r w:rsidRPr="00666710">
        <w:rPr>
          <w:rFonts w:ascii="Times New Roman" w:hAnsi="Times New Roman" w:cs="Times New Roman"/>
        </w:rPr>
        <w:t xml:space="preserve"> not survive, she would have been taught such things as a Ptolemaic queen would be expected to know, and taught to be an aid to a future King. </w:t>
      </w:r>
    </w:p>
    <w:p w14:paraId="00642738" w14:textId="10645422" w:rsidR="00BF3867" w:rsidRPr="00666710" w:rsidRDefault="008C5E7F" w:rsidP="008C5E7F">
      <w:pPr>
        <w:rPr>
          <w:rFonts w:ascii="Times New Roman" w:hAnsi="Times New Roman" w:cs="Times New Roman"/>
        </w:rPr>
      </w:pPr>
      <w:r w:rsidRPr="00666710">
        <w:rPr>
          <w:rFonts w:ascii="Times New Roman" w:hAnsi="Times New Roman" w:cs="Times New Roman"/>
        </w:rPr>
        <w:t xml:space="preserve">This would largely manifest as political and religious education and family history; the royal family was heavily involved in Egyptian religion and received much of their legitimacy from religious performance. </w:t>
      </w:r>
      <w:r w:rsidR="007540B4" w:rsidRPr="00666710">
        <w:rPr>
          <w:rFonts w:ascii="Times New Roman" w:hAnsi="Times New Roman" w:cs="Times New Roman"/>
        </w:rPr>
        <w:t xml:space="preserve"> The whole family would have been involved in religion: one religious dedication is from King Ptolemy, Queen Berenice “and their small children” Clayman cites an inscription dedicating a temple to Isis and Harpocrates.</w:t>
      </w:r>
      <w:r w:rsidR="003734E9" w:rsidRPr="00666710">
        <w:rPr>
          <w:rStyle w:val="FootnoteReference"/>
          <w:rFonts w:ascii="Times New Roman" w:hAnsi="Times New Roman" w:cs="Times New Roman"/>
        </w:rPr>
        <w:footnoteReference w:id="13"/>
      </w:r>
    </w:p>
    <w:p w14:paraId="2524C683" w14:textId="0D4BB5D9" w:rsidR="007540B4" w:rsidRPr="00666710" w:rsidRDefault="007540B4" w:rsidP="00BF3867">
      <w:pPr>
        <w:rPr>
          <w:rFonts w:ascii="Times New Roman" w:hAnsi="Times New Roman" w:cs="Times New Roman"/>
        </w:rPr>
      </w:pPr>
      <w:r w:rsidRPr="00666710">
        <w:rPr>
          <w:rFonts w:ascii="Times New Roman" w:hAnsi="Times New Roman" w:cs="Times New Roman"/>
        </w:rPr>
        <w:t>She would keep an eye on things likely to affect herself, her family and her family's kingdom. Her maids would be of noble birth, her servants of lower birth, and she would use these to keep aware of rumours and manoe</w:t>
      </w:r>
      <w:r w:rsidR="00A221E3">
        <w:rPr>
          <w:rFonts w:ascii="Times New Roman" w:hAnsi="Times New Roman" w:cs="Times New Roman"/>
        </w:rPr>
        <w:t xml:space="preserve">uvring in the Ptolemaic court. </w:t>
      </w:r>
    </w:p>
    <w:p w14:paraId="713BF54D" w14:textId="0D3DAA35" w:rsidR="00BF3867" w:rsidRPr="00666710" w:rsidRDefault="008C5E7F" w:rsidP="008C5E7F">
      <w:pPr>
        <w:rPr>
          <w:rFonts w:ascii="Times New Roman" w:hAnsi="Times New Roman" w:cs="Times New Roman"/>
        </w:rPr>
      </w:pPr>
      <w:r w:rsidRPr="00666710">
        <w:rPr>
          <w:rFonts w:ascii="Times New Roman" w:hAnsi="Times New Roman" w:cs="Times New Roman"/>
        </w:rPr>
        <w:t xml:space="preserve">Berenice the Younger would have been </w:t>
      </w:r>
      <w:r w:rsidR="00BF3867" w:rsidRPr="00666710">
        <w:rPr>
          <w:rFonts w:ascii="Times New Roman" w:hAnsi="Times New Roman" w:cs="Times New Roman"/>
        </w:rPr>
        <w:t>aware</w:t>
      </w:r>
      <w:r w:rsidRPr="00666710">
        <w:rPr>
          <w:rFonts w:ascii="Times New Roman" w:hAnsi="Times New Roman" w:cs="Times New Roman"/>
        </w:rPr>
        <w:t xml:space="preserve"> of her family history and the recent h</w:t>
      </w:r>
      <w:r w:rsidR="00B8131D" w:rsidRPr="00666710">
        <w:rPr>
          <w:rFonts w:ascii="Times New Roman" w:hAnsi="Times New Roman" w:cs="Times New Roman"/>
        </w:rPr>
        <w:t xml:space="preserve">istory of Alexander the Great, </w:t>
      </w:r>
      <w:r w:rsidRPr="00666710">
        <w:rPr>
          <w:rFonts w:ascii="Times New Roman" w:hAnsi="Times New Roman" w:cs="Times New Roman"/>
        </w:rPr>
        <w:t xml:space="preserve">from Philip's conquests to the divisions of the </w:t>
      </w:r>
      <w:r w:rsidR="00A221E3">
        <w:rPr>
          <w:rFonts w:ascii="Times New Roman" w:hAnsi="Times New Roman" w:cs="Times New Roman"/>
        </w:rPr>
        <w:t xml:space="preserve">empire after Alexander's death. </w:t>
      </w:r>
      <w:r w:rsidRPr="00666710">
        <w:rPr>
          <w:rFonts w:ascii="Times New Roman" w:hAnsi="Times New Roman" w:cs="Times New Roman"/>
        </w:rPr>
        <w:t>She would be aware of her fickle position as a royal woman and the way her life would probably depend on the political fortune of her future husband, and the likelihood of her being married of</w:t>
      </w:r>
      <w:r w:rsidR="00BF3867" w:rsidRPr="00666710">
        <w:rPr>
          <w:rFonts w:ascii="Times New Roman" w:hAnsi="Times New Roman" w:cs="Times New Roman"/>
        </w:rPr>
        <w:t>f</w:t>
      </w:r>
      <w:r w:rsidRPr="00666710">
        <w:rPr>
          <w:rFonts w:ascii="Times New Roman" w:hAnsi="Times New Roman" w:cs="Times New Roman"/>
        </w:rPr>
        <w:t xml:space="preserve"> as part of a political manoeuvre or alliance. </w:t>
      </w:r>
    </w:p>
    <w:p w14:paraId="737D4D63" w14:textId="1F5A754E" w:rsidR="00A221E3" w:rsidRDefault="00666710">
      <w:pPr>
        <w:rPr>
          <w:rFonts w:ascii="Times New Roman" w:hAnsi="Times New Roman" w:cs="Times New Roman"/>
        </w:rPr>
      </w:pPr>
      <w:r>
        <w:rPr>
          <w:rFonts w:ascii="Times New Roman" w:hAnsi="Times New Roman" w:cs="Times New Roman"/>
        </w:rPr>
        <w:t>Berenice the Younger</w:t>
      </w:r>
      <w:r w:rsidR="00BF3867" w:rsidRPr="00666710">
        <w:rPr>
          <w:rFonts w:ascii="Times New Roman" w:hAnsi="Times New Roman" w:cs="Times New Roman"/>
        </w:rPr>
        <w:t xml:space="preserve"> would have </w:t>
      </w:r>
      <w:r w:rsidR="00A221E3">
        <w:rPr>
          <w:rFonts w:ascii="Times New Roman" w:hAnsi="Times New Roman" w:cs="Times New Roman"/>
        </w:rPr>
        <w:t>known how</w:t>
      </w:r>
      <w:r w:rsidR="00BF3867" w:rsidRPr="00666710">
        <w:rPr>
          <w:rFonts w:ascii="Times New Roman" w:hAnsi="Times New Roman" w:cs="Times New Roman"/>
        </w:rPr>
        <w:t xml:space="preserve"> her aunt, </w:t>
      </w:r>
      <w:r w:rsidR="00A221E3">
        <w:rPr>
          <w:rFonts w:ascii="Times New Roman" w:hAnsi="Times New Roman" w:cs="Times New Roman"/>
        </w:rPr>
        <w:t>Berenice the sister of Ptolemy III</w:t>
      </w:r>
      <w:r w:rsidR="00BF3867" w:rsidRPr="00666710">
        <w:rPr>
          <w:rFonts w:ascii="Times New Roman" w:hAnsi="Times New Roman" w:cs="Times New Roman"/>
        </w:rPr>
        <w:t>, married off to the Seleucids as part of a political move, who later exerted some political influence in a situation that lead to the death of that Berenice. The circumstances of that ma</w:t>
      </w:r>
      <w:r>
        <w:rPr>
          <w:rFonts w:ascii="Times New Roman" w:hAnsi="Times New Roman" w:cs="Times New Roman"/>
        </w:rPr>
        <w:t>rriage- that it was dependant on</w:t>
      </w:r>
      <w:r w:rsidR="00BF3867" w:rsidRPr="00666710">
        <w:rPr>
          <w:rFonts w:ascii="Times New Roman" w:hAnsi="Times New Roman" w:cs="Times New Roman"/>
        </w:rPr>
        <w:t xml:space="preserve"> the rejection of the first wife of that Seleucid king and her children by him- would be something Berenice the Younger was aware of as a possible future for herself</w:t>
      </w:r>
      <w:r w:rsidR="001D76F5" w:rsidRPr="00666710">
        <w:rPr>
          <w:rFonts w:ascii="Times New Roman" w:hAnsi="Times New Roman" w:cs="Times New Roman"/>
        </w:rPr>
        <w:t>.</w:t>
      </w:r>
      <w:r w:rsidR="003734E9" w:rsidRPr="00666710">
        <w:rPr>
          <w:rStyle w:val="FootnoteReference"/>
          <w:rFonts w:ascii="Times New Roman" w:hAnsi="Times New Roman" w:cs="Times New Roman"/>
        </w:rPr>
        <w:footnoteReference w:id="14"/>
      </w:r>
    </w:p>
    <w:p w14:paraId="1C1F0676" w14:textId="119AA0EB" w:rsidR="00C80A89" w:rsidRPr="00666710" w:rsidRDefault="00C80A89">
      <w:pPr>
        <w:rPr>
          <w:rFonts w:ascii="Times New Roman" w:hAnsi="Times New Roman" w:cs="Times New Roman"/>
        </w:rPr>
      </w:pPr>
      <w:r w:rsidRPr="00666710">
        <w:rPr>
          <w:rFonts w:ascii="Times New Roman" w:hAnsi="Times New Roman" w:cs="Times New Roman"/>
        </w:rPr>
        <w:br w:type="page"/>
      </w:r>
    </w:p>
    <w:p w14:paraId="304669B3" w14:textId="4780A06B" w:rsidR="00BF3867" w:rsidRPr="00666710" w:rsidRDefault="00C80A89">
      <w:pPr>
        <w:rPr>
          <w:rFonts w:ascii="Times New Roman" w:hAnsi="Times New Roman" w:cs="Times New Roman"/>
        </w:rPr>
      </w:pPr>
      <w:r w:rsidRPr="00666710">
        <w:rPr>
          <w:rFonts w:ascii="Times New Roman" w:hAnsi="Times New Roman" w:cs="Times New Roman"/>
          <w:noProof/>
        </w:rPr>
        <w:lastRenderedPageBreak/>
        <mc:AlternateContent>
          <mc:Choice Requires="wps">
            <w:drawing>
              <wp:anchor distT="45720" distB="45720" distL="114300" distR="114300" simplePos="0" relativeHeight="251659264" behindDoc="0" locked="0" layoutInCell="1" allowOverlap="1" wp14:anchorId="2C97125F" wp14:editId="3A877E61">
                <wp:simplePos x="0" y="0"/>
                <wp:positionH relativeFrom="column">
                  <wp:posOffset>-29210</wp:posOffset>
                </wp:positionH>
                <wp:positionV relativeFrom="paragraph">
                  <wp:posOffset>184785</wp:posOffset>
                </wp:positionV>
                <wp:extent cx="57772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7230" cy="1404620"/>
                        </a:xfrm>
                        <a:prstGeom prst="rect">
                          <a:avLst/>
                        </a:prstGeom>
                        <a:noFill/>
                        <a:ln w="9525">
                          <a:noFill/>
                          <a:miter lim="800000"/>
                          <a:headEnd/>
                          <a:tailEnd/>
                        </a:ln>
                      </wps:spPr>
                      <wps:txbx>
                        <w:txbxContent>
                          <w:p w14:paraId="0708CF3D" w14:textId="39DF51CF" w:rsidR="00C80A89" w:rsidRPr="00666710" w:rsidRDefault="00C80A89" w:rsidP="00C80A89">
                            <w:pPr>
                              <w:rPr>
                                <w:rFonts w:ascii="Times New Roman" w:hAnsi="Times New Roman" w:cs="Times New Roman"/>
                                <w:u w:val="single"/>
                              </w:rPr>
                            </w:pPr>
                            <w:r w:rsidRPr="00666710">
                              <w:rPr>
                                <w:rFonts w:ascii="Times New Roman" w:hAnsi="Times New Roman" w:cs="Times New Roman"/>
                                <w:u w:val="single"/>
                              </w:rPr>
                              <w:t xml:space="preserve">Bibliography </w:t>
                            </w:r>
                          </w:p>
                          <w:p w14:paraId="47525388" w14:textId="77777777" w:rsidR="00976F67" w:rsidRPr="00666710" w:rsidRDefault="00976F67" w:rsidP="00C80A89">
                            <w:pPr>
                              <w:rPr>
                                <w:rFonts w:ascii="Times New Roman" w:hAnsi="Times New Roman" w:cs="Times New Roman"/>
                                <w:u w:val="single"/>
                              </w:rPr>
                            </w:pPr>
                          </w:p>
                          <w:p w14:paraId="62E305E2" w14:textId="0A3ACC58" w:rsidR="00C80A89" w:rsidRPr="00666710" w:rsidRDefault="00C80A89" w:rsidP="00C80A89">
                            <w:pPr>
                              <w:rPr>
                                <w:rFonts w:ascii="Times New Roman" w:hAnsi="Times New Roman" w:cs="Times New Roman"/>
                              </w:rPr>
                            </w:pPr>
                            <w:r w:rsidRPr="00666710">
                              <w:rPr>
                                <w:rFonts w:ascii="Times New Roman" w:hAnsi="Times New Roman" w:cs="Times New Roman"/>
                              </w:rPr>
                              <w:t>Bennett, C. J. "Berenice" 2001</w:t>
                            </w:r>
                            <w:r w:rsidR="00976F67" w:rsidRPr="00666710">
                              <w:rPr>
                                <w:rFonts w:ascii="Times New Roman" w:hAnsi="Times New Roman" w:cs="Times New Roman"/>
                              </w:rPr>
                              <w:t>z</w:t>
                            </w:r>
                            <w:r w:rsidRPr="00666710">
                              <w:rPr>
                                <w:rFonts w:ascii="Times New Roman" w:hAnsi="Times New Roman" w:cs="Times New Roman"/>
                              </w:rPr>
                              <w:t>.</w:t>
                            </w:r>
                            <w:r w:rsidR="00976F67" w:rsidRPr="00666710">
                              <w:rPr>
                                <w:rFonts w:ascii="Times New Roman" w:hAnsi="Times New Roman" w:cs="Times New Roman"/>
                              </w:rPr>
                              <w:t xml:space="preserve"> Tyndale House. </w:t>
                            </w:r>
                            <w:hyperlink r:id="rId7" w:history="1">
                              <w:r w:rsidR="00976F67" w:rsidRPr="00666710">
                                <w:rPr>
                                  <w:rStyle w:val="Hyperlink"/>
                                  <w:rFonts w:ascii="Times New Roman" w:hAnsi="Times New Roman" w:cs="Times New Roman"/>
                                </w:rPr>
                                <w:t>http://www.tyndalehouse.com/Egypt/ptolemies/berenice_b_fr.htm</w:t>
                              </w:r>
                            </w:hyperlink>
                            <w:r w:rsidR="00976F67" w:rsidRPr="00666710">
                              <w:rPr>
                                <w:rFonts w:ascii="Times New Roman" w:hAnsi="Times New Roman" w:cs="Times New Roman"/>
                              </w:rPr>
                              <w:t xml:space="preserve"> A</w:t>
                            </w:r>
                            <w:r w:rsidRPr="00666710">
                              <w:rPr>
                                <w:rFonts w:ascii="Times New Roman" w:hAnsi="Times New Roman" w:cs="Times New Roman"/>
                              </w:rPr>
                              <w:t>ccessed 13 February 2018</w:t>
                            </w:r>
                            <w:r w:rsidR="00976F67" w:rsidRPr="00666710">
                              <w:rPr>
                                <w:rFonts w:ascii="Times New Roman" w:hAnsi="Times New Roman" w:cs="Times New Roman"/>
                              </w:rPr>
                              <w:t>.</w:t>
                            </w:r>
                          </w:p>
                          <w:p w14:paraId="043089C4" w14:textId="733F3B92" w:rsidR="00976F67" w:rsidRPr="00666710" w:rsidRDefault="00C80A89" w:rsidP="00C80A89">
                            <w:pPr>
                              <w:rPr>
                                <w:rFonts w:ascii="Times New Roman" w:hAnsi="Times New Roman" w:cs="Times New Roman"/>
                              </w:rPr>
                            </w:pPr>
                            <w:r w:rsidRPr="00666710">
                              <w:rPr>
                                <w:rFonts w:ascii="Times New Roman" w:hAnsi="Times New Roman" w:cs="Times New Roman"/>
                              </w:rPr>
                              <w:t>Bennett, C. J. "Ptolemy III" 2001</w:t>
                            </w:r>
                            <w:r w:rsidR="00976F67" w:rsidRPr="00666710">
                              <w:rPr>
                                <w:rFonts w:ascii="Times New Roman" w:hAnsi="Times New Roman" w:cs="Times New Roman"/>
                              </w:rPr>
                              <w:t xml:space="preserve">y. Tyndale House. </w:t>
                            </w:r>
                            <w:hyperlink r:id="rId8" w:history="1">
                              <w:r w:rsidR="00976F67" w:rsidRPr="00666710">
                                <w:rPr>
                                  <w:rStyle w:val="Hyperlink"/>
                                  <w:rFonts w:ascii="Times New Roman" w:hAnsi="Times New Roman" w:cs="Times New Roman"/>
                                </w:rPr>
                                <w:t>http://www.tyndalehouse.com/Egypt/ptolemies/ptolemy_iii_fr.htm Accessed 13 February 2018</w:t>
                              </w:r>
                            </w:hyperlink>
                            <w:r w:rsidR="00976F67" w:rsidRPr="00666710">
                              <w:rPr>
                                <w:rFonts w:ascii="Times New Roman" w:hAnsi="Times New Roman" w:cs="Times New Roman"/>
                              </w:rPr>
                              <w:t>.</w:t>
                            </w:r>
                          </w:p>
                          <w:p w14:paraId="4CD60B30" w14:textId="699B9E48" w:rsidR="003734E9" w:rsidRPr="00666710" w:rsidRDefault="004809BB" w:rsidP="003734E9">
                            <w:pPr>
                              <w:rPr>
                                <w:rFonts w:ascii="Times New Roman" w:hAnsi="Times New Roman" w:cs="Times New Roman"/>
                              </w:rPr>
                            </w:pPr>
                            <w:r w:rsidRPr="00666710">
                              <w:rPr>
                                <w:rFonts w:ascii="Times New Roman" w:hAnsi="Times New Roman" w:cs="Times New Roman"/>
                              </w:rPr>
                              <w:t>Bevan E.R. 1927. The House of Ptolemy. London: Methuen Publishing.</w:t>
                            </w:r>
                            <w:r w:rsidR="003734E9" w:rsidRPr="00666710">
                              <w:rPr>
                                <w:rFonts w:ascii="Times New Roman" w:hAnsi="Times New Roman" w:cs="Times New Roman"/>
                              </w:rPr>
                              <w:t xml:space="preserve"> </w:t>
                            </w:r>
                          </w:p>
                          <w:p w14:paraId="59408774" w14:textId="78B9A33D" w:rsidR="004809BB" w:rsidRPr="00666710" w:rsidRDefault="004809BB" w:rsidP="00C80A89">
                            <w:pPr>
                              <w:rPr>
                                <w:rFonts w:ascii="Times New Roman" w:hAnsi="Times New Roman" w:cs="Times New Roman"/>
                              </w:rPr>
                            </w:pPr>
                            <w:r w:rsidRPr="00666710">
                              <w:rPr>
                                <w:rFonts w:ascii="Times New Roman" w:hAnsi="Times New Roman" w:cs="Times New Roman"/>
                              </w:rPr>
                              <w:t xml:space="preserve">Clayman, D. L. 2014. </w:t>
                            </w:r>
                            <w:r w:rsidRPr="00666710">
                              <w:rPr>
                                <w:rFonts w:ascii="Times New Roman" w:hAnsi="Times New Roman" w:cs="Times New Roman"/>
                              </w:rPr>
                              <w:t>Berenice II and the Golden Age of Ptolemaic Egypt</w:t>
                            </w:r>
                            <w:r w:rsidRPr="00666710">
                              <w:rPr>
                                <w:rFonts w:ascii="Times New Roman" w:hAnsi="Times New Roman" w:cs="Times New Roman"/>
                              </w:rPr>
                              <w:t>. Oxford: Oxford University Press.</w:t>
                            </w:r>
                          </w:p>
                          <w:p w14:paraId="796225E7" w14:textId="22E1BCAE" w:rsidR="00C80A89" w:rsidRPr="00666710" w:rsidRDefault="00C80A89" w:rsidP="00C80A89">
                            <w:pPr>
                              <w:rPr>
                                <w:rFonts w:ascii="Times New Roman" w:hAnsi="Times New Roman" w:cs="Times New Roman"/>
                              </w:rPr>
                            </w:pPr>
                            <w:r w:rsidRPr="00666710">
                              <w:rPr>
                                <w:rFonts w:ascii="Times New Roman" w:hAnsi="Times New Roman" w:cs="Times New Roman"/>
                              </w:rPr>
                              <w:t xml:space="preserve">Hölbl, G. 2001. </w:t>
                            </w:r>
                            <w:r w:rsidR="004809BB" w:rsidRPr="00666710">
                              <w:rPr>
                                <w:rFonts w:ascii="Times New Roman" w:hAnsi="Times New Roman" w:cs="Times New Roman"/>
                              </w:rPr>
                              <w:t xml:space="preserve">History of the Ptolemaic Empire. London: </w:t>
                            </w:r>
                            <w:r w:rsidRPr="00666710">
                              <w:rPr>
                                <w:rFonts w:ascii="Times New Roman" w:hAnsi="Times New Roman" w:cs="Times New Roman"/>
                              </w:rPr>
                              <w:t>Routledge</w:t>
                            </w:r>
                          </w:p>
                          <w:p w14:paraId="763F0E8A" w14:textId="6941ED72" w:rsidR="00C80A89" w:rsidRDefault="004809BB" w:rsidP="00C80A89">
                            <w:pPr>
                              <w:rPr>
                                <w:rFonts w:ascii="Times New Roman" w:hAnsi="Times New Roman" w:cs="Times New Roman"/>
                              </w:rPr>
                            </w:pPr>
                            <w:r w:rsidRPr="00666710">
                              <w:rPr>
                                <w:rFonts w:ascii="Times New Roman" w:hAnsi="Times New Roman" w:cs="Times New Roman"/>
                              </w:rPr>
                              <w:t>Penrose, W. D. 2016. Postcolonial Amazons: Female Masculinity and Courage in Ancient Greek and Sanskrit Literature. Oxford: Oxford University Press.</w:t>
                            </w:r>
                          </w:p>
                          <w:p w14:paraId="213F1D3C" w14:textId="418F6938" w:rsidR="00666710" w:rsidRDefault="00666710" w:rsidP="00C80A89">
                            <w:pPr>
                              <w:rPr>
                                <w:rFonts w:ascii="Times New Roman" w:hAnsi="Times New Roman" w:cs="Times New Roman"/>
                              </w:rPr>
                            </w:pPr>
                          </w:p>
                          <w:p w14:paraId="35C454A6" w14:textId="5E888A92" w:rsidR="00666710" w:rsidRPr="00666710" w:rsidRDefault="00666710" w:rsidP="00C80A89">
                            <w:pPr>
                              <w:rPr>
                                <w:rFonts w:ascii="Times New Roman" w:hAnsi="Times New Roman" w:cs="Times New Roman"/>
                              </w:rPr>
                            </w:pPr>
                            <w:r w:rsidRPr="00666710">
                              <w:rPr>
                                <w:rFonts w:ascii="Times New Roman" w:hAnsi="Times New Roman" w:cs="Times New Roman"/>
                              </w:rPr>
                              <w:t>Orientis Graeci Inscriptiones Selectae</w:t>
                            </w:r>
                            <w:r w:rsidR="00A221E3">
                              <w:rPr>
                                <w:rFonts w:ascii="Times New Roman" w:hAnsi="Times New Roman" w:cs="Times New Roman"/>
                              </w:rPr>
                              <w:t xml:space="preserve"> – OGIS 56 &amp; 61.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97125F" id="_x0000_t202" coordsize="21600,21600" o:spt="202" path="m,l,21600r21600,l21600,xe">
                <v:stroke joinstyle="miter"/>
                <v:path gradientshapeok="t" o:connecttype="rect"/>
              </v:shapetype>
              <v:shape id="Text Box 2" o:spid="_x0000_s1026" type="#_x0000_t202" style="position:absolute;margin-left:-2.3pt;margin-top:14.55pt;width:454.9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" filled="f" stroked="f">
                <v:textbox style="mso-fit-shape-to-text:t">
                  <w:txbxContent>
                    <w:p w14:paraId="0708CF3D" w14:textId="39DF51CF" w:rsidR="00C80A89" w:rsidRPr="00666710" w:rsidRDefault="00C80A89" w:rsidP="00C80A89">
                      <w:pPr>
                        <w:rPr>
                          <w:rFonts w:ascii="Times New Roman" w:hAnsi="Times New Roman" w:cs="Times New Roman"/>
                          <w:u w:val="single"/>
                        </w:rPr>
                      </w:pPr>
                      <w:r w:rsidRPr="00666710">
                        <w:rPr>
                          <w:rFonts w:ascii="Times New Roman" w:hAnsi="Times New Roman" w:cs="Times New Roman"/>
                          <w:u w:val="single"/>
                        </w:rPr>
                        <w:t xml:space="preserve">Bibliography </w:t>
                      </w:r>
                    </w:p>
                    <w:p w14:paraId="47525388" w14:textId="77777777" w:rsidR="00976F67" w:rsidRPr="00666710" w:rsidRDefault="00976F67" w:rsidP="00C80A89">
                      <w:pPr>
                        <w:rPr>
                          <w:rFonts w:ascii="Times New Roman" w:hAnsi="Times New Roman" w:cs="Times New Roman"/>
                          <w:u w:val="single"/>
                        </w:rPr>
                      </w:pPr>
                    </w:p>
                    <w:p w14:paraId="62E305E2" w14:textId="0A3ACC58" w:rsidR="00C80A89" w:rsidRPr="00666710" w:rsidRDefault="00C80A89" w:rsidP="00C80A89">
                      <w:pPr>
                        <w:rPr>
                          <w:rFonts w:ascii="Times New Roman" w:hAnsi="Times New Roman" w:cs="Times New Roman"/>
                        </w:rPr>
                      </w:pPr>
                      <w:r w:rsidRPr="00666710">
                        <w:rPr>
                          <w:rFonts w:ascii="Times New Roman" w:hAnsi="Times New Roman" w:cs="Times New Roman"/>
                        </w:rPr>
                        <w:t>Bennett, C. J. "Berenice" 2001</w:t>
                      </w:r>
                      <w:r w:rsidR="00976F67" w:rsidRPr="00666710">
                        <w:rPr>
                          <w:rFonts w:ascii="Times New Roman" w:hAnsi="Times New Roman" w:cs="Times New Roman"/>
                        </w:rPr>
                        <w:t>z</w:t>
                      </w:r>
                      <w:r w:rsidRPr="00666710">
                        <w:rPr>
                          <w:rFonts w:ascii="Times New Roman" w:hAnsi="Times New Roman" w:cs="Times New Roman"/>
                        </w:rPr>
                        <w:t>.</w:t>
                      </w:r>
                      <w:r w:rsidR="00976F67" w:rsidRPr="00666710">
                        <w:rPr>
                          <w:rFonts w:ascii="Times New Roman" w:hAnsi="Times New Roman" w:cs="Times New Roman"/>
                        </w:rPr>
                        <w:t xml:space="preserve"> Tyndale House. </w:t>
                      </w:r>
                      <w:hyperlink r:id="rId9" w:history="1">
                        <w:r w:rsidR="00976F67" w:rsidRPr="00666710">
                          <w:rPr>
                            <w:rStyle w:val="Hyperlink"/>
                            <w:rFonts w:ascii="Times New Roman" w:hAnsi="Times New Roman" w:cs="Times New Roman"/>
                          </w:rPr>
                          <w:t>http://www.tyndalehouse.com/Egypt/ptolemies/berenice_b_fr.htm</w:t>
                        </w:r>
                      </w:hyperlink>
                      <w:r w:rsidR="00976F67" w:rsidRPr="00666710">
                        <w:rPr>
                          <w:rFonts w:ascii="Times New Roman" w:hAnsi="Times New Roman" w:cs="Times New Roman"/>
                        </w:rPr>
                        <w:t xml:space="preserve"> A</w:t>
                      </w:r>
                      <w:r w:rsidRPr="00666710">
                        <w:rPr>
                          <w:rFonts w:ascii="Times New Roman" w:hAnsi="Times New Roman" w:cs="Times New Roman"/>
                        </w:rPr>
                        <w:t>ccessed 13 February 2018</w:t>
                      </w:r>
                      <w:r w:rsidR="00976F67" w:rsidRPr="00666710">
                        <w:rPr>
                          <w:rFonts w:ascii="Times New Roman" w:hAnsi="Times New Roman" w:cs="Times New Roman"/>
                        </w:rPr>
                        <w:t>.</w:t>
                      </w:r>
                    </w:p>
                    <w:p w14:paraId="043089C4" w14:textId="733F3B92" w:rsidR="00976F67" w:rsidRPr="00666710" w:rsidRDefault="00C80A89" w:rsidP="00C80A89">
                      <w:pPr>
                        <w:rPr>
                          <w:rFonts w:ascii="Times New Roman" w:hAnsi="Times New Roman" w:cs="Times New Roman"/>
                        </w:rPr>
                      </w:pPr>
                      <w:r w:rsidRPr="00666710">
                        <w:rPr>
                          <w:rFonts w:ascii="Times New Roman" w:hAnsi="Times New Roman" w:cs="Times New Roman"/>
                        </w:rPr>
                        <w:t>Bennett, C. J. "Ptolemy III" 2001</w:t>
                      </w:r>
                      <w:r w:rsidR="00976F67" w:rsidRPr="00666710">
                        <w:rPr>
                          <w:rFonts w:ascii="Times New Roman" w:hAnsi="Times New Roman" w:cs="Times New Roman"/>
                        </w:rPr>
                        <w:t xml:space="preserve">y. Tyndale House. </w:t>
                      </w:r>
                      <w:hyperlink r:id="rId10" w:history="1">
                        <w:r w:rsidR="00976F67" w:rsidRPr="00666710">
                          <w:rPr>
                            <w:rStyle w:val="Hyperlink"/>
                            <w:rFonts w:ascii="Times New Roman" w:hAnsi="Times New Roman" w:cs="Times New Roman"/>
                          </w:rPr>
                          <w:t>http://www.tyndalehouse.com/Egypt/ptolemies/ptolemy_iii_fr.htm Accessed 13 February 2018</w:t>
                        </w:r>
                      </w:hyperlink>
                      <w:r w:rsidR="00976F67" w:rsidRPr="00666710">
                        <w:rPr>
                          <w:rFonts w:ascii="Times New Roman" w:hAnsi="Times New Roman" w:cs="Times New Roman"/>
                        </w:rPr>
                        <w:t>.</w:t>
                      </w:r>
                    </w:p>
                    <w:p w14:paraId="4CD60B30" w14:textId="699B9E48" w:rsidR="003734E9" w:rsidRPr="00666710" w:rsidRDefault="004809BB" w:rsidP="003734E9">
                      <w:pPr>
                        <w:rPr>
                          <w:rFonts w:ascii="Times New Roman" w:hAnsi="Times New Roman" w:cs="Times New Roman"/>
                        </w:rPr>
                      </w:pPr>
                      <w:r w:rsidRPr="00666710">
                        <w:rPr>
                          <w:rFonts w:ascii="Times New Roman" w:hAnsi="Times New Roman" w:cs="Times New Roman"/>
                        </w:rPr>
                        <w:t>Bevan E.R. 1927. The House of Ptolemy. London: Methuen Publishing.</w:t>
                      </w:r>
                      <w:r w:rsidR="003734E9" w:rsidRPr="00666710">
                        <w:rPr>
                          <w:rFonts w:ascii="Times New Roman" w:hAnsi="Times New Roman" w:cs="Times New Roman"/>
                        </w:rPr>
                        <w:t xml:space="preserve"> </w:t>
                      </w:r>
                    </w:p>
                    <w:p w14:paraId="59408774" w14:textId="78B9A33D" w:rsidR="004809BB" w:rsidRPr="00666710" w:rsidRDefault="004809BB" w:rsidP="00C80A89">
                      <w:pPr>
                        <w:rPr>
                          <w:rFonts w:ascii="Times New Roman" w:hAnsi="Times New Roman" w:cs="Times New Roman"/>
                        </w:rPr>
                      </w:pPr>
                      <w:r w:rsidRPr="00666710">
                        <w:rPr>
                          <w:rFonts w:ascii="Times New Roman" w:hAnsi="Times New Roman" w:cs="Times New Roman"/>
                        </w:rPr>
                        <w:t xml:space="preserve">Clayman, D. L. 2014. </w:t>
                      </w:r>
                      <w:r w:rsidRPr="00666710">
                        <w:rPr>
                          <w:rFonts w:ascii="Times New Roman" w:hAnsi="Times New Roman" w:cs="Times New Roman"/>
                        </w:rPr>
                        <w:t>Berenice II and the Golden Age of Ptolemaic Egypt</w:t>
                      </w:r>
                      <w:r w:rsidRPr="00666710">
                        <w:rPr>
                          <w:rFonts w:ascii="Times New Roman" w:hAnsi="Times New Roman" w:cs="Times New Roman"/>
                        </w:rPr>
                        <w:t>. Oxford: Oxford University Press.</w:t>
                      </w:r>
                    </w:p>
                    <w:p w14:paraId="796225E7" w14:textId="22E1BCAE" w:rsidR="00C80A89" w:rsidRPr="00666710" w:rsidRDefault="00C80A89" w:rsidP="00C80A89">
                      <w:pPr>
                        <w:rPr>
                          <w:rFonts w:ascii="Times New Roman" w:hAnsi="Times New Roman" w:cs="Times New Roman"/>
                        </w:rPr>
                      </w:pPr>
                      <w:r w:rsidRPr="00666710">
                        <w:rPr>
                          <w:rFonts w:ascii="Times New Roman" w:hAnsi="Times New Roman" w:cs="Times New Roman"/>
                        </w:rPr>
                        <w:t xml:space="preserve">Hölbl, G. 2001. </w:t>
                      </w:r>
                      <w:r w:rsidR="004809BB" w:rsidRPr="00666710">
                        <w:rPr>
                          <w:rFonts w:ascii="Times New Roman" w:hAnsi="Times New Roman" w:cs="Times New Roman"/>
                        </w:rPr>
                        <w:t xml:space="preserve">History of the Ptolemaic Empire. London: </w:t>
                      </w:r>
                      <w:r w:rsidRPr="00666710">
                        <w:rPr>
                          <w:rFonts w:ascii="Times New Roman" w:hAnsi="Times New Roman" w:cs="Times New Roman"/>
                        </w:rPr>
                        <w:t>Routledge</w:t>
                      </w:r>
                    </w:p>
                    <w:p w14:paraId="763F0E8A" w14:textId="6941ED72" w:rsidR="00C80A89" w:rsidRDefault="004809BB" w:rsidP="00C80A89">
                      <w:pPr>
                        <w:rPr>
                          <w:rFonts w:ascii="Times New Roman" w:hAnsi="Times New Roman" w:cs="Times New Roman"/>
                        </w:rPr>
                      </w:pPr>
                      <w:r w:rsidRPr="00666710">
                        <w:rPr>
                          <w:rFonts w:ascii="Times New Roman" w:hAnsi="Times New Roman" w:cs="Times New Roman"/>
                        </w:rPr>
                        <w:t>Penrose, W. D. 2016. Postcolonial Amazons: Female Masculinity and Courage in Ancient Greek and Sanskrit Literature. Oxford: Oxford University Press.</w:t>
                      </w:r>
                    </w:p>
                    <w:p w14:paraId="213F1D3C" w14:textId="418F6938" w:rsidR="00666710" w:rsidRDefault="00666710" w:rsidP="00C80A89">
                      <w:pPr>
                        <w:rPr>
                          <w:rFonts w:ascii="Times New Roman" w:hAnsi="Times New Roman" w:cs="Times New Roman"/>
                        </w:rPr>
                      </w:pPr>
                    </w:p>
                    <w:p w14:paraId="35C454A6" w14:textId="5E888A92" w:rsidR="00666710" w:rsidRPr="00666710" w:rsidRDefault="00666710" w:rsidP="00C80A89">
                      <w:pPr>
                        <w:rPr>
                          <w:rFonts w:ascii="Times New Roman" w:hAnsi="Times New Roman" w:cs="Times New Roman"/>
                        </w:rPr>
                      </w:pPr>
                      <w:r w:rsidRPr="00666710">
                        <w:rPr>
                          <w:rFonts w:ascii="Times New Roman" w:hAnsi="Times New Roman" w:cs="Times New Roman"/>
                        </w:rPr>
                        <w:t>Orientis Graeci Inscriptiones Selectae</w:t>
                      </w:r>
                      <w:r w:rsidR="00A221E3">
                        <w:rPr>
                          <w:rFonts w:ascii="Times New Roman" w:hAnsi="Times New Roman" w:cs="Times New Roman"/>
                        </w:rPr>
                        <w:t xml:space="preserve"> – OGIS 56 &amp; 61.</w:t>
                      </w:r>
                    </w:p>
                  </w:txbxContent>
                </v:textbox>
                <w10:wrap type="square"/>
              </v:shape>
            </w:pict>
          </mc:Fallback>
        </mc:AlternateContent>
      </w:r>
    </w:p>
    <w:sectPr w:rsidR="00BF3867" w:rsidRPr="0066671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C2797" w14:textId="77777777" w:rsidR="00B368BE" w:rsidRDefault="00B368BE" w:rsidP="00BB7979">
      <w:pPr>
        <w:spacing w:after="0" w:line="240" w:lineRule="auto"/>
      </w:pPr>
      <w:r>
        <w:separator/>
      </w:r>
    </w:p>
  </w:endnote>
  <w:endnote w:type="continuationSeparator" w:id="0">
    <w:p w14:paraId="43FECCAD" w14:textId="77777777" w:rsidR="00B368BE" w:rsidRDefault="00B368BE" w:rsidP="00BB7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8264357"/>
      <w:docPartObj>
        <w:docPartGallery w:val="Page Numbers (Bottom of Page)"/>
        <w:docPartUnique/>
      </w:docPartObj>
    </w:sdtPr>
    <w:sdtEndPr>
      <w:rPr>
        <w:noProof/>
      </w:rPr>
    </w:sdtEndPr>
    <w:sdtContent>
      <w:p w14:paraId="5FD6ED1E" w14:textId="7C27257B" w:rsidR="00666710" w:rsidRDefault="00666710">
        <w:pPr>
          <w:pStyle w:val="Footer"/>
          <w:jc w:val="right"/>
        </w:pPr>
        <w:r>
          <w:fldChar w:fldCharType="begin"/>
        </w:r>
        <w:r>
          <w:instrText xml:space="preserve"> PAGE   \* MERGEFORMAT </w:instrText>
        </w:r>
        <w:r>
          <w:fldChar w:fldCharType="separate"/>
        </w:r>
        <w:r w:rsidR="00031D9A">
          <w:rPr>
            <w:noProof/>
          </w:rPr>
          <w:t>1</w:t>
        </w:r>
        <w:r>
          <w:rPr>
            <w:noProof/>
          </w:rPr>
          <w:fldChar w:fldCharType="end"/>
        </w:r>
      </w:p>
    </w:sdtContent>
  </w:sdt>
  <w:p w14:paraId="4546601F" w14:textId="77777777" w:rsidR="00666710" w:rsidRDefault="00666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113A9" w14:textId="77777777" w:rsidR="00B368BE" w:rsidRDefault="00B368BE" w:rsidP="00BB7979">
      <w:pPr>
        <w:spacing w:after="0" w:line="240" w:lineRule="auto"/>
      </w:pPr>
      <w:r>
        <w:separator/>
      </w:r>
    </w:p>
  </w:footnote>
  <w:footnote w:type="continuationSeparator" w:id="0">
    <w:p w14:paraId="2CB677F1" w14:textId="77777777" w:rsidR="00B368BE" w:rsidRDefault="00B368BE" w:rsidP="00BB7979">
      <w:pPr>
        <w:spacing w:after="0" w:line="240" w:lineRule="auto"/>
      </w:pPr>
      <w:r>
        <w:continuationSeparator/>
      </w:r>
    </w:p>
  </w:footnote>
  <w:footnote w:id="1">
    <w:p w14:paraId="1B3A5AD4" w14:textId="77777777" w:rsidR="00E0059D" w:rsidRDefault="00E0059D" w:rsidP="0040031B">
      <w:pPr>
        <w:pStyle w:val="FootnoteText"/>
      </w:pPr>
      <w:r>
        <w:rPr>
          <w:rStyle w:val="FootnoteReference"/>
        </w:rPr>
        <w:footnoteRef/>
      </w:r>
      <w:r w:rsidR="00514715">
        <w:t xml:space="preserve">Bennett </w:t>
      </w:r>
      <w:r w:rsidR="00392256">
        <w:t>2001</w:t>
      </w:r>
      <w:r w:rsidR="00514715">
        <w:t xml:space="preserve">z </w:t>
      </w:r>
    </w:p>
  </w:footnote>
  <w:footnote w:id="2">
    <w:p w14:paraId="6C1B0B69" w14:textId="000429B5" w:rsidR="00392256" w:rsidRDefault="00392256" w:rsidP="00392256">
      <w:pPr>
        <w:pStyle w:val="FootnoteText"/>
      </w:pPr>
      <w:r>
        <w:rPr>
          <w:rStyle w:val="FootnoteReference"/>
        </w:rPr>
        <w:footnoteRef/>
      </w:r>
      <w:r>
        <w:t xml:space="preserve"> </w:t>
      </w:r>
      <w:r>
        <w:t>Hölbl</w:t>
      </w:r>
      <w:r>
        <w:t xml:space="preserve"> 2001, 108</w:t>
      </w:r>
    </w:p>
  </w:footnote>
  <w:footnote w:id="3">
    <w:p w14:paraId="06294C76" w14:textId="77777777" w:rsidR="00A221E3" w:rsidRDefault="00A221E3" w:rsidP="00A221E3">
      <w:pPr>
        <w:pStyle w:val="FootnoteText"/>
      </w:pPr>
      <w:r>
        <w:rPr>
          <w:rStyle w:val="FootnoteReference"/>
        </w:rPr>
        <w:footnoteRef/>
      </w:r>
      <w:r>
        <w:t xml:space="preserve"> Bennett 2001y</w:t>
      </w:r>
    </w:p>
  </w:footnote>
  <w:footnote w:id="4">
    <w:p w14:paraId="5BE40262" w14:textId="7996DD07" w:rsidR="00E0059D" w:rsidRDefault="00E0059D" w:rsidP="00E0059D">
      <w:pPr>
        <w:pStyle w:val="FootnoteText"/>
      </w:pPr>
      <w:r>
        <w:rPr>
          <w:rStyle w:val="FootnoteReference"/>
        </w:rPr>
        <w:footnoteRef/>
      </w:r>
      <w:r>
        <w:t xml:space="preserve"> </w:t>
      </w:r>
      <w:r w:rsidR="00514715">
        <w:t xml:space="preserve">Bennett </w:t>
      </w:r>
      <w:r w:rsidR="00392256">
        <w:t>2001</w:t>
      </w:r>
      <w:r w:rsidR="00514715">
        <w:t>z</w:t>
      </w:r>
    </w:p>
  </w:footnote>
  <w:footnote w:id="5">
    <w:p w14:paraId="2A272E0E" w14:textId="3E1E00A4" w:rsidR="00C80A89" w:rsidRDefault="00C80A89">
      <w:pPr>
        <w:pStyle w:val="FootnoteText"/>
      </w:pPr>
      <w:r>
        <w:rPr>
          <w:rStyle w:val="FootnoteReference"/>
        </w:rPr>
        <w:footnoteRef/>
      </w:r>
      <w:r>
        <w:t xml:space="preserve"> Bevans</w:t>
      </w:r>
      <w:r w:rsidR="00666710">
        <w:t xml:space="preserve"> </w:t>
      </w:r>
      <w:r w:rsidR="00666710" w:rsidRPr="00666710">
        <w:rPr>
          <w:rFonts w:ascii="Times New Roman" w:hAnsi="Times New Roman" w:cs="Times New Roman"/>
        </w:rPr>
        <w:t>1927</w:t>
      </w:r>
      <w:r w:rsidR="00666710">
        <w:t>,</w:t>
      </w:r>
      <w:r w:rsidR="003734E9">
        <w:t xml:space="preserve"> 211</w:t>
      </w:r>
    </w:p>
  </w:footnote>
  <w:footnote w:id="6">
    <w:p w14:paraId="1C48ABAA" w14:textId="37BFA584" w:rsidR="004809BB" w:rsidRDefault="004809BB">
      <w:pPr>
        <w:pStyle w:val="FootnoteText"/>
      </w:pPr>
      <w:r>
        <w:rPr>
          <w:rStyle w:val="FootnoteReference"/>
        </w:rPr>
        <w:footnoteRef/>
      </w:r>
      <w:r>
        <w:t xml:space="preserve"> </w:t>
      </w:r>
      <w:r w:rsidR="00666710">
        <w:t>OGIS 56</w:t>
      </w:r>
      <w:r w:rsidRPr="004809BB">
        <w:t>.</w:t>
      </w:r>
    </w:p>
  </w:footnote>
  <w:footnote w:id="7">
    <w:p w14:paraId="346FD8FC" w14:textId="1416CA67" w:rsidR="00C80A89" w:rsidRDefault="00C80A89" w:rsidP="00C80A89">
      <w:pPr>
        <w:pStyle w:val="FootnoteText"/>
      </w:pPr>
      <w:r>
        <w:rPr>
          <w:rStyle w:val="FootnoteReference"/>
        </w:rPr>
        <w:footnoteRef/>
      </w:r>
      <w:r>
        <w:t xml:space="preserve"> Bevans </w:t>
      </w:r>
      <w:r w:rsidR="00666710" w:rsidRPr="00666710">
        <w:rPr>
          <w:rFonts w:ascii="Times New Roman" w:hAnsi="Times New Roman" w:cs="Times New Roman"/>
        </w:rPr>
        <w:t>1927</w:t>
      </w:r>
      <w:r w:rsidR="00666710">
        <w:rPr>
          <w:rFonts w:ascii="Times New Roman" w:hAnsi="Times New Roman" w:cs="Times New Roman"/>
        </w:rPr>
        <w:t xml:space="preserve"> </w:t>
      </w:r>
      <w:r w:rsidR="003734E9">
        <w:t>201 footnote 41</w:t>
      </w:r>
    </w:p>
  </w:footnote>
  <w:footnote w:id="8">
    <w:p w14:paraId="6C318433" w14:textId="75D3DAD7" w:rsidR="00A221E3" w:rsidRDefault="00A221E3">
      <w:pPr>
        <w:pStyle w:val="FootnoteText"/>
      </w:pPr>
      <w:r>
        <w:rPr>
          <w:rStyle w:val="FootnoteReference"/>
        </w:rPr>
        <w:footnoteRef/>
      </w:r>
      <w:r>
        <w:t xml:space="preserve"> Clayman 2014</w:t>
      </w:r>
    </w:p>
  </w:footnote>
  <w:footnote w:id="9">
    <w:p w14:paraId="57FBA474" w14:textId="1D0B21E5" w:rsidR="004809BB" w:rsidRDefault="004809BB">
      <w:pPr>
        <w:pStyle w:val="FootnoteText"/>
      </w:pPr>
      <w:r>
        <w:rPr>
          <w:rStyle w:val="FootnoteReference"/>
        </w:rPr>
        <w:footnoteRef/>
      </w:r>
      <w:r>
        <w:t xml:space="preserve"> </w:t>
      </w:r>
      <w:r w:rsidR="00666710">
        <w:t>Penrose 2016</w:t>
      </w:r>
    </w:p>
  </w:footnote>
  <w:footnote w:id="10">
    <w:p w14:paraId="389159D4" w14:textId="27B8C7A1" w:rsidR="00BB7979" w:rsidRDefault="00BB7979" w:rsidP="004809BB">
      <w:pPr>
        <w:pStyle w:val="FootnoteText"/>
      </w:pPr>
      <w:r>
        <w:rPr>
          <w:rStyle w:val="FootnoteReference"/>
        </w:rPr>
        <w:footnoteRef/>
      </w:r>
      <w:r>
        <w:t xml:space="preserve"> Penrose </w:t>
      </w:r>
      <w:r w:rsidR="004809BB">
        <w:t xml:space="preserve">2016 </w:t>
      </w:r>
    </w:p>
  </w:footnote>
  <w:footnote w:id="11">
    <w:p w14:paraId="335FAD2D" w14:textId="3A3A329F" w:rsidR="00666710" w:rsidRDefault="00666710">
      <w:pPr>
        <w:pStyle w:val="FootnoteText"/>
      </w:pPr>
      <w:r>
        <w:rPr>
          <w:rStyle w:val="FootnoteReference"/>
        </w:rPr>
        <w:footnoteRef/>
      </w:r>
      <w:r>
        <w:t xml:space="preserve"> Clayman 2014</w:t>
      </w:r>
    </w:p>
  </w:footnote>
  <w:footnote w:id="12">
    <w:p w14:paraId="74891C7F" w14:textId="2664B28D" w:rsidR="00666710" w:rsidRDefault="00666710">
      <w:pPr>
        <w:pStyle w:val="FootnoteText"/>
      </w:pPr>
      <w:r>
        <w:rPr>
          <w:rStyle w:val="FootnoteReference"/>
        </w:rPr>
        <w:footnoteRef/>
      </w:r>
      <w:r>
        <w:t xml:space="preserve"> Clayman 2014</w:t>
      </w:r>
    </w:p>
  </w:footnote>
  <w:footnote w:id="13">
    <w:p w14:paraId="2E35C1DD" w14:textId="46AC877C" w:rsidR="003734E9" w:rsidRDefault="003734E9">
      <w:pPr>
        <w:pStyle w:val="FootnoteText"/>
      </w:pPr>
      <w:r>
        <w:rPr>
          <w:rStyle w:val="FootnoteReference"/>
        </w:rPr>
        <w:footnoteRef/>
      </w:r>
      <w:r>
        <w:t xml:space="preserve"> Clayman</w:t>
      </w:r>
      <w:r w:rsidR="00666710">
        <w:t xml:space="preserve"> 161 citing </w:t>
      </w:r>
      <w:r w:rsidR="004809BB">
        <w:t>OGIS 61</w:t>
      </w:r>
    </w:p>
  </w:footnote>
  <w:footnote w:id="14">
    <w:p w14:paraId="0CBD2757" w14:textId="636C0C61" w:rsidR="003734E9" w:rsidRDefault="003734E9">
      <w:pPr>
        <w:pStyle w:val="FootnoteText"/>
      </w:pPr>
      <w:r>
        <w:rPr>
          <w:rStyle w:val="FootnoteReference"/>
        </w:rPr>
        <w:footnoteRef/>
      </w:r>
      <w:r w:rsidR="00666710">
        <w:t xml:space="preserve"> Bevans 1927</w:t>
      </w:r>
      <w:r>
        <w:t xml:space="preserve"> 198-190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C9BF2A" w14:textId="0AAC6BA0" w:rsidR="00666710" w:rsidRDefault="00666710">
    <w:pPr>
      <w:pStyle w:val="Header"/>
    </w:pPr>
    <w:r>
      <w:t>CLCS6014</w:t>
    </w:r>
    <w:r>
      <w:tab/>
    </w:r>
    <w:r w:rsidR="00031D9A">
      <w:t>Word Count: 793</w:t>
    </w:r>
    <w:r>
      <w:tab/>
      <w:t>Epiphany Roberts</w:t>
    </w:r>
  </w:p>
  <w:p w14:paraId="77C542B4" w14:textId="77777777" w:rsidR="00666710" w:rsidRDefault="006667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E7F"/>
    <w:rsid w:val="00031D9A"/>
    <w:rsid w:val="00084F9D"/>
    <w:rsid w:val="00106742"/>
    <w:rsid w:val="001079DB"/>
    <w:rsid w:val="001D76F5"/>
    <w:rsid w:val="00205FD2"/>
    <w:rsid w:val="00372793"/>
    <w:rsid w:val="003734E9"/>
    <w:rsid w:val="00392256"/>
    <w:rsid w:val="0040031B"/>
    <w:rsid w:val="004809BB"/>
    <w:rsid w:val="00514715"/>
    <w:rsid w:val="00553C91"/>
    <w:rsid w:val="00666710"/>
    <w:rsid w:val="007540B4"/>
    <w:rsid w:val="00764ED3"/>
    <w:rsid w:val="008146D5"/>
    <w:rsid w:val="008B27FC"/>
    <w:rsid w:val="008C5E7F"/>
    <w:rsid w:val="00912F54"/>
    <w:rsid w:val="009207B9"/>
    <w:rsid w:val="00976F67"/>
    <w:rsid w:val="00A221E3"/>
    <w:rsid w:val="00AC7489"/>
    <w:rsid w:val="00B24BC8"/>
    <w:rsid w:val="00B368BE"/>
    <w:rsid w:val="00B8131D"/>
    <w:rsid w:val="00BB7979"/>
    <w:rsid w:val="00BF3867"/>
    <w:rsid w:val="00C80A89"/>
    <w:rsid w:val="00C92882"/>
    <w:rsid w:val="00D60530"/>
    <w:rsid w:val="00E00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D67627"/>
  <w15:chartTrackingRefBased/>
  <w15:docId w15:val="{7C60B4AA-6E85-4354-8F69-C562B1625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7489"/>
  </w:style>
  <w:style w:type="paragraph" w:styleId="Heading1">
    <w:name w:val="heading 1"/>
    <w:basedOn w:val="Normal"/>
    <w:next w:val="Normal"/>
    <w:link w:val="Heading1Char"/>
    <w:uiPriority w:val="9"/>
    <w:qFormat/>
    <w:rsid w:val="00C80A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09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B7979"/>
    <w:pPr>
      <w:spacing w:after="0" w:line="240" w:lineRule="auto"/>
    </w:pPr>
    <w:rPr>
      <w:sz w:val="20"/>
      <w:szCs w:val="20"/>
    </w:rPr>
  </w:style>
  <w:style w:type="character" w:customStyle="1" w:styleId="FootnoteTextChar">
    <w:name w:val="Footnote Text Char"/>
    <w:basedOn w:val="DefaultParagraphFont"/>
    <w:link w:val="FootnoteText"/>
    <w:uiPriority w:val="99"/>
    <w:rsid w:val="00BB7979"/>
    <w:rPr>
      <w:sz w:val="20"/>
      <w:szCs w:val="20"/>
    </w:rPr>
  </w:style>
  <w:style w:type="character" w:styleId="FootnoteReference">
    <w:name w:val="footnote reference"/>
    <w:basedOn w:val="DefaultParagraphFont"/>
    <w:uiPriority w:val="99"/>
    <w:semiHidden/>
    <w:unhideWhenUsed/>
    <w:rsid w:val="00BB7979"/>
    <w:rPr>
      <w:vertAlign w:val="superscript"/>
    </w:rPr>
  </w:style>
  <w:style w:type="character" w:styleId="Hyperlink">
    <w:name w:val="Hyperlink"/>
    <w:basedOn w:val="DefaultParagraphFont"/>
    <w:uiPriority w:val="99"/>
    <w:unhideWhenUsed/>
    <w:rsid w:val="00BB7979"/>
    <w:rPr>
      <w:color w:val="0563C1" w:themeColor="hyperlink"/>
      <w:u w:val="single"/>
    </w:rPr>
  </w:style>
  <w:style w:type="character" w:styleId="UnresolvedMention">
    <w:name w:val="Unresolved Mention"/>
    <w:basedOn w:val="DefaultParagraphFont"/>
    <w:uiPriority w:val="99"/>
    <w:semiHidden/>
    <w:unhideWhenUsed/>
    <w:rsid w:val="00BB7979"/>
    <w:rPr>
      <w:color w:val="808080"/>
      <w:shd w:val="clear" w:color="auto" w:fill="E6E6E6"/>
    </w:rPr>
  </w:style>
  <w:style w:type="character" w:styleId="CommentReference">
    <w:name w:val="annotation reference"/>
    <w:basedOn w:val="DefaultParagraphFont"/>
    <w:uiPriority w:val="99"/>
    <w:semiHidden/>
    <w:unhideWhenUsed/>
    <w:rsid w:val="00E0059D"/>
    <w:rPr>
      <w:sz w:val="16"/>
      <w:szCs w:val="16"/>
    </w:rPr>
  </w:style>
  <w:style w:type="paragraph" w:styleId="CommentText">
    <w:name w:val="annotation text"/>
    <w:basedOn w:val="Normal"/>
    <w:link w:val="CommentTextChar"/>
    <w:uiPriority w:val="99"/>
    <w:semiHidden/>
    <w:unhideWhenUsed/>
    <w:rsid w:val="00E0059D"/>
    <w:pPr>
      <w:spacing w:line="240" w:lineRule="auto"/>
    </w:pPr>
    <w:rPr>
      <w:sz w:val="20"/>
      <w:szCs w:val="20"/>
    </w:rPr>
  </w:style>
  <w:style w:type="character" w:customStyle="1" w:styleId="CommentTextChar">
    <w:name w:val="Comment Text Char"/>
    <w:basedOn w:val="DefaultParagraphFont"/>
    <w:link w:val="CommentText"/>
    <w:uiPriority w:val="99"/>
    <w:semiHidden/>
    <w:rsid w:val="00E0059D"/>
    <w:rPr>
      <w:sz w:val="20"/>
      <w:szCs w:val="20"/>
    </w:rPr>
  </w:style>
  <w:style w:type="paragraph" w:styleId="BalloonText">
    <w:name w:val="Balloon Text"/>
    <w:basedOn w:val="Normal"/>
    <w:link w:val="BalloonTextChar"/>
    <w:uiPriority w:val="99"/>
    <w:semiHidden/>
    <w:unhideWhenUsed/>
    <w:rsid w:val="00E005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059D"/>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9207B9"/>
    <w:rPr>
      <w:b/>
      <w:bCs/>
    </w:rPr>
  </w:style>
  <w:style w:type="character" w:customStyle="1" w:styleId="CommentSubjectChar">
    <w:name w:val="Comment Subject Char"/>
    <w:basedOn w:val="CommentTextChar"/>
    <w:link w:val="CommentSubject"/>
    <w:uiPriority w:val="99"/>
    <w:semiHidden/>
    <w:rsid w:val="009207B9"/>
    <w:rPr>
      <w:b/>
      <w:bCs/>
      <w:sz w:val="20"/>
      <w:szCs w:val="20"/>
    </w:rPr>
  </w:style>
  <w:style w:type="paragraph" w:styleId="Caption">
    <w:name w:val="caption"/>
    <w:basedOn w:val="Normal"/>
    <w:next w:val="Normal"/>
    <w:uiPriority w:val="35"/>
    <w:semiHidden/>
    <w:unhideWhenUsed/>
    <w:qFormat/>
    <w:rsid w:val="0039225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C80A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809B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66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710"/>
  </w:style>
  <w:style w:type="paragraph" w:styleId="Footer">
    <w:name w:val="footer"/>
    <w:basedOn w:val="Normal"/>
    <w:link w:val="FooterChar"/>
    <w:uiPriority w:val="99"/>
    <w:unhideWhenUsed/>
    <w:rsid w:val="00666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7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382661">
      <w:bodyDiv w:val="1"/>
      <w:marLeft w:val="0"/>
      <w:marRight w:val="0"/>
      <w:marTop w:val="0"/>
      <w:marBottom w:val="0"/>
      <w:divBdr>
        <w:top w:val="none" w:sz="0" w:space="0" w:color="auto"/>
        <w:left w:val="none" w:sz="0" w:space="0" w:color="auto"/>
        <w:bottom w:val="none" w:sz="0" w:space="0" w:color="auto"/>
        <w:right w:val="none" w:sz="0" w:space="0" w:color="auto"/>
      </w:divBdr>
    </w:div>
    <w:div w:id="365059437">
      <w:bodyDiv w:val="1"/>
      <w:marLeft w:val="0"/>
      <w:marRight w:val="0"/>
      <w:marTop w:val="0"/>
      <w:marBottom w:val="0"/>
      <w:divBdr>
        <w:top w:val="none" w:sz="0" w:space="0" w:color="auto"/>
        <w:left w:val="none" w:sz="0" w:space="0" w:color="auto"/>
        <w:bottom w:val="none" w:sz="0" w:space="0" w:color="auto"/>
        <w:right w:val="none" w:sz="0" w:space="0" w:color="auto"/>
      </w:divBdr>
    </w:div>
    <w:div w:id="442651001">
      <w:bodyDiv w:val="1"/>
      <w:marLeft w:val="0"/>
      <w:marRight w:val="0"/>
      <w:marTop w:val="0"/>
      <w:marBottom w:val="0"/>
      <w:divBdr>
        <w:top w:val="none" w:sz="0" w:space="0" w:color="auto"/>
        <w:left w:val="none" w:sz="0" w:space="0" w:color="auto"/>
        <w:bottom w:val="none" w:sz="0" w:space="0" w:color="auto"/>
        <w:right w:val="none" w:sz="0" w:space="0" w:color="auto"/>
      </w:divBdr>
    </w:div>
    <w:div w:id="892274494">
      <w:bodyDiv w:val="1"/>
      <w:marLeft w:val="0"/>
      <w:marRight w:val="0"/>
      <w:marTop w:val="0"/>
      <w:marBottom w:val="0"/>
      <w:divBdr>
        <w:top w:val="none" w:sz="0" w:space="0" w:color="auto"/>
        <w:left w:val="none" w:sz="0" w:space="0" w:color="auto"/>
        <w:bottom w:val="none" w:sz="0" w:space="0" w:color="auto"/>
        <w:right w:val="none" w:sz="0" w:space="0" w:color="auto"/>
      </w:divBdr>
    </w:div>
    <w:div w:id="990671831">
      <w:bodyDiv w:val="1"/>
      <w:marLeft w:val="0"/>
      <w:marRight w:val="0"/>
      <w:marTop w:val="0"/>
      <w:marBottom w:val="0"/>
      <w:divBdr>
        <w:top w:val="none" w:sz="0" w:space="0" w:color="auto"/>
        <w:left w:val="none" w:sz="0" w:space="0" w:color="auto"/>
        <w:bottom w:val="none" w:sz="0" w:space="0" w:color="auto"/>
        <w:right w:val="none" w:sz="0" w:space="0" w:color="auto"/>
      </w:divBdr>
    </w:div>
    <w:div w:id="1023633093">
      <w:bodyDiv w:val="1"/>
      <w:marLeft w:val="0"/>
      <w:marRight w:val="0"/>
      <w:marTop w:val="0"/>
      <w:marBottom w:val="0"/>
      <w:divBdr>
        <w:top w:val="none" w:sz="0" w:space="0" w:color="auto"/>
        <w:left w:val="none" w:sz="0" w:space="0" w:color="auto"/>
        <w:bottom w:val="none" w:sz="0" w:space="0" w:color="auto"/>
        <w:right w:val="none" w:sz="0" w:space="0" w:color="auto"/>
      </w:divBdr>
      <w:divsChild>
        <w:div w:id="584455550">
          <w:marLeft w:val="0"/>
          <w:marRight w:val="0"/>
          <w:marTop w:val="0"/>
          <w:marBottom w:val="225"/>
          <w:divBdr>
            <w:top w:val="none" w:sz="0" w:space="0" w:color="auto"/>
            <w:left w:val="none" w:sz="0" w:space="0" w:color="auto"/>
            <w:bottom w:val="none" w:sz="0" w:space="0" w:color="auto"/>
            <w:right w:val="none" w:sz="0" w:space="0" w:color="auto"/>
          </w:divBdr>
          <w:divsChild>
            <w:div w:id="2080010108">
              <w:marLeft w:val="0"/>
              <w:marRight w:val="0"/>
              <w:marTop w:val="0"/>
              <w:marBottom w:val="0"/>
              <w:divBdr>
                <w:top w:val="single" w:sz="6" w:space="0" w:color="999999"/>
                <w:left w:val="single" w:sz="6" w:space="0" w:color="999999"/>
                <w:bottom w:val="single" w:sz="6" w:space="0" w:color="999999"/>
                <w:right w:val="single" w:sz="6" w:space="0" w:color="999999"/>
              </w:divBdr>
            </w:div>
          </w:divsChild>
        </w:div>
        <w:div w:id="2115317164">
          <w:marLeft w:val="210"/>
          <w:marRight w:val="0"/>
          <w:marTop w:val="0"/>
          <w:marBottom w:val="225"/>
          <w:divBdr>
            <w:top w:val="none" w:sz="0" w:space="0" w:color="auto"/>
            <w:left w:val="none" w:sz="0" w:space="0" w:color="auto"/>
            <w:bottom w:val="none" w:sz="0" w:space="0" w:color="auto"/>
            <w:right w:val="none" w:sz="0" w:space="0" w:color="auto"/>
          </w:divBdr>
          <w:divsChild>
            <w:div w:id="11226756">
              <w:marLeft w:val="0"/>
              <w:marRight w:val="0"/>
              <w:marTop w:val="0"/>
              <w:marBottom w:val="75"/>
              <w:divBdr>
                <w:top w:val="none" w:sz="0" w:space="0" w:color="auto"/>
                <w:left w:val="none" w:sz="0" w:space="0" w:color="auto"/>
                <w:bottom w:val="none" w:sz="0" w:space="0" w:color="auto"/>
                <w:right w:val="none" w:sz="0" w:space="0" w:color="auto"/>
              </w:divBdr>
            </w:div>
            <w:div w:id="76107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330617">
      <w:bodyDiv w:val="1"/>
      <w:marLeft w:val="0"/>
      <w:marRight w:val="0"/>
      <w:marTop w:val="0"/>
      <w:marBottom w:val="0"/>
      <w:divBdr>
        <w:top w:val="none" w:sz="0" w:space="0" w:color="auto"/>
        <w:left w:val="none" w:sz="0" w:space="0" w:color="auto"/>
        <w:bottom w:val="none" w:sz="0" w:space="0" w:color="auto"/>
        <w:right w:val="none" w:sz="0" w:space="0" w:color="auto"/>
      </w:divBdr>
      <w:divsChild>
        <w:div w:id="1601912182">
          <w:marLeft w:val="0"/>
          <w:marRight w:val="180"/>
          <w:marTop w:val="0"/>
          <w:marBottom w:val="0"/>
          <w:divBdr>
            <w:top w:val="none" w:sz="0" w:space="0" w:color="auto"/>
            <w:left w:val="none" w:sz="0" w:space="0" w:color="auto"/>
            <w:bottom w:val="none" w:sz="0" w:space="0" w:color="auto"/>
            <w:right w:val="none" w:sz="0" w:space="0" w:color="auto"/>
          </w:divBdr>
        </w:div>
        <w:div w:id="894198934">
          <w:marLeft w:val="0"/>
          <w:marRight w:val="0"/>
          <w:marTop w:val="0"/>
          <w:marBottom w:val="30"/>
          <w:divBdr>
            <w:top w:val="none" w:sz="0" w:space="0" w:color="auto"/>
            <w:left w:val="none" w:sz="0" w:space="0" w:color="auto"/>
            <w:bottom w:val="none" w:sz="0" w:space="0" w:color="auto"/>
            <w:right w:val="none" w:sz="0" w:space="0" w:color="auto"/>
          </w:divBdr>
          <w:divsChild>
            <w:div w:id="1817528183">
              <w:marLeft w:val="0"/>
              <w:marRight w:val="0"/>
              <w:marTop w:val="48"/>
              <w:marBottom w:val="48"/>
              <w:divBdr>
                <w:top w:val="none" w:sz="0" w:space="0" w:color="auto"/>
                <w:left w:val="none" w:sz="0" w:space="0" w:color="auto"/>
                <w:bottom w:val="none" w:sz="0" w:space="0" w:color="auto"/>
                <w:right w:val="none" w:sz="0" w:space="0" w:color="auto"/>
              </w:divBdr>
            </w:div>
            <w:div w:id="1282418545">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yndalehouse.com/Egypt/ptolemies/ptolemy_iii_fr.htm%20Accessed%2013%20February%20201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yndalehouse.com/Egypt/ptolemies/berenice_b_fr.ht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tyndalehouse.com/Egypt/ptolemies/ptolemy_iii_fr.htm%20Accessed%2013%20February%202018" TargetMode="External"/><Relationship Id="rId4" Type="http://schemas.openxmlformats.org/officeDocument/2006/relationships/footnotes" Target="footnotes.xml"/><Relationship Id="rId9" Type="http://schemas.openxmlformats.org/officeDocument/2006/relationships/hyperlink" Target="http://www.tyndalehouse.com/Egypt/ptolemies/berenice_b_fr.ht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251"/>
    <w:rsid w:val="00870251"/>
    <w:rsid w:val="00AD0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C01B609F2C4C4F9C6E7CAF43FFE0C1">
    <w:name w:val="62C01B609F2C4C4F9C6E7CAF43FFE0C1"/>
    <w:rsid w:val="00870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TotalTime>
  <Pages>3</Pages>
  <Words>715</Words>
  <Characters>4079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 Roberts</dc:creator>
  <cp:keywords/>
  <dc:description/>
  <cp:lastModifiedBy>Pip Roberts</cp:lastModifiedBy>
  <cp:revision>9</cp:revision>
  <dcterms:created xsi:type="dcterms:W3CDTF">2018-02-13T14:49:00Z</dcterms:created>
  <dcterms:modified xsi:type="dcterms:W3CDTF">2018-02-13T23:53:00Z</dcterms:modified>
</cp:coreProperties>
</file>