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8F8F3C9" w:rsidR="00986B43" w:rsidRPr="00402141" w:rsidRDefault="00986B43" w:rsidP="005D3F07">
            <w:pPr>
              <w:overflowPunct/>
              <w:autoSpaceDE/>
              <w:autoSpaceDN/>
              <w:adjustRightInd/>
              <w:ind w:right="-957"/>
              <w:textAlignment w:val="auto"/>
              <w:rPr>
                <w:rFonts w:asciiTheme="minorHAnsi" w:hAnsiTheme="minorHAnsi" w:cstheme="minorHAnsi"/>
                <w:bCs/>
                <w:color w:val="auto"/>
                <w:sz w:val="28"/>
                <w:szCs w:val="2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02141" w:rsidRPr="00402141">
              <w:rPr>
                <w:rFonts w:asciiTheme="minorHAnsi" w:hAnsiTheme="minorHAnsi" w:cstheme="minorHAnsi"/>
                <w:bCs/>
                <w:color w:val="auto"/>
                <w:sz w:val="28"/>
                <w:szCs w:val="28"/>
              </w:rPr>
              <w:t>Hannah Burgoyne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03D1E0D" w14:textId="3DC42B82" w:rsidR="004417B6" w:rsidRPr="0090766C" w:rsidRDefault="009C337F" w:rsidP="004417B6">
            <w:pPr>
              <w:overflowPunct/>
              <w:autoSpaceDE/>
              <w:autoSpaceDN/>
              <w:adjustRightInd/>
              <w:ind w:right="-957"/>
              <w:textAlignment w:val="auto"/>
              <w:rPr>
                <w:rFonts w:ascii="Times New Roman" w:hAnsi="Times New Roman" w:cs="Times New Roman"/>
                <w:bCs/>
                <w:color w:val="auto"/>
                <w:sz w:val="32"/>
                <w:szCs w:val="32"/>
              </w:rPr>
            </w:pPr>
            <w:r>
              <w:rPr>
                <w:rFonts w:ascii="Times New Roman" w:hAnsi="Times New Roman" w:cs="Times New Roman"/>
                <w:b/>
                <w:color w:val="auto"/>
                <w:sz w:val="48"/>
              </w:rPr>
              <w:t>Email address:</w:t>
            </w:r>
            <w:r w:rsidR="004417B6" w:rsidRPr="00DD758F">
              <w:rPr>
                <w:rFonts w:ascii="Times New Roman" w:hAnsi="Times New Roman" w:cs="Times New Roman"/>
                <w:bCs/>
                <w:color w:val="auto"/>
                <w:sz w:val="28"/>
                <w:szCs w:val="28"/>
              </w:rPr>
              <w:t xml:space="preserve"> </w:t>
            </w:r>
            <w:r w:rsidR="004417B6" w:rsidRPr="0090766C">
              <w:rPr>
                <w:rFonts w:ascii="Times New Roman" w:hAnsi="Times New Roman" w:cs="Times New Roman"/>
                <w:bCs/>
                <w:color w:val="auto"/>
                <w:sz w:val="32"/>
                <w:szCs w:val="32"/>
              </w:rPr>
              <w:t xml:space="preserve">hannburgoyne123@outlook.com </w:t>
            </w:r>
          </w:p>
          <w:p w14:paraId="3A6EAAC7" w14:textId="71E55147" w:rsidR="009C337F" w:rsidRPr="004417B6" w:rsidRDefault="004417B6" w:rsidP="005D3F07">
            <w:pPr>
              <w:overflowPunct/>
              <w:autoSpaceDE/>
              <w:autoSpaceDN/>
              <w:adjustRightInd/>
              <w:ind w:right="-957"/>
              <w:textAlignment w:val="auto"/>
              <w:rPr>
                <w:rFonts w:ascii="Times New Roman" w:hAnsi="Times New Roman" w:cs="Times New Roman"/>
                <w:bCs/>
                <w:color w:val="auto"/>
                <w:sz w:val="28"/>
                <w:szCs w:val="28"/>
              </w:rPr>
            </w:pPr>
            <w:r w:rsidRPr="0090766C">
              <w:rPr>
                <w:rFonts w:ascii="Times New Roman" w:hAnsi="Times New Roman" w:cs="Times New Roman"/>
                <w:bCs/>
                <w:color w:val="auto"/>
                <w:sz w:val="32"/>
                <w:szCs w:val="32"/>
              </w:rPr>
              <w:t xml:space="preserve">&amp; </w:t>
            </w:r>
            <w:hyperlink r:id="rId11" w:history="1">
              <w:r w:rsidRPr="0090766C">
                <w:rPr>
                  <w:rStyle w:val="Hyperlink"/>
                  <w:rFonts w:ascii="Times New Roman" w:hAnsi="Times New Roman" w:cs="Times New Roman"/>
                  <w:bCs/>
                  <w:sz w:val="32"/>
                  <w:szCs w:val="32"/>
                </w:rPr>
                <w:t>hannah.burgoyne@firstaffinityfostering.co.uk</w:t>
              </w:r>
            </w:hyperlink>
            <w:r w:rsidRPr="00DD758F">
              <w:rPr>
                <w:rFonts w:ascii="Times New Roman" w:hAnsi="Times New Roman" w:cs="Times New Roman"/>
                <w:bCs/>
                <w:color w:val="auto"/>
                <w:sz w:val="28"/>
                <w:szCs w:val="2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D16C795" w14:textId="77777777" w:rsidR="004D011C" w:rsidRPr="003D7F86" w:rsidRDefault="004D011C" w:rsidP="004D011C">
            <w:pPr>
              <w:overflowPunct/>
              <w:autoSpaceDE/>
              <w:autoSpaceDN/>
              <w:adjustRightInd/>
              <w:textAlignment w:val="auto"/>
              <w:rPr>
                <w:rFonts w:asciiTheme="minorHAnsi" w:hAnsiTheme="minorHAnsi" w:cstheme="minorHAnsi"/>
                <w:color w:val="auto"/>
                <w:sz w:val="28"/>
                <w:szCs w:val="28"/>
              </w:rPr>
            </w:pPr>
            <w:r w:rsidRPr="003D7F86">
              <w:rPr>
                <w:rFonts w:asciiTheme="minorHAnsi" w:hAnsiTheme="minorHAnsi" w:cstheme="minorHAnsi"/>
                <w:sz w:val="28"/>
                <w:szCs w:val="28"/>
              </w:rPr>
              <w:t>2522535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755BAA7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7437E" w:rsidRPr="0047437E">
              <w:rPr>
                <w:rFonts w:asciiTheme="minorHAnsi" w:hAnsiTheme="minorHAnsi" w:cstheme="minorHAnsi"/>
                <w:bCs/>
                <w:color w:val="auto"/>
                <w:sz w:val="32"/>
                <w:szCs w:val="32"/>
              </w:rPr>
              <w:t>26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lastRenderedPageBreak/>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AF3574" w14:paraId="2E129DEE" w14:textId="77777777" w:rsidTr="7B2CF1A9">
        <w:tc>
          <w:tcPr>
            <w:tcW w:w="10031" w:type="dxa"/>
          </w:tcPr>
          <w:p w14:paraId="63627B26" w14:textId="64A7A177" w:rsidR="006872A0" w:rsidRPr="00AF3574" w:rsidRDefault="006872A0" w:rsidP="00AC7D75">
            <w:pPr>
              <w:jc w:val="both"/>
              <w:rPr>
                <w:rFonts w:asciiTheme="minorHAnsi" w:hAnsiTheme="minorHAnsi" w:cstheme="minorHAnsi"/>
                <w:b/>
                <w:sz w:val="24"/>
                <w:szCs w:val="24"/>
              </w:rPr>
            </w:pPr>
            <w:r w:rsidRPr="00AF3574">
              <w:rPr>
                <w:rFonts w:asciiTheme="minorHAnsi" w:hAnsiTheme="minorHAnsi" w:cstheme="minorHAnsi"/>
                <w:b/>
                <w:sz w:val="24"/>
                <w:szCs w:val="24"/>
              </w:rPr>
              <w:t>Question</w:t>
            </w:r>
            <w:r w:rsidR="007A628F" w:rsidRPr="00AF3574">
              <w:rPr>
                <w:rFonts w:asciiTheme="minorHAnsi" w:hAnsiTheme="minorHAnsi" w:cstheme="minorHAnsi"/>
                <w:b/>
                <w:sz w:val="24"/>
                <w:szCs w:val="24"/>
              </w:rPr>
              <w:t>:</w:t>
            </w:r>
          </w:p>
          <w:p w14:paraId="2F8A7CA5" w14:textId="66C523B2" w:rsidR="008D5999" w:rsidRPr="00AF3574" w:rsidRDefault="000A584A" w:rsidP="00AC7D75">
            <w:pPr>
              <w:jc w:val="both"/>
              <w:rPr>
                <w:rFonts w:asciiTheme="minorHAnsi" w:hAnsiTheme="minorHAnsi" w:cstheme="minorHAnsi"/>
                <w:sz w:val="24"/>
                <w:szCs w:val="24"/>
              </w:rPr>
            </w:pPr>
            <w:r w:rsidRPr="00AF3574">
              <w:rPr>
                <w:rFonts w:asciiTheme="minorHAnsi" w:hAnsiTheme="minorHAnsi" w:cstheme="minorHAnsi"/>
                <w:sz w:val="24"/>
                <w:szCs w:val="24"/>
              </w:rPr>
              <w:t xml:space="preserve">Complete a critically reflective case study </w:t>
            </w:r>
            <w:r w:rsidR="00D0503D" w:rsidRPr="00AF3574">
              <w:rPr>
                <w:rFonts w:asciiTheme="minorHAnsi" w:hAnsiTheme="minorHAnsi" w:cstheme="minorHAnsi"/>
                <w:sz w:val="24"/>
                <w:szCs w:val="24"/>
              </w:rPr>
              <w:t>based</w:t>
            </w:r>
            <w:r w:rsidRPr="00AF3574">
              <w:rPr>
                <w:rFonts w:asciiTheme="minorHAnsi" w:hAnsiTheme="minorHAnsi" w:cstheme="minorHAnsi"/>
                <w:sz w:val="24"/>
                <w:szCs w:val="24"/>
              </w:rPr>
              <w:t xml:space="preserve"> on</w:t>
            </w:r>
            <w:r w:rsidR="00696A88" w:rsidRPr="00AF3574">
              <w:rPr>
                <w:rFonts w:asciiTheme="minorHAnsi" w:hAnsiTheme="minorHAnsi" w:cstheme="minorHAnsi"/>
                <w:sz w:val="24"/>
                <w:szCs w:val="24"/>
              </w:rPr>
              <w:t xml:space="preserve"> </w:t>
            </w:r>
            <w:r w:rsidR="00411EF7" w:rsidRPr="00AF3574">
              <w:rPr>
                <w:rFonts w:asciiTheme="minorHAnsi" w:hAnsiTheme="minorHAnsi" w:cstheme="minorHAnsi"/>
                <w:sz w:val="24"/>
                <w:szCs w:val="24"/>
              </w:rPr>
              <w:t>an assessment</w:t>
            </w:r>
            <w:r w:rsidR="007F312E" w:rsidRPr="00AF3574">
              <w:rPr>
                <w:rFonts w:asciiTheme="minorHAnsi" w:hAnsiTheme="minorHAnsi" w:cstheme="minorHAnsi"/>
                <w:sz w:val="24"/>
                <w:szCs w:val="24"/>
              </w:rPr>
              <w:t xml:space="preserve"> </w:t>
            </w:r>
            <w:r w:rsidR="007C5ABE" w:rsidRPr="00AF3574">
              <w:rPr>
                <w:rFonts w:asciiTheme="minorHAnsi" w:hAnsiTheme="minorHAnsi" w:cstheme="minorHAnsi"/>
                <w:sz w:val="24"/>
                <w:szCs w:val="24"/>
              </w:rPr>
              <w:t xml:space="preserve">that you have </w:t>
            </w:r>
            <w:r w:rsidRPr="00AF3574">
              <w:rPr>
                <w:rFonts w:asciiTheme="minorHAnsi" w:hAnsiTheme="minorHAnsi" w:cstheme="minorHAnsi"/>
                <w:sz w:val="24"/>
                <w:szCs w:val="24"/>
              </w:rPr>
              <w:t xml:space="preserve">undertaken with </w:t>
            </w:r>
            <w:r w:rsidR="00D0503D" w:rsidRPr="00AF3574">
              <w:rPr>
                <w:rFonts w:asciiTheme="minorHAnsi" w:hAnsiTheme="minorHAnsi" w:cstheme="minorHAnsi"/>
                <w:sz w:val="24"/>
                <w:szCs w:val="24"/>
              </w:rPr>
              <w:t>others,</w:t>
            </w:r>
            <w:r w:rsidR="00D0503D" w:rsidRPr="00AF3574">
              <w:rPr>
                <w:rFonts w:asciiTheme="minorHAnsi" w:hAnsiTheme="minorHAnsi" w:cstheme="minorHAnsi"/>
                <w:b/>
                <w:bCs/>
                <w:sz w:val="24"/>
                <w:szCs w:val="24"/>
              </w:rPr>
              <w:t xml:space="preserve"> </w:t>
            </w:r>
            <w:r w:rsidR="00D0503D" w:rsidRPr="00AF3574">
              <w:rPr>
                <w:rFonts w:asciiTheme="minorHAnsi" w:hAnsiTheme="minorHAnsi" w:cstheme="minorHAnsi"/>
                <w:sz w:val="24"/>
                <w:szCs w:val="24"/>
              </w:rPr>
              <w:t>in</w:t>
            </w:r>
            <w:r w:rsidR="0002440E" w:rsidRPr="00AF3574">
              <w:rPr>
                <w:rFonts w:asciiTheme="minorHAnsi" w:hAnsiTheme="minorHAnsi" w:cstheme="minorHAnsi"/>
                <w:sz w:val="24"/>
                <w:szCs w:val="24"/>
              </w:rPr>
              <w:t xml:space="preserve"> your own area of work</w:t>
            </w:r>
            <w:r w:rsidR="00D0503D" w:rsidRPr="00AF3574">
              <w:rPr>
                <w:rFonts w:asciiTheme="minorHAnsi" w:hAnsiTheme="minorHAnsi" w:cstheme="minorHAnsi"/>
                <w:sz w:val="24"/>
                <w:szCs w:val="24"/>
              </w:rPr>
              <w:t xml:space="preserve">, </w:t>
            </w:r>
            <w:r w:rsidR="00587923" w:rsidRPr="00AF3574">
              <w:rPr>
                <w:rFonts w:asciiTheme="minorHAnsi" w:hAnsiTheme="minorHAnsi" w:cstheme="minorHAnsi"/>
                <w:sz w:val="24"/>
                <w:szCs w:val="24"/>
              </w:rPr>
              <w:t>c</w:t>
            </w:r>
            <w:r w:rsidR="008B28E7" w:rsidRPr="00AF3574">
              <w:rPr>
                <w:rFonts w:asciiTheme="minorHAnsi" w:hAnsiTheme="minorHAnsi" w:cstheme="minorHAnsi"/>
                <w:sz w:val="24"/>
                <w:szCs w:val="24"/>
              </w:rPr>
              <w:t>oncerning the safeguarding of either an adult or a child</w:t>
            </w:r>
            <w:r w:rsidRPr="00AF3574">
              <w:rPr>
                <w:rFonts w:asciiTheme="minorHAnsi" w:hAnsiTheme="minorHAnsi" w:cstheme="minorHAnsi"/>
                <w:sz w:val="24"/>
                <w:szCs w:val="24"/>
              </w:rPr>
              <w:t xml:space="preserve">. </w:t>
            </w:r>
            <w:r w:rsidR="00216563" w:rsidRPr="00AF3574">
              <w:rPr>
                <w:rFonts w:asciiTheme="minorHAnsi" w:hAnsiTheme="minorHAnsi" w:cstheme="minorHAnsi"/>
                <w:sz w:val="24"/>
                <w:szCs w:val="24"/>
              </w:rPr>
              <w:t xml:space="preserve">You must demonstrate how </w:t>
            </w:r>
            <w:r w:rsidR="00F34C86" w:rsidRPr="00AF3574">
              <w:rPr>
                <w:rFonts w:asciiTheme="minorHAnsi" w:hAnsiTheme="minorHAnsi" w:cstheme="minorHAnsi"/>
                <w:sz w:val="24"/>
                <w:szCs w:val="24"/>
              </w:rPr>
              <w:t xml:space="preserve">the case relates to or could relate to safeguarding </w:t>
            </w:r>
            <w:r w:rsidR="00216563" w:rsidRPr="00AF3574">
              <w:rPr>
                <w:rFonts w:asciiTheme="minorHAnsi" w:hAnsiTheme="minorHAnsi" w:cstheme="minorHAnsi"/>
                <w:sz w:val="24"/>
                <w:szCs w:val="24"/>
              </w:rPr>
              <w:t>legislation, policies</w:t>
            </w:r>
            <w:r w:rsidR="00F34C86" w:rsidRPr="00AF3574">
              <w:rPr>
                <w:rFonts w:asciiTheme="minorHAnsi" w:hAnsiTheme="minorHAnsi" w:cstheme="minorHAnsi"/>
                <w:sz w:val="24"/>
                <w:szCs w:val="24"/>
              </w:rPr>
              <w:t>, strategies and procedures</w:t>
            </w:r>
            <w:r w:rsidR="7AAB400D" w:rsidRPr="00AF3574">
              <w:rPr>
                <w:rFonts w:asciiTheme="minorHAnsi" w:hAnsiTheme="minorHAnsi" w:cstheme="minorHAnsi"/>
                <w:sz w:val="24"/>
                <w:szCs w:val="24"/>
              </w:rPr>
              <w:t xml:space="preserve"> </w:t>
            </w:r>
            <w:r w:rsidR="623F2A43" w:rsidRPr="00AF3574">
              <w:rPr>
                <w:rFonts w:asciiTheme="minorHAnsi" w:hAnsiTheme="minorHAnsi" w:cstheme="minorHAnsi"/>
                <w:sz w:val="24"/>
                <w:szCs w:val="24"/>
              </w:rPr>
              <w:t>(</w:t>
            </w:r>
            <w:r w:rsidR="7AAB400D" w:rsidRPr="00AF3574">
              <w:rPr>
                <w:rFonts w:asciiTheme="minorHAnsi" w:hAnsiTheme="minorHAnsi" w:cstheme="minorHAnsi"/>
                <w:sz w:val="24"/>
                <w:szCs w:val="24"/>
              </w:rPr>
              <w:t>i</w:t>
            </w:r>
            <w:r w:rsidR="623F2A43" w:rsidRPr="00AF3574">
              <w:rPr>
                <w:rFonts w:asciiTheme="minorHAnsi" w:hAnsiTheme="minorHAnsi" w:cstheme="minorHAnsi"/>
                <w:sz w:val="24"/>
                <w:szCs w:val="24"/>
              </w:rPr>
              <w:t xml:space="preserve">ncluding </w:t>
            </w:r>
            <w:r w:rsidR="322513AD" w:rsidRPr="00AF3574">
              <w:rPr>
                <w:rFonts w:asciiTheme="minorHAnsi" w:hAnsiTheme="minorHAnsi" w:cstheme="minorHAnsi"/>
                <w:sz w:val="24"/>
                <w:szCs w:val="24"/>
              </w:rPr>
              <w:t>d</w:t>
            </w:r>
            <w:r w:rsidR="7E97696C" w:rsidRPr="00AF3574">
              <w:rPr>
                <w:rFonts w:asciiTheme="minorHAnsi" w:hAnsiTheme="minorHAnsi" w:cstheme="minorHAnsi"/>
                <w:sz w:val="24"/>
                <w:szCs w:val="24"/>
              </w:rPr>
              <w:t xml:space="preserve">emonstrating an understanding of </w:t>
            </w:r>
            <w:r w:rsidR="623F2A43" w:rsidRPr="00AF3574">
              <w:rPr>
                <w:rFonts w:asciiTheme="minorHAnsi" w:hAnsiTheme="minorHAnsi" w:cstheme="minorHAnsi"/>
                <w:sz w:val="24"/>
                <w:szCs w:val="24"/>
              </w:rPr>
              <w:t>the</w:t>
            </w:r>
            <w:r w:rsidR="350F702B" w:rsidRPr="00AF3574">
              <w:rPr>
                <w:rFonts w:asciiTheme="minorHAnsi" w:hAnsiTheme="minorHAnsi" w:cstheme="minorHAnsi"/>
                <w:sz w:val="24"/>
                <w:szCs w:val="24"/>
              </w:rPr>
              <w:t xml:space="preserve"> </w:t>
            </w:r>
            <w:r w:rsidR="3B2446CA" w:rsidRPr="00AF3574">
              <w:rPr>
                <w:rFonts w:asciiTheme="minorHAnsi" w:eastAsia="Arial" w:hAnsiTheme="minorHAnsi" w:cstheme="minorHAnsi"/>
                <w:color w:val="000000" w:themeColor="text1"/>
                <w:sz w:val="24"/>
                <w:szCs w:val="24"/>
              </w:rPr>
              <w:t xml:space="preserve">interface </w:t>
            </w:r>
            <w:r w:rsidR="534A9052" w:rsidRPr="00AF3574">
              <w:rPr>
                <w:rFonts w:asciiTheme="minorHAnsi" w:eastAsia="Arial" w:hAnsiTheme="minorHAnsi" w:cstheme="minorHAnsi"/>
                <w:color w:val="000000" w:themeColor="text1"/>
                <w:sz w:val="24"/>
                <w:szCs w:val="24"/>
              </w:rPr>
              <w:t>between social services provision in Wales with the United Kingdom, the European Union</w:t>
            </w:r>
            <w:r w:rsidR="007A628F" w:rsidRPr="00AF3574">
              <w:rPr>
                <w:rFonts w:asciiTheme="minorHAnsi" w:eastAsia="Arial" w:hAnsiTheme="minorHAnsi" w:cstheme="minorHAnsi"/>
                <w:color w:val="000000" w:themeColor="text1"/>
                <w:sz w:val="24"/>
                <w:szCs w:val="24"/>
              </w:rPr>
              <w:t xml:space="preserve"> (EU)</w:t>
            </w:r>
            <w:r w:rsidR="534A9052" w:rsidRPr="00AF3574">
              <w:rPr>
                <w:rFonts w:asciiTheme="minorHAnsi" w:eastAsia="Arial" w:hAnsiTheme="minorHAnsi" w:cstheme="minorHAnsi"/>
                <w:color w:val="000000" w:themeColor="text1"/>
                <w:sz w:val="24"/>
                <w:szCs w:val="24"/>
              </w:rPr>
              <w:t xml:space="preserve"> and outside the EU</w:t>
            </w:r>
            <w:r w:rsidR="623F2A43" w:rsidRPr="00AF3574">
              <w:rPr>
                <w:rFonts w:asciiTheme="minorHAnsi" w:eastAsia="Arial" w:hAnsiTheme="minorHAnsi" w:cstheme="minorHAnsi"/>
                <w:color w:val="000000" w:themeColor="text1"/>
                <w:sz w:val="24"/>
                <w:szCs w:val="24"/>
              </w:rPr>
              <w:t>)</w:t>
            </w:r>
            <w:r w:rsidR="00411EF7" w:rsidRPr="00AF3574">
              <w:rPr>
                <w:rFonts w:asciiTheme="minorHAnsi" w:hAnsiTheme="minorHAnsi" w:cstheme="minorHAnsi"/>
                <w:sz w:val="24"/>
                <w:szCs w:val="24"/>
              </w:rPr>
              <w:t>.</w:t>
            </w:r>
            <w:r w:rsidR="00354B6D" w:rsidRPr="00AF3574">
              <w:rPr>
                <w:rFonts w:asciiTheme="minorHAnsi" w:hAnsiTheme="minorHAnsi" w:cstheme="minorHAnsi"/>
                <w:sz w:val="24"/>
                <w:szCs w:val="24"/>
              </w:rPr>
              <w:t xml:space="preserve"> </w:t>
            </w:r>
            <w:r w:rsidR="102A3950" w:rsidRPr="00AF3574">
              <w:rPr>
                <w:rFonts w:asciiTheme="minorHAnsi" w:hAnsiTheme="minorHAnsi" w:cstheme="minorHAnsi"/>
                <w:sz w:val="24"/>
                <w:szCs w:val="24"/>
              </w:rPr>
              <w:t>You</w:t>
            </w:r>
            <w:r w:rsidR="00354B6D" w:rsidRPr="00AF3574">
              <w:rPr>
                <w:rFonts w:asciiTheme="minorHAnsi" w:hAnsiTheme="minorHAnsi" w:cstheme="minorHAnsi"/>
                <w:sz w:val="24"/>
                <w:szCs w:val="24"/>
              </w:rPr>
              <w:t xml:space="preserve"> must</w:t>
            </w:r>
            <w:r w:rsidR="00411EF7" w:rsidRPr="00AF3574">
              <w:rPr>
                <w:rFonts w:asciiTheme="minorHAnsi" w:hAnsiTheme="minorHAnsi" w:cstheme="minorHAnsi"/>
                <w:sz w:val="24"/>
                <w:szCs w:val="24"/>
              </w:rPr>
              <w:t xml:space="preserve"> </w:t>
            </w:r>
            <w:r w:rsidR="00354B6D" w:rsidRPr="00AF3574">
              <w:rPr>
                <w:rFonts w:asciiTheme="minorHAnsi" w:hAnsiTheme="minorHAnsi" w:cstheme="minorHAnsi"/>
                <w:sz w:val="24"/>
                <w:szCs w:val="24"/>
              </w:rPr>
              <w:t>demonstrate your understanding of</w:t>
            </w:r>
            <w:r w:rsidR="00F34C86" w:rsidRPr="00AF3574">
              <w:rPr>
                <w:rFonts w:asciiTheme="minorHAnsi" w:hAnsiTheme="minorHAnsi" w:cstheme="minorHAnsi"/>
                <w:sz w:val="24"/>
                <w:szCs w:val="24"/>
              </w:rPr>
              <w:t xml:space="preserve"> </w:t>
            </w:r>
            <w:r w:rsidR="00411EF7" w:rsidRPr="00AF3574">
              <w:rPr>
                <w:rFonts w:asciiTheme="minorHAnsi" w:hAnsiTheme="minorHAnsi" w:cstheme="minorHAnsi"/>
                <w:sz w:val="24"/>
                <w:szCs w:val="24"/>
              </w:rPr>
              <w:t xml:space="preserve">the </w:t>
            </w:r>
            <w:r w:rsidR="00216563" w:rsidRPr="00AF3574">
              <w:rPr>
                <w:rFonts w:asciiTheme="minorHAnsi" w:hAnsiTheme="minorHAnsi" w:cstheme="minorHAnsi"/>
                <w:sz w:val="24"/>
                <w:szCs w:val="24"/>
              </w:rPr>
              <w:t xml:space="preserve">integration of </w:t>
            </w:r>
            <w:r w:rsidR="6A854C79" w:rsidRPr="00AF3574">
              <w:rPr>
                <w:rFonts w:asciiTheme="minorHAnsi" w:hAnsiTheme="minorHAnsi" w:cstheme="minorHAnsi"/>
                <w:sz w:val="24"/>
                <w:szCs w:val="24"/>
              </w:rPr>
              <w:t>analysis in asses</w:t>
            </w:r>
            <w:r w:rsidR="0F77E214" w:rsidRPr="00AF3574">
              <w:rPr>
                <w:rFonts w:asciiTheme="minorHAnsi" w:hAnsiTheme="minorHAnsi" w:cstheme="minorHAnsi"/>
                <w:sz w:val="24"/>
                <w:szCs w:val="24"/>
              </w:rPr>
              <w:t>sment, collabo</w:t>
            </w:r>
            <w:r w:rsidR="6A854C79" w:rsidRPr="00AF3574">
              <w:rPr>
                <w:rFonts w:asciiTheme="minorHAnsi" w:hAnsiTheme="minorHAnsi" w:cstheme="minorHAnsi"/>
                <w:sz w:val="24"/>
                <w:szCs w:val="24"/>
              </w:rPr>
              <w:t>rative work</w:t>
            </w:r>
            <w:r w:rsidR="0F77E214" w:rsidRPr="00AF3574">
              <w:rPr>
                <w:rFonts w:asciiTheme="minorHAnsi" w:hAnsiTheme="minorHAnsi" w:cstheme="minorHAnsi"/>
                <w:sz w:val="24"/>
                <w:szCs w:val="24"/>
              </w:rPr>
              <w:t>ing</w:t>
            </w:r>
            <w:r w:rsidR="6A854C79" w:rsidRPr="00AF3574">
              <w:rPr>
                <w:rFonts w:asciiTheme="minorHAnsi" w:hAnsiTheme="minorHAnsi" w:cstheme="minorHAnsi"/>
                <w:sz w:val="24"/>
                <w:szCs w:val="24"/>
              </w:rPr>
              <w:t xml:space="preserve"> a</w:t>
            </w:r>
            <w:r w:rsidR="0F77E214" w:rsidRPr="00AF3574">
              <w:rPr>
                <w:rFonts w:asciiTheme="minorHAnsi" w:hAnsiTheme="minorHAnsi" w:cstheme="minorHAnsi"/>
                <w:sz w:val="24"/>
                <w:szCs w:val="24"/>
              </w:rPr>
              <w:t xml:space="preserve">nd </w:t>
            </w:r>
            <w:r w:rsidR="6A854C79" w:rsidRPr="00AF3574">
              <w:rPr>
                <w:rFonts w:asciiTheme="minorHAnsi" w:hAnsiTheme="minorHAnsi" w:cstheme="minorHAnsi"/>
                <w:sz w:val="24"/>
                <w:szCs w:val="24"/>
              </w:rPr>
              <w:t>professional</w:t>
            </w:r>
            <w:r w:rsidR="00F34C86" w:rsidRPr="00AF3574">
              <w:rPr>
                <w:rFonts w:asciiTheme="minorHAnsi" w:hAnsiTheme="minorHAnsi" w:cstheme="minorHAnsi"/>
                <w:sz w:val="24"/>
                <w:szCs w:val="24"/>
              </w:rPr>
              <w:t xml:space="preserve"> </w:t>
            </w:r>
            <w:r w:rsidR="00216563" w:rsidRPr="00AF3574">
              <w:rPr>
                <w:rFonts w:asciiTheme="minorHAnsi" w:hAnsiTheme="minorHAnsi" w:cstheme="minorHAnsi"/>
                <w:sz w:val="24"/>
                <w:szCs w:val="24"/>
              </w:rPr>
              <w:t>judgements</w:t>
            </w:r>
            <w:r w:rsidR="0F77E214" w:rsidRPr="00AF3574">
              <w:rPr>
                <w:rFonts w:asciiTheme="minorHAnsi" w:hAnsiTheme="minorHAnsi" w:cstheme="minorHAnsi"/>
                <w:sz w:val="24"/>
                <w:szCs w:val="24"/>
              </w:rPr>
              <w:t xml:space="preserve"> in increasingly complex situations </w:t>
            </w:r>
            <w:r w:rsidR="00E5498A" w:rsidRPr="00AF3574">
              <w:rPr>
                <w:rFonts w:asciiTheme="minorHAnsi" w:hAnsiTheme="minorHAnsi" w:cstheme="minorHAnsi"/>
                <w:sz w:val="24"/>
                <w:szCs w:val="24"/>
              </w:rPr>
              <w:t>and</w:t>
            </w:r>
            <w:r w:rsidR="1D6670C0" w:rsidRPr="00AF3574">
              <w:rPr>
                <w:rFonts w:asciiTheme="minorHAnsi" w:hAnsiTheme="minorHAnsi" w:cstheme="minorHAnsi"/>
                <w:sz w:val="24"/>
                <w:szCs w:val="24"/>
              </w:rPr>
              <w:t xml:space="preserve"> </w:t>
            </w:r>
            <w:r w:rsidR="39C47EB7" w:rsidRPr="00AF3574">
              <w:rPr>
                <w:rFonts w:asciiTheme="minorHAnsi" w:hAnsiTheme="minorHAnsi" w:cstheme="minorHAnsi"/>
                <w:sz w:val="24"/>
                <w:szCs w:val="24"/>
              </w:rPr>
              <w:t>the</w:t>
            </w:r>
            <w:r w:rsidR="25F327FB" w:rsidRPr="00AF3574">
              <w:rPr>
                <w:rFonts w:asciiTheme="minorHAnsi" w:hAnsiTheme="minorHAnsi" w:cstheme="minorHAnsi"/>
                <w:sz w:val="24"/>
                <w:szCs w:val="24"/>
              </w:rPr>
              <w:t xml:space="preserve"> </w:t>
            </w:r>
            <w:r w:rsidR="00F34C86" w:rsidRPr="00AF3574">
              <w:rPr>
                <w:rFonts w:asciiTheme="minorHAnsi" w:hAnsiTheme="minorHAnsi" w:cstheme="minorHAnsi"/>
                <w:sz w:val="24"/>
                <w:szCs w:val="24"/>
              </w:rPr>
              <w:t>use of social work theories</w:t>
            </w:r>
            <w:r w:rsidR="756EEE2D" w:rsidRPr="00AF3574">
              <w:rPr>
                <w:rFonts w:asciiTheme="minorHAnsi" w:hAnsiTheme="minorHAnsi" w:cstheme="minorHAnsi"/>
                <w:sz w:val="24"/>
                <w:szCs w:val="24"/>
              </w:rPr>
              <w:t>.</w:t>
            </w:r>
            <w:r w:rsidR="00216563" w:rsidRPr="00AF3574">
              <w:rPr>
                <w:rFonts w:asciiTheme="minorHAnsi" w:hAnsiTheme="minorHAnsi" w:cstheme="minorHAnsi"/>
                <w:sz w:val="24"/>
                <w:szCs w:val="24"/>
              </w:rPr>
              <w:t xml:space="preserve"> </w:t>
            </w:r>
            <w:r w:rsidR="756EEE2D" w:rsidRPr="00AF3574">
              <w:rPr>
                <w:rFonts w:asciiTheme="minorHAnsi" w:hAnsiTheme="minorHAnsi" w:cstheme="minorHAnsi"/>
                <w:sz w:val="24"/>
                <w:szCs w:val="24"/>
              </w:rPr>
              <w:t>You</w:t>
            </w:r>
            <w:r w:rsidR="00216563" w:rsidRPr="00AF3574">
              <w:rPr>
                <w:rFonts w:asciiTheme="minorHAnsi" w:hAnsiTheme="minorHAnsi" w:cstheme="minorHAnsi"/>
                <w:sz w:val="24"/>
                <w:szCs w:val="24"/>
              </w:rPr>
              <w:t xml:space="preserve"> </w:t>
            </w:r>
            <w:r w:rsidR="00E5498A" w:rsidRPr="00AF3574">
              <w:rPr>
                <w:rFonts w:asciiTheme="minorHAnsi" w:hAnsiTheme="minorHAnsi" w:cstheme="minorHAnsi"/>
                <w:sz w:val="24"/>
                <w:szCs w:val="24"/>
              </w:rPr>
              <w:t xml:space="preserve">must </w:t>
            </w:r>
            <w:r w:rsidR="00F030D4" w:rsidRPr="00AF3574">
              <w:rPr>
                <w:rFonts w:asciiTheme="minorHAnsi" w:hAnsiTheme="minorHAnsi" w:cstheme="minorHAnsi"/>
                <w:sz w:val="24"/>
                <w:szCs w:val="24"/>
              </w:rPr>
              <w:t>refer to</w:t>
            </w:r>
            <w:r w:rsidR="00216563" w:rsidRPr="00AF3574">
              <w:rPr>
                <w:rFonts w:asciiTheme="minorHAnsi" w:hAnsiTheme="minorHAnsi" w:cstheme="minorHAnsi"/>
                <w:sz w:val="24"/>
                <w:szCs w:val="24"/>
              </w:rPr>
              <w:t xml:space="preserve"> </w:t>
            </w:r>
            <w:r w:rsidR="00F34C86" w:rsidRPr="00AF3574">
              <w:rPr>
                <w:rFonts w:asciiTheme="minorHAnsi" w:hAnsiTheme="minorHAnsi" w:cstheme="minorHAnsi"/>
                <w:sz w:val="24"/>
                <w:szCs w:val="24"/>
              </w:rPr>
              <w:t>the specific dimensions of working in Wales</w:t>
            </w:r>
            <w:r w:rsidR="00411EF7" w:rsidRPr="00AF3574">
              <w:rPr>
                <w:rFonts w:asciiTheme="minorHAnsi" w:hAnsiTheme="minorHAnsi" w:cstheme="minorHAnsi"/>
                <w:sz w:val="24"/>
                <w:szCs w:val="24"/>
              </w:rPr>
              <w:t xml:space="preserve">. </w:t>
            </w:r>
          </w:p>
          <w:p w14:paraId="20A5906F" w14:textId="77777777" w:rsidR="008D5999" w:rsidRPr="00AF3574" w:rsidRDefault="008D5999" w:rsidP="00AC7D75">
            <w:pPr>
              <w:jc w:val="both"/>
              <w:rPr>
                <w:rFonts w:asciiTheme="minorHAnsi" w:hAnsiTheme="minorHAnsi" w:cstheme="minorHAnsi"/>
                <w:sz w:val="24"/>
                <w:szCs w:val="24"/>
              </w:rPr>
            </w:pPr>
          </w:p>
          <w:p w14:paraId="51AF4546" w14:textId="476CB9AF" w:rsidR="00D3203C" w:rsidRPr="00AF3574" w:rsidRDefault="00045C40" w:rsidP="00AC7D75">
            <w:pPr>
              <w:jc w:val="both"/>
              <w:rPr>
                <w:rFonts w:asciiTheme="minorHAnsi" w:hAnsiTheme="minorHAnsi" w:cstheme="minorHAnsi"/>
                <w:i/>
                <w:sz w:val="24"/>
                <w:szCs w:val="24"/>
              </w:rPr>
            </w:pPr>
            <w:r w:rsidRPr="00AF3574">
              <w:rPr>
                <w:rFonts w:asciiTheme="minorHAnsi" w:hAnsiTheme="minorHAnsi" w:cstheme="minorHAnsi"/>
                <w:i/>
                <w:sz w:val="24"/>
                <w:szCs w:val="24"/>
              </w:rPr>
              <w:t xml:space="preserve">4000 </w:t>
            </w:r>
            <w:r w:rsidR="008B28E7" w:rsidRPr="00AF3574">
              <w:rPr>
                <w:rFonts w:asciiTheme="minorHAnsi" w:hAnsiTheme="minorHAnsi" w:cstheme="minorHAnsi"/>
                <w:i/>
                <w:sz w:val="24"/>
                <w:szCs w:val="24"/>
              </w:rPr>
              <w:t>words</w:t>
            </w:r>
            <w:r w:rsidR="008B28E7" w:rsidRPr="00AF3574">
              <w:rPr>
                <w:rFonts w:asciiTheme="minorHAnsi" w:hAnsiTheme="minorHAnsi" w:cstheme="minorHAnsi"/>
                <w:sz w:val="24"/>
                <w:szCs w:val="24"/>
              </w:rPr>
              <w:t xml:space="preserve"> </w:t>
            </w:r>
            <w:r w:rsidR="008B28E7" w:rsidRPr="00AF3574">
              <w:rPr>
                <w:rFonts w:asciiTheme="minorHAnsi" w:hAnsiTheme="minorHAnsi" w:cstheme="minorHAnsi"/>
                <w:i/>
                <w:sz w:val="24"/>
                <w:szCs w:val="24"/>
              </w:rPr>
              <w:t>(+/- 10%: include your actual word count at the end of each section)</w:t>
            </w:r>
            <w:r w:rsidR="007A628F" w:rsidRPr="00AF3574">
              <w:rPr>
                <w:rFonts w:asciiTheme="minorHAnsi" w:hAnsiTheme="minorHAnsi" w:cstheme="minorHAnsi"/>
                <w:i/>
                <w:sz w:val="24"/>
                <w:szCs w:val="24"/>
              </w:rPr>
              <w:t>.</w:t>
            </w:r>
          </w:p>
          <w:p w14:paraId="701D8D4D" w14:textId="38C2B218" w:rsidR="00D3203C" w:rsidRDefault="00D3203C" w:rsidP="00AC7D75">
            <w:pPr>
              <w:jc w:val="both"/>
              <w:rPr>
                <w:rFonts w:asciiTheme="minorHAnsi" w:hAnsiTheme="minorHAnsi" w:cstheme="minorHAnsi"/>
                <w:i/>
                <w:sz w:val="24"/>
                <w:szCs w:val="24"/>
              </w:rPr>
            </w:pPr>
          </w:p>
          <w:p w14:paraId="7317DC55" w14:textId="77777777" w:rsidR="00B700F6" w:rsidRPr="00AF3574" w:rsidRDefault="00B700F6" w:rsidP="00AC7D75">
            <w:pPr>
              <w:jc w:val="both"/>
              <w:rPr>
                <w:rFonts w:asciiTheme="minorHAnsi" w:hAnsiTheme="minorHAnsi" w:cstheme="minorHAnsi"/>
                <w:i/>
                <w:sz w:val="24"/>
                <w:szCs w:val="24"/>
              </w:rPr>
            </w:pPr>
          </w:p>
          <w:p w14:paraId="0B13A7D1" w14:textId="77777777" w:rsidR="00AF3574" w:rsidRPr="00AF3574" w:rsidRDefault="00AF3574" w:rsidP="00AC7D75">
            <w:pPr>
              <w:spacing w:line="276" w:lineRule="auto"/>
              <w:jc w:val="both"/>
              <w:outlineLvl w:val="0"/>
              <w:rPr>
                <w:rFonts w:asciiTheme="minorHAnsi" w:hAnsiTheme="minorHAnsi" w:cstheme="minorHAnsi"/>
                <w:b/>
                <w:bCs/>
                <w:kern w:val="36"/>
                <w:sz w:val="24"/>
                <w:szCs w:val="24"/>
              </w:rPr>
            </w:pPr>
            <w:r w:rsidRPr="00AF3574">
              <w:rPr>
                <w:rFonts w:asciiTheme="minorHAnsi" w:hAnsiTheme="minorHAnsi" w:cstheme="minorHAnsi"/>
                <w:b/>
                <w:bCs/>
                <w:kern w:val="36"/>
                <w:sz w:val="24"/>
                <w:szCs w:val="24"/>
              </w:rPr>
              <w:t>Task 3: Critically Reflective Case Study</w:t>
            </w:r>
          </w:p>
          <w:p w14:paraId="0C19C2FD" w14:textId="77777777" w:rsidR="00AF3574" w:rsidRPr="00AF3574" w:rsidRDefault="00AF3574" w:rsidP="00AC7D75">
            <w:pPr>
              <w:spacing w:line="276" w:lineRule="auto"/>
              <w:jc w:val="both"/>
              <w:rPr>
                <w:rFonts w:asciiTheme="minorHAnsi" w:hAnsiTheme="minorHAnsi" w:cstheme="minorHAnsi"/>
                <w:b/>
                <w:bCs/>
              </w:rPr>
            </w:pPr>
            <w:r w:rsidRPr="00AF3574">
              <w:rPr>
                <w:rFonts w:asciiTheme="minorHAnsi" w:hAnsiTheme="minorHAnsi" w:cstheme="minorHAnsi"/>
                <w:sz w:val="24"/>
                <w:szCs w:val="24"/>
              </w:rPr>
              <w:t xml:space="preserve">In my role as a Supervising Social Worker within an Independent Fostering Agency (IFA) in Wales, I supported a 13-year-old girl (Child A) who was experiencing significant mental health difficulties and associated placement instability. This case required me to work alongside a range of professionals to assess risk, promote safeguarding and make complex decisions regarding Child A's ongoing care and wellbeing.  The case is significant because it illustrates the complexity of safeguarding children whose vulnerabilities arise not only from abuse or neglect within their birth families, but also from the cumulative impact of their wider experiences. Addressing these concerns required ongoing assessment, careful risk management, professional challenge and collaborative working to safeguard Child A and promote her wellbeing.  </w:t>
            </w:r>
          </w:p>
          <w:p w14:paraId="535A1104" w14:textId="77777777" w:rsidR="00AF3574" w:rsidRPr="00AF3574" w:rsidRDefault="00AF3574" w:rsidP="00AC7D75">
            <w:pPr>
              <w:spacing w:line="276" w:lineRule="auto"/>
              <w:jc w:val="both"/>
              <w:rPr>
                <w:rFonts w:asciiTheme="minorHAnsi" w:hAnsiTheme="minorHAnsi" w:cstheme="minorHAnsi"/>
                <w:sz w:val="24"/>
                <w:szCs w:val="24"/>
              </w:rPr>
            </w:pPr>
          </w:p>
          <w:p w14:paraId="414BADA1" w14:textId="77777777" w:rsidR="00AF3574" w:rsidRDefault="00AF3574" w:rsidP="00AC7D75">
            <w:pPr>
              <w:spacing w:line="276" w:lineRule="auto"/>
              <w:jc w:val="both"/>
              <w:rPr>
                <w:rFonts w:asciiTheme="minorHAnsi" w:hAnsiTheme="minorHAnsi" w:cstheme="minorHAnsi"/>
                <w:sz w:val="24"/>
                <w:szCs w:val="24"/>
              </w:rPr>
            </w:pPr>
            <w:r w:rsidRPr="00436A2E">
              <w:rPr>
                <w:rFonts w:asciiTheme="minorHAnsi" w:hAnsiTheme="minorHAnsi" w:cstheme="minorHAnsi"/>
                <w:sz w:val="24"/>
                <w:szCs w:val="24"/>
              </w:rPr>
              <w:t>Safeguarding is defined as "</w:t>
            </w:r>
            <w:r w:rsidRPr="00436A2E">
              <w:rPr>
                <w:rFonts w:asciiTheme="minorHAnsi" w:hAnsiTheme="minorHAnsi" w:cstheme="minorHAnsi"/>
                <w:i/>
                <w:iCs/>
                <w:sz w:val="24"/>
                <w:szCs w:val="24"/>
              </w:rPr>
              <w:t>preventing and protecting children and adults at risk from abuse or neglect and educating those around them to recognise the signs and dangers</w:t>
            </w:r>
            <w:r w:rsidRPr="00436A2E">
              <w:rPr>
                <w:rFonts w:asciiTheme="minorHAnsi" w:hAnsiTheme="minorHAnsi" w:cstheme="minorHAnsi"/>
                <w:sz w:val="24"/>
                <w:szCs w:val="24"/>
              </w:rPr>
              <w:t xml:space="preserve">." (Wales Safeguarding Procedures, 2026, </w:t>
            </w:r>
            <w:r w:rsidRPr="006960C8">
              <w:rPr>
                <w:rFonts w:asciiTheme="minorHAnsi" w:hAnsiTheme="minorHAnsi" w:cstheme="minorHAnsi"/>
                <w:i/>
                <w:iCs/>
                <w:sz w:val="24"/>
                <w:szCs w:val="24"/>
              </w:rPr>
              <w:t>Safeguarding</w:t>
            </w:r>
            <w:r w:rsidRPr="00436A2E">
              <w:rPr>
                <w:rFonts w:asciiTheme="minorHAnsi" w:hAnsiTheme="minorHAnsi" w:cstheme="minorHAnsi"/>
                <w:sz w:val="24"/>
                <w:szCs w:val="24"/>
              </w:rPr>
              <w:t>).</w:t>
            </w:r>
            <w:r w:rsidRPr="00AF3574">
              <w:rPr>
                <w:rFonts w:asciiTheme="minorHAnsi" w:hAnsiTheme="minorHAnsi" w:cstheme="minorHAnsi"/>
                <w:sz w:val="24"/>
                <w:szCs w:val="24"/>
              </w:rPr>
              <w:t xml:space="preserve"> This definition recognises that safeguarding extends beyond responding to incidents of harm and includes preventative intervention, early identification of risks and collaborative efforts to protect children from future harm. This understanding underpinned my involvement throughout the case. This case study will critically examine the assessment process, safeguarding legislation and policy framework, multi-agency collaboration, professional judgement </w:t>
            </w:r>
            <w:r w:rsidRPr="00AF3574">
              <w:rPr>
                <w:rFonts w:asciiTheme="minorHAnsi" w:hAnsiTheme="minorHAnsi" w:cstheme="minorHAnsi"/>
                <w:sz w:val="24"/>
                <w:szCs w:val="24"/>
              </w:rPr>
              <w:lastRenderedPageBreak/>
              <w:t xml:space="preserve">and decision-making relating to Child A. Relevant social work theories including Systems Theory, Attachment Theory and Trauma Informed Practice will be applied to analyse the complexities of the case and evaluate the effectiveness of interventions. Specific consideration will also be given to the legislative and policy context of social work practice in Wales.  </w:t>
            </w:r>
          </w:p>
          <w:p w14:paraId="02595D6D" w14:textId="77777777" w:rsidR="00AC7D75" w:rsidRPr="00AF3574" w:rsidRDefault="00AC7D75" w:rsidP="00AC7D75">
            <w:pPr>
              <w:spacing w:line="276" w:lineRule="auto"/>
              <w:jc w:val="both"/>
              <w:rPr>
                <w:rFonts w:asciiTheme="minorHAnsi" w:hAnsiTheme="minorHAnsi" w:cstheme="minorHAnsi"/>
                <w:sz w:val="24"/>
                <w:szCs w:val="24"/>
              </w:rPr>
            </w:pPr>
          </w:p>
          <w:p w14:paraId="0F50D7E7"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Research shows that children who experience placement instability are more likely to experience difficulties with emotional wellbeing, educational attainment and relationship formation, increasing safeguarding vulnerabilities (Varnish et al., 2025). Historically, Child A had experienced multiple disruptions in care, this impacted her mental health, sense of security, trust and emotional stability.  This presented as Child A having low mood, self-harming behaviours, outbursts of aggression and disengagement from education and her foster placement.  After another placement breakdown, Child A, moved to a new foster placement that I supported as Supervising Social Worker. Upon moving to her new placement, Child A was emotionally distressed.</w:t>
            </w:r>
            <w:r w:rsidRPr="00AF3574">
              <w:rPr>
                <w:rFonts w:asciiTheme="minorHAnsi" w:hAnsiTheme="minorHAnsi" w:cstheme="minorHAnsi"/>
              </w:rPr>
              <w:t xml:space="preserve"> </w:t>
            </w:r>
            <w:r w:rsidRPr="00AF3574">
              <w:rPr>
                <w:rFonts w:asciiTheme="minorHAnsi" w:hAnsiTheme="minorHAnsi" w:cstheme="minorHAnsi"/>
                <w:sz w:val="24"/>
                <w:szCs w:val="24"/>
              </w:rPr>
              <w:t xml:space="preserve">There were no concerns regarding abuse within the foster placement, nonetheless Child A’s mental health challenges increased her vulnerability and risk of being harmed. </w:t>
            </w:r>
          </w:p>
          <w:p w14:paraId="09B150F4" w14:textId="77777777" w:rsidR="00AC7D75" w:rsidRPr="00AF3574" w:rsidRDefault="00AC7D75" w:rsidP="00AC7D75">
            <w:pPr>
              <w:spacing w:line="276" w:lineRule="auto"/>
              <w:jc w:val="both"/>
              <w:rPr>
                <w:rFonts w:asciiTheme="minorHAnsi" w:hAnsiTheme="minorHAnsi" w:cstheme="minorHAnsi"/>
                <w:sz w:val="24"/>
                <w:szCs w:val="24"/>
              </w:rPr>
            </w:pPr>
          </w:p>
          <w:p w14:paraId="2B77674D"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 xml:space="preserve">The Children Act (1989) establishes that the welfare of the child must be paramount in all decisions affecting them. The Social Services and Well-being (Wales) Act 2014 (SSWBA) emphasises the importance of promoting wellbeing, ensuring individuals have a voice in decisions affecting them and working collaboratively to achieve positive outcomes. These principles informed my approach to assessment and intervention where I maintained professional oversight of the fostering arrangement and promoted Child A’s welfare and contributing to safeguarding planning.  My role involved supporting the foster carers, gathering and analysing information, contributing to risk assessments and ensuring that safeguarding concerns were appropriately supported. </w:t>
            </w:r>
          </w:p>
          <w:p w14:paraId="08EAC13F" w14:textId="77777777" w:rsidR="00AC7D75" w:rsidRPr="00AF3574" w:rsidRDefault="00AC7D75" w:rsidP="00AC7D75">
            <w:pPr>
              <w:spacing w:line="276" w:lineRule="auto"/>
              <w:jc w:val="both"/>
              <w:rPr>
                <w:rFonts w:asciiTheme="minorHAnsi" w:hAnsiTheme="minorHAnsi" w:cstheme="minorHAnsi"/>
                <w:sz w:val="24"/>
                <w:szCs w:val="24"/>
              </w:rPr>
            </w:pPr>
          </w:p>
          <w:p w14:paraId="1EC2B929" w14:textId="65419B72"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One theory that helped inform my understanding of Child A was Attachment Theory (Bowlby, 1969). Attachment theory proposes that early experiences and relationships influence a child's ability to form secure emotional bonds and regulate emotions (NSPCC,</w:t>
            </w:r>
            <w:r w:rsidR="00FF575A">
              <w:rPr>
                <w:rFonts w:asciiTheme="minorHAnsi" w:hAnsiTheme="minorHAnsi" w:cstheme="minorHAnsi"/>
                <w:sz w:val="24"/>
                <w:szCs w:val="24"/>
              </w:rPr>
              <w:t xml:space="preserve"> </w:t>
            </w:r>
            <w:r w:rsidRPr="00AF3574">
              <w:rPr>
                <w:rFonts w:asciiTheme="minorHAnsi" w:hAnsiTheme="minorHAnsi" w:cstheme="minorHAnsi"/>
                <w:sz w:val="24"/>
                <w:szCs w:val="24"/>
              </w:rPr>
              <w:t>2021). Child A's history of placement instability suggested she had experienced disrupted attachments, and this may have contributed to her current presentation. Understanding behaviour through an attachment lens enabled a more empathetic and child-centred approach to assessment.   However, Attachment Theory has limitations. Critics argue that it places considerable emphasis upon early relationships whilst paying less attention to wider social, environmental and structural factors that influence children's wellbeing (Howe, 2011). Consequently, attachment theory provided valuable insight into Child A's emotional needs but could not fully explain the complexity of her circumstances. It was therefore important to utilise attachment theory alongside other theoretical and practice frameworks when assessing risk and need.</w:t>
            </w:r>
          </w:p>
          <w:p w14:paraId="25FC09F9" w14:textId="77777777" w:rsidR="00AC7D75" w:rsidRPr="00AF3574" w:rsidRDefault="00AC7D75" w:rsidP="00AC7D75">
            <w:pPr>
              <w:spacing w:line="276" w:lineRule="auto"/>
              <w:jc w:val="both"/>
              <w:rPr>
                <w:rFonts w:asciiTheme="minorHAnsi" w:hAnsiTheme="minorHAnsi" w:cstheme="minorHAnsi"/>
                <w:sz w:val="24"/>
                <w:szCs w:val="24"/>
              </w:rPr>
            </w:pPr>
          </w:p>
          <w:p w14:paraId="2F46189C"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lastRenderedPageBreak/>
              <w:t xml:space="preserve">Trauma-Informed Practice provided an additional framework for understanding Child A's experiences. Trauma-informed approaches encourage professionals to consider what has happened to a child, rather than focusing solely on what is happening in the present. This perspective acknowledges that behaviours may represent adaptations to previous experiences of adversity, trauma, loss or instability (Social Care Wales, 2023). Applying this framework supported a strengths-based assessment and reduced the risk of </w:t>
            </w:r>
            <w:proofErr w:type="spellStart"/>
            <w:r w:rsidRPr="00AF3574">
              <w:rPr>
                <w:rFonts w:asciiTheme="minorHAnsi" w:hAnsiTheme="minorHAnsi" w:cstheme="minorHAnsi"/>
                <w:sz w:val="24"/>
                <w:szCs w:val="24"/>
              </w:rPr>
              <w:t>pathologising</w:t>
            </w:r>
            <w:proofErr w:type="spellEnd"/>
            <w:r w:rsidRPr="00AF3574">
              <w:rPr>
                <w:rFonts w:asciiTheme="minorHAnsi" w:hAnsiTheme="minorHAnsi" w:cstheme="minorHAnsi"/>
                <w:sz w:val="24"/>
                <w:szCs w:val="24"/>
              </w:rPr>
              <w:t xml:space="preserve"> Child A's responses to difficult life experiences.  Reflecting on the assessment process, I recognised the importance of remaining professionally curious and avoiding assumptions. Whilst initial concerns focused upon Child A's mental health difficulties, ongoing information gathering highlighted the significant impact placement instability was having on her wellbeing. </w:t>
            </w:r>
          </w:p>
          <w:p w14:paraId="4EC02D44" w14:textId="77777777" w:rsidR="00AC7D75" w:rsidRPr="00AF3574" w:rsidRDefault="00AC7D75" w:rsidP="00AC7D75">
            <w:pPr>
              <w:spacing w:line="276" w:lineRule="auto"/>
              <w:jc w:val="both"/>
              <w:rPr>
                <w:rFonts w:asciiTheme="minorHAnsi" w:hAnsiTheme="minorHAnsi" w:cstheme="minorHAnsi"/>
                <w:sz w:val="24"/>
                <w:szCs w:val="24"/>
              </w:rPr>
            </w:pPr>
          </w:p>
          <w:p w14:paraId="2F2AF3C9" w14:textId="77777777"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Safeguarding was a key feature of my involvement with Child A and required ongoing assessment of both immediate and longer-term risks to her wellbeing. The Wales Safeguarding Procedures (2019) emphasise that safeguarding is a proactive process involving the identification, prevention and management of risk. In Child A's circumstances, concerns regarding her mental health, emotional wellbeing and placement instability needed a robust and dynamic approach to risk assessment.  A significant safeguarding concern related to Child A's self-harming behaviours, which occurred across multiple environments. Foster carers and education reported incidents of self-harm, where Child A would utilise whatever items, she could access to cause harm to herself. This demonstrated that the risk could not be addressed solely through restricting access to sharp items and required a deeper understanding of the factors driving the behaviour.</w:t>
            </w:r>
          </w:p>
          <w:p w14:paraId="3B29F121"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1DD73B11" w14:textId="77777777"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The safeguarding concerns relating to Child A required consideration of a range of Welsh and English legislation, policies and procedural frameworks. Whilst legislation provides social workers with the legal authority to intervene when a child is at risk of harm, effective safeguarding practice requires the professional application of that legislation through thorough assessment, professional judgement and consideration of the child's individual circumstances and needs (Wales Safeguarding Procedures, 2019). This case illustrates the importance of balancing protection, participation, wellbeing and human rights when working with vulnerable children experiencing mental health difficulties and placement instability.</w:t>
            </w:r>
          </w:p>
          <w:p w14:paraId="23F00965"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highlight w:val="magenta"/>
              </w:rPr>
            </w:pPr>
          </w:p>
          <w:p w14:paraId="6501B4DE" w14:textId="77777777"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 xml:space="preserve">The seriousness of these concerns escalated following an incident where Child A locked herself in the school toilets and attempted to strangle herself. As a result, emergency services were contacted and Child A required hospital treatment. This incident signified increased risk to her safety and wellbeing and acted as a catalyst for increased multi-agency involvement, including intervention from CAMHS.  It became clear that existing safeguarding arrangements were no longer sufficient to manage the risks and a review involving all professionals was initiated. Through professional discussions, I advocated for a formal safety plan to be implemented within school. The plan included agreed procedures to </w:t>
            </w:r>
            <w:r w:rsidRPr="00AF3574">
              <w:rPr>
                <w:rFonts w:asciiTheme="minorHAnsi" w:hAnsiTheme="minorHAnsi" w:cstheme="minorHAnsi"/>
              </w:rPr>
              <w:lastRenderedPageBreak/>
              <w:t>ensure Child A was for accounted for within the school environment every hour, and which staff would be alerted should this not be achieved. A designated member of staff was identified to respond to concerns and check known locations, including the school toilets, where Child A had previously isolated herself. Whilst the safety plan reduced immediate risks and increased professional confidence regarding Child A's safety, monitoring arrangements alone did not address the underlying causes of her emotional distress. This highlights a common challenge within safeguarding practice, where interventions can focus on risk containment rather than therapeutic support. Therefore, the safety plan was most effective when implemented alongside CAMHS intervention, relationship-based support and ongoing assessment.</w:t>
            </w:r>
          </w:p>
          <w:p w14:paraId="7FCC3933"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strike/>
              </w:rPr>
            </w:pPr>
          </w:p>
          <w:p w14:paraId="0D84A39C"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Bronfenbrenner’s Ecological Systems Theory recognises that children’s behaviour and wellbeing are shaped by multiple interconnected systems (Bronfenbrenner, 1979). Applying this framework enabled me to consider not only Child A’s mental health needs but also how school, placement and professional support networks influenced her wellbeing. The safety plan therefore represented a collaborative intervention across systems rather than a response implemented by a single agency. For example, I maintained regular communication with Child A’s social worker, providing updates about placement activities and behaviours. This supported information sharing, informed risk assessment and enabled coordinated safeguarding planning. The Social Services and Well-being (Wales) Act 2014 promotes partnership working and recognises that positive outcomes for children are more likely when agencies work collaboratively. Reflecting on this, I recognised the importance of identifying patterns of risk, responding proportionately to escalating concerns and ensuring that safety planning is reviewed and adapted as circumstances change.</w:t>
            </w:r>
          </w:p>
          <w:p w14:paraId="1367DDC3" w14:textId="77777777" w:rsidR="00AC7D75" w:rsidRPr="00AF3574" w:rsidRDefault="00AC7D75" w:rsidP="00AC7D75">
            <w:pPr>
              <w:spacing w:line="276" w:lineRule="auto"/>
              <w:jc w:val="both"/>
              <w:rPr>
                <w:rFonts w:asciiTheme="minorHAnsi" w:hAnsiTheme="minorHAnsi" w:cstheme="minorHAnsi"/>
                <w:b/>
                <w:bCs/>
                <w:sz w:val="24"/>
                <w:szCs w:val="24"/>
              </w:rPr>
            </w:pPr>
          </w:p>
          <w:p w14:paraId="34854DEC"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Systems Theory provides another useful framework for understanding the importance of collaborative working in this case. The theory suggests that individuals cannot be understood in isolation but must instead be viewed within the context of interconnected systems and relationships (Payne, 2020). Child A's wellbeing was influenced not only by her individual experiences but also by the responses of the professionals and services supporting her. Effective communication between agencies was therefore essential in ensuring consistency and reducing the risk of fragmented practice. Whilst collaborative working was largely positive, there were occasions where professional perspectives differed regarding Child A's needs and the urgency of interventions required. For example, there were differing professional views regarding the extent to which the educational environment remained a protective factor. Whilst school provided routine, structure and opportunities for social interaction, I questioned whether sufficient consideration had been given to the risks associated with Child A's access to equipment which could be used to self-harm and her repeated pattern of isolating herself in toilet facilities.</w:t>
            </w:r>
          </w:p>
          <w:p w14:paraId="30B368DD" w14:textId="77777777" w:rsidR="00AC7D75" w:rsidRPr="00AF3574" w:rsidRDefault="00AC7D75" w:rsidP="00AC7D75">
            <w:pPr>
              <w:spacing w:line="276" w:lineRule="auto"/>
              <w:jc w:val="both"/>
              <w:rPr>
                <w:rFonts w:asciiTheme="minorHAnsi" w:hAnsiTheme="minorHAnsi" w:cstheme="minorHAnsi"/>
                <w:sz w:val="24"/>
                <w:szCs w:val="24"/>
              </w:rPr>
            </w:pPr>
          </w:p>
          <w:p w14:paraId="790B1DB0"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lastRenderedPageBreak/>
              <w:t>Effective safeguarding requires professionals to respectfully challenge decision-making when they believe a child's welfare may be compromised. Professional challenge is recognised within the Wales Safeguarding Procedures (2019) as an essential component of safeguarding practice and supports a culture of accountability and critical thinking. Drawing upon information from foster carers, school staff and risk assessments, I respectfully challenged professionals regarding how risks were being managed. As a result of these discussions, the school implemented a more robust safety plan which clearly outlined staff responsibilities and monitoring arrangements. The plan identified agreed actions should Child A go missing within school, including alerting staff if she could not be located within five minutes and allocating responsibility to a designated member of staff to immediately check known locations, including the toilet facilities. This collaborative approach ensured that staff responded consistently and that risks were managed proactively rather than reactively.  Reflecting upon my involvement, I am proud that I was able to exercise confidence in my professional judgement when advocating for Child A. There were occasions where I felt the significance of her self-harming behaviours, placement instability and deteriorating mental health were not fully recognised by some agencies. Through professional discussion and challenge, I sought to ensure that all available information was considered when decisions were being made. Whilst challenging colleagues can feel uncomfortable, this experience reinforced my understanding that respectful professional challenge is an important aspect of safeguarding practice and ultimately serves the best interests of the child.</w:t>
            </w:r>
          </w:p>
          <w:p w14:paraId="43802A3E" w14:textId="77777777" w:rsidR="00AC7D75" w:rsidRPr="00AF3574" w:rsidRDefault="00AC7D75" w:rsidP="00AC7D75">
            <w:pPr>
              <w:spacing w:line="276" w:lineRule="auto"/>
              <w:jc w:val="both"/>
              <w:rPr>
                <w:rFonts w:asciiTheme="minorHAnsi" w:hAnsiTheme="minorHAnsi" w:cstheme="minorHAnsi"/>
                <w:sz w:val="24"/>
                <w:szCs w:val="24"/>
              </w:rPr>
            </w:pPr>
          </w:p>
          <w:p w14:paraId="3A7EE9AA"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The case reinforced the importance of recognising carers as equal partners within multi-agency safeguarding arrangements The foster carers held significant knowledge regarding Child A's emotional presentation, self-harming behaviours and daily presentation. Their observations contributed valuable information which informed professional decision-making and risk assessments. This case also highlighted the emotional impact that managing safeguarding concerns can have on foster carers. Whilst professional discussions primarily focused upon Child A's needs, carers were managing significant anxiety regarding their role in promoting her safety and wellbeing on a daily basis. Providing supervision, emotional support and opportunities for reflection therefore became an important safeguarding intervention in itself, helping carers maintain resilience and continue providing consistent care for Child A.</w:t>
            </w:r>
          </w:p>
          <w:p w14:paraId="1F9429D8" w14:textId="77777777" w:rsidR="00B700F6" w:rsidRDefault="00B700F6" w:rsidP="00AC7D75">
            <w:pPr>
              <w:spacing w:line="276" w:lineRule="auto"/>
              <w:jc w:val="both"/>
              <w:rPr>
                <w:rFonts w:asciiTheme="minorHAnsi" w:hAnsiTheme="minorHAnsi" w:cstheme="minorHAnsi"/>
                <w:sz w:val="24"/>
                <w:szCs w:val="24"/>
              </w:rPr>
            </w:pPr>
          </w:p>
          <w:p w14:paraId="31D6FAFF" w14:textId="08FE51C8"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 xml:space="preserve">The Social Services and Well-being (Wales) Act 2014 emphasises placing individuals at the centre of decision-making. Throughout the case, efforts were made to ensure that Child A’s wishes, feelings and experiences informed planning and intervention. Although safeguarding concerns required adults to exercise professional judgement, it remained essential that Child A’s voice was central, supported through direct work. This approach also accords with Article 12 of the United Nations Convention on the Rights of the Child, which provides that children capable of forming their own views should be able to express them freely in matters affecting them and that those views should be given due weight (United Nations, 1989). Listening to Child A provided insight into her perception of risk, her feelings </w:t>
            </w:r>
            <w:r w:rsidRPr="00AF3574">
              <w:rPr>
                <w:rFonts w:asciiTheme="minorHAnsi" w:hAnsiTheme="minorHAnsi" w:cstheme="minorHAnsi"/>
                <w:sz w:val="24"/>
                <w:szCs w:val="24"/>
              </w:rPr>
              <w:lastRenderedPageBreak/>
              <w:t>about her care and her hopes for the future. This information informed decisions and helped interventions remain child-centred.</w:t>
            </w:r>
          </w:p>
          <w:p w14:paraId="38D7DE93" w14:textId="77777777" w:rsidR="00AC7D75" w:rsidRPr="00AF3574" w:rsidRDefault="00AC7D75" w:rsidP="00AC7D75">
            <w:pPr>
              <w:spacing w:line="276" w:lineRule="auto"/>
              <w:jc w:val="both"/>
              <w:rPr>
                <w:rFonts w:asciiTheme="minorHAnsi" w:hAnsiTheme="minorHAnsi" w:cstheme="minorHAnsi"/>
                <w:b/>
                <w:bCs/>
                <w:sz w:val="24"/>
                <w:szCs w:val="24"/>
              </w:rPr>
            </w:pPr>
          </w:p>
          <w:p w14:paraId="1F67D31E" w14:textId="6E24ED8F"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 xml:space="preserve">During my direct work with Child A, she described feeling overwhelmed and struggling to identify safe coping strategies when distressed. She often felt that professionals focused on her behaviours rather than the emotions underpinning them and acknowledged that she struggled to trust adults and build secure relationships. Listening to her experiences strengthened my understanding of how her emotional wellbeing and care experiences influenced her daily life and reinforced the importance of ensuring her voice informed safeguarding interventions and future planning.  Child A expressed mixed feelings about moving placements. Whilst she valued relationships within her current placement, she recognised that her carers were finding it increasingly difficult to meet her needs. This highlighted the challenge of balancing a child's wishes with professional assessments of risk and wellbeing.  </w:t>
            </w:r>
          </w:p>
          <w:p w14:paraId="3FF48807"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6D1AEE80" w14:textId="77777777"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The case also highlighted the importance of child-centred practice. Throughout the intervention, I sought to ensure that Child A's wishes and feelings informed discussions and decisions wherever possible. This reflected the principles of voice and control embedded within the Social Services and Well-being (Wales) Act 2014 and the rights-based approach promoted by the United Nations Convention on the Rights of the Child. However, reflecting critically, I recognise that balancing a young person's wishes with professional concerns regarding their safety can be challenging. There were occasions when professional judgement required decisions to be made which may not have aligned with Child A's immediate preferences. This created ethical tensions between respecting autonomy and fulfilling safeguarding responsibilities. Through reflection, I have developed a greater appreciation of the need to transparently explain decision-making processes to children and ensure they remain involved even when adults are required to make difficult safeguarding decisions.</w:t>
            </w:r>
          </w:p>
          <w:p w14:paraId="6E28DB3C"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3D3CA514" w14:textId="62B67E69"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In Child A's case, decisions regarding placement planning required careful consideration of both risks and protective factors. Fundamentally, trough assessment, multi-agency discussions and ongoing supervision, it emerged that despite the carers' commitment and efforts, the placement was no longer fully meeting Child A's needs.  Foster carers openly acknowledged that they felt out of their depth in managing the complexity of Child A's presentation and the risks associated with her self-harming behaviours. Although the carers remained committed to Child A, they lacked the confidence and capacity to safely meet her escalating emotional and mental health needs. During a stability meeting it was agreed that Child A would benefit from carers with greater experience and capacity to support her specific needs.  Positively, I was able to identify an alternative foster carer within our agency whose skills, experience and capacity were better aligned with Child A's needs. This required balancing the risks associated with another placement move against the potential benefits of a placement better equipped to meet Child A’s needs.</w:t>
            </w:r>
          </w:p>
          <w:p w14:paraId="795F0BC4"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35BEE579" w14:textId="77777777" w:rsidR="00AC7D75"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lastRenderedPageBreak/>
              <w:t xml:space="preserve">Gibbs' (1988) Reflective Cycle provides a useful framework for critically analysing practice and identifying areas for professional development. The model has 6 stages, feeling, evaluation, analysis, conclusion, action plan (CMS Vocational Training, 2026). The model encourages reflection on a particular experience to ensure learning takes place and is not lost (Thompson and Thompson, 2008).  Using this model to reflect on Child A’s journey, has given me an opportunity to develop my social work practice.   </w:t>
            </w:r>
          </w:p>
          <w:p w14:paraId="5A95BE6A" w14:textId="41E628FA" w:rsidR="00AF3574" w:rsidRPr="00AF3574" w:rsidRDefault="00AF3574" w:rsidP="00AC7D75">
            <w:pPr>
              <w:pStyle w:val="NormalWeb"/>
              <w:spacing w:before="0" w:beforeAutospacing="0" w:after="0" w:afterAutospacing="0" w:line="276" w:lineRule="auto"/>
              <w:jc w:val="both"/>
              <w:rPr>
                <w:rFonts w:asciiTheme="minorHAnsi" w:hAnsiTheme="minorHAnsi" w:cstheme="minorHAnsi"/>
                <w:highlight w:val="cyan"/>
              </w:rPr>
            </w:pPr>
            <w:r w:rsidRPr="00AF3574">
              <w:rPr>
                <w:rFonts w:asciiTheme="minorHAnsi" w:hAnsiTheme="minorHAnsi" w:cstheme="minorHAnsi"/>
              </w:rPr>
              <w:t xml:space="preserve"> </w:t>
            </w:r>
          </w:p>
          <w:p w14:paraId="3DB6D3A8" w14:textId="79CA589D"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Initially, I felt concerned about the complexity of Child A's circumstances and the potential impact that further placement disruption could have on her emotional wellbeing. Reflecting, I recognise placement moves are often viewed negatively as a disruption, however, there are occasions where a carefully planned move can represent a positive safeguarding intervention. Placement stability should not simply be measured by duration but by the extent to which a placement can safely meet a child's needs. My role required me to balance support for the foster carers whilst ensuring that Child A's needs remained at the centre of all decisions. I drew upon my professional judgement and experience to advocate for what I believed was in her best interests. This included providing professional challenge to the multi-agency support network.</w:t>
            </w:r>
          </w:p>
          <w:p w14:paraId="0AC129DF"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29E2A422" w14:textId="77777777"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Unpicking professional challenges further; positive professional relationships are essential.  Safeguarding requires social workers to respectfully challenge decisions when they feel that a child's needs are not being fully recognised. I felt apprehensive about challenging the views of more senior professionals and partner agencies who were against a further placement move.  I was mindful of maintaining constructive working relationships and conscious that differing perspectives can arise due to the unique professional lenses through which situations are viewed.  However, I became increasingly aware that avoiding professional challenge could result in missed opportunity to promote a child's welfare. Child A's emotional wellbeing continued to deteriorate, and I believed that greater consideration needed to be given to the impact that unmet emotional needs in the placement were having on her presentation.  By encouraging a collaborative approach, I suggested a review – maintaining a friendly, professional approach rather than blaming. This experience has helped me gain greater confidence in exercising professional challenge. This learning will continue to influence my future practice by reinforcing that non-blaming professional challenge should not be viewed as criticism but as an essential safeguarding responsibility.</w:t>
            </w:r>
          </w:p>
          <w:p w14:paraId="23EC78E2"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76BF667E" w14:textId="77777777"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 xml:space="preserve">Through assessment and analysis, it became evident that Child A required a different environment and level of support. Initially, attention was focused predominantly on Child A's presenting behaviours and mental health difficulties. Through ongoing assessment and collaboration with professionals, I began to recognise the importance of understanding these difficulties within the context of her broader life experiences. Trauma-Informed Practice encourages professionals to consider how adversity and instability may influence a child's emotional wellbeing and behaviour. This experience </w:t>
            </w:r>
            <w:r w:rsidRPr="00AF3574">
              <w:rPr>
                <w:rFonts w:asciiTheme="minorHAnsi" w:hAnsiTheme="minorHAnsi" w:cstheme="minorHAnsi"/>
              </w:rPr>
              <w:lastRenderedPageBreak/>
              <w:t>reinforced the importance of maintaining professional curiosity and avoiding assumptions. Had assessment focused solely on risk without considering underlying causes, opportunities to better understand Child A's experiences may have been missed.  Applying this perspective enabled me to recognise her behaviours as potential indicators of unmet emotional needs.  Reflecting on this process has strengthened my understanding that safeguarding involves not only protecting children from immediate harm but also ensuring they receive the care, support and opportunities necessary to thrive.  I have learned that effective safeguarding requires social workers to remain open to alternative explanations, continually review information and critically analyse both risk and protective factors.</w:t>
            </w:r>
          </w:p>
          <w:p w14:paraId="3723B35E"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27CBEE2E" w14:textId="77777777" w:rsidR="00AF3574" w:rsidRDefault="00AF3574" w:rsidP="00AC7D75">
            <w:pPr>
              <w:pStyle w:val="NormalWeb"/>
              <w:spacing w:before="0" w:beforeAutospacing="0" w:after="0" w:afterAutospacing="0" w:line="276" w:lineRule="auto"/>
              <w:jc w:val="both"/>
              <w:rPr>
                <w:rFonts w:asciiTheme="minorHAnsi" w:hAnsiTheme="minorHAnsi" w:cstheme="minorHAnsi"/>
              </w:rPr>
            </w:pPr>
            <w:r w:rsidRPr="00AF3574">
              <w:rPr>
                <w:rFonts w:asciiTheme="minorHAnsi" w:hAnsiTheme="minorHAnsi" w:cstheme="minorHAnsi"/>
              </w:rPr>
              <w:t>Perhaps the most significant learning from this case related to the decision to seek a foster placement that was better equipped to meet Child A's needs. Placement stability is often viewed as a positive outcome; however, this experience challenged my assumptions and encouraged me to think more critically about what placement stability actually means. Whilst avoiding disruption is important, maintaining a placement that is unable to fully meet a child's needs may not ultimately promote their wellbeing. Overall, this case significantly contributed to my professional development. It strengthened my confidence in multi-agency working, enhanced my understanding of professional challenge and reinforced the value of child-centred and trauma-informed approaches. Most importantly, it reminded me that safeguarding is an ongoing process requiring analysis, reflection and professional curiosity. Moving forward, I intend to continue developing these skills and remain committed to ensuring that the voice, safety and wellbeing of children.</w:t>
            </w:r>
          </w:p>
          <w:p w14:paraId="06DC4660" w14:textId="77777777" w:rsidR="00AC7D75" w:rsidRPr="00AF3574" w:rsidRDefault="00AC7D75" w:rsidP="00AC7D75">
            <w:pPr>
              <w:pStyle w:val="NormalWeb"/>
              <w:spacing w:before="0" w:beforeAutospacing="0" w:after="0" w:afterAutospacing="0" w:line="276" w:lineRule="auto"/>
              <w:jc w:val="both"/>
              <w:rPr>
                <w:rFonts w:asciiTheme="minorHAnsi" w:hAnsiTheme="minorHAnsi" w:cstheme="minorHAnsi"/>
              </w:rPr>
            </w:pPr>
          </w:p>
          <w:p w14:paraId="557D1EAB"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 xml:space="preserve">The Social Services and Well-being (Wales) Act 2014 (SSWBA) formed the primary legislative framework informing my practice. The Act introduced a significant shift towards strengths-based, outcome-focused and person-centred practice within Wales. Unlike previous approaches which often concentrated on service provision, the SSWBA places greater emphasis on wellbeing, prevention and the active involvement of individuals in decision-making processes. Within Child A's case, the principles of voice and control were particularly relevant. Whilst safeguarding concerns regarding her mental health required professional intervention, it was essential that Child A remained at the centre of assessment and care planning discussions. This reflected the Act's commitment to ensuring that children are not passive recipients of services but active participants in decisions affecting their lives. However, applying the principles of voice and control within safeguarding contexts can create tensions. Child A's wishes did not always align with professional concerns regarding her wellbeing and placement stability. This highlights a potential challenge within safeguarding </w:t>
            </w:r>
            <w:proofErr w:type="gramStart"/>
            <w:r w:rsidRPr="00AF3574">
              <w:rPr>
                <w:rFonts w:asciiTheme="minorHAnsi" w:hAnsiTheme="minorHAnsi" w:cstheme="minorHAnsi"/>
                <w:sz w:val="24"/>
                <w:szCs w:val="24"/>
              </w:rPr>
              <w:t>practice,</w:t>
            </w:r>
            <w:proofErr w:type="gramEnd"/>
            <w:r w:rsidRPr="00AF3574">
              <w:rPr>
                <w:rFonts w:asciiTheme="minorHAnsi" w:hAnsiTheme="minorHAnsi" w:cstheme="minorHAnsi"/>
                <w:sz w:val="24"/>
                <w:szCs w:val="24"/>
              </w:rPr>
              <w:t xml:space="preserve"> whereby social workers must balance respecting autonomy with their duty to protect children from harm. Reflecting on this case, I recognised that whilst participation is fundamental, professional judgement remains necessary when risks to a child's welfare are significant.</w:t>
            </w:r>
          </w:p>
          <w:p w14:paraId="010D6812" w14:textId="77777777" w:rsidR="00AC7D75" w:rsidRPr="00AF3574" w:rsidRDefault="00AC7D75" w:rsidP="00AC7D75">
            <w:pPr>
              <w:spacing w:line="276" w:lineRule="auto"/>
              <w:jc w:val="both"/>
              <w:rPr>
                <w:rFonts w:asciiTheme="minorHAnsi" w:hAnsiTheme="minorHAnsi" w:cstheme="minorHAnsi"/>
                <w:sz w:val="24"/>
                <w:szCs w:val="24"/>
              </w:rPr>
            </w:pPr>
          </w:p>
          <w:p w14:paraId="3C0E7CA9" w14:textId="77777777" w:rsid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lastRenderedPageBreak/>
              <w:t>As defined within the introduction safeguarding means protecting children and adults at risk from abuse or neglect and working together as professionals to recognise the dangers (Wales Safeguarding Procedures, 2026). A broader understanding of safeguarding was particularly relevant within Child A's circumstances, where concerns extended beyond immediate harm and included vulnerabilities associated with poor mental health and placement instability. The procedures encouraged a proactive approach, ensuring that risk assessments considered both current concerns and future vulnerabilities. A significant strength of the Wales Safeguarding Procedures is their emphasis on multi-agency working and professional challenge. Throughout this case, differing professional opinions occasionally emerged regarding the level of support required and the urgency of intervention. The procedures recognise that professional disagreement should not be viewed negatively but can improve safeguarding outcomes when managed constructively. This reflects guidance which states that professional differences are inevitable within complex safeguarding work and that practitioners should be supported to constructively and critically challenge the decisions and practice of others (Mid and West Wales Safeguarding Board, 2023). This legitimised my role in respectfully challenging decision-making when I felt Child A's emotional needs and vulnerabilities were not being fully recognised. Consequently, the procedures supported a culture of accountability and professional curiosity, both of which are essential features of effective safeguarding practice.</w:t>
            </w:r>
          </w:p>
          <w:p w14:paraId="063247BC" w14:textId="77777777" w:rsidR="00AC7D75" w:rsidRPr="00AF3574" w:rsidRDefault="00AC7D75" w:rsidP="00AC7D75">
            <w:pPr>
              <w:spacing w:line="276" w:lineRule="auto"/>
              <w:jc w:val="both"/>
              <w:rPr>
                <w:rFonts w:asciiTheme="minorHAnsi" w:hAnsiTheme="minorHAnsi" w:cstheme="minorHAnsi"/>
                <w:sz w:val="24"/>
                <w:szCs w:val="24"/>
              </w:rPr>
            </w:pPr>
          </w:p>
          <w:p w14:paraId="12D12083" w14:textId="77777777" w:rsidR="00AF3574" w:rsidRP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The Well-being of Future Generations (Wales) Act 2015 further shaped my practice by encouraging longer-term, preventative thinking (Welsh Government, 2025). Although not specifically designed as safeguarding legislation, its principles align closely with contemporary social work values. Rather than focusing solely on immediate concerns, the Act encourages practitioners to consider how decisions made today may affect future wellbeing (Welsh Government, 2025). In Child A's case, this required consideration of the potential long-term impact of repeated placement instability, educational disruption and deteriorating emotional wellbeing. Consequently, safeguarding interventions focused not only on reducing immediate risk but also on promoting sustainable outcomes for the future.</w:t>
            </w:r>
          </w:p>
          <w:p w14:paraId="7BD8EF25" w14:textId="77777777" w:rsidR="00AF3574" w:rsidRPr="00AF3574" w:rsidRDefault="00AF3574" w:rsidP="00AC7D75">
            <w:pPr>
              <w:spacing w:line="276" w:lineRule="auto"/>
              <w:jc w:val="both"/>
              <w:rPr>
                <w:rFonts w:asciiTheme="minorHAnsi" w:hAnsiTheme="minorHAnsi" w:cstheme="minorHAnsi"/>
                <w:sz w:val="24"/>
                <w:szCs w:val="24"/>
              </w:rPr>
            </w:pPr>
            <w:r w:rsidRPr="00AF3574">
              <w:rPr>
                <w:rFonts w:asciiTheme="minorHAnsi" w:hAnsiTheme="minorHAnsi" w:cstheme="minorHAnsi"/>
                <w:sz w:val="24"/>
                <w:szCs w:val="24"/>
              </w:rPr>
              <w:t>To conclude, this experience strengthened my confidence as a Supervising Social Worker and highlighted the importance of balancing risk management with compassionate, relationship-based and strengths-focused practice within the legislative and policy framework that governs social work in Wales. The case reinforced that safeguarding extends beyond preventing immediate harm and requires professionals to understand the interaction between trauma, mental health, relationships, placement experiences and wellbeing. Through assessment, professional challenge, collaborative working and reflection, I developed a greater appreciation of the complexity of safeguarding adolescents whose vulnerabilities extend beyond traditional child protection concerns.</w:t>
            </w:r>
          </w:p>
          <w:p w14:paraId="47F21B6A" w14:textId="007FFCCE" w:rsidR="007A628F" w:rsidRPr="00AF3574" w:rsidRDefault="007A628F" w:rsidP="00FF7EBB">
            <w:pPr>
              <w:jc w:val="both"/>
              <w:rPr>
                <w:rFonts w:asciiTheme="minorHAnsi" w:hAnsiTheme="minorHAnsi" w:cstheme="minorHAnsi"/>
                <w:sz w:val="24"/>
                <w:szCs w:val="24"/>
              </w:rPr>
            </w:pPr>
          </w:p>
        </w:tc>
      </w:tr>
    </w:tbl>
    <w:p w14:paraId="1B4186EF" w14:textId="77777777" w:rsidR="00D3442D" w:rsidRPr="00AF3574" w:rsidRDefault="00D3442D" w:rsidP="00D3442D">
      <w:pPr>
        <w:jc w:val="both"/>
        <w:rPr>
          <w:rFonts w:asciiTheme="minorHAnsi" w:hAnsiTheme="minorHAnsi" w:cstheme="minorHAnsi"/>
          <w:sz w:val="24"/>
          <w:szCs w:val="24"/>
        </w:rPr>
      </w:pPr>
    </w:p>
    <w:p w14:paraId="3BE23FA3" w14:textId="77777777" w:rsidR="00DD31C5" w:rsidRPr="00AF3574" w:rsidRDefault="00DD31C5" w:rsidP="00064063">
      <w:pPr>
        <w:ind w:firstLine="720"/>
        <w:jc w:val="both"/>
        <w:rPr>
          <w:rFonts w:asciiTheme="minorHAnsi" w:hAnsiTheme="minorHAnsi" w:cstheme="minorHAnsi"/>
          <w:b/>
          <w:sz w:val="24"/>
          <w:szCs w:val="24"/>
        </w:rPr>
      </w:pPr>
    </w:p>
    <w:p w14:paraId="71B02E9F" w14:textId="77777777" w:rsidR="00DD31C5" w:rsidRPr="00AF3574" w:rsidRDefault="00DD31C5" w:rsidP="00064063">
      <w:pPr>
        <w:ind w:firstLine="720"/>
        <w:jc w:val="both"/>
        <w:rPr>
          <w:rFonts w:asciiTheme="minorHAnsi" w:hAnsiTheme="minorHAnsi" w:cstheme="minorHAnsi"/>
          <w:b/>
          <w:sz w:val="24"/>
          <w:szCs w:val="24"/>
        </w:rPr>
      </w:pPr>
    </w:p>
    <w:p w14:paraId="7F4433FA" w14:textId="247A8309" w:rsidR="00CC135E" w:rsidRPr="00AF3574" w:rsidRDefault="00CC135E" w:rsidP="003B29BC">
      <w:pPr>
        <w:rPr>
          <w:rFonts w:asciiTheme="minorHAnsi" w:hAnsiTheme="minorHAnsi" w:cstheme="minorHAnsi"/>
          <w:color w:val="auto"/>
          <w:sz w:val="24"/>
          <w:szCs w:val="24"/>
        </w:rPr>
      </w:pPr>
    </w:p>
    <w:sectPr w:rsidR="00CC135E" w:rsidRPr="00AF357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FEBD4" w14:textId="77777777" w:rsidR="00901F15" w:rsidRDefault="00901F15">
      <w:r>
        <w:separator/>
      </w:r>
    </w:p>
  </w:endnote>
  <w:endnote w:type="continuationSeparator" w:id="0">
    <w:p w14:paraId="14331856" w14:textId="77777777" w:rsidR="00901F15" w:rsidRDefault="00901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37677" w14:textId="77777777" w:rsidR="00901F15" w:rsidRDefault="00901F15">
      <w:r>
        <w:separator/>
      </w:r>
    </w:p>
  </w:footnote>
  <w:footnote w:type="continuationSeparator" w:id="0">
    <w:p w14:paraId="793A3CA2" w14:textId="77777777" w:rsidR="00901F15" w:rsidRDefault="00901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208"/>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1BD5"/>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B4E"/>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2141"/>
    <w:rsid w:val="004046F0"/>
    <w:rsid w:val="0040668F"/>
    <w:rsid w:val="00411EF7"/>
    <w:rsid w:val="00412677"/>
    <w:rsid w:val="00425160"/>
    <w:rsid w:val="00430DE3"/>
    <w:rsid w:val="004348AE"/>
    <w:rsid w:val="00436A2E"/>
    <w:rsid w:val="004376C0"/>
    <w:rsid w:val="004417B6"/>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7E"/>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11C"/>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0CF"/>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0C8"/>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130D"/>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F15"/>
    <w:rsid w:val="00902A65"/>
    <w:rsid w:val="00903932"/>
    <w:rsid w:val="0090766C"/>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7D75"/>
    <w:rsid w:val="00AD336F"/>
    <w:rsid w:val="00AE134C"/>
    <w:rsid w:val="00AE1868"/>
    <w:rsid w:val="00AE2564"/>
    <w:rsid w:val="00AE301F"/>
    <w:rsid w:val="00AE3302"/>
    <w:rsid w:val="00AE5BA6"/>
    <w:rsid w:val="00AE6231"/>
    <w:rsid w:val="00AE7077"/>
    <w:rsid w:val="00AF3574"/>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00F6"/>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6534"/>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75A"/>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AF357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annah.burgoyne@firstaffinityfostering.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4339</Words>
  <Characters>24736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Burgoyne</cp:lastModifiedBy>
  <cp:revision>15</cp:revision>
  <cp:lastPrinted>2020-02-11T19:20:00Z</cp:lastPrinted>
  <dcterms:created xsi:type="dcterms:W3CDTF">2026-01-22T11:56:00Z</dcterms:created>
  <dcterms:modified xsi:type="dcterms:W3CDTF">2026-10-06T15:20:00Z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