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930435509"/>
        <w:docPartObj>
          <w:docPartGallery w:val="Cover Pages"/>
          <w:docPartUnique/>
        </w:docPartObj>
      </w:sdtPr>
      <w:sdtEndPr>
        <w:rPr>
          <w:rFonts w:ascii="Calibri" w:hAnsi="Calibri" w:cs="Calibri"/>
          <w:b/>
          <w:bCs/>
          <w:sz w:val="24"/>
        </w:rPr>
      </w:sdtEndPr>
      <w:sdtContent>
        <w:p w14:paraId="011F23EF" w14:textId="12539DB9" w:rsidR="00705A58" w:rsidRDefault="00705A58">
          <w:pPr>
            <w:pStyle w:val="NoSpacing"/>
            <w:rPr>
              <w:sz w:val="2"/>
            </w:rPr>
          </w:pPr>
          <w:r>
            <w:rPr>
              <w:noProof/>
            </w:rPr>
            <w:drawing>
              <wp:inline distT="0" distB="0" distL="0" distR="0" wp14:anchorId="38479D2D" wp14:editId="51529DB8">
                <wp:extent cx="5594350" cy="2797175"/>
                <wp:effectExtent l="0" t="0" r="6350" b="3175"/>
                <wp:docPr id="93179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792988" name="Picture 931792988"/>
                        <pic:cNvPicPr/>
                      </pic:nvPicPr>
                      <pic:blipFill>
                        <a:blip r:embed="rId9">
                          <a:extLst>
                            <a:ext uri="{28A0092B-C50C-407E-A947-70E740481C1C}">
                              <a14:useLocalDpi xmlns:a14="http://schemas.microsoft.com/office/drawing/2010/main" val="0"/>
                            </a:ext>
                          </a:extLst>
                        </a:blip>
                        <a:stretch>
                          <a:fillRect/>
                        </a:stretch>
                      </pic:blipFill>
                      <pic:spPr>
                        <a:xfrm>
                          <a:off x="0" y="0"/>
                          <a:ext cx="5594350" cy="2797175"/>
                        </a:xfrm>
                        <a:prstGeom prst="rect">
                          <a:avLst/>
                        </a:prstGeom>
                      </pic:spPr>
                    </pic:pic>
                  </a:graphicData>
                </a:graphic>
              </wp:inline>
            </w:drawing>
          </w:r>
        </w:p>
        <w:p w14:paraId="22B22D37" w14:textId="1A16141D" w:rsidR="00705A58" w:rsidRDefault="00705A58">
          <w:r>
            <w:rPr>
              <w:noProof/>
              <w:color w:val="156082" w:themeColor="accent1"/>
              <w:sz w:val="36"/>
              <w:szCs w:val="36"/>
            </w:rPr>
            <mc:AlternateContent>
              <mc:Choice Requires="wpg">
                <w:drawing>
                  <wp:anchor distT="0" distB="0" distL="114300" distR="114300" simplePos="0" relativeHeight="251660288" behindDoc="1" locked="0" layoutInCell="1" allowOverlap="1" wp14:anchorId="5421E222" wp14:editId="30D1DEB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467E8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A69CBF0" wp14:editId="57C19DD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EB5B44" w14:textId="064EF21B" w:rsidR="00705A58"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2098B">
                                      <w:rPr>
                                        <w:color w:val="156082" w:themeColor="accent1"/>
                                        <w:sz w:val="36"/>
                                        <w:szCs w:val="36"/>
                                      </w:rPr>
                                      <w:t>Naymul Hasnat</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191160" w14:textId="3D8403FB" w:rsidR="00705A58" w:rsidRDefault="00E2098B">
                                    <w:pPr>
                                      <w:pStyle w:val="NoSpacing"/>
                                      <w:jc w:val="right"/>
                                      <w:rPr>
                                        <w:color w:val="156082" w:themeColor="accent1"/>
                                        <w:sz w:val="36"/>
                                        <w:szCs w:val="36"/>
                                      </w:rPr>
                                    </w:pPr>
                                    <w:r>
                                      <w:rPr>
                                        <w:color w:val="156082" w:themeColor="accent1"/>
                                        <w:sz w:val="36"/>
                                        <w:szCs w:val="36"/>
                                      </w:rPr>
                                      <w:t>ID- 2432483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A69CBF0"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46EB5B44" w14:textId="064EF21B" w:rsidR="00705A58"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2098B">
                                <w:rPr>
                                  <w:color w:val="156082" w:themeColor="accent1"/>
                                  <w:sz w:val="36"/>
                                  <w:szCs w:val="36"/>
                                </w:rPr>
                                <w:t>Naymul Hasnat</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E191160" w14:textId="3D8403FB" w:rsidR="00705A58" w:rsidRDefault="00E2098B">
                              <w:pPr>
                                <w:pStyle w:val="NoSpacing"/>
                                <w:jc w:val="right"/>
                                <w:rPr>
                                  <w:color w:val="156082" w:themeColor="accent1"/>
                                  <w:sz w:val="36"/>
                                  <w:szCs w:val="36"/>
                                </w:rPr>
                              </w:pPr>
                              <w:r>
                                <w:rPr>
                                  <w:color w:val="156082" w:themeColor="accent1"/>
                                  <w:sz w:val="36"/>
                                  <w:szCs w:val="36"/>
                                </w:rPr>
                                <w:t>ID- 2432483</w:t>
                              </w:r>
                            </w:p>
                          </w:sdtContent>
                        </w:sdt>
                      </w:txbxContent>
                    </v:textbox>
                    <w10:wrap anchorx="page" anchory="margin"/>
                  </v:shape>
                </w:pict>
              </mc:Fallback>
            </mc:AlternateContent>
          </w:r>
        </w:p>
        <w:p w14:paraId="2D59E30D" w14:textId="2CD6881E" w:rsidR="00705A58" w:rsidRDefault="009A2EA5">
          <w:pPr>
            <w:rPr>
              <w:rFonts w:ascii="Calibri" w:hAnsi="Calibri" w:cs="Calibri"/>
              <w:b/>
              <w:bCs/>
            </w:rPr>
          </w:pPr>
          <w:r>
            <w:rPr>
              <w:noProof/>
            </w:rPr>
            <mc:AlternateContent>
              <mc:Choice Requires="wps">
                <w:drawing>
                  <wp:anchor distT="0" distB="0" distL="114300" distR="114300" simplePos="0" relativeHeight="251661312" behindDoc="0" locked="0" layoutInCell="1" allowOverlap="1" wp14:anchorId="287D62F6" wp14:editId="582023E2">
                    <wp:simplePos x="0" y="0"/>
                    <wp:positionH relativeFrom="margin">
                      <wp:align>left</wp:align>
                    </wp:positionH>
                    <wp:positionV relativeFrom="margin">
                      <wp:posOffset>3124493</wp:posOffset>
                    </wp:positionV>
                    <wp:extent cx="3256671" cy="91440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3256671"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92D5DE" w14:textId="5E83B96C" w:rsidR="00705A58" w:rsidRDefault="009A2EA5">
                                    <w:pPr>
                                      <w:pStyle w:val="NoSpacing"/>
                                      <w:rPr>
                                        <w:rFonts w:asciiTheme="majorHAnsi" w:eastAsiaTheme="majorEastAsia" w:hAnsiTheme="majorHAnsi" w:cstheme="majorBidi"/>
                                        <w:caps/>
                                        <w:color w:val="2C7FCE" w:themeColor="text2" w:themeTint="99"/>
                                        <w:sz w:val="68"/>
                                        <w:szCs w:val="68"/>
                                      </w:rPr>
                                    </w:pPr>
                                    <w:r w:rsidRPr="009A2EA5">
                                      <w:rPr>
                                        <w:rFonts w:asciiTheme="majorHAnsi" w:eastAsiaTheme="majorEastAsia" w:hAnsiTheme="majorHAnsi" w:cstheme="majorBidi"/>
                                        <w:caps/>
                                        <w:color w:val="2C7FCE" w:themeColor="text2" w:themeTint="99"/>
                                        <w:sz w:val="64"/>
                                        <w:szCs w:val="64"/>
                                      </w:rPr>
                                      <w:t>Integration of Governance and Security Frameworks within NatureGreen</w:t>
                                    </w:r>
                                  </w:p>
                                </w:sdtContent>
                              </w:sdt>
                              <w:p w14:paraId="5723A8FF" w14:textId="20E051E7" w:rsidR="00705A5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9A2EA5">
                                      <w:rPr>
                                        <w:color w:val="156082" w:themeColor="accent1"/>
                                        <w:sz w:val="36"/>
                                        <w:szCs w:val="36"/>
                                      </w:rPr>
                                      <w:t xml:space="preserve">     </w:t>
                                    </w:r>
                                  </w:sdtContent>
                                </w:sdt>
                                <w:r w:rsidR="00705A58">
                                  <w:rPr>
                                    <w:noProof/>
                                  </w:rPr>
                                  <w:t xml:space="preserve"> </w:t>
                                </w:r>
                              </w:p>
                              <w:p w14:paraId="0E172884" w14:textId="77777777" w:rsidR="00705A58" w:rsidRDefault="00705A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 w14:anchorId="287D62F6" id="Text Box 66" o:spid="_x0000_s1027" type="#_x0000_t202" style="position:absolute;margin-left:0;margin-top:246pt;width:256.45pt;height:1in;z-index:251661312;visibility:visible;mso-wrap-style:square;mso-width-percent:0;mso-wrap-distance-left:9pt;mso-wrap-distance-top:0;mso-wrap-distance-right:9pt;mso-wrap-distance-bottom:0;mso-position-horizontal:left;mso-position-horizontal-relative:margin;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92D5DE" w14:textId="5E83B96C" w:rsidR="00705A58" w:rsidRDefault="009A2EA5">
                              <w:pPr>
                                <w:pStyle w:val="NoSpacing"/>
                                <w:rPr>
                                  <w:rFonts w:asciiTheme="majorHAnsi" w:eastAsiaTheme="majorEastAsia" w:hAnsiTheme="majorHAnsi" w:cstheme="majorBidi"/>
                                  <w:caps/>
                                  <w:color w:val="2C7FCE" w:themeColor="text2" w:themeTint="99"/>
                                  <w:sz w:val="68"/>
                                  <w:szCs w:val="68"/>
                                </w:rPr>
                              </w:pPr>
                              <w:r w:rsidRPr="009A2EA5">
                                <w:rPr>
                                  <w:rFonts w:asciiTheme="majorHAnsi" w:eastAsiaTheme="majorEastAsia" w:hAnsiTheme="majorHAnsi" w:cstheme="majorBidi"/>
                                  <w:caps/>
                                  <w:color w:val="2C7FCE" w:themeColor="text2" w:themeTint="99"/>
                                  <w:sz w:val="64"/>
                                  <w:szCs w:val="64"/>
                                </w:rPr>
                                <w:t>Integration of Governance and Security Frameworks within NatureGreen</w:t>
                              </w:r>
                            </w:p>
                          </w:sdtContent>
                        </w:sdt>
                        <w:p w14:paraId="5723A8FF" w14:textId="20E051E7" w:rsidR="00705A5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9A2EA5">
                                <w:rPr>
                                  <w:color w:val="156082" w:themeColor="accent1"/>
                                  <w:sz w:val="36"/>
                                  <w:szCs w:val="36"/>
                                </w:rPr>
                                <w:t xml:space="preserve">     </w:t>
                              </w:r>
                            </w:sdtContent>
                          </w:sdt>
                          <w:r w:rsidR="00705A58">
                            <w:rPr>
                              <w:noProof/>
                            </w:rPr>
                            <w:t xml:space="preserve"> </w:t>
                          </w:r>
                        </w:p>
                        <w:p w14:paraId="0E172884" w14:textId="77777777" w:rsidR="00705A58" w:rsidRDefault="00705A58"/>
                      </w:txbxContent>
                    </v:textbox>
                    <w10:wrap anchorx="margin" anchory="margin"/>
                  </v:shape>
                </w:pict>
              </mc:Fallback>
            </mc:AlternateContent>
          </w:r>
          <w:r w:rsidR="00705A58">
            <w:rPr>
              <w:rFonts w:ascii="Calibri" w:hAnsi="Calibri" w:cs="Calibri"/>
              <w:b/>
              <w:bCs/>
            </w:rPr>
            <w:br w:type="page"/>
          </w:r>
        </w:p>
      </w:sdtContent>
    </w:sdt>
    <w:p w14:paraId="206558B8" w14:textId="2601C7C7" w:rsidR="003E792D" w:rsidRPr="000B49F8" w:rsidRDefault="003E792D" w:rsidP="003E792D">
      <w:pPr>
        <w:rPr>
          <w:rFonts w:ascii="Calibri" w:hAnsi="Calibri" w:cs="Calibri"/>
          <w:b/>
          <w:bCs/>
          <w:sz w:val="32"/>
          <w:szCs w:val="32"/>
        </w:rPr>
      </w:pPr>
      <w:r w:rsidRPr="000B49F8">
        <w:rPr>
          <w:rFonts w:ascii="Calibri" w:hAnsi="Calibri" w:cs="Calibri"/>
          <w:b/>
          <w:bCs/>
          <w:sz w:val="32"/>
          <w:szCs w:val="32"/>
        </w:rPr>
        <w:lastRenderedPageBreak/>
        <w:t>Abstract</w:t>
      </w:r>
    </w:p>
    <w:p w14:paraId="6B093E8B" w14:textId="0DE06281" w:rsidR="003E792D" w:rsidRPr="008C5BAD" w:rsidRDefault="003E792D" w:rsidP="003E792D">
      <w:pPr>
        <w:rPr>
          <w:rFonts w:ascii="Calibri" w:hAnsi="Calibri" w:cs="Calibri"/>
        </w:rPr>
      </w:pPr>
      <w:r w:rsidRPr="008C5BAD">
        <w:rPr>
          <w:rFonts w:ascii="Calibri" w:hAnsi="Calibri" w:cs="Calibri"/>
        </w:rPr>
        <w:t xml:space="preserve">NatureGreen (NG), a global wellness brand, has embraced cloud computing, wireless networks, and BYOD (Bring Your Own Device) practices to expand its reach. Yet this digital transformation has left NG vulnerable to cyberattacks, compliance failures, and reputational damage. This report develops a comprehensive security governance and compliance strategy for NG, drawing upon frameworks such as ISO/IEC 27000, NIST SP 800, COBIT 5, and ITIL. It proposes a tailored governance structure, risk management methodology, and layered </w:t>
      </w:r>
      <w:r w:rsidR="00E20F40" w:rsidRPr="008C5BAD">
        <w:rPr>
          <w:rFonts w:ascii="Calibri" w:hAnsi="Calibri" w:cs="Calibri"/>
        </w:rPr>
        <w:t>defence</w:t>
      </w:r>
      <w:r w:rsidRPr="008C5BAD">
        <w:rPr>
          <w:rFonts w:ascii="Calibri" w:hAnsi="Calibri" w:cs="Calibri"/>
        </w:rPr>
        <w:t>-in-depth architecture. Real-world case studies including Equifax, Cambridge Analytica, and Meta illustrate the consequences of poor governance and highlight the importance of evolving standards and regulations. The report concludes with recommendations for NG to embed governance at board level, adopt international standards, and continuously update its compliance posture.</w:t>
      </w:r>
    </w:p>
    <w:p w14:paraId="1D9E54AF" w14:textId="77777777" w:rsidR="00033D34" w:rsidRPr="008C5BAD" w:rsidRDefault="00033D34" w:rsidP="003E792D">
      <w:pPr>
        <w:rPr>
          <w:rFonts w:ascii="Calibri" w:hAnsi="Calibri" w:cs="Calibri"/>
          <w:b/>
          <w:bCs/>
        </w:rPr>
      </w:pPr>
    </w:p>
    <w:p w14:paraId="1C339B0A" w14:textId="77777777" w:rsidR="000B49F8" w:rsidRDefault="000B49F8">
      <w:pPr>
        <w:rPr>
          <w:rFonts w:ascii="Calibri" w:hAnsi="Calibri" w:cs="Calibri"/>
          <w:b/>
          <w:bCs/>
        </w:rPr>
      </w:pPr>
      <w:r>
        <w:rPr>
          <w:rFonts w:ascii="Calibri" w:hAnsi="Calibri" w:cs="Calibri"/>
          <w:b/>
          <w:bCs/>
        </w:rPr>
        <w:br w:type="page"/>
      </w:r>
    </w:p>
    <w:p w14:paraId="5CB14112" w14:textId="75280ACF" w:rsidR="003E792D" w:rsidRPr="000B49F8" w:rsidRDefault="003E792D" w:rsidP="003E792D">
      <w:pPr>
        <w:rPr>
          <w:rFonts w:ascii="Calibri" w:hAnsi="Calibri" w:cs="Calibri"/>
          <w:b/>
          <w:bCs/>
          <w:sz w:val="32"/>
          <w:szCs w:val="32"/>
        </w:rPr>
      </w:pPr>
      <w:r w:rsidRPr="000B49F8">
        <w:rPr>
          <w:rFonts w:ascii="Calibri" w:hAnsi="Calibri" w:cs="Calibri"/>
          <w:b/>
          <w:bCs/>
          <w:sz w:val="32"/>
          <w:szCs w:val="32"/>
        </w:rPr>
        <w:lastRenderedPageBreak/>
        <w:t>Table of Contents</w:t>
      </w:r>
    </w:p>
    <w:p w14:paraId="171A4302" w14:textId="77777777" w:rsidR="003E792D" w:rsidRPr="008C5BAD" w:rsidRDefault="003E792D" w:rsidP="003E792D">
      <w:pPr>
        <w:numPr>
          <w:ilvl w:val="0"/>
          <w:numId w:val="1"/>
        </w:numPr>
        <w:rPr>
          <w:rFonts w:ascii="Calibri" w:hAnsi="Calibri" w:cs="Calibri"/>
        </w:rPr>
      </w:pPr>
      <w:r w:rsidRPr="008C5BAD">
        <w:rPr>
          <w:rFonts w:ascii="Calibri" w:hAnsi="Calibri" w:cs="Calibri"/>
        </w:rPr>
        <w:t>Introduction</w:t>
      </w:r>
    </w:p>
    <w:p w14:paraId="658953AE" w14:textId="279910CF" w:rsidR="003E792D" w:rsidRPr="008C5BAD" w:rsidRDefault="008C5BAD" w:rsidP="003E792D">
      <w:pPr>
        <w:numPr>
          <w:ilvl w:val="0"/>
          <w:numId w:val="1"/>
        </w:numPr>
        <w:rPr>
          <w:rFonts w:ascii="Calibri" w:hAnsi="Calibri" w:cs="Calibri"/>
        </w:rPr>
      </w:pPr>
      <w:r w:rsidRPr="008C5BAD">
        <w:rPr>
          <w:rFonts w:ascii="Calibri" w:hAnsi="Calibri" w:cs="Calibri"/>
        </w:rPr>
        <w:t>Security Frameworks and Models with Diagrammatic Analysis</w:t>
      </w:r>
    </w:p>
    <w:p w14:paraId="605C1DA4" w14:textId="1F5A3B5D" w:rsidR="003E792D" w:rsidRPr="008C5BAD" w:rsidRDefault="003E792D" w:rsidP="003E792D">
      <w:pPr>
        <w:numPr>
          <w:ilvl w:val="1"/>
          <w:numId w:val="1"/>
        </w:numPr>
        <w:rPr>
          <w:rFonts w:ascii="Calibri" w:hAnsi="Calibri" w:cs="Calibri"/>
        </w:rPr>
      </w:pPr>
      <w:r w:rsidRPr="008C5BAD">
        <w:rPr>
          <w:rFonts w:ascii="Calibri" w:hAnsi="Calibri" w:cs="Calibri"/>
        </w:rPr>
        <w:t>ISO/IEC 27000 Series</w:t>
      </w:r>
      <w:r w:rsidR="00C06D18">
        <w:rPr>
          <w:rFonts w:ascii="Calibri" w:hAnsi="Calibri" w:cs="Calibri"/>
        </w:rPr>
        <w:t xml:space="preserve"> </w:t>
      </w:r>
    </w:p>
    <w:p w14:paraId="48E9F7D7" w14:textId="77777777" w:rsidR="003E792D" w:rsidRPr="008C5BAD" w:rsidRDefault="003E792D" w:rsidP="003E792D">
      <w:pPr>
        <w:numPr>
          <w:ilvl w:val="1"/>
          <w:numId w:val="1"/>
        </w:numPr>
        <w:rPr>
          <w:rFonts w:ascii="Calibri" w:hAnsi="Calibri" w:cs="Calibri"/>
        </w:rPr>
      </w:pPr>
      <w:r w:rsidRPr="008C5BAD">
        <w:rPr>
          <w:rFonts w:ascii="Calibri" w:hAnsi="Calibri" w:cs="Calibri"/>
        </w:rPr>
        <w:t>NIST SP 800 Series</w:t>
      </w:r>
    </w:p>
    <w:p w14:paraId="52D5D616" w14:textId="77777777" w:rsidR="003E792D" w:rsidRPr="008C5BAD" w:rsidRDefault="003E792D" w:rsidP="003E792D">
      <w:pPr>
        <w:numPr>
          <w:ilvl w:val="1"/>
          <w:numId w:val="1"/>
        </w:numPr>
        <w:rPr>
          <w:rFonts w:ascii="Calibri" w:hAnsi="Calibri" w:cs="Calibri"/>
        </w:rPr>
      </w:pPr>
      <w:r w:rsidRPr="008C5BAD">
        <w:rPr>
          <w:rFonts w:ascii="Calibri" w:hAnsi="Calibri" w:cs="Calibri"/>
        </w:rPr>
        <w:t>COBIT 5</w:t>
      </w:r>
    </w:p>
    <w:p w14:paraId="7082E1CE" w14:textId="77777777" w:rsidR="003E792D" w:rsidRPr="008C5BAD" w:rsidRDefault="003E792D" w:rsidP="003E792D">
      <w:pPr>
        <w:numPr>
          <w:ilvl w:val="1"/>
          <w:numId w:val="1"/>
        </w:numPr>
        <w:rPr>
          <w:rFonts w:ascii="Calibri" w:hAnsi="Calibri" w:cs="Calibri"/>
        </w:rPr>
      </w:pPr>
      <w:r w:rsidRPr="008C5BAD">
        <w:rPr>
          <w:rFonts w:ascii="Calibri" w:hAnsi="Calibri" w:cs="Calibri"/>
        </w:rPr>
        <w:t>ITIL</w:t>
      </w:r>
    </w:p>
    <w:p w14:paraId="681D978A" w14:textId="77777777" w:rsidR="003E792D" w:rsidRPr="008C5BAD" w:rsidRDefault="003E792D" w:rsidP="003E792D">
      <w:pPr>
        <w:numPr>
          <w:ilvl w:val="1"/>
          <w:numId w:val="1"/>
        </w:numPr>
        <w:rPr>
          <w:rFonts w:ascii="Calibri" w:hAnsi="Calibri" w:cs="Calibri"/>
        </w:rPr>
      </w:pPr>
      <w:r w:rsidRPr="008C5BAD">
        <w:rPr>
          <w:rFonts w:ascii="Calibri" w:hAnsi="Calibri" w:cs="Calibri"/>
        </w:rPr>
        <w:t>Security Architecture Models (Bell-LaPadula, Biba)</w:t>
      </w:r>
    </w:p>
    <w:p w14:paraId="524B8523" w14:textId="77777777" w:rsidR="003E792D" w:rsidRPr="008C5BAD" w:rsidRDefault="003E792D" w:rsidP="003E792D">
      <w:pPr>
        <w:numPr>
          <w:ilvl w:val="0"/>
          <w:numId w:val="1"/>
        </w:numPr>
        <w:rPr>
          <w:rFonts w:ascii="Calibri" w:hAnsi="Calibri" w:cs="Calibri"/>
        </w:rPr>
      </w:pPr>
      <w:r w:rsidRPr="008C5BAD">
        <w:rPr>
          <w:rFonts w:ascii="Calibri" w:hAnsi="Calibri" w:cs="Calibri"/>
        </w:rPr>
        <w:t>Proposed Security Governance Framework</w:t>
      </w:r>
    </w:p>
    <w:p w14:paraId="363F8128" w14:textId="77777777" w:rsidR="003E792D" w:rsidRPr="008C5BAD" w:rsidRDefault="003E792D" w:rsidP="003E792D">
      <w:pPr>
        <w:numPr>
          <w:ilvl w:val="1"/>
          <w:numId w:val="1"/>
        </w:numPr>
        <w:rPr>
          <w:rFonts w:ascii="Calibri" w:hAnsi="Calibri" w:cs="Calibri"/>
        </w:rPr>
      </w:pPr>
      <w:r w:rsidRPr="008C5BAD">
        <w:rPr>
          <w:rFonts w:ascii="Calibri" w:hAnsi="Calibri" w:cs="Calibri"/>
        </w:rPr>
        <w:t>Assumptions</w:t>
      </w:r>
    </w:p>
    <w:p w14:paraId="3D4AB585" w14:textId="5291D35D" w:rsidR="003E792D" w:rsidRPr="008C5BAD" w:rsidRDefault="000F4EB6" w:rsidP="003E792D">
      <w:pPr>
        <w:numPr>
          <w:ilvl w:val="1"/>
          <w:numId w:val="1"/>
        </w:numPr>
        <w:rPr>
          <w:rFonts w:ascii="Calibri" w:hAnsi="Calibri" w:cs="Calibri"/>
        </w:rPr>
      </w:pPr>
      <w:r>
        <w:rPr>
          <w:rFonts w:ascii="Calibri" w:hAnsi="Calibri" w:cs="Calibri"/>
        </w:rPr>
        <w:t>Explanation of the NatureGreen Network Security Framework</w:t>
      </w:r>
    </w:p>
    <w:p w14:paraId="76228EEC" w14:textId="7A7F266E" w:rsidR="003E792D" w:rsidRPr="008C5BAD" w:rsidRDefault="000F4EB6" w:rsidP="003E792D">
      <w:pPr>
        <w:numPr>
          <w:ilvl w:val="1"/>
          <w:numId w:val="1"/>
        </w:numPr>
        <w:rPr>
          <w:rFonts w:ascii="Calibri" w:hAnsi="Calibri" w:cs="Calibri"/>
        </w:rPr>
      </w:pPr>
      <w:r>
        <w:rPr>
          <w:rFonts w:ascii="Calibri" w:hAnsi="Calibri" w:cs="Calibri"/>
        </w:rPr>
        <w:t>Hybrid Cloud Security Layer</w:t>
      </w:r>
    </w:p>
    <w:p w14:paraId="26D1EB3F" w14:textId="7B5252ED" w:rsidR="003E792D" w:rsidRPr="008C5BAD" w:rsidRDefault="000F4EB6" w:rsidP="003E792D">
      <w:pPr>
        <w:numPr>
          <w:ilvl w:val="1"/>
          <w:numId w:val="1"/>
        </w:numPr>
        <w:rPr>
          <w:rFonts w:ascii="Calibri" w:hAnsi="Calibri" w:cs="Calibri"/>
        </w:rPr>
      </w:pPr>
      <w:r>
        <w:rPr>
          <w:rFonts w:ascii="Calibri" w:hAnsi="Calibri" w:cs="Calibri"/>
        </w:rPr>
        <w:t>Perimeter and Core Network Security</w:t>
      </w:r>
    </w:p>
    <w:p w14:paraId="5E3A9EEF" w14:textId="2CF10852" w:rsidR="003E792D" w:rsidRPr="008C5BAD" w:rsidRDefault="000F4EB6" w:rsidP="003E792D">
      <w:pPr>
        <w:numPr>
          <w:ilvl w:val="1"/>
          <w:numId w:val="1"/>
        </w:numPr>
        <w:rPr>
          <w:rFonts w:ascii="Calibri" w:hAnsi="Calibri" w:cs="Calibri"/>
        </w:rPr>
      </w:pPr>
      <w:r>
        <w:rPr>
          <w:rFonts w:ascii="Calibri" w:hAnsi="Calibri" w:cs="Calibri"/>
        </w:rPr>
        <w:t>Identity, Access and Server Infrastructure</w:t>
      </w:r>
    </w:p>
    <w:p w14:paraId="09F028DE" w14:textId="1E54EEA4" w:rsidR="003E792D" w:rsidRPr="008C5BAD" w:rsidRDefault="000F4EB6" w:rsidP="003E792D">
      <w:pPr>
        <w:numPr>
          <w:ilvl w:val="1"/>
          <w:numId w:val="1"/>
        </w:numPr>
        <w:rPr>
          <w:rFonts w:ascii="Calibri" w:hAnsi="Calibri" w:cs="Calibri"/>
        </w:rPr>
      </w:pPr>
      <w:r>
        <w:rPr>
          <w:rFonts w:ascii="Calibri" w:hAnsi="Calibri" w:cs="Calibri"/>
        </w:rPr>
        <w:t>Wireless, Access and Distribution Layer</w:t>
      </w:r>
    </w:p>
    <w:p w14:paraId="5D5C91A8" w14:textId="4B925844" w:rsidR="003E792D" w:rsidRPr="008C5BAD" w:rsidRDefault="000F4EB6" w:rsidP="003E792D">
      <w:pPr>
        <w:numPr>
          <w:ilvl w:val="1"/>
          <w:numId w:val="1"/>
        </w:numPr>
        <w:rPr>
          <w:rFonts w:ascii="Calibri" w:hAnsi="Calibri" w:cs="Calibri"/>
        </w:rPr>
      </w:pPr>
      <w:r>
        <w:rPr>
          <w:rFonts w:ascii="Calibri" w:hAnsi="Calibri" w:cs="Calibri"/>
        </w:rPr>
        <w:t>Brand Network Architecture and Scalability</w:t>
      </w:r>
    </w:p>
    <w:p w14:paraId="434CBF09" w14:textId="7A1DD43A" w:rsidR="003E792D" w:rsidRDefault="000F4EB6" w:rsidP="003E792D">
      <w:pPr>
        <w:numPr>
          <w:ilvl w:val="1"/>
          <w:numId w:val="1"/>
        </w:numPr>
        <w:rPr>
          <w:rFonts w:ascii="Calibri" w:hAnsi="Calibri" w:cs="Calibri"/>
        </w:rPr>
      </w:pPr>
      <w:r>
        <w:rPr>
          <w:rFonts w:ascii="Calibri" w:hAnsi="Calibri" w:cs="Calibri"/>
        </w:rPr>
        <w:t>Remote Access Business Community</w:t>
      </w:r>
    </w:p>
    <w:p w14:paraId="3E5342FC" w14:textId="4DC47A0E" w:rsidR="000F4EB6" w:rsidRPr="008C5BAD" w:rsidRDefault="000F4EB6" w:rsidP="003E792D">
      <w:pPr>
        <w:numPr>
          <w:ilvl w:val="1"/>
          <w:numId w:val="1"/>
        </w:numPr>
        <w:rPr>
          <w:rFonts w:ascii="Calibri" w:hAnsi="Calibri" w:cs="Calibri"/>
        </w:rPr>
      </w:pPr>
      <w:r>
        <w:rPr>
          <w:rFonts w:ascii="Calibri" w:hAnsi="Calibri" w:cs="Calibri"/>
        </w:rPr>
        <w:t>Alignment with</w:t>
      </w:r>
      <w:r w:rsidR="00D34CA9">
        <w:rPr>
          <w:rFonts w:ascii="Calibri" w:hAnsi="Calibri" w:cs="Calibri"/>
        </w:rPr>
        <w:t xml:space="preserve"> Governance and Compliance Framework</w:t>
      </w:r>
    </w:p>
    <w:p w14:paraId="72499069" w14:textId="77777777" w:rsidR="003E792D" w:rsidRPr="008C5BAD" w:rsidRDefault="003E792D" w:rsidP="003E792D">
      <w:pPr>
        <w:numPr>
          <w:ilvl w:val="0"/>
          <w:numId w:val="1"/>
        </w:numPr>
        <w:rPr>
          <w:rFonts w:ascii="Calibri" w:hAnsi="Calibri" w:cs="Calibri"/>
        </w:rPr>
      </w:pPr>
      <w:r w:rsidRPr="008C5BAD">
        <w:rPr>
          <w:rFonts w:ascii="Calibri" w:hAnsi="Calibri" w:cs="Calibri"/>
        </w:rPr>
        <w:t>Critical Discussion: Evolving Standards and Regulations</w:t>
      </w:r>
    </w:p>
    <w:p w14:paraId="334B13DC" w14:textId="77777777" w:rsidR="003E792D" w:rsidRPr="008C5BAD" w:rsidRDefault="003E792D" w:rsidP="003E792D">
      <w:pPr>
        <w:numPr>
          <w:ilvl w:val="0"/>
          <w:numId w:val="1"/>
        </w:numPr>
        <w:rPr>
          <w:rFonts w:ascii="Calibri" w:hAnsi="Calibri" w:cs="Calibri"/>
        </w:rPr>
      </w:pPr>
      <w:r w:rsidRPr="008C5BAD">
        <w:rPr>
          <w:rFonts w:ascii="Calibri" w:hAnsi="Calibri" w:cs="Calibri"/>
        </w:rPr>
        <w:t>Conclusion</w:t>
      </w:r>
    </w:p>
    <w:p w14:paraId="6245A5CD" w14:textId="77777777" w:rsidR="003E792D" w:rsidRPr="008C5BAD" w:rsidRDefault="003E792D" w:rsidP="003E792D">
      <w:pPr>
        <w:numPr>
          <w:ilvl w:val="0"/>
          <w:numId w:val="1"/>
        </w:numPr>
        <w:rPr>
          <w:rFonts w:ascii="Calibri" w:hAnsi="Calibri" w:cs="Calibri"/>
        </w:rPr>
      </w:pPr>
      <w:r w:rsidRPr="008C5BAD">
        <w:rPr>
          <w:rFonts w:ascii="Calibri" w:hAnsi="Calibri" w:cs="Calibri"/>
        </w:rPr>
        <w:t>References</w:t>
      </w:r>
    </w:p>
    <w:p w14:paraId="63D10E8A" w14:textId="77777777" w:rsidR="00033D34" w:rsidRPr="008C5BAD" w:rsidRDefault="00033D34" w:rsidP="003E792D">
      <w:pPr>
        <w:rPr>
          <w:rFonts w:ascii="Calibri" w:hAnsi="Calibri" w:cs="Calibri"/>
          <w:b/>
          <w:bCs/>
        </w:rPr>
      </w:pPr>
    </w:p>
    <w:p w14:paraId="37705DE3" w14:textId="155770CD" w:rsidR="00E20F40" w:rsidRPr="00E40CA7" w:rsidRDefault="003E792D" w:rsidP="003E792D">
      <w:pPr>
        <w:rPr>
          <w:rFonts w:ascii="Calibri" w:hAnsi="Calibri" w:cs="Calibri"/>
          <w:b/>
          <w:bCs/>
          <w:sz w:val="32"/>
          <w:szCs w:val="32"/>
        </w:rPr>
      </w:pPr>
      <w:r w:rsidRPr="00E20F40">
        <w:rPr>
          <w:rFonts w:ascii="Calibri" w:hAnsi="Calibri" w:cs="Calibri"/>
          <w:b/>
          <w:bCs/>
          <w:sz w:val="32"/>
          <w:szCs w:val="32"/>
        </w:rPr>
        <w:t>Introduction</w:t>
      </w:r>
    </w:p>
    <w:p w14:paraId="60CA190C" w14:textId="4B95989F" w:rsidR="00E20F40" w:rsidRPr="00E20F40" w:rsidRDefault="00E20F40" w:rsidP="00E20F40">
      <w:pPr>
        <w:rPr>
          <w:rFonts w:ascii="Calibri" w:hAnsi="Calibri" w:cs="Calibri"/>
        </w:rPr>
      </w:pPr>
      <w:r w:rsidRPr="00E20F40">
        <w:rPr>
          <w:rFonts w:ascii="Calibri" w:hAnsi="Calibri" w:cs="Calibri"/>
        </w:rPr>
        <w:t>NatureGreen (NG) is a</w:t>
      </w:r>
      <w:r>
        <w:rPr>
          <w:rFonts w:ascii="Calibri" w:hAnsi="Calibri" w:cs="Calibri"/>
        </w:rPr>
        <w:t xml:space="preserve"> </w:t>
      </w:r>
      <w:r w:rsidRPr="00E20F40">
        <w:rPr>
          <w:rFonts w:ascii="Calibri" w:hAnsi="Calibri" w:cs="Calibri"/>
        </w:rPr>
        <w:t>trusted household brand within the health industry. Its merchandise is described as crucial to healthy living, and its brand has become</w:t>
      </w:r>
      <w:r>
        <w:rPr>
          <w:rFonts w:ascii="Calibri" w:hAnsi="Calibri" w:cs="Calibri"/>
        </w:rPr>
        <w:t xml:space="preserve"> </w:t>
      </w:r>
      <w:r w:rsidRPr="00E20F40">
        <w:rPr>
          <w:rFonts w:ascii="Calibri" w:hAnsi="Calibri" w:cs="Calibri"/>
        </w:rPr>
        <w:t>synonymous with dramatic lifestyle change. Operating around the world, NG relies heavily on digital tools to reach customers, manage</w:t>
      </w:r>
      <w:r w:rsidRPr="00E20F40">
        <w:rPr>
          <w:rFonts w:ascii="Calibri" w:hAnsi="Calibri" w:cs="Calibri"/>
        </w:rPr>
        <w:t> </w:t>
      </w:r>
      <w:r w:rsidRPr="00E20F40">
        <w:rPr>
          <w:rFonts w:ascii="Calibri" w:hAnsi="Calibri" w:cs="Calibri"/>
        </w:rPr>
        <w:t>its supply chain and protect intellectual property valued at billions of dollars.</w:t>
      </w:r>
    </w:p>
    <w:p w14:paraId="442FCFA7" w14:textId="08AA35EA" w:rsidR="00E20F40" w:rsidRPr="00E20F40" w:rsidRDefault="00E20F40" w:rsidP="00E20F40">
      <w:pPr>
        <w:rPr>
          <w:rFonts w:ascii="Calibri" w:hAnsi="Calibri" w:cs="Calibri"/>
        </w:rPr>
      </w:pPr>
      <w:r w:rsidRPr="00E20F40">
        <w:rPr>
          <w:rFonts w:ascii="Calibri" w:hAnsi="Calibri" w:cs="Calibri"/>
        </w:rPr>
        <w:lastRenderedPageBreak/>
        <w:t>But beneath the glossy</w:t>
      </w:r>
      <w:r>
        <w:rPr>
          <w:rFonts w:ascii="Calibri" w:hAnsi="Calibri" w:cs="Calibri"/>
        </w:rPr>
        <w:t xml:space="preserve"> </w:t>
      </w:r>
      <w:r w:rsidRPr="00E20F40">
        <w:rPr>
          <w:rFonts w:ascii="Calibri" w:hAnsi="Calibri" w:cs="Calibri"/>
        </w:rPr>
        <w:t>advertising lies a precarious computing infrastructure. NG’s network is 95% wireless, and the company has yielded to pressure from staff and customers to permit personal devices to connect to its</w:t>
      </w:r>
      <w:r w:rsidRPr="00E20F40">
        <w:rPr>
          <w:rFonts w:ascii="Calibri" w:hAnsi="Calibri" w:cs="Calibri"/>
        </w:rPr>
        <w:t> </w:t>
      </w:r>
      <w:r w:rsidRPr="00E20F40">
        <w:rPr>
          <w:rFonts w:ascii="Calibri" w:hAnsi="Calibri" w:cs="Calibri"/>
        </w:rPr>
        <w:t>systems</w:t>
      </w:r>
      <w:sdt>
        <w:sdtPr>
          <w:rPr>
            <w:rFonts w:ascii="Calibri" w:hAnsi="Calibri" w:cs="Calibri"/>
          </w:rPr>
          <w:id w:val="-759755637"/>
          <w:citation/>
        </w:sdtPr>
        <w:sdtContent>
          <w:r w:rsidR="00CB4261">
            <w:rPr>
              <w:rFonts w:ascii="Calibri" w:hAnsi="Calibri" w:cs="Calibri"/>
            </w:rPr>
            <w:fldChar w:fldCharType="begin"/>
          </w:r>
          <w:r w:rsidR="00CB4261">
            <w:rPr>
              <w:rFonts w:ascii="Calibri" w:hAnsi="Calibri" w:cs="Calibri"/>
            </w:rPr>
            <w:instrText xml:space="preserve"> CITATION Hye09 \l 2057 </w:instrText>
          </w:r>
          <w:r w:rsidR="00CB426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w:t>
          </w:r>
          <w:r w:rsidR="00CB4261">
            <w:rPr>
              <w:rFonts w:ascii="Calibri" w:hAnsi="Calibri" w:cs="Calibri"/>
            </w:rPr>
            <w:fldChar w:fldCharType="end"/>
          </w:r>
        </w:sdtContent>
      </w:sdt>
      <w:r w:rsidRPr="00E20F40">
        <w:rPr>
          <w:rFonts w:ascii="Calibri" w:hAnsi="Calibri" w:cs="Calibri"/>
        </w:rPr>
        <w:t>. Such a bring-your-own-device (BYOD) culture allows, however, uncontrolled malware/phishing attacks and</w:t>
      </w:r>
      <w:r w:rsidRPr="00E20F40">
        <w:rPr>
          <w:rFonts w:ascii="Calibri" w:hAnsi="Calibri" w:cs="Calibri"/>
        </w:rPr>
        <w:t> </w:t>
      </w:r>
      <w:r w:rsidRPr="00E20F40">
        <w:rPr>
          <w:rFonts w:ascii="Calibri" w:hAnsi="Calibri" w:cs="Calibri"/>
        </w:rPr>
        <w:t>unauthorized access. Intellectual</w:t>
      </w:r>
      <w:r w:rsidRPr="00E20F40">
        <w:rPr>
          <w:rFonts w:ascii="Calibri" w:hAnsi="Calibri" w:cs="Calibri"/>
        </w:rPr>
        <w:t> </w:t>
      </w:r>
      <w:r w:rsidRPr="00E20F40">
        <w:rPr>
          <w:rFonts w:ascii="Calibri" w:hAnsi="Calibri" w:cs="Calibri"/>
        </w:rPr>
        <w:t>property — from formulas and designs to marketing strategies — can be stolen. Health information, along with customer data</w:t>
      </w:r>
      <w:r w:rsidRPr="00E20F40">
        <w:rPr>
          <w:rFonts w:ascii="Calibri" w:hAnsi="Calibri" w:cs="Calibri"/>
        </w:rPr>
        <w:t> </w:t>
      </w:r>
      <w:r w:rsidRPr="00E20F40">
        <w:rPr>
          <w:rFonts w:ascii="Calibri" w:hAnsi="Calibri" w:cs="Calibri"/>
        </w:rPr>
        <w:t>more generally, is also at risk of breaching.</w:t>
      </w:r>
    </w:p>
    <w:p w14:paraId="793E21E4" w14:textId="556521B6" w:rsidR="00E20F40" w:rsidRPr="00E20F40" w:rsidRDefault="00E20F40" w:rsidP="00E20F40">
      <w:pPr>
        <w:rPr>
          <w:rFonts w:ascii="Calibri" w:hAnsi="Calibri" w:cs="Calibri"/>
        </w:rPr>
      </w:pPr>
      <w:r w:rsidRPr="00E20F40">
        <w:rPr>
          <w:rFonts w:ascii="Calibri" w:hAnsi="Calibri" w:cs="Calibri"/>
        </w:rPr>
        <w:t>There</w:t>
      </w:r>
      <w:r w:rsidRPr="00E20F40">
        <w:rPr>
          <w:rFonts w:ascii="Calibri" w:hAnsi="Calibri" w:cs="Calibri"/>
        </w:rPr>
        <w:t> </w:t>
      </w:r>
      <w:r w:rsidRPr="00E20F40">
        <w:rPr>
          <w:rFonts w:ascii="Calibri" w:hAnsi="Calibri" w:cs="Calibri"/>
        </w:rPr>
        <w:t>is NO governing security directive, structure or plan for NG. Your</w:t>
      </w:r>
      <w:r w:rsidRPr="00E20F40">
        <w:rPr>
          <w:rFonts w:ascii="Calibri" w:hAnsi="Calibri" w:cs="Calibri"/>
        </w:rPr>
        <w:t> </w:t>
      </w:r>
      <w:r w:rsidRPr="00E20F40">
        <w:rPr>
          <w:rFonts w:ascii="Calibri" w:hAnsi="Calibri" w:cs="Calibri"/>
        </w:rPr>
        <w:t>employees don’t know what is expected of them, your managers have no clear direction to take and leaders are trying to innovate without breaking the company. The stakes are high: one breach could undermine customer</w:t>
      </w:r>
      <w:r w:rsidRPr="00E20F40">
        <w:rPr>
          <w:rFonts w:ascii="Calibri" w:hAnsi="Calibri" w:cs="Calibri"/>
        </w:rPr>
        <w:t> </w:t>
      </w:r>
      <w:r w:rsidRPr="00E20F40">
        <w:rPr>
          <w:rFonts w:ascii="Calibri" w:hAnsi="Calibri" w:cs="Calibri"/>
        </w:rPr>
        <w:t>confidence, trigger regulatory fines and permanently tarnish NG’s reputation</w:t>
      </w:r>
      <w:sdt>
        <w:sdtPr>
          <w:rPr>
            <w:rFonts w:ascii="Calibri" w:hAnsi="Calibri" w:cs="Calibri"/>
          </w:rPr>
          <w:id w:val="-964729281"/>
          <w:citation/>
        </w:sdtPr>
        <w:sdtContent>
          <w:r w:rsidR="00CB4261">
            <w:rPr>
              <w:rFonts w:ascii="Calibri" w:hAnsi="Calibri" w:cs="Calibri"/>
            </w:rPr>
            <w:fldChar w:fldCharType="begin"/>
          </w:r>
          <w:r w:rsidR="00CB4261">
            <w:rPr>
              <w:rFonts w:ascii="Calibri" w:hAnsi="Calibri" w:cs="Calibri"/>
            </w:rPr>
            <w:instrText xml:space="preserve"> CITATION Ham20 \l 2057 </w:instrText>
          </w:r>
          <w:r w:rsidR="00CB426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[2]</w:t>
          </w:r>
          <w:r w:rsidR="00CB4261">
            <w:rPr>
              <w:rFonts w:ascii="Calibri" w:hAnsi="Calibri" w:cs="Calibri"/>
            </w:rPr>
            <w:fldChar w:fldCharType="end"/>
          </w:r>
        </w:sdtContent>
      </w:sdt>
      <w:r w:rsidRPr="00E20F40">
        <w:rPr>
          <w:rFonts w:ascii="Calibri" w:hAnsi="Calibri" w:cs="Calibri"/>
        </w:rPr>
        <w:t>.</w:t>
      </w:r>
    </w:p>
    <w:p w14:paraId="5FA71B11" w14:textId="77777777" w:rsidR="00E20F40" w:rsidRPr="00E20F40" w:rsidRDefault="00E20F40" w:rsidP="00E20F40">
      <w:pPr>
        <w:rPr>
          <w:rFonts w:ascii="Calibri" w:hAnsi="Calibri" w:cs="Calibri"/>
        </w:rPr>
      </w:pPr>
      <w:r w:rsidRPr="00E20F40">
        <w:rPr>
          <w:rFonts w:ascii="Calibri" w:hAnsi="Calibri" w:cs="Calibri"/>
        </w:rPr>
        <w:t>The objective of this report is to give NG a</w:t>
      </w:r>
      <w:r w:rsidRPr="00E20F40">
        <w:rPr>
          <w:rFonts w:ascii="Calibri" w:hAnsi="Calibri" w:cs="Calibri"/>
        </w:rPr>
        <w:t> </w:t>
      </w:r>
      <w:r w:rsidRPr="00E20F40">
        <w:rPr>
          <w:rFonts w:ascii="Calibri" w:hAnsi="Calibri" w:cs="Calibri"/>
        </w:rPr>
        <w:t>plan. It starts with a review of relevant frameworks and models, develops a customised governance approach, and concludes</w:t>
      </w:r>
      <w:r w:rsidRPr="00E20F40">
        <w:rPr>
          <w:rFonts w:ascii="Calibri" w:hAnsi="Calibri" w:cs="Calibri"/>
        </w:rPr>
        <w:t> </w:t>
      </w:r>
      <w:r w:rsidRPr="00E20F40">
        <w:rPr>
          <w:rFonts w:ascii="Calibri" w:hAnsi="Calibri" w:cs="Calibri"/>
        </w:rPr>
        <w:t>by critically considering why evolving standards and regulations are necessary. By the end of it, NG will know how to turn its chaotic digital environment</w:t>
      </w:r>
      <w:r w:rsidRPr="00E20F40">
        <w:rPr>
          <w:rFonts w:ascii="Calibri" w:hAnsi="Calibri" w:cs="Calibri"/>
        </w:rPr>
        <w:t> </w:t>
      </w:r>
      <w:r w:rsidRPr="00E20F40">
        <w:rPr>
          <w:rFonts w:ascii="Calibri" w:hAnsi="Calibri" w:cs="Calibri"/>
        </w:rPr>
        <w:t>into a secure, compliant and business-resilient organisation.</w:t>
      </w:r>
    </w:p>
    <w:p w14:paraId="4FB2E479" w14:textId="77777777" w:rsidR="00E20F40" w:rsidRPr="008C5BAD" w:rsidRDefault="00E20F40" w:rsidP="003E792D">
      <w:pPr>
        <w:rPr>
          <w:rFonts w:ascii="Calibri" w:hAnsi="Calibri" w:cs="Calibri"/>
        </w:rPr>
      </w:pPr>
    </w:p>
    <w:p w14:paraId="7F523172" w14:textId="195F4154" w:rsidR="00402C38" w:rsidRPr="008C5BAD" w:rsidRDefault="008C5BAD" w:rsidP="003E792D">
      <w:pPr>
        <w:rPr>
          <w:rFonts w:ascii="Calibri" w:hAnsi="Calibri" w:cs="Calibri"/>
          <w:b/>
          <w:bCs/>
          <w:sz w:val="32"/>
          <w:szCs w:val="32"/>
        </w:rPr>
      </w:pPr>
      <w:r w:rsidRPr="008C5BAD">
        <w:rPr>
          <w:rFonts w:ascii="Calibri" w:hAnsi="Calibri" w:cs="Calibri"/>
          <w:b/>
          <w:bCs/>
          <w:sz w:val="32"/>
          <w:szCs w:val="32"/>
        </w:rPr>
        <w:t>Security Frameworks and Models with Diagrammatic Analysis</w:t>
      </w:r>
    </w:p>
    <w:p w14:paraId="475EF1AE" w14:textId="77777777" w:rsidR="008C5BAD" w:rsidRPr="008C5BAD" w:rsidRDefault="008C5BAD" w:rsidP="008C5BAD">
      <w:pPr>
        <w:rPr>
          <w:rFonts w:ascii="Calibri" w:hAnsi="Calibri" w:cs="Calibri"/>
          <w:b/>
          <w:bCs/>
          <w:sz w:val="28"/>
          <w:szCs w:val="28"/>
        </w:rPr>
      </w:pPr>
      <w:r w:rsidRPr="008C5BAD">
        <w:rPr>
          <w:rFonts w:ascii="Calibri" w:hAnsi="Calibri" w:cs="Calibri"/>
          <w:b/>
          <w:bCs/>
          <w:sz w:val="28"/>
          <w:szCs w:val="28"/>
        </w:rPr>
        <w:t>Importance of Visual Models in Information Security Frameworks</w:t>
      </w:r>
    </w:p>
    <w:p w14:paraId="746C9186" w14:textId="1285E000" w:rsidR="005B3E69" w:rsidRPr="005B3E69" w:rsidRDefault="005B3E69" w:rsidP="005B3E69">
      <w:pPr>
        <w:rPr>
          <w:rFonts w:ascii="Calibri" w:hAnsi="Calibri" w:cs="Calibri"/>
        </w:rPr>
      </w:pPr>
      <w:r w:rsidRPr="005B3E69">
        <w:rPr>
          <w:rFonts w:ascii="Calibri" w:hAnsi="Calibri" w:cs="Calibri"/>
        </w:rPr>
        <w:t>Information security is by nature a complex framework that embraces human, process, technology and governance elements</w:t>
      </w:r>
      <w:r w:rsidRPr="005B3E69">
        <w:rPr>
          <w:rFonts w:ascii="Calibri" w:hAnsi="Calibri" w:cs="Calibri"/>
        </w:rPr>
        <w:t> </w:t>
      </w:r>
      <w:r w:rsidRPr="005B3E69">
        <w:rPr>
          <w:rFonts w:ascii="Calibri" w:hAnsi="Calibri" w:cs="Calibri"/>
        </w:rPr>
        <w:t>alike. Visualization methods, like lifecycle diagrams, pyramids or layered models help to abstract</w:t>
      </w:r>
      <w:r w:rsidRPr="005B3E69">
        <w:rPr>
          <w:rFonts w:ascii="Calibri" w:hAnsi="Calibri" w:cs="Calibri"/>
        </w:rPr>
        <w:t> </w:t>
      </w:r>
      <w:r w:rsidRPr="005B3E69">
        <w:rPr>
          <w:rFonts w:ascii="Calibri" w:hAnsi="Calibri" w:cs="Calibri"/>
        </w:rPr>
        <w:t>this complexity. Diagrams aid in strategic comprehension for leadership, operational guidance for management and</w:t>
      </w:r>
      <w:r w:rsidRPr="005B3E69">
        <w:rPr>
          <w:rFonts w:ascii="Calibri" w:hAnsi="Calibri" w:cs="Calibri"/>
        </w:rPr>
        <w:t> </w:t>
      </w:r>
      <w:r w:rsidRPr="005B3E69">
        <w:rPr>
          <w:rFonts w:ascii="Calibri" w:hAnsi="Calibri" w:cs="Calibri"/>
        </w:rPr>
        <w:t>a technical map for security personnel. For NG, which contains pockets of security practices, visual frameworks signpost the right direction for anyone in</w:t>
      </w:r>
      <w:r w:rsidRPr="005B3E69">
        <w:rPr>
          <w:rFonts w:ascii="Calibri" w:hAnsi="Calibri" w:cs="Calibri"/>
        </w:rPr>
        <w:t> </w:t>
      </w:r>
      <w:r w:rsidRPr="005B3E69">
        <w:rPr>
          <w:rFonts w:ascii="Calibri" w:hAnsi="Calibri" w:cs="Calibri"/>
        </w:rPr>
        <w:t>the Organization</w:t>
      </w:r>
      <w:sdt>
        <w:sdtPr>
          <w:rPr>
            <w:rFonts w:ascii="Calibri" w:hAnsi="Calibri" w:cs="Calibri"/>
          </w:rPr>
          <w:id w:val="-318033349"/>
          <w:citation/>
        </w:sdtPr>
        <w:sdtContent>
          <w:r w:rsidR="00CB4261">
            <w:rPr>
              <w:rFonts w:ascii="Calibri" w:hAnsi="Calibri" w:cs="Calibri"/>
            </w:rPr>
            <w:fldChar w:fldCharType="begin"/>
          </w:r>
          <w:r w:rsidR="00CB4261">
            <w:rPr>
              <w:rFonts w:ascii="Calibri" w:hAnsi="Calibri" w:cs="Calibri"/>
            </w:rPr>
            <w:instrText xml:space="preserve"> CITATION Mik09 \l 2057 </w:instrText>
          </w:r>
          <w:r w:rsidR="00CB426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[3]</w:t>
          </w:r>
          <w:r w:rsidR="00CB4261">
            <w:rPr>
              <w:rFonts w:ascii="Calibri" w:hAnsi="Calibri" w:cs="Calibri"/>
            </w:rPr>
            <w:fldChar w:fldCharType="end"/>
          </w:r>
        </w:sdtContent>
      </w:sdt>
      <w:r w:rsidRPr="005B3E69">
        <w:rPr>
          <w:rFonts w:ascii="Calibri" w:hAnsi="Calibri" w:cs="Calibri"/>
        </w:rPr>
        <w:t>.</w:t>
      </w:r>
    </w:p>
    <w:p w14:paraId="0417A783" w14:textId="77777777" w:rsidR="005B3E69" w:rsidRPr="005B3E69" w:rsidRDefault="005B3E69" w:rsidP="005B3E69">
      <w:pPr>
        <w:rPr>
          <w:rFonts w:ascii="Calibri" w:hAnsi="Calibri" w:cs="Calibri"/>
        </w:rPr>
      </w:pPr>
      <w:r w:rsidRPr="005B3E69">
        <w:rPr>
          <w:rFonts w:ascii="Calibri" w:hAnsi="Calibri" w:cs="Calibri"/>
        </w:rPr>
        <w:t>The subsequent subsections further develop</w:t>
      </w:r>
      <w:r w:rsidRPr="005B3E69">
        <w:rPr>
          <w:rFonts w:ascii="Calibri" w:hAnsi="Calibri" w:cs="Calibri"/>
        </w:rPr>
        <w:t> </w:t>
      </w:r>
      <w:r w:rsidRPr="005B3E69">
        <w:rPr>
          <w:rFonts w:ascii="Calibri" w:hAnsi="Calibri" w:cs="Calibri"/>
        </w:rPr>
        <w:t>the above frameworks by incorporating diagrams to illustrate how each model itself works in action and can be applied to NGs cloud-based, wireless and BYOD laden environment.</w:t>
      </w:r>
    </w:p>
    <w:p w14:paraId="6A402F70" w14:textId="69C98FD9" w:rsidR="008C5BAD" w:rsidRPr="00C06D18" w:rsidRDefault="009A2EA5" w:rsidP="003E792D">
      <w:pPr>
        <w:rPr>
          <w:rFonts w:ascii="Calibri" w:hAnsi="Calibri" w:cs="Calibri"/>
          <w:b/>
          <w:bCs/>
          <w:sz w:val="28"/>
          <w:szCs w:val="28"/>
        </w:rPr>
      </w:pPr>
      <w:r w:rsidRPr="00C06D18">
        <w:rPr>
          <w:rFonts w:ascii="Calibri" w:hAnsi="Calibri" w:cs="Calibri"/>
          <w:b/>
          <w:bCs/>
          <w:sz w:val="28"/>
          <w:szCs w:val="28"/>
        </w:rPr>
        <w:t>ISO/IEC 27001 Information Security Management System (ISMS) Cycle</w:t>
      </w:r>
    </w:p>
    <w:p w14:paraId="3125C37D" w14:textId="1CC4028D" w:rsidR="005B3E69" w:rsidRDefault="005B3E69" w:rsidP="005B3E69">
      <w:pPr>
        <w:rPr>
          <w:rFonts w:ascii="Calibri" w:hAnsi="Calibri" w:cs="Calibri"/>
        </w:rPr>
      </w:pPr>
      <w:r w:rsidRPr="005B3E69">
        <w:rPr>
          <w:rFonts w:ascii="Calibri" w:hAnsi="Calibri" w:cs="Calibri"/>
        </w:rPr>
        <w:t>ISO/IEC 27001 gives requirements for an Information Security Management System (ISMS) and is accompanied by ISO/IEC 27002 that provides</w:t>
      </w:r>
      <w:r w:rsidRPr="005B3E69">
        <w:rPr>
          <w:rFonts w:ascii="Calibri" w:hAnsi="Calibri" w:cs="Calibri"/>
        </w:rPr>
        <w:t> </w:t>
      </w:r>
      <w:r w:rsidRPr="005B3E69">
        <w:rPr>
          <w:rFonts w:ascii="Calibri" w:hAnsi="Calibri" w:cs="Calibri"/>
        </w:rPr>
        <w:t>best practices spanning areas such as access control, cryptography, and incident management [1]. ISO/IEC 27014 is more on governance, with a risk-based approach and</w:t>
      </w:r>
      <w:r w:rsidRPr="005B3E69">
        <w:rPr>
          <w:rFonts w:ascii="Calibri" w:hAnsi="Calibri" w:cs="Calibri"/>
        </w:rPr>
        <w:t> </w:t>
      </w:r>
      <w:r w:rsidRPr="005B3E69">
        <w:rPr>
          <w:rFonts w:ascii="Calibri" w:hAnsi="Calibri" w:cs="Calibri"/>
        </w:rPr>
        <w:t>an oversight by the board.</w:t>
      </w:r>
    </w:p>
    <w:p w14:paraId="185241C0" w14:textId="77777777" w:rsidR="009A2EA5" w:rsidRPr="005B3E69" w:rsidRDefault="009A2EA5" w:rsidP="009A2EA5">
      <w:pPr>
        <w:rPr>
          <w:rFonts w:ascii="Calibri" w:hAnsi="Calibri" w:cs="Calibri"/>
        </w:rPr>
      </w:pPr>
      <w:r w:rsidRPr="005B3E69">
        <w:rPr>
          <w:rFonts w:ascii="Calibri" w:hAnsi="Calibri" w:cs="Calibri"/>
        </w:rPr>
        <w:t>The ISO/IEC 27000 series of standards are a set of world-class information</w:t>
      </w:r>
      <w:r w:rsidRPr="005B3E69">
        <w:rPr>
          <w:rFonts w:ascii="Calibri" w:hAnsi="Calibri" w:cs="Calibri"/>
        </w:rPr>
        <w:t> </w:t>
      </w:r>
      <w:r w:rsidRPr="005B3E69">
        <w:rPr>
          <w:rFonts w:ascii="Calibri" w:hAnsi="Calibri" w:cs="Calibri"/>
        </w:rPr>
        <w:t xml:space="preserve">security management, best practice specifications that help organizations keep information assets </w:t>
      </w:r>
      <w:r w:rsidRPr="005B3E69">
        <w:rPr>
          <w:rFonts w:ascii="Calibri" w:hAnsi="Calibri" w:cs="Calibri"/>
        </w:rPr>
        <w:lastRenderedPageBreak/>
        <w:t>secure. ISO/IEC 27001 specifies</w:t>
      </w:r>
      <w:r w:rsidRPr="005B3E69">
        <w:rPr>
          <w:rFonts w:ascii="Calibri" w:hAnsi="Calibri" w:cs="Calibri"/>
        </w:rPr>
        <w:t> </w:t>
      </w:r>
      <w:r w:rsidRPr="005B3E69">
        <w:rPr>
          <w:rFonts w:ascii="Calibri" w:hAnsi="Calibri" w:cs="Calibri"/>
        </w:rPr>
        <w:t>requirements for an Information Security Management System (ISMS), while ISO/IEC 27002 offers best practices across the areas of access control, cryptography, and incident handling, among others. The ISO/IEC</w:t>
      </w:r>
      <w:r>
        <w:rPr>
          <w:rFonts w:ascii="Calibri" w:hAnsi="Calibri" w:cs="Calibri"/>
        </w:rPr>
        <w:t xml:space="preserve"> </w:t>
      </w:r>
      <w:r w:rsidRPr="005B3E69">
        <w:rPr>
          <w:rFonts w:ascii="Calibri" w:hAnsi="Calibri" w:cs="Calibri"/>
        </w:rPr>
        <w:t>27014 is dedicated to governance, with an emphasis of risk-based thinking and senior management / board member accountability.</w:t>
      </w:r>
    </w:p>
    <w:p w14:paraId="356900D8" w14:textId="768E341F" w:rsidR="009A2EA5" w:rsidRPr="005B3E69" w:rsidRDefault="009A2EA5" w:rsidP="005B3E69">
      <w:pPr>
        <w:rPr>
          <w:rFonts w:ascii="Calibri" w:hAnsi="Calibri" w:cs="Calibri"/>
        </w:rPr>
      </w:pPr>
      <w:r w:rsidRPr="005B3E69">
        <w:rPr>
          <w:rFonts w:ascii="Calibri" w:hAnsi="Calibri" w:cs="Calibri"/>
        </w:rPr>
        <w:t>This is because they are</w:t>
      </w:r>
      <w:r w:rsidRPr="005B3E69">
        <w:rPr>
          <w:rFonts w:ascii="Calibri" w:hAnsi="Calibri" w:cs="Calibri"/>
        </w:rPr>
        <w:t> </w:t>
      </w:r>
      <w:r w:rsidRPr="005B3E69">
        <w:rPr>
          <w:rFonts w:ascii="Calibri" w:hAnsi="Calibri" w:cs="Calibri"/>
        </w:rPr>
        <w:t>a structured, certifiable framework. Banks, hospitals and government</w:t>
      </w:r>
      <w:r w:rsidRPr="005B3E69">
        <w:rPr>
          <w:rFonts w:ascii="Calibri" w:hAnsi="Calibri" w:cs="Calibri"/>
        </w:rPr>
        <w:t> </w:t>
      </w:r>
      <w:r w:rsidRPr="005B3E69">
        <w:rPr>
          <w:rFonts w:ascii="Calibri" w:hAnsi="Calibri" w:cs="Calibri"/>
        </w:rPr>
        <w:t>organizations use ISO 27001 to validate that they are following compliance requirements described in the standard. ISO 27001 gives NG a route to certification while ISO 27002 sets them good</w:t>
      </w:r>
      <w:r w:rsidRPr="005B3E69">
        <w:rPr>
          <w:rFonts w:ascii="Calibri" w:hAnsi="Calibri" w:cs="Calibri"/>
        </w:rPr>
        <w:t> </w:t>
      </w:r>
      <w:r w:rsidRPr="005B3E69">
        <w:rPr>
          <w:rFonts w:ascii="Calibri" w:hAnsi="Calibri" w:cs="Calibri"/>
        </w:rPr>
        <w:t>practical standards for their wireless networks and BYOD environment</w:t>
      </w:r>
    </w:p>
    <w:p w14:paraId="10C95DF1" w14:textId="7BED7571" w:rsidR="005B3E69" w:rsidRDefault="005B3E69" w:rsidP="005B3E69">
      <w:pPr>
        <w:rPr>
          <w:rFonts w:ascii="Calibri" w:hAnsi="Calibri" w:cs="Calibri"/>
        </w:rPr>
      </w:pPr>
      <w:r w:rsidRPr="005B3E69">
        <w:rPr>
          <w:rFonts w:ascii="Calibri" w:hAnsi="Calibri" w:cs="Calibri"/>
        </w:rPr>
        <w:t>For the former this</w:t>
      </w:r>
      <w:r w:rsidRPr="005B3E69">
        <w:rPr>
          <w:rFonts w:ascii="Calibri" w:hAnsi="Calibri" w:cs="Calibri"/>
        </w:rPr>
        <w:t> </w:t>
      </w:r>
      <w:r w:rsidRPr="005B3E69">
        <w:rPr>
          <w:rFonts w:ascii="Calibri" w:hAnsi="Calibri" w:cs="Calibri"/>
        </w:rPr>
        <w:t>is now a broadly accepted practice because ISO standards give them a modelled and certifiable approach. Banks,</w:t>
      </w:r>
      <w:r w:rsidRPr="005B3E69">
        <w:rPr>
          <w:rFonts w:ascii="Calibri" w:hAnsi="Calibri" w:cs="Calibri"/>
        </w:rPr>
        <w:t> </w:t>
      </w:r>
      <w:r w:rsidRPr="005B3E69">
        <w:rPr>
          <w:rFonts w:ascii="Calibri" w:hAnsi="Calibri" w:cs="Calibri"/>
        </w:rPr>
        <w:t xml:space="preserve">health organizations, and governments rely on ISO 27001 </w:t>
      </w:r>
      <w:r w:rsidR="0000568C" w:rsidRPr="005B3E69">
        <w:rPr>
          <w:rFonts w:ascii="Calibri" w:hAnsi="Calibri" w:cs="Calibri"/>
        </w:rPr>
        <w:t>to</w:t>
      </w:r>
      <w:r w:rsidRPr="005B3E69">
        <w:rPr>
          <w:rFonts w:ascii="Calibri" w:hAnsi="Calibri" w:cs="Calibri"/>
        </w:rPr>
        <w:t xml:space="preserve"> show they are compliant with security regulations or assure people, they take information privacy seriously. For</w:t>
      </w:r>
      <w:r>
        <w:rPr>
          <w:rFonts w:ascii="Calibri" w:hAnsi="Calibri" w:cs="Calibri"/>
        </w:rPr>
        <w:t xml:space="preserve"> </w:t>
      </w:r>
      <w:r w:rsidRPr="005B3E69">
        <w:rPr>
          <w:rFonts w:ascii="Calibri" w:hAnsi="Calibri" w:cs="Calibri"/>
        </w:rPr>
        <w:t>NG, ISO 27001 is a path to certification while ISO 27002 provides real-world controls for securing wireless networks and BYOD environments</w:t>
      </w:r>
      <w:sdt>
        <w:sdtPr>
          <w:rPr>
            <w:rFonts w:ascii="Calibri" w:hAnsi="Calibri" w:cs="Calibri"/>
          </w:rPr>
          <w:id w:val="-1731535137"/>
          <w:citation/>
        </w:sdtPr>
        <w:sdtContent>
          <w:r w:rsidR="0000568C">
            <w:rPr>
              <w:rFonts w:ascii="Calibri" w:hAnsi="Calibri" w:cs="Calibri"/>
            </w:rPr>
            <w:fldChar w:fldCharType="begin"/>
          </w:r>
          <w:r w:rsidR="0000568C">
            <w:rPr>
              <w:rFonts w:ascii="Calibri" w:hAnsi="Calibri" w:cs="Calibri"/>
            </w:rPr>
            <w:instrText xml:space="preserve"> CITATION Dan13 \l 2057 </w:instrText>
          </w:r>
          <w:r w:rsidR="0000568C">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[4]</w:t>
          </w:r>
          <w:r w:rsidR="0000568C">
            <w:rPr>
              <w:rFonts w:ascii="Calibri" w:hAnsi="Calibri" w:cs="Calibri"/>
            </w:rPr>
            <w:fldChar w:fldCharType="end"/>
          </w:r>
        </w:sdtContent>
      </w:sdt>
      <w:r w:rsidRPr="005B3E69">
        <w:rPr>
          <w:rFonts w:ascii="Calibri" w:hAnsi="Calibri" w:cs="Calibri"/>
        </w:rPr>
        <w:t>.</w:t>
      </w:r>
    </w:p>
    <w:p w14:paraId="3004C42B" w14:textId="77777777" w:rsidR="009A2EA5" w:rsidRPr="005B3E69" w:rsidRDefault="009A2EA5" w:rsidP="009A2EA5">
      <w:pPr>
        <w:rPr>
          <w:rFonts w:ascii="Calibri" w:hAnsi="Calibri" w:cs="Calibri"/>
        </w:rPr>
      </w:pPr>
      <w:r w:rsidRPr="005B3E69">
        <w:rPr>
          <w:rFonts w:ascii="Calibri" w:hAnsi="Calibri" w:cs="Calibri"/>
        </w:rPr>
        <w:t>The ISO/IEC 27001 ISMS is often displayed in a Plan–Do–Check–Act (PDCA) cycle, such as the exhibit contained in</w:t>
      </w:r>
      <w:r w:rsidRPr="005B3E69">
        <w:rPr>
          <w:rFonts w:ascii="Calibri" w:hAnsi="Calibri" w:cs="Calibri"/>
        </w:rPr>
        <w:t> </w:t>
      </w:r>
      <w:r w:rsidRPr="005B3E69">
        <w:rPr>
          <w:rFonts w:ascii="Calibri" w:hAnsi="Calibri" w:cs="Calibri"/>
        </w:rPr>
        <w:t>this report. This</w:t>
      </w:r>
      <w:r w:rsidRPr="005B3E69">
        <w:rPr>
          <w:rFonts w:ascii="Calibri" w:hAnsi="Calibri" w:cs="Calibri"/>
        </w:rPr>
        <w:t> </w:t>
      </w:r>
      <w:r w:rsidRPr="005B3E69">
        <w:rPr>
          <w:rFonts w:ascii="Calibri" w:hAnsi="Calibri" w:cs="Calibri"/>
        </w:rPr>
        <w:t>iterative approach illustrates that Information Security is not a one-time effort, but rather a continuous improvement process.</w:t>
      </w:r>
    </w:p>
    <w:p w14:paraId="41E6635D" w14:textId="77777777" w:rsidR="009A2EA5" w:rsidRPr="005B3E69" w:rsidRDefault="009A2EA5" w:rsidP="009A2EA5">
      <w:pPr>
        <w:rPr>
          <w:rFonts w:ascii="Calibri" w:hAnsi="Calibri" w:cs="Calibri"/>
        </w:rPr>
      </w:pPr>
      <w:r w:rsidRPr="005B3E69">
        <w:rPr>
          <w:rFonts w:ascii="Calibri" w:hAnsi="Calibri" w:cs="Calibri"/>
        </w:rPr>
        <w:t>Plan comprises the</w:t>
      </w:r>
      <w:r w:rsidRPr="005B3E69">
        <w:rPr>
          <w:rFonts w:ascii="Calibri" w:hAnsi="Calibri" w:cs="Calibri"/>
        </w:rPr>
        <w:t> </w:t>
      </w:r>
      <w:r w:rsidRPr="005B3E69">
        <w:rPr>
          <w:rFonts w:ascii="Calibri" w:hAnsi="Calibri" w:cs="Calibri"/>
        </w:rPr>
        <w:t>creation of the ISMS - defining security objectives, establishing information assets and risks and choosing controls. For NG, this step would involve determining critical assets such as customer personally identifiable information, health-specific data, intellectual property and cloud</w:t>
      </w:r>
      <w:r w:rsidRPr="005B3E69">
        <w:rPr>
          <w:rFonts w:ascii="Calibri" w:hAnsi="Calibri" w:cs="Calibri"/>
        </w:rPr>
        <w:t> </w:t>
      </w:r>
      <w:r w:rsidRPr="005B3E69">
        <w:rPr>
          <w:rFonts w:ascii="Calibri" w:hAnsi="Calibri" w:cs="Calibri"/>
        </w:rPr>
        <w:t>infrastructure. Risk</w:t>
      </w:r>
      <w:r w:rsidRPr="005B3E69">
        <w:rPr>
          <w:rFonts w:ascii="Calibri" w:hAnsi="Calibri" w:cs="Calibri"/>
        </w:rPr>
        <w:t> </w:t>
      </w:r>
      <w:r w:rsidRPr="005B3E69">
        <w:rPr>
          <w:rFonts w:ascii="Calibri" w:hAnsi="Calibri" w:cs="Calibri"/>
        </w:rPr>
        <w:t>assessments would have to cover wireless insecurities, insecure personal devices and cloud misconfigurations.</w:t>
      </w:r>
    </w:p>
    <w:p w14:paraId="3E7EB409" w14:textId="394354FB" w:rsidR="009A2EA5" w:rsidRPr="005B3E69" w:rsidRDefault="009A2EA5" w:rsidP="009A2EA5">
      <w:pPr>
        <w:rPr>
          <w:rFonts w:ascii="Calibri" w:hAnsi="Calibri" w:cs="Calibri"/>
        </w:rPr>
      </w:pPr>
      <w:r w:rsidRPr="005B3E69">
        <w:rPr>
          <w:rFonts w:ascii="Calibri" w:hAnsi="Calibri" w:cs="Calibri"/>
        </w:rPr>
        <w:t>This comprises the use of encryption, access control systems, wireless security standards (eg WPA3), mobile</w:t>
      </w:r>
      <w:r w:rsidRPr="005B3E69">
        <w:rPr>
          <w:rFonts w:ascii="Calibri" w:hAnsi="Calibri" w:cs="Calibri"/>
        </w:rPr>
        <w:t> </w:t>
      </w:r>
      <w:r w:rsidRPr="005B3E69">
        <w:rPr>
          <w:rFonts w:ascii="Calibri" w:hAnsi="Calibri" w:cs="Calibri"/>
        </w:rPr>
        <w:t>device management (MDM) for BYOD and giving staff training on security awareness. This phase is more crucial in NG, as it is largely dependent on wireless connectivity and implementation</w:t>
      </w:r>
      <w:r w:rsidRPr="005B3E69">
        <w:rPr>
          <w:rFonts w:ascii="Calibri" w:hAnsi="Calibri" w:cs="Calibri"/>
        </w:rPr>
        <w:t> </w:t>
      </w:r>
      <w:r w:rsidRPr="005B3E69">
        <w:rPr>
          <w:rFonts w:ascii="Calibri" w:hAnsi="Calibri" w:cs="Calibri"/>
        </w:rPr>
        <w:t>of technical controls needs to be tightly controlled throughout all regions.</w:t>
      </w:r>
    </w:p>
    <w:p w14:paraId="1DCDA187" w14:textId="311E4D6D" w:rsidR="009A2EA5" w:rsidRPr="005B3E69" w:rsidRDefault="009A2EA5" w:rsidP="009A2EA5">
      <w:pPr>
        <w:rPr>
          <w:rFonts w:ascii="Calibri" w:hAnsi="Calibri" w:cs="Calibri"/>
        </w:rPr>
      </w:pPr>
      <w:r w:rsidRPr="005B3E69">
        <w:rPr>
          <w:rFonts w:ascii="Calibri" w:hAnsi="Calibri" w:cs="Calibri"/>
        </w:rPr>
        <w:t>Check includes monitoring, reviewing</w:t>
      </w:r>
      <w:r w:rsidRPr="005B3E69">
        <w:rPr>
          <w:rFonts w:ascii="Calibri" w:hAnsi="Calibri" w:cs="Calibri"/>
        </w:rPr>
        <w:t> </w:t>
      </w:r>
      <w:r w:rsidRPr="005B3E69">
        <w:rPr>
          <w:rFonts w:ascii="Calibri" w:hAnsi="Calibri" w:cs="Calibri"/>
        </w:rPr>
        <w:t>and auditing the ISMS. At this stage, things like internal audits, vulnerability scans, penetration tests</w:t>
      </w:r>
      <w:r w:rsidRPr="005B3E69">
        <w:rPr>
          <w:rFonts w:ascii="Calibri" w:hAnsi="Calibri" w:cs="Calibri"/>
        </w:rPr>
        <w:t> </w:t>
      </w:r>
      <w:r w:rsidRPr="005B3E69">
        <w:rPr>
          <w:rFonts w:ascii="Calibri" w:hAnsi="Calibri" w:cs="Calibri"/>
        </w:rPr>
        <w:t>and compliance checks against GDPR and ISO 27001 come into play. For NG, comprehensive monitoring of cloud access logs and anomaly detection is mandatory to detect breaches before the damage</w:t>
      </w:r>
      <w:r w:rsidRPr="005B3E69">
        <w:rPr>
          <w:rFonts w:ascii="Calibri" w:hAnsi="Calibri" w:cs="Calibri"/>
        </w:rPr>
        <w:t> </w:t>
      </w:r>
      <w:r w:rsidRPr="005B3E69">
        <w:rPr>
          <w:rFonts w:ascii="Calibri" w:hAnsi="Calibri" w:cs="Calibri"/>
        </w:rPr>
        <w:t>to the system becomes irreversible</w:t>
      </w:r>
      <w:sdt>
        <w:sdtPr>
          <w:rPr>
            <w:rFonts w:ascii="Calibri" w:hAnsi="Calibri" w:cs="Calibri"/>
          </w:rPr>
          <w:id w:val="296188314"/>
          <w:citation/>
        </w:sdtPr>
        <w:sdtContent>
          <w:r>
            <w:rPr>
              <w:rFonts w:ascii="Calibri" w:hAnsi="Calibri" w:cs="Calibri"/>
            </w:rPr>
            <w:fldChar w:fldCharType="begin"/>
          </w:r>
          <w:r>
            <w:rPr>
              <w:rFonts w:ascii="Calibri" w:hAnsi="Calibri" w:cs="Calibri"/>
            </w:rPr>
            <w:instrText xml:space="preserve"> CITATION ISO \l 2057 </w:instrText>
          </w:r>
          <w:r>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[5]</w:t>
          </w:r>
          <w:r>
            <w:rPr>
              <w:rFonts w:ascii="Calibri" w:hAnsi="Calibri" w:cs="Calibri"/>
            </w:rPr>
            <w:fldChar w:fldCharType="end"/>
          </w:r>
        </w:sdtContent>
      </w:sdt>
      <w:r w:rsidRPr="005B3E69">
        <w:rPr>
          <w:rFonts w:ascii="Calibri" w:hAnsi="Calibri" w:cs="Calibri"/>
        </w:rPr>
        <w:t>.</w:t>
      </w:r>
    </w:p>
    <w:p w14:paraId="74BA6CDD" w14:textId="77777777" w:rsidR="009A2EA5" w:rsidRPr="005B3E69" w:rsidRDefault="009A2EA5" w:rsidP="009A2EA5">
      <w:pPr>
        <w:rPr>
          <w:rFonts w:ascii="Calibri" w:hAnsi="Calibri" w:cs="Calibri"/>
        </w:rPr>
      </w:pPr>
      <w:r w:rsidRPr="005B3E69">
        <w:rPr>
          <w:rFonts w:ascii="Calibri" w:hAnsi="Calibri" w:cs="Calibri"/>
        </w:rPr>
        <w:t>Act includes taking corrective action</w:t>
      </w:r>
      <w:r w:rsidRPr="005B3E69">
        <w:rPr>
          <w:rFonts w:ascii="Calibri" w:hAnsi="Calibri" w:cs="Calibri"/>
        </w:rPr>
        <w:t> </w:t>
      </w:r>
      <w:r w:rsidRPr="005B3E69">
        <w:rPr>
          <w:rFonts w:ascii="Calibri" w:hAnsi="Calibri" w:cs="Calibri"/>
        </w:rPr>
        <w:t>and making further improvements. Past incidents, audit results and changes in regulations all inform the policy and</w:t>
      </w:r>
      <w:r w:rsidRPr="005B3E69">
        <w:rPr>
          <w:rFonts w:ascii="Calibri" w:hAnsi="Calibri" w:cs="Calibri"/>
        </w:rPr>
        <w:t> </w:t>
      </w:r>
      <w:r w:rsidRPr="005B3E69">
        <w:rPr>
          <w:rFonts w:ascii="Calibri" w:hAnsi="Calibri" w:cs="Calibri"/>
        </w:rPr>
        <w:t>control iteration. This phase helps to maintain NG</w:t>
      </w:r>
      <w:r w:rsidRPr="005B3E69">
        <w:rPr>
          <w:rFonts w:ascii="Calibri" w:hAnsi="Calibri" w:cs="Calibri"/>
        </w:rPr>
        <w:t> </w:t>
      </w:r>
      <w:r w:rsidRPr="005B3E69">
        <w:rPr>
          <w:rFonts w:ascii="Calibri" w:hAnsi="Calibri" w:cs="Calibri"/>
        </w:rPr>
        <w:t>resiliency in the presence of changing threats.</w:t>
      </w:r>
    </w:p>
    <w:p w14:paraId="4938D84C" w14:textId="671FFDCB" w:rsidR="005B3E69" w:rsidRPr="008C5BAD" w:rsidRDefault="009A2EA5" w:rsidP="003E792D">
      <w:pPr>
        <w:rPr>
          <w:rFonts w:ascii="Calibri" w:hAnsi="Calibri" w:cs="Calibri"/>
        </w:rPr>
      </w:pPr>
      <w:r w:rsidRPr="005B3E69">
        <w:rPr>
          <w:rFonts w:ascii="Calibri" w:hAnsi="Calibri" w:cs="Calibri"/>
        </w:rPr>
        <w:lastRenderedPageBreak/>
        <w:t>The diagrammatic scale of the ISMS process confirms that</w:t>
      </w:r>
      <w:r w:rsidRPr="005B3E69">
        <w:rPr>
          <w:rFonts w:ascii="Calibri" w:hAnsi="Calibri" w:cs="Calibri"/>
        </w:rPr>
        <w:t> </w:t>
      </w:r>
      <w:r w:rsidRPr="005B3E69">
        <w:rPr>
          <w:rFonts w:ascii="Calibri" w:hAnsi="Calibri" w:cs="Calibri"/>
        </w:rPr>
        <w:t>security governance is an adaptive process and one where ISO 27001 fits clearly into NG’s dynamic operational context.</w:t>
      </w:r>
    </w:p>
    <w:p w14:paraId="0DE287BF" w14:textId="35680D01" w:rsidR="00987E0B" w:rsidRPr="00C06D18" w:rsidRDefault="008C5BAD" w:rsidP="008C5BAD">
      <w:pPr>
        <w:rPr>
          <w:rFonts w:ascii="Calibri" w:hAnsi="Calibri" w:cs="Calibri"/>
          <w:b/>
          <w:bCs/>
          <w:sz w:val="28"/>
          <w:szCs w:val="28"/>
        </w:rPr>
      </w:pPr>
      <w:r w:rsidRPr="00C06D18">
        <w:rPr>
          <w:rFonts w:ascii="Calibri" w:hAnsi="Calibri" w:cs="Calibri"/>
          <w:b/>
          <w:bCs/>
          <w:sz w:val="28"/>
          <w:szCs w:val="28"/>
        </w:rPr>
        <w:t>NIST Risk Management Framework (RMF) Lifecycle</w:t>
      </w:r>
    </w:p>
    <w:p w14:paraId="4A282C76" w14:textId="70F656AD" w:rsidR="00987E0B" w:rsidRPr="00987E0B" w:rsidRDefault="00987E0B" w:rsidP="00987E0B">
      <w:pPr>
        <w:rPr>
          <w:rFonts w:ascii="Calibri" w:hAnsi="Calibri" w:cs="Calibri"/>
        </w:rPr>
      </w:pPr>
      <w:r w:rsidRPr="00987E0B">
        <w:rPr>
          <w:rFonts w:ascii="Calibri" w:hAnsi="Calibri" w:cs="Calibri"/>
        </w:rPr>
        <w:t>The NIST risk management</w:t>
      </w:r>
      <w:r w:rsidRPr="00987E0B">
        <w:rPr>
          <w:rFonts w:ascii="Calibri" w:hAnsi="Calibri" w:cs="Calibri"/>
        </w:rPr>
        <w:t> </w:t>
      </w:r>
      <w:r w:rsidRPr="00987E0B">
        <w:rPr>
          <w:rFonts w:ascii="Calibri" w:hAnsi="Calibri" w:cs="Calibri"/>
        </w:rPr>
        <w:t>framework is most effectively illustrated as a circular lifecycle and stresses the ongoing supervision of risk prevalent in the environment. There is a chart that depicts the six mains’</w:t>
      </w:r>
      <w:r>
        <w:rPr>
          <w:rFonts w:ascii="Calibri" w:hAnsi="Calibri" w:cs="Calibri"/>
        </w:rPr>
        <w:t xml:space="preserve"> </w:t>
      </w:r>
      <w:r w:rsidRPr="00987E0B">
        <w:rPr>
          <w:rFonts w:ascii="Calibri" w:hAnsi="Calibri" w:cs="Calibri"/>
        </w:rPr>
        <w:t>phases</w:t>
      </w:r>
      <w:r>
        <w:rPr>
          <w:rFonts w:ascii="Calibri" w:hAnsi="Calibri" w:cs="Calibri"/>
        </w:rPr>
        <w:t>:</w:t>
      </w:r>
      <w:r w:rsidRPr="00987E0B">
        <w:rPr>
          <w:rFonts w:ascii="Calibri" w:hAnsi="Calibri" w:cs="Calibri"/>
        </w:rPr>
        <w:t xml:space="preserve"> Categorize, Select, Implement, Assess</w:t>
      </w:r>
      <w:r>
        <w:rPr>
          <w:rFonts w:ascii="Calibri" w:hAnsi="Calibri" w:cs="Calibri"/>
        </w:rPr>
        <w:t>,</w:t>
      </w:r>
      <w:r w:rsidRPr="00987E0B">
        <w:rPr>
          <w:rFonts w:ascii="Calibri" w:hAnsi="Calibri" w:cs="Calibri"/>
        </w:rPr>
        <w:t xml:space="preserve"> Authorize and Monitor.</w:t>
      </w:r>
    </w:p>
    <w:p w14:paraId="023E7739" w14:textId="31423750" w:rsidR="00987E0B" w:rsidRPr="00987E0B" w:rsidRDefault="00987E0B" w:rsidP="00987E0B">
      <w:pPr>
        <w:rPr>
          <w:rFonts w:ascii="Calibri" w:hAnsi="Calibri" w:cs="Calibri"/>
        </w:rPr>
      </w:pPr>
      <w:r w:rsidRPr="00987E0B">
        <w:rPr>
          <w:rFonts w:ascii="Calibri" w:hAnsi="Calibri" w:cs="Calibri"/>
        </w:rPr>
        <w:t>During the Categorize step, NG</w:t>
      </w:r>
      <w:r w:rsidRPr="00987E0B">
        <w:rPr>
          <w:rFonts w:ascii="Calibri" w:hAnsi="Calibri" w:cs="Calibri"/>
        </w:rPr>
        <w:t> </w:t>
      </w:r>
      <w:r w:rsidRPr="00987E0B">
        <w:rPr>
          <w:rFonts w:ascii="Calibri" w:hAnsi="Calibri" w:cs="Calibri"/>
        </w:rPr>
        <w:t>would categorize information systems according to impact (low, moderate, high). Systems that process customer health information and intellectual property would fall into the high impact</w:t>
      </w:r>
      <w:r w:rsidRPr="00987E0B">
        <w:rPr>
          <w:rFonts w:ascii="Calibri" w:hAnsi="Calibri" w:cs="Calibri"/>
        </w:rPr>
        <w:t> </w:t>
      </w:r>
      <w:r w:rsidRPr="00987E0B">
        <w:rPr>
          <w:rFonts w:ascii="Calibri" w:hAnsi="Calibri" w:cs="Calibri"/>
        </w:rPr>
        <w:t>category, with stricter controls required.</w:t>
      </w:r>
    </w:p>
    <w:p w14:paraId="31707CB5" w14:textId="77777777" w:rsidR="00987E0B" w:rsidRPr="00987E0B" w:rsidRDefault="00987E0B" w:rsidP="00987E0B">
      <w:pPr>
        <w:rPr>
          <w:rFonts w:ascii="Calibri" w:hAnsi="Calibri" w:cs="Calibri"/>
        </w:rPr>
      </w:pPr>
      <w:r w:rsidRPr="00987E0B">
        <w:rPr>
          <w:rFonts w:ascii="Calibri" w:hAnsi="Calibri" w:cs="Calibri"/>
        </w:rPr>
        <w:t>Select: This stage consists in selecting relevant</w:t>
      </w:r>
      <w:r w:rsidRPr="00987E0B">
        <w:rPr>
          <w:rFonts w:ascii="Calibri" w:hAnsi="Calibri" w:cs="Calibri"/>
        </w:rPr>
        <w:t> </w:t>
      </w:r>
      <w:r w:rsidRPr="00987E0B">
        <w:rPr>
          <w:rFonts w:ascii="Calibri" w:hAnsi="Calibri" w:cs="Calibri"/>
        </w:rPr>
        <w:t>security controls from NIST SP 800-53. Relevant controls for NG are access control (AC), identification and authentication (IA), system and communications protection (SC) and</w:t>
      </w:r>
      <w:r w:rsidRPr="00987E0B">
        <w:rPr>
          <w:rFonts w:ascii="Calibri" w:hAnsi="Calibri" w:cs="Calibri"/>
        </w:rPr>
        <w:t> </w:t>
      </w:r>
      <w:r w:rsidRPr="00987E0B">
        <w:rPr>
          <w:rFonts w:ascii="Calibri" w:hAnsi="Calibri" w:cs="Calibri"/>
        </w:rPr>
        <w:t>incident response (IR).</w:t>
      </w:r>
    </w:p>
    <w:p w14:paraId="436CEBAC" w14:textId="77777777" w:rsidR="00987E0B" w:rsidRPr="00987E0B" w:rsidRDefault="00987E0B" w:rsidP="00987E0B">
      <w:pPr>
        <w:rPr>
          <w:rFonts w:ascii="Calibri" w:hAnsi="Calibri" w:cs="Calibri"/>
        </w:rPr>
      </w:pPr>
      <w:r w:rsidRPr="00987E0B">
        <w:rPr>
          <w:rFonts w:ascii="Calibri" w:hAnsi="Calibri" w:cs="Calibri"/>
        </w:rPr>
        <w:t>During Implement, information controls</w:t>
      </w:r>
      <w:r w:rsidRPr="00987E0B">
        <w:rPr>
          <w:rFonts w:ascii="Calibri" w:hAnsi="Calibri" w:cs="Calibri"/>
        </w:rPr>
        <w:t> </w:t>
      </w:r>
      <w:r w:rsidRPr="00987E0B">
        <w:rPr>
          <w:rFonts w:ascii="Calibri" w:hAnsi="Calibri" w:cs="Calibri"/>
        </w:rPr>
        <w:t>are put in place throughout the infrastructure of NG. This includes setting up cloud identity and access management (IAM), implementing multi-factor authentication (MFA), and creating secure VPNs for remote business or government</w:t>
      </w:r>
      <w:r w:rsidRPr="00987E0B">
        <w:rPr>
          <w:rFonts w:ascii="Calibri" w:hAnsi="Calibri" w:cs="Calibri"/>
        </w:rPr>
        <w:t> </w:t>
      </w:r>
      <w:r w:rsidRPr="00987E0B">
        <w:rPr>
          <w:rFonts w:ascii="Calibri" w:hAnsi="Calibri" w:cs="Calibri"/>
        </w:rPr>
        <w:t>use.</w:t>
      </w:r>
    </w:p>
    <w:p w14:paraId="4499EDA4" w14:textId="186EC940" w:rsidR="00987E0B" w:rsidRPr="00987E0B" w:rsidRDefault="00987E0B" w:rsidP="00987E0B">
      <w:pPr>
        <w:rPr>
          <w:rFonts w:ascii="Calibri" w:hAnsi="Calibri" w:cs="Calibri"/>
        </w:rPr>
      </w:pPr>
      <w:r w:rsidRPr="00987E0B">
        <w:rPr>
          <w:rFonts w:ascii="Calibri" w:hAnsi="Calibri" w:cs="Calibri"/>
        </w:rPr>
        <w:t xml:space="preserve">Assess This phase challenges controls as implemented, and </w:t>
      </w:r>
      <w:r w:rsidR="009A2EA5" w:rsidRPr="00987E0B">
        <w:rPr>
          <w:rFonts w:ascii="Calibri" w:hAnsi="Calibri" w:cs="Calibri"/>
        </w:rPr>
        <w:t>whether</w:t>
      </w:r>
      <w:r w:rsidRPr="00987E0B">
        <w:rPr>
          <w:rFonts w:ascii="Calibri" w:hAnsi="Calibri" w:cs="Calibri"/>
        </w:rPr>
        <w:t xml:space="preserve"> they are</w:t>
      </w:r>
      <w:r w:rsidRPr="00987E0B">
        <w:rPr>
          <w:rFonts w:ascii="Calibri" w:hAnsi="Calibri" w:cs="Calibri"/>
        </w:rPr>
        <w:t> </w:t>
      </w:r>
      <w:r w:rsidRPr="00987E0B">
        <w:rPr>
          <w:rFonts w:ascii="Calibri" w:hAnsi="Calibri" w:cs="Calibri"/>
        </w:rPr>
        <w:t xml:space="preserve">working effectively. </w:t>
      </w:r>
      <w:r w:rsidR="009A2EA5" w:rsidRPr="00987E0B">
        <w:rPr>
          <w:rFonts w:ascii="Calibri" w:hAnsi="Calibri" w:cs="Calibri"/>
        </w:rPr>
        <w:t>Like</w:t>
      </w:r>
      <w:r w:rsidRPr="00987E0B">
        <w:rPr>
          <w:rFonts w:ascii="Calibri" w:hAnsi="Calibri" w:cs="Calibri"/>
        </w:rPr>
        <w:t xml:space="preserve"> ISO 27001 internal audits This is closely related</w:t>
      </w:r>
      <w:r w:rsidRPr="00987E0B">
        <w:rPr>
          <w:rFonts w:ascii="Calibri" w:hAnsi="Calibri" w:cs="Calibri"/>
        </w:rPr>
        <w:t> </w:t>
      </w:r>
      <w:r w:rsidRPr="00987E0B">
        <w:rPr>
          <w:rFonts w:ascii="Calibri" w:hAnsi="Calibri" w:cs="Calibri"/>
        </w:rPr>
        <w:t>to answering for evidence-based compliance because of NG’s requirements.</w:t>
      </w:r>
    </w:p>
    <w:p w14:paraId="603E8358" w14:textId="77777777" w:rsidR="00987E0B" w:rsidRPr="00987E0B" w:rsidRDefault="00987E0B" w:rsidP="00987E0B">
      <w:pPr>
        <w:rPr>
          <w:rFonts w:ascii="Calibri" w:hAnsi="Calibri" w:cs="Calibri"/>
        </w:rPr>
      </w:pPr>
      <w:r w:rsidRPr="00987E0B">
        <w:rPr>
          <w:rFonts w:ascii="Calibri" w:hAnsi="Calibri" w:cs="Calibri"/>
        </w:rPr>
        <w:t>Authorize is the management’s</w:t>
      </w:r>
      <w:r w:rsidRPr="00987E0B">
        <w:rPr>
          <w:rFonts w:ascii="Calibri" w:hAnsi="Calibri" w:cs="Calibri"/>
        </w:rPr>
        <w:t> </w:t>
      </w:r>
      <w:r w:rsidRPr="00987E0B">
        <w:rPr>
          <w:rFonts w:ascii="Calibri" w:hAnsi="Calibri" w:cs="Calibri"/>
        </w:rPr>
        <w:t>approval of residual risk. This is an important aspect of governance that ensures there is understanding and formal acknowledgment by executives of the risks being</w:t>
      </w:r>
      <w:r w:rsidRPr="00987E0B">
        <w:rPr>
          <w:rFonts w:ascii="Calibri" w:hAnsi="Calibri" w:cs="Calibri"/>
        </w:rPr>
        <w:t> </w:t>
      </w:r>
      <w:r w:rsidRPr="00987E0B">
        <w:rPr>
          <w:rFonts w:ascii="Calibri" w:hAnsi="Calibri" w:cs="Calibri"/>
        </w:rPr>
        <w:t>assumed.</w:t>
      </w:r>
    </w:p>
    <w:p w14:paraId="5941ADD8" w14:textId="509C1BCC" w:rsidR="00987E0B" w:rsidRPr="00987E0B" w:rsidRDefault="00987E0B" w:rsidP="00987E0B">
      <w:pPr>
        <w:rPr>
          <w:rFonts w:ascii="Calibri" w:hAnsi="Calibri" w:cs="Calibri"/>
        </w:rPr>
      </w:pPr>
      <w:r w:rsidRPr="00987E0B">
        <w:rPr>
          <w:rFonts w:ascii="Calibri" w:hAnsi="Calibri" w:cs="Calibri"/>
        </w:rPr>
        <w:t>Finally, Monitor ensures continuous oversight. With NG worldwide and</w:t>
      </w:r>
      <w:r w:rsidRPr="00987E0B">
        <w:rPr>
          <w:rFonts w:ascii="Calibri" w:hAnsi="Calibri" w:cs="Calibri"/>
        </w:rPr>
        <w:t> </w:t>
      </w:r>
      <w:r w:rsidRPr="00987E0B">
        <w:rPr>
          <w:rFonts w:ascii="Calibri" w:hAnsi="Calibri" w:cs="Calibri"/>
        </w:rPr>
        <w:t>wireless, monitoring time, as well fought to visit with periodic evaluations is required</w:t>
      </w:r>
      <w:sdt>
        <w:sdtPr>
          <w:rPr>
            <w:rFonts w:ascii="Calibri" w:hAnsi="Calibri" w:cs="Calibri"/>
          </w:rPr>
          <w:id w:val="-1002812154"/>
          <w:citation/>
        </w:sdtPr>
        <w:sdtContent>
          <w:r w:rsidR="0000568C">
            <w:rPr>
              <w:rFonts w:ascii="Calibri" w:hAnsi="Calibri" w:cs="Calibri"/>
            </w:rPr>
            <w:fldChar w:fldCharType="begin"/>
          </w:r>
          <w:r w:rsidR="0000568C">
            <w:rPr>
              <w:rFonts w:ascii="Calibri" w:hAnsi="Calibri" w:cs="Calibri"/>
            </w:rPr>
            <w:instrText xml:space="preserve"> CITATION NIS \l 2057 </w:instrText>
          </w:r>
          <w:r w:rsidR="0000568C">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[6]</w:t>
          </w:r>
          <w:r w:rsidR="0000568C">
            <w:rPr>
              <w:rFonts w:ascii="Calibri" w:hAnsi="Calibri" w:cs="Calibri"/>
            </w:rPr>
            <w:fldChar w:fldCharType="end"/>
          </w:r>
        </w:sdtContent>
      </w:sdt>
      <w:r w:rsidRPr="00987E0B">
        <w:rPr>
          <w:rFonts w:ascii="Calibri" w:hAnsi="Calibri" w:cs="Calibri"/>
        </w:rPr>
        <w:t>.</w:t>
      </w:r>
    </w:p>
    <w:p w14:paraId="47B7205E" w14:textId="51950AF4" w:rsidR="00987E0B" w:rsidRPr="00987E0B" w:rsidRDefault="00987E0B" w:rsidP="00987E0B">
      <w:pPr>
        <w:rPr>
          <w:rFonts w:ascii="Calibri" w:hAnsi="Calibri" w:cs="Calibri"/>
        </w:rPr>
      </w:pPr>
      <w:r w:rsidRPr="00987E0B">
        <w:rPr>
          <w:rFonts w:ascii="Calibri" w:hAnsi="Calibri" w:cs="Calibri"/>
        </w:rPr>
        <w:t>During RMF and its processes, accountabilities are highlighted as well as lifecycle thinking so RMF is a good fit for ISO 27001 alongside NG’s existing security governance</w:t>
      </w:r>
      <w:r>
        <w:rPr>
          <w:rFonts w:ascii="Calibri" w:hAnsi="Calibri" w:cs="Calibri"/>
        </w:rPr>
        <w:t>.</w:t>
      </w:r>
    </w:p>
    <w:p w14:paraId="5F1956A7" w14:textId="55DE78FD" w:rsidR="00A717C9" w:rsidRPr="00C06D18" w:rsidRDefault="008C5BAD" w:rsidP="008C5BAD">
      <w:pPr>
        <w:rPr>
          <w:rFonts w:ascii="Calibri" w:hAnsi="Calibri" w:cs="Calibri"/>
          <w:b/>
          <w:bCs/>
          <w:sz w:val="28"/>
          <w:szCs w:val="28"/>
        </w:rPr>
      </w:pPr>
      <w:r w:rsidRPr="00C06D18">
        <w:rPr>
          <w:rFonts w:ascii="Calibri" w:hAnsi="Calibri" w:cs="Calibri"/>
          <w:b/>
          <w:bCs/>
          <w:sz w:val="28"/>
          <w:szCs w:val="28"/>
        </w:rPr>
        <w:t>COBIT 5 Governance Structure</w:t>
      </w:r>
    </w:p>
    <w:p w14:paraId="244C296B" w14:textId="704244C3" w:rsidR="00A717C9" w:rsidRPr="00A717C9" w:rsidRDefault="00A717C9" w:rsidP="00A717C9">
      <w:pPr>
        <w:rPr>
          <w:rFonts w:ascii="Calibri" w:hAnsi="Calibri" w:cs="Calibri"/>
        </w:rPr>
      </w:pPr>
      <w:r w:rsidRPr="00A717C9">
        <w:rPr>
          <w:rFonts w:ascii="Calibri" w:hAnsi="Calibri" w:cs="Calibri"/>
        </w:rPr>
        <w:t>COBIT 5 is commonly visualized as a governance pyramid.</w:t>
      </w:r>
      <w:r>
        <w:rPr>
          <w:rFonts w:ascii="Calibri" w:hAnsi="Calibri" w:cs="Calibri"/>
        </w:rPr>
        <w:t xml:space="preserve"> </w:t>
      </w:r>
      <w:r w:rsidRPr="00A717C9">
        <w:rPr>
          <w:rFonts w:ascii="Calibri" w:hAnsi="Calibri" w:cs="Calibri"/>
        </w:rPr>
        <w:t>At the top are</w:t>
      </w:r>
      <w:r>
        <w:rPr>
          <w:rFonts w:ascii="Calibri" w:hAnsi="Calibri" w:cs="Calibri"/>
        </w:rPr>
        <w:t xml:space="preserve"> </w:t>
      </w:r>
      <w:r w:rsidRPr="00A717C9">
        <w:rPr>
          <w:rFonts w:ascii="Calibri" w:hAnsi="Calibri" w:cs="Calibri"/>
        </w:rPr>
        <w:t>stakeholder requirements that translate business objectives into governance priorities.</w:t>
      </w:r>
    </w:p>
    <w:p w14:paraId="18DDB0B6" w14:textId="77777777" w:rsidR="00A717C9" w:rsidRPr="00A717C9" w:rsidRDefault="00A717C9" w:rsidP="00A717C9">
      <w:pPr>
        <w:rPr>
          <w:rFonts w:ascii="Calibri" w:hAnsi="Calibri" w:cs="Calibri"/>
        </w:rPr>
      </w:pPr>
      <w:r w:rsidRPr="00A717C9">
        <w:rPr>
          <w:rFonts w:ascii="Calibri" w:hAnsi="Calibri" w:cs="Calibri"/>
        </w:rPr>
        <w:t>Underneath it is the Governance layer,</w:t>
      </w:r>
      <w:r w:rsidRPr="00A717C9">
        <w:rPr>
          <w:rFonts w:ascii="Calibri" w:hAnsi="Calibri" w:cs="Calibri"/>
        </w:rPr>
        <w:t> </w:t>
      </w:r>
      <w:r w:rsidRPr="00A717C9">
        <w:rPr>
          <w:rFonts w:ascii="Calibri" w:hAnsi="Calibri" w:cs="Calibri"/>
        </w:rPr>
        <w:t>identified with the processes Evaluate, Direct and Monitor (EDM). For NG, this is the layer where the board and</w:t>
      </w:r>
      <w:r w:rsidRPr="00A717C9">
        <w:rPr>
          <w:rFonts w:ascii="Calibri" w:hAnsi="Calibri" w:cs="Calibri"/>
        </w:rPr>
        <w:t> </w:t>
      </w:r>
      <w:r w:rsidRPr="00A717C9">
        <w:rPr>
          <w:rFonts w:ascii="Calibri" w:hAnsi="Calibri" w:cs="Calibri"/>
        </w:rPr>
        <w:t>executive leadership establish security direction, approve risk appetite and monitor performance.</w:t>
      </w:r>
    </w:p>
    <w:p w14:paraId="0BD0EA7F" w14:textId="77777777" w:rsidR="00A717C9" w:rsidRPr="00A717C9" w:rsidRDefault="00A717C9" w:rsidP="00A717C9">
      <w:pPr>
        <w:rPr>
          <w:rFonts w:ascii="Calibri" w:hAnsi="Calibri" w:cs="Calibri"/>
        </w:rPr>
      </w:pPr>
      <w:r w:rsidRPr="00A717C9">
        <w:rPr>
          <w:rFonts w:ascii="Calibri" w:hAnsi="Calibri" w:cs="Calibri"/>
        </w:rPr>
        <w:lastRenderedPageBreak/>
        <w:t>Disconnect Management, below governance (Plan, Build, Run it)</w:t>
      </w:r>
      <w:r w:rsidRPr="00A717C9">
        <w:rPr>
          <w:rFonts w:ascii="Calibri" w:hAnsi="Calibri" w:cs="Calibri"/>
        </w:rPr>
        <w:t> </w:t>
      </w:r>
      <w:r w:rsidRPr="00A717C9">
        <w:rPr>
          <w:rFonts w:ascii="Calibri" w:hAnsi="Calibri" w:cs="Calibri"/>
        </w:rPr>
        <w:t>opportunities for Monitoring. This layer translates strategy into action, providing the connection between strategic goals and operational execution, so that IT security initiatives are tied to business objectives such as customer trust, compliance</w:t>
      </w:r>
      <w:r w:rsidRPr="00A717C9">
        <w:rPr>
          <w:rFonts w:ascii="Calibri" w:hAnsi="Calibri" w:cs="Calibri"/>
        </w:rPr>
        <w:t> </w:t>
      </w:r>
      <w:r w:rsidRPr="00A717C9">
        <w:rPr>
          <w:rFonts w:ascii="Calibri" w:hAnsi="Calibri" w:cs="Calibri"/>
        </w:rPr>
        <w:t>with regulations, and protection of brand.</w:t>
      </w:r>
    </w:p>
    <w:p w14:paraId="68C0BC56" w14:textId="5B7F88D7" w:rsidR="00A717C9" w:rsidRPr="00A717C9" w:rsidRDefault="00A717C9" w:rsidP="00A717C9">
      <w:pPr>
        <w:rPr>
          <w:rFonts w:ascii="Calibri" w:hAnsi="Calibri" w:cs="Calibri"/>
        </w:rPr>
      </w:pPr>
      <w:r w:rsidRPr="00A717C9">
        <w:rPr>
          <w:rFonts w:ascii="Calibri" w:hAnsi="Calibri" w:cs="Calibri"/>
        </w:rPr>
        <w:t>The bottom of the pyramid is anchored by COBIT’s five principles that</w:t>
      </w:r>
      <w:r w:rsidRPr="00A717C9">
        <w:rPr>
          <w:rFonts w:ascii="Calibri" w:hAnsi="Calibri" w:cs="Calibri"/>
        </w:rPr>
        <w:t> </w:t>
      </w:r>
      <w:r w:rsidRPr="00A717C9">
        <w:rPr>
          <w:rFonts w:ascii="Calibri" w:hAnsi="Calibri" w:cs="Calibri"/>
        </w:rPr>
        <w:t>underpin holistic, end-to-end governance. One of the key factors is that NG can fully clarify responsibilities between</w:t>
      </w:r>
      <w:r w:rsidRPr="00A717C9">
        <w:rPr>
          <w:rFonts w:ascii="Calibri" w:hAnsi="Calibri" w:cs="Calibri"/>
        </w:rPr>
        <w:t> </w:t>
      </w:r>
      <w:r w:rsidRPr="00A717C9">
        <w:rPr>
          <w:rFonts w:ascii="Calibri" w:hAnsi="Calibri" w:cs="Calibri"/>
        </w:rPr>
        <w:t>leadership and operation if governance could be separated from management</w:t>
      </w:r>
      <w:sdt>
        <w:sdtPr>
          <w:rPr>
            <w:rFonts w:ascii="Calibri" w:hAnsi="Calibri" w:cs="Calibri"/>
          </w:rPr>
          <w:id w:val="607932684"/>
          <w:citation/>
        </w:sdtPr>
        <w:sdtContent>
          <w:r w:rsidR="006E76C1">
            <w:rPr>
              <w:rFonts w:ascii="Calibri" w:hAnsi="Calibri" w:cs="Calibri"/>
            </w:rPr>
            <w:fldChar w:fldCharType="begin"/>
          </w:r>
          <w:r w:rsidR="006E76C1">
            <w:rPr>
              <w:rFonts w:ascii="Calibri" w:hAnsi="Calibri" w:cs="Calibri"/>
            </w:rPr>
            <w:instrText xml:space="preserve"> CITATION htt16 \l 2057 </w:instrText>
          </w:r>
          <w:r w:rsidR="006E76C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[7]</w:t>
          </w:r>
          <w:r w:rsidR="006E76C1">
            <w:rPr>
              <w:rFonts w:ascii="Calibri" w:hAnsi="Calibri" w:cs="Calibri"/>
            </w:rPr>
            <w:fldChar w:fldCharType="end"/>
          </w:r>
        </w:sdtContent>
      </w:sdt>
      <w:r w:rsidRPr="00A717C9">
        <w:rPr>
          <w:rFonts w:ascii="Calibri" w:hAnsi="Calibri" w:cs="Calibri"/>
        </w:rPr>
        <w:t>.</w:t>
      </w:r>
    </w:p>
    <w:p w14:paraId="450623E8" w14:textId="77777777" w:rsidR="00A717C9" w:rsidRPr="00A717C9" w:rsidRDefault="00A717C9" w:rsidP="00A717C9">
      <w:pPr>
        <w:rPr>
          <w:rFonts w:ascii="Calibri" w:hAnsi="Calibri" w:cs="Calibri"/>
        </w:rPr>
      </w:pPr>
      <w:r w:rsidRPr="00A717C9">
        <w:rPr>
          <w:rFonts w:ascii="Calibri" w:hAnsi="Calibri" w:cs="Calibri"/>
        </w:rPr>
        <w:t>The articulated framework of COBIT V5 allows NG to match security spend with stakeholder need</w:t>
      </w:r>
      <w:r w:rsidRPr="00A717C9">
        <w:rPr>
          <w:rFonts w:ascii="Calibri" w:hAnsi="Calibri" w:cs="Calibri"/>
        </w:rPr>
        <w:t> </w:t>
      </w:r>
      <w:r w:rsidRPr="00A717C9">
        <w:rPr>
          <w:rFonts w:ascii="Calibri" w:hAnsi="Calibri" w:cs="Calibri"/>
        </w:rPr>
        <w:t>still with the clear accountability at each level in the company.</w:t>
      </w:r>
    </w:p>
    <w:p w14:paraId="7A36E777" w14:textId="245174D9" w:rsidR="00A717C9" w:rsidRPr="00C06D18" w:rsidRDefault="008C5BAD" w:rsidP="008C5BAD">
      <w:pPr>
        <w:rPr>
          <w:rFonts w:ascii="Calibri" w:hAnsi="Calibri" w:cs="Calibri"/>
          <w:b/>
          <w:bCs/>
          <w:sz w:val="28"/>
          <w:szCs w:val="28"/>
        </w:rPr>
      </w:pPr>
      <w:r w:rsidRPr="00C06D18">
        <w:rPr>
          <w:rFonts w:ascii="Calibri" w:hAnsi="Calibri" w:cs="Calibri"/>
          <w:b/>
          <w:bCs/>
          <w:sz w:val="28"/>
          <w:szCs w:val="28"/>
        </w:rPr>
        <w:t>ITIL 4 Service Value System (SVS)</w:t>
      </w:r>
    </w:p>
    <w:p w14:paraId="55116054" w14:textId="47585F6B" w:rsidR="00A717C9" w:rsidRPr="00A717C9" w:rsidRDefault="00A717C9" w:rsidP="00A717C9">
      <w:pPr>
        <w:rPr>
          <w:rFonts w:ascii="Calibri" w:hAnsi="Calibri" w:cs="Calibri"/>
        </w:rPr>
      </w:pPr>
      <w:r w:rsidRPr="00A717C9">
        <w:rPr>
          <w:rFonts w:ascii="Calibri" w:hAnsi="Calibri" w:cs="Calibri"/>
        </w:rPr>
        <w:t>The ITIL Service Value System is often illustrated as a circular or layered diagram that stresses value co-creation. The included diagram shows that guiding principles, governance, practices, continual improvement</w:t>
      </w:r>
      <w:r w:rsidRPr="00A717C9">
        <w:rPr>
          <w:rFonts w:ascii="Calibri" w:hAnsi="Calibri" w:cs="Calibri"/>
        </w:rPr>
        <w:t> </w:t>
      </w:r>
      <w:r w:rsidRPr="00A717C9">
        <w:rPr>
          <w:rFonts w:ascii="Calibri" w:hAnsi="Calibri" w:cs="Calibri"/>
        </w:rPr>
        <w:t>and the service value chain act together to deliver value.</w:t>
      </w:r>
    </w:p>
    <w:p w14:paraId="16A94EB6" w14:textId="77777777" w:rsidR="00A717C9" w:rsidRPr="00A717C9" w:rsidRDefault="00A717C9" w:rsidP="00A717C9">
      <w:pPr>
        <w:rPr>
          <w:rFonts w:ascii="Calibri" w:hAnsi="Calibri" w:cs="Calibri"/>
        </w:rPr>
      </w:pPr>
      <w:r w:rsidRPr="00A717C9">
        <w:rPr>
          <w:rFonts w:ascii="Calibri" w:hAnsi="Calibri" w:cs="Calibri"/>
        </w:rPr>
        <w:t>Service value in the middle for NG involves secure and reliable cloud service access to employees and</w:t>
      </w:r>
      <w:r w:rsidRPr="00A717C9">
        <w:rPr>
          <w:rFonts w:ascii="Calibri" w:hAnsi="Calibri" w:cs="Calibri"/>
        </w:rPr>
        <w:t> </w:t>
      </w:r>
      <w:r w:rsidRPr="00A717C9">
        <w:rPr>
          <w:rFonts w:ascii="Calibri" w:hAnsi="Calibri" w:cs="Calibri"/>
        </w:rPr>
        <w:t>customers. Encircling</w:t>
      </w:r>
      <w:r w:rsidRPr="00A717C9">
        <w:rPr>
          <w:rFonts w:ascii="Calibri" w:hAnsi="Calibri" w:cs="Calibri"/>
        </w:rPr>
        <w:t> </w:t>
      </w:r>
      <w:r w:rsidRPr="00A717C9">
        <w:rPr>
          <w:rFonts w:ascii="Calibri" w:hAnsi="Calibri" w:cs="Calibri"/>
        </w:rPr>
        <w:t>that are guiding principles like “focus on value” and “optimize &amp; automate,” as well as secure service delivery.</w:t>
      </w:r>
    </w:p>
    <w:p w14:paraId="783D4793" w14:textId="662E54AF" w:rsidR="00A717C9" w:rsidRPr="00A717C9" w:rsidRDefault="00A717C9" w:rsidP="00A717C9">
      <w:pPr>
        <w:rPr>
          <w:rFonts w:ascii="Calibri" w:hAnsi="Calibri" w:cs="Calibri"/>
        </w:rPr>
      </w:pPr>
      <w:r w:rsidRPr="00A717C9">
        <w:rPr>
          <w:rFonts w:ascii="Calibri" w:hAnsi="Calibri" w:cs="Calibri"/>
        </w:rPr>
        <w:t>The service value chain (plan, improve, engage, design and transition, obtain/build, deliver and support</w:t>
      </w:r>
      <w:r w:rsidRPr="00A717C9">
        <w:rPr>
          <w:rFonts w:ascii="Calibri" w:hAnsi="Calibri" w:cs="Calibri"/>
        </w:rPr>
        <w:t> </w:t>
      </w:r>
      <w:r w:rsidRPr="00A717C9">
        <w:rPr>
          <w:rFonts w:ascii="Calibri" w:hAnsi="Calibri" w:cs="Calibri"/>
        </w:rPr>
        <w:t>) is used to integrate security within the day-to-day management of services. Secure change management is also important in</w:t>
      </w:r>
      <w:r w:rsidRPr="00A717C9">
        <w:rPr>
          <w:rFonts w:ascii="Calibri" w:hAnsi="Calibri" w:cs="Calibri"/>
        </w:rPr>
        <w:t> </w:t>
      </w:r>
      <w:r w:rsidRPr="00A717C9">
        <w:rPr>
          <w:rFonts w:ascii="Calibri" w:hAnsi="Calibri" w:cs="Calibri"/>
        </w:rPr>
        <w:t>preventing cloud updates from introducing security flaws.</w:t>
      </w:r>
    </w:p>
    <w:p w14:paraId="61EFB9BA" w14:textId="77777777" w:rsidR="00A717C9" w:rsidRPr="00A717C9" w:rsidRDefault="00A717C9" w:rsidP="00A717C9">
      <w:pPr>
        <w:rPr>
          <w:rFonts w:ascii="Calibri" w:hAnsi="Calibri" w:cs="Calibri"/>
        </w:rPr>
      </w:pPr>
      <w:r w:rsidRPr="00A717C9">
        <w:rPr>
          <w:rFonts w:ascii="Calibri" w:hAnsi="Calibri" w:cs="Calibri"/>
        </w:rPr>
        <w:t>The Deming Cycle (PDCA), as a never-ending circle, is strongly connected to the</w:t>
      </w:r>
      <w:r w:rsidRPr="00A717C9">
        <w:rPr>
          <w:rFonts w:ascii="Calibri" w:hAnsi="Calibri" w:cs="Calibri"/>
        </w:rPr>
        <w:t> </w:t>
      </w:r>
      <w:r w:rsidRPr="00A717C9">
        <w:rPr>
          <w:rFonts w:ascii="Calibri" w:hAnsi="Calibri" w:cs="Calibri"/>
        </w:rPr>
        <w:t>concept of continuous improvement. This indicates</w:t>
      </w:r>
      <w:r w:rsidRPr="00A717C9">
        <w:rPr>
          <w:rFonts w:ascii="Calibri" w:hAnsi="Calibri" w:cs="Calibri"/>
        </w:rPr>
        <w:t> </w:t>
      </w:r>
      <w:r w:rsidRPr="00A717C9">
        <w:rPr>
          <w:rFonts w:ascii="Calibri" w:hAnsi="Calibri" w:cs="Calibri"/>
        </w:rPr>
        <w:t>that service management and security governance need to move together.</w:t>
      </w:r>
    </w:p>
    <w:p w14:paraId="44B500FE" w14:textId="2EF0EED0" w:rsidR="00A717C9" w:rsidRPr="00A717C9" w:rsidRDefault="00A717C9" w:rsidP="00A717C9">
      <w:pPr>
        <w:rPr>
          <w:rFonts w:ascii="Calibri" w:hAnsi="Calibri" w:cs="Calibri"/>
        </w:rPr>
      </w:pPr>
      <w:r w:rsidRPr="00A717C9">
        <w:rPr>
          <w:rFonts w:ascii="Calibri" w:hAnsi="Calibri" w:cs="Calibri"/>
        </w:rPr>
        <w:t>The ITIL SVS representation supports NG in making security operational integrated with IT services and avoiding protection mechanisms that impede</w:t>
      </w:r>
      <w:r w:rsidRPr="00A717C9">
        <w:rPr>
          <w:rFonts w:ascii="Calibri" w:hAnsi="Calibri" w:cs="Calibri"/>
        </w:rPr>
        <w:t> </w:t>
      </w:r>
      <w:r w:rsidRPr="00A717C9">
        <w:rPr>
          <w:rFonts w:ascii="Calibri" w:hAnsi="Calibri" w:cs="Calibri"/>
        </w:rPr>
        <w:t>business agility</w:t>
      </w:r>
      <w:sdt>
        <w:sdtPr>
          <w:rPr>
            <w:rFonts w:ascii="Calibri" w:hAnsi="Calibri" w:cs="Calibri"/>
          </w:rPr>
          <w:id w:val="1653710136"/>
          <w:citation/>
        </w:sdtPr>
        <w:sdtContent>
          <w:r w:rsidR="006E76C1">
            <w:rPr>
              <w:rFonts w:ascii="Calibri" w:hAnsi="Calibri" w:cs="Calibri"/>
            </w:rPr>
            <w:fldChar w:fldCharType="begin"/>
          </w:r>
          <w:r w:rsidR="006E76C1">
            <w:rPr>
              <w:rFonts w:ascii="Calibri" w:hAnsi="Calibri" w:cs="Calibri"/>
            </w:rPr>
            <w:instrText xml:space="preserve"> CITATION Tuo22 \l 2057 </w:instrText>
          </w:r>
          <w:r w:rsidR="006E76C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[8]</w:t>
          </w:r>
          <w:r w:rsidR="006E76C1">
            <w:rPr>
              <w:rFonts w:ascii="Calibri" w:hAnsi="Calibri" w:cs="Calibri"/>
            </w:rPr>
            <w:fldChar w:fldCharType="end"/>
          </w:r>
        </w:sdtContent>
      </w:sdt>
      <w:r w:rsidRPr="00A717C9">
        <w:rPr>
          <w:rFonts w:ascii="Calibri" w:hAnsi="Calibri" w:cs="Calibri"/>
        </w:rPr>
        <w:t>.</w:t>
      </w:r>
    </w:p>
    <w:p w14:paraId="681C5D29" w14:textId="77777777" w:rsidR="0029397C" w:rsidRPr="001364C4" w:rsidRDefault="0029397C" w:rsidP="0029397C">
      <w:pPr>
        <w:rPr>
          <w:rFonts w:ascii="Calibri" w:hAnsi="Calibri" w:cs="Calibri"/>
          <w:b/>
          <w:bCs/>
          <w:sz w:val="28"/>
          <w:szCs w:val="28"/>
        </w:rPr>
      </w:pPr>
      <w:r w:rsidRPr="001364C4">
        <w:rPr>
          <w:rFonts w:ascii="Calibri" w:hAnsi="Calibri" w:cs="Calibri"/>
          <w:b/>
          <w:bCs/>
          <w:sz w:val="28"/>
          <w:szCs w:val="28"/>
        </w:rPr>
        <w:t>Bell-LaPadula and Biba Security Models</w:t>
      </w:r>
    </w:p>
    <w:p w14:paraId="66296E58" w14:textId="77777777" w:rsidR="00810F29" w:rsidRPr="00810F29" w:rsidRDefault="00810F29" w:rsidP="00810F29">
      <w:pPr>
        <w:rPr>
          <w:rFonts w:ascii="Calibri" w:hAnsi="Calibri" w:cs="Calibri"/>
        </w:rPr>
      </w:pPr>
      <w:r w:rsidRPr="00810F29">
        <w:rPr>
          <w:rFonts w:ascii="Calibri" w:hAnsi="Calibri" w:cs="Calibri"/>
        </w:rPr>
        <w:t>The Bell-LaPadula model is a security model that looks at</w:t>
      </w:r>
      <w:r w:rsidRPr="00810F29">
        <w:rPr>
          <w:rFonts w:ascii="Calibri" w:hAnsi="Calibri" w:cs="Calibri"/>
        </w:rPr>
        <w:t> </w:t>
      </w:r>
      <w:r w:rsidRPr="00810F29">
        <w:rPr>
          <w:rFonts w:ascii="Calibri" w:hAnsi="Calibri" w:cs="Calibri"/>
        </w:rPr>
        <w:t>confidentiality. The diagram shows levels of security, such as Top</w:t>
      </w:r>
      <w:r w:rsidRPr="00810F29">
        <w:rPr>
          <w:rFonts w:ascii="Calibri" w:hAnsi="Calibri" w:cs="Calibri"/>
        </w:rPr>
        <w:t> </w:t>
      </w:r>
      <w:r w:rsidRPr="00810F29">
        <w:rPr>
          <w:rFonts w:ascii="Calibri" w:hAnsi="Calibri" w:cs="Calibri"/>
        </w:rPr>
        <w:t>Secret, Secret and Confidential, regulated by the rules “no read up” and “no write down”. This</w:t>
      </w:r>
      <w:r w:rsidRPr="00810F29">
        <w:rPr>
          <w:rFonts w:ascii="Calibri" w:hAnsi="Calibri" w:cs="Calibri"/>
        </w:rPr>
        <w:t> </w:t>
      </w:r>
      <w:r w:rsidRPr="00810F29">
        <w:rPr>
          <w:rFonts w:ascii="Calibri" w:hAnsi="Calibri" w:cs="Calibri"/>
        </w:rPr>
        <w:t>model is a particularly good candidate to secure the IP of NG and its sensitive customer information from becoming loose in the wild.</w:t>
      </w:r>
    </w:p>
    <w:p w14:paraId="5E7B1CA7" w14:textId="67C5522D" w:rsidR="00810F29" w:rsidRPr="00810F29" w:rsidRDefault="00810F29" w:rsidP="00810F29">
      <w:pPr>
        <w:rPr>
          <w:rFonts w:ascii="Calibri" w:hAnsi="Calibri" w:cs="Calibri"/>
        </w:rPr>
      </w:pPr>
      <w:r w:rsidRPr="00810F29">
        <w:rPr>
          <w:rFonts w:ascii="Calibri" w:hAnsi="Calibri" w:cs="Calibri"/>
        </w:rPr>
        <w:t>The Biba model</w:t>
      </w:r>
      <w:r w:rsidRPr="00810F29">
        <w:rPr>
          <w:rFonts w:ascii="Calibri" w:hAnsi="Calibri" w:cs="Calibri"/>
        </w:rPr>
        <w:t> </w:t>
      </w:r>
      <w:r w:rsidRPr="00810F29">
        <w:rPr>
          <w:rFonts w:ascii="Calibri" w:hAnsi="Calibri" w:cs="Calibri"/>
        </w:rPr>
        <w:t>looks at integrity instead. Its diagram represents the levels of integrity, enforcing what are known as “no write up”</w:t>
      </w:r>
      <w:r>
        <w:rPr>
          <w:rFonts w:ascii="Calibri" w:hAnsi="Calibri" w:cs="Calibri"/>
        </w:rPr>
        <w:t xml:space="preserve"> </w:t>
      </w:r>
      <w:r w:rsidRPr="00810F29">
        <w:rPr>
          <w:rFonts w:ascii="Calibri" w:hAnsi="Calibri" w:cs="Calibri"/>
        </w:rPr>
        <w:t>and “no read down”, which helps to avoid data corruption. This is important in</w:t>
      </w:r>
      <w:r w:rsidRPr="00810F29">
        <w:rPr>
          <w:rFonts w:ascii="Calibri" w:hAnsi="Calibri" w:cs="Calibri"/>
        </w:rPr>
        <w:t> </w:t>
      </w:r>
      <w:r w:rsidRPr="00810F29">
        <w:rPr>
          <w:rFonts w:ascii="Calibri" w:hAnsi="Calibri" w:cs="Calibri"/>
        </w:rPr>
        <w:t>order to ensure that employees are entering data correctly so that we can continue grow without skewing product formulas, research, or financials at NG.</w:t>
      </w:r>
    </w:p>
    <w:p w14:paraId="638FEE7E" w14:textId="2416C370" w:rsidR="0029397C" w:rsidRPr="008C5BAD" w:rsidRDefault="00810F29" w:rsidP="003E792D">
      <w:pPr>
        <w:rPr>
          <w:rFonts w:ascii="Calibri" w:hAnsi="Calibri" w:cs="Calibri"/>
        </w:rPr>
      </w:pPr>
      <w:r w:rsidRPr="00810F29">
        <w:rPr>
          <w:rFonts w:ascii="Calibri" w:hAnsi="Calibri" w:cs="Calibri"/>
        </w:rPr>
        <w:lastRenderedPageBreak/>
        <w:t>Considered in conjunction the diagrams show how availability can</w:t>
      </w:r>
      <w:r w:rsidRPr="00810F29">
        <w:rPr>
          <w:rFonts w:ascii="Calibri" w:hAnsi="Calibri" w:cs="Calibri"/>
        </w:rPr>
        <w:t> </w:t>
      </w:r>
      <w:r w:rsidRPr="00810F29">
        <w:rPr>
          <w:rFonts w:ascii="Calibri" w:hAnsi="Calibri" w:cs="Calibri"/>
        </w:rPr>
        <w:t>be offset against confidentiality and integrity. Although mathematical, such models have informed real-world access control policies like</w:t>
      </w:r>
      <w:r>
        <w:rPr>
          <w:rFonts w:ascii="Calibri" w:hAnsi="Calibri" w:cs="Calibri"/>
        </w:rPr>
        <w:t xml:space="preserve"> </w:t>
      </w:r>
      <w:r w:rsidRPr="00810F29">
        <w:rPr>
          <w:rFonts w:ascii="Calibri" w:hAnsi="Calibri" w:cs="Calibri"/>
        </w:rPr>
        <w:t>RBAC and mandatory access control mechanisms in Clouds</w:t>
      </w:r>
      <w:sdt>
        <w:sdtPr>
          <w:rPr>
            <w:rFonts w:ascii="Calibri" w:hAnsi="Calibri" w:cs="Calibri"/>
          </w:rPr>
          <w:id w:val="-1295139990"/>
          <w:citation/>
        </w:sdtPr>
        <w:sdtContent>
          <w:r w:rsidR="006E76C1">
            <w:rPr>
              <w:rFonts w:ascii="Calibri" w:hAnsi="Calibri" w:cs="Calibri"/>
            </w:rPr>
            <w:fldChar w:fldCharType="begin"/>
          </w:r>
          <w:r w:rsidR="006E76C1">
            <w:rPr>
              <w:rFonts w:ascii="Calibri" w:hAnsi="Calibri" w:cs="Calibri"/>
            </w:rPr>
            <w:instrText xml:space="preserve"> CITATION JVe02 \l 2057 </w:instrText>
          </w:r>
          <w:r w:rsidR="006E76C1">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[9]</w:t>
          </w:r>
          <w:r w:rsidR="006E76C1">
            <w:rPr>
              <w:rFonts w:ascii="Calibri" w:hAnsi="Calibri" w:cs="Calibri"/>
            </w:rPr>
            <w:fldChar w:fldCharType="end"/>
          </w:r>
        </w:sdtContent>
      </w:sdt>
      <w:r w:rsidRPr="00810F29">
        <w:rPr>
          <w:rFonts w:ascii="Calibri" w:hAnsi="Calibri" w:cs="Calibri"/>
        </w:rPr>
        <w:t>.</w:t>
      </w:r>
    </w:p>
    <w:p w14:paraId="3466C17E" w14:textId="77777777" w:rsidR="00810F29" w:rsidRDefault="00810F29" w:rsidP="003E792D">
      <w:pPr>
        <w:rPr>
          <w:rFonts w:ascii="Calibri" w:hAnsi="Calibri" w:cs="Calibri"/>
          <w:b/>
          <w:bCs/>
          <w:sz w:val="32"/>
          <w:szCs w:val="32"/>
        </w:rPr>
      </w:pPr>
    </w:p>
    <w:p w14:paraId="533AB5AB" w14:textId="17EE84BB" w:rsidR="003E792D" w:rsidRPr="00E40CA7" w:rsidRDefault="003E792D" w:rsidP="003E792D">
      <w:pPr>
        <w:rPr>
          <w:rFonts w:ascii="Calibri" w:hAnsi="Calibri" w:cs="Calibri"/>
          <w:b/>
          <w:bCs/>
          <w:sz w:val="32"/>
          <w:szCs w:val="32"/>
        </w:rPr>
      </w:pPr>
      <w:r w:rsidRPr="00E40CA7">
        <w:rPr>
          <w:rFonts w:ascii="Calibri" w:hAnsi="Calibri" w:cs="Calibri"/>
          <w:b/>
          <w:bCs/>
          <w:sz w:val="32"/>
          <w:szCs w:val="32"/>
        </w:rPr>
        <w:t>Proposed Security Governance Framework</w:t>
      </w:r>
    </w:p>
    <w:p w14:paraId="0E583EC9" w14:textId="77777777" w:rsidR="003E792D" w:rsidRPr="00E40CA7" w:rsidRDefault="003E792D" w:rsidP="003E792D">
      <w:pPr>
        <w:rPr>
          <w:rFonts w:ascii="Calibri" w:hAnsi="Calibri" w:cs="Calibri"/>
          <w:b/>
          <w:bCs/>
          <w:sz w:val="28"/>
          <w:szCs w:val="28"/>
        </w:rPr>
      </w:pPr>
      <w:r w:rsidRPr="00E40CA7">
        <w:rPr>
          <w:rFonts w:ascii="Calibri" w:hAnsi="Calibri" w:cs="Calibri"/>
          <w:b/>
          <w:bCs/>
          <w:sz w:val="28"/>
          <w:szCs w:val="28"/>
        </w:rPr>
        <w:t>Assumptions</w:t>
      </w:r>
    </w:p>
    <w:p w14:paraId="6A6D5A71" w14:textId="77777777" w:rsidR="003E792D" w:rsidRPr="008C5BAD" w:rsidRDefault="003E792D" w:rsidP="003E792D">
      <w:pPr>
        <w:numPr>
          <w:ilvl w:val="0"/>
          <w:numId w:val="2"/>
        </w:numPr>
        <w:rPr>
          <w:rFonts w:ascii="Calibri" w:hAnsi="Calibri" w:cs="Calibri"/>
        </w:rPr>
      </w:pPr>
      <w:r w:rsidRPr="008C5BAD">
        <w:rPr>
          <w:rFonts w:ascii="Calibri" w:hAnsi="Calibri" w:cs="Calibri"/>
        </w:rPr>
        <w:t>NG operates globally with hybrid cloud services.</w:t>
      </w:r>
    </w:p>
    <w:p w14:paraId="00338E73" w14:textId="77777777" w:rsidR="003E792D" w:rsidRPr="008C5BAD" w:rsidRDefault="003E792D" w:rsidP="003E792D">
      <w:pPr>
        <w:numPr>
          <w:ilvl w:val="0"/>
          <w:numId w:val="2"/>
        </w:numPr>
        <w:rPr>
          <w:rFonts w:ascii="Calibri" w:hAnsi="Calibri" w:cs="Calibri"/>
        </w:rPr>
      </w:pPr>
      <w:r w:rsidRPr="008C5BAD">
        <w:rPr>
          <w:rFonts w:ascii="Calibri" w:hAnsi="Calibri" w:cs="Calibri"/>
        </w:rPr>
        <w:t>95% of its infrastructure is wireless.</w:t>
      </w:r>
    </w:p>
    <w:p w14:paraId="54EC8CBF" w14:textId="77777777" w:rsidR="003E792D" w:rsidRPr="008C5BAD" w:rsidRDefault="003E792D" w:rsidP="003E792D">
      <w:pPr>
        <w:numPr>
          <w:ilvl w:val="0"/>
          <w:numId w:val="2"/>
        </w:numPr>
        <w:rPr>
          <w:rFonts w:ascii="Calibri" w:hAnsi="Calibri" w:cs="Calibri"/>
        </w:rPr>
      </w:pPr>
      <w:r w:rsidRPr="008C5BAD">
        <w:rPr>
          <w:rFonts w:ascii="Calibri" w:hAnsi="Calibri" w:cs="Calibri"/>
        </w:rPr>
        <w:t>BYOD is permitted for staff and customers.</w:t>
      </w:r>
    </w:p>
    <w:p w14:paraId="11E0535B" w14:textId="77777777" w:rsidR="003E792D" w:rsidRPr="008C5BAD" w:rsidRDefault="003E792D" w:rsidP="003E792D">
      <w:pPr>
        <w:numPr>
          <w:ilvl w:val="0"/>
          <w:numId w:val="2"/>
        </w:numPr>
        <w:rPr>
          <w:rFonts w:ascii="Calibri" w:hAnsi="Calibri" w:cs="Calibri"/>
        </w:rPr>
      </w:pPr>
      <w:r w:rsidRPr="008C5BAD">
        <w:rPr>
          <w:rFonts w:ascii="Calibri" w:hAnsi="Calibri" w:cs="Calibri"/>
        </w:rPr>
        <w:t>Intellectual property and customer data are critical assets.</w:t>
      </w:r>
    </w:p>
    <w:p w14:paraId="05900C1A" w14:textId="2C40839F" w:rsidR="00E40CA7" w:rsidRPr="00E40CA7" w:rsidRDefault="003E792D" w:rsidP="00E40CA7">
      <w:pPr>
        <w:numPr>
          <w:ilvl w:val="0"/>
          <w:numId w:val="2"/>
        </w:numPr>
        <w:rPr>
          <w:rFonts w:ascii="Calibri" w:hAnsi="Calibri" w:cs="Calibri"/>
        </w:rPr>
      </w:pPr>
      <w:r w:rsidRPr="008C5BAD">
        <w:rPr>
          <w:rFonts w:ascii="Calibri" w:hAnsi="Calibri" w:cs="Calibri"/>
        </w:rPr>
        <w:t>NG currently lacks formal security policies.</w:t>
      </w:r>
    </w:p>
    <w:p w14:paraId="022D03D6" w14:textId="77777777" w:rsidR="00E40CA7" w:rsidRPr="00810F29" w:rsidRDefault="00E40CA7" w:rsidP="00E40CA7">
      <w:pPr>
        <w:rPr>
          <w:rFonts w:ascii="Calibri" w:hAnsi="Calibri" w:cs="Calibri"/>
          <w:b/>
          <w:bCs/>
          <w:sz w:val="28"/>
          <w:szCs w:val="28"/>
        </w:rPr>
      </w:pPr>
      <w:r w:rsidRPr="00E40CA7">
        <w:rPr>
          <w:rFonts w:ascii="Calibri" w:hAnsi="Calibri" w:cs="Calibri"/>
          <w:b/>
          <w:bCs/>
          <w:sz w:val="28"/>
          <w:szCs w:val="28"/>
        </w:rPr>
        <w:t>Explanation of the NatureGreen Network Security Framework</w:t>
      </w:r>
    </w:p>
    <w:p w14:paraId="15FCFC26" w14:textId="0B8DF9BF" w:rsidR="00E40CA7" w:rsidRDefault="00E40CA7" w:rsidP="00E40CA7">
      <w:pPr>
        <w:rPr>
          <w:rFonts w:ascii="Calibri" w:hAnsi="Calibri" w:cs="Calibri"/>
          <w:b/>
          <w:bCs/>
        </w:rPr>
      </w:pPr>
      <w:r>
        <w:rPr>
          <w:rFonts w:ascii="Calibri" w:hAnsi="Calibri" w:cs="Calibri"/>
          <w:b/>
          <w:bCs/>
          <w:noProof/>
        </w:rPr>
        <w:lastRenderedPageBreak/>
        <w:drawing>
          <wp:inline distT="0" distB="0" distL="0" distR="0" wp14:anchorId="60B2D559" wp14:editId="30ABB284">
            <wp:extent cx="5731510" cy="8523798"/>
            <wp:effectExtent l="0" t="0" r="2540" b="0"/>
            <wp:docPr id="16188815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881517" name="Picture 1618881517"/>
                    <pic:cNvPicPr/>
                  </pic:nvPicPr>
                  <pic:blipFill>
                    <a:blip r:embed="rId10">
                      <a:extLst>
                        <a:ext uri="{28A0092B-C50C-407E-A947-70E740481C1C}">
                          <a14:useLocalDpi xmlns:a14="http://schemas.microsoft.com/office/drawing/2010/main" val="0"/>
                        </a:ext>
                      </a:extLst>
                    </a:blip>
                    <a:stretch>
                      <a:fillRect/>
                    </a:stretch>
                  </pic:blipFill>
                  <pic:spPr>
                    <a:xfrm>
                      <a:off x="0" y="0"/>
                      <a:ext cx="5732123" cy="8524709"/>
                    </a:xfrm>
                    <a:prstGeom prst="rect">
                      <a:avLst/>
                    </a:prstGeom>
                  </pic:spPr>
                </pic:pic>
              </a:graphicData>
            </a:graphic>
          </wp:inline>
        </w:drawing>
      </w:r>
    </w:p>
    <w:p w14:paraId="738B75A4" w14:textId="29A9A279" w:rsidR="00E40CA7" w:rsidRPr="00E40CA7" w:rsidRDefault="00E40CA7" w:rsidP="00E40CA7">
      <w:pPr>
        <w:jc w:val="center"/>
        <w:rPr>
          <w:rFonts w:ascii="Calibri" w:hAnsi="Calibri" w:cs="Calibri"/>
          <w:b/>
          <w:bCs/>
        </w:rPr>
      </w:pPr>
      <w:r>
        <w:rPr>
          <w:rFonts w:ascii="Calibri" w:hAnsi="Calibri" w:cs="Calibri"/>
          <w:b/>
          <w:bCs/>
        </w:rPr>
        <w:t>Figure X</w:t>
      </w:r>
    </w:p>
    <w:p w14:paraId="4DB0F79A" w14:textId="6D1BCEF8" w:rsidR="00810F29" w:rsidRPr="00810F29" w:rsidRDefault="00810F29" w:rsidP="00810F29">
      <w:pPr>
        <w:rPr>
          <w:rFonts w:ascii="Calibri" w:hAnsi="Calibri" w:cs="Calibri"/>
        </w:rPr>
      </w:pPr>
      <w:r w:rsidRPr="00810F29">
        <w:rPr>
          <w:rFonts w:ascii="Calibri" w:hAnsi="Calibri" w:cs="Calibri"/>
        </w:rPr>
        <w:lastRenderedPageBreak/>
        <w:t>The NatureGreen Network Security</w:t>
      </w:r>
      <w:r w:rsidRPr="00810F29">
        <w:rPr>
          <w:rFonts w:ascii="Calibri" w:hAnsi="Calibri" w:cs="Calibri"/>
        </w:rPr>
        <w:t> </w:t>
      </w:r>
      <w:r w:rsidRPr="00810F29">
        <w:rPr>
          <w:rFonts w:ascii="Calibri" w:hAnsi="Calibri" w:cs="Calibri"/>
        </w:rPr>
        <w:t>Framework (Figure X) is the tangible, technical embodiment of the security governance principles described in this paper. As</w:t>
      </w:r>
      <w:r w:rsidRPr="00810F29">
        <w:rPr>
          <w:rFonts w:ascii="Calibri" w:hAnsi="Calibri" w:cs="Calibri"/>
        </w:rPr>
        <w:t> </w:t>
      </w:r>
      <w:r w:rsidRPr="00810F29">
        <w:rPr>
          <w:rFonts w:ascii="Calibri" w:hAnsi="Calibri" w:cs="Calibri"/>
        </w:rPr>
        <w:t>previous sections described standards, governance models and theoretical security architectures, this framework details the use of those concepts in a hybrid wireless BYOD enabled enterprise environment at NatureGreen.</w:t>
      </w:r>
    </w:p>
    <w:p w14:paraId="7F3CD38F" w14:textId="1378A22F" w:rsidR="00E40CA7" w:rsidRPr="00E40CA7" w:rsidRDefault="00810F29" w:rsidP="00E40CA7">
      <w:pPr>
        <w:rPr>
          <w:rFonts w:ascii="Calibri" w:hAnsi="Calibri" w:cs="Calibri"/>
        </w:rPr>
      </w:pPr>
      <w:r w:rsidRPr="00810F29">
        <w:rPr>
          <w:rFonts w:ascii="Calibri" w:hAnsi="Calibri" w:cs="Calibri"/>
        </w:rPr>
        <w:t>The reference model is based on a defence-in-depth principle and zero-trust security with also the inclusion of traditional campus/branch design, cloud service, remote access</w:t>
      </w:r>
      <w:r w:rsidRPr="00810F29">
        <w:rPr>
          <w:rFonts w:ascii="Calibri" w:hAnsi="Calibri" w:cs="Calibri"/>
        </w:rPr>
        <w:t> </w:t>
      </w:r>
      <w:r w:rsidRPr="00810F29">
        <w:rPr>
          <w:rFonts w:ascii="Calibri" w:hAnsi="Calibri" w:cs="Calibri"/>
        </w:rPr>
        <w:t>solutions and multiple geographically distant branch offices. Each level is created for risk minimization, to create resilience and the support of ISO/IEC 27001, NIST</w:t>
      </w:r>
      <w:r w:rsidRPr="00810F29">
        <w:rPr>
          <w:rFonts w:ascii="Calibri" w:hAnsi="Calibri" w:cs="Calibri"/>
        </w:rPr>
        <w:t> </w:t>
      </w:r>
      <w:r w:rsidRPr="00810F29">
        <w:rPr>
          <w:rFonts w:ascii="Calibri" w:hAnsi="Calibri" w:cs="Calibri"/>
        </w:rPr>
        <w:t>SP 800, COBIT 5 and ITIL</w:t>
      </w:r>
      <w:sdt>
        <w:sdtPr>
          <w:rPr>
            <w:rFonts w:ascii="Calibri" w:hAnsi="Calibri" w:cs="Calibri"/>
          </w:rPr>
          <w:id w:val="-30812935"/>
          <w:citation/>
        </w:sdtPr>
        <w:sdtContent>
          <w:r w:rsidR="00403802">
            <w:rPr>
              <w:rFonts w:ascii="Calibri" w:hAnsi="Calibri" w:cs="Calibri"/>
            </w:rPr>
            <w:fldChar w:fldCharType="begin"/>
          </w:r>
          <w:r w:rsidR="00403802">
            <w:rPr>
              <w:rFonts w:ascii="Calibri" w:hAnsi="Calibri" w:cs="Calibri"/>
            </w:rPr>
            <w:instrText xml:space="preserve"> CITATION Ron16 \l 2057 </w:instrText>
          </w:r>
          <w:r w:rsidR="00403802">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[10]</w:t>
          </w:r>
          <w:r w:rsidR="00403802">
            <w:rPr>
              <w:rFonts w:ascii="Calibri" w:hAnsi="Calibri" w:cs="Calibri"/>
            </w:rPr>
            <w:fldChar w:fldCharType="end"/>
          </w:r>
        </w:sdtContent>
      </w:sdt>
      <w:r w:rsidRPr="00810F29">
        <w:rPr>
          <w:rFonts w:ascii="Calibri" w:hAnsi="Calibri" w:cs="Calibri"/>
        </w:rPr>
        <w:t>.</w:t>
      </w:r>
    </w:p>
    <w:p w14:paraId="5B8D1A18" w14:textId="594B8C83" w:rsidR="00E40CA7" w:rsidRPr="00E40CA7" w:rsidRDefault="00E40CA7" w:rsidP="00E40CA7">
      <w:pPr>
        <w:rPr>
          <w:rFonts w:ascii="Calibri" w:hAnsi="Calibri" w:cs="Calibri"/>
          <w:b/>
          <w:bCs/>
          <w:sz w:val="28"/>
          <w:szCs w:val="28"/>
        </w:rPr>
      </w:pPr>
      <w:r w:rsidRPr="00E40CA7">
        <w:rPr>
          <w:rFonts w:ascii="Calibri" w:hAnsi="Calibri" w:cs="Calibri"/>
          <w:b/>
          <w:bCs/>
          <w:sz w:val="28"/>
          <w:szCs w:val="28"/>
        </w:rPr>
        <w:t>Hybrid Cloud Security Layer</w:t>
      </w:r>
    </w:p>
    <w:p w14:paraId="0C718652" w14:textId="264DF2F0" w:rsidR="00810F29" w:rsidRPr="00810F29" w:rsidRDefault="00810F29" w:rsidP="00810F29">
      <w:pPr>
        <w:rPr>
          <w:rFonts w:ascii="Calibri" w:hAnsi="Calibri" w:cs="Calibri"/>
        </w:rPr>
      </w:pPr>
      <w:r w:rsidRPr="00810F29">
        <w:rPr>
          <w:rFonts w:ascii="Calibri" w:hAnsi="Calibri" w:cs="Calibri"/>
        </w:rPr>
        <w:t>The high-level foundation of</w:t>
      </w:r>
      <w:r>
        <w:rPr>
          <w:rFonts w:ascii="Calibri" w:hAnsi="Calibri" w:cs="Calibri"/>
        </w:rPr>
        <w:t xml:space="preserve"> </w:t>
      </w:r>
      <w:r w:rsidRPr="00810F29">
        <w:rPr>
          <w:rFonts w:ascii="Calibri" w:hAnsi="Calibri" w:cs="Calibri"/>
        </w:rPr>
        <w:t>that system is the Cloud Security domain which runs some of NatureGreen’s most important Business Applications like its ERP, SQL Databases, File service or even E-Mail or Web. These</w:t>
      </w:r>
      <w:r w:rsidRPr="00810F29">
        <w:rPr>
          <w:rFonts w:ascii="Calibri" w:hAnsi="Calibri" w:cs="Calibri"/>
        </w:rPr>
        <w:t> </w:t>
      </w:r>
      <w:r w:rsidRPr="00810F29">
        <w:rPr>
          <w:rFonts w:ascii="Calibri" w:hAnsi="Calibri" w:cs="Calibri"/>
        </w:rPr>
        <w:t>platforms cater to worldwide operations, customer interaction and IP management.</w:t>
      </w:r>
    </w:p>
    <w:p w14:paraId="7A3AAEC9" w14:textId="2F913955" w:rsidR="00810F29" w:rsidRPr="00810F29" w:rsidRDefault="00810F29" w:rsidP="00810F29">
      <w:pPr>
        <w:rPr>
          <w:rFonts w:ascii="Calibri" w:hAnsi="Calibri" w:cs="Calibri"/>
        </w:rPr>
      </w:pPr>
      <w:r w:rsidRPr="00810F29">
        <w:rPr>
          <w:rFonts w:ascii="Calibri" w:hAnsi="Calibri" w:cs="Calibri"/>
        </w:rPr>
        <w:t>Cloud Firewall</w:t>
      </w:r>
      <w:r>
        <w:rPr>
          <w:rFonts w:ascii="Calibri" w:hAnsi="Calibri" w:cs="Calibri"/>
        </w:rPr>
        <w:t xml:space="preserve"> </w:t>
      </w:r>
      <w:r w:rsidRPr="00810F29">
        <w:rPr>
          <w:rFonts w:ascii="Calibri" w:hAnsi="Calibri" w:cs="Calibri"/>
        </w:rPr>
        <w:t>(Cloud-FW) establishes trust domains between the cloud and on-premises network. This is the control point that all traffic in to and</w:t>
      </w:r>
      <w:r w:rsidRPr="00810F29">
        <w:rPr>
          <w:rFonts w:ascii="Calibri" w:hAnsi="Calibri" w:cs="Calibri"/>
        </w:rPr>
        <w:t> </w:t>
      </w:r>
      <w:r w:rsidRPr="00810F29">
        <w:rPr>
          <w:rFonts w:ascii="Calibri" w:hAnsi="Calibri" w:cs="Calibri"/>
        </w:rPr>
        <w:t>out of the cloud environment go through, establishing policy enforcement and securing visibility across traffic</w:t>
      </w:r>
      <w:sdt>
        <w:sdtPr>
          <w:rPr>
            <w:rFonts w:ascii="Calibri" w:hAnsi="Calibri" w:cs="Calibri"/>
          </w:rPr>
          <w:id w:val="-901750982"/>
          <w:citation/>
        </w:sdtPr>
        <w:sdtContent>
          <w:r w:rsidR="00403802">
            <w:rPr>
              <w:rFonts w:ascii="Calibri" w:hAnsi="Calibri" w:cs="Calibri"/>
            </w:rPr>
            <w:fldChar w:fldCharType="begin"/>
          </w:r>
          <w:r w:rsidR="00403802">
            <w:rPr>
              <w:rFonts w:ascii="Calibri" w:hAnsi="Calibri" w:cs="Calibri"/>
            </w:rPr>
            <w:instrText xml:space="preserve"> CITATION Way11 \l 2057 </w:instrText>
          </w:r>
          <w:r w:rsidR="00403802">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[11]</w:t>
          </w:r>
          <w:r w:rsidR="00403802">
            <w:rPr>
              <w:rFonts w:ascii="Calibri" w:hAnsi="Calibri" w:cs="Calibri"/>
            </w:rPr>
            <w:fldChar w:fldCharType="end"/>
          </w:r>
        </w:sdtContent>
      </w:sdt>
      <w:r w:rsidRPr="00810F29">
        <w:rPr>
          <w:rFonts w:ascii="Calibri" w:hAnsi="Calibri" w:cs="Calibri"/>
        </w:rPr>
        <w:t>.</w:t>
      </w:r>
    </w:p>
    <w:p w14:paraId="385046CD" w14:textId="1A21DD1E" w:rsidR="00810F29" w:rsidRPr="00810F29" w:rsidRDefault="00810F29" w:rsidP="00810F29">
      <w:pPr>
        <w:rPr>
          <w:rFonts w:ascii="Calibri" w:hAnsi="Calibri" w:cs="Calibri"/>
        </w:rPr>
      </w:pPr>
      <w:r w:rsidRPr="00810F29">
        <w:rPr>
          <w:rFonts w:ascii="Calibri" w:hAnsi="Calibri" w:cs="Calibri"/>
        </w:rPr>
        <w:t>The Web Server has</w:t>
      </w:r>
      <w:r w:rsidRPr="00810F29">
        <w:rPr>
          <w:rFonts w:ascii="Calibri" w:hAnsi="Calibri" w:cs="Calibri"/>
        </w:rPr>
        <w:t> </w:t>
      </w:r>
      <w:r w:rsidRPr="00810F29">
        <w:rPr>
          <w:rFonts w:ascii="Calibri" w:hAnsi="Calibri" w:cs="Calibri"/>
        </w:rPr>
        <w:t>WAF and DDoS protection. The WAF provides protection against application layer attacks like SQL injection and cross site scripting, while</w:t>
      </w:r>
      <w:r w:rsidRPr="00810F29">
        <w:rPr>
          <w:rFonts w:ascii="Calibri" w:hAnsi="Calibri" w:cs="Calibri"/>
        </w:rPr>
        <w:t> </w:t>
      </w:r>
      <w:r w:rsidRPr="00810F29">
        <w:rPr>
          <w:rFonts w:ascii="Calibri" w:hAnsi="Calibri" w:cs="Calibri"/>
        </w:rPr>
        <w:t>DDoS prevention has you covered when it comes to availability for volumetric attacks. This is consistent with ISO 27002 controls around application</w:t>
      </w:r>
      <w:r w:rsidRPr="00810F29">
        <w:rPr>
          <w:rFonts w:ascii="Calibri" w:hAnsi="Calibri" w:cs="Calibri"/>
        </w:rPr>
        <w:t> </w:t>
      </w:r>
      <w:r w:rsidRPr="00810F29">
        <w:rPr>
          <w:rFonts w:ascii="Calibri" w:hAnsi="Calibri" w:cs="Calibri"/>
        </w:rPr>
        <w:t>security and availability.</w:t>
      </w:r>
    </w:p>
    <w:p w14:paraId="7AB8E662" w14:textId="77777777" w:rsidR="00810F29" w:rsidRPr="00810F29" w:rsidRDefault="00810F29" w:rsidP="00810F29">
      <w:pPr>
        <w:rPr>
          <w:rFonts w:ascii="Calibri" w:hAnsi="Calibri" w:cs="Calibri"/>
        </w:rPr>
      </w:pPr>
      <w:r w:rsidRPr="00810F29">
        <w:rPr>
          <w:rFonts w:ascii="Calibri" w:hAnsi="Calibri" w:cs="Calibri"/>
        </w:rPr>
        <w:t>SIEM and SOAR systems centralize security operations, collecting log data from firewalls, servers and</w:t>
      </w:r>
      <w:r w:rsidRPr="00810F29">
        <w:rPr>
          <w:rFonts w:ascii="Calibri" w:hAnsi="Calibri" w:cs="Calibri"/>
        </w:rPr>
        <w:t> </w:t>
      </w:r>
      <w:r w:rsidRPr="00810F29">
        <w:rPr>
          <w:rFonts w:ascii="Calibri" w:hAnsi="Calibri" w:cs="Calibri"/>
        </w:rPr>
        <w:t>endpoints. One of the benefits is the ability to continuously monitor, quickly identify</w:t>
      </w:r>
      <w:r w:rsidRPr="00810F29">
        <w:rPr>
          <w:rFonts w:ascii="Calibri" w:hAnsi="Calibri" w:cs="Calibri"/>
        </w:rPr>
        <w:t> </w:t>
      </w:r>
      <w:r w:rsidRPr="00810F29">
        <w:rPr>
          <w:rFonts w:ascii="Calibri" w:hAnsi="Calibri" w:cs="Calibri"/>
        </w:rPr>
        <w:t>incidents and automatically respond to them with fast detection and response based on NIST RMF Monitor phase and ITIL’s principle of continual improvement.</w:t>
      </w:r>
    </w:p>
    <w:p w14:paraId="52CC9627" w14:textId="1AE4884F" w:rsidR="00E40CA7" w:rsidRPr="00E40CA7" w:rsidRDefault="00E40CA7" w:rsidP="00E40CA7">
      <w:pPr>
        <w:rPr>
          <w:rFonts w:ascii="Calibri" w:hAnsi="Calibri" w:cs="Calibri"/>
          <w:b/>
          <w:bCs/>
          <w:sz w:val="28"/>
          <w:szCs w:val="28"/>
        </w:rPr>
      </w:pPr>
      <w:r w:rsidRPr="00E40CA7">
        <w:rPr>
          <w:rFonts w:ascii="Calibri" w:hAnsi="Calibri" w:cs="Calibri"/>
          <w:b/>
          <w:bCs/>
          <w:sz w:val="28"/>
          <w:szCs w:val="28"/>
        </w:rPr>
        <w:t>Perimeter and Core Network Security</w:t>
      </w:r>
    </w:p>
    <w:p w14:paraId="1FFC4CA0" w14:textId="77777777" w:rsidR="00810F29" w:rsidRPr="00810F29" w:rsidRDefault="00810F29" w:rsidP="00810F29">
      <w:pPr>
        <w:rPr>
          <w:rFonts w:ascii="Calibri" w:hAnsi="Calibri" w:cs="Calibri"/>
        </w:rPr>
      </w:pPr>
      <w:r w:rsidRPr="00810F29">
        <w:rPr>
          <w:rFonts w:ascii="Calibri" w:hAnsi="Calibri" w:cs="Calibri"/>
        </w:rPr>
        <w:t>The cloud framework portrays dual enterprise routers and dual Next-Generation Firewalls (NG-FW-1 and NG-FW-2) beneath the</w:t>
      </w:r>
      <w:r w:rsidRPr="00810F29">
        <w:rPr>
          <w:rFonts w:ascii="Calibri" w:hAnsi="Calibri" w:cs="Calibri"/>
        </w:rPr>
        <w:t> </w:t>
      </w:r>
      <w:r w:rsidRPr="00810F29">
        <w:rPr>
          <w:rFonts w:ascii="Calibri" w:hAnsi="Calibri" w:cs="Calibri"/>
        </w:rPr>
        <w:t>cloud layer. It is this redundancy that provides high availability and fault-tolerance -</w:t>
      </w:r>
      <w:r w:rsidRPr="00810F29">
        <w:rPr>
          <w:rFonts w:ascii="Calibri" w:hAnsi="Calibri" w:cs="Calibri"/>
        </w:rPr>
        <w:t> </w:t>
      </w:r>
      <w:r w:rsidRPr="00810F29">
        <w:rPr>
          <w:rFonts w:ascii="Calibri" w:hAnsi="Calibri" w:cs="Calibri"/>
        </w:rPr>
        <w:t>an absolute necessity for a multi-locational organization such as NatureGreen.</w:t>
      </w:r>
    </w:p>
    <w:p w14:paraId="322FE588" w14:textId="77777777" w:rsidR="00E40CA7" w:rsidRPr="00E40CA7" w:rsidRDefault="00E40CA7" w:rsidP="00E40CA7">
      <w:pPr>
        <w:rPr>
          <w:rFonts w:ascii="Calibri" w:hAnsi="Calibri" w:cs="Calibri"/>
        </w:rPr>
      </w:pPr>
      <w:r w:rsidRPr="00E40CA7">
        <w:rPr>
          <w:rFonts w:ascii="Calibri" w:hAnsi="Calibri" w:cs="Calibri"/>
        </w:rPr>
        <w:t>The next-generation firewalls provide:</w:t>
      </w:r>
    </w:p>
    <w:p w14:paraId="72856DE4" w14:textId="77777777" w:rsidR="00E40CA7" w:rsidRPr="00E40CA7" w:rsidRDefault="00E40CA7" w:rsidP="00E40CA7">
      <w:pPr>
        <w:numPr>
          <w:ilvl w:val="0"/>
          <w:numId w:val="5"/>
        </w:numPr>
        <w:rPr>
          <w:rFonts w:ascii="Calibri" w:hAnsi="Calibri" w:cs="Calibri"/>
        </w:rPr>
      </w:pPr>
      <w:r w:rsidRPr="00E40CA7">
        <w:rPr>
          <w:rFonts w:ascii="Calibri" w:hAnsi="Calibri" w:cs="Calibri"/>
        </w:rPr>
        <w:t>Deep packet inspection</w:t>
      </w:r>
    </w:p>
    <w:p w14:paraId="03D5BBB8" w14:textId="77777777" w:rsidR="00E40CA7" w:rsidRPr="00E40CA7" w:rsidRDefault="00E40CA7" w:rsidP="00E40CA7">
      <w:pPr>
        <w:numPr>
          <w:ilvl w:val="0"/>
          <w:numId w:val="5"/>
        </w:numPr>
        <w:rPr>
          <w:rFonts w:ascii="Calibri" w:hAnsi="Calibri" w:cs="Calibri"/>
        </w:rPr>
      </w:pPr>
      <w:r w:rsidRPr="00E40CA7">
        <w:rPr>
          <w:rFonts w:ascii="Calibri" w:hAnsi="Calibri" w:cs="Calibri"/>
        </w:rPr>
        <w:t>Intrusion detection and prevention</w:t>
      </w:r>
    </w:p>
    <w:p w14:paraId="398F26EF" w14:textId="77777777" w:rsidR="00E40CA7" w:rsidRPr="00E40CA7" w:rsidRDefault="00E40CA7" w:rsidP="00E40CA7">
      <w:pPr>
        <w:numPr>
          <w:ilvl w:val="0"/>
          <w:numId w:val="5"/>
        </w:numPr>
        <w:rPr>
          <w:rFonts w:ascii="Calibri" w:hAnsi="Calibri" w:cs="Calibri"/>
        </w:rPr>
      </w:pPr>
      <w:r w:rsidRPr="00E40CA7">
        <w:rPr>
          <w:rFonts w:ascii="Calibri" w:hAnsi="Calibri" w:cs="Calibri"/>
        </w:rPr>
        <w:t>Application-level filtering</w:t>
      </w:r>
    </w:p>
    <w:p w14:paraId="43D5754B" w14:textId="77777777" w:rsidR="00E40CA7" w:rsidRPr="00E40CA7" w:rsidRDefault="00E40CA7" w:rsidP="00E40CA7">
      <w:pPr>
        <w:numPr>
          <w:ilvl w:val="0"/>
          <w:numId w:val="5"/>
        </w:numPr>
        <w:rPr>
          <w:rFonts w:ascii="Calibri" w:hAnsi="Calibri" w:cs="Calibri"/>
        </w:rPr>
      </w:pPr>
      <w:r w:rsidRPr="00E40CA7">
        <w:rPr>
          <w:rFonts w:ascii="Calibri" w:hAnsi="Calibri" w:cs="Calibri"/>
        </w:rPr>
        <w:lastRenderedPageBreak/>
        <w:t>Secure VPN termination</w:t>
      </w:r>
    </w:p>
    <w:p w14:paraId="47514DCC" w14:textId="60E89B5D" w:rsidR="00E40CA7" w:rsidRPr="00E40CA7" w:rsidRDefault="007A2E9F" w:rsidP="00E40CA7">
      <w:pPr>
        <w:rPr>
          <w:rFonts w:ascii="Calibri" w:hAnsi="Calibri" w:cs="Calibri"/>
        </w:rPr>
      </w:pPr>
      <w:r w:rsidRPr="007A2E9F">
        <w:rPr>
          <w:rFonts w:ascii="Calibri" w:hAnsi="Calibri" w:cs="Calibri"/>
        </w:rPr>
        <w:t>Thi</w:t>
      </w:r>
      <w:r>
        <w:rPr>
          <w:rFonts w:ascii="Calibri" w:hAnsi="Calibri" w:cs="Calibri"/>
        </w:rPr>
        <w:t>s core switching</w:t>
      </w:r>
      <w:r w:rsidRPr="007A2E9F">
        <w:rPr>
          <w:rFonts w:ascii="Calibri" w:hAnsi="Calibri" w:cs="Calibri"/>
        </w:rPr>
        <w:t xml:space="preserve"> layer provides</w:t>
      </w:r>
      <w:r>
        <w:rPr>
          <w:rFonts w:ascii="Calibri" w:hAnsi="Calibri" w:cs="Calibri"/>
        </w:rPr>
        <w:t xml:space="preserve"> </w:t>
      </w:r>
      <w:r w:rsidRPr="007A2E9F">
        <w:rPr>
          <w:rFonts w:ascii="Calibri" w:hAnsi="Calibri" w:cs="Calibri"/>
        </w:rPr>
        <w:t>segmentation and least-privilege access, an essential tenet of zero trust</w:t>
      </w:r>
      <w:sdt>
        <w:sdtPr>
          <w:rPr>
            <w:rFonts w:ascii="Calibri" w:hAnsi="Calibri" w:cs="Calibri"/>
          </w:rPr>
          <w:id w:val="1686404652"/>
          <w:citation/>
        </w:sdtPr>
        <w:sdtContent>
          <w:r w:rsidR="00403802">
            <w:rPr>
              <w:rFonts w:ascii="Calibri" w:hAnsi="Calibri" w:cs="Calibri"/>
            </w:rPr>
            <w:fldChar w:fldCharType="begin"/>
          </w:r>
          <w:r w:rsidR="00403802">
            <w:rPr>
              <w:rFonts w:ascii="Calibri" w:hAnsi="Calibri" w:cs="Calibri"/>
            </w:rPr>
            <w:instrText xml:space="preserve"> CITATION Kar02 \l 2057 </w:instrText>
          </w:r>
          <w:r w:rsidR="00403802">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[12]</w:t>
          </w:r>
          <w:r w:rsidR="00403802">
            <w:rPr>
              <w:rFonts w:ascii="Calibri" w:hAnsi="Calibri" w:cs="Calibri"/>
            </w:rPr>
            <w:fldChar w:fldCharType="end"/>
          </w:r>
        </w:sdtContent>
      </w:sdt>
      <w:r w:rsidRPr="007A2E9F">
        <w:rPr>
          <w:rFonts w:ascii="Calibri" w:hAnsi="Calibri" w:cs="Calibri"/>
        </w:rPr>
        <w:t>.</w:t>
      </w:r>
      <w:r>
        <w:rPr>
          <w:rFonts w:ascii="Calibri" w:hAnsi="Calibri" w:cs="Calibri"/>
        </w:rPr>
        <w:t xml:space="preserve"> </w:t>
      </w:r>
      <w:r w:rsidRPr="007A2E9F">
        <w:rPr>
          <w:rFonts w:ascii="Calibri" w:hAnsi="Calibri" w:cs="Calibri"/>
        </w:rPr>
        <w:t xml:space="preserve">The central switch layer is the </w:t>
      </w:r>
      <w:r w:rsidR="00403802" w:rsidRPr="007A2E9F">
        <w:rPr>
          <w:rFonts w:ascii="Calibri" w:hAnsi="Calibri" w:cs="Calibri"/>
        </w:rPr>
        <w:t>on-premises</w:t>
      </w:r>
      <w:r w:rsidRPr="007A2E9F">
        <w:rPr>
          <w:rFonts w:ascii="Calibri" w:hAnsi="Calibri" w:cs="Calibri"/>
        </w:rPr>
        <w:t xml:space="preserve"> network backbone to securely</w:t>
      </w:r>
      <w:r w:rsidRPr="007A2E9F">
        <w:rPr>
          <w:rFonts w:ascii="Calibri" w:hAnsi="Calibri" w:cs="Calibri"/>
        </w:rPr>
        <w:t> </w:t>
      </w:r>
      <w:r w:rsidRPr="007A2E9F">
        <w:rPr>
          <w:rFonts w:ascii="Calibri" w:hAnsi="Calibri" w:cs="Calibri"/>
        </w:rPr>
        <w:t>connect server farm, distribution switches, wireless controllers and VPN gateways. Traffic in between</w:t>
      </w:r>
      <w:r w:rsidRPr="007A2E9F">
        <w:rPr>
          <w:rFonts w:ascii="Calibri" w:hAnsi="Calibri" w:cs="Calibri"/>
        </w:rPr>
        <w:t> </w:t>
      </w:r>
      <w:r w:rsidRPr="007A2E9F">
        <w:rPr>
          <w:rFonts w:ascii="Calibri" w:hAnsi="Calibri" w:cs="Calibri"/>
        </w:rPr>
        <w:t>internal zones is monitored to limit east-west traffic if breached.</w:t>
      </w:r>
    </w:p>
    <w:p w14:paraId="15225BE3" w14:textId="5090C5C2" w:rsidR="00E40CA7" w:rsidRPr="00E40CA7" w:rsidRDefault="00E40CA7" w:rsidP="00E40CA7">
      <w:pPr>
        <w:rPr>
          <w:rFonts w:ascii="Calibri" w:hAnsi="Calibri" w:cs="Calibri"/>
          <w:b/>
          <w:bCs/>
          <w:sz w:val="28"/>
          <w:szCs w:val="28"/>
        </w:rPr>
      </w:pPr>
      <w:r w:rsidRPr="00E40CA7">
        <w:rPr>
          <w:rFonts w:ascii="Calibri" w:hAnsi="Calibri" w:cs="Calibri"/>
          <w:b/>
          <w:bCs/>
          <w:sz w:val="28"/>
          <w:szCs w:val="28"/>
        </w:rPr>
        <w:t>Identity, Access, and Server Infrastructure</w:t>
      </w:r>
    </w:p>
    <w:p w14:paraId="0BF00689" w14:textId="5F86FFE0" w:rsidR="007A2E9F" w:rsidRPr="007A2E9F" w:rsidRDefault="007A2E9F" w:rsidP="007A2E9F">
      <w:pPr>
        <w:rPr>
          <w:rFonts w:ascii="Calibri" w:hAnsi="Calibri" w:cs="Calibri"/>
        </w:rPr>
      </w:pPr>
      <w:r w:rsidRPr="007A2E9F">
        <w:rPr>
          <w:rFonts w:ascii="Calibri" w:hAnsi="Calibri" w:cs="Calibri"/>
        </w:rPr>
        <w:t xml:space="preserve">The server network segment </w:t>
      </w:r>
      <w:r>
        <w:rPr>
          <w:rFonts w:ascii="Calibri" w:hAnsi="Calibri" w:cs="Calibri"/>
        </w:rPr>
        <w:t xml:space="preserve">has </w:t>
      </w:r>
      <w:r w:rsidRPr="007A2E9F">
        <w:rPr>
          <w:rFonts w:ascii="Calibri" w:hAnsi="Calibri" w:cs="Calibri"/>
        </w:rPr>
        <w:t>important identity and security services like Active</w:t>
      </w:r>
      <w:r w:rsidRPr="007A2E9F">
        <w:rPr>
          <w:rFonts w:ascii="Calibri" w:hAnsi="Calibri" w:cs="Calibri"/>
        </w:rPr>
        <w:t> </w:t>
      </w:r>
      <w:r w:rsidRPr="007A2E9F">
        <w:rPr>
          <w:rFonts w:ascii="Calibri" w:hAnsi="Calibri" w:cs="Calibri"/>
        </w:rPr>
        <w:t>Directory (AD-1 and AD-2), DHCP servers, AAA/NPS servers, Antivirus/EDR systems. Together, these funds deliver strong identity-centric</w:t>
      </w:r>
      <w:r w:rsidRPr="007A2E9F">
        <w:rPr>
          <w:rFonts w:ascii="Calibri" w:hAnsi="Calibri" w:cs="Calibri"/>
        </w:rPr>
        <w:t> </w:t>
      </w:r>
      <w:r w:rsidRPr="007A2E9F">
        <w:rPr>
          <w:rFonts w:ascii="Calibri" w:hAnsi="Calibri" w:cs="Calibri"/>
        </w:rPr>
        <w:t>security.</w:t>
      </w:r>
    </w:p>
    <w:p w14:paraId="12376F3E" w14:textId="77777777" w:rsidR="007A2E9F" w:rsidRPr="007A2E9F" w:rsidRDefault="007A2E9F" w:rsidP="007A2E9F">
      <w:pPr>
        <w:rPr>
          <w:rFonts w:ascii="Calibri" w:hAnsi="Calibri" w:cs="Calibri"/>
        </w:rPr>
      </w:pPr>
      <w:r w:rsidRPr="007A2E9F">
        <w:rPr>
          <w:rFonts w:ascii="Calibri" w:hAnsi="Calibri" w:cs="Calibri"/>
        </w:rPr>
        <w:t>AD for Authentication/Authorisation while</w:t>
      </w:r>
      <w:r w:rsidRPr="007A2E9F">
        <w:rPr>
          <w:rFonts w:ascii="Calibri" w:hAnsi="Calibri" w:cs="Calibri"/>
        </w:rPr>
        <w:t> </w:t>
      </w:r>
      <w:r w:rsidRPr="007A2E9F">
        <w:rPr>
          <w:rFonts w:ascii="Calibri" w:hAnsi="Calibri" w:cs="Calibri"/>
        </w:rPr>
        <w:t>AAA/NPS is used for VPN and Wireless access so authenticated/authorised users can connect. This is in direct favour of Bell-LaPadula confidentiality properties</w:t>
      </w:r>
      <w:r w:rsidRPr="007A2E9F">
        <w:rPr>
          <w:rFonts w:ascii="Calibri" w:hAnsi="Calibri" w:cs="Calibri"/>
        </w:rPr>
        <w:t> </w:t>
      </w:r>
      <w:r w:rsidRPr="007A2E9F">
        <w:rPr>
          <w:rFonts w:ascii="Calibri" w:hAnsi="Calibri" w:cs="Calibri"/>
        </w:rPr>
        <w:t>and contemporary Role-Based Access Control (RBAC).</w:t>
      </w:r>
    </w:p>
    <w:p w14:paraId="75E0B26F" w14:textId="440C331C" w:rsidR="00E40CA7" w:rsidRPr="00E40CA7" w:rsidRDefault="007A2E9F" w:rsidP="00E40CA7">
      <w:pPr>
        <w:rPr>
          <w:rFonts w:ascii="Calibri" w:hAnsi="Calibri" w:cs="Calibri"/>
        </w:rPr>
      </w:pPr>
      <w:r w:rsidRPr="007A2E9F">
        <w:rPr>
          <w:rFonts w:ascii="Calibri" w:hAnsi="Calibri" w:cs="Calibri"/>
        </w:rPr>
        <w:t>Antivirus and EDR for</w:t>
      </w:r>
      <w:r w:rsidRPr="007A2E9F">
        <w:rPr>
          <w:rFonts w:ascii="Calibri" w:hAnsi="Calibri" w:cs="Calibri"/>
        </w:rPr>
        <w:t> </w:t>
      </w:r>
      <w:r w:rsidRPr="007A2E9F">
        <w:rPr>
          <w:rFonts w:ascii="Calibri" w:hAnsi="Calibri" w:cs="Calibri"/>
        </w:rPr>
        <w:t>endpoint protection which helps with ongoing monitoring of the devices used by users, an aspect that is particularly important at NatureGreen due to its BYOD policy = as unmanaged devices are a strong risk factor</w:t>
      </w:r>
      <w:sdt>
        <w:sdtPr>
          <w:rPr>
            <w:rFonts w:ascii="Calibri" w:hAnsi="Calibri" w:cs="Calibri"/>
          </w:rPr>
          <w:id w:val="430715382"/>
          <w:citation/>
        </w:sdtPr>
        <w:sdtContent>
          <w:r w:rsidR="007D5963">
            <w:rPr>
              <w:rFonts w:ascii="Calibri" w:hAnsi="Calibri" w:cs="Calibri"/>
            </w:rPr>
            <w:fldChar w:fldCharType="begin"/>
          </w:r>
          <w:r w:rsidR="007D5963">
            <w:rPr>
              <w:rFonts w:ascii="Calibri" w:hAnsi="Calibri" w:cs="Calibri"/>
            </w:rPr>
            <w:instrText xml:space="preserve"> CITATION Sco20 \l 2057 </w:instrText>
          </w:r>
          <w:r w:rsidR="007D5963">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[13]</w:t>
          </w:r>
          <w:r w:rsidR="007D5963">
            <w:rPr>
              <w:rFonts w:ascii="Calibri" w:hAnsi="Calibri" w:cs="Calibri"/>
            </w:rPr>
            <w:fldChar w:fldCharType="end"/>
          </w:r>
        </w:sdtContent>
      </w:sdt>
      <w:r w:rsidRPr="007A2E9F">
        <w:rPr>
          <w:rFonts w:ascii="Calibri" w:hAnsi="Calibri" w:cs="Calibri"/>
        </w:rPr>
        <w:t>.</w:t>
      </w:r>
    </w:p>
    <w:p w14:paraId="482A3E4A" w14:textId="3088C61C" w:rsidR="00E40CA7" w:rsidRPr="00E40CA7" w:rsidRDefault="00E40CA7" w:rsidP="00E40CA7">
      <w:pPr>
        <w:rPr>
          <w:rFonts w:ascii="Calibri" w:hAnsi="Calibri" w:cs="Calibri"/>
          <w:b/>
          <w:bCs/>
          <w:sz w:val="28"/>
          <w:szCs w:val="28"/>
        </w:rPr>
      </w:pPr>
      <w:r w:rsidRPr="00E40CA7">
        <w:rPr>
          <w:rFonts w:ascii="Calibri" w:hAnsi="Calibri" w:cs="Calibri"/>
          <w:b/>
          <w:bCs/>
          <w:sz w:val="28"/>
          <w:szCs w:val="28"/>
        </w:rPr>
        <w:t>Wireless, Access, and Distribution Layers</w:t>
      </w:r>
    </w:p>
    <w:p w14:paraId="453F8768" w14:textId="77777777" w:rsidR="007A2E9F" w:rsidRPr="007A2E9F" w:rsidRDefault="007A2E9F" w:rsidP="007A2E9F">
      <w:pPr>
        <w:rPr>
          <w:rFonts w:ascii="Calibri" w:hAnsi="Calibri" w:cs="Calibri"/>
        </w:rPr>
      </w:pPr>
      <w:r w:rsidRPr="007A2E9F">
        <w:rPr>
          <w:rFonts w:ascii="Calibri" w:hAnsi="Calibri" w:cs="Calibri"/>
        </w:rPr>
        <w:t>With 95% of NatureGreen’s</w:t>
      </w:r>
      <w:r w:rsidRPr="007A2E9F">
        <w:rPr>
          <w:rFonts w:ascii="Calibri" w:hAnsi="Calibri" w:cs="Calibri"/>
        </w:rPr>
        <w:t> </w:t>
      </w:r>
      <w:r w:rsidRPr="007A2E9F">
        <w:rPr>
          <w:rFonts w:ascii="Calibri" w:hAnsi="Calibri" w:cs="Calibri"/>
        </w:rPr>
        <w:t>network being wireless, the framework prioritizes secure wireless infrastructure. Controlled wireless is further provided via WLAN</w:t>
      </w:r>
      <w:r w:rsidRPr="007A2E9F">
        <w:rPr>
          <w:rFonts w:ascii="Calibri" w:hAnsi="Calibri" w:cs="Calibri"/>
        </w:rPr>
        <w:t> </w:t>
      </w:r>
      <w:r w:rsidRPr="007A2E9F">
        <w:rPr>
          <w:rFonts w:ascii="Calibri" w:hAnsi="Calibri" w:cs="Calibri"/>
        </w:rPr>
        <w:t>controllers, distribution switches and access switches throughout multiple floors and locations.</w:t>
      </w:r>
    </w:p>
    <w:p w14:paraId="2DB2159A" w14:textId="1BE6778D" w:rsidR="00E40CA7" w:rsidRPr="00E40CA7" w:rsidRDefault="007A2E9F" w:rsidP="00E40CA7">
      <w:pPr>
        <w:rPr>
          <w:rFonts w:ascii="Calibri" w:hAnsi="Calibri" w:cs="Calibri"/>
        </w:rPr>
      </w:pPr>
      <w:r w:rsidRPr="007A2E9F">
        <w:rPr>
          <w:rFonts w:ascii="Calibri" w:hAnsi="Calibri" w:cs="Calibri"/>
        </w:rPr>
        <w:t>Wireless access</w:t>
      </w:r>
      <w:r w:rsidRPr="007A2E9F">
        <w:rPr>
          <w:rFonts w:ascii="Calibri" w:hAnsi="Calibri" w:cs="Calibri"/>
        </w:rPr>
        <w:t> </w:t>
      </w:r>
      <w:r w:rsidRPr="007A2E9F">
        <w:rPr>
          <w:rFonts w:ascii="Calibri" w:hAnsi="Calibri" w:cs="Calibri"/>
        </w:rPr>
        <w:t>points authenticate users through centralized identity services applying encryption and rogue access prevention. This makes ISO 27001 controls</w:t>
      </w:r>
      <w:r w:rsidRPr="007A2E9F">
        <w:rPr>
          <w:rFonts w:ascii="Calibri" w:hAnsi="Calibri" w:cs="Calibri"/>
        </w:rPr>
        <w:t> </w:t>
      </w:r>
      <w:r w:rsidRPr="007A2E9F">
        <w:rPr>
          <w:rFonts w:ascii="Calibri" w:hAnsi="Calibri" w:cs="Calibri"/>
        </w:rPr>
        <w:t>for network access control and secure communications easier to follow.</w:t>
      </w:r>
    </w:p>
    <w:p w14:paraId="23F39202" w14:textId="66F3E5C2" w:rsidR="00E40CA7" w:rsidRPr="00E40CA7" w:rsidRDefault="00E40CA7" w:rsidP="00E40CA7">
      <w:pPr>
        <w:rPr>
          <w:rFonts w:ascii="Calibri" w:hAnsi="Calibri" w:cs="Calibri"/>
          <w:b/>
          <w:bCs/>
          <w:sz w:val="28"/>
          <w:szCs w:val="28"/>
        </w:rPr>
      </w:pPr>
      <w:r w:rsidRPr="00E40CA7">
        <w:rPr>
          <w:rFonts w:ascii="Calibri" w:hAnsi="Calibri" w:cs="Calibri"/>
          <w:b/>
          <w:bCs/>
          <w:sz w:val="28"/>
          <w:szCs w:val="28"/>
        </w:rPr>
        <w:t>Branch Network Architecture and Scalability</w:t>
      </w:r>
    </w:p>
    <w:p w14:paraId="52352121" w14:textId="77777777" w:rsidR="00E40CA7" w:rsidRPr="00E40CA7" w:rsidRDefault="00E40CA7" w:rsidP="00E40CA7">
      <w:pPr>
        <w:rPr>
          <w:rFonts w:ascii="Calibri" w:hAnsi="Calibri" w:cs="Calibri"/>
        </w:rPr>
      </w:pPr>
      <w:r w:rsidRPr="00E40CA7">
        <w:rPr>
          <w:rFonts w:ascii="Calibri" w:hAnsi="Calibri" w:cs="Calibri"/>
        </w:rPr>
        <w:t>A key enhancement in this framework is the inclusion of multiple branch locations, each designed to be architecturally identical to the branch core network shown in the diagram. Each branch includes:</w:t>
      </w:r>
    </w:p>
    <w:p w14:paraId="5B44D6FD" w14:textId="77777777" w:rsidR="00E40CA7" w:rsidRPr="00E40CA7" w:rsidRDefault="00E40CA7" w:rsidP="00E40CA7">
      <w:pPr>
        <w:numPr>
          <w:ilvl w:val="0"/>
          <w:numId w:val="6"/>
        </w:numPr>
        <w:rPr>
          <w:rFonts w:ascii="Calibri" w:hAnsi="Calibri" w:cs="Calibri"/>
        </w:rPr>
      </w:pPr>
      <w:r w:rsidRPr="00E40CA7">
        <w:rPr>
          <w:rFonts w:ascii="Calibri" w:hAnsi="Calibri" w:cs="Calibri"/>
        </w:rPr>
        <w:t>A branch router</w:t>
      </w:r>
    </w:p>
    <w:p w14:paraId="7AF8863E" w14:textId="77777777" w:rsidR="00E40CA7" w:rsidRPr="00E40CA7" w:rsidRDefault="00E40CA7" w:rsidP="00E40CA7">
      <w:pPr>
        <w:numPr>
          <w:ilvl w:val="0"/>
          <w:numId w:val="6"/>
        </w:numPr>
        <w:rPr>
          <w:rFonts w:ascii="Calibri" w:hAnsi="Calibri" w:cs="Calibri"/>
        </w:rPr>
      </w:pPr>
      <w:r w:rsidRPr="00E40CA7">
        <w:rPr>
          <w:rFonts w:ascii="Calibri" w:hAnsi="Calibri" w:cs="Calibri"/>
        </w:rPr>
        <w:t>A branch next-generation firewall</w:t>
      </w:r>
    </w:p>
    <w:p w14:paraId="2B42ECAA" w14:textId="77777777" w:rsidR="00E40CA7" w:rsidRPr="00E40CA7" w:rsidRDefault="00E40CA7" w:rsidP="00E40CA7">
      <w:pPr>
        <w:numPr>
          <w:ilvl w:val="0"/>
          <w:numId w:val="6"/>
        </w:numPr>
        <w:rPr>
          <w:rFonts w:ascii="Calibri" w:hAnsi="Calibri" w:cs="Calibri"/>
        </w:rPr>
      </w:pPr>
      <w:r w:rsidRPr="00E40CA7">
        <w:rPr>
          <w:rFonts w:ascii="Calibri" w:hAnsi="Calibri" w:cs="Calibri"/>
        </w:rPr>
        <w:t>Core, distribution, and access switches</w:t>
      </w:r>
    </w:p>
    <w:p w14:paraId="417DFE37" w14:textId="77777777" w:rsidR="00E40CA7" w:rsidRPr="00E40CA7" w:rsidRDefault="00E40CA7" w:rsidP="00E40CA7">
      <w:pPr>
        <w:numPr>
          <w:ilvl w:val="0"/>
          <w:numId w:val="6"/>
        </w:numPr>
        <w:rPr>
          <w:rFonts w:ascii="Calibri" w:hAnsi="Calibri" w:cs="Calibri"/>
        </w:rPr>
      </w:pPr>
      <w:r w:rsidRPr="00E40CA7">
        <w:rPr>
          <w:rFonts w:ascii="Calibri" w:hAnsi="Calibri" w:cs="Calibri"/>
        </w:rPr>
        <w:t>Wireless access points for local users</w:t>
      </w:r>
    </w:p>
    <w:p w14:paraId="78B8BD12" w14:textId="19D9A82B" w:rsidR="007A2E9F" w:rsidRPr="007A2E9F" w:rsidRDefault="007A2E9F" w:rsidP="007A2E9F">
      <w:pPr>
        <w:rPr>
          <w:rFonts w:ascii="Calibri" w:hAnsi="Calibri" w:cs="Calibri"/>
        </w:rPr>
      </w:pPr>
      <w:r w:rsidRPr="007A2E9F">
        <w:rPr>
          <w:rFonts w:ascii="Calibri" w:hAnsi="Calibri" w:cs="Calibri"/>
        </w:rPr>
        <w:t>Since all branch offices are connected to the headquarters using IPsec VPN tunnels,</w:t>
      </w:r>
      <w:r w:rsidRPr="007A2E9F">
        <w:rPr>
          <w:rFonts w:ascii="Calibri" w:hAnsi="Calibri" w:cs="Calibri"/>
        </w:rPr>
        <w:t> </w:t>
      </w:r>
      <w:r w:rsidRPr="007A2E9F">
        <w:rPr>
          <w:rFonts w:ascii="Calibri" w:hAnsi="Calibri" w:cs="Calibri"/>
        </w:rPr>
        <w:t xml:space="preserve">encrypted communication across untrusted networks is guaranteed. This architecture is </w:t>
      </w:r>
      <w:r w:rsidRPr="007A2E9F">
        <w:rPr>
          <w:rFonts w:ascii="Calibri" w:hAnsi="Calibri" w:cs="Calibri"/>
        </w:rPr>
        <w:lastRenderedPageBreak/>
        <w:t>scalable and growth-friendly, so that the NatureGreen ecosystem can scale while maintaining</w:t>
      </w:r>
      <w:r w:rsidRPr="007A2E9F">
        <w:rPr>
          <w:rFonts w:ascii="Calibri" w:hAnsi="Calibri" w:cs="Calibri"/>
        </w:rPr>
        <w:t> </w:t>
      </w:r>
      <w:r w:rsidRPr="007A2E9F">
        <w:rPr>
          <w:rFonts w:ascii="Calibri" w:hAnsi="Calibri" w:cs="Calibri"/>
        </w:rPr>
        <w:t>security and governance uniformity at a global level.</w:t>
      </w:r>
    </w:p>
    <w:p w14:paraId="23C5628C" w14:textId="1D560AEC" w:rsidR="00E40CA7" w:rsidRPr="00E40CA7" w:rsidRDefault="007A2E9F" w:rsidP="007A2E9F">
      <w:pPr>
        <w:rPr>
          <w:rFonts w:ascii="Calibri" w:hAnsi="Calibri" w:cs="Calibri"/>
        </w:rPr>
      </w:pPr>
      <w:r w:rsidRPr="007A2E9F">
        <w:rPr>
          <w:rFonts w:ascii="Calibri" w:hAnsi="Calibri" w:cs="Calibri"/>
        </w:rPr>
        <w:t>The same branch template maps to COBIT 5 principles providing local standardisation, consistent governance and</w:t>
      </w:r>
      <w:r w:rsidRPr="007A2E9F">
        <w:rPr>
          <w:rFonts w:ascii="Calibri" w:hAnsi="Calibri" w:cs="Calibri"/>
        </w:rPr>
        <w:t> </w:t>
      </w:r>
      <w:r w:rsidRPr="007A2E9F">
        <w:rPr>
          <w:rFonts w:ascii="Calibri" w:hAnsi="Calibri" w:cs="Calibri"/>
        </w:rPr>
        <w:t>predictable risk management everywhere.</w:t>
      </w:r>
    </w:p>
    <w:p w14:paraId="7A718729" w14:textId="6D25E5AB" w:rsidR="007A2E9F" w:rsidRPr="007A2E9F" w:rsidRDefault="00E40CA7" w:rsidP="00E40CA7">
      <w:pPr>
        <w:rPr>
          <w:rFonts w:ascii="Calibri" w:hAnsi="Calibri" w:cs="Calibri"/>
          <w:b/>
          <w:bCs/>
          <w:sz w:val="28"/>
          <w:szCs w:val="28"/>
        </w:rPr>
      </w:pPr>
      <w:r w:rsidRPr="00E40CA7">
        <w:rPr>
          <w:rFonts w:ascii="Calibri" w:hAnsi="Calibri" w:cs="Calibri"/>
          <w:b/>
          <w:bCs/>
          <w:sz w:val="28"/>
          <w:szCs w:val="28"/>
        </w:rPr>
        <w:t>Remote Access and Business Continuity</w:t>
      </w:r>
    </w:p>
    <w:p w14:paraId="6217B692" w14:textId="3174B127" w:rsidR="007A2E9F" w:rsidRPr="007A2E9F" w:rsidRDefault="007A2E9F" w:rsidP="007A2E9F">
      <w:pPr>
        <w:rPr>
          <w:rFonts w:ascii="Calibri" w:hAnsi="Calibri" w:cs="Calibri"/>
        </w:rPr>
      </w:pPr>
      <w:r w:rsidRPr="007A2E9F">
        <w:rPr>
          <w:rFonts w:ascii="Calibri" w:hAnsi="Calibri" w:cs="Calibri"/>
        </w:rPr>
        <w:t>The framework also includes secure remote access for home workers - an indication</w:t>
      </w:r>
      <w:r w:rsidRPr="007A2E9F">
        <w:rPr>
          <w:rFonts w:ascii="Calibri" w:hAnsi="Calibri" w:cs="Calibri"/>
        </w:rPr>
        <w:t> </w:t>
      </w:r>
      <w:r w:rsidRPr="007A2E9F">
        <w:rPr>
          <w:rFonts w:ascii="Calibri" w:hAnsi="Calibri" w:cs="Calibri"/>
        </w:rPr>
        <w:t>of how we now work. Remote users connect via VPN gateways</w:t>
      </w:r>
      <w:r w:rsidRPr="007A2E9F">
        <w:rPr>
          <w:rFonts w:ascii="Calibri" w:hAnsi="Calibri" w:cs="Calibri"/>
        </w:rPr>
        <w:t> </w:t>
      </w:r>
      <w:r w:rsidRPr="007A2E9F">
        <w:rPr>
          <w:rFonts w:ascii="Calibri" w:hAnsi="Calibri" w:cs="Calibri"/>
        </w:rPr>
        <w:t xml:space="preserve">using AAA/NPS or </w:t>
      </w:r>
      <w:r w:rsidRPr="00E40CA7">
        <w:rPr>
          <w:rFonts w:ascii="Calibri" w:hAnsi="Calibri" w:cs="Calibri"/>
        </w:rPr>
        <w:t>multi-factor authentication</w:t>
      </w:r>
      <w:r w:rsidRPr="007A2E9F">
        <w:rPr>
          <w:rFonts w:ascii="Calibri" w:hAnsi="Calibri" w:cs="Calibri"/>
        </w:rPr>
        <w:t xml:space="preserve"> </w:t>
      </w:r>
      <w:r>
        <w:rPr>
          <w:rFonts w:ascii="Calibri" w:hAnsi="Calibri" w:cs="Calibri"/>
        </w:rPr>
        <w:t>(</w:t>
      </w:r>
      <w:r w:rsidRPr="007A2E9F">
        <w:rPr>
          <w:rFonts w:ascii="Calibri" w:hAnsi="Calibri" w:cs="Calibri"/>
        </w:rPr>
        <w:t>MFA) for strong identity verification</w:t>
      </w:r>
      <w:sdt>
        <w:sdtPr>
          <w:rPr>
            <w:rFonts w:ascii="Calibri" w:hAnsi="Calibri" w:cs="Calibri"/>
          </w:rPr>
          <w:id w:val="213476060"/>
          <w:citation/>
        </w:sdtPr>
        <w:sdtContent>
          <w:r w:rsidR="007D5963">
            <w:rPr>
              <w:rFonts w:ascii="Calibri" w:hAnsi="Calibri" w:cs="Calibri"/>
            </w:rPr>
            <w:fldChar w:fldCharType="begin"/>
          </w:r>
          <w:r w:rsidR="007D5963">
            <w:rPr>
              <w:rFonts w:ascii="Calibri" w:hAnsi="Calibri" w:cs="Calibri"/>
            </w:rPr>
            <w:instrText xml:space="preserve"> CITATION Mur16 \l 2057 </w:instrText>
          </w:r>
          <w:r w:rsidR="007D5963">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[14]</w:t>
          </w:r>
          <w:r w:rsidR="007D5963">
            <w:rPr>
              <w:rFonts w:ascii="Calibri" w:hAnsi="Calibri" w:cs="Calibri"/>
            </w:rPr>
            <w:fldChar w:fldCharType="end"/>
          </w:r>
        </w:sdtContent>
      </w:sdt>
      <w:r w:rsidRPr="007A2E9F">
        <w:rPr>
          <w:rFonts w:ascii="Calibri" w:hAnsi="Calibri" w:cs="Calibri"/>
        </w:rPr>
        <w:t>.</w:t>
      </w:r>
    </w:p>
    <w:p w14:paraId="6762F5CB" w14:textId="54490419" w:rsidR="00E40CA7" w:rsidRPr="00E40CA7" w:rsidRDefault="007A2E9F" w:rsidP="00E40CA7">
      <w:pPr>
        <w:rPr>
          <w:rFonts w:ascii="Calibri" w:hAnsi="Calibri" w:cs="Calibri"/>
        </w:rPr>
      </w:pPr>
      <w:r w:rsidRPr="007A2E9F">
        <w:rPr>
          <w:rFonts w:ascii="Calibri" w:hAnsi="Calibri" w:cs="Calibri"/>
        </w:rPr>
        <w:t>This architecture provides business</w:t>
      </w:r>
      <w:r w:rsidRPr="007A2E9F">
        <w:rPr>
          <w:rFonts w:ascii="Calibri" w:hAnsi="Calibri" w:cs="Calibri"/>
        </w:rPr>
        <w:t> </w:t>
      </w:r>
      <w:r w:rsidRPr="007A2E9F">
        <w:rPr>
          <w:rFonts w:ascii="Calibri" w:hAnsi="Calibri" w:cs="Calibri"/>
        </w:rPr>
        <w:t>continuity and resiliency, allowing secure access in times of disruption while maintaining adherence to data privacy laws like GDPR.</w:t>
      </w:r>
    </w:p>
    <w:p w14:paraId="5A7C6A8D" w14:textId="56F68B62" w:rsidR="00E40CA7" w:rsidRPr="000F4EB6" w:rsidRDefault="00E40CA7" w:rsidP="00E40CA7">
      <w:pPr>
        <w:rPr>
          <w:rFonts w:ascii="Calibri" w:hAnsi="Calibri" w:cs="Calibri"/>
          <w:b/>
          <w:bCs/>
          <w:sz w:val="28"/>
          <w:szCs w:val="28"/>
        </w:rPr>
      </w:pPr>
      <w:r w:rsidRPr="000F4EB6">
        <w:rPr>
          <w:rFonts w:ascii="Calibri" w:hAnsi="Calibri" w:cs="Calibri"/>
          <w:b/>
          <w:bCs/>
          <w:sz w:val="28"/>
          <w:szCs w:val="28"/>
        </w:rPr>
        <w:t>Alignment with Governance and Compliance Frameworks</w:t>
      </w:r>
    </w:p>
    <w:p w14:paraId="72107C16" w14:textId="77777777" w:rsidR="00E40CA7" w:rsidRPr="00E40CA7" w:rsidRDefault="00E40CA7" w:rsidP="00E40CA7">
      <w:pPr>
        <w:rPr>
          <w:rFonts w:ascii="Calibri" w:hAnsi="Calibri" w:cs="Calibri"/>
        </w:rPr>
      </w:pPr>
      <w:r w:rsidRPr="00E40CA7">
        <w:rPr>
          <w:rFonts w:ascii="Calibri" w:hAnsi="Calibri" w:cs="Calibri"/>
        </w:rPr>
        <w:t>Overall, the NatureGreen Network Security Framework translates governance theory into technical reality:</w:t>
      </w:r>
    </w:p>
    <w:p w14:paraId="7D75422A" w14:textId="77777777" w:rsidR="00E40CA7" w:rsidRPr="00E40CA7" w:rsidRDefault="00E40CA7" w:rsidP="00E40CA7">
      <w:pPr>
        <w:numPr>
          <w:ilvl w:val="0"/>
          <w:numId w:val="7"/>
        </w:numPr>
        <w:rPr>
          <w:rFonts w:ascii="Calibri" w:hAnsi="Calibri" w:cs="Calibri"/>
        </w:rPr>
      </w:pPr>
      <w:r w:rsidRPr="00E40CA7">
        <w:rPr>
          <w:rFonts w:ascii="Calibri" w:hAnsi="Calibri" w:cs="Calibri"/>
          <w:b/>
          <w:bCs/>
        </w:rPr>
        <w:t>ISO/IEC 27001</w:t>
      </w:r>
      <w:r w:rsidRPr="00E40CA7">
        <w:rPr>
          <w:rFonts w:ascii="Calibri" w:hAnsi="Calibri" w:cs="Calibri"/>
        </w:rPr>
        <w:t>: Continuous improvement, risk-based controls, and monitoring</w:t>
      </w:r>
    </w:p>
    <w:p w14:paraId="16782DEF" w14:textId="77777777" w:rsidR="00E40CA7" w:rsidRPr="00E40CA7" w:rsidRDefault="00E40CA7" w:rsidP="00E40CA7">
      <w:pPr>
        <w:numPr>
          <w:ilvl w:val="0"/>
          <w:numId w:val="7"/>
        </w:numPr>
        <w:rPr>
          <w:rFonts w:ascii="Calibri" w:hAnsi="Calibri" w:cs="Calibri"/>
        </w:rPr>
      </w:pPr>
      <w:r w:rsidRPr="00E40CA7">
        <w:rPr>
          <w:rFonts w:ascii="Calibri" w:hAnsi="Calibri" w:cs="Calibri"/>
          <w:b/>
          <w:bCs/>
        </w:rPr>
        <w:t>NIST RMF</w:t>
      </w:r>
      <w:r w:rsidRPr="00E40CA7">
        <w:rPr>
          <w:rFonts w:ascii="Calibri" w:hAnsi="Calibri" w:cs="Calibri"/>
        </w:rPr>
        <w:t>: Lifecycle security management and accountability</w:t>
      </w:r>
    </w:p>
    <w:p w14:paraId="1B86FA3A" w14:textId="77777777" w:rsidR="00E40CA7" w:rsidRPr="00E40CA7" w:rsidRDefault="00E40CA7" w:rsidP="00E40CA7">
      <w:pPr>
        <w:numPr>
          <w:ilvl w:val="0"/>
          <w:numId w:val="7"/>
        </w:numPr>
        <w:rPr>
          <w:rFonts w:ascii="Calibri" w:hAnsi="Calibri" w:cs="Calibri"/>
        </w:rPr>
      </w:pPr>
      <w:r w:rsidRPr="00E40CA7">
        <w:rPr>
          <w:rFonts w:ascii="Calibri" w:hAnsi="Calibri" w:cs="Calibri"/>
          <w:b/>
          <w:bCs/>
        </w:rPr>
        <w:t>COBIT 5</w:t>
      </w:r>
      <w:r w:rsidRPr="00E40CA7">
        <w:rPr>
          <w:rFonts w:ascii="Calibri" w:hAnsi="Calibri" w:cs="Calibri"/>
        </w:rPr>
        <w:t>: Clear separation of governance and management</w:t>
      </w:r>
    </w:p>
    <w:p w14:paraId="243A32BA" w14:textId="77777777" w:rsidR="00E40CA7" w:rsidRPr="00E40CA7" w:rsidRDefault="00E40CA7" w:rsidP="00E40CA7">
      <w:pPr>
        <w:numPr>
          <w:ilvl w:val="0"/>
          <w:numId w:val="7"/>
        </w:numPr>
        <w:rPr>
          <w:rFonts w:ascii="Calibri" w:hAnsi="Calibri" w:cs="Calibri"/>
        </w:rPr>
      </w:pPr>
      <w:r w:rsidRPr="00E40CA7">
        <w:rPr>
          <w:rFonts w:ascii="Calibri" w:hAnsi="Calibri" w:cs="Calibri"/>
          <w:b/>
          <w:bCs/>
        </w:rPr>
        <w:t>ITIL 4</w:t>
      </w:r>
      <w:r w:rsidRPr="00E40CA7">
        <w:rPr>
          <w:rFonts w:ascii="Calibri" w:hAnsi="Calibri" w:cs="Calibri"/>
        </w:rPr>
        <w:t>: Secure service delivery and continual improvement</w:t>
      </w:r>
    </w:p>
    <w:p w14:paraId="67B8D120" w14:textId="77777777" w:rsidR="00E40CA7" w:rsidRPr="00E40CA7" w:rsidRDefault="00E40CA7" w:rsidP="00E40CA7">
      <w:pPr>
        <w:rPr>
          <w:rFonts w:ascii="Calibri" w:hAnsi="Calibri" w:cs="Calibri"/>
        </w:rPr>
      </w:pPr>
      <w:r w:rsidRPr="00E40CA7">
        <w:rPr>
          <w:rFonts w:ascii="Calibri" w:hAnsi="Calibri" w:cs="Calibri"/>
        </w:rPr>
        <w:t>By integrating these frameworks into a single architectural model, NatureGreen achieves holistic security governance rather than isolated technical controls.</w:t>
      </w:r>
    </w:p>
    <w:p w14:paraId="24DE93BD" w14:textId="77777777" w:rsidR="00D34CA9" w:rsidRDefault="00D34CA9" w:rsidP="00E40CA7">
      <w:pPr>
        <w:rPr>
          <w:rFonts w:ascii="Calibri" w:hAnsi="Calibri" w:cs="Calibri"/>
        </w:rPr>
      </w:pPr>
    </w:p>
    <w:p w14:paraId="77DD2BC8" w14:textId="7AE5819A" w:rsidR="00D34CA9" w:rsidRPr="00D34CA9" w:rsidRDefault="00D34CA9" w:rsidP="00D34CA9">
      <w:pPr>
        <w:rPr>
          <w:rFonts w:ascii="Calibri" w:hAnsi="Calibri" w:cs="Calibri"/>
          <w:b/>
          <w:bCs/>
          <w:sz w:val="32"/>
          <w:szCs w:val="32"/>
        </w:rPr>
      </w:pPr>
      <w:r w:rsidRPr="00D34CA9">
        <w:rPr>
          <w:rFonts w:ascii="Calibri" w:hAnsi="Calibri" w:cs="Calibri"/>
          <w:b/>
          <w:bCs/>
          <w:sz w:val="32"/>
          <w:szCs w:val="32"/>
        </w:rPr>
        <w:t>Critical Discussion: Evolving Standards and Regulations</w:t>
      </w:r>
    </w:p>
    <w:p w14:paraId="3B589681" w14:textId="318B8853" w:rsidR="00D34CA9" w:rsidRPr="008C5BAD" w:rsidRDefault="00D34CA9" w:rsidP="00E40CA7">
      <w:pPr>
        <w:rPr>
          <w:rFonts w:ascii="Calibri" w:hAnsi="Calibri" w:cs="Calibri"/>
        </w:rPr>
      </w:pPr>
      <w:r w:rsidRPr="00D34CA9">
        <w:rPr>
          <w:rFonts w:ascii="Calibri" w:hAnsi="Calibri" w:cs="Calibri"/>
        </w:rPr>
        <w:t>Cyber threats are evolving</w:t>
      </w:r>
      <w:r>
        <w:rPr>
          <w:rFonts w:ascii="Calibri" w:hAnsi="Calibri" w:cs="Calibri"/>
        </w:rPr>
        <w:t xml:space="preserve"> </w:t>
      </w:r>
      <w:r w:rsidRPr="00D34CA9">
        <w:rPr>
          <w:rFonts w:ascii="Calibri" w:hAnsi="Calibri" w:cs="Calibri"/>
        </w:rPr>
        <w:t>faster than ever, as are digital business models and the cross</w:t>
      </w:r>
      <w:r w:rsidRPr="00D34CA9">
        <w:rPr>
          <w:rFonts w:ascii="Calibri" w:hAnsi="Calibri" w:cs="Calibri"/>
        </w:rPr>
        <w:noBreakHyphen/>
        <w:t>border data flows that underpin global trade; this means that security standards and rules must be agile enough to keep pace or they will quickly become redundant: old</w:t>
      </w:r>
      <w:r w:rsidRPr="00D34CA9">
        <w:rPr>
          <w:rFonts w:ascii="Calibri" w:hAnsi="Calibri" w:cs="Calibri"/>
        </w:rPr>
        <w:noBreakHyphen/>
        <w:t>world regulations could not address challenges such as cloud misconfigurations, abuses of large</w:t>
      </w:r>
      <w:r w:rsidRPr="00D34CA9">
        <w:rPr>
          <w:rFonts w:ascii="Calibri" w:hAnsi="Calibri" w:cs="Calibri"/>
        </w:rPr>
        <w:noBreakHyphen/>
        <w:t xml:space="preserve">scale data analytics for malicious ends, so we cannot expect traditional approaches to protect our economies from AI driven attacks. The Equifax breach betrayed how outdated patching practices and poor governance can put millions of people at risk of identity theft, while the Cambridge Analytica scandal exposed how insubstantial </w:t>
      </w:r>
      <w:r w:rsidRPr="00D34CA9">
        <w:rPr>
          <w:rFonts w:ascii="Calibri" w:hAnsi="Calibri" w:cs="Calibri"/>
        </w:rPr>
        <w:softHyphen/>
        <w:t xml:space="preserve">data protection controls and opaque </w:t>
      </w:r>
      <w:r w:rsidRPr="00D34CA9">
        <w:rPr>
          <w:rFonts w:ascii="Calibri" w:hAnsi="Calibri" w:cs="Calibri"/>
        </w:rPr>
        <w:softHyphen/>
        <w:t>consent</w:t>
      </w:r>
      <w:r w:rsidRPr="00D34CA9">
        <w:rPr>
          <w:rFonts w:ascii="Calibri" w:hAnsi="Calibri" w:cs="Calibri"/>
        </w:rPr>
        <w:t> </w:t>
      </w:r>
      <w:r w:rsidRPr="00D34CA9">
        <w:rPr>
          <w:rFonts w:ascii="Calibri" w:hAnsi="Calibri" w:cs="Calibri"/>
        </w:rPr>
        <w:t>mechanisms can facilitate mass manipulation of personal data. But Meta’s multiple privacy scandals</w:t>
      </w:r>
      <w:r w:rsidRPr="00D34CA9">
        <w:rPr>
          <w:rFonts w:ascii="Calibri" w:hAnsi="Calibri" w:cs="Calibri"/>
        </w:rPr>
        <w:t> </w:t>
      </w:r>
      <w:r w:rsidRPr="00D34CA9">
        <w:rPr>
          <w:rFonts w:ascii="Calibri" w:hAnsi="Calibri" w:cs="Calibri"/>
        </w:rPr>
        <w:t>only exacerbate the tension between business models reliant on the monetization of data and an ethical requirement to protect user information.</w:t>
      </w:r>
      <w:r>
        <w:rPr>
          <w:rFonts w:ascii="Calibri" w:hAnsi="Calibri" w:cs="Calibri"/>
        </w:rPr>
        <w:t xml:space="preserve"> </w:t>
      </w:r>
      <w:r w:rsidRPr="00D34CA9">
        <w:rPr>
          <w:rFonts w:ascii="Calibri" w:hAnsi="Calibri" w:cs="Calibri"/>
        </w:rPr>
        <w:t>Between them, these cases demonstrate profound ethical uncertainties concerned</w:t>
      </w:r>
      <w:r w:rsidRPr="00D34CA9">
        <w:rPr>
          <w:rFonts w:ascii="Calibri" w:hAnsi="Calibri" w:cs="Calibri"/>
        </w:rPr>
        <w:t> </w:t>
      </w:r>
      <w:r w:rsidRPr="00D34CA9">
        <w:rPr>
          <w:rFonts w:ascii="Calibri" w:hAnsi="Calibri" w:cs="Calibri"/>
        </w:rPr>
        <w:t xml:space="preserve">with surveillance capitalism, informed consent, algorithmic bias and the trade-offs between </w:t>
      </w:r>
      <w:r w:rsidRPr="00D34CA9">
        <w:rPr>
          <w:rFonts w:ascii="Calibri" w:hAnsi="Calibri" w:cs="Calibri"/>
        </w:rPr>
        <w:lastRenderedPageBreak/>
        <w:t>innovation and privacy</w:t>
      </w:r>
      <w:sdt>
        <w:sdtPr>
          <w:rPr>
            <w:rFonts w:ascii="Calibri" w:hAnsi="Calibri" w:cs="Calibri"/>
          </w:rPr>
          <w:id w:val="1358545133"/>
          <w:citation/>
        </w:sdtPr>
        <w:sdtContent>
          <w:r>
            <w:rPr>
              <w:rFonts w:ascii="Calibri" w:hAnsi="Calibri" w:cs="Calibri"/>
            </w:rPr>
            <w:fldChar w:fldCharType="begin"/>
          </w:r>
          <w:r>
            <w:rPr>
              <w:rFonts w:ascii="Calibri" w:hAnsi="Calibri" w:cs="Calibri"/>
            </w:rPr>
            <w:instrText xml:space="preserve"> CITATION Ben23 \l 2057 </w:instrText>
          </w:r>
          <w:r>
            <w:rPr>
              <w:rFonts w:ascii="Calibri" w:hAnsi="Calibri" w:cs="Calibri"/>
            </w:rPr>
            <w:fldChar w:fldCharType="separate"/>
          </w:r>
          <w:r w:rsidR="001364C4">
            <w:rPr>
              <w:rFonts w:ascii="Calibri" w:hAnsi="Calibri" w:cs="Calibri"/>
              <w:noProof/>
            </w:rPr>
            <w:t xml:space="preserve"> </w:t>
          </w:r>
          <w:r w:rsidR="001364C4" w:rsidRPr="001364C4">
            <w:rPr>
              <w:rFonts w:ascii="Calibri" w:hAnsi="Calibri" w:cs="Calibri"/>
              <w:noProof/>
            </w:rPr>
            <w:t>[15]</w:t>
          </w:r>
          <w:r>
            <w:rPr>
              <w:rFonts w:ascii="Calibri" w:hAnsi="Calibri" w:cs="Calibri"/>
            </w:rPr>
            <w:fldChar w:fldCharType="end"/>
          </w:r>
        </w:sdtContent>
      </w:sdt>
      <w:r w:rsidRPr="00D34CA9">
        <w:rPr>
          <w:rFonts w:ascii="Calibri" w:hAnsi="Calibri" w:cs="Calibri"/>
        </w:rPr>
        <w:t>. Meanwhile, organisations that span borders contend with difficult global compliance requirements</w:t>
      </w:r>
      <w:r>
        <w:rPr>
          <w:rFonts w:ascii="Calibri" w:hAnsi="Calibri" w:cs="Calibri"/>
        </w:rPr>
        <w:t>,</w:t>
      </w:r>
      <w:r w:rsidRPr="00D34CA9">
        <w:rPr>
          <w:rFonts w:ascii="Calibri" w:hAnsi="Calibri" w:cs="Calibri"/>
        </w:rPr>
        <w:t xml:space="preserve"> they must coordinate among varying regimes like GDPR, CCPA, HIPAA and industry-specific standards without losing operational flexibility. Hence the need for continuous improvement: security governance should be iterative, risk based</w:t>
      </w:r>
      <w:r w:rsidRPr="00D34CA9">
        <w:rPr>
          <w:rFonts w:ascii="Calibri" w:hAnsi="Calibri" w:cs="Calibri"/>
        </w:rPr>
        <w:t> </w:t>
      </w:r>
      <w:r w:rsidRPr="00D34CA9">
        <w:rPr>
          <w:rFonts w:ascii="Calibri" w:hAnsi="Calibri" w:cs="Calibri"/>
        </w:rPr>
        <w:t>and responsive such that controls, policies and oversight arrangements develop along with new technology, regulatory expectations and societal values.</w:t>
      </w:r>
    </w:p>
    <w:p w14:paraId="0AA119E9" w14:textId="61389FF6" w:rsidR="003E792D" w:rsidRPr="008363D2" w:rsidRDefault="003E792D" w:rsidP="003E792D">
      <w:pPr>
        <w:rPr>
          <w:rFonts w:ascii="Calibri" w:hAnsi="Calibri" w:cs="Calibri"/>
          <w:b/>
          <w:bCs/>
          <w:sz w:val="32"/>
          <w:szCs w:val="32"/>
        </w:rPr>
      </w:pPr>
      <w:r w:rsidRPr="008363D2">
        <w:rPr>
          <w:rFonts w:ascii="Calibri" w:hAnsi="Calibri" w:cs="Calibri"/>
          <w:b/>
          <w:bCs/>
          <w:sz w:val="32"/>
          <w:szCs w:val="32"/>
        </w:rPr>
        <w:t>Conclusion</w:t>
      </w:r>
    </w:p>
    <w:p w14:paraId="0F0A5C6F" w14:textId="5DFD0D88" w:rsidR="00D177A2" w:rsidRPr="00D177A2" w:rsidRDefault="00D177A2" w:rsidP="00D177A2">
      <w:pPr>
        <w:rPr>
          <w:rFonts w:ascii="Calibri" w:hAnsi="Calibri" w:cs="Calibri"/>
        </w:rPr>
      </w:pPr>
      <w:r w:rsidRPr="00D177A2">
        <w:rPr>
          <w:rFonts w:ascii="Calibri" w:hAnsi="Calibri" w:cs="Calibri"/>
        </w:rPr>
        <w:t>NatureGreen stands at a crossroads. It</w:t>
      </w:r>
      <w:r>
        <w:rPr>
          <w:rFonts w:ascii="Calibri" w:hAnsi="Calibri" w:cs="Calibri"/>
        </w:rPr>
        <w:t xml:space="preserve"> </w:t>
      </w:r>
      <w:r w:rsidRPr="00D177A2">
        <w:rPr>
          <w:rFonts w:ascii="Calibri" w:hAnsi="Calibri" w:cs="Calibri"/>
        </w:rPr>
        <w:t>had become both more open and more weak in its digital transformation. Having migrated</w:t>
      </w:r>
      <w:r w:rsidR="009A2EA5">
        <w:rPr>
          <w:rFonts w:ascii="Calibri" w:hAnsi="Calibri" w:cs="Calibri"/>
        </w:rPr>
        <w:t xml:space="preserve"> </w:t>
      </w:r>
      <w:r w:rsidRPr="00D177A2">
        <w:rPr>
          <w:rFonts w:ascii="Calibri" w:hAnsi="Calibri" w:cs="Calibri"/>
        </w:rPr>
        <w:t>95% of its network to wireless and embraced BYOD, NG is exposed to IP, customer trust and compliance risks.</w:t>
      </w:r>
    </w:p>
    <w:p w14:paraId="1B88B477" w14:textId="77777777" w:rsidR="00D177A2" w:rsidRPr="00D177A2" w:rsidRDefault="00D177A2" w:rsidP="00D177A2">
      <w:pPr>
        <w:rPr>
          <w:rFonts w:ascii="Calibri" w:hAnsi="Calibri" w:cs="Calibri"/>
        </w:rPr>
      </w:pPr>
      <w:r w:rsidRPr="00D177A2">
        <w:rPr>
          <w:rFonts w:ascii="Calibri" w:hAnsi="Calibri" w:cs="Calibri"/>
        </w:rPr>
        <w:t>The literature review in this report has indicated that standards and tools</w:t>
      </w:r>
      <w:r w:rsidRPr="00D177A2">
        <w:rPr>
          <w:rFonts w:ascii="Calibri" w:hAnsi="Calibri" w:cs="Calibri"/>
        </w:rPr>
        <w:t> </w:t>
      </w:r>
      <w:r w:rsidRPr="00D177A2">
        <w:rPr>
          <w:rFonts w:ascii="Calibri" w:hAnsi="Calibri" w:cs="Calibri"/>
        </w:rPr>
        <w:t>such as ISO/IEC 27000, NIST SP 800, COBIT 5, and ITIL offer best practice. Theoretical foundations are provided by</w:t>
      </w:r>
      <w:r w:rsidRPr="00D177A2">
        <w:rPr>
          <w:rFonts w:ascii="Calibri" w:hAnsi="Calibri" w:cs="Calibri"/>
        </w:rPr>
        <w:t> </w:t>
      </w:r>
      <w:r w:rsidRPr="00D177A2">
        <w:rPr>
          <w:rFonts w:ascii="Calibri" w:hAnsi="Calibri" w:cs="Calibri"/>
        </w:rPr>
        <w:t>the security models including Bell-LaPadula and Biba. Using a layered governance model, robust risk management, policies communicated to all appropriately, access</w:t>
      </w:r>
      <w:r w:rsidRPr="00D177A2">
        <w:rPr>
          <w:rFonts w:ascii="Calibri" w:hAnsi="Calibri" w:cs="Calibri"/>
        </w:rPr>
        <w:t> </w:t>
      </w:r>
      <w:r w:rsidRPr="00D177A2">
        <w:rPr>
          <w:rFonts w:ascii="Calibri" w:hAnsi="Calibri" w:cs="Calibri"/>
        </w:rPr>
        <w:t>control measures and eventuality planning and protection, NG can turn its wild west of an environment into a compliant safe enterprise.</w:t>
      </w:r>
    </w:p>
    <w:p w14:paraId="667FFE2A" w14:textId="77777777" w:rsidR="00D177A2" w:rsidRPr="00D177A2" w:rsidRDefault="00D177A2" w:rsidP="00D177A2">
      <w:pPr>
        <w:rPr>
          <w:rFonts w:ascii="Calibri" w:hAnsi="Calibri" w:cs="Calibri"/>
        </w:rPr>
      </w:pPr>
      <w:r w:rsidRPr="00D177A2">
        <w:rPr>
          <w:rFonts w:ascii="Calibri" w:hAnsi="Calibri" w:cs="Calibri"/>
        </w:rPr>
        <w:t>The important conversation reminded us of why changing standards and</w:t>
      </w:r>
      <w:r w:rsidRPr="00D177A2">
        <w:rPr>
          <w:rFonts w:ascii="Calibri" w:hAnsi="Calibri" w:cs="Calibri"/>
        </w:rPr>
        <w:t> </w:t>
      </w:r>
      <w:r w:rsidRPr="00D177A2">
        <w:rPr>
          <w:rFonts w:ascii="Calibri" w:hAnsi="Calibri" w:cs="Calibri"/>
        </w:rPr>
        <w:t>regulations count. The effects of bad</w:t>
      </w:r>
      <w:r w:rsidRPr="00D177A2">
        <w:rPr>
          <w:rFonts w:ascii="Calibri" w:hAnsi="Calibri" w:cs="Calibri"/>
        </w:rPr>
        <w:t> </w:t>
      </w:r>
      <w:r w:rsidRPr="00D177A2">
        <w:rPr>
          <w:rFonts w:ascii="Calibri" w:hAnsi="Calibri" w:cs="Calibri"/>
        </w:rPr>
        <w:t>governance are in evidence in case studies from Equifax, Cambridge Analytica and Meta for instance. Ethical quagmires and international compliance woes</w:t>
      </w:r>
      <w:r w:rsidRPr="00D177A2">
        <w:rPr>
          <w:rFonts w:ascii="Calibri" w:hAnsi="Calibri" w:cs="Calibri"/>
        </w:rPr>
        <w:t> </w:t>
      </w:r>
      <w:r w:rsidRPr="00D177A2">
        <w:rPr>
          <w:rFonts w:ascii="Calibri" w:hAnsi="Calibri" w:cs="Calibri"/>
        </w:rPr>
        <w:t>point to the necessity of ongoing evolution.</w:t>
      </w:r>
    </w:p>
    <w:p w14:paraId="13CE02D5" w14:textId="77777777" w:rsidR="001364C4" w:rsidRDefault="00D177A2">
      <w:pPr>
        <w:rPr>
          <w:rFonts w:ascii="Calibri" w:hAnsi="Calibri" w:cs="Calibri"/>
        </w:rPr>
      </w:pPr>
      <w:r w:rsidRPr="00D177A2">
        <w:rPr>
          <w:rFonts w:ascii="Calibri" w:hAnsi="Calibri" w:cs="Calibri"/>
        </w:rPr>
        <w:t>In summary, NG needs to underpin governance from board level</w:t>
      </w:r>
      <w:r w:rsidRPr="00D177A2">
        <w:rPr>
          <w:rFonts w:ascii="Calibri" w:hAnsi="Calibri" w:cs="Calibri"/>
        </w:rPr>
        <w:t> </w:t>
      </w:r>
      <w:r w:rsidRPr="00D177A2">
        <w:rPr>
          <w:rFonts w:ascii="Calibri" w:hAnsi="Calibri" w:cs="Calibri"/>
        </w:rPr>
        <w:t>and adopt global standards with continuous adherence. "Security is</w:t>
      </w:r>
      <w:r w:rsidRPr="00D177A2">
        <w:rPr>
          <w:rFonts w:ascii="Calibri" w:hAnsi="Calibri" w:cs="Calibri"/>
        </w:rPr>
        <w:t> </w:t>
      </w:r>
      <w:r w:rsidRPr="00D177A2">
        <w:rPr>
          <w:rFonts w:ascii="Calibri" w:hAnsi="Calibri" w:cs="Calibri"/>
        </w:rPr>
        <w:t>a journey, not a destination. With the proper mindset, NG can</w:t>
      </w:r>
      <w:r w:rsidRPr="00D177A2">
        <w:rPr>
          <w:rFonts w:ascii="Calibri" w:hAnsi="Calibri" w:cs="Calibri"/>
        </w:rPr>
        <w:t> </w:t>
      </w:r>
      <w:r w:rsidRPr="00D177A2">
        <w:rPr>
          <w:rFonts w:ascii="Calibri" w:hAnsi="Calibri" w:cs="Calibri"/>
        </w:rPr>
        <w:t>defend its assets, secure trust and succeed in the digital era.</w:t>
      </w:r>
    </w:p>
    <w:p w14:paraId="3D528CBF" w14:textId="77777777" w:rsidR="001364C4" w:rsidRDefault="001364C4">
      <w:pPr>
        <w:rPr>
          <w:rFonts w:ascii="Calibri" w:hAnsi="Calibri" w:cs="Calibri"/>
        </w:rPr>
      </w:pPr>
    </w:p>
    <w:sdt>
      <w:sdtPr>
        <w:id w:val="-838068407"/>
        <w:docPartObj>
          <w:docPartGallery w:val="Bibliographies"/>
          <w:docPartUnique/>
        </w:docPartObj>
      </w:sdtPr>
      <w:sdtEndPr>
        <w:rPr>
          <w:rFonts w:asciiTheme="minorHAnsi" w:eastAsiaTheme="minorHAnsi" w:hAnsiTheme="minorHAnsi" w:cstheme="minorBidi"/>
          <w:color w:val="auto"/>
          <w:sz w:val="24"/>
          <w:szCs w:val="24"/>
        </w:rPr>
      </w:sdtEndPr>
      <w:sdtContent>
        <w:p w14:paraId="51DAF926" w14:textId="7E1AD914" w:rsidR="001364C4" w:rsidRDefault="001364C4">
          <w:pPr>
            <w:pStyle w:val="Heading1"/>
          </w:pPr>
          <w:r>
            <w:t>References</w:t>
          </w:r>
        </w:p>
        <w:sdt>
          <w:sdtPr>
            <w:id w:val="24755360"/>
            <w:bibliography/>
          </w:sdtPr>
          <w:sdtContent>
            <w:p w14:paraId="61AD6B44" w14:textId="77777777" w:rsidR="001364C4" w:rsidRDefault="001364C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364C4" w14:paraId="0B198390" w14:textId="77777777">
                <w:trPr>
                  <w:divId w:val="566695288"/>
                  <w:tblCellSpacing w:w="15" w:type="dxa"/>
                </w:trPr>
                <w:tc>
                  <w:tcPr>
                    <w:tcW w:w="50" w:type="pct"/>
                    <w:hideMark/>
                  </w:tcPr>
                  <w:p w14:paraId="3BFFCDBF" w14:textId="273970E9" w:rsidR="001364C4" w:rsidRDefault="001364C4">
                    <w:pPr>
                      <w:pStyle w:val="Bibliography"/>
                      <w:rPr>
                        <w:noProof/>
                        <w:kern w:val="0"/>
                        <w14:ligatures w14:val="none"/>
                      </w:rPr>
                    </w:pPr>
                    <w:r>
                      <w:rPr>
                        <w:noProof/>
                      </w:rPr>
                      <w:t xml:space="preserve">[1] </w:t>
                    </w:r>
                  </w:p>
                </w:tc>
                <w:tc>
                  <w:tcPr>
                    <w:tcW w:w="0" w:type="auto"/>
                    <w:hideMark/>
                  </w:tcPr>
                  <w:p w14:paraId="5F84F78B" w14:textId="77777777" w:rsidR="001364C4" w:rsidRDefault="001364C4">
                    <w:pPr>
                      <w:pStyle w:val="Bibliography"/>
                      <w:rPr>
                        <w:noProof/>
                      </w:rPr>
                    </w:pPr>
                    <w:r>
                      <w:rPr>
                        <w:noProof/>
                      </w:rPr>
                      <w:t>C. K. Y. U. R. Hyeun Suk Rhee, “Self-efficacy in information security: Its influence on end users' information security practice behavior,” 2009.</w:t>
                    </w:r>
                  </w:p>
                </w:tc>
              </w:tr>
              <w:tr w:rsidR="001364C4" w14:paraId="442F2153" w14:textId="77777777">
                <w:trPr>
                  <w:divId w:val="566695288"/>
                  <w:tblCellSpacing w:w="15" w:type="dxa"/>
                </w:trPr>
                <w:tc>
                  <w:tcPr>
                    <w:tcW w:w="50" w:type="pct"/>
                    <w:hideMark/>
                  </w:tcPr>
                  <w:p w14:paraId="6CD8ECA6" w14:textId="77777777" w:rsidR="001364C4" w:rsidRDefault="001364C4">
                    <w:pPr>
                      <w:pStyle w:val="Bibliography"/>
                      <w:rPr>
                        <w:noProof/>
                      </w:rPr>
                    </w:pPr>
                    <w:r>
                      <w:rPr>
                        <w:noProof/>
                      </w:rPr>
                      <w:t xml:space="preserve">[2] </w:t>
                    </w:r>
                  </w:p>
                </w:tc>
                <w:tc>
                  <w:tcPr>
                    <w:tcW w:w="0" w:type="auto"/>
                    <w:hideMark/>
                  </w:tcPr>
                  <w:p w14:paraId="58FB8521" w14:textId="77777777" w:rsidR="001364C4" w:rsidRDefault="001364C4">
                    <w:pPr>
                      <w:pStyle w:val="Bibliography"/>
                      <w:rPr>
                        <w:noProof/>
                      </w:rPr>
                    </w:pPr>
                    <w:r>
                      <w:rPr>
                        <w:noProof/>
                      </w:rPr>
                      <w:t>H. T. &amp;. M. K. Rafsanjani, “A survey on security challenges in cloud computing: issues, threats, and solutions,” 2020.</w:t>
                    </w:r>
                  </w:p>
                </w:tc>
              </w:tr>
              <w:tr w:rsidR="001364C4" w14:paraId="723D37E7" w14:textId="77777777">
                <w:trPr>
                  <w:divId w:val="566695288"/>
                  <w:tblCellSpacing w:w="15" w:type="dxa"/>
                </w:trPr>
                <w:tc>
                  <w:tcPr>
                    <w:tcW w:w="50" w:type="pct"/>
                    <w:hideMark/>
                  </w:tcPr>
                  <w:p w14:paraId="5F1E3AED" w14:textId="77777777" w:rsidR="001364C4" w:rsidRDefault="001364C4">
                    <w:pPr>
                      <w:pStyle w:val="Bibliography"/>
                      <w:rPr>
                        <w:noProof/>
                      </w:rPr>
                    </w:pPr>
                    <w:r>
                      <w:rPr>
                        <w:noProof/>
                      </w:rPr>
                      <w:t xml:space="preserve">[3] </w:t>
                    </w:r>
                  </w:p>
                </w:tc>
                <w:tc>
                  <w:tcPr>
                    <w:tcW w:w="0" w:type="auto"/>
                    <w:hideMark/>
                  </w:tcPr>
                  <w:p w14:paraId="25C784C5" w14:textId="77777777" w:rsidR="001364C4" w:rsidRDefault="001364C4">
                    <w:pPr>
                      <w:pStyle w:val="Bibliography"/>
                      <w:rPr>
                        <w:noProof/>
                      </w:rPr>
                    </w:pPr>
                    <w:r>
                      <w:rPr>
                        <w:noProof/>
                      </w:rPr>
                      <w:t xml:space="preserve">R. W. Mikko Siponen, “Information security management standards: Problems and solutions,” p. 267–270, 2009. </w:t>
                    </w:r>
                  </w:p>
                </w:tc>
              </w:tr>
              <w:tr w:rsidR="001364C4" w14:paraId="5EDD0216" w14:textId="77777777">
                <w:trPr>
                  <w:divId w:val="566695288"/>
                  <w:tblCellSpacing w:w="15" w:type="dxa"/>
                </w:trPr>
                <w:tc>
                  <w:tcPr>
                    <w:tcW w:w="50" w:type="pct"/>
                    <w:hideMark/>
                  </w:tcPr>
                  <w:p w14:paraId="31969DEB" w14:textId="77777777" w:rsidR="001364C4" w:rsidRDefault="001364C4">
                    <w:pPr>
                      <w:pStyle w:val="Bibliography"/>
                      <w:rPr>
                        <w:noProof/>
                      </w:rPr>
                    </w:pPr>
                    <w:r>
                      <w:rPr>
                        <w:noProof/>
                      </w:rPr>
                      <w:lastRenderedPageBreak/>
                      <w:t xml:space="preserve">[4] </w:t>
                    </w:r>
                  </w:p>
                </w:tc>
                <w:tc>
                  <w:tcPr>
                    <w:tcW w:w="0" w:type="auto"/>
                    <w:hideMark/>
                  </w:tcPr>
                  <w:p w14:paraId="7A3503BA" w14:textId="77777777" w:rsidR="001364C4" w:rsidRDefault="001364C4">
                    <w:pPr>
                      <w:pStyle w:val="Bibliography"/>
                      <w:rPr>
                        <w:noProof/>
                      </w:rPr>
                    </w:pPr>
                    <w:r>
                      <w:rPr>
                        <w:noProof/>
                      </w:rPr>
                      <w:t xml:space="preserve">C. K. H. M. Daniel Ganji, “Approaches to Develop and Implement ISO/IEC 27001 Standard- Information Security,” 2013. </w:t>
                    </w:r>
                  </w:p>
                </w:tc>
              </w:tr>
              <w:tr w:rsidR="001364C4" w14:paraId="4D0ADFDE" w14:textId="77777777">
                <w:trPr>
                  <w:divId w:val="566695288"/>
                  <w:tblCellSpacing w:w="15" w:type="dxa"/>
                </w:trPr>
                <w:tc>
                  <w:tcPr>
                    <w:tcW w:w="50" w:type="pct"/>
                    <w:hideMark/>
                  </w:tcPr>
                  <w:p w14:paraId="5FA5E839" w14:textId="77777777" w:rsidR="001364C4" w:rsidRDefault="001364C4">
                    <w:pPr>
                      <w:pStyle w:val="Bibliography"/>
                      <w:rPr>
                        <w:noProof/>
                      </w:rPr>
                    </w:pPr>
                    <w:r>
                      <w:rPr>
                        <w:noProof/>
                      </w:rPr>
                      <w:t xml:space="preserve">[5] </w:t>
                    </w:r>
                  </w:p>
                </w:tc>
                <w:tc>
                  <w:tcPr>
                    <w:tcW w:w="0" w:type="auto"/>
                    <w:hideMark/>
                  </w:tcPr>
                  <w:p w14:paraId="7ACAB190" w14:textId="77777777" w:rsidR="001364C4" w:rsidRDefault="001364C4">
                    <w:pPr>
                      <w:pStyle w:val="Bibliography"/>
                      <w:rPr>
                        <w:noProof/>
                      </w:rPr>
                    </w:pPr>
                    <w:r>
                      <w:rPr>
                        <w:noProof/>
                      </w:rPr>
                      <w:t>I. 27001:2022, “Information security, cybersecurity and privacy protection — Information security management systems — Requirements”.</w:t>
                    </w:r>
                  </w:p>
                </w:tc>
              </w:tr>
              <w:tr w:rsidR="001364C4" w14:paraId="0D16489D" w14:textId="77777777">
                <w:trPr>
                  <w:divId w:val="566695288"/>
                  <w:tblCellSpacing w:w="15" w:type="dxa"/>
                </w:trPr>
                <w:tc>
                  <w:tcPr>
                    <w:tcW w:w="50" w:type="pct"/>
                    <w:hideMark/>
                  </w:tcPr>
                  <w:p w14:paraId="353B198C" w14:textId="77777777" w:rsidR="001364C4" w:rsidRDefault="001364C4">
                    <w:pPr>
                      <w:pStyle w:val="Bibliography"/>
                      <w:rPr>
                        <w:noProof/>
                      </w:rPr>
                    </w:pPr>
                    <w:r>
                      <w:rPr>
                        <w:noProof/>
                      </w:rPr>
                      <w:t xml:space="preserve">[6] </w:t>
                    </w:r>
                  </w:p>
                </w:tc>
                <w:tc>
                  <w:tcPr>
                    <w:tcW w:w="0" w:type="auto"/>
                    <w:hideMark/>
                  </w:tcPr>
                  <w:p w14:paraId="374FD7CB" w14:textId="77777777" w:rsidR="001364C4" w:rsidRDefault="001364C4">
                    <w:pPr>
                      <w:pStyle w:val="Bibliography"/>
                      <w:rPr>
                        <w:noProof/>
                      </w:rPr>
                    </w:pPr>
                    <w:r>
                      <w:rPr>
                        <w:noProof/>
                      </w:rPr>
                      <w:t>N. S. 8.-3. R. 2, “Risk Management Framework for Information Systems and Organizations: A System Life Cycle Approach for Security and Privacy”.</w:t>
                    </w:r>
                  </w:p>
                </w:tc>
              </w:tr>
              <w:tr w:rsidR="001364C4" w14:paraId="17500DA6" w14:textId="77777777">
                <w:trPr>
                  <w:divId w:val="566695288"/>
                  <w:tblCellSpacing w:w="15" w:type="dxa"/>
                </w:trPr>
                <w:tc>
                  <w:tcPr>
                    <w:tcW w:w="50" w:type="pct"/>
                    <w:hideMark/>
                  </w:tcPr>
                  <w:p w14:paraId="2AEC558D" w14:textId="77777777" w:rsidR="001364C4" w:rsidRDefault="001364C4">
                    <w:pPr>
                      <w:pStyle w:val="Bibliography"/>
                      <w:rPr>
                        <w:noProof/>
                      </w:rPr>
                    </w:pPr>
                    <w:r>
                      <w:rPr>
                        <w:noProof/>
                      </w:rPr>
                      <w:t xml:space="preserve">[7] </w:t>
                    </w:r>
                  </w:p>
                </w:tc>
                <w:tc>
                  <w:tcPr>
                    <w:tcW w:w="0" w:type="auto"/>
                    <w:hideMark/>
                  </w:tcPr>
                  <w:p w14:paraId="479AC3A3" w14:textId="77777777" w:rsidR="001364C4" w:rsidRDefault="001364C4">
                    <w:pPr>
                      <w:pStyle w:val="Bibliography"/>
                      <w:rPr>
                        <w:noProof/>
                      </w:rPr>
                    </w:pPr>
                    <w:r>
                      <w:rPr>
                        <w:noProof/>
                      </w:rPr>
                      <w:t>“https://www.isaca.org/resources/cobit”.</w:t>
                    </w:r>
                  </w:p>
                </w:tc>
              </w:tr>
              <w:tr w:rsidR="001364C4" w14:paraId="7D7A259D" w14:textId="77777777">
                <w:trPr>
                  <w:divId w:val="566695288"/>
                  <w:tblCellSpacing w:w="15" w:type="dxa"/>
                </w:trPr>
                <w:tc>
                  <w:tcPr>
                    <w:tcW w:w="50" w:type="pct"/>
                    <w:hideMark/>
                  </w:tcPr>
                  <w:p w14:paraId="75284D14" w14:textId="77777777" w:rsidR="001364C4" w:rsidRDefault="001364C4">
                    <w:pPr>
                      <w:pStyle w:val="Bibliography"/>
                      <w:rPr>
                        <w:noProof/>
                      </w:rPr>
                    </w:pPr>
                    <w:r>
                      <w:rPr>
                        <w:noProof/>
                      </w:rPr>
                      <w:t xml:space="preserve">[8] </w:t>
                    </w:r>
                  </w:p>
                </w:tc>
                <w:tc>
                  <w:tcPr>
                    <w:tcW w:w="0" w:type="auto"/>
                    <w:hideMark/>
                  </w:tcPr>
                  <w:p w14:paraId="2621E5D0" w14:textId="77777777" w:rsidR="001364C4" w:rsidRDefault="001364C4">
                    <w:pPr>
                      <w:pStyle w:val="Bibliography"/>
                      <w:rPr>
                        <w:noProof/>
                      </w:rPr>
                    </w:pPr>
                    <w:r>
                      <w:rPr>
                        <w:noProof/>
                      </w:rPr>
                      <w:t xml:space="preserve">J. Tuomisto, “Value co-creation in ITIL 4 -framework,” 2022. </w:t>
                    </w:r>
                  </w:p>
                </w:tc>
              </w:tr>
              <w:tr w:rsidR="001364C4" w14:paraId="0C3555F0" w14:textId="77777777">
                <w:trPr>
                  <w:divId w:val="566695288"/>
                  <w:tblCellSpacing w:w="15" w:type="dxa"/>
                </w:trPr>
                <w:tc>
                  <w:tcPr>
                    <w:tcW w:w="50" w:type="pct"/>
                    <w:hideMark/>
                  </w:tcPr>
                  <w:p w14:paraId="5201FC0F" w14:textId="77777777" w:rsidR="001364C4" w:rsidRDefault="001364C4">
                    <w:pPr>
                      <w:pStyle w:val="Bibliography"/>
                      <w:rPr>
                        <w:noProof/>
                      </w:rPr>
                    </w:pPr>
                    <w:r>
                      <w:rPr>
                        <w:noProof/>
                      </w:rPr>
                      <w:t xml:space="preserve">[9] </w:t>
                    </w:r>
                  </w:p>
                </w:tc>
                <w:tc>
                  <w:tcPr>
                    <w:tcW w:w="0" w:type="auto"/>
                    <w:hideMark/>
                  </w:tcPr>
                  <w:p w14:paraId="312FA763" w14:textId="77777777" w:rsidR="001364C4" w:rsidRDefault="001364C4">
                    <w:pPr>
                      <w:pStyle w:val="Bibliography"/>
                      <w:rPr>
                        <w:noProof/>
                      </w:rPr>
                    </w:pPr>
                    <w:r>
                      <w:rPr>
                        <w:noProof/>
                      </w:rPr>
                      <w:t xml:space="preserve">J. Verschuren, R. Govaerts and J. Vandewalle, “Simultaneous enforcement of the Bell-LaPadula and the Biba security policy models in an OSI-distributed system,” 2002. </w:t>
                    </w:r>
                  </w:p>
                </w:tc>
              </w:tr>
              <w:tr w:rsidR="001364C4" w14:paraId="6B929471" w14:textId="77777777">
                <w:trPr>
                  <w:divId w:val="566695288"/>
                  <w:tblCellSpacing w:w="15" w:type="dxa"/>
                </w:trPr>
                <w:tc>
                  <w:tcPr>
                    <w:tcW w:w="50" w:type="pct"/>
                    <w:hideMark/>
                  </w:tcPr>
                  <w:p w14:paraId="752E8AE9" w14:textId="77777777" w:rsidR="001364C4" w:rsidRDefault="001364C4">
                    <w:pPr>
                      <w:pStyle w:val="Bibliography"/>
                      <w:rPr>
                        <w:noProof/>
                      </w:rPr>
                    </w:pPr>
                    <w:r>
                      <w:rPr>
                        <w:noProof/>
                      </w:rPr>
                      <w:t xml:space="preserve">[10] </w:t>
                    </w:r>
                  </w:p>
                </w:tc>
                <w:tc>
                  <w:tcPr>
                    <w:tcW w:w="0" w:type="auto"/>
                    <w:hideMark/>
                  </w:tcPr>
                  <w:p w14:paraId="15940BBA" w14:textId="77777777" w:rsidR="001364C4" w:rsidRDefault="001364C4">
                    <w:pPr>
                      <w:pStyle w:val="Bibliography"/>
                      <w:rPr>
                        <w:noProof/>
                      </w:rPr>
                    </w:pPr>
                    <w:r>
                      <w:rPr>
                        <w:noProof/>
                      </w:rPr>
                      <w:t>M. M. (. J. O. Ron Ross (NIST), “Systems Security Engineering: Considerations for a Multidisciplinary Approach in the Engineering of Trustworthy Secure Systems,” 2016.</w:t>
                    </w:r>
                  </w:p>
                </w:tc>
              </w:tr>
              <w:tr w:rsidR="001364C4" w14:paraId="4B973C24" w14:textId="77777777">
                <w:trPr>
                  <w:divId w:val="566695288"/>
                  <w:tblCellSpacing w:w="15" w:type="dxa"/>
                </w:trPr>
                <w:tc>
                  <w:tcPr>
                    <w:tcW w:w="50" w:type="pct"/>
                    <w:hideMark/>
                  </w:tcPr>
                  <w:p w14:paraId="7155A3E4" w14:textId="77777777" w:rsidR="001364C4" w:rsidRDefault="001364C4">
                    <w:pPr>
                      <w:pStyle w:val="Bibliography"/>
                      <w:rPr>
                        <w:noProof/>
                      </w:rPr>
                    </w:pPr>
                    <w:r>
                      <w:rPr>
                        <w:noProof/>
                      </w:rPr>
                      <w:t xml:space="preserve">[11] </w:t>
                    </w:r>
                  </w:p>
                </w:tc>
                <w:tc>
                  <w:tcPr>
                    <w:tcW w:w="0" w:type="auto"/>
                    <w:hideMark/>
                  </w:tcPr>
                  <w:p w14:paraId="7D7D50F2" w14:textId="77777777" w:rsidR="001364C4" w:rsidRDefault="001364C4">
                    <w:pPr>
                      <w:pStyle w:val="Bibliography"/>
                      <w:rPr>
                        <w:noProof/>
                      </w:rPr>
                    </w:pPr>
                    <w:r>
                      <w:rPr>
                        <w:noProof/>
                      </w:rPr>
                      <w:t>T. G. (. Wayne Jansen (BAH), “Guidelines on Security and Privacy in Public Cloud Computing,” 2011.</w:t>
                    </w:r>
                  </w:p>
                </w:tc>
              </w:tr>
              <w:tr w:rsidR="001364C4" w14:paraId="15757932" w14:textId="77777777">
                <w:trPr>
                  <w:divId w:val="566695288"/>
                  <w:tblCellSpacing w:w="15" w:type="dxa"/>
                </w:trPr>
                <w:tc>
                  <w:tcPr>
                    <w:tcW w:w="50" w:type="pct"/>
                    <w:hideMark/>
                  </w:tcPr>
                  <w:p w14:paraId="03EAFE09" w14:textId="77777777" w:rsidR="001364C4" w:rsidRDefault="001364C4">
                    <w:pPr>
                      <w:pStyle w:val="Bibliography"/>
                      <w:rPr>
                        <w:noProof/>
                      </w:rPr>
                    </w:pPr>
                    <w:r>
                      <w:rPr>
                        <w:noProof/>
                      </w:rPr>
                      <w:t xml:space="preserve">[12] </w:t>
                    </w:r>
                  </w:p>
                </w:tc>
                <w:tc>
                  <w:tcPr>
                    <w:tcW w:w="0" w:type="auto"/>
                    <w:hideMark/>
                  </w:tcPr>
                  <w:p w14:paraId="69204149" w14:textId="77777777" w:rsidR="001364C4" w:rsidRDefault="001364C4">
                    <w:pPr>
                      <w:pStyle w:val="Bibliography"/>
                      <w:rPr>
                        <w:noProof/>
                      </w:rPr>
                    </w:pPr>
                    <w:r>
                      <w:rPr>
                        <w:noProof/>
                      </w:rPr>
                      <w:t>P. H. Karen Scarfone (NIST), “Guidelines on Firewalls and Firewall Policy,” 2002.</w:t>
                    </w:r>
                  </w:p>
                </w:tc>
              </w:tr>
              <w:tr w:rsidR="001364C4" w14:paraId="0BFEB0A9" w14:textId="77777777">
                <w:trPr>
                  <w:divId w:val="566695288"/>
                  <w:tblCellSpacing w:w="15" w:type="dxa"/>
                </w:trPr>
                <w:tc>
                  <w:tcPr>
                    <w:tcW w:w="50" w:type="pct"/>
                    <w:hideMark/>
                  </w:tcPr>
                  <w:p w14:paraId="56B72750" w14:textId="77777777" w:rsidR="001364C4" w:rsidRDefault="001364C4">
                    <w:pPr>
                      <w:pStyle w:val="Bibliography"/>
                      <w:rPr>
                        <w:noProof/>
                      </w:rPr>
                    </w:pPr>
                    <w:r>
                      <w:rPr>
                        <w:noProof/>
                      </w:rPr>
                      <w:t xml:space="preserve">[13] </w:t>
                    </w:r>
                  </w:p>
                </w:tc>
                <w:tc>
                  <w:tcPr>
                    <w:tcW w:w="0" w:type="auto"/>
                    <w:hideMark/>
                  </w:tcPr>
                  <w:p w14:paraId="4B6C1216" w14:textId="77777777" w:rsidR="001364C4" w:rsidRDefault="001364C4">
                    <w:pPr>
                      <w:pStyle w:val="Bibliography"/>
                      <w:rPr>
                        <w:noProof/>
                      </w:rPr>
                    </w:pPr>
                    <w:r>
                      <w:rPr>
                        <w:noProof/>
                      </w:rPr>
                      <w:t>O. B. (. S. M. (. S. C. Scott Rose (NIST), “Zero Trust Architecture,” 2020.</w:t>
                    </w:r>
                  </w:p>
                </w:tc>
              </w:tr>
              <w:tr w:rsidR="001364C4" w14:paraId="185B84FE" w14:textId="77777777">
                <w:trPr>
                  <w:divId w:val="566695288"/>
                  <w:tblCellSpacing w:w="15" w:type="dxa"/>
                </w:trPr>
                <w:tc>
                  <w:tcPr>
                    <w:tcW w:w="50" w:type="pct"/>
                    <w:hideMark/>
                  </w:tcPr>
                  <w:p w14:paraId="44CBEEA1" w14:textId="77777777" w:rsidR="001364C4" w:rsidRDefault="001364C4">
                    <w:pPr>
                      <w:pStyle w:val="Bibliography"/>
                      <w:rPr>
                        <w:noProof/>
                      </w:rPr>
                    </w:pPr>
                    <w:r>
                      <w:rPr>
                        <w:noProof/>
                      </w:rPr>
                      <w:t xml:space="preserve">[14] </w:t>
                    </w:r>
                  </w:p>
                </w:tc>
                <w:tc>
                  <w:tcPr>
                    <w:tcW w:w="0" w:type="auto"/>
                    <w:hideMark/>
                  </w:tcPr>
                  <w:p w14:paraId="5E8E68E8" w14:textId="77777777" w:rsidR="001364C4" w:rsidRDefault="001364C4">
                    <w:pPr>
                      <w:pStyle w:val="Bibliography"/>
                      <w:rPr>
                        <w:noProof/>
                      </w:rPr>
                    </w:pPr>
                    <w:r>
                      <w:rPr>
                        <w:noProof/>
                      </w:rPr>
                      <w:t>K. S. Murugiah Souppaya (NIST), “Guide to Enterprise Telework, Remote Access, and Bring Your Own Device (BYOD) Security,” 2016.</w:t>
                    </w:r>
                  </w:p>
                </w:tc>
              </w:tr>
              <w:tr w:rsidR="001364C4" w14:paraId="261C85BF" w14:textId="77777777">
                <w:trPr>
                  <w:divId w:val="566695288"/>
                  <w:tblCellSpacing w:w="15" w:type="dxa"/>
                </w:trPr>
                <w:tc>
                  <w:tcPr>
                    <w:tcW w:w="50" w:type="pct"/>
                    <w:hideMark/>
                  </w:tcPr>
                  <w:p w14:paraId="0A09CFA8" w14:textId="77777777" w:rsidR="001364C4" w:rsidRDefault="001364C4">
                    <w:pPr>
                      <w:pStyle w:val="Bibliography"/>
                      <w:rPr>
                        <w:noProof/>
                      </w:rPr>
                    </w:pPr>
                    <w:r>
                      <w:rPr>
                        <w:noProof/>
                      </w:rPr>
                      <w:t xml:space="preserve">[15] </w:t>
                    </w:r>
                  </w:p>
                </w:tc>
                <w:tc>
                  <w:tcPr>
                    <w:tcW w:w="0" w:type="auto"/>
                    <w:hideMark/>
                  </w:tcPr>
                  <w:p w14:paraId="3570092B" w14:textId="77777777" w:rsidR="001364C4" w:rsidRDefault="001364C4">
                    <w:pPr>
                      <w:pStyle w:val="Bibliography"/>
                      <w:rPr>
                        <w:noProof/>
                      </w:rPr>
                    </w:pPr>
                    <w:r>
                      <w:rPr>
                        <w:noProof/>
                      </w:rPr>
                      <w:t>K. H. &amp;. S. M. Benjamin Madnick, “The evolution of global cybersecurity norms,” 2023.</w:t>
                    </w:r>
                  </w:p>
                </w:tc>
              </w:tr>
            </w:tbl>
            <w:p w14:paraId="2F43C309" w14:textId="77777777" w:rsidR="001364C4" w:rsidRDefault="001364C4">
              <w:pPr>
                <w:divId w:val="566695288"/>
                <w:rPr>
                  <w:rFonts w:eastAsia="Times New Roman"/>
                  <w:noProof/>
                </w:rPr>
              </w:pPr>
            </w:p>
            <w:p w14:paraId="5895060A" w14:textId="6EB3ADAE" w:rsidR="001364C4" w:rsidRDefault="001364C4">
              <w:r>
                <w:rPr>
                  <w:b/>
                  <w:bCs/>
                  <w:noProof/>
                </w:rPr>
                <w:fldChar w:fldCharType="end"/>
              </w:r>
            </w:p>
          </w:sdtContent>
        </w:sdt>
      </w:sdtContent>
    </w:sdt>
    <w:p w14:paraId="0B70D69A" w14:textId="614F613F" w:rsidR="009A2EA5" w:rsidRPr="001364C4" w:rsidRDefault="001364C4">
      <w:pPr>
        <w:rPr>
          <w:rFonts w:ascii="Calibri" w:hAnsi="Calibri" w:cs="Calibri"/>
        </w:rPr>
      </w:pPr>
      <w:sdt>
        <w:sdtPr>
          <w:id w:val="-573587230"/>
          <w:showingPlcHdr/>
          <w:bibliography/>
        </w:sdtPr>
        <w:sdtContent>
          <w:r>
            <w:t xml:space="preserve">     </w:t>
          </w:r>
        </w:sdtContent>
      </w:sdt>
    </w:p>
    <w:p w14:paraId="525ACAC3" w14:textId="77777777" w:rsidR="00681E13" w:rsidRPr="008C5BAD" w:rsidRDefault="00681E13">
      <w:pPr>
        <w:rPr>
          <w:rFonts w:ascii="Calibri" w:hAnsi="Calibri" w:cs="Calibri"/>
        </w:rPr>
      </w:pPr>
    </w:p>
    <w:sectPr w:rsidR="00681E13" w:rsidRPr="008C5BAD" w:rsidSect="00705A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50D8"/>
    <w:multiLevelType w:val="multilevel"/>
    <w:tmpl w:val="4AA4C5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D4CA5"/>
    <w:multiLevelType w:val="multilevel"/>
    <w:tmpl w:val="25103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12486"/>
    <w:multiLevelType w:val="multilevel"/>
    <w:tmpl w:val="BF722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870A8"/>
    <w:multiLevelType w:val="multilevel"/>
    <w:tmpl w:val="50A8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97E66"/>
    <w:multiLevelType w:val="multilevel"/>
    <w:tmpl w:val="B04AA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E50271"/>
    <w:multiLevelType w:val="multilevel"/>
    <w:tmpl w:val="CBB21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922D83"/>
    <w:multiLevelType w:val="multilevel"/>
    <w:tmpl w:val="550A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9522CC"/>
    <w:multiLevelType w:val="multilevel"/>
    <w:tmpl w:val="5E648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234CB9"/>
    <w:multiLevelType w:val="multilevel"/>
    <w:tmpl w:val="402A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9B612B"/>
    <w:multiLevelType w:val="multilevel"/>
    <w:tmpl w:val="F4A4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9069262">
    <w:abstractNumId w:val="0"/>
  </w:num>
  <w:num w:numId="2" w16cid:durableId="1772627457">
    <w:abstractNumId w:val="4"/>
  </w:num>
  <w:num w:numId="3" w16cid:durableId="388572877">
    <w:abstractNumId w:val="3"/>
  </w:num>
  <w:num w:numId="4" w16cid:durableId="154539551">
    <w:abstractNumId w:val="6"/>
  </w:num>
  <w:num w:numId="5" w16cid:durableId="1011034333">
    <w:abstractNumId w:val="2"/>
  </w:num>
  <w:num w:numId="6" w16cid:durableId="1556113698">
    <w:abstractNumId w:val="7"/>
  </w:num>
  <w:num w:numId="7" w16cid:durableId="1650403923">
    <w:abstractNumId w:val="1"/>
  </w:num>
  <w:num w:numId="8" w16cid:durableId="2044670851">
    <w:abstractNumId w:val="9"/>
  </w:num>
  <w:num w:numId="9" w16cid:durableId="910504911">
    <w:abstractNumId w:val="8"/>
  </w:num>
  <w:num w:numId="10" w16cid:durableId="1409714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92D"/>
    <w:rsid w:val="0000568C"/>
    <w:rsid w:val="00033D34"/>
    <w:rsid w:val="000465E7"/>
    <w:rsid w:val="000B49F8"/>
    <w:rsid w:val="000F4EB6"/>
    <w:rsid w:val="001364C4"/>
    <w:rsid w:val="00171E2A"/>
    <w:rsid w:val="001A15AC"/>
    <w:rsid w:val="0029397C"/>
    <w:rsid w:val="002F334D"/>
    <w:rsid w:val="003D70E2"/>
    <w:rsid w:val="003E792D"/>
    <w:rsid w:val="00401195"/>
    <w:rsid w:val="00402C38"/>
    <w:rsid w:val="00403802"/>
    <w:rsid w:val="005B3E69"/>
    <w:rsid w:val="005C54B1"/>
    <w:rsid w:val="00681E13"/>
    <w:rsid w:val="006A3171"/>
    <w:rsid w:val="006E76C1"/>
    <w:rsid w:val="00705A58"/>
    <w:rsid w:val="007A2E9F"/>
    <w:rsid w:val="007D5963"/>
    <w:rsid w:val="00810F29"/>
    <w:rsid w:val="008363D2"/>
    <w:rsid w:val="00886D3D"/>
    <w:rsid w:val="008C5BAD"/>
    <w:rsid w:val="00987E0B"/>
    <w:rsid w:val="00992AB8"/>
    <w:rsid w:val="009A2025"/>
    <w:rsid w:val="009A2EA5"/>
    <w:rsid w:val="009C05D6"/>
    <w:rsid w:val="00A717C9"/>
    <w:rsid w:val="00C06D18"/>
    <w:rsid w:val="00CB4261"/>
    <w:rsid w:val="00CD0555"/>
    <w:rsid w:val="00D173CB"/>
    <w:rsid w:val="00D177A2"/>
    <w:rsid w:val="00D34CA9"/>
    <w:rsid w:val="00DD42DE"/>
    <w:rsid w:val="00E2098B"/>
    <w:rsid w:val="00E20F40"/>
    <w:rsid w:val="00E40CA7"/>
    <w:rsid w:val="00F16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4AB7C"/>
  <w15:chartTrackingRefBased/>
  <w15:docId w15:val="{832CB969-1EAC-4404-A24C-331E2AC39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9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9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9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9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9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9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9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9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9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92D"/>
    <w:rPr>
      <w:rFonts w:eastAsiaTheme="majorEastAsia" w:cstheme="majorBidi"/>
      <w:color w:val="272727" w:themeColor="text1" w:themeTint="D8"/>
    </w:rPr>
  </w:style>
  <w:style w:type="paragraph" w:styleId="Title">
    <w:name w:val="Title"/>
    <w:basedOn w:val="Normal"/>
    <w:next w:val="Normal"/>
    <w:link w:val="TitleChar"/>
    <w:uiPriority w:val="10"/>
    <w:qFormat/>
    <w:rsid w:val="003E79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9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92D"/>
    <w:pPr>
      <w:spacing w:before="160"/>
      <w:jc w:val="center"/>
    </w:pPr>
    <w:rPr>
      <w:i/>
      <w:iCs/>
      <w:color w:val="404040" w:themeColor="text1" w:themeTint="BF"/>
    </w:rPr>
  </w:style>
  <w:style w:type="character" w:customStyle="1" w:styleId="QuoteChar">
    <w:name w:val="Quote Char"/>
    <w:basedOn w:val="DefaultParagraphFont"/>
    <w:link w:val="Quote"/>
    <w:uiPriority w:val="29"/>
    <w:rsid w:val="003E792D"/>
    <w:rPr>
      <w:i/>
      <w:iCs/>
      <w:color w:val="404040" w:themeColor="text1" w:themeTint="BF"/>
    </w:rPr>
  </w:style>
  <w:style w:type="paragraph" w:styleId="ListParagraph">
    <w:name w:val="List Paragraph"/>
    <w:basedOn w:val="Normal"/>
    <w:uiPriority w:val="34"/>
    <w:qFormat/>
    <w:rsid w:val="003E792D"/>
    <w:pPr>
      <w:ind w:left="720"/>
      <w:contextualSpacing/>
    </w:pPr>
  </w:style>
  <w:style w:type="character" w:styleId="IntenseEmphasis">
    <w:name w:val="Intense Emphasis"/>
    <w:basedOn w:val="DefaultParagraphFont"/>
    <w:uiPriority w:val="21"/>
    <w:qFormat/>
    <w:rsid w:val="003E792D"/>
    <w:rPr>
      <w:i/>
      <w:iCs/>
      <w:color w:val="0F4761" w:themeColor="accent1" w:themeShade="BF"/>
    </w:rPr>
  </w:style>
  <w:style w:type="paragraph" w:styleId="IntenseQuote">
    <w:name w:val="Intense Quote"/>
    <w:basedOn w:val="Normal"/>
    <w:next w:val="Normal"/>
    <w:link w:val="IntenseQuoteChar"/>
    <w:uiPriority w:val="30"/>
    <w:qFormat/>
    <w:rsid w:val="003E79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92D"/>
    <w:rPr>
      <w:i/>
      <w:iCs/>
      <w:color w:val="0F4761" w:themeColor="accent1" w:themeShade="BF"/>
    </w:rPr>
  </w:style>
  <w:style w:type="character" w:styleId="IntenseReference">
    <w:name w:val="Intense Reference"/>
    <w:basedOn w:val="DefaultParagraphFont"/>
    <w:uiPriority w:val="32"/>
    <w:qFormat/>
    <w:rsid w:val="003E792D"/>
    <w:rPr>
      <w:b/>
      <w:bCs/>
      <w:smallCaps/>
      <w:color w:val="0F4761" w:themeColor="accent1" w:themeShade="BF"/>
      <w:spacing w:val="5"/>
    </w:rPr>
  </w:style>
  <w:style w:type="paragraph" w:styleId="NoSpacing">
    <w:name w:val="No Spacing"/>
    <w:link w:val="NoSpacingChar"/>
    <w:uiPriority w:val="1"/>
    <w:qFormat/>
    <w:rsid w:val="00705A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5A58"/>
    <w:rPr>
      <w:rFonts w:eastAsiaTheme="minorEastAsia"/>
      <w:kern w:val="0"/>
      <w:sz w:val="22"/>
      <w:szCs w:val="22"/>
      <w:lang w:val="en-US"/>
      <w14:ligatures w14:val="none"/>
    </w:rPr>
  </w:style>
  <w:style w:type="paragraph" w:styleId="NormalWeb">
    <w:name w:val="Normal (Web)"/>
    <w:basedOn w:val="Normal"/>
    <w:uiPriority w:val="99"/>
    <w:semiHidden/>
    <w:unhideWhenUsed/>
    <w:rsid w:val="007A2E9F"/>
    <w:rPr>
      <w:rFonts w:ascii="Times New Roman" w:hAnsi="Times New Roman" w:cs="Times New Roman"/>
    </w:rPr>
  </w:style>
  <w:style w:type="paragraph" w:styleId="Bibliography">
    <w:name w:val="Bibliography"/>
    <w:basedOn w:val="Normal"/>
    <w:next w:val="Normal"/>
    <w:uiPriority w:val="37"/>
    <w:unhideWhenUsed/>
    <w:rsid w:val="009A2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37989">
      <w:bodyDiv w:val="1"/>
      <w:marLeft w:val="0"/>
      <w:marRight w:val="0"/>
      <w:marTop w:val="0"/>
      <w:marBottom w:val="0"/>
      <w:divBdr>
        <w:top w:val="none" w:sz="0" w:space="0" w:color="auto"/>
        <w:left w:val="none" w:sz="0" w:space="0" w:color="auto"/>
        <w:bottom w:val="none" w:sz="0" w:space="0" w:color="auto"/>
        <w:right w:val="none" w:sz="0" w:space="0" w:color="auto"/>
      </w:divBdr>
    </w:div>
    <w:div w:id="201866557">
      <w:bodyDiv w:val="1"/>
      <w:marLeft w:val="0"/>
      <w:marRight w:val="0"/>
      <w:marTop w:val="0"/>
      <w:marBottom w:val="0"/>
      <w:divBdr>
        <w:top w:val="none" w:sz="0" w:space="0" w:color="auto"/>
        <w:left w:val="none" w:sz="0" w:space="0" w:color="auto"/>
        <w:bottom w:val="none" w:sz="0" w:space="0" w:color="auto"/>
        <w:right w:val="none" w:sz="0" w:space="0" w:color="auto"/>
      </w:divBdr>
    </w:div>
    <w:div w:id="349069460">
      <w:bodyDiv w:val="1"/>
      <w:marLeft w:val="0"/>
      <w:marRight w:val="0"/>
      <w:marTop w:val="0"/>
      <w:marBottom w:val="0"/>
      <w:divBdr>
        <w:top w:val="none" w:sz="0" w:space="0" w:color="auto"/>
        <w:left w:val="none" w:sz="0" w:space="0" w:color="auto"/>
        <w:bottom w:val="none" w:sz="0" w:space="0" w:color="auto"/>
        <w:right w:val="none" w:sz="0" w:space="0" w:color="auto"/>
      </w:divBdr>
    </w:div>
    <w:div w:id="380862355">
      <w:bodyDiv w:val="1"/>
      <w:marLeft w:val="0"/>
      <w:marRight w:val="0"/>
      <w:marTop w:val="0"/>
      <w:marBottom w:val="0"/>
      <w:divBdr>
        <w:top w:val="none" w:sz="0" w:space="0" w:color="auto"/>
        <w:left w:val="none" w:sz="0" w:space="0" w:color="auto"/>
        <w:bottom w:val="none" w:sz="0" w:space="0" w:color="auto"/>
        <w:right w:val="none" w:sz="0" w:space="0" w:color="auto"/>
      </w:divBdr>
    </w:div>
    <w:div w:id="442312396">
      <w:bodyDiv w:val="1"/>
      <w:marLeft w:val="0"/>
      <w:marRight w:val="0"/>
      <w:marTop w:val="0"/>
      <w:marBottom w:val="0"/>
      <w:divBdr>
        <w:top w:val="none" w:sz="0" w:space="0" w:color="auto"/>
        <w:left w:val="none" w:sz="0" w:space="0" w:color="auto"/>
        <w:bottom w:val="none" w:sz="0" w:space="0" w:color="auto"/>
        <w:right w:val="none" w:sz="0" w:space="0" w:color="auto"/>
      </w:divBdr>
    </w:div>
    <w:div w:id="452753741">
      <w:bodyDiv w:val="1"/>
      <w:marLeft w:val="0"/>
      <w:marRight w:val="0"/>
      <w:marTop w:val="0"/>
      <w:marBottom w:val="0"/>
      <w:divBdr>
        <w:top w:val="none" w:sz="0" w:space="0" w:color="auto"/>
        <w:left w:val="none" w:sz="0" w:space="0" w:color="auto"/>
        <w:bottom w:val="none" w:sz="0" w:space="0" w:color="auto"/>
        <w:right w:val="none" w:sz="0" w:space="0" w:color="auto"/>
      </w:divBdr>
    </w:div>
    <w:div w:id="469371711">
      <w:bodyDiv w:val="1"/>
      <w:marLeft w:val="0"/>
      <w:marRight w:val="0"/>
      <w:marTop w:val="0"/>
      <w:marBottom w:val="0"/>
      <w:divBdr>
        <w:top w:val="none" w:sz="0" w:space="0" w:color="auto"/>
        <w:left w:val="none" w:sz="0" w:space="0" w:color="auto"/>
        <w:bottom w:val="none" w:sz="0" w:space="0" w:color="auto"/>
        <w:right w:val="none" w:sz="0" w:space="0" w:color="auto"/>
      </w:divBdr>
    </w:div>
    <w:div w:id="566695288">
      <w:bodyDiv w:val="1"/>
      <w:marLeft w:val="0"/>
      <w:marRight w:val="0"/>
      <w:marTop w:val="0"/>
      <w:marBottom w:val="0"/>
      <w:divBdr>
        <w:top w:val="none" w:sz="0" w:space="0" w:color="auto"/>
        <w:left w:val="none" w:sz="0" w:space="0" w:color="auto"/>
        <w:bottom w:val="none" w:sz="0" w:space="0" w:color="auto"/>
        <w:right w:val="none" w:sz="0" w:space="0" w:color="auto"/>
      </w:divBdr>
    </w:div>
    <w:div w:id="596212924">
      <w:bodyDiv w:val="1"/>
      <w:marLeft w:val="0"/>
      <w:marRight w:val="0"/>
      <w:marTop w:val="0"/>
      <w:marBottom w:val="0"/>
      <w:divBdr>
        <w:top w:val="none" w:sz="0" w:space="0" w:color="auto"/>
        <w:left w:val="none" w:sz="0" w:space="0" w:color="auto"/>
        <w:bottom w:val="none" w:sz="0" w:space="0" w:color="auto"/>
        <w:right w:val="none" w:sz="0" w:space="0" w:color="auto"/>
      </w:divBdr>
    </w:div>
    <w:div w:id="628438438">
      <w:bodyDiv w:val="1"/>
      <w:marLeft w:val="0"/>
      <w:marRight w:val="0"/>
      <w:marTop w:val="0"/>
      <w:marBottom w:val="0"/>
      <w:divBdr>
        <w:top w:val="none" w:sz="0" w:space="0" w:color="auto"/>
        <w:left w:val="none" w:sz="0" w:space="0" w:color="auto"/>
        <w:bottom w:val="none" w:sz="0" w:space="0" w:color="auto"/>
        <w:right w:val="none" w:sz="0" w:space="0" w:color="auto"/>
      </w:divBdr>
    </w:div>
    <w:div w:id="664163129">
      <w:bodyDiv w:val="1"/>
      <w:marLeft w:val="0"/>
      <w:marRight w:val="0"/>
      <w:marTop w:val="0"/>
      <w:marBottom w:val="0"/>
      <w:divBdr>
        <w:top w:val="none" w:sz="0" w:space="0" w:color="auto"/>
        <w:left w:val="none" w:sz="0" w:space="0" w:color="auto"/>
        <w:bottom w:val="none" w:sz="0" w:space="0" w:color="auto"/>
        <w:right w:val="none" w:sz="0" w:space="0" w:color="auto"/>
      </w:divBdr>
    </w:div>
    <w:div w:id="730545977">
      <w:bodyDiv w:val="1"/>
      <w:marLeft w:val="0"/>
      <w:marRight w:val="0"/>
      <w:marTop w:val="0"/>
      <w:marBottom w:val="0"/>
      <w:divBdr>
        <w:top w:val="none" w:sz="0" w:space="0" w:color="auto"/>
        <w:left w:val="none" w:sz="0" w:space="0" w:color="auto"/>
        <w:bottom w:val="none" w:sz="0" w:space="0" w:color="auto"/>
        <w:right w:val="none" w:sz="0" w:space="0" w:color="auto"/>
      </w:divBdr>
    </w:div>
    <w:div w:id="784232918">
      <w:bodyDiv w:val="1"/>
      <w:marLeft w:val="0"/>
      <w:marRight w:val="0"/>
      <w:marTop w:val="0"/>
      <w:marBottom w:val="0"/>
      <w:divBdr>
        <w:top w:val="none" w:sz="0" w:space="0" w:color="auto"/>
        <w:left w:val="none" w:sz="0" w:space="0" w:color="auto"/>
        <w:bottom w:val="none" w:sz="0" w:space="0" w:color="auto"/>
        <w:right w:val="none" w:sz="0" w:space="0" w:color="auto"/>
      </w:divBdr>
    </w:div>
    <w:div w:id="884096199">
      <w:bodyDiv w:val="1"/>
      <w:marLeft w:val="0"/>
      <w:marRight w:val="0"/>
      <w:marTop w:val="0"/>
      <w:marBottom w:val="0"/>
      <w:divBdr>
        <w:top w:val="none" w:sz="0" w:space="0" w:color="auto"/>
        <w:left w:val="none" w:sz="0" w:space="0" w:color="auto"/>
        <w:bottom w:val="none" w:sz="0" w:space="0" w:color="auto"/>
        <w:right w:val="none" w:sz="0" w:space="0" w:color="auto"/>
      </w:divBdr>
    </w:div>
    <w:div w:id="901985933">
      <w:bodyDiv w:val="1"/>
      <w:marLeft w:val="0"/>
      <w:marRight w:val="0"/>
      <w:marTop w:val="0"/>
      <w:marBottom w:val="0"/>
      <w:divBdr>
        <w:top w:val="none" w:sz="0" w:space="0" w:color="auto"/>
        <w:left w:val="none" w:sz="0" w:space="0" w:color="auto"/>
        <w:bottom w:val="none" w:sz="0" w:space="0" w:color="auto"/>
        <w:right w:val="none" w:sz="0" w:space="0" w:color="auto"/>
      </w:divBdr>
    </w:div>
    <w:div w:id="926619244">
      <w:bodyDiv w:val="1"/>
      <w:marLeft w:val="0"/>
      <w:marRight w:val="0"/>
      <w:marTop w:val="0"/>
      <w:marBottom w:val="0"/>
      <w:divBdr>
        <w:top w:val="none" w:sz="0" w:space="0" w:color="auto"/>
        <w:left w:val="none" w:sz="0" w:space="0" w:color="auto"/>
        <w:bottom w:val="none" w:sz="0" w:space="0" w:color="auto"/>
        <w:right w:val="none" w:sz="0" w:space="0" w:color="auto"/>
      </w:divBdr>
    </w:div>
    <w:div w:id="952907037">
      <w:bodyDiv w:val="1"/>
      <w:marLeft w:val="0"/>
      <w:marRight w:val="0"/>
      <w:marTop w:val="0"/>
      <w:marBottom w:val="0"/>
      <w:divBdr>
        <w:top w:val="none" w:sz="0" w:space="0" w:color="auto"/>
        <w:left w:val="none" w:sz="0" w:space="0" w:color="auto"/>
        <w:bottom w:val="none" w:sz="0" w:space="0" w:color="auto"/>
        <w:right w:val="none" w:sz="0" w:space="0" w:color="auto"/>
      </w:divBdr>
    </w:div>
    <w:div w:id="987588605">
      <w:bodyDiv w:val="1"/>
      <w:marLeft w:val="0"/>
      <w:marRight w:val="0"/>
      <w:marTop w:val="0"/>
      <w:marBottom w:val="0"/>
      <w:divBdr>
        <w:top w:val="none" w:sz="0" w:space="0" w:color="auto"/>
        <w:left w:val="none" w:sz="0" w:space="0" w:color="auto"/>
        <w:bottom w:val="none" w:sz="0" w:space="0" w:color="auto"/>
        <w:right w:val="none" w:sz="0" w:space="0" w:color="auto"/>
      </w:divBdr>
    </w:div>
    <w:div w:id="1020279517">
      <w:bodyDiv w:val="1"/>
      <w:marLeft w:val="0"/>
      <w:marRight w:val="0"/>
      <w:marTop w:val="0"/>
      <w:marBottom w:val="0"/>
      <w:divBdr>
        <w:top w:val="none" w:sz="0" w:space="0" w:color="auto"/>
        <w:left w:val="none" w:sz="0" w:space="0" w:color="auto"/>
        <w:bottom w:val="none" w:sz="0" w:space="0" w:color="auto"/>
        <w:right w:val="none" w:sz="0" w:space="0" w:color="auto"/>
      </w:divBdr>
    </w:div>
    <w:div w:id="1043365123">
      <w:bodyDiv w:val="1"/>
      <w:marLeft w:val="0"/>
      <w:marRight w:val="0"/>
      <w:marTop w:val="0"/>
      <w:marBottom w:val="0"/>
      <w:divBdr>
        <w:top w:val="none" w:sz="0" w:space="0" w:color="auto"/>
        <w:left w:val="none" w:sz="0" w:space="0" w:color="auto"/>
        <w:bottom w:val="none" w:sz="0" w:space="0" w:color="auto"/>
        <w:right w:val="none" w:sz="0" w:space="0" w:color="auto"/>
      </w:divBdr>
    </w:div>
    <w:div w:id="1047410009">
      <w:bodyDiv w:val="1"/>
      <w:marLeft w:val="0"/>
      <w:marRight w:val="0"/>
      <w:marTop w:val="0"/>
      <w:marBottom w:val="0"/>
      <w:divBdr>
        <w:top w:val="none" w:sz="0" w:space="0" w:color="auto"/>
        <w:left w:val="none" w:sz="0" w:space="0" w:color="auto"/>
        <w:bottom w:val="none" w:sz="0" w:space="0" w:color="auto"/>
        <w:right w:val="none" w:sz="0" w:space="0" w:color="auto"/>
      </w:divBdr>
    </w:div>
    <w:div w:id="1080252193">
      <w:bodyDiv w:val="1"/>
      <w:marLeft w:val="0"/>
      <w:marRight w:val="0"/>
      <w:marTop w:val="0"/>
      <w:marBottom w:val="0"/>
      <w:divBdr>
        <w:top w:val="none" w:sz="0" w:space="0" w:color="auto"/>
        <w:left w:val="none" w:sz="0" w:space="0" w:color="auto"/>
        <w:bottom w:val="none" w:sz="0" w:space="0" w:color="auto"/>
        <w:right w:val="none" w:sz="0" w:space="0" w:color="auto"/>
      </w:divBdr>
    </w:div>
    <w:div w:id="1183086217">
      <w:bodyDiv w:val="1"/>
      <w:marLeft w:val="0"/>
      <w:marRight w:val="0"/>
      <w:marTop w:val="0"/>
      <w:marBottom w:val="0"/>
      <w:divBdr>
        <w:top w:val="none" w:sz="0" w:space="0" w:color="auto"/>
        <w:left w:val="none" w:sz="0" w:space="0" w:color="auto"/>
        <w:bottom w:val="none" w:sz="0" w:space="0" w:color="auto"/>
        <w:right w:val="none" w:sz="0" w:space="0" w:color="auto"/>
      </w:divBdr>
    </w:div>
    <w:div w:id="1226062671">
      <w:bodyDiv w:val="1"/>
      <w:marLeft w:val="0"/>
      <w:marRight w:val="0"/>
      <w:marTop w:val="0"/>
      <w:marBottom w:val="0"/>
      <w:divBdr>
        <w:top w:val="none" w:sz="0" w:space="0" w:color="auto"/>
        <w:left w:val="none" w:sz="0" w:space="0" w:color="auto"/>
        <w:bottom w:val="none" w:sz="0" w:space="0" w:color="auto"/>
        <w:right w:val="none" w:sz="0" w:space="0" w:color="auto"/>
      </w:divBdr>
    </w:div>
    <w:div w:id="1281377091">
      <w:bodyDiv w:val="1"/>
      <w:marLeft w:val="0"/>
      <w:marRight w:val="0"/>
      <w:marTop w:val="0"/>
      <w:marBottom w:val="0"/>
      <w:divBdr>
        <w:top w:val="none" w:sz="0" w:space="0" w:color="auto"/>
        <w:left w:val="none" w:sz="0" w:space="0" w:color="auto"/>
        <w:bottom w:val="none" w:sz="0" w:space="0" w:color="auto"/>
        <w:right w:val="none" w:sz="0" w:space="0" w:color="auto"/>
      </w:divBdr>
    </w:div>
    <w:div w:id="1282416019">
      <w:bodyDiv w:val="1"/>
      <w:marLeft w:val="0"/>
      <w:marRight w:val="0"/>
      <w:marTop w:val="0"/>
      <w:marBottom w:val="0"/>
      <w:divBdr>
        <w:top w:val="none" w:sz="0" w:space="0" w:color="auto"/>
        <w:left w:val="none" w:sz="0" w:space="0" w:color="auto"/>
        <w:bottom w:val="none" w:sz="0" w:space="0" w:color="auto"/>
        <w:right w:val="none" w:sz="0" w:space="0" w:color="auto"/>
      </w:divBdr>
    </w:div>
    <w:div w:id="1602713552">
      <w:bodyDiv w:val="1"/>
      <w:marLeft w:val="0"/>
      <w:marRight w:val="0"/>
      <w:marTop w:val="0"/>
      <w:marBottom w:val="0"/>
      <w:divBdr>
        <w:top w:val="none" w:sz="0" w:space="0" w:color="auto"/>
        <w:left w:val="none" w:sz="0" w:space="0" w:color="auto"/>
        <w:bottom w:val="none" w:sz="0" w:space="0" w:color="auto"/>
        <w:right w:val="none" w:sz="0" w:space="0" w:color="auto"/>
      </w:divBdr>
    </w:div>
    <w:div w:id="1612280393">
      <w:bodyDiv w:val="1"/>
      <w:marLeft w:val="0"/>
      <w:marRight w:val="0"/>
      <w:marTop w:val="0"/>
      <w:marBottom w:val="0"/>
      <w:divBdr>
        <w:top w:val="none" w:sz="0" w:space="0" w:color="auto"/>
        <w:left w:val="none" w:sz="0" w:space="0" w:color="auto"/>
        <w:bottom w:val="none" w:sz="0" w:space="0" w:color="auto"/>
        <w:right w:val="none" w:sz="0" w:space="0" w:color="auto"/>
      </w:divBdr>
    </w:div>
    <w:div w:id="1718579377">
      <w:bodyDiv w:val="1"/>
      <w:marLeft w:val="0"/>
      <w:marRight w:val="0"/>
      <w:marTop w:val="0"/>
      <w:marBottom w:val="0"/>
      <w:divBdr>
        <w:top w:val="none" w:sz="0" w:space="0" w:color="auto"/>
        <w:left w:val="none" w:sz="0" w:space="0" w:color="auto"/>
        <w:bottom w:val="none" w:sz="0" w:space="0" w:color="auto"/>
        <w:right w:val="none" w:sz="0" w:space="0" w:color="auto"/>
      </w:divBdr>
    </w:div>
    <w:div w:id="1778327350">
      <w:bodyDiv w:val="1"/>
      <w:marLeft w:val="0"/>
      <w:marRight w:val="0"/>
      <w:marTop w:val="0"/>
      <w:marBottom w:val="0"/>
      <w:divBdr>
        <w:top w:val="none" w:sz="0" w:space="0" w:color="auto"/>
        <w:left w:val="none" w:sz="0" w:space="0" w:color="auto"/>
        <w:bottom w:val="none" w:sz="0" w:space="0" w:color="auto"/>
        <w:right w:val="none" w:sz="0" w:space="0" w:color="auto"/>
      </w:divBdr>
    </w:div>
    <w:div w:id="1837838650">
      <w:bodyDiv w:val="1"/>
      <w:marLeft w:val="0"/>
      <w:marRight w:val="0"/>
      <w:marTop w:val="0"/>
      <w:marBottom w:val="0"/>
      <w:divBdr>
        <w:top w:val="none" w:sz="0" w:space="0" w:color="auto"/>
        <w:left w:val="none" w:sz="0" w:space="0" w:color="auto"/>
        <w:bottom w:val="none" w:sz="0" w:space="0" w:color="auto"/>
        <w:right w:val="none" w:sz="0" w:space="0" w:color="auto"/>
      </w:divBdr>
    </w:div>
    <w:div w:id="1906329465">
      <w:bodyDiv w:val="1"/>
      <w:marLeft w:val="0"/>
      <w:marRight w:val="0"/>
      <w:marTop w:val="0"/>
      <w:marBottom w:val="0"/>
      <w:divBdr>
        <w:top w:val="none" w:sz="0" w:space="0" w:color="auto"/>
        <w:left w:val="none" w:sz="0" w:space="0" w:color="auto"/>
        <w:bottom w:val="none" w:sz="0" w:space="0" w:color="auto"/>
        <w:right w:val="none" w:sz="0" w:space="0" w:color="auto"/>
      </w:divBdr>
    </w:div>
    <w:div w:id="2022202769">
      <w:bodyDiv w:val="1"/>
      <w:marLeft w:val="0"/>
      <w:marRight w:val="0"/>
      <w:marTop w:val="0"/>
      <w:marBottom w:val="0"/>
      <w:divBdr>
        <w:top w:val="none" w:sz="0" w:space="0" w:color="auto"/>
        <w:left w:val="none" w:sz="0" w:space="0" w:color="auto"/>
        <w:bottom w:val="none" w:sz="0" w:space="0" w:color="auto"/>
        <w:right w:val="none" w:sz="0" w:space="0" w:color="auto"/>
      </w:divBdr>
    </w:div>
    <w:div w:id="2111852519">
      <w:bodyDiv w:val="1"/>
      <w:marLeft w:val="0"/>
      <w:marRight w:val="0"/>
      <w:marTop w:val="0"/>
      <w:marBottom w:val="0"/>
      <w:divBdr>
        <w:top w:val="none" w:sz="0" w:space="0" w:color="auto"/>
        <w:left w:val="none" w:sz="0" w:space="0" w:color="auto"/>
        <w:bottom w:val="none" w:sz="0" w:space="0" w:color="auto"/>
        <w:right w:val="none" w:sz="0" w:space="0" w:color="auto"/>
      </w:divBdr>
    </w:div>
    <w:div w:id="211282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Hye09</b:Tag>
    <b:SourceType>Report</b:SourceType>
    <b:Guid>{2CFE882B-7116-42F6-87A4-34CA498D45DE}</b:Guid>
    <b:Author>
      <b:Author>
        <b:NameList>
          <b:Person>
            <b:Last>Hyeun Suk Rhee</b:Last>
            <b:First>Cheongtag</b:First>
            <b:Middle>Kim, Young U. Ryu</b:Middle>
          </b:Person>
        </b:NameList>
      </b:Author>
    </b:Author>
    <b:Title>Self-efficacy in information security: Its influence on end users' information security practice behavior</b:Title>
    <b:Year>2009</b:Year>
    <b:RefOrder>1</b:RefOrder>
  </b:Source>
  <b:Source>
    <b:Tag>Ham20</b:Tag>
    <b:SourceType>Report</b:SourceType>
    <b:Guid>{32DD4B7D-A1DE-4A2D-A8CB-E58FF97AA4B6}</b:Guid>
    <b:Author>
      <b:Author>
        <b:NameList>
          <b:Person>
            <b:Last>Rafsanjani</b:Last>
            <b:First>Hamed</b:First>
            <b:Middle>Tabrizchi &amp; Marjan Kuchaki</b:Middle>
          </b:Person>
        </b:NameList>
      </b:Author>
    </b:Author>
    <b:Title>A survey on security challenges in cloud computing: issues, threats, and solutions</b:Title>
    <b:Year>2020</b:Year>
    <b:RefOrder>2</b:RefOrder>
  </b:Source>
  <b:Source>
    <b:Tag>Mik09</b:Tag>
    <b:SourceType>JournalArticle</b:SourceType>
    <b:Guid>{53B75818-7682-4850-BB81-F20148F9EB7B}</b:Guid>
    <b:Author>
      <b:Author>
        <b:NameList>
          <b:Person>
            <b:Last>Mikko Siponen</b:Last>
            <b:First>Robert</b:First>
            <b:Middle>Willison</b:Middle>
          </b:Person>
        </b:NameList>
      </b:Author>
    </b:Author>
    <b:Title>Information security management standards: Problems and solutions</b:Title>
    <b:Year>2009</b:Year>
    <b:Pages>267–270</b:Pages>
    <b:RefOrder>3</b:RefOrder>
  </b:Source>
  <b:Source>
    <b:Tag>Dan13</b:Tag>
    <b:SourceType>JournalArticle</b:SourceType>
    <b:Guid>{A5776313-4CED-4BC8-B009-D11A14663ECF}</b:Guid>
    <b:Author>
      <b:Author>
        <b:NameList>
          <b:Person>
            <b:Last>Daniel Ganji</b:Last>
            <b:First>Christos</b:First>
            <b:Middle>Kalloniatis, Haralambos Mouratidis,</b:Middle>
          </b:Person>
        </b:NameList>
      </b:Author>
    </b:Author>
    <b:Title>Approaches to Develop and Implement ISO/IEC 27001 Standard- Information Security</b:Title>
    <b:Year>2013</b:Year>
    <b:RefOrder>4</b:RefOrder>
  </b:Source>
  <b:Source>
    <b:Tag>ISO</b:Tag>
    <b:SourceType>Report</b:SourceType>
    <b:Guid>{B42AB306-F8BB-4B0A-90E1-75DADF39547C}</b:Guid>
    <b:Title>Information security, cybersecurity and privacy protection — Information security management systems — Requirements</b:Title>
    <b:Author>
      <b:Author>
        <b:NameList>
          <b:Person>
            <b:Last>27001:2022</b:Last>
            <b:First>ISO/IEC</b:First>
          </b:Person>
        </b:NameList>
      </b:Author>
    </b:Author>
    <b:RefOrder>5</b:RefOrder>
  </b:Source>
  <b:Source>
    <b:Tag>NIS</b:Tag>
    <b:SourceType>Report</b:SourceType>
    <b:Guid>{5696F7A9-28B8-4F76-AD37-2DF99B93E95B}</b:Guid>
    <b:Author>
      <b:Author>
        <b:NameList>
          <b:Person>
            <b:Last>2</b:Last>
            <b:First>NIST</b:First>
            <b:Middle>SP 800-37 Rev.</b:Middle>
          </b:Person>
        </b:NameList>
      </b:Author>
    </b:Author>
    <b:Title>Risk Management Framework for Information Systems and Organizations: A System Life Cycle Approach for Security and Privacy</b:Title>
    <b:RefOrder>6</b:RefOrder>
  </b:Source>
  <b:Source>
    <b:Tag>htt16</b:Tag>
    <b:SourceType>Report</b:SourceType>
    <b:Guid>{5B9DE11F-AE43-4D5F-8CBA-2B83067BD465}</b:Guid>
    <b:Title>https://www.isaca.org/resources/cobit</b:Title>
    <b:RefOrder>7</b:RefOrder>
  </b:Source>
  <b:Source>
    <b:Tag>Tuo22</b:Tag>
    <b:SourceType>JournalArticle</b:SourceType>
    <b:Guid>{D374FE5D-E9AC-4E61-A5C9-666DA981BFAA}</b:Guid>
    <b:Author>
      <b:Author>
        <b:NameList>
          <b:Person>
            <b:Last>Tuomisto</b:Last>
            <b:First>Jakke</b:First>
          </b:Person>
        </b:NameList>
      </b:Author>
    </b:Author>
    <b:Title>Value co-creation in ITIL 4 -framework</b:Title>
    <b:Year>2022</b:Year>
    <b:RefOrder>8</b:RefOrder>
  </b:Source>
  <b:Source>
    <b:Tag>JVe02</b:Tag>
    <b:SourceType>JournalArticle</b:SourceType>
    <b:Guid>{1C2B2613-0A95-4EDA-AB38-93A5923A332A}</b:Guid>
    <b:Author>
      <b:Author>
        <b:NameList>
          <b:Person>
            <b:Last>Verschuren</b:Last>
            <b:First>J.</b:First>
          </b:Person>
          <b:Person>
            <b:Last>Govaerts</b:Last>
            <b:First>R.</b:First>
          </b:Person>
          <b:Person>
            <b:Last>Vandewalle</b:Last>
            <b:First>J.</b:First>
          </b:Person>
        </b:NameList>
      </b:Author>
    </b:Author>
    <b:Title>Simultaneous enforcement of the Bell-LaPadula and the Biba security policy models in an OSI-distributed system</b:Title>
    <b:Year>2002</b:Year>
    <b:RefOrder>9</b:RefOrder>
  </b:Source>
  <b:Source>
    <b:Tag>Ron16</b:Tag>
    <b:SourceType>Report</b:SourceType>
    <b:Guid>{A627DB85-1BA0-40AA-A2A2-11BDB2D37979}</b:Guid>
    <b:Author>
      <b:Author>
        <b:NameList>
          <b:Person>
            <b:Last>Ron Ross (NIST)</b:Last>
            <b:First>Michael</b:First>
            <b:Middle>McEvilley (MITRE), Janet Oren</b:Middle>
          </b:Person>
        </b:NameList>
      </b:Author>
    </b:Author>
    <b:Title>Systems Security Engineering: Considerations for a Multidisciplinary Approach in the Engineering of Trustworthy Secure Systems</b:Title>
    <b:Year>2016</b:Year>
    <b:RefOrder>10</b:RefOrder>
  </b:Source>
  <b:Source>
    <b:Tag>Way11</b:Tag>
    <b:SourceType>Report</b:SourceType>
    <b:Guid>{AE8B7DE4-0039-4B4F-AC5E-616200FA368C}</b:Guid>
    <b:Author>
      <b:Author>
        <b:NameList>
          <b:Person>
            <b:Last>Wayne Jansen (BAH)</b:Last>
            <b:First>Tim</b:First>
            <b:Middle>Grance (NIST)</b:Middle>
          </b:Person>
        </b:NameList>
      </b:Author>
    </b:Author>
    <b:Title>Guidelines on Security and Privacy in Public Cloud Computing</b:Title>
    <b:Year>2011</b:Year>
    <b:RefOrder>11</b:RefOrder>
  </b:Source>
  <b:Source>
    <b:Tag>Kar02</b:Tag>
    <b:SourceType>Report</b:SourceType>
    <b:Guid>{BF2B0279-E570-4549-95F0-41B2A4B71675}</b:Guid>
    <b:Author>
      <b:Author>
        <b:NameList>
          <b:Person>
            <b:Last>Karen Scarfone (NIST)</b:Last>
            <b:First>Paul</b:First>
            <b:Middle>Hoffman</b:Middle>
          </b:Person>
        </b:NameList>
      </b:Author>
    </b:Author>
    <b:Title>Guidelines on Firewalls and Firewall Policy</b:Title>
    <b:Year>2002</b:Year>
    <b:RefOrder>12</b:RefOrder>
  </b:Source>
  <b:Source>
    <b:Tag>Sco20</b:Tag>
    <b:SourceType>Report</b:SourceType>
    <b:Guid>{675932D3-B03C-4F4C-BEA5-4BB9730198E9}</b:Guid>
    <b:Author>
      <b:Author>
        <b:NameList>
          <b:Person>
            <b:Last>Scott Rose (NIST)</b:Last>
            <b:First>Oliver</b:First>
            <b:Middle>Borchert (NIST), Stu Mitchell (Stu2Labs), Sean Connelly</b:Middle>
          </b:Person>
        </b:NameList>
      </b:Author>
    </b:Author>
    <b:Title>Zero Trust Architecture</b:Title>
    <b:Year>2020</b:Year>
    <b:RefOrder>13</b:RefOrder>
  </b:Source>
  <b:Source>
    <b:Tag>Mur16</b:Tag>
    <b:SourceType>Report</b:SourceType>
    <b:Guid>{C960C5C6-5803-48FB-BD9E-2A2BEC4288CC}</b:Guid>
    <b:Author>
      <b:Author>
        <b:NameList>
          <b:Person>
            <b:Last>Murugiah Souppaya (NIST)</b:Last>
            <b:First>Karen</b:First>
            <b:Middle>Scarfone</b:Middle>
          </b:Person>
        </b:NameList>
      </b:Author>
    </b:Author>
    <b:Title>Guide to Enterprise Telework, Remote Access, and Bring Your Own Device (BYOD) Security</b:Title>
    <b:Year>2016</b:Year>
    <b:RefOrder>14</b:RefOrder>
  </b:Source>
  <b:Source>
    <b:Tag>Ben23</b:Tag>
    <b:SourceType>Report</b:SourceType>
    <b:Guid>{C0A82CA0-58EF-41A0-AFE1-108EF7A2ED56}</b:Guid>
    <b:Author>
      <b:Author>
        <b:NameList>
          <b:Person>
            <b:Last>Benjamin Madnick</b:Last>
            <b:First>Keman</b:First>
            <b:Middle>Huang &amp; Stuart Madnick</b:Middle>
          </b:Person>
        </b:NameList>
      </b:Author>
    </b:Author>
    <b:Title>The evolution of global cybersecurity norms</b:Title>
    <b:Year>2023</b:Year>
    <b:RefOrder>15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6D36C3-8C1C-4750-9251-8440A252D2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F5882D-250F-4C53-9A0C-ED6DCCB36EDB}">
  <ds:schemaRefs>
    <ds:schemaRef ds:uri="http://schemas.openxmlformats.org/officeDocument/2006/bibliography"/>
  </ds:schemaRefs>
</ds:datastoreItem>
</file>

<file path=customXml/itemProps3.xml><?xml version="1.0" encoding="utf-8"?>
<ds:datastoreItem xmlns:ds="http://schemas.openxmlformats.org/officeDocument/2006/customXml" ds:itemID="{22D6F843-7F8D-4104-86B3-16E058394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D5E708-4624-4D13-9F9A-D6270C6191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14</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Integration of Governance and Security Frameworks within NatureGreen</vt:lpstr>
    </vt:vector>
  </TitlesOfParts>
  <Company>Naymul Hasnat</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Integration of Governance and Security Frameworks within NatureGreen</dc:title>
  <dc:subject/>
  <dc:creator>Naymul Hasnat (2432483)</dc:creator>
  <cp:keywords/>
  <dc:description/>
  <cp:lastModifiedBy>Naymul Hasnat (2432483)</cp:lastModifiedBy>
  <cp:revision>16</cp:revision>
  <dcterms:created xsi:type="dcterms:W3CDTF">2025-12-03T12:18:00Z</dcterms:created>
  <dcterms:modified xsi:type="dcterms:W3CDTF">2025-12-18T22:47:00Z</dcterms:modified>
  <cp:category>ID- 2432483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