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09AE90" w14:textId="77777777" w:rsidR="0016653E" w:rsidRPr="0016653E" w:rsidRDefault="00760C78" w:rsidP="0016653E">
      <w:pPr>
        <w:jc w:val="center"/>
        <w:rPr>
          <w:b/>
          <w:bCs/>
          <w:sz w:val="32"/>
          <w:szCs w:val="36"/>
        </w:rPr>
      </w:pPr>
      <w:r w:rsidRPr="0016653E">
        <w:rPr>
          <w:b/>
          <w:bCs/>
          <w:sz w:val="32"/>
          <w:szCs w:val="36"/>
        </w:rPr>
        <w:t>PRINCIPLES OF HEALTH AND SOCIAL CARE PRACTICE</w:t>
      </w:r>
    </w:p>
    <w:p w14:paraId="567AB04A" w14:textId="77777777" w:rsidR="0016653E" w:rsidRPr="0016653E" w:rsidRDefault="00760C78" w:rsidP="0016653E">
      <w:pPr>
        <w:jc w:val="center"/>
        <w:rPr>
          <w:b/>
          <w:bCs/>
          <w:sz w:val="32"/>
          <w:szCs w:val="36"/>
        </w:rPr>
      </w:pPr>
      <w:r w:rsidRPr="0016653E">
        <w:rPr>
          <w:b/>
          <w:bCs/>
          <w:sz w:val="32"/>
          <w:szCs w:val="36"/>
        </w:rPr>
        <w:t xml:space="preserve">BMHP5016 </w:t>
      </w:r>
    </w:p>
    <w:p w14:paraId="3BC9E8E4" w14:textId="77777777" w:rsidR="0016653E" w:rsidRPr="0016653E" w:rsidRDefault="00760C78" w:rsidP="0016653E">
      <w:pPr>
        <w:jc w:val="center"/>
        <w:rPr>
          <w:b/>
          <w:bCs/>
          <w:sz w:val="32"/>
          <w:szCs w:val="36"/>
        </w:rPr>
      </w:pPr>
      <w:r w:rsidRPr="0016653E">
        <w:rPr>
          <w:b/>
          <w:bCs/>
          <w:sz w:val="32"/>
          <w:szCs w:val="36"/>
        </w:rPr>
        <w:t>COMPONENT 2: WRITTEN</w:t>
      </w:r>
      <w:r>
        <w:rPr>
          <w:b/>
          <w:bCs/>
          <w:sz w:val="32"/>
          <w:szCs w:val="36"/>
        </w:rPr>
        <w:t xml:space="preserve"> </w:t>
      </w:r>
      <w:r w:rsidRPr="0016653E">
        <w:rPr>
          <w:b/>
          <w:bCs/>
          <w:sz w:val="32"/>
          <w:szCs w:val="36"/>
        </w:rPr>
        <w:t>ASSIGNMENT (REPORT)</w:t>
      </w:r>
    </w:p>
    <w:p w14:paraId="4BF83CC8" w14:textId="77777777" w:rsidR="0016653E" w:rsidRDefault="0016653E" w:rsidP="0016653E">
      <w:pPr>
        <w:jc w:val="center"/>
        <w:rPr>
          <w:b/>
          <w:bCs/>
          <w:sz w:val="32"/>
          <w:szCs w:val="36"/>
        </w:rPr>
      </w:pPr>
    </w:p>
    <w:p w14:paraId="0D40A937" w14:textId="77777777" w:rsidR="0016653E" w:rsidRDefault="0016653E" w:rsidP="0016653E">
      <w:pPr>
        <w:jc w:val="center"/>
        <w:rPr>
          <w:b/>
          <w:bCs/>
          <w:sz w:val="32"/>
          <w:szCs w:val="36"/>
        </w:rPr>
      </w:pPr>
    </w:p>
    <w:p w14:paraId="04A84D52" w14:textId="77777777" w:rsidR="0016653E" w:rsidRDefault="0016653E" w:rsidP="0016653E">
      <w:pPr>
        <w:jc w:val="center"/>
        <w:rPr>
          <w:b/>
          <w:bCs/>
          <w:sz w:val="32"/>
          <w:szCs w:val="36"/>
        </w:rPr>
      </w:pPr>
    </w:p>
    <w:p w14:paraId="47AAE7F4" w14:textId="6455FE6E" w:rsidR="0016653E" w:rsidRDefault="00067AA5" w:rsidP="0016653E">
      <w:pPr>
        <w:jc w:val="center"/>
        <w:rPr>
          <w:b/>
          <w:bCs/>
          <w:sz w:val="32"/>
          <w:szCs w:val="36"/>
        </w:rPr>
      </w:pPr>
      <w:r>
        <w:rPr>
          <w:b/>
          <w:bCs/>
          <w:sz w:val="32"/>
          <w:szCs w:val="36"/>
        </w:rPr>
        <w:t>LECTURER:</w:t>
      </w:r>
      <w:r w:rsidR="002E36D7">
        <w:rPr>
          <w:b/>
          <w:bCs/>
          <w:sz w:val="32"/>
          <w:szCs w:val="36"/>
        </w:rPr>
        <w:t xml:space="preserve"> </w:t>
      </w:r>
      <w:proofErr w:type="spellStart"/>
      <w:r w:rsidR="002E36D7">
        <w:rPr>
          <w:b/>
          <w:bCs/>
          <w:sz w:val="32"/>
          <w:szCs w:val="36"/>
        </w:rPr>
        <w:t>Aishat</w:t>
      </w:r>
      <w:proofErr w:type="spellEnd"/>
      <w:r w:rsidR="002E36D7">
        <w:rPr>
          <w:b/>
          <w:bCs/>
          <w:sz w:val="32"/>
          <w:szCs w:val="36"/>
        </w:rPr>
        <w:t xml:space="preserve"> </w:t>
      </w:r>
      <w:proofErr w:type="spellStart"/>
      <w:r w:rsidR="002E36D7">
        <w:rPr>
          <w:b/>
          <w:bCs/>
          <w:sz w:val="32"/>
          <w:szCs w:val="36"/>
        </w:rPr>
        <w:t>Bakre</w:t>
      </w:r>
      <w:proofErr w:type="spellEnd"/>
    </w:p>
    <w:p w14:paraId="02915915" w14:textId="77777777" w:rsidR="0016653E" w:rsidRDefault="0016653E" w:rsidP="0016653E">
      <w:pPr>
        <w:jc w:val="center"/>
        <w:rPr>
          <w:b/>
          <w:bCs/>
          <w:sz w:val="32"/>
          <w:szCs w:val="36"/>
        </w:rPr>
      </w:pPr>
    </w:p>
    <w:p w14:paraId="1D131B26" w14:textId="60E285FB" w:rsidR="0016653E" w:rsidRPr="0016653E" w:rsidRDefault="00760C78" w:rsidP="0016653E">
      <w:pPr>
        <w:jc w:val="center"/>
        <w:rPr>
          <w:b/>
          <w:bCs/>
          <w:sz w:val="32"/>
          <w:szCs w:val="36"/>
        </w:rPr>
      </w:pPr>
      <w:r w:rsidRPr="0016653E">
        <w:rPr>
          <w:b/>
          <w:bCs/>
          <w:sz w:val="32"/>
          <w:szCs w:val="36"/>
        </w:rPr>
        <w:t>STUDENT NAME</w:t>
      </w:r>
      <w:r w:rsidR="00F02B42">
        <w:rPr>
          <w:b/>
          <w:bCs/>
          <w:sz w:val="32"/>
          <w:szCs w:val="36"/>
        </w:rPr>
        <w:t xml:space="preserve"> : </w:t>
      </w:r>
      <w:proofErr w:type="spellStart"/>
      <w:r w:rsidR="00976ACF">
        <w:rPr>
          <w:b/>
          <w:bCs/>
          <w:sz w:val="32"/>
          <w:szCs w:val="36"/>
        </w:rPr>
        <w:t>Mihaela</w:t>
      </w:r>
      <w:proofErr w:type="spellEnd"/>
      <w:r w:rsidR="00976ACF">
        <w:rPr>
          <w:b/>
          <w:bCs/>
          <w:sz w:val="32"/>
          <w:szCs w:val="36"/>
        </w:rPr>
        <w:t xml:space="preserve"> </w:t>
      </w:r>
      <w:proofErr w:type="spellStart"/>
      <w:r w:rsidR="00976ACF">
        <w:rPr>
          <w:b/>
          <w:bCs/>
          <w:sz w:val="32"/>
          <w:szCs w:val="36"/>
        </w:rPr>
        <w:t>Rodica</w:t>
      </w:r>
      <w:proofErr w:type="spellEnd"/>
      <w:r w:rsidR="00976ACF">
        <w:rPr>
          <w:b/>
          <w:bCs/>
          <w:sz w:val="32"/>
          <w:szCs w:val="36"/>
        </w:rPr>
        <w:t xml:space="preserve"> Bob</w:t>
      </w:r>
    </w:p>
    <w:p w14:paraId="01055435" w14:textId="5700C445" w:rsidR="0016653E" w:rsidRPr="0016653E" w:rsidRDefault="00760C78" w:rsidP="0016653E">
      <w:pPr>
        <w:jc w:val="center"/>
        <w:rPr>
          <w:b/>
          <w:bCs/>
          <w:sz w:val="32"/>
          <w:szCs w:val="36"/>
        </w:rPr>
      </w:pPr>
      <w:r w:rsidRPr="0016653E">
        <w:rPr>
          <w:b/>
          <w:bCs/>
          <w:sz w:val="32"/>
          <w:szCs w:val="36"/>
        </w:rPr>
        <w:t>STUDENT ID:</w:t>
      </w:r>
      <w:r w:rsidR="00976ACF">
        <w:rPr>
          <w:b/>
          <w:bCs/>
          <w:sz w:val="32"/>
          <w:szCs w:val="36"/>
        </w:rPr>
        <w:t>2419507</w:t>
      </w:r>
    </w:p>
    <w:p w14:paraId="447C1FBD" w14:textId="77777777" w:rsidR="0016653E" w:rsidRDefault="00760C78">
      <w:pPr>
        <w:spacing w:line="278" w:lineRule="auto"/>
        <w:jc w:val="left"/>
        <w:rPr>
          <w:b/>
          <w:bCs/>
          <w:sz w:val="24"/>
          <w:szCs w:val="28"/>
          <w:lang w:val="en-US"/>
        </w:rPr>
      </w:pPr>
      <w:r>
        <w:br w:type="page"/>
      </w:r>
    </w:p>
    <w:p w14:paraId="68DA6F20" w14:textId="77777777" w:rsidR="0016653E" w:rsidRDefault="00760C78" w:rsidP="0016653E">
      <w:pPr>
        <w:pStyle w:val="Heading1"/>
      </w:pPr>
      <w:bookmarkStart w:id="0" w:name="_Toc224992045"/>
      <w:r>
        <w:t>Abstract</w:t>
      </w:r>
      <w:bookmarkEnd w:id="0"/>
      <w:r>
        <w:t xml:space="preserve"> </w:t>
      </w:r>
    </w:p>
    <w:p w14:paraId="1EE5FF49" w14:textId="77777777" w:rsidR="0016653E" w:rsidRPr="0016653E" w:rsidRDefault="00760C78" w:rsidP="0016653E">
      <w:r>
        <w:t>This report provides a critical assessment of both person-centred care (PCC) and partnership working (PW) in a hospital context, and how they contribute to enhancing health and social care practice. It dwells on the definition, advantages and constraints of PCC, as well as major theoretical concepts, which form the foundation of the principle. The central ethical principles, namely, autonomy, beneficence, non-maleficence, and justice, are also considered in the report and applicable to PCC and PW. Besides, the significance of partnership working is examined in the context of integrated care and its advantages in service provision and patient outcomes, as well as its problems, including communication barriers and coordination difficulties. The impact of the UK policies and legislation relevant to the practice is discussed to gain an insight into their effects on practice. The report ends with a statement of essential gaps and evidence-based recommendations, such as the utilisation of technology, employee education, and enhanced cooperation, to make PCC and PW stronger in medical facilities.</w:t>
      </w:r>
      <w:r>
        <w:br w:type="page"/>
      </w:r>
    </w:p>
    <w:sdt>
      <w:sdtPr>
        <w:rPr>
          <w:b w:val="0"/>
          <w:bCs w:val="0"/>
          <w:sz w:val="22"/>
          <w:szCs w:val="24"/>
          <w:lang w:val="en-IN"/>
        </w:rPr>
        <w:id w:val="-116294509"/>
        <w:docPartObj>
          <w:docPartGallery w:val="Table of Contents"/>
          <w:docPartUnique/>
        </w:docPartObj>
      </w:sdtPr>
      <w:sdtEndPr>
        <w:rPr>
          <w:noProof/>
        </w:rPr>
      </w:sdtEndPr>
      <w:sdtContent>
        <w:p w14:paraId="787F5321" w14:textId="77777777" w:rsidR="0016653E" w:rsidRPr="00611AC2" w:rsidRDefault="00760C78" w:rsidP="00611AC2">
          <w:pPr>
            <w:pStyle w:val="TOCHeading"/>
            <w:jc w:val="center"/>
            <w:rPr>
              <w:rFonts w:cs="Arial"/>
              <w:sz w:val="22"/>
              <w:szCs w:val="22"/>
            </w:rPr>
          </w:pPr>
          <w:r w:rsidRPr="00611AC2">
            <w:rPr>
              <w:rFonts w:cs="Arial"/>
              <w:sz w:val="22"/>
              <w:szCs w:val="22"/>
            </w:rPr>
            <w:t>Table of Contents</w:t>
          </w:r>
        </w:p>
        <w:p w14:paraId="47A5215C" w14:textId="77777777" w:rsidR="0016653E" w:rsidRPr="0016653E" w:rsidRDefault="00760C78" w:rsidP="0016653E">
          <w:pPr>
            <w:pStyle w:val="TOC1"/>
            <w:tabs>
              <w:tab w:val="right" w:leader="dot" w:pos="9016"/>
            </w:tabs>
            <w:jc w:val="both"/>
            <w:rPr>
              <w:rFonts w:ascii="Arial" w:eastAsiaTheme="minorEastAsia" w:hAnsi="Arial" w:cs="Arial"/>
              <w:b w:val="0"/>
              <w:bCs w:val="0"/>
              <w:noProof/>
              <w:sz w:val="22"/>
              <w:szCs w:val="22"/>
              <w:lang w:eastAsia="en-GB"/>
            </w:rPr>
          </w:pPr>
          <w:r w:rsidRPr="0016653E">
            <w:rPr>
              <w:rFonts w:ascii="Arial" w:hAnsi="Arial" w:cs="Arial"/>
              <w:b w:val="0"/>
              <w:bCs w:val="0"/>
              <w:sz w:val="22"/>
              <w:szCs w:val="22"/>
            </w:rPr>
            <w:fldChar w:fldCharType="begin"/>
          </w:r>
          <w:r w:rsidRPr="0016653E">
            <w:rPr>
              <w:rFonts w:ascii="Arial" w:hAnsi="Arial" w:cs="Arial"/>
              <w:b w:val="0"/>
              <w:bCs w:val="0"/>
              <w:sz w:val="22"/>
              <w:szCs w:val="22"/>
            </w:rPr>
            <w:instrText xml:space="preserve"> TOC \o "1-3" \h \z \u </w:instrText>
          </w:r>
          <w:r w:rsidRPr="0016653E">
            <w:rPr>
              <w:rFonts w:ascii="Arial" w:hAnsi="Arial" w:cs="Arial"/>
              <w:b w:val="0"/>
              <w:bCs w:val="0"/>
              <w:sz w:val="22"/>
              <w:szCs w:val="22"/>
            </w:rPr>
            <w:fldChar w:fldCharType="separate"/>
          </w:r>
          <w:hyperlink w:anchor="_Toc224992045" w:history="1">
            <w:r w:rsidR="0016653E" w:rsidRPr="0016653E">
              <w:rPr>
                <w:rStyle w:val="Hyperlink"/>
                <w:rFonts w:ascii="Arial" w:hAnsi="Arial" w:cs="Arial"/>
                <w:b w:val="0"/>
                <w:bCs w:val="0"/>
                <w:noProof/>
                <w:sz w:val="22"/>
                <w:szCs w:val="22"/>
              </w:rPr>
              <w:t>Abstract</w:t>
            </w:r>
            <w:r w:rsidR="0016653E" w:rsidRPr="0016653E">
              <w:rPr>
                <w:rFonts w:ascii="Arial" w:hAnsi="Arial" w:cs="Arial"/>
                <w:b w:val="0"/>
                <w:bCs w:val="0"/>
                <w:noProof/>
                <w:webHidden/>
                <w:sz w:val="22"/>
                <w:szCs w:val="22"/>
              </w:rPr>
              <w:tab/>
            </w:r>
            <w:r w:rsidR="0016653E" w:rsidRPr="0016653E">
              <w:rPr>
                <w:rFonts w:ascii="Arial" w:hAnsi="Arial" w:cs="Arial"/>
                <w:b w:val="0"/>
                <w:bCs w:val="0"/>
                <w:noProof/>
                <w:webHidden/>
                <w:sz w:val="22"/>
                <w:szCs w:val="22"/>
              </w:rPr>
              <w:fldChar w:fldCharType="begin"/>
            </w:r>
            <w:r w:rsidR="0016653E" w:rsidRPr="0016653E">
              <w:rPr>
                <w:rFonts w:ascii="Arial" w:hAnsi="Arial" w:cs="Arial"/>
                <w:b w:val="0"/>
                <w:bCs w:val="0"/>
                <w:noProof/>
                <w:webHidden/>
                <w:sz w:val="22"/>
                <w:szCs w:val="22"/>
              </w:rPr>
              <w:instrText xml:space="preserve"> PAGEREF _Toc224992045 \h </w:instrText>
            </w:r>
            <w:r w:rsidR="0016653E" w:rsidRPr="0016653E">
              <w:rPr>
                <w:rFonts w:ascii="Arial" w:hAnsi="Arial" w:cs="Arial"/>
                <w:b w:val="0"/>
                <w:bCs w:val="0"/>
                <w:noProof/>
                <w:webHidden/>
                <w:sz w:val="22"/>
                <w:szCs w:val="22"/>
              </w:rPr>
            </w:r>
            <w:r w:rsidR="0016653E" w:rsidRPr="0016653E">
              <w:rPr>
                <w:rFonts w:ascii="Arial" w:hAnsi="Arial" w:cs="Arial"/>
                <w:b w:val="0"/>
                <w:bCs w:val="0"/>
                <w:noProof/>
                <w:webHidden/>
                <w:sz w:val="22"/>
                <w:szCs w:val="22"/>
              </w:rPr>
              <w:fldChar w:fldCharType="separate"/>
            </w:r>
            <w:r w:rsidR="0016653E" w:rsidRPr="0016653E">
              <w:rPr>
                <w:rFonts w:ascii="Arial" w:hAnsi="Arial" w:cs="Arial"/>
                <w:b w:val="0"/>
                <w:bCs w:val="0"/>
                <w:noProof/>
                <w:webHidden/>
                <w:sz w:val="22"/>
                <w:szCs w:val="22"/>
              </w:rPr>
              <w:t>2</w:t>
            </w:r>
            <w:r w:rsidR="0016653E" w:rsidRPr="0016653E">
              <w:rPr>
                <w:rFonts w:ascii="Arial" w:hAnsi="Arial" w:cs="Arial"/>
                <w:b w:val="0"/>
                <w:bCs w:val="0"/>
                <w:noProof/>
                <w:webHidden/>
                <w:sz w:val="22"/>
                <w:szCs w:val="22"/>
              </w:rPr>
              <w:fldChar w:fldCharType="end"/>
            </w:r>
          </w:hyperlink>
        </w:p>
        <w:p w14:paraId="24FD9061" w14:textId="77777777" w:rsidR="0016653E" w:rsidRPr="0016653E" w:rsidRDefault="0016653E" w:rsidP="0016653E">
          <w:pPr>
            <w:pStyle w:val="TOC1"/>
            <w:tabs>
              <w:tab w:val="right" w:leader="dot" w:pos="9016"/>
            </w:tabs>
            <w:jc w:val="both"/>
            <w:rPr>
              <w:rFonts w:ascii="Arial" w:eastAsiaTheme="minorEastAsia" w:hAnsi="Arial" w:cs="Arial"/>
              <w:b w:val="0"/>
              <w:bCs w:val="0"/>
              <w:noProof/>
              <w:sz w:val="22"/>
              <w:szCs w:val="22"/>
              <w:lang w:eastAsia="en-GB"/>
            </w:rPr>
          </w:pPr>
          <w:hyperlink w:anchor="_Toc224992046" w:history="1">
            <w:r w:rsidRPr="0016653E">
              <w:rPr>
                <w:rStyle w:val="Hyperlink"/>
                <w:rFonts w:ascii="Arial" w:hAnsi="Arial" w:cs="Arial"/>
                <w:b w:val="0"/>
                <w:bCs w:val="0"/>
                <w:noProof/>
                <w:sz w:val="22"/>
                <w:szCs w:val="22"/>
              </w:rPr>
              <w:t>Introduction</w:t>
            </w:r>
            <w:r w:rsidRPr="0016653E">
              <w:rPr>
                <w:rFonts w:ascii="Arial" w:hAnsi="Arial" w:cs="Arial"/>
                <w:b w:val="0"/>
                <w:bCs w:val="0"/>
                <w:noProof/>
                <w:webHidden/>
                <w:sz w:val="22"/>
                <w:szCs w:val="22"/>
              </w:rPr>
              <w:tab/>
            </w:r>
            <w:r w:rsidRPr="0016653E">
              <w:rPr>
                <w:rFonts w:ascii="Arial" w:hAnsi="Arial" w:cs="Arial"/>
                <w:b w:val="0"/>
                <w:bCs w:val="0"/>
                <w:noProof/>
                <w:webHidden/>
                <w:sz w:val="22"/>
                <w:szCs w:val="22"/>
              </w:rPr>
              <w:fldChar w:fldCharType="begin"/>
            </w:r>
            <w:r w:rsidRPr="0016653E">
              <w:rPr>
                <w:rFonts w:ascii="Arial" w:hAnsi="Arial" w:cs="Arial"/>
                <w:b w:val="0"/>
                <w:bCs w:val="0"/>
                <w:noProof/>
                <w:webHidden/>
                <w:sz w:val="22"/>
                <w:szCs w:val="22"/>
              </w:rPr>
              <w:instrText xml:space="preserve"> PAGEREF _Toc224992046 \h </w:instrText>
            </w:r>
            <w:r w:rsidRPr="0016653E">
              <w:rPr>
                <w:rFonts w:ascii="Arial" w:hAnsi="Arial" w:cs="Arial"/>
                <w:b w:val="0"/>
                <w:bCs w:val="0"/>
                <w:noProof/>
                <w:webHidden/>
                <w:sz w:val="22"/>
                <w:szCs w:val="22"/>
              </w:rPr>
            </w:r>
            <w:r w:rsidRPr="0016653E">
              <w:rPr>
                <w:rFonts w:ascii="Arial" w:hAnsi="Arial" w:cs="Arial"/>
                <w:b w:val="0"/>
                <w:bCs w:val="0"/>
                <w:noProof/>
                <w:webHidden/>
                <w:sz w:val="22"/>
                <w:szCs w:val="22"/>
              </w:rPr>
              <w:fldChar w:fldCharType="separate"/>
            </w:r>
            <w:r w:rsidRPr="0016653E">
              <w:rPr>
                <w:rFonts w:ascii="Arial" w:hAnsi="Arial" w:cs="Arial"/>
                <w:b w:val="0"/>
                <w:bCs w:val="0"/>
                <w:noProof/>
                <w:webHidden/>
                <w:sz w:val="22"/>
                <w:szCs w:val="22"/>
              </w:rPr>
              <w:t>4</w:t>
            </w:r>
            <w:r w:rsidRPr="0016653E">
              <w:rPr>
                <w:rFonts w:ascii="Arial" w:hAnsi="Arial" w:cs="Arial"/>
                <w:b w:val="0"/>
                <w:bCs w:val="0"/>
                <w:noProof/>
                <w:webHidden/>
                <w:sz w:val="22"/>
                <w:szCs w:val="22"/>
              </w:rPr>
              <w:fldChar w:fldCharType="end"/>
            </w:r>
          </w:hyperlink>
        </w:p>
        <w:p w14:paraId="2E98976E" w14:textId="77777777" w:rsidR="0016653E" w:rsidRPr="0016653E" w:rsidRDefault="0016653E" w:rsidP="0016653E">
          <w:pPr>
            <w:pStyle w:val="TOC1"/>
            <w:tabs>
              <w:tab w:val="right" w:leader="dot" w:pos="9016"/>
            </w:tabs>
            <w:jc w:val="both"/>
            <w:rPr>
              <w:rFonts w:ascii="Arial" w:eastAsiaTheme="minorEastAsia" w:hAnsi="Arial" w:cs="Arial"/>
              <w:b w:val="0"/>
              <w:bCs w:val="0"/>
              <w:noProof/>
              <w:sz w:val="22"/>
              <w:szCs w:val="22"/>
              <w:lang w:eastAsia="en-GB"/>
            </w:rPr>
          </w:pPr>
          <w:hyperlink w:anchor="_Toc224992047" w:history="1">
            <w:r w:rsidRPr="0016653E">
              <w:rPr>
                <w:rStyle w:val="Hyperlink"/>
                <w:rFonts w:ascii="Arial" w:hAnsi="Arial" w:cs="Arial"/>
                <w:b w:val="0"/>
                <w:bCs w:val="0"/>
                <w:noProof/>
                <w:sz w:val="22"/>
                <w:szCs w:val="22"/>
              </w:rPr>
              <w:t>Definition of PCC</w:t>
            </w:r>
            <w:r w:rsidRPr="0016653E">
              <w:rPr>
                <w:rFonts w:ascii="Arial" w:hAnsi="Arial" w:cs="Arial"/>
                <w:b w:val="0"/>
                <w:bCs w:val="0"/>
                <w:noProof/>
                <w:webHidden/>
                <w:sz w:val="22"/>
                <w:szCs w:val="22"/>
              </w:rPr>
              <w:tab/>
            </w:r>
            <w:r w:rsidRPr="0016653E">
              <w:rPr>
                <w:rFonts w:ascii="Arial" w:hAnsi="Arial" w:cs="Arial"/>
                <w:b w:val="0"/>
                <w:bCs w:val="0"/>
                <w:noProof/>
                <w:webHidden/>
                <w:sz w:val="22"/>
                <w:szCs w:val="22"/>
              </w:rPr>
              <w:fldChar w:fldCharType="begin"/>
            </w:r>
            <w:r w:rsidRPr="0016653E">
              <w:rPr>
                <w:rFonts w:ascii="Arial" w:hAnsi="Arial" w:cs="Arial"/>
                <w:b w:val="0"/>
                <w:bCs w:val="0"/>
                <w:noProof/>
                <w:webHidden/>
                <w:sz w:val="22"/>
                <w:szCs w:val="22"/>
              </w:rPr>
              <w:instrText xml:space="preserve"> PAGEREF _Toc224992047 \h </w:instrText>
            </w:r>
            <w:r w:rsidRPr="0016653E">
              <w:rPr>
                <w:rFonts w:ascii="Arial" w:hAnsi="Arial" w:cs="Arial"/>
                <w:b w:val="0"/>
                <w:bCs w:val="0"/>
                <w:noProof/>
                <w:webHidden/>
                <w:sz w:val="22"/>
                <w:szCs w:val="22"/>
              </w:rPr>
            </w:r>
            <w:r w:rsidRPr="0016653E">
              <w:rPr>
                <w:rFonts w:ascii="Arial" w:hAnsi="Arial" w:cs="Arial"/>
                <w:b w:val="0"/>
                <w:bCs w:val="0"/>
                <w:noProof/>
                <w:webHidden/>
                <w:sz w:val="22"/>
                <w:szCs w:val="22"/>
              </w:rPr>
              <w:fldChar w:fldCharType="separate"/>
            </w:r>
            <w:r w:rsidRPr="0016653E">
              <w:rPr>
                <w:rFonts w:ascii="Arial" w:hAnsi="Arial" w:cs="Arial"/>
                <w:b w:val="0"/>
                <w:bCs w:val="0"/>
                <w:noProof/>
                <w:webHidden/>
                <w:sz w:val="22"/>
                <w:szCs w:val="22"/>
              </w:rPr>
              <w:t>4</w:t>
            </w:r>
            <w:r w:rsidRPr="0016653E">
              <w:rPr>
                <w:rFonts w:ascii="Arial" w:hAnsi="Arial" w:cs="Arial"/>
                <w:b w:val="0"/>
                <w:bCs w:val="0"/>
                <w:noProof/>
                <w:webHidden/>
                <w:sz w:val="22"/>
                <w:szCs w:val="22"/>
              </w:rPr>
              <w:fldChar w:fldCharType="end"/>
            </w:r>
          </w:hyperlink>
        </w:p>
        <w:p w14:paraId="2EF627A9" w14:textId="77777777" w:rsidR="0016653E" w:rsidRPr="0016653E" w:rsidRDefault="0016653E" w:rsidP="0016653E">
          <w:pPr>
            <w:pStyle w:val="TOC1"/>
            <w:tabs>
              <w:tab w:val="right" w:leader="dot" w:pos="9016"/>
            </w:tabs>
            <w:jc w:val="both"/>
            <w:rPr>
              <w:rFonts w:ascii="Arial" w:eastAsiaTheme="minorEastAsia" w:hAnsi="Arial" w:cs="Arial"/>
              <w:b w:val="0"/>
              <w:bCs w:val="0"/>
              <w:noProof/>
              <w:sz w:val="22"/>
              <w:szCs w:val="22"/>
              <w:lang w:eastAsia="en-GB"/>
            </w:rPr>
          </w:pPr>
          <w:hyperlink w:anchor="_Toc224992048" w:history="1">
            <w:r w:rsidRPr="0016653E">
              <w:rPr>
                <w:rStyle w:val="Hyperlink"/>
                <w:rFonts w:ascii="Arial" w:hAnsi="Arial" w:cs="Arial"/>
                <w:b w:val="0"/>
                <w:bCs w:val="0"/>
                <w:noProof/>
                <w:sz w:val="22"/>
                <w:szCs w:val="22"/>
              </w:rPr>
              <w:t>Relevant Theories</w:t>
            </w:r>
            <w:r w:rsidRPr="0016653E">
              <w:rPr>
                <w:rFonts w:ascii="Arial" w:hAnsi="Arial" w:cs="Arial"/>
                <w:b w:val="0"/>
                <w:bCs w:val="0"/>
                <w:noProof/>
                <w:webHidden/>
                <w:sz w:val="22"/>
                <w:szCs w:val="22"/>
              </w:rPr>
              <w:tab/>
            </w:r>
            <w:r w:rsidRPr="0016653E">
              <w:rPr>
                <w:rFonts w:ascii="Arial" w:hAnsi="Arial" w:cs="Arial"/>
                <w:b w:val="0"/>
                <w:bCs w:val="0"/>
                <w:noProof/>
                <w:webHidden/>
                <w:sz w:val="22"/>
                <w:szCs w:val="22"/>
              </w:rPr>
              <w:fldChar w:fldCharType="begin"/>
            </w:r>
            <w:r w:rsidRPr="0016653E">
              <w:rPr>
                <w:rFonts w:ascii="Arial" w:hAnsi="Arial" w:cs="Arial"/>
                <w:b w:val="0"/>
                <w:bCs w:val="0"/>
                <w:noProof/>
                <w:webHidden/>
                <w:sz w:val="22"/>
                <w:szCs w:val="22"/>
              </w:rPr>
              <w:instrText xml:space="preserve"> PAGEREF _Toc224992048 \h </w:instrText>
            </w:r>
            <w:r w:rsidRPr="0016653E">
              <w:rPr>
                <w:rFonts w:ascii="Arial" w:hAnsi="Arial" w:cs="Arial"/>
                <w:b w:val="0"/>
                <w:bCs w:val="0"/>
                <w:noProof/>
                <w:webHidden/>
                <w:sz w:val="22"/>
                <w:szCs w:val="22"/>
              </w:rPr>
            </w:r>
            <w:r w:rsidRPr="0016653E">
              <w:rPr>
                <w:rFonts w:ascii="Arial" w:hAnsi="Arial" w:cs="Arial"/>
                <w:b w:val="0"/>
                <w:bCs w:val="0"/>
                <w:noProof/>
                <w:webHidden/>
                <w:sz w:val="22"/>
                <w:szCs w:val="22"/>
              </w:rPr>
              <w:fldChar w:fldCharType="separate"/>
            </w:r>
            <w:r w:rsidRPr="0016653E">
              <w:rPr>
                <w:rFonts w:ascii="Arial" w:hAnsi="Arial" w:cs="Arial"/>
                <w:b w:val="0"/>
                <w:bCs w:val="0"/>
                <w:noProof/>
                <w:webHidden/>
                <w:sz w:val="22"/>
                <w:szCs w:val="22"/>
              </w:rPr>
              <w:t>5</w:t>
            </w:r>
            <w:r w:rsidRPr="0016653E">
              <w:rPr>
                <w:rFonts w:ascii="Arial" w:hAnsi="Arial" w:cs="Arial"/>
                <w:b w:val="0"/>
                <w:bCs w:val="0"/>
                <w:noProof/>
                <w:webHidden/>
                <w:sz w:val="22"/>
                <w:szCs w:val="22"/>
              </w:rPr>
              <w:fldChar w:fldCharType="end"/>
            </w:r>
          </w:hyperlink>
        </w:p>
        <w:p w14:paraId="345C49EC" w14:textId="77777777" w:rsidR="0016653E" w:rsidRPr="0016653E" w:rsidRDefault="0016653E" w:rsidP="0016653E">
          <w:pPr>
            <w:pStyle w:val="TOC1"/>
            <w:tabs>
              <w:tab w:val="right" w:leader="dot" w:pos="9016"/>
            </w:tabs>
            <w:jc w:val="both"/>
            <w:rPr>
              <w:rFonts w:ascii="Arial" w:eastAsiaTheme="minorEastAsia" w:hAnsi="Arial" w:cs="Arial"/>
              <w:b w:val="0"/>
              <w:bCs w:val="0"/>
              <w:noProof/>
              <w:sz w:val="22"/>
              <w:szCs w:val="22"/>
              <w:lang w:eastAsia="en-GB"/>
            </w:rPr>
          </w:pPr>
          <w:hyperlink w:anchor="_Toc224992049" w:history="1">
            <w:r w:rsidRPr="0016653E">
              <w:rPr>
                <w:rStyle w:val="Hyperlink"/>
                <w:rFonts w:ascii="Arial" w:hAnsi="Arial" w:cs="Arial"/>
                <w:b w:val="0"/>
                <w:bCs w:val="0"/>
                <w:noProof/>
                <w:sz w:val="22"/>
                <w:szCs w:val="22"/>
              </w:rPr>
              <w:t>Ethical Fundamentals</w:t>
            </w:r>
            <w:r w:rsidRPr="0016653E">
              <w:rPr>
                <w:rFonts w:ascii="Arial" w:hAnsi="Arial" w:cs="Arial"/>
                <w:b w:val="0"/>
                <w:bCs w:val="0"/>
                <w:noProof/>
                <w:webHidden/>
                <w:sz w:val="22"/>
                <w:szCs w:val="22"/>
              </w:rPr>
              <w:tab/>
            </w:r>
            <w:r w:rsidRPr="0016653E">
              <w:rPr>
                <w:rFonts w:ascii="Arial" w:hAnsi="Arial" w:cs="Arial"/>
                <w:b w:val="0"/>
                <w:bCs w:val="0"/>
                <w:noProof/>
                <w:webHidden/>
                <w:sz w:val="22"/>
                <w:szCs w:val="22"/>
              </w:rPr>
              <w:fldChar w:fldCharType="begin"/>
            </w:r>
            <w:r w:rsidRPr="0016653E">
              <w:rPr>
                <w:rFonts w:ascii="Arial" w:hAnsi="Arial" w:cs="Arial"/>
                <w:b w:val="0"/>
                <w:bCs w:val="0"/>
                <w:noProof/>
                <w:webHidden/>
                <w:sz w:val="22"/>
                <w:szCs w:val="22"/>
              </w:rPr>
              <w:instrText xml:space="preserve"> PAGEREF _Toc224992049 \h </w:instrText>
            </w:r>
            <w:r w:rsidRPr="0016653E">
              <w:rPr>
                <w:rFonts w:ascii="Arial" w:hAnsi="Arial" w:cs="Arial"/>
                <w:b w:val="0"/>
                <w:bCs w:val="0"/>
                <w:noProof/>
                <w:webHidden/>
                <w:sz w:val="22"/>
                <w:szCs w:val="22"/>
              </w:rPr>
            </w:r>
            <w:r w:rsidRPr="0016653E">
              <w:rPr>
                <w:rFonts w:ascii="Arial" w:hAnsi="Arial" w:cs="Arial"/>
                <w:b w:val="0"/>
                <w:bCs w:val="0"/>
                <w:noProof/>
                <w:webHidden/>
                <w:sz w:val="22"/>
                <w:szCs w:val="22"/>
              </w:rPr>
              <w:fldChar w:fldCharType="separate"/>
            </w:r>
            <w:r w:rsidRPr="0016653E">
              <w:rPr>
                <w:rFonts w:ascii="Arial" w:hAnsi="Arial" w:cs="Arial"/>
                <w:b w:val="0"/>
                <w:bCs w:val="0"/>
                <w:noProof/>
                <w:webHidden/>
                <w:sz w:val="22"/>
                <w:szCs w:val="22"/>
              </w:rPr>
              <w:t>7</w:t>
            </w:r>
            <w:r w:rsidRPr="0016653E">
              <w:rPr>
                <w:rFonts w:ascii="Arial" w:hAnsi="Arial" w:cs="Arial"/>
                <w:b w:val="0"/>
                <w:bCs w:val="0"/>
                <w:noProof/>
                <w:webHidden/>
                <w:sz w:val="22"/>
                <w:szCs w:val="22"/>
              </w:rPr>
              <w:fldChar w:fldCharType="end"/>
            </w:r>
          </w:hyperlink>
        </w:p>
        <w:p w14:paraId="538CC02B" w14:textId="77777777" w:rsidR="0016653E" w:rsidRPr="0016653E" w:rsidRDefault="0016653E" w:rsidP="0016653E">
          <w:pPr>
            <w:pStyle w:val="TOC1"/>
            <w:tabs>
              <w:tab w:val="right" w:leader="dot" w:pos="9016"/>
            </w:tabs>
            <w:jc w:val="both"/>
            <w:rPr>
              <w:rFonts w:ascii="Arial" w:eastAsiaTheme="minorEastAsia" w:hAnsi="Arial" w:cs="Arial"/>
              <w:b w:val="0"/>
              <w:bCs w:val="0"/>
              <w:noProof/>
              <w:sz w:val="22"/>
              <w:szCs w:val="22"/>
              <w:lang w:eastAsia="en-GB"/>
            </w:rPr>
          </w:pPr>
          <w:hyperlink w:anchor="_Toc224992050" w:history="1">
            <w:r w:rsidRPr="0016653E">
              <w:rPr>
                <w:rStyle w:val="Hyperlink"/>
                <w:rFonts w:ascii="Arial" w:hAnsi="Arial" w:cs="Arial"/>
                <w:b w:val="0"/>
                <w:bCs w:val="0"/>
                <w:noProof/>
                <w:sz w:val="22"/>
                <w:szCs w:val="22"/>
              </w:rPr>
              <w:t>Evaluation of Partnership Working</w:t>
            </w:r>
            <w:r w:rsidRPr="0016653E">
              <w:rPr>
                <w:rFonts w:ascii="Arial" w:hAnsi="Arial" w:cs="Arial"/>
                <w:b w:val="0"/>
                <w:bCs w:val="0"/>
                <w:noProof/>
                <w:webHidden/>
                <w:sz w:val="22"/>
                <w:szCs w:val="22"/>
              </w:rPr>
              <w:tab/>
            </w:r>
            <w:r w:rsidRPr="0016653E">
              <w:rPr>
                <w:rFonts w:ascii="Arial" w:hAnsi="Arial" w:cs="Arial"/>
                <w:b w:val="0"/>
                <w:bCs w:val="0"/>
                <w:noProof/>
                <w:webHidden/>
                <w:sz w:val="22"/>
                <w:szCs w:val="22"/>
              </w:rPr>
              <w:fldChar w:fldCharType="begin"/>
            </w:r>
            <w:r w:rsidRPr="0016653E">
              <w:rPr>
                <w:rFonts w:ascii="Arial" w:hAnsi="Arial" w:cs="Arial"/>
                <w:b w:val="0"/>
                <w:bCs w:val="0"/>
                <w:noProof/>
                <w:webHidden/>
                <w:sz w:val="22"/>
                <w:szCs w:val="22"/>
              </w:rPr>
              <w:instrText xml:space="preserve"> PAGEREF _Toc224992050 \h </w:instrText>
            </w:r>
            <w:r w:rsidRPr="0016653E">
              <w:rPr>
                <w:rFonts w:ascii="Arial" w:hAnsi="Arial" w:cs="Arial"/>
                <w:b w:val="0"/>
                <w:bCs w:val="0"/>
                <w:noProof/>
                <w:webHidden/>
                <w:sz w:val="22"/>
                <w:szCs w:val="22"/>
              </w:rPr>
            </w:r>
            <w:r w:rsidRPr="0016653E">
              <w:rPr>
                <w:rFonts w:ascii="Arial" w:hAnsi="Arial" w:cs="Arial"/>
                <w:b w:val="0"/>
                <w:bCs w:val="0"/>
                <w:noProof/>
                <w:webHidden/>
                <w:sz w:val="22"/>
                <w:szCs w:val="22"/>
              </w:rPr>
              <w:fldChar w:fldCharType="separate"/>
            </w:r>
            <w:r w:rsidRPr="0016653E">
              <w:rPr>
                <w:rFonts w:ascii="Arial" w:hAnsi="Arial" w:cs="Arial"/>
                <w:b w:val="0"/>
                <w:bCs w:val="0"/>
                <w:noProof/>
                <w:webHidden/>
                <w:sz w:val="22"/>
                <w:szCs w:val="22"/>
              </w:rPr>
              <w:t>7</w:t>
            </w:r>
            <w:r w:rsidRPr="0016653E">
              <w:rPr>
                <w:rFonts w:ascii="Arial" w:hAnsi="Arial" w:cs="Arial"/>
                <w:b w:val="0"/>
                <w:bCs w:val="0"/>
                <w:noProof/>
                <w:webHidden/>
                <w:sz w:val="22"/>
                <w:szCs w:val="22"/>
              </w:rPr>
              <w:fldChar w:fldCharType="end"/>
            </w:r>
          </w:hyperlink>
        </w:p>
        <w:p w14:paraId="59B51EDE" w14:textId="77777777" w:rsidR="0016653E" w:rsidRPr="0016653E" w:rsidRDefault="0016653E" w:rsidP="0016653E">
          <w:pPr>
            <w:pStyle w:val="TOC1"/>
            <w:tabs>
              <w:tab w:val="right" w:leader="dot" w:pos="9016"/>
            </w:tabs>
            <w:jc w:val="both"/>
            <w:rPr>
              <w:rFonts w:ascii="Arial" w:eastAsiaTheme="minorEastAsia" w:hAnsi="Arial" w:cs="Arial"/>
              <w:b w:val="0"/>
              <w:bCs w:val="0"/>
              <w:noProof/>
              <w:sz w:val="22"/>
              <w:szCs w:val="22"/>
              <w:lang w:eastAsia="en-GB"/>
            </w:rPr>
          </w:pPr>
          <w:hyperlink w:anchor="_Toc224992051" w:history="1">
            <w:r w:rsidRPr="0016653E">
              <w:rPr>
                <w:rStyle w:val="Hyperlink"/>
                <w:rFonts w:ascii="Arial" w:hAnsi="Arial" w:cs="Arial"/>
                <w:b w:val="0"/>
                <w:bCs w:val="0"/>
                <w:noProof/>
                <w:sz w:val="22"/>
                <w:szCs w:val="22"/>
              </w:rPr>
              <w:t>Policy and Legislation</w:t>
            </w:r>
            <w:r w:rsidRPr="0016653E">
              <w:rPr>
                <w:rFonts w:ascii="Arial" w:hAnsi="Arial" w:cs="Arial"/>
                <w:b w:val="0"/>
                <w:bCs w:val="0"/>
                <w:noProof/>
                <w:webHidden/>
                <w:sz w:val="22"/>
                <w:szCs w:val="22"/>
              </w:rPr>
              <w:tab/>
            </w:r>
            <w:r w:rsidRPr="0016653E">
              <w:rPr>
                <w:rFonts w:ascii="Arial" w:hAnsi="Arial" w:cs="Arial"/>
                <w:b w:val="0"/>
                <w:bCs w:val="0"/>
                <w:noProof/>
                <w:webHidden/>
                <w:sz w:val="22"/>
                <w:szCs w:val="22"/>
              </w:rPr>
              <w:fldChar w:fldCharType="begin"/>
            </w:r>
            <w:r w:rsidRPr="0016653E">
              <w:rPr>
                <w:rFonts w:ascii="Arial" w:hAnsi="Arial" w:cs="Arial"/>
                <w:b w:val="0"/>
                <w:bCs w:val="0"/>
                <w:noProof/>
                <w:webHidden/>
                <w:sz w:val="22"/>
                <w:szCs w:val="22"/>
              </w:rPr>
              <w:instrText xml:space="preserve"> PAGEREF _Toc224992051 \h </w:instrText>
            </w:r>
            <w:r w:rsidRPr="0016653E">
              <w:rPr>
                <w:rFonts w:ascii="Arial" w:hAnsi="Arial" w:cs="Arial"/>
                <w:b w:val="0"/>
                <w:bCs w:val="0"/>
                <w:noProof/>
                <w:webHidden/>
                <w:sz w:val="22"/>
                <w:szCs w:val="22"/>
              </w:rPr>
            </w:r>
            <w:r w:rsidRPr="0016653E">
              <w:rPr>
                <w:rFonts w:ascii="Arial" w:hAnsi="Arial" w:cs="Arial"/>
                <w:b w:val="0"/>
                <w:bCs w:val="0"/>
                <w:noProof/>
                <w:webHidden/>
                <w:sz w:val="22"/>
                <w:szCs w:val="22"/>
              </w:rPr>
              <w:fldChar w:fldCharType="separate"/>
            </w:r>
            <w:r w:rsidRPr="0016653E">
              <w:rPr>
                <w:rFonts w:ascii="Arial" w:hAnsi="Arial" w:cs="Arial"/>
                <w:b w:val="0"/>
                <w:bCs w:val="0"/>
                <w:noProof/>
                <w:webHidden/>
                <w:sz w:val="22"/>
                <w:szCs w:val="22"/>
              </w:rPr>
              <w:t>8</w:t>
            </w:r>
            <w:r w:rsidRPr="0016653E">
              <w:rPr>
                <w:rFonts w:ascii="Arial" w:hAnsi="Arial" w:cs="Arial"/>
                <w:b w:val="0"/>
                <w:bCs w:val="0"/>
                <w:noProof/>
                <w:webHidden/>
                <w:sz w:val="22"/>
                <w:szCs w:val="22"/>
              </w:rPr>
              <w:fldChar w:fldCharType="end"/>
            </w:r>
          </w:hyperlink>
        </w:p>
        <w:p w14:paraId="146DFE0C" w14:textId="77777777" w:rsidR="0016653E" w:rsidRPr="0016653E" w:rsidRDefault="0016653E" w:rsidP="0016653E">
          <w:pPr>
            <w:pStyle w:val="TOC1"/>
            <w:tabs>
              <w:tab w:val="right" w:leader="dot" w:pos="9016"/>
            </w:tabs>
            <w:jc w:val="both"/>
            <w:rPr>
              <w:rFonts w:ascii="Arial" w:eastAsiaTheme="minorEastAsia" w:hAnsi="Arial" w:cs="Arial"/>
              <w:b w:val="0"/>
              <w:bCs w:val="0"/>
              <w:noProof/>
              <w:sz w:val="22"/>
              <w:szCs w:val="22"/>
              <w:lang w:eastAsia="en-GB"/>
            </w:rPr>
          </w:pPr>
          <w:hyperlink w:anchor="_Toc224992052" w:history="1">
            <w:r w:rsidRPr="0016653E">
              <w:rPr>
                <w:rStyle w:val="Hyperlink"/>
                <w:rFonts w:ascii="Arial" w:hAnsi="Arial" w:cs="Arial"/>
                <w:b w:val="0"/>
                <w:bCs w:val="0"/>
                <w:noProof/>
                <w:sz w:val="22"/>
                <w:szCs w:val="22"/>
              </w:rPr>
              <w:t>Recommendations</w:t>
            </w:r>
            <w:r w:rsidRPr="0016653E">
              <w:rPr>
                <w:rFonts w:ascii="Arial" w:hAnsi="Arial" w:cs="Arial"/>
                <w:b w:val="0"/>
                <w:bCs w:val="0"/>
                <w:noProof/>
                <w:webHidden/>
                <w:sz w:val="22"/>
                <w:szCs w:val="22"/>
              </w:rPr>
              <w:tab/>
            </w:r>
            <w:r w:rsidRPr="0016653E">
              <w:rPr>
                <w:rFonts w:ascii="Arial" w:hAnsi="Arial" w:cs="Arial"/>
                <w:b w:val="0"/>
                <w:bCs w:val="0"/>
                <w:noProof/>
                <w:webHidden/>
                <w:sz w:val="22"/>
                <w:szCs w:val="22"/>
              </w:rPr>
              <w:fldChar w:fldCharType="begin"/>
            </w:r>
            <w:r w:rsidRPr="0016653E">
              <w:rPr>
                <w:rFonts w:ascii="Arial" w:hAnsi="Arial" w:cs="Arial"/>
                <w:b w:val="0"/>
                <w:bCs w:val="0"/>
                <w:noProof/>
                <w:webHidden/>
                <w:sz w:val="22"/>
                <w:szCs w:val="22"/>
              </w:rPr>
              <w:instrText xml:space="preserve"> PAGEREF _Toc224992052 \h </w:instrText>
            </w:r>
            <w:r w:rsidRPr="0016653E">
              <w:rPr>
                <w:rFonts w:ascii="Arial" w:hAnsi="Arial" w:cs="Arial"/>
                <w:b w:val="0"/>
                <w:bCs w:val="0"/>
                <w:noProof/>
                <w:webHidden/>
                <w:sz w:val="22"/>
                <w:szCs w:val="22"/>
              </w:rPr>
            </w:r>
            <w:r w:rsidRPr="0016653E">
              <w:rPr>
                <w:rFonts w:ascii="Arial" w:hAnsi="Arial" w:cs="Arial"/>
                <w:b w:val="0"/>
                <w:bCs w:val="0"/>
                <w:noProof/>
                <w:webHidden/>
                <w:sz w:val="22"/>
                <w:szCs w:val="22"/>
              </w:rPr>
              <w:fldChar w:fldCharType="separate"/>
            </w:r>
            <w:r w:rsidRPr="0016653E">
              <w:rPr>
                <w:rFonts w:ascii="Arial" w:hAnsi="Arial" w:cs="Arial"/>
                <w:b w:val="0"/>
                <w:bCs w:val="0"/>
                <w:noProof/>
                <w:webHidden/>
                <w:sz w:val="22"/>
                <w:szCs w:val="22"/>
              </w:rPr>
              <w:t>9</w:t>
            </w:r>
            <w:r w:rsidRPr="0016653E">
              <w:rPr>
                <w:rFonts w:ascii="Arial" w:hAnsi="Arial" w:cs="Arial"/>
                <w:b w:val="0"/>
                <w:bCs w:val="0"/>
                <w:noProof/>
                <w:webHidden/>
                <w:sz w:val="22"/>
                <w:szCs w:val="22"/>
              </w:rPr>
              <w:fldChar w:fldCharType="end"/>
            </w:r>
          </w:hyperlink>
        </w:p>
        <w:p w14:paraId="5AB7CC34" w14:textId="77777777" w:rsidR="0016653E" w:rsidRPr="0016653E" w:rsidRDefault="0016653E" w:rsidP="0016653E">
          <w:pPr>
            <w:pStyle w:val="TOC1"/>
            <w:tabs>
              <w:tab w:val="right" w:leader="dot" w:pos="9016"/>
            </w:tabs>
            <w:jc w:val="both"/>
            <w:rPr>
              <w:rFonts w:ascii="Arial" w:eastAsiaTheme="minorEastAsia" w:hAnsi="Arial" w:cs="Arial"/>
              <w:b w:val="0"/>
              <w:bCs w:val="0"/>
              <w:noProof/>
              <w:sz w:val="22"/>
              <w:szCs w:val="22"/>
              <w:lang w:eastAsia="en-GB"/>
            </w:rPr>
          </w:pPr>
          <w:hyperlink w:anchor="_Toc224992053" w:history="1">
            <w:r w:rsidRPr="0016653E">
              <w:rPr>
                <w:rStyle w:val="Hyperlink"/>
                <w:rFonts w:ascii="Arial" w:hAnsi="Arial" w:cs="Arial"/>
                <w:b w:val="0"/>
                <w:bCs w:val="0"/>
                <w:noProof/>
                <w:sz w:val="22"/>
                <w:szCs w:val="22"/>
              </w:rPr>
              <w:t>Conclusion</w:t>
            </w:r>
            <w:r w:rsidRPr="0016653E">
              <w:rPr>
                <w:rFonts w:ascii="Arial" w:hAnsi="Arial" w:cs="Arial"/>
                <w:b w:val="0"/>
                <w:bCs w:val="0"/>
                <w:noProof/>
                <w:webHidden/>
                <w:sz w:val="22"/>
                <w:szCs w:val="22"/>
              </w:rPr>
              <w:tab/>
            </w:r>
            <w:r w:rsidRPr="0016653E">
              <w:rPr>
                <w:rFonts w:ascii="Arial" w:hAnsi="Arial" w:cs="Arial"/>
                <w:b w:val="0"/>
                <w:bCs w:val="0"/>
                <w:noProof/>
                <w:webHidden/>
                <w:sz w:val="22"/>
                <w:szCs w:val="22"/>
              </w:rPr>
              <w:fldChar w:fldCharType="begin"/>
            </w:r>
            <w:r w:rsidRPr="0016653E">
              <w:rPr>
                <w:rFonts w:ascii="Arial" w:hAnsi="Arial" w:cs="Arial"/>
                <w:b w:val="0"/>
                <w:bCs w:val="0"/>
                <w:noProof/>
                <w:webHidden/>
                <w:sz w:val="22"/>
                <w:szCs w:val="22"/>
              </w:rPr>
              <w:instrText xml:space="preserve"> PAGEREF _Toc224992053 \h </w:instrText>
            </w:r>
            <w:r w:rsidRPr="0016653E">
              <w:rPr>
                <w:rFonts w:ascii="Arial" w:hAnsi="Arial" w:cs="Arial"/>
                <w:b w:val="0"/>
                <w:bCs w:val="0"/>
                <w:noProof/>
                <w:webHidden/>
                <w:sz w:val="22"/>
                <w:szCs w:val="22"/>
              </w:rPr>
            </w:r>
            <w:r w:rsidRPr="0016653E">
              <w:rPr>
                <w:rFonts w:ascii="Arial" w:hAnsi="Arial" w:cs="Arial"/>
                <w:b w:val="0"/>
                <w:bCs w:val="0"/>
                <w:noProof/>
                <w:webHidden/>
                <w:sz w:val="22"/>
                <w:szCs w:val="22"/>
              </w:rPr>
              <w:fldChar w:fldCharType="separate"/>
            </w:r>
            <w:r w:rsidRPr="0016653E">
              <w:rPr>
                <w:rFonts w:ascii="Arial" w:hAnsi="Arial" w:cs="Arial"/>
                <w:b w:val="0"/>
                <w:bCs w:val="0"/>
                <w:noProof/>
                <w:webHidden/>
                <w:sz w:val="22"/>
                <w:szCs w:val="22"/>
              </w:rPr>
              <w:t>10</w:t>
            </w:r>
            <w:r w:rsidRPr="0016653E">
              <w:rPr>
                <w:rFonts w:ascii="Arial" w:hAnsi="Arial" w:cs="Arial"/>
                <w:b w:val="0"/>
                <w:bCs w:val="0"/>
                <w:noProof/>
                <w:webHidden/>
                <w:sz w:val="22"/>
                <w:szCs w:val="22"/>
              </w:rPr>
              <w:fldChar w:fldCharType="end"/>
            </w:r>
          </w:hyperlink>
        </w:p>
        <w:p w14:paraId="5821C96C" w14:textId="77777777" w:rsidR="0016653E" w:rsidRPr="0016653E" w:rsidRDefault="0016653E" w:rsidP="0016653E">
          <w:pPr>
            <w:pStyle w:val="TOC1"/>
            <w:tabs>
              <w:tab w:val="right" w:leader="dot" w:pos="9016"/>
            </w:tabs>
            <w:jc w:val="both"/>
            <w:rPr>
              <w:rFonts w:ascii="Arial" w:eastAsiaTheme="minorEastAsia" w:hAnsi="Arial" w:cs="Arial"/>
              <w:b w:val="0"/>
              <w:bCs w:val="0"/>
              <w:noProof/>
              <w:sz w:val="22"/>
              <w:szCs w:val="22"/>
              <w:lang w:eastAsia="en-GB"/>
            </w:rPr>
          </w:pPr>
          <w:hyperlink w:anchor="_Toc224992054" w:history="1">
            <w:r w:rsidRPr="0016653E">
              <w:rPr>
                <w:rStyle w:val="Hyperlink"/>
                <w:rFonts w:ascii="Arial" w:hAnsi="Arial" w:cs="Arial"/>
                <w:b w:val="0"/>
                <w:bCs w:val="0"/>
                <w:noProof/>
                <w:sz w:val="22"/>
                <w:szCs w:val="22"/>
              </w:rPr>
              <w:t>References</w:t>
            </w:r>
            <w:r w:rsidRPr="0016653E">
              <w:rPr>
                <w:rFonts w:ascii="Arial" w:hAnsi="Arial" w:cs="Arial"/>
                <w:b w:val="0"/>
                <w:bCs w:val="0"/>
                <w:noProof/>
                <w:webHidden/>
                <w:sz w:val="22"/>
                <w:szCs w:val="22"/>
              </w:rPr>
              <w:tab/>
            </w:r>
            <w:r w:rsidRPr="0016653E">
              <w:rPr>
                <w:rFonts w:ascii="Arial" w:hAnsi="Arial" w:cs="Arial"/>
                <w:b w:val="0"/>
                <w:bCs w:val="0"/>
                <w:noProof/>
                <w:webHidden/>
                <w:sz w:val="22"/>
                <w:szCs w:val="22"/>
              </w:rPr>
              <w:fldChar w:fldCharType="begin"/>
            </w:r>
            <w:r w:rsidRPr="0016653E">
              <w:rPr>
                <w:rFonts w:ascii="Arial" w:hAnsi="Arial" w:cs="Arial"/>
                <w:b w:val="0"/>
                <w:bCs w:val="0"/>
                <w:noProof/>
                <w:webHidden/>
                <w:sz w:val="22"/>
                <w:szCs w:val="22"/>
              </w:rPr>
              <w:instrText xml:space="preserve"> PAGEREF _Toc224992054 \h </w:instrText>
            </w:r>
            <w:r w:rsidRPr="0016653E">
              <w:rPr>
                <w:rFonts w:ascii="Arial" w:hAnsi="Arial" w:cs="Arial"/>
                <w:b w:val="0"/>
                <w:bCs w:val="0"/>
                <w:noProof/>
                <w:webHidden/>
                <w:sz w:val="22"/>
                <w:szCs w:val="22"/>
              </w:rPr>
            </w:r>
            <w:r w:rsidRPr="0016653E">
              <w:rPr>
                <w:rFonts w:ascii="Arial" w:hAnsi="Arial" w:cs="Arial"/>
                <w:b w:val="0"/>
                <w:bCs w:val="0"/>
                <w:noProof/>
                <w:webHidden/>
                <w:sz w:val="22"/>
                <w:szCs w:val="22"/>
              </w:rPr>
              <w:fldChar w:fldCharType="separate"/>
            </w:r>
            <w:r w:rsidRPr="0016653E">
              <w:rPr>
                <w:rFonts w:ascii="Arial" w:hAnsi="Arial" w:cs="Arial"/>
                <w:b w:val="0"/>
                <w:bCs w:val="0"/>
                <w:noProof/>
                <w:webHidden/>
                <w:sz w:val="22"/>
                <w:szCs w:val="22"/>
              </w:rPr>
              <w:t>11</w:t>
            </w:r>
            <w:r w:rsidRPr="0016653E">
              <w:rPr>
                <w:rFonts w:ascii="Arial" w:hAnsi="Arial" w:cs="Arial"/>
                <w:b w:val="0"/>
                <w:bCs w:val="0"/>
                <w:noProof/>
                <w:webHidden/>
                <w:sz w:val="22"/>
                <w:szCs w:val="22"/>
              </w:rPr>
              <w:fldChar w:fldCharType="end"/>
            </w:r>
          </w:hyperlink>
        </w:p>
        <w:p w14:paraId="2339089B" w14:textId="77777777" w:rsidR="0016653E" w:rsidRDefault="00760C78" w:rsidP="0016653E">
          <w:r w:rsidRPr="0016653E">
            <w:rPr>
              <w:rFonts w:cs="Arial"/>
              <w:noProof/>
              <w:szCs w:val="22"/>
            </w:rPr>
            <w:fldChar w:fldCharType="end"/>
          </w:r>
        </w:p>
      </w:sdtContent>
    </w:sdt>
    <w:p w14:paraId="5E0BEA03" w14:textId="77777777" w:rsidR="0016653E" w:rsidRDefault="00760C78">
      <w:pPr>
        <w:spacing w:line="278" w:lineRule="auto"/>
        <w:jc w:val="left"/>
        <w:rPr>
          <w:b/>
          <w:bCs/>
          <w:sz w:val="24"/>
          <w:szCs w:val="28"/>
          <w:lang w:val="en-US"/>
        </w:rPr>
      </w:pPr>
      <w:r>
        <w:br w:type="page"/>
      </w:r>
    </w:p>
    <w:p w14:paraId="0A1D6EC7" w14:textId="77777777" w:rsidR="00605824" w:rsidRDefault="00760C78" w:rsidP="0016653E">
      <w:pPr>
        <w:pStyle w:val="Heading1"/>
      </w:pPr>
      <w:bookmarkStart w:id="1" w:name="_Toc224992046"/>
      <w:r>
        <w:t>Introduction</w:t>
      </w:r>
      <w:bookmarkEnd w:id="1"/>
    </w:p>
    <w:p w14:paraId="262F7B2C" w14:textId="77777777" w:rsidR="004C55D3" w:rsidRDefault="00760C78" w:rsidP="004C55D3">
      <w:r w:rsidRPr="00EE4AF2">
        <w:t>Person-centred care (PCC) is one of the primary practices of health and social care, in which decisions are made concerning the individual; care is respectful of their preferences, needs, and values (Santana et al., 2018). The concept of partnership working (PW) describes the relationship between a professional, an organisation, service users and families that integrates into coordinated and effective care (Glasby, 2017). The two concepts play a critical role in enhancing service quality and realising excellent health outcomes. This report seeks to critically assess PCC and PW with reference to their theoretical background, ethical considerations and how they can be implemented in health and social care practice. The report will examine the advantages and drawbacks of PCC, discuss the applicable underpinning theories, determine ethical principles, and discuss the role and effects of partnership working. The report will be based in a hospital context, and this will serve as a practical example of how PCC and PW can be applied in the real-life health care setup.</w:t>
      </w:r>
    </w:p>
    <w:p w14:paraId="06950747" w14:textId="77777777" w:rsidR="00EE4AF2" w:rsidRDefault="00760C78" w:rsidP="00EE4AF2">
      <w:pPr>
        <w:jc w:val="center"/>
      </w:pPr>
      <w:r>
        <w:rPr>
          <w:noProof/>
        </w:rPr>
        <w:drawing>
          <wp:inline distT="0" distB="0" distL="0" distR="0" wp14:anchorId="5880EB22" wp14:editId="64C96CB0">
            <wp:extent cx="4573436" cy="3432357"/>
            <wp:effectExtent l="0" t="0" r="0" b="0"/>
            <wp:docPr id="1856445853" name="Picture 4" descr="What is Person-Centred Care (PCC)? | Gert Koekemoer posted on the topic |  Linked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6445853" name="Picture 11" descr="What is Person-Centred Care (PCC)? | Gert Koekemoer posted on the topic |  LinkedIn"/>
                    <pic:cNvPicPr>
                      <a:picLocks noChangeAspect="1" noChangeArrowheads="1"/>
                    </pic:cNvPicPr>
                  </pic:nvPicPr>
                  <pic:blipFill>
                    <a:blip r:embed="rId8" r:link="rId9">
                      <a:extLst>
                        <a:ext uri="{28A0092B-C50C-407E-A947-70E740481C1C}">
                          <a14:useLocalDpi xmlns:a14="http://schemas.microsoft.com/office/drawing/2010/main" val="0"/>
                        </a:ext>
                      </a:extLst>
                    </a:blip>
                    <a:stretch>
                      <a:fillRect/>
                    </a:stretch>
                  </pic:blipFill>
                  <pic:spPr bwMode="auto">
                    <a:xfrm>
                      <a:off x="0" y="0"/>
                      <a:ext cx="4589911" cy="3444722"/>
                    </a:xfrm>
                    <a:prstGeom prst="rect">
                      <a:avLst/>
                    </a:prstGeom>
                    <a:noFill/>
                    <a:ln>
                      <a:noFill/>
                    </a:ln>
                  </pic:spPr>
                </pic:pic>
              </a:graphicData>
            </a:graphic>
          </wp:inline>
        </w:drawing>
      </w:r>
    </w:p>
    <w:p w14:paraId="1E44DC6D" w14:textId="77777777" w:rsidR="00EE4AF2" w:rsidRDefault="00760C78" w:rsidP="00EE4AF2">
      <w:pPr>
        <w:jc w:val="center"/>
        <w:rPr>
          <w:b/>
          <w:bCs/>
        </w:rPr>
      </w:pPr>
      <w:r>
        <w:rPr>
          <w:b/>
          <w:bCs/>
        </w:rPr>
        <w:t>Figure 1: PCC</w:t>
      </w:r>
    </w:p>
    <w:p w14:paraId="52C90CD3" w14:textId="77777777" w:rsidR="00EE4AF2" w:rsidRPr="00EE4AF2" w:rsidRDefault="00760C78" w:rsidP="00EE4AF2">
      <w:pPr>
        <w:jc w:val="center"/>
      </w:pPr>
      <w:r>
        <w:t xml:space="preserve">Source: </w:t>
      </w:r>
      <w:r w:rsidRPr="00EE4AF2">
        <w:t>(</w:t>
      </w:r>
      <w:proofErr w:type="spellStart"/>
      <w:r w:rsidRPr="00EE4AF2">
        <w:t>Koekemoer</w:t>
      </w:r>
      <w:proofErr w:type="spellEnd"/>
      <w:r w:rsidRPr="00EE4AF2">
        <w:t>, 2024)</w:t>
      </w:r>
    </w:p>
    <w:p w14:paraId="05FDE295" w14:textId="77777777" w:rsidR="004C55D3" w:rsidRDefault="00760C78" w:rsidP="0016653E">
      <w:pPr>
        <w:pStyle w:val="Heading1"/>
      </w:pPr>
      <w:bookmarkStart w:id="2" w:name="_Toc224992047"/>
      <w:r w:rsidRPr="004C55D3">
        <w:t>Definition of PCC</w:t>
      </w:r>
      <w:bookmarkEnd w:id="2"/>
    </w:p>
    <w:p w14:paraId="77EA1F21" w14:textId="77777777" w:rsidR="004C55D3" w:rsidRDefault="00760C78" w:rsidP="004C55D3">
      <w:r w:rsidRPr="004C55D3">
        <w:t>Person-centred care (PCC) is defined as an approach that places the individual at the core of healthcare delivery, ensuring that care is respectful of and responsive to a person’s preferences, needs, and values, and that these values guide all clinical decisions (</w:t>
      </w:r>
      <w:r w:rsidR="00EE4AF2" w:rsidRPr="00EE4AF2">
        <w:t>Byrne, Baldwin, and Harvey</w:t>
      </w:r>
      <w:r w:rsidR="00EE4AF2">
        <w:t>,</w:t>
      </w:r>
      <w:r w:rsidR="00EE4AF2" w:rsidRPr="00EE4AF2">
        <w:t xml:space="preserve"> 2020</w:t>
      </w:r>
      <w:r w:rsidRPr="004C55D3">
        <w:t>). It emphasises dignity, autonomy, and active involvement of patients in their own care, moving away from a purely medical model toward a holistic approach.</w:t>
      </w:r>
      <w:r w:rsidR="0016653E">
        <w:t xml:space="preserve"> </w:t>
      </w:r>
      <w:r w:rsidR="00EE4AF2" w:rsidRPr="00EE4AF2">
        <w:t>A fundamental benefit of person-centred care is the recognition and respect for the individuality of each resident</w:t>
      </w:r>
      <w:r w:rsidR="00EE4AF2">
        <w:t xml:space="preserve"> (Hughes, 2025)</w:t>
      </w:r>
      <w:r w:rsidRPr="004C55D3">
        <w:t>. It also enhances communication between patients and healthcare professionals, leading to safer and more effective care. In a hospital setting, PCC can result in reduced hospital stays and improved recovery rates.</w:t>
      </w:r>
      <w:r w:rsidR="0016653E">
        <w:t xml:space="preserve"> </w:t>
      </w:r>
      <w:r w:rsidRPr="004C55D3">
        <w:t>However, PCC also has limitations. It can be resource-intensive, requiring more time, staff training, and organisational support. Additionally, resistance to change among healthcare professionals and institutional barriers can hinder its implementation. In hospital environments, high patient loads and time pressures may limit the consistent application of PCC principles.</w:t>
      </w:r>
    </w:p>
    <w:p w14:paraId="6BB92D3F" w14:textId="77777777" w:rsidR="00133B1F" w:rsidRDefault="00760C78" w:rsidP="00133B1F">
      <w:pPr>
        <w:jc w:val="center"/>
      </w:pPr>
      <w:r w:rsidRPr="00133B1F">
        <w:rPr>
          <w:noProof/>
        </w:rPr>
        <w:drawing>
          <wp:inline distT="0" distB="0" distL="0" distR="0" wp14:anchorId="1E5B8703" wp14:editId="38574738">
            <wp:extent cx="3104183" cy="3826850"/>
            <wp:effectExtent l="0" t="0" r="0" b="0"/>
            <wp:docPr id="9069486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6948688" name=""/>
                    <pic:cNvPicPr/>
                  </pic:nvPicPr>
                  <pic:blipFill>
                    <a:blip r:embed="rId10"/>
                    <a:stretch>
                      <a:fillRect/>
                    </a:stretch>
                  </pic:blipFill>
                  <pic:spPr>
                    <a:xfrm>
                      <a:off x="0" y="0"/>
                      <a:ext cx="3122578" cy="3849527"/>
                    </a:xfrm>
                    <a:prstGeom prst="rect">
                      <a:avLst/>
                    </a:prstGeom>
                  </pic:spPr>
                </pic:pic>
              </a:graphicData>
            </a:graphic>
          </wp:inline>
        </w:drawing>
      </w:r>
    </w:p>
    <w:p w14:paraId="3A09B842" w14:textId="77777777" w:rsidR="00133B1F" w:rsidRDefault="00760C78" w:rsidP="00133B1F">
      <w:pPr>
        <w:jc w:val="center"/>
        <w:rPr>
          <w:b/>
          <w:bCs/>
        </w:rPr>
      </w:pPr>
      <w:r>
        <w:rPr>
          <w:b/>
          <w:bCs/>
        </w:rPr>
        <w:t>Figure 2: Principles of person-centred care</w:t>
      </w:r>
    </w:p>
    <w:p w14:paraId="21EE84E2" w14:textId="77777777" w:rsidR="00133B1F" w:rsidRPr="00133B1F" w:rsidRDefault="00760C78" w:rsidP="00133B1F">
      <w:pPr>
        <w:jc w:val="center"/>
      </w:pPr>
      <w:r>
        <w:t>Source: (Skills for Health, 2025)</w:t>
      </w:r>
    </w:p>
    <w:p w14:paraId="566CA1D3" w14:textId="77777777" w:rsidR="004C55D3" w:rsidRDefault="00760C78" w:rsidP="0016653E">
      <w:pPr>
        <w:pStyle w:val="Heading1"/>
      </w:pPr>
      <w:bookmarkStart w:id="3" w:name="_Toc224992048"/>
      <w:r w:rsidRPr="004C55D3">
        <w:t>Relevant Theories</w:t>
      </w:r>
      <w:bookmarkEnd w:id="3"/>
    </w:p>
    <w:p w14:paraId="2088FFAF" w14:textId="77777777" w:rsidR="004C55D3" w:rsidRDefault="00760C78" w:rsidP="00133B1F">
      <w:r w:rsidRPr="00133B1F">
        <w:t xml:space="preserve">Person-centred care (PCC) has several theoretical frameworks, which give it a conceptual foundation on which it applies. </w:t>
      </w:r>
      <w:proofErr w:type="spellStart"/>
      <w:r w:rsidRPr="00133B1F">
        <w:t>Kitwood's</w:t>
      </w:r>
      <w:proofErr w:type="spellEnd"/>
      <w:r w:rsidRPr="00133B1F">
        <w:t xml:space="preserve"> theory of personhood is one of the most influential, and it focuses on the reality that people, especially those with dementia, should be seen as individual persons with values, feelings, and social identities (Kelly et al., 2023). This theory advocates PCC because it encourages dignity, respect, and personalised care as opposed to the task-centred methods. The other important framework is that of Maslow's hierarchy of needs, and it emphasises the fact that people have stratified needs that start with physiological and proceed to self-actualisation. PCC fits well with this as it makes sure that care is not limited to the physical aspects, but also the psychological and emotional aspects. Also, the PCC is holistic because it incorporates the biological, psychological and social aspects in the Biopsychosocial model (Engel, 1977). The biopsychosocial model of health and wellness incorporates the biological, psychological, and social factors in order to treat patients (</w:t>
      </w:r>
      <w:proofErr w:type="spellStart"/>
      <w:r w:rsidRPr="00133B1F">
        <w:t>Marschall</w:t>
      </w:r>
      <w:proofErr w:type="spellEnd"/>
      <w:r w:rsidRPr="00133B1F">
        <w:t>, 2025).</w:t>
      </w:r>
    </w:p>
    <w:p w14:paraId="42C5A2DB" w14:textId="77777777" w:rsidR="00133B1F" w:rsidRDefault="00760C78" w:rsidP="00133B1F">
      <w:pPr>
        <w:jc w:val="center"/>
      </w:pPr>
      <w:r>
        <w:rPr>
          <w:noProof/>
        </w:rPr>
        <w:drawing>
          <wp:inline distT="0" distB="0" distL="0" distR="0" wp14:anchorId="075413FA" wp14:editId="3F8F0F20">
            <wp:extent cx="4536001" cy="3503767"/>
            <wp:effectExtent l="0" t="0" r="0" b="1905"/>
            <wp:docPr id="513255323" name="Picture 5" descr="Three Aspects of Health and Healing: The Biopsychosocial Model in Medicine  | Department of Surgery | Washington University in St. Lou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3255323" name="Picture 13" descr="Three Aspects of Health and Healing: The Biopsychosocial Model in Medicine  | Department of Surgery | Washington University in St. Louis"/>
                    <pic:cNvPicPr>
                      <a:picLocks noChangeAspect="1" noChangeArrowheads="1"/>
                    </pic:cNvPicPr>
                  </pic:nvPicPr>
                  <pic:blipFill>
                    <a:blip r:embed="rId11" r:link="rId12">
                      <a:extLst>
                        <a:ext uri="{28A0092B-C50C-407E-A947-70E740481C1C}">
                          <a14:useLocalDpi xmlns:a14="http://schemas.microsoft.com/office/drawing/2010/main" val="0"/>
                        </a:ext>
                      </a:extLst>
                    </a:blip>
                    <a:stretch>
                      <a:fillRect/>
                    </a:stretch>
                  </pic:blipFill>
                  <pic:spPr bwMode="auto">
                    <a:xfrm>
                      <a:off x="0" y="0"/>
                      <a:ext cx="4550447" cy="3514926"/>
                    </a:xfrm>
                    <a:prstGeom prst="rect">
                      <a:avLst/>
                    </a:prstGeom>
                    <a:noFill/>
                    <a:ln>
                      <a:noFill/>
                    </a:ln>
                  </pic:spPr>
                </pic:pic>
              </a:graphicData>
            </a:graphic>
          </wp:inline>
        </w:drawing>
      </w:r>
    </w:p>
    <w:p w14:paraId="330593EF" w14:textId="77777777" w:rsidR="00133B1F" w:rsidRDefault="00760C78" w:rsidP="00133B1F">
      <w:pPr>
        <w:jc w:val="center"/>
        <w:rPr>
          <w:b/>
          <w:bCs/>
        </w:rPr>
      </w:pPr>
      <w:r>
        <w:rPr>
          <w:b/>
          <w:bCs/>
        </w:rPr>
        <w:t>Figure 3: BPS</w:t>
      </w:r>
    </w:p>
    <w:p w14:paraId="780912A2" w14:textId="77777777" w:rsidR="00133B1F" w:rsidRPr="00133B1F" w:rsidRDefault="00760C78" w:rsidP="00133B1F">
      <w:pPr>
        <w:jc w:val="center"/>
      </w:pPr>
      <w:r>
        <w:t>Source: (</w:t>
      </w:r>
      <w:proofErr w:type="spellStart"/>
      <w:r>
        <w:t>Hardie</w:t>
      </w:r>
      <w:proofErr w:type="spellEnd"/>
      <w:r>
        <w:t>, 2021)</w:t>
      </w:r>
    </w:p>
    <w:p w14:paraId="0F1CD6C0" w14:textId="77777777" w:rsidR="004C55D3" w:rsidRPr="004C55D3" w:rsidRDefault="00760C78" w:rsidP="004C55D3">
      <w:r w:rsidRPr="00133B1F">
        <w:t xml:space="preserve">All these theories contribute to PCC principles since they have identified the importance of interpersonal relationships, the autonomy of individuals and holistic care delivery. To illustrate, the model created by </w:t>
      </w:r>
      <w:proofErr w:type="spellStart"/>
      <w:r w:rsidRPr="00133B1F">
        <w:t>Kitwood</w:t>
      </w:r>
      <w:proofErr w:type="spellEnd"/>
      <w:r w:rsidRPr="00133B1F">
        <w:t xml:space="preserve"> challenges caregivers to focus more on meaningful interactions, whereas the model created by Maslow ensures that the care planning takes into account more human needs besides immediate medical issues. The theories are implemented in a hospital environment by using individualised care plans, multidisciplinary collaboration, and patient participation in decision-making. As an example, when providing care to patients with persistent conditions, it is possible to apply the biopsychosocial approach by combining psychological assistance with medical attention. Nevertheless, as much as these theories are championed in favour of PCC, time constraints, shortage of staff and organisational priorities are some of the factors that limit their application. That demonstrates an imbalance between the ideas and the realities, and healthcare systems need to make investments in training and rearrangements to bring PCC to the fullest realisation.</w:t>
      </w:r>
    </w:p>
    <w:p w14:paraId="60674E01" w14:textId="77777777" w:rsidR="004C55D3" w:rsidRDefault="00760C78" w:rsidP="0016653E">
      <w:pPr>
        <w:pStyle w:val="Heading1"/>
      </w:pPr>
      <w:bookmarkStart w:id="4" w:name="_Toc224992049"/>
      <w:r w:rsidRPr="004C55D3">
        <w:t>Ethical Fundamentals</w:t>
      </w:r>
      <w:bookmarkEnd w:id="4"/>
    </w:p>
    <w:p w14:paraId="7628566D" w14:textId="77777777" w:rsidR="004C55D3" w:rsidRPr="004C55D3" w:rsidRDefault="00760C78" w:rsidP="004C55D3">
      <w:r w:rsidRPr="00133B1F">
        <w:t xml:space="preserve">The ethics underlie the health and social care practice, especially in person-centred care (PCC) and partnership working (PW). These four principles include autonomy, beneficence, non-maleficence, and justice (Cuthbert and </w:t>
      </w:r>
      <w:proofErr w:type="spellStart"/>
      <w:r w:rsidRPr="00133B1F">
        <w:t>Quallington</w:t>
      </w:r>
      <w:proofErr w:type="spellEnd"/>
      <w:r w:rsidRPr="00133B1F">
        <w:t>, 2017). Autonomy is an act of honouring a patient's right to make smart decisions concerning his or her care. The first is beneficence, which means that the action is in the best interest of the patient, and the second is non-maleficence, which means not harming. Justice is concerned with equity and equal access to care services. These principles are strictly connected with PCC and PW. PCC also focuses on autonomy, making patients participate in decision-making and considering their preferences. Beneficence and non-maleficence are duties that control healthcare professionals to provide harmless, effective, and caring care. It is especially true in PW as various professionals work together in order to deliver justice to different parties of the patients. Whenever these principles conflict in a hospital, ethical dilemmas tend to occur. As an example, the autonomy of the patient can be a refusal to obtain a potentially lifesaving treatment, and medical workers think that the treatment is needed to safeguard their wellbeing (beneficence). Under these circumstances, the professionals will have to be able to weigh respect for the wish of the patient against their responsibility of care. By means of partnership working, the multidisciplinary teams are able to consult the situation, engage the family members and make sure that the patient is well informed, and only after that, a decision can be made.</w:t>
      </w:r>
    </w:p>
    <w:p w14:paraId="04887A2E" w14:textId="77777777" w:rsidR="004C55D3" w:rsidRDefault="00760C78" w:rsidP="0016653E">
      <w:pPr>
        <w:pStyle w:val="Heading1"/>
      </w:pPr>
      <w:bookmarkStart w:id="5" w:name="_Toc224992050"/>
      <w:r w:rsidRPr="004C55D3">
        <w:t>Evaluation of Partnership Working</w:t>
      </w:r>
      <w:bookmarkEnd w:id="5"/>
    </w:p>
    <w:p w14:paraId="02C3DD74" w14:textId="77777777" w:rsidR="00632DCC" w:rsidRDefault="00760C78" w:rsidP="00632DCC">
      <w:r>
        <w:t xml:space="preserve">The concept of partnership working (PW) in health and social care represents the organisational practice of organising the joint efforts of multiple professionals, organisations, patients, and families to plan and provide care (Morgan and </w:t>
      </w:r>
      <w:proofErr w:type="spellStart"/>
      <w:r>
        <w:t>Yaskey</w:t>
      </w:r>
      <w:proofErr w:type="spellEnd"/>
      <w:r>
        <w:t>, 2025). It is one of the central aspects of the modern healthcare systems, especially beginning with the actualisation of the concept of Integrated Care Systems (ICS) in the UK, which are supposed to align the services across spheres in order to increase their efficiency and patient outcomes. All in England, ICSs were formally instituted on 1 July 2022. They are new arrangements based on the partnerships that were already present in the country (NHS England, 2022). The significance of PW is that it will deal with complex health needs that cannot be addressed by one professional or organisation. Through establishing partnerships between healthcare providers, social services and local organisations, PW assures a more holistic and coordinated form of care. This is specifically applicable in hospital environments where the patients usually need the contributions of multidisciplinary teams such as doctors, nurses, social workers, and therapists.</w:t>
      </w:r>
    </w:p>
    <w:p w14:paraId="2F135B19" w14:textId="4F8FFEB3" w:rsidR="00632DCC" w:rsidRDefault="00F06544" w:rsidP="00632DCC">
      <w:pPr>
        <w:jc w:val="center"/>
      </w:pPr>
      <w:r>
        <w:rPr>
          <w:noProof/>
        </w:rPr>
        <w:drawing>
          <wp:inline distT="0" distB="0" distL="0" distR="0" wp14:anchorId="622AE993" wp14:editId="10744CC2">
            <wp:extent cx="5731510" cy="3225165"/>
            <wp:effectExtent l="0" t="0" r="2540" b="0"/>
            <wp:docPr id="193598974" name="Picture 6" descr="What is an ICS? | Radar Healthc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What is an ICS? | Radar Healthcar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225165"/>
                    </a:xfrm>
                    <a:prstGeom prst="rect">
                      <a:avLst/>
                    </a:prstGeom>
                    <a:noFill/>
                    <a:ln>
                      <a:noFill/>
                    </a:ln>
                  </pic:spPr>
                </pic:pic>
              </a:graphicData>
            </a:graphic>
          </wp:inline>
        </w:drawing>
      </w:r>
    </w:p>
    <w:p w14:paraId="149A8B27" w14:textId="77777777" w:rsidR="00632DCC" w:rsidRDefault="00760C78" w:rsidP="00632DCC">
      <w:pPr>
        <w:jc w:val="center"/>
        <w:rPr>
          <w:b/>
          <w:bCs/>
        </w:rPr>
      </w:pPr>
      <w:r>
        <w:rPr>
          <w:b/>
          <w:bCs/>
        </w:rPr>
        <w:t>Figure 4: ICS</w:t>
      </w:r>
    </w:p>
    <w:p w14:paraId="07D92313" w14:textId="77777777" w:rsidR="00632DCC" w:rsidRPr="00632DCC" w:rsidRDefault="00760C78" w:rsidP="00632DCC">
      <w:pPr>
        <w:jc w:val="center"/>
      </w:pPr>
      <w:r>
        <w:t>Source: (Radar healthcare, 2026)</w:t>
      </w:r>
    </w:p>
    <w:p w14:paraId="30234374" w14:textId="77777777" w:rsidR="004C55D3" w:rsidRPr="004C55D3" w:rsidRDefault="00760C78" w:rsidP="00632DCC">
      <w:r>
        <w:t xml:space="preserve">The advantages of PW are better service provision, increased patient care and decreased service duplication. Good interaction results in improved communication, care continuity, and improved decision making (Reeves et al., 2017). As an example, a hospital patient after discharge can be provided with coordinated follow-up care using community nurses and social services, and the chances of readmission are lowered. Nevertheless, PW does have a few challenges as well. Coordination among various agencies may be complicated, and in most cases, it may delay services or result in a service gap. The mistakes can hinder effective collaboration, caused by communication barriers, organisational culture differences, and ambiguity of roles and responsibilities. Workloads and time constraints in hospitals could also serve to reduce the possibilities of working effectively in partnership. The health and social care services affected by PW are serious. Once properly adopted, it results in smoother, patient-centred care and better health outcomes. </w:t>
      </w:r>
    </w:p>
    <w:p w14:paraId="53DF91C8" w14:textId="77777777" w:rsidR="004C55D3" w:rsidRDefault="00760C78" w:rsidP="0016653E">
      <w:pPr>
        <w:pStyle w:val="Heading1"/>
      </w:pPr>
      <w:bookmarkStart w:id="6" w:name="_Toc224992051"/>
      <w:r w:rsidRPr="004C55D3">
        <w:t>Policy and Legislation</w:t>
      </w:r>
      <w:bookmarkEnd w:id="6"/>
    </w:p>
    <w:p w14:paraId="42E87AED" w14:textId="77777777" w:rsidR="0016653E" w:rsidRDefault="00760C78" w:rsidP="0016653E">
      <w:r>
        <w:t>The policies and legislations that define health and social care practice in the UK directly affect the practice of person -centred care (PCC) and partnership working (PW). These are mainly the Health and Care Act 2022, the Health and Social Care Act 2012, the Care Act 2014, the Human Rights Act 1998, and the Equality Act 2010.</w:t>
      </w:r>
    </w:p>
    <w:p w14:paraId="6BC0A4B2" w14:textId="77777777" w:rsidR="0016653E" w:rsidRDefault="00760C78" w:rsidP="0016653E">
      <w:r>
        <w:t>The Health and Care Act of 2022 brought about Integrated Care Systems (ICS) that enhanced the collaboration working practice by encouraging the cooperation between the NHS organisations, the local authorities, and other stakeholders (</w:t>
      </w:r>
      <w:proofErr w:type="spellStart"/>
      <w:r>
        <w:t>Lalani</w:t>
      </w:r>
      <w:proofErr w:type="spellEnd"/>
      <w:r>
        <w:t xml:space="preserve"> et al., 2024). This helps PCC as it allows a greater degree of coordination and holism. On the same note, the Health and Social Care Act 2012 requires that the patient is chosen and engaged (Participation, </w:t>
      </w:r>
      <w:proofErr w:type="spellStart"/>
      <w:r>
        <w:t>n.d.</w:t>
      </w:r>
      <w:proofErr w:type="spellEnd"/>
      <w:r>
        <w:t>). Care Act 2014 imposes an obligation on local authorities to contribute to the individual welfare levels, which is directly related to person-centred practices. One of the principal duties of the Care Act 2014 (</w:t>
      </w:r>
      <w:proofErr w:type="spellStart"/>
      <w:r>
        <w:t>tri.x</w:t>
      </w:r>
      <w:proofErr w:type="spellEnd"/>
      <w:r>
        <w:t>, 2024) is the Promotion of Wellbeing (which is also referred to as the Wellbeing Principle). It is the Human Rights Act of 1998 that guarantees respect for the dignity, autonomy, and privacy in care (PFC, 2026). The Equality Act 2010 fosters equity and discourages discrimination when offering services (ACAS, 2025).</w:t>
      </w:r>
    </w:p>
    <w:p w14:paraId="587B2F42" w14:textId="77777777" w:rsidR="004C55D3" w:rsidRPr="004C55D3" w:rsidRDefault="00760C78" w:rsidP="0016653E">
      <w:r>
        <w:t>To a great extent, these policies favour PCC and PW by developing a legal framework that emphasises patient involvement, integrated care and equal access to services. Nevertheless, they are not always without difficulties. These policies have practical implications which are evident in a hospital context. As an example, sustained cooperation among hospital staff, social services, and community care providers is often typical of the discharge planning due to the needs of the Care Act 2014 and the focus on the partnership of the Health and Care Act 2022. Equality legislation helps provide equal treatment to all patients irrespective of their background, whereas human rights law protects the dignity of patients and informed consent.</w:t>
      </w:r>
    </w:p>
    <w:p w14:paraId="08D0D4B7" w14:textId="77777777" w:rsidR="004C55D3" w:rsidRDefault="00760C78" w:rsidP="0016653E">
      <w:pPr>
        <w:pStyle w:val="Heading1"/>
      </w:pPr>
      <w:bookmarkStart w:id="7" w:name="_Toc224992052"/>
      <w:r w:rsidRPr="004C55D3">
        <w:t>Recommendations</w:t>
      </w:r>
      <w:bookmarkEnd w:id="7"/>
    </w:p>
    <w:p w14:paraId="4E7D2CDF" w14:textId="77777777" w:rsidR="0016653E" w:rsidRDefault="00760C78" w:rsidP="0016653E">
      <w:r>
        <w:t>In spite of the support provided by the policy, there are still weaknesses in the practice of person-centred care (PCC) and partnership working (PW), especially in the hospital. The major problems are irregular interaction of professionals, insufficient participation of patients in the process of decision-making, and insufficient training of the staff on PCC principles.</w:t>
      </w:r>
    </w:p>
    <w:p w14:paraId="332F5049" w14:textId="77777777" w:rsidR="0016653E" w:rsidRDefault="00760C78" w:rsidP="0016653E">
      <w:r>
        <w:t>In order to close those gaps, it is possible to suggest a couple of evidence-based recommendations. First, continuity of care: Multidisciplinary team integration may be improved by implementing digital health technologies, including shared electronic health records, which will enhance communication and coordination and thus increase continuity of care. Second, they ought to be followed up by continuous professional training programs to enhance the knowledge and practice of the PCC amongst the staff, and such programs are facilitated by studies which point to the relationship between training and patient outcomes. Third, smoother transitions of care may occur through the strengthening of collaborative partnerships, especially in the case of discharge planning between hospitals, the community services, and social care providers.</w:t>
      </w:r>
    </w:p>
    <w:p w14:paraId="3927E23A" w14:textId="77777777" w:rsidR="004C55D3" w:rsidRPr="004C55D3" w:rsidRDefault="00760C78" w:rsidP="0016653E">
      <w:r>
        <w:t>Moreover, efforts must be put into policy formulation that will standardise PCC practices among organisations to minimise the difference in care delivery. Nevertheless, these recommendations have possible barriers such as financial barriers, organisational change resistance and staff pressure due to the workload. Thus, effective implementation needs proper funding, support of leadership, and culture change to focus on the patient-centred approach in the daily practice.</w:t>
      </w:r>
    </w:p>
    <w:p w14:paraId="4A1E9F84" w14:textId="77777777" w:rsidR="004C55D3" w:rsidRDefault="00760C78" w:rsidP="0016653E">
      <w:pPr>
        <w:pStyle w:val="Heading1"/>
      </w:pPr>
      <w:bookmarkStart w:id="8" w:name="_Toc224992053"/>
      <w:r w:rsidRPr="004C55D3">
        <w:t>Conclusion</w:t>
      </w:r>
      <w:bookmarkEnd w:id="8"/>
    </w:p>
    <w:p w14:paraId="13DA59A1" w14:textId="77777777" w:rsidR="004C55D3" w:rsidRDefault="00760C78" w:rsidP="004C55D3">
      <w:pPr>
        <w:rPr>
          <w:lang w:val="en-US"/>
        </w:rPr>
      </w:pPr>
      <w:r>
        <w:rPr>
          <w:lang w:val="en-US"/>
        </w:rPr>
        <w:t>It can be concluded that</w:t>
      </w:r>
      <w:r w:rsidRPr="00EE4AF2">
        <w:rPr>
          <w:lang w:val="en-US"/>
        </w:rPr>
        <w:t xml:space="preserve"> this report has critically discussed person-</w:t>
      </w:r>
      <w:proofErr w:type="spellStart"/>
      <w:r w:rsidRPr="00EE4AF2">
        <w:rPr>
          <w:lang w:val="en-US"/>
        </w:rPr>
        <w:t>centred</w:t>
      </w:r>
      <w:proofErr w:type="spellEnd"/>
      <w:r w:rsidRPr="00EE4AF2">
        <w:rPr>
          <w:lang w:val="en-US"/>
        </w:rPr>
        <w:t xml:space="preserve"> care (PCC) and partnership working (PW) in a hospital context, paying attention to their theoretical base, ethical principles, and practice. It was found that PCC contributes to improving patient satisfaction and health promotion by fostering autonomy and holistic care, whereas PW contributes to strong service delivery through collaboration and coordinated care. Nevertheless, the problem of resource limitation and communication issues</w:t>
      </w:r>
      <w:r>
        <w:rPr>
          <w:lang w:val="en-US"/>
        </w:rPr>
        <w:t xml:space="preserve"> is </w:t>
      </w:r>
      <w:r w:rsidRPr="00EE4AF2">
        <w:rPr>
          <w:lang w:val="en-US"/>
        </w:rPr>
        <w:t xml:space="preserve">also a big issue. The report also revealed that the pertinent policies and laws are very much in </w:t>
      </w:r>
      <w:proofErr w:type="spellStart"/>
      <w:r w:rsidRPr="00EE4AF2">
        <w:rPr>
          <w:lang w:val="en-US"/>
        </w:rPr>
        <w:t>favour</w:t>
      </w:r>
      <w:proofErr w:type="spellEnd"/>
      <w:r w:rsidRPr="00EE4AF2">
        <w:rPr>
          <w:lang w:val="en-US"/>
        </w:rPr>
        <w:t xml:space="preserve"> of PCC and PW, but functional constraints can often influence their achievement. The main conclusions are the necessity to improve the quality of communication, staff training, and advisory systems to achieve the quality of care. The recommendations, such as the adoption of digital technologies, an increase in professional development and intensified collaborative structures, are helpful and can be improved. All in all, both PCC and PW are important in providing a high-quality, patient-</w:t>
      </w:r>
      <w:proofErr w:type="spellStart"/>
      <w:r w:rsidRPr="00EE4AF2">
        <w:rPr>
          <w:lang w:val="en-US"/>
        </w:rPr>
        <w:t>centred</w:t>
      </w:r>
      <w:proofErr w:type="spellEnd"/>
      <w:r w:rsidRPr="00EE4AF2">
        <w:rPr>
          <w:lang w:val="en-US"/>
        </w:rPr>
        <w:t xml:space="preserve"> care that supports their relevance in the contemporary world of health and social care.</w:t>
      </w:r>
    </w:p>
    <w:p w14:paraId="3AAD44B0" w14:textId="77777777" w:rsidR="0016653E" w:rsidRDefault="00760C78">
      <w:pPr>
        <w:spacing w:line="278" w:lineRule="auto"/>
        <w:jc w:val="left"/>
        <w:rPr>
          <w:lang w:val="en-US"/>
        </w:rPr>
      </w:pPr>
      <w:r>
        <w:rPr>
          <w:lang w:val="en-US"/>
        </w:rPr>
        <w:br w:type="page"/>
      </w:r>
    </w:p>
    <w:p w14:paraId="2430ED8E" w14:textId="77777777" w:rsidR="0016653E" w:rsidRPr="0016653E" w:rsidRDefault="00760C78" w:rsidP="0016653E">
      <w:pPr>
        <w:pStyle w:val="Heading1"/>
      </w:pPr>
      <w:bookmarkStart w:id="9" w:name="_Toc224992054"/>
      <w:r w:rsidRPr="0016653E">
        <w:t>References</w:t>
      </w:r>
      <w:bookmarkEnd w:id="9"/>
    </w:p>
    <w:p w14:paraId="04161D5B" w14:textId="5532325E" w:rsidR="0016653E" w:rsidRPr="0016653E" w:rsidRDefault="00760C78" w:rsidP="0016653E">
      <w:pPr>
        <w:rPr>
          <w:rFonts w:cs="Arial"/>
          <w:szCs w:val="22"/>
        </w:rPr>
      </w:pPr>
      <w:r w:rsidRPr="0016653E">
        <w:rPr>
          <w:rFonts w:cs="Arial"/>
          <w:szCs w:val="22"/>
        </w:rPr>
        <w:t xml:space="preserve">ACAS, </w:t>
      </w:r>
      <w:r w:rsidR="00F06544">
        <w:rPr>
          <w:rFonts w:cs="Arial"/>
          <w:szCs w:val="22"/>
        </w:rPr>
        <w:t>(</w:t>
      </w:r>
      <w:r w:rsidRPr="0016653E">
        <w:rPr>
          <w:rFonts w:cs="Arial"/>
          <w:szCs w:val="22"/>
        </w:rPr>
        <w:t>2025</w:t>
      </w:r>
      <w:r w:rsidR="00F06544">
        <w:rPr>
          <w:rFonts w:cs="Arial"/>
          <w:szCs w:val="22"/>
        </w:rPr>
        <w:t>)</w:t>
      </w:r>
      <w:r w:rsidRPr="0016653E">
        <w:rPr>
          <w:rFonts w:cs="Arial"/>
          <w:szCs w:val="22"/>
        </w:rPr>
        <w:t xml:space="preserve">. </w:t>
      </w:r>
      <w:r w:rsidRPr="0016653E">
        <w:rPr>
          <w:rFonts w:cs="Arial"/>
          <w:i/>
          <w:iCs/>
          <w:szCs w:val="22"/>
        </w:rPr>
        <w:t xml:space="preserve">Discrimination and the Equality Act 2010 - Discrimination at work - </w:t>
      </w:r>
      <w:proofErr w:type="spellStart"/>
      <w:r w:rsidRPr="0016653E">
        <w:rPr>
          <w:rFonts w:cs="Arial"/>
          <w:i/>
          <w:iCs/>
          <w:szCs w:val="22"/>
        </w:rPr>
        <w:t>Acas</w:t>
      </w:r>
      <w:proofErr w:type="spellEnd"/>
      <w:r w:rsidRPr="0016653E">
        <w:rPr>
          <w:rFonts w:cs="Arial"/>
          <w:szCs w:val="22"/>
        </w:rPr>
        <w:t xml:space="preserve">. [online] </w:t>
      </w:r>
      <w:proofErr w:type="spellStart"/>
      <w:r w:rsidRPr="0016653E">
        <w:rPr>
          <w:rFonts w:cs="Arial"/>
          <w:szCs w:val="22"/>
        </w:rPr>
        <w:t>Acas</w:t>
      </w:r>
      <w:proofErr w:type="spellEnd"/>
      <w:r w:rsidRPr="0016653E">
        <w:rPr>
          <w:rFonts w:cs="Arial"/>
          <w:szCs w:val="22"/>
        </w:rPr>
        <w:t>. Available at: &lt;</w:t>
      </w:r>
      <w:r w:rsidRPr="0016653E">
        <w:rPr>
          <w:rStyle w:val="url"/>
          <w:rFonts w:cs="Arial"/>
          <w:szCs w:val="22"/>
        </w:rPr>
        <w:t>https://www.acas.org.uk/discrimination-and-the-law</w:t>
      </w:r>
      <w:r w:rsidRPr="0016653E">
        <w:rPr>
          <w:rFonts w:cs="Arial"/>
          <w:szCs w:val="22"/>
        </w:rPr>
        <w:t>&gt; [Accessed 21 March 2026].</w:t>
      </w:r>
    </w:p>
    <w:p w14:paraId="5F70EB72" w14:textId="2833B1E0" w:rsidR="0016653E" w:rsidRPr="0016653E" w:rsidRDefault="00760C78" w:rsidP="0016653E">
      <w:pPr>
        <w:rPr>
          <w:rFonts w:cs="Arial"/>
          <w:color w:val="222222"/>
          <w:szCs w:val="22"/>
          <w:shd w:val="clear" w:color="auto" w:fill="FFFFFF"/>
        </w:rPr>
      </w:pPr>
      <w:r w:rsidRPr="0016653E">
        <w:rPr>
          <w:rFonts w:cs="Arial"/>
          <w:color w:val="222222"/>
          <w:szCs w:val="22"/>
          <w:shd w:val="clear" w:color="auto" w:fill="FFFFFF"/>
        </w:rPr>
        <w:t xml:space="preserve">Byrne, A.L., Baldwin, A. and Harvey, C., </w:t>
      </w:r>
      <w:r w:rsidR="00F06544">
        <w:rPr>
          <w:rFonts w:cs="Arial"/>
          <w:color w:val="222222"/>
          <w:szCs w:val="22"/>
          <w:shd w:val="clear" w:color="auto" w:fill="FFFFFF"/>
        </w:rPr>
        <w:t>(</w:t>
      </w:r>
      <w:r w:rsidRPr="0016653E">
        <w:rPr>
          <w:rFonts w:cs="Arial"/>
          <w:color w:val="222222"/>
          <w:szCs w:val="22"/>
          <w:shd w:val="clear" w:color="auto" w:fill="FFFFFF"/>
        </w:rPr>
        <w:t>2020</w:t>
      </w:r>
      <w:r w:rsidR="00F06544">
        <w:rPr>
          <w:rFonts w:cs="Arial"/>
          <w:color w:val="222222"/>
          <w:szCs w:val="22"/>
          <w:shd w:val="clear" w:color="auto" w:fill="FFFFFF"/>
        </w:rPr>
        <w:t>)</w:t>
      </w:r>
      <w:r w:rsidRPr="0016653E">
        <w:rPr>
          <w:rFonts w:cs="Arial"/>
          <w:color w:val="222222"/>
          <w:szCs w:val="22"/>
          <w:shd w:val="clear" w:color="auto" w:fill="FFFFFF"/>
        </w:rPr>
        <w:t>. Whose centre is it anyway? Defining person-centred care in nursing: An integrative review. </w:t>
      </w:r>
      <w:proofErr w:type="spellStart"/>
      <w:r w:rsidRPr="0016653E">
        <w:rPr>
          <w:rFonts w:cs="Arial"/>
          <w:i/>
          <w:iCs/>
          <w:color w:val="222222"/>
          <w:szCs w:val="22"/>
          <w:shd w:val="clear" w:color="auto" w:fill="FFFFFF"/>
        </w:rPr>
        <w:t>PloS</w:t>
      </w:r>
      <w:proofErr w:type="spellEnd"/>
      <w:r w:rsidRPr="0016653E">
        <w:rPr>
          <w:rFonts w:cs="Arial"/>
          <w:i/>
          <w:iCs/>
          <w:color w:val="222222"/>
          <w:szCs w:val="22"/>
          <w:shd w:val="clear" w:color="auto" w:fill="FFFFFF"/>
        </w:rPr>
        <w:t xml:space="preserve"> one</w:t>
      </w:r>
      <w:r w:rsidRPr="0016653E">
        <w:rPr>
          <w:rFonts w:cs="Arial"/>
          <w:color w:val="222222"/>
          <w:szCs w:val="22"/>
          <w:shd w:val="clear" w:color="auto" w:fill="FFFFFF"/>
        </w:rPr>
        <w:t>, </w:t>
      </w:r>
      <w:r w:rsidRPr="0016653E">
        <w:rPr>
          <w:rFonts w:cs="Arial"/>
          <w:i/>
          <w:iCs/>
          <w:color w:val="222222"/>
          <w:szCs w:val="22"/>
          <w:shd w:val="clear" w:color="auto" w:fill="FFFFFF"/>
        </w:rPr>
        <w:t>15</w:t>
      </w:r>
      <w:r w:rsidRPr="0016653E">
        <w:rPr>
          <w:rFonts w:cs="Arial"/>
          <w:color w:val="222222"/>
          <w:szCs w:val="22"/>
          <w:shd w:val="clear" w:color="auto" w:fill="FFFFFF"/>
        </w:rPr>
        <w:t>(3), p.e0229923.</w:t>
      </w:r>
    </w:p>
    <w:p w14:paraId="0A0567E2" w14:textId="64672111" w:rsidR="0016653E" w:rsidRPr="0016653E" w:rsidRDefault="00760C78" w:rsidP="0016653E">
      <w:pPr>
        <w:rPr>
          <w:rFonts w:cs="Arial"/>
          <w:color w:val="222222"/>
          <w:szCs w:val="22"/>
          <w:shd w:val="clear" w:color="auto" w:fill="FFFFFF"/>
        </w:rPr>
      </w:pPr>
      <w:r w:rsidRPr="0016653E">
        <w:rPr>
          <w:rFonts w:cs="Arial"/>
          <w:color w:val="222222"/>
          <w:szCs w:val="22"/>
          <w:shd w:val="clear" w:color="auto" w:fill="FFFFFF"/>
        </w:rPr>
        <w:t xml:space="preserve">Cuthbert, S. and </w:t>
      </w:r>
      <w:proofErr w:type="spellStart"/>
      <w:r w:rsidRPr="0016653E">
        <w:rPr>
          <w:rFonts w:cs="Arial"/>
          <w:color w:val="222222"/>
          <w:szCs w:val="22"/>
          <w:shd w:val="clear" w:color="auto" w:fill="FFFFFF"/>
        </w:rPr>
        <w:t>Quallington</w:t>
      </w:r>
      <w:proofErr w:type="spellEnd"/>
      <w:r w:rsidRPr="0016653E">
        <w:rPr>
          <w:rFonts w:cs="Arial"/>
          <w:color w:val="222222"/>
          <w:szCs w:val="22"/>
          <w:shd w:val="clear" w:color="auto" w:fill="FFFFFF"/>
        </w:rPr>
        <w:t xml:space="preserve">, J., </w:t>
      </w:r>
      <w:r w:rsidR="00F06544">
        <w:rPr>
          <w:rFonts w:cs="Arial"/>
          <w:color w:val="222222"/>
          <w:szCs w:val="22"/>
          <w:shd w:val="clear" w:color="auto" w:fill="FFFFFF"/>
        </w:rPr>
        <w:t>(</w:t>
      </w:r>
      <w:r w:rsidRPr="0016653E">
        <w:rPr>
          <w:rFonts w:cs="Arial"/>
          <w:color w:val="222222"/>
          <w:szCs w:val="22"/>
          <w:shd w:val="clear" w:color="auto" w:fill="FFFFFF"/>
        </w:rPr>
        <w:t>2017</w:t>
      </w:r>
      <w:r w:rsidR="00F06544">
        <w:rPr>
          <w:rFonts w:cs="Arial"/>
          <w:color w:val="222222"/>
          <w:szCs w:val="22"/>
          <w:shd w:val="clear" w:color="auto" w:fill="FFFFFF"/>
        </w:rPr>
        <w:t>)</w:t>
      </w:r>
      <w:r w:rsidRPr="0016653E">
        <w:rPr>
          <w:rFonts w:cs="Arial"/>
          <w:color w:val="222222"/>
          <w:szCs w:val="22"/>
          <w:shd w:val="clear" w:color="auto" w:fill="FFFFFF"/>
        </w:rPr>
        <w:t>. </w:t>
      </w:r>
      <w:r w:rsidRPr="0016653E">
        <w:rPr>
          <w:rFonts w:cs="Arial"/>
          <w:i/>
          <w:iCs/>
          <w:color w:val="222222"/>
          <w:szCs w:val="22"/>
          <w:shd w:val="clear" w:color="auto" w:fill="FFFFFF"/>
        </w:rPr>
        <w:t>Values and ethics for care practice</w:t>
      </w:r>
      <w:r w:rsidRPr="0016653E">
        <w:rPr>
          <w:rFonts w:cs="Arial"/>
          <w:color w:val="222222"/>
          <w:szCs w:val="22"/>
          <w:shd w:val="clear" w:color="auto" w:fill="FFFFFF"/>
        </w:rPr>
        <w:t>. Scion Publishing Ltd.</w:t>
      </w:r>
    </w:p>
    <w:p w14:paraId="0C6EF90F" w14:textId="75B14FD4" w:rsidR="0016653E" w:rsidRPr="0016653E" w:rsidRDefault="00760C78" w:rsidP="0016653E">
      <w:pPr>
        <w:rPr>
          <w:rFonts w:cs="Arial"/>
          <w:color w:val="222222"/>
          <w:szCs w:val="22"/>
          <w:shd w:val="clear" w:color="auto" w:fill="FFFFFF"/>
        </w:rPr>
      </w:pPr>
      <w:r w:rsidRPr="0016653E">
        <w:rPr>
          <w:rFonts w:cs="Arial"/>
          <w:color w:val="222222"/>
          <w:szCs w:val="22"/>
          <w:shd w:val="clear" w:color="auto" w:fill="FFFFFF"/>
        </w:rPr>
        <w:t xml:space="preserve">Glasby, J., </w:t>
      </w:r>
      <w:r w:rsidR="00F06544">
        <w:rPr>
          <w:rFonts w:cs="Arial"/>
          <w:color w:val="222222"/>
          <w:szCs w:val="22"/>
          <w:shd w:val="clear" w:color="auto" w:fill="FFFFFF"/>
        </w:rPr>
        <w:t>(</w:t>
      </w:r>
      <w:r w:rsidRPr="0016653E">
        <w:rPr>
          <w:rFonts w:cs="Arial"/>
          <w:color w:val="222222"/>
          <w:szCs w:val="22"/>
          <w:shd w:val="clear" w:color="auto" w:fill="FFFFFF"/>
        </w:rPr>
        <w:t>2017</w:t>
      </w:r>
      <w:r w:rsidR="00F06544">
        <w:rPr>
          <w:rFonts w:cs="Arial"/>
          <w:color w:val="222222"/>
          <w:szCs w:val="22"/>
          <w:shd w:val="clear" w:color="auto" w:fill="FFFFFF"/>
        </w:rPr>
        <w:t>)</w:t>
      </w:r>
      <w:r w:rsidRPr="0016653E">
        <w:rPr>
          <w:rFonts w:cs="Arial"/>
          <w:color w:val="222222"/>
          <w:szCs w:val="22"/>
          <w:shd w:val="clear" w:color="auto" w:fill="FFFFFF"/>
        </w:rPr>
        <w:t>. </w:t>
      </w:r>
      <w:r w:rsidRPr="0016653E">
        <w:rPr>
          <w:rFonts w:cs="Arial"/>
          <w:i/>
          <w:iCs/>
          <w:color w:val="222222"/>
          <w:szCs w:val="22"/>
          <w:shd w:val="clear" w:color="auto" w:fill="FFFFFF"/>
        </w:rPr>
        <w:t>Partnership working in health and social care</w:t>
      </w:r>
      <w:r w:rsidRPr="0016653E">
        <w:rPr>
          <w:rFonts w:cs="Arial"/>
          <w:color w:val="222222"/>
          <w:szCs w:val="22"/>
          <w:shd w:val="clear" w:color="auto" w:fill="FFFFFF"/>
        </w:rPr>
        <w:t> (pp. 71-94). Policy Press.</w:t>
      </w:r>
    </w:p>
    <w:p w14:paraId="18557185" w14:textId="6D5018A4" w:rsidR="0016653E" w:rsidRPr="0016653E" w:rsidRDefault="00760C78" w:rsidP="0016653E">
      <w:pPr>
        <w:rPr>
          <w:rFonts w:cs="Arial"/>
          <w:szCs w:val="22"/>
        </w:rPr>
      </w:pPr>
      <w:proofErr w:type="spellStart"/>
      <w:r w:rsidRPr="0016653E">
        <w:rPr>
          <w:rFonts w:cs="Arial"/>
          <w:szCs w:val="22"/>
        </w:rPr>
        <w:t>Hardie</w:t>
      </w:r>
      <w:proofErr w:type="spellEnd"/>
      <w:r w:rsidRPr="0016653E">
        <w:rPr>
          <w:rFonts w:cs="Arial"/>
          <w:szCs w:val="22"/>
        </w:rPr>
        <w:t xml:space="preserve">, M., </w:t>
      </w:r>
      <w:r w:rsidR="00F06544">
        <w:rPr>
          <w:rFonts w:cs="Arial"/>
          <w:szCs w:val="22"/>
        </w:rPr>
        <w:t>(</w:t>
      </w:r>
      <w:r w:rsidRPr="0016653E">
        <w:rPr>
          <w:rFonts w:cs="Arial"/>
          <w:szCs w:val="22"/>
        </w:rPr>
        <w:t>2021</w:t>
      </w:r>
      <w:r w:rsidR="00F06544">
        <w:rPr>
          <w:rFonts w:cs="Arial"/>
          <w:szCs w:val="22"/>
        </w:rPr>
        <w:t>)</w:t>
      </w:r>
      <w:r w:rsidRPr="0016653E">
        <w:rPr>
          <w:rFonts w:cs="Arial"/>
          <w:szCs w:val="22"/>
        </w:rPr>
        <w:t xml:space="preserve">. </w:t>
      </w:r>
      <w:r w:rsidRPr="0016653E">
        <w:rPr>
          <w:rFonts w:cs="Arial"/>
          <w:i/>
          <w:iCs/>
          <w:szCs w:val="22"/>
        </w:rPr>
        <w:t>Three aspects of health and healing: The biopsychosocial model in medicine</w:t>
      </w:r>
      <w:r w:rsidRPr="0016653E">
        <w:rPr>
          <w:rFonts w:cs="Arial"/>
          <w:szCs w:val="22"/>
        </w:rPr>
        <w:t>. [online] Department of Surgery. Available at: &lt;https://surgery.wustl.edu/three-aspects-of-health-and-healing-the-biopsychosocial-model/&gt;.</w:t>
      </w:r>
      <w:r>
        <w:rPr>
          <w:rFonts w:cs="Arial"/>
          <w:szCs w:val="22"/>
        </w:rPr>
        <w:t xml:space="preserve"> </w:t>
      </w:r>
      <w:r w:rsidRPr="0016653E">
        <w:rPr>
          <w:rFonts w:cs="Arial"/>
          <w:szCs w:val="22"/>
        </w:rPr>
        <w:t>[Accessed 21 March 2026].</w:t>
      </w:r>
    </w:p>
    <w:p w14:paraId="20F0B038" w14:textId="262B5DC5" w:rsidR="0016653E" w:rsidRPr="0016653E" w:rsidRDefault="00760C78" w:rsidP="0016653E">
      <w:pPr>
        <w:rPr>
          <w:rFonts w:cs="Arial"/>
          <w:szCs w:val="22"/>
        </w:rPr>
      </w:pPr>
      <w:r w:rsidRPr="0016653E">
        <w:rPr>
          <w:rFonts w:cs="Arial"/>
          <w:szCs w:val="22"/>
        </w:rPr>
        <w:t xml:space="preserve">Hughes, L.J., </w:t>
      </w:r>
      <w:r w:rsidR="00F06544">
        <w:rPr>
          <w:rFonts w:cs="Arial"/>
          <w:szCs w:val="22"/>
        </w:rPr>
        <w:t>(</w:t>
      </w:r>
      <w:r w:rsidRPr="0016653E">
        <w:rPr>
          <w:rFonts w:cs="Arial"/>
          <w:szCs w:val="22"/>
        </w:rPr>
        <w:t>2025</w:t>
      </w:r>
      <w:r w:rsidR="00F06544">
        <w:rPr>
          <w:rFonts w:cs="Arial"/>
          <w:szCs w:val="22"/>
        </w:rPr>
        <w:t>)</w:t>
      </w:r>
      <w:r w:rsidRPr="0016653E">
        <w:rPr>
          <w:rFonts w:cs="Arial"/>
          <w:szCs w:val="22"/>
        </w:rPr>
        <w:t xml:space="preserve">. </w:t>
      </w:r>
      <w:r w:rsidRPr="0016653E">
        <w:rPr>
          <w:rFonts w:cs="Arial"/>
          <w:i/>
          <w:iCs/>
          <w:szCs w:val="22"/>
        </w:rPr>
        <w:t>The 5 Benefits of Person-Centred Care</w:t>
      </w:r>
      <w:r w:rsidRPr="0016653E">
        <w:rPr>
          <w:rFonts w:cs="Arial"/>
          <w:szCs w:val="22"/>
        </w:rPr>
        <w:t>. [online] B&amp;M Care Homes. Available at: &lt;</w:t>
      </w:r>
      <w:r w:rsidRPr="0016653E">
        <w:rPr>
          <w:rStyle w:val="url"/>
          <w:rFonts w:cs="Arial"/>
          <w:szCs w:val="22"/>
        </w:rPr>
        <w:t>https://www.bmcare.co.uk/resources/blog/top-5-benefits-person-centred-care/</w:t>
      </w:r>
      <w:r w:rsidRPr="0016653E">
        <w:rPr>
          <w:rFonts w:cs="Arial"/>
          <w:szCs w:val="22"/>
        </w:rPr>
        <w:t>&gt;.</w:t>
      </w:r>
      <w:r>
        <w:rPr>
          <w:rFonts w:cs="Arial"/>
          <w:szCs w:val="22"/>
        </w:rPr>
        <w:t xml:space="preserve"> </w:t>
      </w:r>
      <w:r w:rsidRPr="0016653E">
        <w:rPr>
          <w:rFonts w:cs="Arial"/>
          <w:szCs w:val="22"/>
        </w:rPr>
        <w:t>[Accessed 21 March 2026].</w:t>
      </w:r>
    </w:p>
    <w:p w14:paraId="4CA510F6" w14:textId="7A0132EB" w:rsidR="0016653E" w:rsidRPr="0016653E" w:rsidRDefault="00760C78" w:rsidP="0016653E">
      <w:pPr>
        <w:rPr>
          <w:rFonts w:cs="Arial"/>
          <w:color w:val="222222"/>
          <w:szCs w:val="22"/>
          <w:shd w:val="clear" w:color="auto" w:fill="FFFFFF"/>
        </w:rPr>
      </w:pPr>
      <w:r w:rsidRPr="0016653E">
        <w:rPr>
          <w:rFonts w:cs="Arial"/>
          <w:color w:val="222222"/>
          <w:szCs w:val="22"/>
          <w:shd w:val="clear" w:color="auto" w:fill="FFFFFF"/>
        </w:rPr>
        <w:t xml:space="preserve">Kelly, L., </w:t>
      </w:r>
      <w:proofErr w:type="spellStart"/>
      <w:r w:rsidRPr="0016653E">
        <w:rPr>
          <w:rFonts w:cs="Arial"/>
          <w:color w:val="222222"/>
          <w:szCs w:val="22"/>
          <w:shd w:val="clear" w:color="auto" w:fill="FFFFFF"/>
        </w:rPr>
        <w:t>Ahessy</w:t>
      </w:r>
      <w:proofErr w:type="spellEnd"/>
      <w:r w:rsidRPr="0016653E">
        <w:rPr>
          <w:rFonts w:cs="Arial"/>
          <w:color w:val="222222"/>
          <w:szCs w:val="22"/>
          <w:shd w:val="clear" w:color="auto" w:fill="FFFFFF"/>
        </w:rPr>
        <w:t xml:space="preserve">, B., Richardson, I. and Moss, H., </w:t>
      </w:r>
      <w:r w:rsidR="00F06544">
        <w:rPr>
          <w:rFonts w:cs="Arial"/>
          <w:color w:val="222222"/>
          <w:szCs w:val="22"/>
          <w:shd w:val="clear" w:color="auto" w:fill="FFFFFF"/>
        </w:rPr>
        <w:t>(</w:t>
      </w:r>
      <w:r w:rsidRPr="0016653E">
        <w:rPr>
          <w:rFonts w:cs="Arial"/>
          <w:color w:val="222222"/>
          <w:szCs w:val="22"/>
          <w:shd w:val="clear" w:color="auto" w:fill="FFFFFF"/>
        </w:rPr>
        <w:t>2023</w:t>
      </w:r>
      <w:r w:rsidR="00F06544">
        <w:rPr>
          <w:rFonts w:cs="Arial"/>
          <w:color w:val="222222"/>
          <w:szCs w:val="22"/>
          <w:shd w:val="clear" w:color="auto" w:fill="FFFFFF"/>
        </w:rPr>
        <w:t>)</w:t>
      </w:r>
      <w:r w:rsidRPr="0016653E">
        <w:rPr>
          <w:rFonts w:cs="Arial"/>
          <w:color w:val="222222"/>
          <w:szCs w:val="22"/>
          <w:shd w:val="clear" w:color="auto" w:fill="FFFFFF"/>
        </w:rPr>
        <w:t xml:space="preserve">. Aligning </w:t>
      </w:r>
      <w:proofErr w:type="spellStart"/>
      <w:r w:rsidRPr="0016653E">
        <w:rPr>
          <w:rFonts w:cs="Arial"/>
          <w:color w:val="222222"/>
          <w:szCs w:val="22"/>
          <w:shd w:val="clear" w:color="auto" w:fill="FFFFFF"/>
        </w:rPr>
        <w:t>Kitwood’s</w:t>
      </w:r>
      <w:proofErr w:type="spellEnd"/>
      <w:r w:rsidRPr="0016653E">
        <w:rPr>
          <w:rFonts w:cs="Arial"/>
          <w:color w:val="222222"/>
          <w:szCs w:val="22"/>
          <w:shd w:val="clear" w:color="auto" w:fill="FFFFFF"/>
        </w:rPr>
        <w:t xml:space="preserve"> model of person-centred dementia care with music therapy practice. </w:t>
      </w:r>
      <w:r w:rsidRPr="0016653E">
        <w:rPr>
          <w:rFonts w:cs="Arial"/>
          <w:i/>
          <w:iCs/>
          <w:color w:val="222222"/>
          <w:szCs w:val="22"/>
          <w:shd w:val="clear" w:color="auto" w:fill="FFFFFF"/>
        </w:rPr>
        <w:t>Music Therapy Perspectives</w:t>
      </w:r>
      <w:r w:rsidRPr="0016653E">
        <w:rPr>
          <w:rFonts w:cs="Arial"/>
          <w:color w:val="222222"/>
          <w:szCs w:val="22"/>
          <w:shd w:val="clear" w:color="auto" w:fill="FFFFFF"/>
        </w:rPr>
        <w:t>, </w:t>
      </w:r>
      <w:r w:rsidRPr="0016653E">
        <w:rPr>
          <w:rFonts w:cs="Arial"/>
          <w:i/>
          <w:iCs/>
          <w:color w:val="222222"/>
          <w:szCs w:val="22"/>
          <w:shd w:val="clear" w:color="auto" w:fill="FFFFFF"/>
        </w:rPr>
        <w:t>41</w:t>
      </w:r>
      <w:r w:rsidRPr="0016653E">
        <w:rPr>
          <w:rFonts w:cs="Arial"/>
          <w:color w:val="222222"/>
          <w:szCs w:val="22"/>
          <w:shd w:val="clear" w:color="auto" w:fill="FFFFFF"/>
        </w:rPr>
        <w:t>(2), pp.198-206.</w:t>
      </w:r>
    </w:p>
    <w:p w14:paraId="7388852E" w14:textId="60DBA59C" w:rsidR="0016653E" w:rsidRPr="0016653E" w:rsidRDefault="00760C78" w:rsidP="0016653E">
      <w:pPr>
        <w:rPr>
          <w:rFonts w:cs="Arial"/>
          <w:szCs w:val="22"/>
        </w:rPr>
      </w:pPr>
      <w:proofErr w:type="spellStart"/>
      <w:r w:rsidRPr="0016653E">
        <w:rPr>
          <w:rFonts w:cs="Arial"/>
          <w:szCs w:val="22"/>
        </w:rPr>
        <w:t>Koekemoer</w:t>
      </w:r>
      <w:proofErr w:type="spellEnd"/>
      <w:r w:rsidRPr="0016653E">
        <w:rPr>
          <w:rFonts w:cs="Arial"/>
          <w:szCs w:val="22"/>
        </w:rPr>
        <w:t xml:space="preserve">, G., </w:t>
      </w:r>
      <w:r w:rsidR="00F06544">
        <w:rPr>
          <w:rFonts w:cs="Arial"/>
          <w:szCs w:val="22"/>
        </w:rPr>
        <w:t>(</w:t>
      </w:r>
      <w:r w:rsidRPr="0016653E">
        <w:rPr>
          <w:rFonts w:cs="Arial"/>
          <w:szCs w:val="22"/>
        </w:rPr>
        <w:t>2024</w:t>
      </w:r>
      <w:r w:rsidR="00F06544">
        <w:rPr>
          <w:rFonts w:cs="Arial"/>
          <w:szCs w:val="22"/>
        </w:rPr>
        <w:t>)</w:t>
      </w:r>
      <w:r w:rsidRPr="0016653E">
        <w:rPr>
          <w:rFonts w:cs="Arial"/>
          <w:szCs w:val="22"/>
        </w:rPr>
        <w:t xml:space="preserve">. What exactly is Person-Centred Care (PCC)? Fostering connection has always been a priority in my personal and professional life.... </w:t>
      </w:r>
      <w:r w:rsidRPr="0016653E">
        <w:rPr>
          <w:rFonts w:cs="Arial"/>
          <w:i/>
          <w:iCs/>
          <w:szCs w:val="22"/>
        </w:rPr>
        <w:t>LinkedIn</w:t>
      </w:r>
      <w:r w:rsidRPr="0016653E">
        <w:rPr>
          <w:rFonts w:cs="Arial"/>
          <w:szCs w:val="22"/>
        </w:rPr>
        <w:t>. Available at: &lt;</w:t>
      </w:r>
      <w:r w:rsidRPr="0016653E">
        <w:rPr>
          <w:rStyle w:val="url"/>
          <w:rFonts w:cs="Arial"/>
          <w:szCs w:val="22"/>
        </w:rPr>
        <w:t>https://www.linkedin.com/posts/gert-koekemoer-27b100258_personcenteredcare-activity-7196558676365570050-VKXM/</w:t>
      </w:r>
      <w:r w:rsidRPr="0016653E">
        <w:rPr>
          <w:rFonts w:cs="Arial"/>
          <w:szCs w:val="22"/>
        </w:rPr>
        <w:t>&gt;.</w:t>
      </w:r>
      <w:r>
        <w:rPr>
          <w:rFonts w:cs="Arial"/>
          <w:szCs w:val="22"/>
        </w:rPr>
        <w:t xml:space="preserve"> </w:t>
      </w:r>
      <w:r w:rsidRPr="0016653E">
        <w:rPr>
          <w:rFonts w:cs="Arial"/>
          <w:szCs w:val="22"/>
        </w:rPr>
        <w:t>[Accessed 21 March 2026].</w:t>
      </w:r>
    </w:p>
    <w:p w14:paraId="576A316B" w14:textId="0B34B32C" w:rsidR="0016653E" w:rsidRPr="0016653E" w:rsidRDefault="00760C78" w:rsidP="0016653E">
      <w:pPr>
        <w:rPr>
          <w:rFonts w:cs="Arial"/>
          <w:szCs w:val="22"/>
        </w:rPr>
      </w:pPr>
      <w:proofErr w:type="spellStart"/>
      <w:r w:rsidRPr="0016653E">
        <w:rPr>
          <w:rFonts w:cs="Arial"/>
          <w:szCs w:val="22"/>
        </w:rPr>
        <w:t>Lalani</w:t>
      </w:r>
      <w:proofErr w:type="spellEnd"/>
      <w:r w:rsidRPr="0016653E">
        <w:rPr>
          <w:rFonts w:cs="Arial"/>
          <w:szCs w:val="22"/>
        </w:rPr>
        <w:t xml:space="preserve">, M., Peters, M., </w:t>
      </w:r>
      <w:proofErr w:type="spellStart"/>
      <w:r w:rsidRPr="0016653E">
        <w:rPr>
          <w:rFonts w:cs="Arial"/>
          <w:szCs w:val="22"/>
        </w:rPr>
        <w:t>Thavapriya</w:t>
      </w:r>
      <w:proofErr w:type="spellEnd"/>
      <w:r w:rsidRPr="0016653E">
        <w:rPr>
          <w:rFonts w:cs="Arial"/>
          <w:szCs w:val="22"/>
        </w:rPr>
        <w:t xml:space="preserve"> </w:t>
      </w:r>
      <w:proofErr w:type="spellStart"/>
      <w:r w:rsidRPr="0016653E">
        <w:rPr>
          <w:rFonts w:cs="Arial"/>
          <w:szCs w:val="22"/>
        </w:rPr>
        <w:t>Sugavanam</w:t>
      </w:r>
      <w:proofErr w:type="spellEnd"/>
      <w:r w:rsidRPr="0016653E">
        <w:rPr>
          <w:rFonts w:cs="Arial"/>
          <w:szCs w:val="22"/>
        </w:rPr>
        <w:t xml:space="preserve">, Crocker, H., </w:t>
      </w:r>
      <w:proofErr w:type="spellStart"/>
      <w:r w:rsidRPr="0016653E">
        <w:rPr>
          <w:rFonts w:cs="Arial"/>
          <w:szCs w:val="22"/>
        </w:rPr>
        <w:t>Caiels</w:t>
      </w:r>
      <w:proofErr w:type="spellEnd"/>
      <w:r w:rsidRPr="0016653E">
        <w:rPr>
          <w:rFonts w:cs="Arial"/>
          <w:szCs w:val="22"/>
        </w:rPr>
        <w:t xml:space="preserve">, J., Hay, H., Gunn, S., Hogan, H., Page, B. and Fitzpatrick, R., </w:t>
      </w:r>
      <w:r w:rsidR="00F06544">
        <w:rPr>
          <w:rFonts w:cs="Arial"/>
          <w:szCs w:val="22"/>
        </w:rPr>
        <w:t>(</w:t>
      </w:r>
      <w:r w:rsidRPr="0016653E">
        <w:rPr>
          <w:rFonts w:cs="Arial"/>
          <w:szCs w:val="22"/>
        </w:rPr>
        <w:t>2024</w:t>
      </w:r>
      <w:r w:rsidR="00F06544">
        <w:rPr>
          <w:rFonts w:cs="Arial"/>
          <w:szCs w:val="22"/>
        </w:rPr>
        <w:t>)</w:t>
      </w:r>
      <w:r w:rsidRPr="0016653E">
        <w:rPr>
          <w:rFonts w:cs="Arial"/>
          <w:szCs w:val="22"/>
        </w:rPr>
        <w:t xml:space="preserve">. New Ways of Working to Manage and Improve Quality in Integrated Care Systems in England. </w:t>
      </w:r>
      <w:r w:rsidRPr="0016653E">
        <w:rPr>
          <w:rFonts w:cs="Arial"/>
          <w:i/>
          <w:iCs/>
          <w:szCs w:val="22"/>
        </w:rPr>
        <w:t>International Journal of Health Policy and Management</w:t>
      </w:r>
      <w:r w:rsidRPr="0016653E">
        <w:rPr>
          <w:rFonts w:cs="Arial"/>
          <w:szCs w:val="22"/>
        </w:rPr>
        <w:t>, 14(1). https://doi.org/10.34172/ijhpm.8424.</w:t>
      </w:r>
    </w:p>
    <w:p w14:paraId="1FF6AB84" w14:textId="07EC28A5" w:rsidR="0016653E" w:rsidRPr="0016653E" w:rsidRDefault="00760C78" w:rsidP="0016653E">
      <w:pPr>
        <w:rPr>
          <w:rFonts w:cs="Arial"/>
          <w:szCs w:val="22"/>
        </w:rPr>
      </w:pPr>
      <w:proofErr w:type="spellStart"/>
      <w:r w:rsidRPr="0016653E">
        <w:rPr>
          <w:rFonts w:cs="Arial"/>
          <w:szCs w:val="22"/>
        </w:rPr>
        <w:t>Marschall</w:t>
      </w:r>
      <w:proofErr w:type="spellEnd"/>
      <w:r w:rsidRPr="0016653E">
        <w:rPr>
          <w:rFonts w:cs="Arial"/>
          <w:szCs w:val="22"/>
        </w:rPr>
        <w:t xml:space="preserve">, A., </w:t>
      </w:r>
      <w:r w:rsidR="00F06544">
        <w:rPr>
          <w:rFonts w:cs="Arial"/>
          <w:szCs w:val="22"/>
        </w:rPr>
        <w:t>(</w:t>
      </w:r>
      <w:r w:rsidRPr="0016653E">
        <w:rPr>
          <w:rFonts w:cs="Arial"/>
          <w:szCs w:val="22"/>
        </w:rPr>
        <w:t>2025</w:t>
      </w:r>
      <w:r w:rsidR="00F06544">
        <w:rPr>
          <w:rFonts w:cs="Arial"/>
          <w:szCs w:val="22"/>
        </w:rPr>
        <w:t>)</w:t>
      </w:r>
      <w:r w:rsidRPr="0016653E">
        <w:rPr>
          <w:rFonts w:cs="Arial"/>
          <w:szCs w:val="22"/>
        </w:rPr>
        <w:t xml:space="preserve">. </w:t>
      </w:r>
      <w:r w:rsidRPr="0016653E">
        <w:rPr>
          <w:rFonts w:cs="Arial"/>
          <w:i/>
          <w:iCs/>
          <w:szCs w:val="22"/>
        </w:rPr>
        <w:t>Understanding the biopsychosocial model of health and wellness</w:t>
      </w:r>
      <w:r w:rsidRPr="0016653E">
        <w:rPr>
          <w:rFonts w:cs="Arial"/>
          <w:szCs w:val="22"/>
        </w:rPr>
        <w:t>. [online] Available at: &lt;</w:t>
      </w:r>
      <w:r w:rsidRPr="0016653E">
        <w:rPr>
          <w:rStyle w:val="url"/>
          <w:rFonts w:cs="Arial"/>
          <w:szCs w:val="22"/>
        </w:rPr>
        <w:t>https://www.verywellmind.com/understanding-the-biopsychosocial-model-7549226</w:t>
      </w:r>
      <w:r w:rsidRPr="0016653E">
        <w:rPr>
          <w:rFonts w:cs="Arial"/>
          <w:szCs w:val="22"/>
        </w:rPr>
        <w:t>&gt; [Accessed 21 March 2026].</w:t>
      </w:r>
    </w:p>
    <w:p w14:paraId="551EB208" w14:textId="51C5EF1D" w:rsidR="0016653E" w:rsidRPr="0016653E" w:rsidRDefault="00760C78" w:rsidP="0016653E">
      <w:pPr>
        <w:rPr>
          <w:rFonts w:cs="Arial"/>
          <w:color w:val="222222"/>
          <w:szCs w:val="22"/>
          <w:shd w:val="clear" w:color="auto" w:fill="FFFFFF"/>
        </w:rPr>
      </w:pPr>
      <w:r w:rsidRPr="0016653E">
        <w:rPr>
          <w:rFonts w:cs="Arial"/>
          <w:color w:val="222222"/>
          <w:szCs w:val="22"/>
          <w:shd w:val="clear" w:color="auto" w:fill="FFFFFF"/>
        </w:rPr>
        <w:t xml:space="preserve">Morgan, J. and </w:t>
      </w:r>
      <w:proofErr w:type="spellStart"/>
      <w:r w:rsidRPr="0016653E">
        <w:rPr>
          <w:rFonts w:cs="Arial"/>
          <w:color w:val="222222"/>
          <w:szCs w:val="22"/>
          <w:shd w:val="clear" w:color="auto" w:fill="FFFFFF"/>
        </w:rPr>
        <w:t>Yaskey</w:t>
      </w:r>
      <w:proofErr w:type="spellEnd"/>
      <w:r w:rsidRPr="0016653E">
        <w:rPr>
          <w:rFonts w:cs="Arial"/>
          <w:color w:val="222222"/>
          <w:szCs w:val="22"/>
          <w:shd w:val="clear" w:color="auto" w:fill="FFFFFF"/>
        </w:rPr>
        <w:t xml:space="preserve">, J., </w:t>
      </w:r>
      <w:r w:rsidR="00F06544">
        <w:rPr>
          <w:rFonts w:cs="Arial"/>
          <w:color w:val="222222"/>
          <w:szCs w:val="22"/>
          <w:shd w:val="clear" w:color="auto" w:fill="FFFFFF"/>
        </w:rPr>
        <w:t>(</w:t>
      </w:r>
      <w:r w:rsidRPr="0016653E">
        <w:rPr>
          <w:rFonts w:cs="Arial"/>
          <w:color w:val="222222"/>
          <w:szCs w:val="22"/>
          <w:shd w:val="clear" w:color="auto" w:fill="FFFFFF"/>
        </w:rPr>
        <w:t>2025</w:t>
      </w:r>
      <w:r w:rsidR="00F06544">
        <w:rPr>
          <w:rFonts w:cs="Arial"/>
          <w:color w:val="222222"/>
          <w:szCs w:val="22"/>
          <w:shd w:val="clear" w:color="auto" w:fill="FFFFFF"/>
        </w:rPr>
        <w:t>)</w:t>
      </w:r>
      <w:r w:rsidRPr="0016653E">
        <w:rPr>
          <w:rFonts w:cs="Arial"/>
          <w:color w:val="222222"/>
          <w:szCs w:val="22"/>
          <w:shd w:val="clear" w:color="auto" w:fill="FFFFFF"/>
        </w:rPr>
        <w:t>. Partnership working in health and social care. In </w:t>
      </w:r>
      <w:r w:rsidRPr="0016653E">
        <w:rPr>
          <w:rFonts w:cs="Arial"/>
          <w:i/>
          <w:iCs/>
          <w:color w:val="222222"/>
          <w:szCs w:val="22"/>
          <w:shd w:val="clear" w:color="auto" w:fill="FFFFFF"/>
        </w:rPr>
        <w:t>Contemporary Issues in Health and Social Care Policy and Practice</w:t>
      </w:r>
      <w:r w:rsidRPr="0016653E">
        <w:rPr>
          <w:rFonts w:cs="Arial"/>
          <w:color w:val="222222"/>
          <w:szCs w:val="22"/>
          <w:shd w:val="clear" w:color="auto" w:fill="FFFFFF"/>
        </w:rPr>
        <w:t> (pp. 68-82). Routledge.</w:t>
      </w:r>
    </w:p>
    <w:p w14:paraId="15A0B6E6" w14:textId="25C4587D" w:rsidR="0016653E" w:rsidRPr="0016653E" w:rsidRDefault="00760C78" w:rsidP="0016653E">
      <w:pPr>
        <w:rPr>
          <w:rFonts w:cs="Arial"/>
          <w:szCs w:val="22"/>
        </w:rPr>
      </w:pPr>
      <w:r w:rsidRPr="0016653E">
        <w:rPr>
          <w:rFonts w:cs="Arial"/>
          <w:szCs w:val="22"/>
        </w:rPr>
        <w:t xml:space="preserve">NHS England, </w:t>
      </w:r>
      <w:r w:rsidR="00F06544">
        <w:rPr>
          <w:rFonts w:cs="Arial"/>
          <w:szCs w:val="22"/>
        </w:rPr>
        <w:t>(</w:t>
      </w:r>
      <w:r w:rsidRPr="0016653E">
        <w:rPr>
          <w:rFonts w:cs="Arial"/>
          <w:szCs w:val="22"/>
        </w:rPr>
        <w:t>2022</w:t>
      </w:r>
      <w:r w:rsidR="00F06544">
        <w:rPr>
          <w:rFonts w:cs="Arial"/>
          <w:szCs w:val="22"/>
        </w:rPr>
        <w:t>)</w:t>
      </w:r>
      <w:r w:rsidRPr="0016653E">
        <w:rPr>
          <w:rFonts w:cs="Arial"/>
          <w:szCs w:val="22"/>
        </w:rPr>
        <w:t xml:space="preserve">. </w:t>
      </w:r>
      <w:r w:rsidRPr="0016653E">
        <w:rPr>
          <w:rFonts w:cs="Arial"/>
          <w:i/>
          <w:iCs/>
          <w:szCs w:val="22"/>
        </w:rPr>
        <w:t>What are Integrated Care Systems?</w:t>
      </w:r>
      <w:r w:rsidRPr="0016653E">
        <w:rPr>
          <w:rFonts w:cs="Arial"/>
          <w:szCs w:val="22"/>
        </w:rPr>
        <w:t xml:space="preserve"> [online] NHS England. Available at: &lt;https://www.england.nhs.uk/integratedcare/what-is-integrated-care/&gt;.</w:t>
      </w:r>
      <w:r>
        <w:rPr>
          <w:rFonts w:cs="Arial"/>
          <w:szCs w:val="22"/>
        </w:rPr>
        <w:t xml:space="preserve"> </w:t>
      </w:r>
      <w:r w:rsidRPr="0016653E">
        <w:rPr>
          <w:rFonts w:cs="Arial"/>
          <w:szCs w:val="22"/>
        </w:rPr>
        <w:t>[Accessed 21 March 2026].</w:t>
      </w:r>
    </w:p>
    <w:p w14:paraId="51954ECD" w14:textId="0D8E4447" w:rsidR="0016653E" w:rsidRPr="0016653E" w:rsidRDefault="00760C78" w:rsidP="0016653E">
      <w:pPr>
        <w:rPr>
          <w:rFonts w:cs="Arial"/>
          <w:szCs w:val="22"/>
        </w:rPr>
      </w:pPr>
      <w:r w:rsidRPr="0016653E">
        <w:rPr>
          <w:rFonts w:cs="Arial"/>
          <w:szCs w:val="22"/>
        </w:rPr>
        <w:t xml:space="preserve">Participation, E., </w:t>
      </w:r>
      <w:r w:rsidR="00F06544">
        <w:rPr>
          <w:rFonts w:cs="Arial"/>
          <w:szCs w:val="22"/>
        </w:rPr>
        <w:t>(</w:t>
      </w:r>
      <w:proofErr w:type="spellStart"/>
      <w:r w:rsidRPr="0016653E">
        <w:rPr>
          <w:rFonts w:cs="Arial"/>
          <w:szCs w:val="22"/>
        </w:rPr>
        <w:t>n.d.</w:t>
      </w:r>
      <w:proofErr w:type="spellEnd"/>
      <w:r w:rsidR="00F06544">
        <w:rPr>
          <w:rFonts w:cs="Arial"/>
          <w:szCs w:val="22"/>
        </w:rPr>
        <w:t>)</w:t>
      </w:r>
      <w:r w:rsidRPr="0016653E">
        <w:rPr>
          <w:rFonts w:cs="Arial"/>
          <w:szCs w:val="22"/>
        </w:rPr>
        <w:t xml:space="preserve"> </w:t>
      </w:r>
      <w:r w:rsidRPr="0016653E">
        <w:rPr>
          <w:rFonts w:cs="Arial"/>
          <w:i/>
          <w:iCs/>
          <w:szCs w:val="22"/>
        </w:rPr>
        <w:t>Health and Social Care Act 2012</w:t>
      </w:r>
      <w:r w:rsidRPr="0016653E">
        <w:rPr>
          <w:rFonts w:cs="Arial"/>
          <w:szCs w:val="22"/>
        </w:rPr>
        <w:t>. [online] Available at: &lt;</w:t>
      </w:r>
      <w:r w:rsidRPr="0016653E">
        <w:rPr>
          <w:rStyle w:val="url"/>
          <w:rFonts w:cs="Arial"/>
          <w:szCs w:val="22"/>
        </w:rPr>
        <w:t>https://www.legislation.gov.uk/ukpga/2012/7/section/26</w:t>
      </w:r>
      <w:r w:rsidRPr="0016653E">
        <w:rPr>
          <w:rFonts w:cs="Arial"/>
          <w:szCs w:val="22"/>
        </w:rPr>
        <w:t>&gt;.</w:t>
      </w:r>
      <w:r>
        <w:rPr>
          <w:rFonts w:cs="Arial"/>
          <w:szCs w:val="22"/>
        </w:rPr>
        <w:t xml:space="preserve"> </w:t>
      </w:r>
      <w:r w:rsidRPr="0016653E">
        <w:rPr>
          <w:rFonts w:cs="Arial"/>
          <w:szCs w:val="22"/>
        </w:rPr>
        <w:t>[Accessed 21 March 2026].</w:t>
      </w:r>
    </w:p>
    <w:p w14:paraId="67FCDF9E" w14:textId="7E3B4210" w:rsidR="0016653E" w:rsidRPr="0016653E" w:rsidRDefault="00760C78" w:rsidP="0016653E">
      <w:pPr>
        <w:rPr>
          <w:rFonts w:cs="Arial"/>
          <w:szCs w:val="22"/>
        </w:rPr>
      </w:pPr>
      <w:r w:rsidRPr="0016653E">
        <w:rPr>
          <w:rFonts w:cs="Arial"/>
          <w:szCs w:val="22"/>
        </w:rPr>
        <w:t xml:space="preserve">PFC, </w:t>
      </w:r>
      <w:r w:rsidR="00F06544">
        <w:rPr>
          <w:rFonts w:cs="Arial"/>
          <w:szCs w:val="22"/>
        </w:rPr>
        <w:t>(</w:t>
      </w:r>
      <w:r w:rsidRPr="0016653E">
        <w:rPr>
          <w:rFonts w:cs="Arial"/>
          <w:szCs w:val="22"/>
        </w:rPr>
        <w:t>2026</w:t>
      </w:r>
      <w:r w:rsidR="00F06544">
        <w:rPr>
          <w:rFonts w:cs="Arial"/>
          <w:szCs w:val="22"/>
        </w:rPr>
        <w:t>)</w:t>
      </w:r>
      <w:r w:rsidRPr="0016653E">
        <w:rPr>
          <w:rFonts w:cs="Arial"/>
          <w:szCs w:val="22"/>
        </w:rPr>
        <w:t xml:space="preserve">. </w:t>
      </w:r>
      <w:r w:rsidRPr="0016653E">
        <w:rPr>
          <w:rFonts w:cs="Arial"/>
          <w:i/>
          <w:iCs/>
          <w:szCs w:val="22"/>
        </w:rPr>
        <w:t>Human Rights Act 1998</w:t>
      </w:r>
      <w:r w:rsidRPr="0016653E">
        <w:rPr>
          <w:rFonts w:cs="Arial"/>
          <w:szCs w:val="22"/>
        </w:rPr>
        <w:t>. [online] PFC. Available at: &lt;</w:t>
      </w:r>
      <w:r w:rsidRPr="0016653E">
        <w:rPr>
          <w:rStyle w:val="url"/>
          <w:rFonts w:cs="Arial"/>
          <w:szCs w:val="22"/>
        </w:rPr>
        <w:t>http://www.pfc.org.uk/HumanRightsAct1998.html</w:t>
      </w:r>
      <w:r w:rsidRPr="0016653E">
        <w:rPr>
          <w:rFonts w:cs="Arial"/>
          <w:szCs w:val="22"/>
        </w:rPr>
        <w:t>&gt; [Accessed 21 March 2026].</w:t>
      </w:r>
    </w:p>
    <w:p w14:paraId="6B1BA5BC" w14:textId="2B1E1BC0" w:rsidR="0016653E" w:rsidRPr="0016653E" w:rsidRDefault="00760C78" w:rsidP="0016653E">
      <w:pPr>
        <w:rPr>
          <w:rFonts w:cs="Arial"/>
          <w:szCs w:val="22"/>
        </w:rPr>
      </w:pPr>
      <w:r w:rsidRPr="0016653E">
        <w:rPr>
          <w:rFonts w:cs="Arial"/>
          <w:szCs w:val="22"/>
        </w:rPr>
        <w:t xml:space="preserve">Radar healthcare, </w:t>
      </w:r>
      <w:r w:rsidR="00F06544">
        <w:rPr>
          <w:rFonts w:cs="Arial"/>
          <w:szCs w:val="22"/>
        </w:rPr>
        <w:t>(</w:t>
      </w:r>
      <w:r w:rsidRPr="0016653E">
        <w:rPr>
          <w:rFonts w:cs="Arial"/>
          <w:szCs w:val="22"/>
        </w:rPr>
        <w:t>2026</w:t>
      </w:r>
      <w:r w:rsidR="00F06544">
        <w:rPr>
          <w:rFonts w:cs="Arial"/>
          <w:szCs w:val="22"/>
        </w:rPr>
        <w:t>)</w:t>
      </w:r>
      <w:r w:rsidRPr="0016653E">
        <w:rPr>
          <w:rFonts w:cs="Arial"/>
          <w:szCs w:val="22"/>
        </w:rPr>
        <w:t xml:space="preserve">. </w:t>
      </w:r>
      <w:r w:rsidRPr="0016653E">
        <w:rPr>
          <w:rFonts w:cs="Arial"/>
          <w:i/>
          <w:iCs/>
          <w:szCs w:val="22"/>
        </w:rPr>
        <w:t>What is an ICS?</w:t>
      </w:r>
      <w:r w:rsidRPr="0016653E">
        <w:rPr>
          <w:rFonts w:cs="Arial"/>
          <w:szCs w:val="22"/>
        </w:rPr>
        <w:t xml:space="preserve"> [online] </w:t>
      </w:r>
      <w:proofErr w:type="spellStart"/>
      <w:r w:rsidRPr="0016653E">
        <w:rPr>
          <w:rFonts w:cs="Arial"/>
          <w:szCs w:val="22"/>
        </w:rPr>
        <w:t>Radarhealthcare</w:t>
      </w:r>
      <w:proofErr w:type="spellEnd"/>
      <w:r w:rsidRPr="0016653E">
        <w:rPr>
          <w:rFonts w:cs="Arial"/>
          <w:szCs w:val="22"/>
        </w:rPr>
        <w:t>. Available at: &lt;</w:t>
      </w:r>
      <w:r w:rsidRPr="0016653E">
        <w:rPr>
          <w:rStyle w:val="url"/>
          <w:rFonts w:cs="Arial"/>
          <w:szCs w:val="22"/>
        </w:rPr>
        <w:t>https://radarhealthcare.com/news-blogs/what-is-an-ics/</w:t>
      </w:r>
      <w:r w:rsidRPr="0016653E">
        <w:rPr>
          <w:rFonts w:cs="Arial"/>
          <w:szCs w:val="22"/>
        </w:rPr>
        <w:t>&gt; [Accessed 21 March 2026].</w:t>
      </w:r>
    </w:p>
    <w:p w14:paraId="1EB2085F" w14:textId="5D40ED20" w:rsidR="0016653E" w:rsidRPr="0016653E" w:rsidRDefault="00760C78" w:rsidP="0016653E">
      <w:pPr>
        <w:rPr>
          <w:rFonts w:cs="Arial"/>
          <w:szCs w:val="22"/>
        </w:rPr>
      </w:pPr>
      <w:r w:rsidRPr="0016653E">
        <w:rPr>
          <w:rFonts w:cs="Arial"/>
          <w:szCs w:val="22"/>
        </w:rPr>
        <w:t xml:space="preserve">Reeves, S., </w:t>
      </w:r>
      <w:proofErr w:type="spellStart"/>
      <w:r w:rsidRPr="0016653E">
        <w:rPr>
          <w:rFonts w:cs="Arial"/>
          <w:szCs w:val="22"/>
        </w:rPr>
        <w:t>Pelone</w:t>
      </w:r>
      <w:proofErr w:type="spellEnd"/>
      <w:r w:rsidRPr="0016653E">
        <w:rPr>
          <w:rFonts w:cs="Arial"/>
          <w:szCs w:val="22"/>
        </w:rPr>
        <w:t xml:space="preserve">, F., Harrison, R., Goldman, J. and </w:t>
      </w:r>
      <w:proofErr w:type="spellStart"/>
      <w:r w:rsidRPr="0016653E">
        <w:rPr>
          <w:rFonts w:cs="Arial"/>
          <w:szCs w:val="22"/>
        </w:rPr>
        <w:t>Zwarenstein</w:t>
      </w:r>
      <w:proofErr w:type="spellEnd"/>
      <w:r w:rsidRPr="0016653E">
        <w:rPr>
          <w:rFonts w:cs="Arial"/>
          <w:szCs w:val="22"/>
        </w:rPr>
        <w:t xml:space="preserve">, M., </w:t>
      </w:r>
      <w:r w:rsidR="00F06544">
        <w:rPr>
          <w:rFonts w:cs="Arial"/>
          <w:szCs w:val="22"/>
        </w:rPr>
        <w:t>(</w:t>
      </w:r>
      <w:r w:rsidRPr="0016653E">
        <w:rPr>
          <w:rFonts w:cs="Arial"/>
          <w:szCs w:val="22"/>
        </w:rPr>
        <w:t>2017</w:t>
      </w:r>
      <w:r w:rsidR="00F06544">
        <w:rPr>
          <w:rFonts w:cs="Arial"/>
          <w:szCs w:val="22"/>
        </w:rPr>
        <w:t>)</w:t>
      </w:r>
      <w:r w:rsidRPr="0016653E">
        <w:rPr>
          <w:rFonts w:cs="Arial"/>
          <w:szCs w:val="22"/>
        </w:rPr>
        <w:t xml:space="preserve">. </w:t>
      </w:r>
      <w:proofErr w:type="spellStart"/>
      <w:r w:rsidRPr="0016653E">
        <w:rPr>
          <w:rFonts w:cs="Arial"/>
          <w:szCs w:val="22"/>
        </w:rPr>
        <w:t>Interprofessional</w:t>
      </w:r>
      <w:proofErr w:type="spellEnd"/>
      <w:r w:rsidRPr="0016653E">
        <w:rPr>
          <w:rFonts w:cs="Arial"/>
          <w:szCs w:val="22"/>
        </w:rPr>
        <w:t xml:space="preserve"> Collaboration to Improve Professional Practice and Healthcare Outcomes. </w:t>
      </w:r>
      <w:r w:rsidRPr="0016653E">
        <w:rPr>
          <w:rFonts w:cs="Arial"/>
          <w:i/>
          <w:iCs/>
          <w:szCs w:val="22"/>
        </w:rPr>
        <w:t>Cochrane Database of Systematic Reviews</w:t>
      </w:r>
      <w:r w:rsidRPr="0016653E">
        <w:rPr>
          <w:rFonts w:cs="Arial"/>
          <w:szCs w:val="22"/>
        </w:rPr>
        <w:t>, 6(6). https://doi.org/10.1002/14651858.cd000072.pub3.</w:t>
      </w:r>
    </w:p>
    <w:p w14:paraId="2EF7EDB8" w14:textId="48819369" w:rsidR="0016653E" w:rsidRPr="0016653E" w:rsidRDefault="00760C78" w:rsidP="0016653E">
      <w:pPr>
        <w:rPr>
          <w:rFonts w:cs="Arial"/>
          <w:szCs w:val="22"/>
        </w:rPr>
      </w:pPr>
      <w:r w:rsidRPr="0016653E">
        <w:rPr>
          <w:rFonts w:cs="Arial"/>
          <w:szCs w:val="22"/>
        </w:rPr>
        <w:t xml:space="preserve">Santana, M.J., </w:t>
      </w:r>
      <w:proofErr w:type="spellStart"/>
      <w:r w:rsidRPr="0016653E">
        <w:rPr>
          <w:rFonts w:cs="Arial"/>
          <w:szCs w:val="22"/>
        </w:rPr>
        <w:t>Manalili</w:t>
      </w:r>
      <w:proofErr w:type="spellEnd"/>
      <w:r w:rsidRPr="0016653E">
        <w:rPr>
          <w:rFonts w:cs="Arial"/>
          <w:szCs w:val="22"/>
        </w:rPr>
        <w:t xml:space="preserve">, K., Jolley, R.J., </w:t>
      </w:r>
      <w:proofErr w:type="spellStart"/>
      <w:r w:rsidRPr="0016653E">
        <w:rPr>
          <w:rFonts w:cs="Arial"/>
          <w:szCs w:val="22"/>
        </w:rPr>
        <w:t>Zelinsky</w:t>
      </w:r>
      <w:proofErr w:type="spellEnd"/>
      <w:r w:rsidRPr="0016653E">
        <w:rPr>
          <w:rFonts w:cs="Arial"/>
          <w:szCs w:val="22"/>
        </w:rPr>
        <w:t xml:space="preserve">, S., </w:t>
      </w:r>
      <w:proofErr w:type="spellStart"/>
      <w:r w:rsidRPr="0016653E">
        <w:rPr>
          <w:rFonts w:cs="Arial"/>
          <w:szCs w:val="22"/>
        </w:rPr>
        <w:t>Quan</w:t>
      </w:r>
      <w:proofErr w:type="spellEnd"/>
      <w:r w:rsidRPr="0016653E">
        <w:rPr>
          <w:rFonts w:cs="Arial"/>
          <w:szCs w:val="22"/>
        </w:rPr>
        <w:t xml:space="preserve">, H. and Lu, M., </w:t>
      </w:r>
      <w:r w:rsidR="00F06544">
        <w:rPr>
          <w:rFonts w:cs="Arial"/>
          <w:szCs w:val="22"/>
        </w:rPr>
        <w:t>(</w:t>
      </w:r>
      <w:r w:rsidRPr="0016653E">
        <w:rPr>
          <w:rFonts w:cs="Arial"/>
          <w:szCs w:val="22"/>
        </w:rPr>
        <w:t>2018</w:t>
      </w:r>
      <w:r w:rsidR="00F06544">
        <w:rPr>
          <w:rFonts w:cs="Arial"/>
          <w:szCs w:val="22"/>
        </w:rPr>
        <w:t>)</w:t>
      </w:r>
      <w:r w:rsidRPr="0016653E">
        <w:rPr>
          <w:rFonts w:cs="Arial"/>
          <w:szCs w:val="22"/>
        </w:rPr>
        <w:t>. How to practice person</w:t>
      </w:r>
      <w:r w:rsidRPr="0016653E">
        <w:rPr>
          <w:rFonts w:ascii="Cambria Math" w:hAnsi="Cambria Math" w:cs="Cambria Math"/>
          <w:szCs w:val="22"/>
        </w:rPr>
        <w:t>‐</w:t>
      </w:r>
      <w:r w:rsidRPr="0016653E">
        <w:rPr>
          <w:rFonts w:cs="Arial"/>
          <w:szCs w:val="22"/>
        </w:rPr>
        <w:t>centred care: A conceptual framework. </w:t>
      </w:r>
      <w:r w:rsidRPr="0016653E">
        <w:rPr>
          <w:rFonts w:cs="Arial"/>
          <w:i/>
          <w:iCs/>
          <w:szCs w:val="22"/>
        </w:rPr>
        <w:t>Health Expectations</w:t>
      </w:r>
      <w:r w:rsidRPr="0016653E">
        <w:rPr>
          <w:rFonts w:cs="Arial"/>
          <w:szCs w:val="22"/>
        </w:rPr>
        <w:t>, </w:t>
      </w:r>
      <w:r w:rsidRPr="0016653E">
        <w:rPr>
          <w:rFonts w:cs="Arial"/>
          <w:i/>
          <w:iCs/>
          <w:szCs w:val="22"/>
        </w:rPr>
        <w:t>21</w:t>
      </w:r>
      <w:r w:rsidRPr="0016653E">
        <w:rPr>
          <w:rFonts w:cs="Arial"/>
          <w:szCs w:val="22"/>
        </w:rPr>
        <w:t>(2), pp.429-440.</w:t>
      </w:r>
    </w:p>
    <w:p w14:paraId="78677113" w14:textId="1E9E3A01" w:rsidR="0016653E" w:rsidRPr="0016653E" w:rsidRDefault="00760C78" w:rsidP="0016653E">
      <w:pPr>
        <w:rPr>
          <w:rFonts w:cs="Arial"/>
          <w:szCs w:val="22"/>
        </w:rPr>
      </w:pPr>
      <w:r w:rsidRPr="0016653E">
        <w:rPr>
          <w:rFonts w:cs="Arial"/>
          <w:szCs w:val="22"/>
        </w:rPr>
        <w:t xml:space="preserve">Skills for Health, </w:t>
      </w:r>
      <w:r w:rsidR="00F06544">
        <w:rPr>
          <w:rFonts w:cs="Arial"/>
          <w:szCs w:val="22"/>
        </w:rPr>
        <w:t>(</w:t>
      </w:r>
      <w:r w:rsidRPr="0016653E">
        <w:rPr>
          <w:rFonts w:cs="Arial"/>
          <w:szCs w:val="22"/>
        </w:rPr>
        <w:t>2025</w:t>
      </w:r>
      <w:r w:rsidR="00F06544">
        <w:rPr>
          <w:rFonts w:cs="Arial"/>
          <w:szCs w:val="22"/>
        </w:rPr>
        <w:t>)</w:t>
      </w:r>
      <w:r w:rsidRPr="0016653E">
        <w:rPr>
          <w:rFonts w:cs="Arial"/>
          <w:szCs w:val="22"/>
        </w:rPr>
        <w:t xml:space="preserve">. </w:t>
      </w:r>
      <w:r w:rsidRPr="0016653E">
        <w:rPr>
          <w:rFonts w:cs="Arial"/>
          <w:i/>
          <w:iCs/>
          <w:szCs w:val="22"/>
        </w:rPr>
        <w:t>Person Centred Care: Meaning &amp; Implications</w:t>
      </w:r>
      <w:r w:rsidRPr="0016653E">
        <w:rPr>
          <w:rFonts w:cs="Arial"/>
          <w:szCs w:val="22"/>
        </w:rPr>
        <w:t>. [online] Skills for Health. Available at: &lt;https://www.skillsforhealth.org.uk/article/person-centred-care-meaning-implications/&gt;.</w:t>
      </w:r>
      <w:r>
        <w:rPr>
          <w:rFonts w:cs="Arial"/>
          <w:szCs w:val="22"/>
        </w:rPr>
        <w:t xml:space="preserve"> </w:t>
      </w:r>
      <w:r w:rsidRPr="0016653E">
        <w:rPr>
          <w:rFonts w:cs="Arial"/>
          <w:szCs w:val="22"/>
        </w:rPr>
        <w:t>[Accessed 21 March 2026].</w:t>
      </w:r>
    </w:p>
    <w:p w14:paraId="3369DFD0" w14:textId="547F8F6D" w:rsidR="0016653E" w:rsidRPr="0016653E" w:rsidRDefault="00760C78" w:rsidP="0016653E">
      <w:pPr>
        <w:rPr>
          <w:rFonts w:cs="Arial"/>
          <w:szCs w:val="22"/>
        </w:rPr>
      </w:pPr>
      <w:proofErr w:type="spellStart"/>
      <w:r w:rsidRPr="0016653E">
        <w:rPr>
          <w:rFonts w:cs="Arial"/>
          <w:szCs w:val="22"/>
        </w:rPr>
        <w:t>tri.x</w:t>
      </w:r>
      <w:proofErr w:type="spellEnd"/>
      <w:r w:rsidRPr="0016653E">
        <w:rPr>
          <w:rFonts w:cs="Arial"/>
          <w:szCs w:val="22"/>
        </w:rPr>
        <w:t xml:space="preserve">, </w:t>
      </w:r>
      <w:r w:rsidR="00F06544">
        <w:rPr>
          <w:rFonts w:cs="Arial"/>
          <w:szCs w:val="22"/>
        </w:rPr>
        <w:t>(</w:t>
      </w:r>
      <w:r w:rsidRPr="0016653E">
        <w:rPr>
          <w:rFonts w:cs="Arial"/>
          <w:szCs w:val="22"/>
        </w:rPr>
        <w:t>2024</w:t>
      </w:r>
      <w:r w:rsidR="00F06544">
        <w:rPr>
          <w:rFonts w:cs="Arial"/>
          <w:szCs w:val="22"/>
        </w:rPr>
        <w:t>)</w:t>
      </w:r>
      <w:r w:rsidRPr="0016653E">
        <w:rPr>
          <w:rFonts w:cs="Arial"/>
          <w:szCs w:val="22"/>
        </w:rPr>
        <w:t xml:space="preserve">. </w:t>
      </w:r>
      <w:r w:rsidRPr="0016653E">
        <w:rPr>
          <w:rFonts w:cs="Arial"/>
          <w:i/>
          <w:iCs/>
          <w:szCs w:val="22"/>
        </w:rPr>
        <w:t>Promoting Individual Wellbeing</w:t>
      </w:r>
      <w:r w:rsidRPr="0016653E">
        <w:rPr>
          <w:rFonts w:cs="Arial"/>
          <w:szCs w:val="22"/>
        </w:rPr>
        <w:t>. [online] careact.trixonline.co.uk. Available at: &lt;https://careact.trixonline.co.uk/chapter/promoting-individual-wellbeing&gt;.</w:t>
      </w:r>
      <w:r>
        <w:rPr>
          <w:rFonts w:cs="Arial"/>
          <w:szCs w:val="22"/>
        </w:rPr>
        <w:t xml:space="preserve"> </w:t>
      </w:r>
      <w:r w:rsidRPr="0016653E">
        <w:rPr>
          <w:rFonts w:cs="Arial"/>
          <w:szCs w:val="22"/>
        </w:rPr>
        <w:t>[Accessed 21 March 2026].</w:t>
      </w:r>
    </w:p>
    <w:p w14:paraId="7FBBF66A" w14:textId="77777777" w:rsidR="0016653E" w:rsidRDefault="0016653E" w:rsidP="0016653E"/>
    <w:p w14:paraId="68E94820" w14:textId="77777777" w:rsidR="0016653E" w:rsidRPr="004C55D3" w:rsidRDefault="0016653E" w:rsidP="004C55D3">
      <w:pPr>
        <w:rPr>
          <w:lang w:val="en-US"/>
        </w:rPr>
      </w:pPr>
    </w:p>
    <w:sectPr w:rsidR="0016653E" w:rsidRPr="004C55D3" w:rsidSect="00605824">
      <w:footerReference w:type="even" r:id="rId14"/>
      <w:footerReference w:type="default" r:id="rId15"/>
      <w:pgSz w:w="11906" w:h="16838"/>
      <w:pgMar w:top="1440" w:right="1440" w:bottom="1440" w:left="1440" w:header="708" w:footer="708" w:gutter="0"/>
      <w:pgBorders w:offsetFrom="page">
        <w:top w:val="threeDEngrave" w:sz="6" w:space="24" w:color="auto"/>
        <w:left w:val="threeDEngrave" w:sz="6" w:space="24" w:color="auto"/>
        <w:bottom w:val="threeDEmboss" w:sz="6" w:space="24" w:color="auto"/>
        <w:right w:val="threeDEmboss" w:sz="6"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0E965C" w14:textId="77777777" w:rsidR="00AB1F99" w:rsidRDefault="00AB1F99">
      <w:pPr>
        <w:spacing w:after="0" w:line="240" w:lineRule="auto"/>
      </w:pPr>
      <w:r>
        <w:separator/>
      </w:r>
    </w:p>
  </w:endnote>
  <w:endnote w:type="continuationSeparator" w:id="0">
    <w:p w14:paraId="6FFA0697" w14:textId="77777777" w:rsidR="00AB1F99" w:rsidRDefault="00AB1F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34618944"/>
      <w:docPartObj>
        <w:docPartGallery w:val="Page Numbers (Bottom of Page)"/>
        <w:docPartUnique/>
      </w:docPartObj>
    </w:sdtPr>
    <w:sdtEndPr>
      <w:rPr>
        <w:rStyle w:val="PageNumber"/>
      </w:rPr>
    </w:sdtEndPr>
    <w:sdtContent>
      <w:p w14:paraId="6B701D80" w14:textId="77777777" w:rsidR="00605824" w:rsidRDefault="00760C78" w:rsidP="0094378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4728A3C5" w14:textId="77777777" w:rsidR="00605824" w:rsidRDefault="00605824" w:rsidP="0060582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09928864"/>
      <w:docPartObj>
        <w:docPartGallery w:val="Page Numbers (Bottom of Page)"/>
        <w:docPartUnique/>
      </w:docPartObj>
    </w:sdtPr>
    <w:sdtEndPr>
      <w:rPr>
        <w:rStyle w:val="PageNumber"/>
      </w:rPr>
    </w:sdtEndPr>
    <w:sdtContent>
      <w:p w14:paraId="42918628" w14:textId="77777777" w:rsidR="00605824" w:rsidRDefault="00760C78" w:rsidP="0094378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6</w:t>
        </w:r>
        <w:r>
          <w:rPr>
            <w:rStyle w:val="PageNumber"/>
          </w:rPr>
          <w:fldChar w:fldCharType="end"/>
        </w:r>
      </w:p>
    </w:sdtContent>
  </w:sdt>
  <w:p w14:paraId="63D48612" w14:textId="77777777" w:rsidR="00605824" w:rsidRDefault="00605824" w:rsidP="0060582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9B7343" w14:textId="77777777" w:rsidR="00AB1F99" w:rsidRDefault="00AB1F99">
      <w:pPr>
        <w:spacing w:after="0" w:line="240" w:lineRule="auto"/>
      </w:pPr>
      <w:r>
        <w:separator/>
      </w:r>
    </w:p>
  </w:footnote>
  <w:footnote w:type="continuationSeparator" w:id="0">
    <w:p w14:paraId="6CE28AD5" w14:textId="77777777" w:rsidR="00AB1F99" w:rsidRDefault="00AB1F9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4A1DF5"/>
    <w:multiLevelType w:val="multilevel"/>
    <w:tmpl w:val="EBDA9B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A263E6D"/>
    <w:multiLevelType w:val="multilevel"/>
    <w:tmpl w:val="196469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5AF2B14"/>
    <w:multiLevelType w:val="multilevel"/>
    <w:tmpl w:val="99C8FE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41254954">
    <w:abstractNumId w:val="1"/>
  </w:num>
  <w:num w:numId="2" w16cid:durableId="659431180">
    <w:abstractNumId w:val="0"/>
  </w:num>
  <w:num w:numId="3" w16cid:durableId="208386936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57"/>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5824"/>
    <w:rsid w:val="00016647"/>
    <w:rsid w:val="00067AA5"/>
    <w:rsid w:val="00133B1F"/>
    <w:rsid w:val="0016653E"/>
    <w:rsid w:val="00253A29"/>
    <w:rsid w:val="002E36D7"/>
    <w:rsid w:val="003625E3"/>
    <w:rsid w:val="003C097A"/>
    <w:rsid w:val="003C4905"/>
    <w:rsid w:val="00455526"/>
    <w:rsid w:val="004C55D3"/>
    <w:rsid w:val="00605824"/>
    <w:rsid w:val="00611AC2"/>
    <w:rsid w:val="00632DCC"/>
    <w:rsid w:val="006A2311"/>
    <w:rsid w:val="00722BE7"/>
    <w:rsid w:val="00760C78"/>
    <w:rsid w:val="007A5A8D"/>
    <w:rsid w:val="0081092A"/>
    <w:rsid w:val="00922DF9"/>
    <w:rsid w:val="00925E97"/>
    <w:rsid w:val="0094378A"/>
    <w:rsid w:val="009671AE"/>
    <w:rsid w:val="00976ACF"/>
    <w:rsid w:val="00990CDC"/>
    <w:rsid w:val="00A72856"/>
    <w:rsid w:val="00A82858"/>
    <w:rsid w:val="00AB1F99"/>
    <w:rsid w:val="00AD0074"/>
    <w:rsid w:val="00B16193"/>
    <w:rsid w:val="00CC0E66"/>
    <w:rsid w:val="00D3114E"/>
    <w:rsid w:val="00D53E7F"/>
    <w:rsid w:val="00EE4AF2"/>
    <w:rsid w:val="00F02B42"/>
    <w:rsid w:val="00F06544"/>
    <w:rsid w:val="00F7135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C5BDA7"/>
  <w15:chartTrackingRefBased/>
  <w15:docId w15:val="{2F89AB61-6DC1-412D-86F6-FD48BCD410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5824"/>
    <w:pPr>
      <w:spacing w:line="360" w:lineRule="auto"/>
      <w:jc w:val="both"/>
    </w:pPr>
    <w:rPr>
      <w:rFonts w:ascii="Arial" w:hAnsi="Arial"/>
      <w:sz w:val="22"/>
    </w:rPr>
  </w:style>
  <w:style w:type="paragraph" w:styleId="Heading1">
    <w:name w:val="heading 1"/>
    <w:basedOn w:val="Normal"/>
    <w:next w:val="Normal"/>
    <w:link w:val="Heading1Char"/>
    <w:uiPriority w:val="9"/>
    <w:qFormat/>
    <w:rsid w:val="0016653E"/>
    <w:pPr>
      <w:outlineLvl w:val="0"/>
    </w:pPr>
    <w:rPr>
      <w:b/>
      <w:bCs/>
      <w:sz w:val="24"/>
      <w:szCs w:val="28"/>
      <w:lang w:val="en-US"/>
    </w:rPr>
  </w:style>
  <w:style w:type="paragraph" w:styleId="Heading2">
    <w:name w:val="heading 2"/>
    <w:basedOn w:val="Normal"/>
    <w:next w:val="Normal"/>
    <w:link w:val="Heading2Char"/>
    <w:uiPriority w:val="9"/>
    <w:unhideWhenUsed/>
    <w:qFormat/>
    <w:rsid w:val="00605824"/>
    <w:pPr>
      <w:outlineLvl w:val="1"/>
    </w:pPr>
    <w:rPr>
      <w:rFonts w:eastAsia="Times New Roman"/>
      <w:b/>
      <w:bCs/>
      <w:kern w:val="0"/>
      <w:lang w:eastAsia="en-GB"/>
      <w14:ligatures w14:val="none"/>
    </w:rPr>
  </w:style>
  <w:style w:type="paragraph" w:styleId="Heading3">
    <w:name w:val="heading 3"/>
    <w:basedOn w:val="Normal"/>
    <w:next w:val="Normal"/>
    <w:link w:val="Heading3Char"/>
    <w:uiPriority w:val="9"/>
    <w:unhideWhenUsed/>
    <w:qFormat/>
    <w:rsid w:val="00605824"/>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05824"/>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605824"/>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605824"/>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605824"/>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605824"/>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605824"/>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1">
    <w:name w:val="Style1"/>
    <w:basedOn w:val="TOCHeading"/>
    <w:autoRedefine/>
    <w:qFormat/>
    <w:rsid w:val="003C4905"/>
    <w:pPr>
      <w:adjustRightInd w:val="0"/>
      <w:spacing w:before="480" w:line="480" w:lineRule="auto"/>
      <w:jc w:val="left"/>
    </w:pPr>
    <w:rPr>
      <w:rFonts w:ascii="Times New Roman" w:hAnsi="Times New Roman"/>
      <w:bCs w:val="0"/>
      <w:color w:val="000000" w:themeColor="text1"/>
      <w:kern w:val="0"/>
      <w:sz w:val="24"/>
      <w:szCs w:val="28"/>
      <w14:ligatures w14:val="none"/>
    </w:rPr>
  </w:style>
  <w:style w:type="character" w:customStyle="1" w:styleId="Heading1Char">
    <w:name w:val="Heading 1 Char"/>
    <w:basedOn w:val="DefaultParagraphFont"/>
    <w:link w:val="Heading1"/>
    <w:uiPriority w:val="9"/>
    <w:rsid w:val="0016653E"/>
    <w:rPr>
      <w:rFonts w:ascii="Arial" w:hAnsi="Arial"/>
      <w:b/>
      <w:bCs/>
      <w:szCs w:val="28"/>
      <w:lang w:val="en-US"/>
    </w:rPr>
  </w:style>
  <w:style w:type="paragraph" w:styleId="TOCHeading">
    <w:name w:val="TOC Heading"/>
    <w:basedOn w:val="Heading1"/>
    <w:next w:val="Normal"/>
    <w:uiPriority w:val="39"/>
    <w:unhideWhenUsed/>
    <w:qFormat/>
    <w:rsid w:val="003C4905"/>
    <w:pPr>
      <w:spacing w:before="240" w:after="0"/>
      <w:outlineLvl w:val="9"/>
    </w:pPr>
    <w:rPr>
      <w:sz w:val="32"/>
      <w:szCs w:val="32"/>
    </w:rPr>
  </w:style>
  <w:style w:type="character" w:customStyle="1" w:styleId="Heading2Char">
    <w:name w:val="Heading 2 Char"/>
    <w:basedOn w:val="DefaultParagraphFont"/>
    <w:link w:val="Heading2"/>
    <w:uiPriority w:val="9"/>
    <w:rsid w:val="00605824"/>
    <w:rPr>
      <w:rFonts w:ascii="Arial" w:eastAsia="Times New Roman" w:hAnsi="Arial"/>
      <w:b/>
      <w:bCs/>
      <w:kern w:val="0"/>
      <w:sz w:val="22"/>
      <w:lang w:eastAsia="en-GB"/>
      <w14:ligatures w14:val="none"/>
    </w:rPr>
  </w:style>
  <w:style w:type="character" w:customStyle="1" w:styleId="Heading3Char">
    <w:name w:val="Heading 3 Char"/>
    <w:basedOn w:val="DefaultParagraphFont"/>
    <w:link w:val="Heading3"/>
    <w:uiPriority w:val="9"/>
    <w:rsid w:val="0060582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0582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0582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0582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0582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0582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05824"/>
    <w:rPr>
      <w:rFonts w:eastAsiaTheme="majorEastAsia" w:cstheme="majorBidi"/>
      <w:color w:val="272727" w:themeColor="text1" w:themeTint="D8"/>
    </w:rPr>
  </w:style>
  <w:style w:type="paragraph" w:styleId="Title">
    <w:name w:val="Title"/>
    <w:basedOn w:val="Normal"/>
    <w:next w:val="Normal"/>
    <w:link w:val="TitleChar"/>
    <w:uiPriority w:val="10"/>
    <w:qFormat/>
    <w:rsid w:val="0060582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0582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05824"/>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0582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05824"/>
    <w:pPr>
      <w:spacing w:before="160"/>
      <w:jc w:val="center"/>
    </w:pPr>
    <w:rPr>
      <w:i/>
      <w:iCs/>
      <w:color w:val="404040" w:themeColor="text1" w:themeTint="BF"/>
    </w:rPr>
  </w:style>
  <w:style w:type="character" w:customStyle="1" w:styleId="QuoteChar">
    <w:name w:val="Quote Char"/>
    <w:basedOn w:val="DefaultParagraphFont"/>
    <w:link w:val="Quote"/>
    <w:uiPriority w:val="29"/>
    <w:rsid w:val="00605824"/>
    <w:rPr>
      <w:rFonts w:ascii="Times New Roman" w:hAnsi="Times New Roman"/>
      <w:i/>
      <w:iCs/>
      <w:color w:val="404040" w:themeColor="text1" w:themeTint="BF"/>
    </w:rPr>
  </w:style>
  <w:style w:type="paragraph" w:styleId="ListParagraph">
    <w:name w:val="List Paragraph"/>
    <w:basedOn w:val="Normal"/>
    <w:uiPriority w:val="34"/>
    <w:qFormat/>
    <w:rsid w:val="00605824"/>
    <w:pPr>
      <w:ind w:left="720"/>
      <w:contextualSpacing/>
    </w:pPr>
  </w:style>
  <w:style w:type="character" w:styleId="IntenseEmphasis">
    <w:name w:val="Intense Emphasis"/>
    <w:basedOn w:val="DefaultParagraphFont"/>
    <w:uiPriority w:val="21"/>
    <w:qFormat/>
    <w:rsid w:val="00605824"/>
    <w:rPr>
      <w:i/>
      <w:iCs/>
      <w:color w:val="0F4761" w:themeColor="accent1" w:themeShade="BF"/>
    </w:rPr>
  </w:style>
  <w:style w:type="paragraph" w:styleId="IntenseQuote">
    <w:name w:val="Intense Quote"/>
    <w:basedOn w:val="Normal"/>
    <w:next w:val="Normal"/>
    <w:link w:val="IntenseQuoteChar"/>
    <w:uiPriority w:val="30"/>
    <w:qFormat/>
    <w:rsid w:val="0060582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05824"/>
    <w:rPr>
      <w:rFonts w:ascii="Times New Roman" w:hAnsi="Times New Roman"/>
      <w:i/>
      <w:iCs/>
      <w:color w:val="0F4761" w:themeColor="accent1" w:themeShade="BF"/>
    </w:rPr>
  </w:style>
  <w:style w:type="character" w:styleId="IntenseReference">
    <w:name w:val="Intense Reference"/>
    <w:basedOn w:val="DefaultParagraphFont"/>
    <w:uiPriority w:val="32"/>
    <w:qFormat/>
    <w:rsid w:val="00605824"/>
    <w:rPr>
      <w:b/>
      <w:bCs/>
      <w:smallCaps/>
      <w:color w:val="0F4761" w:themeColor="accent1" w:themeShade="BF"/>
      <w:spacing w:val="5"/>
    </w:rPr>
  </w:style>
  <w:style w:type="paragraph" w:styleId="NormalWeb">
    <w:name w:val="Normal (Web)"/>
    <w:basedOn w:val="Normal"/>
    <w:uiPriority w:val="99"/>
    <w:semiHidden/>
    <w:unhideWhenUsed/>
    <w:rsid w:val="00605824"/>
    <w:pPr>
      <w:spacing w:before="100" w:beforeAutospacing="1" w:after="100" w:afterAutospacing="1" w:line="240" w:lineRule="auto"/>
      <w:jc w:val="left"/>
    </w:pPr>
    <w:rPr>
      <w:rFonts w:eastAsia="Times New Roman" w:cs="Times New Roman"/>
      <w:kern w:val="0"/>
      <w:lang w:eastAsia="en-GB"/>
      <w14:ligatures w14:val="none"/>
    </w:rPr>
  </w:style>
  <w:style w:type="character" w:styleId="Strong">
    <w:name w:val="Strong"/>
    <w:basedOn w:val="DefaultParagraphFont"/>
    <w:uiPriority w:val="22"/>
    <w:qFormat/>
    <w:rsid w:val="00605824"/>
    <w:rPr>
      <w:b/>
      <w:bCs/>
    </w:rPr>
  </w:style>
  <w:style w:type="character" w:styleId="Emphasis">
    <w:name w:val="Emphasis"/>
    <w:basedOn w:val="DefaultParagraphFont"/>
    <w:uiPriority w:val="20"/>
    <w:qFormat/>
    <w:rsid w:val="00605824"/>
    <w:rPr>
      <w:i/>
      <w:iCs/>
    </w:rPr>
  </w:style>
  <w:style w:type="table" w:styleId="GridTable1Light-Accent5">
    <w:name w:val="Grid Table 1 Light Accent 5"/>
    <w:basedOn w:val="TableNormal"/>
    <w:uiPriority w:val="46"/>
    <w:rsid w:val="00605824"/>
    <w:pPr>
      <w:spacing w:after="0" w:line="240" w:lineRule="auto"/>
    </w:pPr>
    <w:tblPr>
      <w:tblStyleRowBandSize w:val="1"/>
      <w:tblStyleColBandSize w:val="1"/>
      <w:tblBorders>
        <w:top w:val="single" w:sz="4" w:space="0" w:color="E59EDC" w:themeColor="accent5" w:themeTint="66"/>
        <w:left w:val="single" w:sz="4" w:space="0" w:color="E59EDC" w:themeColor="accent5" w:themeTint="66"/>
        <w:bottom w:val="single" w:sz="4" w:space="0" w:color="E59EDC" w:themeColor="accent5" w:themeTint="66"/>
        <w:right w:val="single" w:sz="4" w:space="0" w:color="E59EDC" w:themeColor="accent5" w:themeTint="66"/>
        <w:insideH w:val="single" w:sz="4" w:space="0" w:color="E59EDC" w:themeColor="accent5" w:themeTint="66"/>
        <w:insideV w:val="single" w:sz="4" w:space="0" w:color="E59EDC" w:themeColor="accent5" w:themeTint="66"/>
      </w:tblBorders>
    </w:tblPr>
    <w:tblStylePr w:type="firstRow">
      <w:rPr>
        <w:b/>
        <w:bCs/>
      </w:rPr>
      <w:tblPr/>
      <w:tcPr>
        <w:tcBorders>
          <w:bottom w:val="single" w:sz="12" w:space="0" w:color="D86DCB" w:themeColor="accent5" w:themeTint="99"/>
        </w:tcBorders>
      </w:tcPr>
    </w:tblStylePr>
    <w:tblStylePr w:type="lastRow">
      <w:rPr>
        <w:b/>
        <w:bCs/>
      </w:rPr>
      <w:tblPr/>
      <w:tcPr>
        <w:tcBorders>
          <w:top w:val="double" w:sz="2" w:space="0" w:color="D86DCB" w:themeColor="accent5" w:themeTint="99"/>
        </w:tcBorders>
      </w:tcPr>
    </w:tblStylePr>
    <w:tblStylePr w:type="firstCol">
      <w:rPr>
        <w:b/>
        <w:bCs/>
      </w:rPr>
    </w:tblStylePr>
    <w:tblStylePr w:type="lastCol">
      <w:rPr>
        <w:b/>
        <w:bCs/>
      </w:rPr>
    </w:tblStylePr>
  </w:style>
  <w:style w:type="paragraph" w:styleId="Header">
    <w:name w:val="header"/>
    <w:basedOn w:val="Normal"/>
    <w:link w:val="HeaderChar"/>
    <w:uiPriority w:val="99"/>
    <w:unhideWhenUsed/>
    <w:rsid w:val="006058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5824"/>
    <w:rPr>
      <w:rFonts w:ascii="Arial" w:hAnsi="Arial"/>
      <w:sz w:val="22"/>
    </w:rPr>
  </w:style>
  <w:style w:type="paragraph" w:styleId="Footer">
    <w:name w:val="footer"/>
    <w:basedOn w:val="Normal"/>
    <w:link w:val="FooterChar"/>
    <w:uiPriority w:val="99"/>
    <w:unhideWhenUsed/>
    <w:rsid w:val="006058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5824"/>
    <w:rPr>
      <w:rFonts w:ascii="Arial" w:hAnsi="Arial"/>
      <w:sz w:val="22"/>
    </w:rPr>
  </w:style>
  <w:style w:type="character" w:styleId="PageNumber">
    <w:name w:val="page number"/>
    <w:basedOn w:val="DefaultParagraphFont"/>
    <w:uiPriority w:val="99"/>
    <w:semiHidden/>
    <w:unhideWhenUsed/>
    <w:rsid w:val="00605824"/>
  </w:style>
  <w:style w:type="character" w:styleId="Hyperlink">
    <w:name w:val="Hyperlink"/>
    <w:basedOn w:val="DefaultParagraphFont"/>
    <w:uiPriority w:val="99"/>
    <w:unhideWhenUsed/>
    <w:rsid w:val="00AD0074"/>
    <w:rPr>
      <w:color w:val="467886" w:themeColor="hyperlink"/>
      <w:u w:val="single"/>
    </w:rPr>
  </w:style>
  <w:style w:type="character" w:styleId="UnresolvedMention">
    <w:name w:val="Unresolved Mention"/>
    <w:basedOn w:val="DefaultParagraphFont"/>
    <w:uiPriority w:val="99"/>
    <w:semiHidden/>
    <w:unhideWhenUsed/>
    <w:rsid w:val="00AD0074"/>
    <w:rPr>
      <w:color w:val="605E5C"/>
      <w:shd w:val="clear" w:color="auto" w:fill="E1DFDD"/>
    </w:rPr>
  </w:style>
  <w:style w:type="character" w:customStyle="1" w:styleId="url">
    <w:name w:val="url"/>
    <w:basedOn w:val="DefaultParagraphFont"/>
    <w:rsid w:val="00F71352"/>
  </w:style>
  <w:style w:type="paragraph" w:styleId="TOC1">
    <w:name w:val="toc 1"/>
    <w:basedOn w:val="Normal"/>
    <w:next w:val="Normal"/>
    <w:autoRedefine/>
    <w:uiPriority w:val="39"/>
    <w:unhideWhenUsed/>
    <w:rsid w:val="00F71352"/>
    <w:pPr>
      <w:spacing w:before="240" w:after="120"/>
      <w:jc w:val="left"/>
    </w:pPr>
    <w:rPr>
      <w:rFonts w:asciiTheme="minorHAnsi" w:hAnsiTheme="minorHAnsi"/>
      <w:b/>
      <w:bCs/>
      <w:sz w:val="20"/>
      <w:szCs w:val="20"/>
    </w:rPr>
  </w:style>
  <w:style w:type="paragraph" w:styleId="TOC2">
    <w:name w:val="toc 2"/>
    <w:basedOn w:val="Normal"/>
    <w:next w:val="Normal"/>
    <w:autoRedefine/>
    <w:uiPriority w:val="39"/>
    <w:unhideWhenUsed/>
    <w:rsid w:val="00F71352"/>
    <w:pPr>
      <w:spacing w:before="120" w:after="0"/>
      <w:ind w:left="220"/>
      <w:jc w:val="left"/>
    </w:pPr>
    <w:rPr>
      <w:rFonts w:asciiTheme="minorHAnsi" w:hAnsiTheme="minorHAnsi"/>
      <w:i/>
      <w:iCs/>
      <w:sz w:val="20"/>
      <w:szCs w:val="20"/>
    </w:rPr>
  </w:style>
  <w:style w:type="paragraph" w:styleId="TOC3">
    <w:name w:val="toc 3"/>
    <w:basedOn w:val="Normal"/>
    <w:next w:val="Normal"/>
    <w:autoRedefine/>
    <w:uiPriority w:val="39"/>
    <w:semiHidden/>
    <w:unhideWhenUsed/>
    <w:rsid w:val="00F71352"/>
    <w:pPr>
      <w:spacing w:after="0"/>
      <w:ind w:left="440"/>
      <w:jc w:val="left"/>
    </w:pPr>
    <w:rPr>
      <w:rFonts w:asciiTheme="minorHAnsi" w:hAnsiTheme="minorHAnsi"/>
      <w:sz w:val="20"/>
      <w:szCs w:val="20"/>
    </w:rPr>
  </w:style>
  <w:style w:type="paragraph" w:styleId="TOC4">
    <w:name w:val="toc 4"/>
    <w:basedOn w:val="Normal"/>
    <w:next w:val="Normal"/>
    <w:autoRedefine/>
    <w:uiPriority w:val="39"/>
    <w:semiHidden/>
    <w:unhideWhenUsed/>
    <w:rsid w:val="00F71352"/>
    <w:pPr>
      <w:spacing w:after="0"/>
      <w:ind w:left="660"/>
      <w:jc w:val="left"/>
    </w:pPr>
    <w:rPr>
      <w:rFonts w:asciiTheme="minorHAnsi" w:hAnsiTheme="minorHAnsi"/>
      <w:sz w:val="20"/>
      <w:szCs w:val="20"/>
    </w:rPr>
  </w:style>
  <w:style w:type="paragraph" w:styleId="TOC5">
    <w:name w:val="toc 5"/>
    <w:basedOn w:val="Normal"/>
    <w:next w:val="Normal"/>
    <w:autoRedefine/>
    <w:uiPriority w:val="39"/>
    <w:semiHidden/>
    <w:unhideWhenUsed/>
    <w:rsid w:val="00F71352"/>
    <w:pPr>
      <w:spacing w:after="0"/>
      <w:ind w:left="880"/>
      <w:jc w:val="left"/>
    </w:pPr>
    <w:rPr>
      <w:rFonts w:asciiTheme="minorHAnsi" w:hAnsiTheme="minorHAnsi"/>
      <w:sz w:val="20"/>
      <w:szCs w:val="20"/>
    </w:rPr>
  </w:style>
  <w:style w:type="paragraph" w:styleId="TOC6">
    <w:name w:val="toc 6"/>
    <w:basedOn w:val="Normal"/>
    <w:next w:val="Normal"/>
    <w:autoRedefine/>
    <w:uiPriority w:val="39"/>
    <w:semiHidden/>
    <w:unhideWhenUsed/>
    <w:rsid w:val="00F71352"/>
    <w:pPr>
      <w:spacing w:after="0"/>
      <w:ind w:left="1100"/>
      <w:jc w:val="left"/>
    </w:pPr>
    <w:rPr>
      <w:rFonts w:asciiTheme="minorHAnsi" w:hAnsiTheme="minorHAnsi"/>
      <w:sz w:val="20"/>
      <w:szCs w:val="20"/>
    </w:rPr>
  </w:style>
  <w:style w:type="paragraph" w:styleId="TOC7">
    <w:name w:val="toc 7"/>
    <w:basedOn w:val="Normal"/>
    <w:next w:val="Normal"/>
    <w:autoRedefine/>
    <w:uiPriority w:val="39"/>
    <w:semiHidden/>
    <w:unhideWhenUsed/>
    <w:rsid w:val="00F71352"/>
    <w:pPr>
      <w:spacing w:after="0"/>
      <w:ind w:left="1320"/>
      <w:jc w:val="left"/>
    </w:pPr>
    <w:rPr>
      <w:rFonts w:asciiTheme="minorHAnsi" w:hAnsiTheme="minorHAnsi"/>
      <w:sz w:val="20"/>
      <w:szCs w:val="20"/>
    </w:rPr>
  </w:style>
  <w:style w:type="paragraph" w:styleId="TOC8">
    <w:name w:val="toc 8"/>
    <w:basedOn w:val="Normal"/>
    <w:next w:val="Normal"/>
    <w:autoRedefine/>
    <w:uiPriority w:val="39"/>
    <w:semiHidden/>
    <w:unhideWhenUsed/>
    <w:rsid w:val="00F71352"/>
    <w:pPr>
      <w:spacing w:after="0"/>
      <w:ind w:left="1540"/>
      <w:jc w:val="left"/>
    </w:pPr>
    <w:rPr>
      <w:rFonts w:asciiTheme="minorHAnsi" w:hAnsiTheme="minorHAnsi"/>
      <w:sz w:val="20"/>
      <w:szCs w:val="20"/>
    </w:rPr>
  </w:style>
  <w:style w:type="paragraph" w:styleId="TOC9">
    <w:name w:val="toc 9"/>
    <w:basedOn w:val="Normal"/>
    <w:next w:val="Normal"/>
    <w:autoRedefine/>
    <w:uiPriority w:val="39"/>
    <w:semiHidden/>
    <w:unhideWhenUsed/>
    <w:rsid w:val="00F71352"/>
    <w:pPr>
      <w:spacing w:after="0"/>
      <w:ind w:left="1760"/>
      <w:jc w:val="left"/>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13" Type="http://schemas.openxmlformats.org/officeDocument/2006/relationships/image" Target="media/image4.png"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image" Target="https://surgery.wustl.edu/app/uploads/2021/10/BPS-Model-1-1024x791.jpg" TargetMode="External" /><Relationship Id="rId17" Type="http://schemas.openxmlformats.org/officeDocument/2006/relationships/theme" Target="theme/theme1.xml" /><Relationship Id="rId2" Type="http://schemas.openxmlformats.org/officeDocument/2006/relationships/numbering" Target="numbering.xml" /><Relationship Id="rId16"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3.jpeg" /><Relationship Id="rId5" Type="http://schemas.openxmlformats.org/officeDocument/2006/relationships/webSettings" Target="webSettings.xml" /><Relationship Id="rId15" Type="http://schemas.openxmlformats.org/officeDocument/2006/relationships/footer" Target="footer2.xml" /><Relationship Id="rId10" Type="http://schemas.openxmlformats.org/officeDocument/2006/relationships/image" Target="media/image2.png" /><Relationship Id="rId4" Type="http://schemas.openxmlformats.org/officeDocument/2006/relationships/settings" Target="settings.xml" /><Relationship Id="rId9" Type="http://schemas.openxmlformats.org/officeDocument/2006/relationships/image" Target="https://media.licdn.com/dms/image/v2/D4D22AQGCBLc8FIE7nQ/feedshare-shrink_800/feedshare-shrink_800/0/1715793292476?e=2147483647&amp;v=beta&amp;t=8zX_wJI56ndNfNbzBnUnnYJO9_NoxQIiY3bOD5Leuw8" TargetMode="External" /><Relationship Id="rId14"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4A57C0-7347-B24B-B87B-03DE11CE789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2943</Words>
  <Characters>16776</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Bob mihaela</cp:lastModifiedBy>
  <cp:revision>2</cp:revision>
  <dcterms:created xsi:type="dcterms:W3CDTF">2026-03-22T18:26:00Z</dcterms:created>
  <dcterms:modified xsi:type="dcterms:W3CDTF">2026-03-22T18:26:00Z</dcterms:modified>
</cp:coreProperties>
</file>