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5ABFF" w14:textId="1BFEC5FB" w:rsidR="00055F93" w:rsidRPr="00D93F89" w:rsidRDefault="003C5F62" w:rsidP="00D93F89">
      <w:pPr>
        <w:spacing w:line="360" w:lineRule="auto"/>
        <w:jc w:val="center"/>
        <w:rPr>
          <w:rFonts w:asciiTheme="minorHAnsi" w:hAnsiTheme="minorHAnsi" w:cs="Arial"/>
          <w:b/>
          <w:u w:val="single"/>
        </w:rPr>
      </w:pPr>
      <w:r w:rsidRPr="00D93F89">
        <w:rPr>
          <w:rFonts w:asciiTheme="minorHAnsi" w:hAnsiTheme="minorHAnsi" w:cs="Arial"/>
          <w:b/>
          <w:u w:val="single"/>
        </w:rPr>
        <w:t>REFORM OF NON-FATAL OFFENCES AGAINST THE PERSON</w:t>
      </w:r>
    </w:p>
    <w:p w14:paraId="17FDFFB5" w14:textId="06478E36" w:rsidR="003C5F62" w:rsidRPr="00D93F89" w:rsidRDefault="003C5F62" w:rsidP="00D93F89">
      <w:pPr>
        <w:spacing w:line="360" w:lineRule="auto"/>
        <w:rPr>
          <w:rFonts w:asciiTheme="minorHAnsi" w:hAnsiTheme="minorHAnsi"/>
        </w:rPr>
      </w:pPr>
    </w:p>
    <w:p w14:paraId="6DA5BEC2" w14:textId="6B7C2B81" w:rsidR="003C5F62" w:rsidRPr="00D93F89" w:rsidRDefault="003C5F62" w:rsidP="00D93F89">
      <w:pPr>
        <w:spacing w:line="360" w:lineRule="auto"/>
        <w:rPr>
          <w:rFonts w:asciiTheme="minorHAnsi" w:hAnsiTheme="minorHAnsi"/>
        </w:rPr>
      </w:pPr>
      <w:r w:rsidRPr="00D93F89">
        <w:rPr>
          <w:rFonts w:asciiTheme="minorHAnsi" w:hAnsiTheme="minorHAnsi"/>
        </w:rPr>
        <w:t xml:space="preserve">The Offences Against </w:t>
      </w:r>
      <w:proofErr w:type="gramStart"/>
      <w:r w:rsidRPr="00D93F89">
        <w:rPr>
          <w:rFonts w:asciiTheme="minorHAnsi" w:hAnsiTheme="minorHAnsi"/>
        </w:rPr>
        <w:t>The</w:t>
      </w:r>
      <w:proofErr w:type="gramEnd"/>
      <w:r w:rsidRPr="00D93F89">
        <w:rPr>
          <w:rFonts w:asciiTheme="minorHAnsi" w:hAnsiTheme="minorHAnsi"/>
        </w:rPr>
        <w:t xml:space="preserve"> Person Act 1861, is an act that has been in use for over one hundred and sixty years. The Act to combine and revise the Statute Law of England and Ireland relating to Offences against the Person (Legistlation.gov). </w:t>
      </w:r>
      <w:r w:rsidR="00796DF6" w:rsidRPr="00D93F89">
        <w:rPr>
          <w:rFonts w:asciiTheme="minorHAnsi" w:hAnsiTheme="minorHAnsi"/>
        </w:rPr>
        <w:t xml:space="preserve">This act has been heavily criticised for being outdated, and somewhat irrelevant in modern society. The OAPA is used to form the prosecutions of over </w:t>
      </w:r>
      <w:proofErr w:type="gramStart"/>
      <w:r w:rsidR="00796DF6" w:rsidRPr="00D93F89">
        <w:rPr>
          <w:rFonts w:asciiTheme="minorHAnsi" w:hAnsiTheme="minorHAnsi"/>
        </w:rPr>
        <w:t>twenty six</w:t>
      </w:r>
      <w:proofErr w:type="gramEnd"/>
      <w:r w:rsidR="00796DF6" w:rsidRPr="00D93F89">
        <w:rPr>
          <w:rFonts w:asciiTheme="minorHAnsi" w:hAnsiTheme="minorHAnsi"/>
        </w:rPr>
        <w:t xml:space="preserve"> thousand people each year. </w:t>
      </w:r>
      <w:r w:rsidR="007D4437" w:rsidRPr="00D93F89">
        <w:rPr>
          <w:rFonts w:asciiTheme="minorHAnsi" w:hAnsiTheme="minorHAnsi"/>
        </w:rPr>
        <w:t xml:space="preserve">Both the Home Office and Law Commission have repeatedly suggested reform, with the lack of substantial response from The Ministry of Justice. </w:t>
      </w:r>
      <w:r w:rsidR="00796DF6" w:rsidRPr="00D93F89">
        <w:rPr>
          <w:rFonts w:asciiTheme="minorHAnsi" w:hAnsiTheme="minorHAnsi"/>
        </w:rPr>
        <w:t>Many amendments of this law have been ma</w:t>
      </w:r>
      <w:r w:rsidR="001110B2" w:rsidRPr="00D93F89">
        <w:rPr>
          <w:rFonts w:asciiTheme="minorHAnsi" w:hAnsiTheme="minorHAnsi"/>
        </w:rPr>
        <w:t>d</w:t>
      </w:r>
      <w:r w:rsidR="00796DF6" w:rsidRPr="00D93F89">
        <w:rPr>
          <w:rFonts w:asciiTheme="minorHAnsi" w:hAnsiTheme="minorHAnsi"/>
        </w:rPr>
        <w:t xml:space="preserve">e, thus making the act </w:t>
      </w:r>
      <w:r w:rsidR="00EF162C" w:rsidRPr="00D93F89">
        <w:rPr>
          <w:rFonts w:asciiTheme="minorHAnsi" w:hAnsiTheme="minorHAnsi"/>
        </w:rPr>
        <w:t>extremely</w:t>
      </w:r>
      <w:r w:rsidR="00796DF6" w:rsidRPr="00D93F89">
        <w:rPr>
          <w:rFonts w:asciiTheme="minorHAnsi" w:hAnsiTheme="minorHAnsi"/>
        </w:rPr>
        <w:t xml:space="preserve"> complex and difficult to read/ comprehend. The Act itself has been </w:t>
      </w:r>
      <w:r w:rsidR="00EF162C" w:rsidRPr="00D93F89">
        <w:rPr>
          <w:rFonts w:asciiTheme="minorHAnsi" w:hAnsiTheme="minorHAnsi"/>
        </w:rPr>
        <w:t>described as a ‘rag bad of offences brought together from a variety of sources (Professor JC. Smith).</w:t>
      </w:r>
      <w:r w:rsidR="00796DF6" w:rsidRPr="00D93F89">
        <w:rPr>
          <w:rFonts w:asciiTheme="minorHAnsi" w:hAnsiTheme="minorHAnsi"/>
        </w:rPr>
        <w:t xml:space="preserve"> In this essay I will discuss the Offences Against </w:t>
      </w:r>
      <w:proofErr w:type="gramStart"/>
      <w:r w:rsidR="00796DF6" w:rsidRPr="00D93F89">
        <w:rPr>
          <w:rFonts w:asciiTheme="minorHAnsi" w:hAnsiTheme="minorHAnsi"/>
        </w:rPr>
        <w:t>The</w:t>
      </w:r>
      <w:proofErr w:type="gramEnd"/>
      <w:r w:rsidR="00796DF6" w:rsidRPr="00D93F89">
        <w:rPr>
          <w:rFonts w:asciiTheme="minorHAnsi" w:hAnsiTheme="minorHAnsi"/>
        </w:rPr>
        <w:t xml:space="preserve"> Person Act 1861, and ultimately </w:t>
      </w:r>
      <w:r w:rsidR="00402C02" w:rsidRPr="00D93F89">
        <w:rPr>
          <w:rFonts w:asciiTheme="minorHAnsi" w:hAnsiTheme="minorHAnsi"/>
        </w:rPr>
        <w:t>examine</w:t>
      </w:r>
      <w:r w:rsidR="00796DF6" w:rsidRPr="00D93F89">
        <w:rPr>
          <w:rFonts w:asciiTheme="minorHAnsi" w:hAnsiTheme="minorHAnsi"/>
        </w:rPr>
        <w:t xml:space="preserve"> whether reform is </w:t>
      </w:r>
      <w:r w:rsidR="00EF162C" w:rsidRPr="00D93F89">
        <w:rPr>
          <w:rFonts w:asciiTheme="minorHAnsi" w:hAnsiTheme="minorHAnsi"/>
        </w:rPr>
        <w:t>necessary</w:t>
      </w:r>
      <w:r w:rsidR="00796DF6" w:rsidRPr="00D93F89">
        <w:rPr>
          <w:rFonts w:asciiTheme="minorHAnsi" w:hAnsiTheme="minorHAnsi"/>
        </w:rPr>
        <w:t xml:space="preserve">. </w:t>
      </w:r>
    </w:p>
    <w:p w14:paraId="726FF6A8" w14:textId="77777777" w:rsidR="000E18EB" w:rsidRPr="00D93F89" w:rsidRDefault="000E18EB" w:rsidP="00D93F89">
      <w:pPr>
        <w:spacing w:line="360" w:lineRule="auto"/>
        <w:rPr>
          <w:rFonts w:asciiTheme="minorHAnsi" w:hAnsiTheme="minorHAnsi"/>
        </w:rPr>
      </w:pPr>
    </w:p>
    <w:p w14:paraId="04606908" w14:textId="28BA99FF" w:rsidR="00402C02" w:rsidRPr="00D93F89" w:rsidRDefault="00402C02" w:rsidP="00D93F89">
      <w:pPr>
        <w:spacing w:line="360" w:lineRule="auto"/>
        <w:rPr>
          <w:rFonts w:asciiTheme="minorHAnsi" w:hAnsiTheme="minorHAnsi"/>
        </w:rPr>
      </w:pPr>
      <w:r w:rsidRPr="00D93F89">
        <w:rPr>
          <w:rFonts w:asciiTheme="minorHAnsi" w:hAnsiTheme="minorHAnsi"/>
        </w:rPr>
        <w:t xml:space="preserve">There are five major offences within the </w:t>
      </w:r>
      <w:r w:rsidR="003733AB" w:rsidRPr="00D93F89">
        <w:rPr>
          <w:rFonts w:asciiTheme="minorHAnsi" w:hAnsiTheme="minorHAnsi"/>
        </w:rPr>
        <w:t>O</w:t>
      </w:r>
      <w:r w:rsidRPr="00D93F89">
        <w:rPr>
          <w:rFonts w:asciiTheme="minorHAnsi" w:hAnsiTheme="minorHAnsi"/>
        </w:rPr>
        <w:t xml:space="preserve">APA, they are often placed in a metaphorical ‘ladder’ in order of seriousness. With Wounding </w:t>
      </w:r>
      <w:r w:rsidR="00A84C0C" w:rsidRPr="00D93F89">
        <w:rPr>
          <w:rFonts w:asciiTheme="minorHAnsi" w:hAnsiTheme="minorHAnsi"/>
        </w:rPr>
        <w:t xml:space="preserve">or </w:t>
      </w:r>
      <w:r w:rsidRPr="00D93F89">
        <w:rPr>
          <w:rFonts w:asciiTheme="minorHAnsi" w:hAnsiTheme="minorHAnsi"/>
        </w:rPr>
        <w:t xml:space="preserve">causing Grievous bodily harm (GBH) </w:t>
      </w:r>
      <w:r w:rsidR="00A84C0C" w:rsidRPr="00D93F89">
        <w:rPr>
          <w:rFonts w:asciiTheme="minorHAnsi" w:hAnsiTheme="minorHAnsi"/>
        </w:rPr>
        <w:t xml:space="preserve">with intent </w:t>
      </w:r>
      <w:r w:rsidRPr="00D93F89">
        <w:rPr>
          <w:rFonts w:asciiTheme="minorHAnsi" w:hAnsiTheme="minorHAnsi"/>
        </w:rPr>
        <w:t xml:space="preserve">being at the top, Malicious wounding or inflicting (GBH), Actual bodily harm, and </w:t>
      </w:r>
      <w:r w:rsidR="00D1051F" w:rsidRPr="00D93F89">
        <w:rPr>
          <w:rFonts w:asciiTheme="minorHAnsi" w:hAnsiTheme="minorHAnsi"/>
        </w:rPr>
        <w:t>thenceforth</w:t>
      </w:r>
      <w:r w:rsidRPr="00D93F89">
        <w:rPr>
          <w:rFonts w:asciiTheme="minorHAnsi" w:hAnsiTheme="minorHAnsi"/>
        </w:rPr>
        <w:t xml:space="preserve"> the bottom two being </w:t>
      </w:r>
      <w:r w:rsidR="00D1051F" w:rsidRPr="00D93F89">
        <w:rPr>
          <w:rFonts w:asciiTheme="minorHAnsi" w:hAnsiTheme="minorHAnsi"/>
        </w:rPr>
        <w:t>Assault</w:t>
      </w:r>
      <w:r w:rsidRPr="00D93F89">
        <w:rPr>
          <w:rFonts w:asciiTheme="minorHAnsi" w:hAnsiTheme="minorHAnsi"/>
        </w:rPr>
        <w:t xml:space="preserve"> and Battery. </w:t>
      </w:r>
    </w:p>
    <w:p w14:paraId="368BB92A" w14:textId="4C5685EA" w:rsidR="000E18EB" w:rsidRPr="00D93F89" w:rsidRDefault="000E18EB" w:rsidP="00D93F89">
      <w:pPr>
        <w:spacing w:line="360" w:lineRule="auto"/>
        <w:rPr>
          <w:rFonts w:asciiTheme="minorHAnsi" w:hAnsiTheme="minorHAnsi"/>
        </w:rPr>
      </w:pPr>
    </w:p>
    <w:p w14:paraId="16CC6A69" w14:textId="4EC5B3C2" w:rsidR="00F748E8" w:rsidRPr="00D93F89" w:rsidRDefault="00F748E8" w:rsidP="00D93F89">
      <w:pPr>
        <w:spacing w:line="360" w:lineRule="auto"/>
        <w:rPr>
          <w:rFonts w:asciiTheme="minorHAnsi" w:hAnsiTheme="minorHAnsi"/>
        </w:rPr>
      </w:pPr>
      <w:r w:rsidRPr="00D93F89">
        <w:rPr>
          <w:rFonts w:asciiTheme="minorHAnsi" w:hAnsiTheme="minorHAnsi"/>
        </w:rPr>
        <w:t xml:space="preserve">Under section 39 the Criminal Justice Act 1988, </w:t>
      </w:r>
      <w:r w:rsidR="000E18EB" w:rsidRPr="00D93F89">
        <w:rPr>
          <w:rFonts w:asciiTheme="minorHAnsi" w:hAnsiTheme="minorHAnsi"/>
        </w:rPr>
        <w:t>Assault and Battery strictly speaking</w:t>
      </w:r>
      <w:r w:rsidRPr="00D93F89">
        <w:rPr>
          <w:rFonts w:asciiTheme="minorHAnsi" w:hAnsiTheme="minorHAnsi"/>
        </w:rPr>
        <w:t xml:space="preserve"> </w:t>
      </w:r>
      <w:r w:rsidR="000E18EB" w:rsidRPr="00D93F89">
        <w:rPr>
          <w:rFonts w:asciiTheme="minorHAnsi" w:hAnsiTheme="minorHAnsi"/>
        </w:rPr>
        <w:t xml:space="preserve">are considered to be separate crimes. Battery is defined as involving both unlawful and unwanted contact with someone. </w:t>
      </w:r>
      <w:r w:rsidR="005B5FF2" w:rsidRPr="00D93F89">
        <w:rPr>
          <w:rFonts w:asciiTheme="minorHAnsi" w:hAnsiTheme="minorHAnsi"/>
        </w:rPr>
        <w:t xml:space="preserve">Whilst </w:t>
      </w:r>
      <w:r w:rsidR="000E18EB" w:rsidRPr="00D93F89">
        <w:rPr>
          <w:rFonts w:asciiTheme="minorHAnsi" w:hAnsiTheme="minorHAnsi"/>
        </w:rPr>
        <w:t xml:space="preserve">Assault </w:t>
      </w:r>
      <w:r w:rsidR="005B5FF2" w:rsidRPr="00D93F89">
        <w:rPr>
          <w:rFonts w:asciiTheme="minorHAnsi" w:hAnsiTheme="minorHAnsi"/>
        </w:rPr>
        <w:t xml:space="preserve">can be </w:t>
      </w:r>
      <w:r w:rsidR="000E18EB" w:rsidRPr="00D93F89">
        <w:rPr>
          <w:rFonts w:asciiTheme="minorHAnsi" w:hAnsiTheme="minorHAnsi"/>
        </w:rPr>
        <w:t xml:space="preserve">defined as causing another to perceive the </w:t>
      </w:r>
      <w:r w:rsidR="005B5FF2" w:rsidRPr="00D93F89">
        <w:rPr>
          <w:rFonts w:asciiTheme="minorHAnsi" w:hAnsiTheme="minorHAnsi"/>
        </w:rPr>
        <w:t>risk</w:t>
      </w:r>
      <w:r w:rsidR="000E18EB" w:rsidRPr="00D93F89">
        <w:rPr>
          <w:rFonts w:asciiTheme="minorHAnsi" w:hAnsiTheme="minorHAnsi"/>
        </w:rPr>
        <w:t xml:space="preserve"> of imminent unlawful contact</w:t>
      </w:r>
      <w:r w:rsidR="005B5FF2" w:rsidRPr="00D93F89">
        <w:rPr>
          <w:rFonts w:asciiTheme="minorHAnsi" w:hAnsiTheme="minorHAnsi"/>
        </w:rPr>
        <w:t xml:space="preserve"> (J</w:t>
      </w:r>
      <w:r w:rsidR="00337851" w:rsidRPr="00D93F89">
        <w:rPr>
          <w:rFonts w:asciiTheme="minorHAnsi" w:hAnsiTheme="minorHAnsi"/>
        </w:rPr>
        <w:t xml:space="preserve">. Herring, </w:t>
      </w:r>
      <w:r w:rsidR="005B5FF2" w:rsidRPr="00D93F89">
        <w:rPr>
          <w:rFonts w:asciiTheme="minorHAnsi" w:hAnsiTheme="minorHAnsi"/>
        </w:rPr>
        <w:t xml:space="preserve">2020). The similarities between the two can make prosecuting someone under the OFAPA 1861 of the offences difficult, as someone who commits battery is likely to commit assault in the same incidence/ offence. An example relaying the confusion between the both is case law R </w:t>
      </w:r>
      <w:proofErr w:type="spellStart"/>
      <w:r w:rsidR="00337851" w:rsidRPr="00D93F89">
        <w:rPr>
          <w:rFonts w:asciiTheme="minorHAnsi" w:hAnsiTheme="minorHAnsi"/>
        </w:rPr>
        <w:t>Kracher</w:t>
      </w:r>
      <w:proofErr w:type="spellEnd"/>
      <w:r w:rsidR="00337851" w:rsidRPr="00D93F89">
        <w:rPr>
          <w:rFonts w:asciiTheme="minorHAnsi" w:hAnsiTheme="minorHAnsi"/>
        </w:rPr>
        <w:t xml:space="preserve"> v Leicester Magistrates Court. During this </w:t>
      </w:r>
      <w:r w:rsidRPr="00D93F89">
        <w:rPr>
          <w:rFonts w:asciiTheme="minorHAnsi" w:hAnsiTheme="minorHAnsi"/>
        </w:rPr>
        <w:t>incident</w:t>
      </w:r>
      <w:r w:rsidR="00337851" w:rsidRPr="00D93F89">
        <w:rPr>
          <w:rFonts w:asciiTheme="minorHAnsi" w:hAnsiTheme="minorHAnsi"/>
        </w:rPr>
        <w:t xml:space="preserve"> the defendant </w:t>
      </w:r>
      <w:r w:rsidRPr="00D93F89">
        <w:rPr>
          <w:rFonts w:asciiTheme="minorHAnsi" w:hAnsiTheme="minorHAnsi"/>
        </w:rPr>
        <w:t xml:space="preserve">was alleged to have punched and threatened someone during an altercation. The Court prosecuted </w:t>
      </w:r>
      <w:proofErr w:type="spellStart"/>
      <w:r w:rsidRPr="00D93F89">
        <w:rPr>
          <w:rFonts w:asciiTheme="minorHAnsi" w:hAnsiTheme="minorHAnsi"/>
        </w:rPr>
        <w:t>Kracher</w:t>
      </w:r>
      <w:proofErr w:type="spellEnd"/>
      <w:r w:rsidRPr="00D93F89">
        <w:rPr>
          <w:rFonts w:asciiTheme="minorHAnsi" w:hAnsiTheme="minorHAnsi"/>
        </w:rPr>
        <w:t xml:space="preserve"> on the basis of the punch (battery) and not the threat (assault). Once appealed, it became clear that justices were not clear if the punch was even delivered, they were only sure of the threat. Once appealed, it had surpassed the </w:t>
      </w:r>
      <w:r w:rsidR="00DC4F91" w:rsidRPr="00D93F89">
        <w:rPr>
          <w:rFonts w:asciiTheme="minorHAnsi" w:hAnsiTheme="minorHAnsi"/>
        </w:rPr>
        <w:t xml:space="preserve">amendment </w:t>
      </w:r>
      <w:r w:rsidRPr="00D93F89">
        <w:rPr>
          <w:rFonts w:asciiTheme="minorHAnsi" w:hAnsiTheme="minorHAnsi"/>
        </w:rPr>
        <w:t>date therefore the defendant was charged of the wrong offence (Ro</w:t>
      </w:r>
      <w:r w:rsidRPr="00D93F89">
        <w:rPr>
          <w:rFonts w:asciiTheme="minorHAnsi" w:hAnsiTheme="minorHAnsi"/>
          <w:color w:val="333333"/>
          <w:shd w:val="clear" w:color="auto" w:fill="FFFFFF"/>
        </w:rPr>
        <w:t xml:space="preserve">ebuck, 2014). </w:t>
      </w:r>
      <w:r w:rsidR="006A59B7" w:rsidRPr="00D93F89">
        <w:rPr>
          <w:rFonts w:asciiTheme="minorHAnsi" w:hAnsiTheme="minorHAnsi"/>
          <w:color w:val="333333"/>
          <w:shd w:val="clear" w:color="auto" w:fill="FFFFFF"/>
        </w:rPr>
        <w:t xml:space="preserve">It is said that the </w:t>
      </w:r>
      <w:proofErr w:type="spellStart"/>
      <w:r w:rsidR="006A59B7" w:rsidRPr="00D93F89">
        <w:rPr>
          <w:rFonts w:asciiTheme="minorHAnsi" w:hAnsiTheme="minorHAnsi"/>
        </w:rPr>
        <w:t>Kracher</w:t>
      </w:r>
      <w:proofErr w:type="spellEnd"/>
      <w:r w:rsidR="006A59B7" w:rsidRPr="00D93F89">
        <w:rPr>
          <w:rFonts w:asciiTheme="minorHAnsi" w:hAnsiTheme="minorHAnsi"/>
        </w:rPr>
        <w:t xml:space="preserve"> v Leicester Magistrates </w:t>
      </w:r>
      <w:r w:rsidR="006A59B7" w:rsidRPr="00D93F89">
        <w:rPr>
          <w:rFonts w:asciiTheme="minorHAnsi" w:hAnsiTheme="minorHAnsi"/>
        </w:rPr>
        <w:lastRenderedPageBreak/>
        <w:t xml:space="preserve">Court case was caused by a lack of understanding of the OFAFA 1861, and its outdated language confusing ‘assault’ with its day to day meaning of attack. </w:t>
      </w:r>
    </w:p>
    <w:p w14:paraId="48C3FEE2" w14:textId="2215EE0F" w:rsidR="0031444F" w:rsidRPr="00D93F89" w:rsidRDefault="0031444F" w:rsidP="00D93F89">
      <w:pPr>
        <w:spacing w:line="360" w:lineRule="auto"/>
        <w:rPr>
          <w:rFonts w:asciiTheme="minorHAnsi" w:hAnsiTheme="minorHAnsi"/>
        </w:rPr>
      </w:pPr>
    </w:p>
    <w:p w14:paraId="209E7473" w14:textId="5A617452" w:rsidR="005B5FF2" w:rsidRPr="00D93F89" w:rsidRDefault="0031444F" w:rsidP="00D93F89">
      <w:pPr>
        <w:spacing w:line="360" w:lineRule="auto"/>
        <w:rPr>
          <w:rFonts w:asciiTheme="minorHAnsi" w:hAnsiTheme="minorHAnsi"/>
        </w:rPr>
      </w:pPr>
      <w:r w:rsidRPr="00D93F89">
        <w:rPr>
          <w:rFonts w:asciiTheme="minorHAnsi" w:hAnsiTheme="minorHAnsi"/>
        </w:rPr>
        <w:t>Actual Bodily Harm (</w:t>
      </w:r>
      <w:r w:rsidR="0022321F" w:rsidRPr="00D93F89">
        <w:rPr>
          <w:rFonts w:asciiTheme="minorHAnsi" w:hAnsiTheme="minorHAnsi"/>
        </w:rPr>
        <w:t>ACH) comes</w:t>
      </w:r>
      <w:r w:rsidR="00D65F50" w:rsidRPr="00D93F89">
        <w:rPr>
          <w:rFonts w:asciiTheme="minorHAnsi" w:hAnsiTheme="minorHAnsi"/>
        </w:rPr>
        <w:t xml:space="preserve"> under section 47 of the OAPA 1861, it is defined as intentionally or recklessly causing actual bodily harm to another. The </w:t>
      </w:r>
      <w:proofErr w:type="spellStart"/>
      <w:r w:rsidR="00D65F50" w:rsidRPr="00D93F89">
        <w:rPr>
          <w:rFonts w:asciiTheme="minorHAnsi" w:hAnsiTheme="minorHAnsi"/>
        </w:rPr>
        <w:t>mens</w:t>
      </w:r>
      <w:proofErr w:type="spellEnd"/>
      <w:r w:rsidR="00D65F50" w:rsidRPr="00D93F89">
        <w:rPr>
          <w:rFonts w:asciiTheme="minorHAnsi" w:hAnsiTheme="minorHAnsi"/>
        </w:rPr>
        <w:t xml:space="preserve"> rea of this offence is identical to the </w:t>
      </w:r>
      <w:proofErr w:type="spellStart"/>
      <w:r w:rsidR="00D65F50" w:rsidRPr="00D93F89">
        <w:rPr>
          <w:rFonts w:asciiTheme="minorHAnsi" w:hAnsiTheme="minorHAnsi"/>
        </w:rPr>
        <w:t>mens</w:t>
      </w:r>
      <w:proofErr w:type="spellEnd"/>
      <w:r w:rsidR="00D65F50" w:rsidRPr="00D93F89">
        <w:rPr>
          <w:rFonts w:asciiTheme="minorHAnsi" w:hAnsiTheme="minorHAnsi"/>
        </w:rPr>
        <w:t xml:space="preserve"> rea of battery, </w:t>
      </w:r>
      <w:r w:rsidR="00DC4F91" w:rsidRPr="00D93F89">
        <w:rPr>
          <w:rFonts w:asciiTheme="minorHAnsi" w:hAnsiTheme="minorHAnsi"/>
        </w:rPr>
        <w:t>all that</w:t>
      </w:r>
      <w:r w:rsidR="00D65F50" w:rsidRPr="00D93F89">
        <w:rPr>
          <w:rFonts w:asciiTheme="minorHAnsi" w:hAnsiTheme="minorHAnsi"/>
        </w:rPr>
        <w:t xml:space="preserve"> needs to be proven is that touching and actual bodily harm took place. The confusion </w:t>
      </w:r>
      <w:r w:rsidR="00A95B6C" w:rsidRPr="00D93F89">
        <w:rPr>
          <w:rFonts w:asciiTheme="minorHAnsi" w:hAnsiTheme="minorHAnsi"/>
        </w:rPr>
        <w:t xml:space="preserve">within this offence is that section 47 of the Offences </w:t>
      </w:r>
      <w:r w:rsidR="00DD3835" w:rsidRPr="00D93F89">
        <w:rPr>
          <w:rFonts w:asciiTheme="minorHAnsi" w:hAnsiTheme="minorHAnsi"/>
        </w:rPr>
        <w:t>A</w:t>
      </w:r>
      <w:r w:rsidR="00A95B6C" w:rsidRPr="00D93F89">
        <w:rPr>
          <w:rFonts w:asciiTheme="minorHAnsi" w:hAnsiTheme="minorHAnsi"/>
        </w:rPr>
        <w:t xml:space="preserve">gainst the Person Act carries the same maximum sentence as the offence under section 20, Malicious Wounding or GBH. Section 47 clearly states that ‘Whoever shall be convicted upon an indictment of any assault resulting in ABH be </w:t>
      </w:r>
      <w:r w:rsidR="00DD3835" w:rsidRPr="00D93F89">
        <w:rPr>
          <w:rFonts w:asciiTheme="minorHAnsi" w:hAnsiTheme="minorHAnsi"/>
        </w:rPr>
        <w:t>liable and</w:t>
      </w:r>
      <w:r w:rsidR="00A95B6C" w:rsidRPr="00D93F89">
        <w:rPr>
          <w:rFonts w:asciiTheme="minorHAnsi" w:hAnsiTheme="minorHAnsi"/>
        </w:rPr>
        <w:t xml:space="preserve"> should imprisoned for up to five years’ (Legislation.gov). </w:t>
      </w:r>
      <w:r w:rsidR="00DD3835" w:rsidRPr="00D93F89">
        <w:rPr>
          <w:rFonts w:asciiTheme="minorHAnsi" w:hAnsiTheme="minorHAnsi"/>
        </w:rPr>
        <w:t xml:space="preserve">It is </w:t>
      </w:r>
      <w:r w:rsidR="0022321F" w:rsidRPr="00D93F89">
        <w:rPr>
          <w:rFonts w:asciiTheme="minorHAnsi" w:hAnsiTheme="minorHAnsi"/>
        </w:rPr>
        <w:t>criticised</w:t>
      </w:r>
      <w:r w:rsidR="00DD3835" w:rsidRPr="00D93F89">
        <w:rPr>
          <w:rFonts w:asciiTheme="minorHAnsi" w:hAnsiTheme="minorHAnsi"/>
        </w:rPr>
        <w:t xml:space="preserve"> by the </w:t>
      </w:r>
      <w:r w:rsidR="0022321F" w:rsidRPr="00D93F89">
        <w:rPr>
          <w:rFonts w:asciiTheme="minorHAnsi" w:hAnsiTheme="minorHAnsi"/>
        </w:rPr>
        <w:t xml:space="preserve">Law Commission in the reform summary report, </w:t>
      </w:r>
      <w:r w:rsidR="00DD3835" w:rsidRPr="00D93F89">
        <w:rPr>
          <w:rFonts w:asciiTheme="minorHAnsi" w:hAnsiTheme="minorHAnsi"/>
        </w:rPr>
        <w:t xml:space="preserve">that </w:t>
      </w:r>
      <w:r w:rsidR="0022321F" w:rsidRPr="00D93F89">
        <w:rPr>
          <w:rFonts w:asciiTheme="minorHAnsi" w:hAnsiTheme="minorHAnsi"/>
        </w:rPr>
        <w:t>the grading of seriousness is not reflected in the sentencing powers of the 1861 Act.</w:t>
      </w:r>
    </w:p>
    <w:p w14:paraId="6DABF3C3" w14:textId="78B372DA" w:rsidR="00DC4F91" w:rsidRPr="00D93F89" w:rsidRDefault="00DC4F91" w:rsidP="00D93F89">
      <w:pPr>
        <w:spacing w:line="360" w:lineRule="auto"/>
        <w:rPr>
          <w:rFonts w:asciiTheme="minorHAnsi" w:hAnsiTheme="minorHAnsi"/>
        </w:rPr>
      </w:pPr>
    </w:p>
    <w:p w14:paraId="630D43CE" w14:textId="30B25DC9" w:rsidR="00FA4BE8" w:rsidRPr="00D93F89" w:rsidRDefault="00DC4F91" w:rsidP="00D93F89">
      <w:pPr>
        <w:spacing w:line="360" w:lineRule="auto"/>
        <w:rPr>
          <w:rFonts w:asciiTheme="minorHAnsi" w:hAnsiTheme="minorHAnsi"/>
        </w:rPr>
      </w:pPr>
      <w:r w:rsidRPr="00D93F89">
        <w:rPr>
          <w:rFonts w:asciiTheme="minorHAnsi" w:hAnsiTheme="minorHAnsi"/>
        </w:rPr>
        <w:t xml:space="preserve">Malicious Wounding </w:t>
      </w:r>
      <w:r w:rsidR="00FA4BE8" w:rsidRPr="00D93F89">
        <w:rPr>
          <w:rFonts w:asciiTheme="minorHAnsi" w:hAnsiTheme="minorHAnsi"/>
        </w:rPr>
        <w:t xml:space="preserve">means unlawfully and maliciously wounding or inflicting grievous bodily harm (GBH) to the victim. Essentially, GBH is a more serious degree of bodily harm </w:t>
      </w:r>
      <w:r w:rsidR="00FA4BE8" w:rsidRPr="00D93F89">
        <w:rPr>
          <w:rFonts w:asciiTheme="minorHAnsi" w:hAnsiTheme="minorHAnsi"/>
          <w:color w:val="202124"/>
          <w:shd w:val="clear" w:color="auto" w:fill="FFFFFF"/>
        </w:rPr>
        <w:t>(Sentencing Council, 2021).</w:t>
      </w:r>
      <w:r w:rsidR="003733AB" w:rsidRPr="00D93F89">
        <w:rPr>
          <w:rFonts w:asciiTheme="minorHAnsi" w:hAnsiTheme="minorHAnsi"/>
          <w:color w:val="202124"/>
          <w:shd w:val="clear" w:color="auto" w:fill="FFFFFF"/>
        </w:rPr>
        <w:t xml:space="preserve"> Section 20 of the OAPA is arguably vague when stating the word ‘Wound’.</w:t>
      </w:r>
      <w:r w:rsidR="00100BE4" w:rsidRPr="00D93F89">
        <w:rPr>
          <w:rFonts w:asciiTheme="minorHAnsi" w:hAnsiTheme="minorHAnsi"/>
          <w:color w:val="202124"/>
          <w:shd w:val="clear" w:color="auto" w:fill="FFFFFF"/>
        </w:rPr>
        <w:t xml:space="preserve"> As wound is said to be as a</w:t>
      </w:r>
      <w:r w:rsidR="00A84C0C" w:rsidRPr="00D93F89">
        <w:rPr>
          <w:rFonts w:asciiTheme="minorHAnsi" w:hAnsiTheme="minorHAnsi"/>
          <w:color w:val="202124"/>
          <w:shd w:val="clear" w:color="auto" w:fill="FFFFFF"/>
        </w:rPr>
        <w:t xml:space="preserve"> </w:t>
      </w:r>
      <w:r w:rsidR="003479A3" w:rsidRPr="00D93F89">
        <w:rPr>
          <w:rFonts w:asciiTheme="minorHAnsi" w:hAnsiTheme="minorHAnsi"/>
          <w:color w:val="202124"/>
          <w:shd w:val="clear" w:color="auto" w:fill="FFFFFF"/>
        </w:rPr>
        <w:t>‘</w:t>
      </w:r>
      <w:r w:rsidR="00100BE4" w:rsidRPr="00D93F89">
        <w:rPr>
          <w:rFonts w:asciiTheme="minorHAnsi" w:hAnsiTheme="minorHAnsi"/>
          <w:color w:val="202124"/>
          <w:shd w:val="clear" w:color="auto" w:fill="FFFFFF"/>
        </w:rPr>
        <w:t>break of the whole of the skin, however a rupture of an internal blood vessel is not a wound, but the breaking of the inner membrane is considered a wound</w:t>
      </w:r>
      <w:r w:rsidR="003479A3" w:rsidRPr="00D93F89">
        <w:rPr>
          <w:rFonts w:asciiTheme="minorHAnsi" w:hAnsiTheme="minorHAnsi"/>
          <w:color w:val="202124"/>
          <w:shd w:val="clear" w:color="auto" w:fill="FFFFFF"/>
        </w:rPr>
        <w:t xml:space="preserve">’ </w:t>
      </w:r>
      <w:r w:rsidR="00100BE4" w:rsidRPr="00D93F89">
        <w:rPr>
          <w:rFonts w:asciiTheme="minorHAnsi" w:hAnsiTheme="minorHAnsi"/>
          <w:color w:val="202124"/>
          <w:shd w:val="clear" w:color="auto" w:fill="FFFFFF"/>
        </w:rPr>
        <w:t>(</w:t>
      </w:r>
      <w:r w:rsidR="003479A3" w:rsidRPr="00D93F89">
        <w:rPr>
          <w:rFonts w:asciiTheme="minorHAnsi" w:hAnsiTheme="minorHAnsi"/>
          <w:color w:val="202124"/>
          <w:shd w:val="clear" w:color="auto" w:fill="FFFFFF"/>
        </w:rPr>
        <w:t xml:space="preserve">J. Herring, 2020).  This interpretation of medical terminology causes confusion within the Offences Against </w:t>
      </w:r>
      <w:proofErr w:type="gramStart"/>
      <w:r w:rsidR="003479A3" w:rsidRPr="00D93F89">
        <w:rPr>
          <w:rFonts w:asciiTheme="minorHAnsi" w:hAnsiTheme="minorHAnsi"/>
          <w:color w:val="202124"/>
          <w:shd w:val="clear" w:color="auto" w:fill="FFFFFF"/>
        </w:rPr>
        <w:t>The</w:t>
      </w:r>
      <w:proofErr w:type="gramEnd"/>
      <w:r w:rsidR="003479A3" w:rsidRPr="00D93F89">
        <w:rPr>
          <w:rFonts w:asciiTheme="minorHAnsi" w:hAnsiTheme="minorHAnsi"/>
          <w:color w:val="202124"/>
          <w:shd w:val="clear" w:color="auto" w:fill="FFFFFF"/>
        </w:rPr>
        <w:t xml:space="preserve"> Person Act 186</w:t>
      </w:r>
      <w:r w:rsidR="00F97476" w:rsidRPr="00D93F89">
        <w:rPr>
          <w:rFonts w:asciiTheme="minorHAnsi" w:hAnsiTheme="minorHAnsi"/>
          <w:color w:val="202124"/>
          <w:shd w:val="clear" w:color="auto" w:fill="FFFFFF"/>
        </w:rPr>
        <w:t>1</w:t>
      </w:r>
      <w:r w:rsidR="003479A3" w:rsidRPr="00D93F89">
        <w:rPr>
          <w:rFonts w:asciiTheme="minorHAnsi" w:hAnsiTheme="minorHAnsi"/>
          <w:color w:val="202124"/>
          <w:shd w:val="clear" w:color="auto" w:fill="FFFFFF"/>
        </w:rPr>
        <w:t xml:space="preserve">. The Act states that it is mandatory to demonstrate that the defendant inflicted the GBH. The use of the word ‘inflicted’ has caused perplexity due to the use of the word </w:t>
      </w:r>
      <w:proofErr w:type="spellStart"/>
      <w:r w:rsidR="00A84C0C" w:rsidRPr="00D93F89">
        <w:rPr>
          <w:rFonts w:asciiTheme="minorHAnsi" w:hAnsiTheme="minorHAnsi"/>
          <w:color w:val="202124"/>
          <w:shd w:val="clear" w:color="auto" w:fill="FFFFFF"/>
        </w:rPr>
        <w:t>‘cause</w:t>
      </w:r>
      <w:proofErr w:type="spellEnd"/>
      <w:r w:rsidR="003479A3" w:rsidRPr="00D93F89">
        <w:rPr>
          <w:rFonts w:asciiTheme="minorHAnsi" w:hAnsiTheme="minorHAnsi"/>
          <w:color w:val="202124"/>
          <w:shd w:val="clear" w:color="auto" w:fill="FFFFFF"/>
        </w:rPr>
        <w:t>’ in section 18, and whether the direct application of force is the correct definition to both words.</w:t>
      </w:r>
      <w:r w:rsidR="00D74446" w:rsidRPr="00D93F89">
        <w:rPr>
          <w:rFonts w:asciiTheme="minorHAnsi" w:hAnsiTheme="minorHAnsi"/>
          <w:color w:val="202124"/>
          <w:shd w:val="clear" w:color="auto" w:fill="FFFFFF"/>
        </w:rPr>
        <w:t xml:space="preserve"> The case law </w:t>
      </w:r>
      <w:r w:rsidR="00D74446" w:rsidRPr="00D93F89">
        <w:rPr>
          <w:rFonts w:asciiTheme="minorHAnsi" w:hAnsiTheme="minorHAnsi"/>
        </w:rPr>
        <w:t xml:space="preserve">R v </w:t>
      </w:r>
      <w:proofErr w:type="spellStart"/>
      <w:r w:rsidR="00D74446" w:rsidRPr="00D93F89">
        <w:rPr>
          <w:rFonts w:asciiTheme="minorHAnsi" w:hAnsiTheme="minorHAnsi"/>
        </w:rPr>
        <w:t>Bollom</w:t>
      </w:r>
      <w:proofErr w:type="spellEnd"/>
      <w:r w:rsidR="00D74446" w:rsidRPr="00D93F89">
        <w:rPr>
          <w:rFonts w:asciiTheme="minorHAnsi" w:hAnsiTheme="minorHAnsi"/>
        </w:rPr>
        <w:t xml:space="preserve"> [2004] is a case that highlights the degree of injury that has to be met before being charged with GBH. The case is based on a male that inflicts injury on his partner’s child</w:t>
      </w:r>
      <w:r w:rsidR="008E74E3" w:rsidRPr="00D93F89">
        <w:rPr>
          <w:rFonts w:asciiTheme="minorHAnsi" w:hAnsiTheme="minorHAnsi"/>
        </w:rPr>
        <w:t xml:space="preserve"> who was seventeen months old</w:t>
      </w:r>
      <w:r w:rsidR="00D74446" w:rsidRPr="00D93F89">
        <w:rPr>
          <w:rFonts w:asciiTheme="minorHAnsi" w:hAnsiTheme="minorHAnsi"/>
        </w:rPr>
        <w:t xml:space="preserve">. The injuries sustained were abrasions and a mixture of old and recent bruising. He appealed his conviction on the grounds that the injuries he inflicted upon the child were not serious enough to be considered Grievous Bodily Harm, and instead was changed to a conviction of ABH. This case is an example of why </w:t>
      </w:r>
      <w:r w:rsidR="00EA4097" w:rsidRPr="00D93F89">
        <w:rPr>
          <w:rFonts w:asciiTheme="minorHAnsi" w:hAnsiTheme="minorHAnsi"/>
        </w:rPr>
        <w:t xml:space="preserve">the </w:t>
      </w:r>
      <w:r w:rsidR="00EA4097" w:rsidRPr="00D93F89">
        <w:rPr>
          <w:rFonts w:asciiTheme="minorHAnsi" w:hAnsiTheme="minorHAnsi"/>
        </w:rPr>
        <w:t xml:space="preserve">Offences Against </w:t>
      </w:r>
      <w:proofErr w:type="gramStart"/>
      <w:r w:rsidR="00EA4097" w:rsidRPr="00D93F89">
        <w:rPr>
          <w:rFonts w:asciiTheme="minorHAnsi" w:hAnsiTheme="minorHAnsi"/>
        </w:rPr>
        <w:t>The</w:t>
      </w:r>
      <w:proofErr w:type="gramEnd"/>
      <w:r w:rsidR="00EA4097" w:rsidRPr="00D93F89">
        <w:rPr>
          <w:rFonts w:asciiTheme="minorHAnsi" w:hAnsiTheme="minorHAnsi"/>
        </w:rPr>
        <w:t xml:space="preserve"> Person Act </w:t>
      </w:r>
      <w:r w:rsidR="00D74446" w:rsidRPr="00D93F89">
        <w:rPr>
          <w:rFonts w:asciiTheme="minorHAnsi" w:hAnsiTheme="minorHAnsi"/>
        </w:rPr>
        <w:t>186</w:t>
      </w:r>
      <w:r w:rsidR="00F97476" w:rsidRPr="00D93F89">
        <w:rPr>
          <w:rFonts w:asciiTheme="minorHAnsi" w:hAnsiTheme="minorHAnsi"/>
        </w:rPr>
        <w:t>1</w:t>
      </w:r>
      <w:r w:rsidR="00D74446" w:rsidRPr="00D93F89">
        <w:rPr>
          <w:rFonts w:asciiTheme="minorHAnsi" w:hAnsiTheme="minorHAnsi"/>
        </w:rPr>
        <w:t xml:space="preserve"> could be </w:t>
      </w:r>
      <w:r w:rsidR="00E80AD3" w:rsidRPr="00D93F89">
        <w:rPr>
          <w:rFonts w:asciiTheme="minorHAnsi" w:hAnsiTheme="minorHAnsi"/>
        </w:rPr>
        <w:t xml:space="preserve">amended and reformed as it did not take in </w:t>
      </w:r>
      <w:r w:rsidR="00E80AD3" w:rsidRPr="00D93F89">
        <w:rPr>
          <w:rFonts w:asciiTheme="minorHAnsi" w:hAnsiTheme="minorHAnsi"/>
        </w:rPr>
        <w:lastRenderedPageBreak/>
        <w:t>to account the age of the child who was abused, therefore the injuries sustained did not seem feasible for GBH</w:t>
      </w:r>
      <w:r w:rsidR="008E74E3" w:rsidRPr="00D93F89">
        <w:rPr>
          <w:rFonts w:asciiTheme="minorHAnsi" w:hAnsiTheme="minorHAnsi"/>
        </w:rPr>
        <w:t xml:space="preserve"> (</w:t>
      </w:r>
      <w:r w:rsidR="004476C9" w:rsidRPr="00D93F89">
        <w:rPr>
          <w:rFonts w:asciiTheme="minorHAnsi" w:hAnsiTheme="minorHAnsi"/>
        </w:rPr>
        <w:t>Russell, 2014).</w:t>
      </w:r>
    </w:p>
    <w:p w14:paraId="68D2007D" w14:textId="12D05F8E" w:rsidR="00A84C0C" w:rsidRPr="00D93F89" w:rsidRDefault="00A84C0C" w:rsidP="00D93F89">
      <w:pPr>
        <w:spacing w:line="360" w:lineRule="auto"/>
        <w:rPr>
          <w:rFonts w:asciiTheme="minorHAnsi" w:hAnsiTheme="minorHAnsi"/>
        </w:rPr>
      </w:pPr>
    </w:p>
    <w:p w14:paraId="5EEE8E3F" w14:textId="7824D5CC" w:rsidR="00A84C0C" w:rsidRPr="00D93F89" w:rsidRDefault="00A84C0C" w:rsidP="00D93F89">
      <w:pPr>
        <w:spacing w:line="360" w:lineRule="auto"/>
        <w:rPr>
          <w:rFonts w:asciiTheme="minorHAnsi" w:hAnsiTheme="minorHAnsi"/>
        </w:rPr>
      </w:pPr>
      <w:r w:rsidRPr="00D93F89">
        <w:rPr>
          <w:rFonts w:asciiTheme="minorHAnsi" w:hAnsiTheme="minorHAnsi"/>
        </w:rPr>
        <w:t xml:space="preserve">Wounding or causing Grievous bodily harm (GBH) with intent is similar to Malicious wounding, however the person </w:t>
      </w:r>
      <w:r w:rsidR="00CC2ECD" w:rsidRPr="00D93F89">
        <w:rPr>
          <w:rFonts w:asciiTheme="minorHAnsi" w:hAnsiTheme="minorHAnsi"/>
        </w:rPr>
        <w:t xml:space="preserve">must act with </w:t>
      </w:r>
      <w:r w:rsidRPr="00D93F89">
        <w:rPr>
          <w:rFonts w:asciiTheme="minorHAnsi" w:hAnsiTheme="minorHAnsi"/>
        </w:rPr>
        <w:t>intent</w:t>
      </w:r>
      <w:r w:rsidR="00CC2ECD" w:rsidRPr="00D93F89">
        <w:rPr>
          <w:rFonts w:asciiTheme="minorHAnsi" w:hAnsiTheme="minorHAnsi"/>
        </w:rPr>
        <w:t xml:space="preserve"> to cause harm</w:t>
      </w:r>
      <w:r w:rsidRPr="00D93F89">
        <w:rPr>
          <w:rFonts w:asciiTheme="minorHAnsi" w:hAnsiTheme="minorHAnsi"/>
        </w:rPr>
        <w:t xml:space="preserve">. </w:t>
      </w:r>
      <w:r w:rsidR="00CC2ECD" w:rsidRPr="00D93F89">
        <w:rPr>
          <w:rFonts w:asciiTheme="minorHAnsi" w:hAnsiTheme="minorHAnsi"/>
        </w:rPr>
        <w:t xml:space="preserve">Whilst both section 18 and 20 are alike, there are differences between the offences. Section 20 of the Act does not require proof of intention, only proof of recklessness. Whereas Section 18 of the Act requires evidence of intent to cause harm (Law Commission, 2009). </w:t>
      </w:r>
      <w:r w:rsidR="00B33BC2" w:rsidRPr="00D93F89">
        <w:rPr>
          <w:rFonts w:asciiTheme="minorHAnsi" w:hAnsiTheme="minorHAnsi"/>
        </w:rPr>
        <w:t xml:space="preserve">Another difference is that included in section 20 is the defendant must </w:t>
      </w:r>
      <w:proofErr w:type="spellStart"/>
      <w:r w:rsidR="00B33BC2" w:rsidRPr="00D93F89">
        <w:rPr>
          <w:rFonts w:asciiTheme="minorHAnsi" w:hAnsiTheme="minorHAnsi"/>
        </w:rPr>
        <w:t>‘cause</w:t>
      </w:r>
      <w:proofErr w:type="spellEnd"/>
      <w:r w:rsidR="00B33BC2" w:rsidRPr="00D93F89">
        <w:rPr>
          <w:rFonts w:asciiTheme="minorHAnsi" w:hAnsiTheme="minorHAnsi"/>
        </w:rPr>
        <w:t xml:space="preserve"> injury to any other person’ whilst included in section 18, the defendant must cause injury to ‘any person’. These two conflicting statements confuse readers, and therefore opens the debate as to whether ‘any person’ can be considered as the defendant himself.</w:t>
      </w:r>
    </w:p>
    <w:p w14:paraId="382AEA9F" w14:textId="6177A4CF" w:rsidR="004476C9" w:rsidRPr="00D93F89" w:rsidRDefault="004476C9" w:rsidP="00D93F89">
      <w:pPr>
        <w:spacing w:line="360" w:lineRule="auto"/>
        <w:rPr>
          <w:rFonts w:asciiTheme="minorHAnsi" w:hAnsiTheme="minorHAnsi"/>
        </w:rPr>
      </w:pPr>
    </w:p>
    <w:p w14:paraId="45FA8B3D" w14:textId="72B508F1" w:rsidR="004476C9" w:rsidRPr="00D93F89" w:rsidRDefault="004476C9" w:rsidP="00D93F89">
      <w:pPr>
        <w:spacing w:line="360" w:lineRule="auto"/>
        <w:rPr>
          <w:rFonts w:asciiTheme="minorHAnsi" w:hAnsiTheme="minorHAnsi"/>
        </w:rPr>
      </w:pPr>
      <w:r w:rsidRPr="00D93F89">
        <w:rPr>
          <w:rFonts w:asciiTheme="minorHAnsi" w:hAnsiTheme="minorHAnsi"/>
        </w:rPr>
        <w:t xml:space="preserve">The Law Commissioner report includes a number of criticisms of the current law. Firstly, there are multiple offences based on the same matter. For example, there are 3 offences in relation to poisoning, 3 in relation to trailways and 4 about explosives. As mentioned earlier in this paper, offences are not being graded appropriately depending on seriousness. In particular, section 47 and 20 result in the same number of sentence years, even though Malicious Wounding/ GBH is a more serious offence. </w:t>
      </w:r>
      <w:r w:rsidR="00705C56" w:rsidRPr="00D93F89">
        <w:rPr>
          <w:rFonts w:asciiTheme="minorHAnsi" w:hAnsiTheme="minorHAnsi"/>
        </w:rPr>
        <w:t xml:space="preserve">Another reason for reform is the questions relating to Transmitted disease offences. Case Law R v </w:t>
      </w:r>
      <w:proofErr w:type="spellStart"/>
      <w:r w:rsidR="00705C56" w:rsidRPr="00D93F89">
        <w:rPr>
          <w:rFonts w:asciiTheme="minorHAnsi" w:hAnsiTheme="minorHAnsi"/>
        </w:rPr>
        <w:t>Dica</w:t>
      </w:r>
      <w:proofErr w:type="spellEnd"/>
      <w:r w:rsidR="00705C56" w:rsidRPr="00D93F89">
        <w:rPr>
          <w:rFonts w:asciiTheme="minorHAnsi" w:hAnsiTheme="minorHAnsi"/>
        </w:rPr>
        <w:t xml:space="preserve"> (2004) is an </w:t>
      </w:r>
      <w:r w:rsidR="00EA4097" w:rsidRPr="00D93F89">
        <w:rPr>
          <w:rFonts w:asciiTheme="minorHAnsi" w:hAnsiTheme="minorHAnsi"/>
        </w:rPr>
        <w:t>exceptional</w:t>
      </w:r>
      <w:r w:rsidR="00705C56" w:rsidRPr="00D93F89">
        <w:rPr>
          <w:rFonts w:asciiTheme="minorHAnsi" w:hAnsiTheme="minorHAnsi"/>
        </w:rPr>
        <w:t xml:space="preserve"> example of the issues of clarity regarding this offence. Mr. </w:t>
      </w:r>
      <w:proofErr w:type="spellStart"/>
      <w:r w:rsidR="00705C56" w:rsidRPr="00D93F89">
        <w:rPr>
          <w:rFonts w:asciiTheme="minorHAnsi" w:hAnsiTheme="minorHAnsi"/>
        </w:rPr>
        <w:t>Dica</w:t>
      </w:r>
      <w:proofErr w:type="spellEnd"/>
      <w:r w:rsidR="00705C56" w:rsidRPr="00D93F89">
        <w:rPr>
          <w:rFonts w:asciiTheme="minorHAnsi" w:hAnsiTheme="minorHAnsi"/>
        </w:rPr>
        <w:t xml:space="preserve"> was diagnosed with </w:t>
      </w:r>
      <w:r w:rsidR="00705C56" w:rsidRPr="00D93F89">
        <w:rPr>
          <w:rFonts w:asciiTheme="minorHAnsi" w:hAnsiTheme="minorHAnsi"/>
          <w:color w:val="000000" w:themeColor="text1"/>
          <w:shd w:val="clear" w:color="auto" w:fill="FFFFFF"/>
        </w:rPr>
        <w:t>human immunodeficiency virus</w:t>
      </w:r>
      <w:r w:rsidR="00705C56" w:rsidRPr="00D93F89">
        <w:rPr>
          <w:rFonts w:asciiTheme="minorHAnsi" w:hAnsiTheme="minorHAnsi"/>
        </w:rPr>
        <w:t xml:space="preserve"> (HIV), he then has sexual intercourse with two women whilst knowingly aware of his disease. He was charged under section 20 of the </w:t>
      </w:r>
      <w:proofErr w:type="spellStart"/>
      <w:r w:rsidR="00705C56" w:rsidRPr="00D93F89">
        <w:rPr>
          <w:rFonts w:asciiTheme="minorHAnsi" w:hAnsiTheme="minorHAnsi"/>
        </w:rPr>
        <w:t>The</w:t>
      </w:r>
      <w:proofErr w:type="spellEnd"/>
      <w:r w:rsidR="00705C56" w:rsidRPr="00D93F89">
        <w:rPr>
          <w:rFonts w:asciiTheme="minorHAnsi" w:hAnsiTheme="minorHAnsi"/>
        </w:rPr>
        <w:t xml:space="preserve"> Offences Against </w:t>
      </w:r>
      <w:proofErr w:type="gramStart"/>
      <w:r w:rsidR="00705C56" w:rsidRPr="00D93F89">
        <w:rPr>
          <w:rFonts w:asciiTheme="minorHAnsi" w:hAnsiTheme="minorHAnsi"/>
        </w:rPr>
        <w:t>The</w:t>
      </w:r>
      <w:proofErr w:type="gramEnd"/>
      <w:r w:rsidR="00705C56" w:rsidRPr="00D93F89">
        <w:rPr>
          <w:rFonts w:asciiTheme="minorHAnsi" w:hAnsiTheme="minorHAnsi"/>
        </w:rPr>
        <w:t xml:space="preserve"> Person Act 1861. He appealed his </w:t>
      </w:r>
      <w:r w:rsidR="002E1D74" w:rsidRPr="00D93F89">
        <w:rPr>
          <w:rFonts w:asciiTheme="minorHAnsi" w:hAnsiTheme="minorHAnsi"/>
        </w:rPr>
        <w:t xml:space="preserve">case on the basis that he claimed both women were aware of his HIV diagnosis. </w:t>
      </w:r>
      <w:r w:rsidR="00EA4097" w:rsidRPr="00D93F89">
        <w:rPr>
          <w:rFonts w:asciiTheme="minorHAnsi" w:hAnsiTheme="minorHAnsi"/>
        </w:rPr>
        <w:t>However,</w:t>
      </w:r>
      <w:r w:rsidR="002E1D74" w:rsidRPr="00D93F89">
        <w:rPr>
          <w:rFonts w:asciiTheme="minorHAnsi" w:hAnsiTheme="minorHAnsi"/>
        </w:rPr>
        <w:t xml:space="preserve"> as there was no evidence to prove this, he was still deemed liable under section 20 for recklessly transmitting HIV and therefor causing Grievous bodily harm. Some say this case is somewhat unfair, as if Mr. </w:t>
      </w:r>
      <w:proofErr w:type="spellStart"/>
      <w:r w:rsidR="002E1D74" w:rsidRPr="00D93F89">
        <w:rPr>
          <w:rFonts w:asciiTheme="minorHAnsi" w:hAnsiTheme="minorHAnsi"/>
        </w:rPr>
        <w:t>Dica</w:t>
      </w:r>
      <w:proofErr w:type="spellEnd"/>
      <w:r w:rsidR="002E1D74" w:rsidRPr="00D93F89">
        <w:rPr>
          <w:rFonts w:asciiTheme="minorHAnsi" w:hAnsiTheme="minorHAnsi"/>
        </w:rPr>
        <w:t xml:space="preserve"> made the women aware of his </w:t>
      </w:r>
      <w:r w:rsidR="00EA4097" w:rsidRPr="00D93F89">
        <w:rPr>
          <w:rFonts w:asciiTheme="minorHAnsi" w:hAnsiTheme="minorHAnsi"/>
        </w:rPr>
        <w:t>disease</w:t>
      </w:r>
      <w:r w:rsidR="002E1D74" w:rsidRPr="00D93F89">
        <w:rPr>
          <w:rFonts w:asciiTheme="minorHAnsi" w:hAnsiTheme="minorHAnsi"/>
        </w:rPr>
        <w:t xml:space="preserve"> then he would not be liable for any offence. This case proves that there is not enough detail in the OAPA 186</w:t>
      </w:r>
      <w:r w:rsidR="00F97476" w:rsidRPr="00D93F89">
        <w:rPr>
          <w:rFonts w:asciiTheme="minorHAnsi" w:hAnsiTheme="minorHAnsi"/>
        </w:rPr>
        <w:t xml:space="preserve">1 </w:t>
      </w:r>
      <w:r w:rsidR="002E1D74" w:rsidRPr="00D93F89">
        <w:rPr>
          <w:rFonts w:asciiTheme="minorHAnsi" w:hAnsiTheme="minorHAnsi"/>
        </w:rPr>
        <w:t>regarding sexually transmitted diseases. The Law Commission suggest more specific offences for these types of cases.</w:t>
      </w:r>
    </w:p>
    <w:p w14:paraId="74F5B883" w14:textId="11B47CCB" w:rsidR="002E1D74" w:rsidRPr="00D93F89" w:rsidRDefault="002E1D74" w:rsidP="00D93F89">
      <w:pPr>
        <w:spacing w:line="360" w:lineRule="auto"/>
        <w:rPr>
          <w:rFonts w:asciiTheme="minorHAnsi" w:hAnsiTheme="minorHAnsi"/>
        </w:rPr>
      </w:pPr>
    </w:p>
    <w:p w14:paraId="13690446" w14:textId="1692121C" w:rsidR="00602DA8" w:rsidRPr="00D93F89" w:rsidRDefault="00F97476" w:rsidP="00D93F89">
      <w:pPr>
        <w:spacing w:line="360" w:lineRule="auto"/>
        <w:rPr>
          <w:rFonts w:asciiTheme="minorHAnsi" w:hAnsiTheme="minorHAnsi"/>
        </w:rPr>
      </w:pPr>
      <w:r w:rsidRPr="00D93F89">
        <w:rPr>
          <w:rFonts w:asciiTheme="minorHAnsi" w:hAnsiTheme="minorHAnsi"/>
        </w:rPr>
        <w:lastRenderedPageBreak/>
        <w:t xml:space="preserve">Another </w:t>
      </w:r>
      <w:r w:rsidRPr="00D93F89">
        <w:rPr>
          <w:rFonts w:asciiTheme="minorHAnsi" w:hAnsiTheme="minorHAnsi"/>
          <w:color w:val="000000" w:themeColor="text1"/>
        </w:rPr>
        <w:t xml:space="preserve">reason why the Offences </w:t>
      </w:r>
      <w:r w:rsidR="002B4A96" w:rsidRPr="00D93F89">
        <w:rPr>
          <w:rFonts w:asciiTheme="minorHAnsi" w:hAnsiTheme="minorHAnsi"/>
          <w:color w:val="000000" w:themeColor="text1"/>
        </w:rPr>
        <w:t>Against</w:t>
      </w:r>
      <w:r w:rsidRPr="00D93F89">
        <w:rPr>
          <w:rFonts w:asciiTheme="minorHAnsi" w:hAnsiTheme="minorHAnsi"/>
          <w:color w:val="000000" w:themeColor="text1"/>
        </w:rPr>
        <w:t xml:space="preserve"> the Person Act 1861 needs reforming is the language used. The language used is </w:t>
      </w:r>
      <w:r w:rsidR="002B4A96" w:rsidRPr="00D93F89">
        <w:rPr>
          <w:rFonts w:asciiTheme="minorHAnsi" w:hAnsiTheme="minorHAnsi"/>
          <w:color w:val="000000" w:themeColor="text1"/>
        </w:rPr>
        <w:t>outdated and</w:t>
      </w:r>
      <w:r w:rsidRPr="00D93F89">
        <w:rPr>
          <w:rFonts w:asciiTheme="minorHAnsi" w:hAnsiTheme="minorHAnsi"/>
          <w:color w:val="000000" w:themeColor="text1"/>
        </w:rPr>
        <w:t xml:space="preserve"> uses archaic vocabulary such as ‘detainer’. </w:t>
      </w:r>
      <w:r w:rsidR="002B4A96" w:rsidRPr="00D93F89">
        <w:rPr>
          <w:rFonts w:asciiTheme="minorHAnsi" w:hAnsiTheme="minorHAnsi"/>
          <w:color w:val="000000" w:themeColor="text1"/>
        </w:rPr>
        <w:t xml:space="preserve">The Act that was written by a Victorian legislator, </w:t>
      </w:r>
      <w:r w:rsidR="00644F2A" w:rsidRPr="00D93F89">
        <w:rPr>
          <w:rFonts w:asciiTheme="minorHAnsi" w:hAnsiTheme="minorHAnsi"/>
          <w:color w:val="000000" w:themeColor="text1"/>
        </w:rPr>
        <w:t xml:space="preserve">who </w:t>
      </w:r>
      <w:r w:rsidR="002B4A96" w:rsidRPr="00D93F89">
        <w:rPr>
          <w:rFonts w:asciiTheme="minorHAnsi" w:hAnsiTheme="minorHAnsi"/>
          <w:color w:val="000000" w:themeColor="text1"/>
        </w:rPr>
        <w:t xml:space="preserve">uses words such as ‘bodily’ throughout the Act. </w:t>
      </w:r>
      <w:r w:rsidR="00602DA8" w:rsidRPr="00D93F89">
        <w:rPr>
          <w:rFonts w:asciiTheme="minorHAnsi" w:hAnsiTheme="minorHAnsi"/>
          <w:color w:val="000000" w:themeColor="text1"/>
        </w:rPr>
        <w:t xml:space="preserve">The term ‘bodily harm’ is also used to describe mental issues too. It is evident that the Act is not </w:t>
      </w:r>
      <w:proofErr w:type="gramStart"/>
      <w:r w:rsidR="00602DA8" w:rsidRPr="00D93F89">
        <w:rPr>
          <w:rFonts w:asciiTheme="minorHAnsi" w:hAnsiTheme="minorHAnsi"/>
          <w:color w:val="000000" w:themeColor="text1"/>
        </w:rPr>
        <w:t>equip</w:t>
      </w:r>
      <w:proofErr w:type="gramEnd"/>
      <w:r w:rsidR="00602DA8" w:rsidRPr="00D93F89">
        <w:rPr>
          <w:rFonts w:asciiTheme="minorHAnsi" w:hAnsiTheme="minorHAnsi"/>
          <w:color w:val="000000" w:themeColor="text1"/>
        </w:rPr>
        <w:t xml:space="preserve"> to sentence modern day offences, such as HIV, Cyber Harassment and Mental Health matters. </w:t>
      </w:r>
      <w:r w:rsidR="00602DA8" w:rsidRPr="00D93F89">
        <w:rPr>
          <w:rFonts w:asciiTheme="minorHAnsi" w:hAnsiTheme="minorHAnsi"/>
          <w:color w:val="000000" w:themeColor="text1"/>
          <w:shd w:val="clear" w:color="auto" w:fill="FFFFFF"/>
        </w:rPr>
        <w:t xml:space="preserve">Professor David Ormerod stated in a plea for reform, that the Act </w:t>
      </w:r>
      <w:r w:rsidR="00644F2A" w:rsidRPr="00D93F89">
        <w:rPr>
          <w:rFonts w:asciiTheme="minorHAnsi" w:hAnsiTheme="minorHAnsi"/>
          <w:color w:val="000000" w:themeColor="text1"/>
          <w:shd w:val="clear" w:color="auto" w:fill="FFFFFF"/>
        </w:rPr>
        <w:t xml:space="preserve">also </w:t>
      </w:r>
      <w:r w:rsidR="00602DA8" w:rsidRPr="00D93F89">
        <w:rPr>
          <w:rFonts w:asciiTheme="minorHAnsi" w:hAnsiTheme="minorHAnsi"/>
          <w:color w:val="000000" w:themeColor="text1"/>
          <w:shd w:val="clear" w:color="auto" w:fill="FFFFFF"/>
        </w:rPr>
        <w:t xml:space="preserve">includes obsolete offences. Offences that have no relevance in modern society, such as ‘impeding a person from escaping a wreck’. </w:t>
      </w:r>
    </w:p>
    <w:p w14:paraId="2074B5BA" w14:textId="132A5DB4" w:rsidR="002B4A96" w:rsidRPr="00D93F89" w:rsidRDefault="002B4A96" w:rsidP="00D93F89">
      <w:pPr>
        <w:spacing w:line="360" w:lineRule="auto"/>
        <w:rPr>
          <w:rFonts w:asciiTheme="minorHAnsi" w:hAnsiTheme="minorHAnsi"/>
        </w:rPr>
      </w:pPr>
    </w:p>
    <w:p w14:paraId="3053F159" w14:textId="285ED75E" w:rsidR="002B4A96" w:rsidRPr="00D93F89" w:rsidRDefault="00C44092" w:rsidP="00D93F89">
      <w:pPr>
        <w:spacing w:line="360" w:lineRule="auto"/>
        <w:rPr>
          <w:rFonts w:asciiTheme="minorHAnsi" w:hAnsiTheme="minorHAnsi"/>
        </w:rPr>
      </w:pPr>
      <w:r w:rsidRPr="00D93F89">
        <w:rPr>
          <w:rFonts w:asciiTheme="minorHAnsi" w:hAnsiTheme="minorHAnsi"/>
        </w:rPr>
        <w:t xml:space="preserve">The Home Office has proposed a number of offences to be replaced by modified versions which do not lack clarity. Some examples of what’s been proposed are ‘A person is guilty of an offence if he intentionally causes serious injury to another’ ‘Injury means both physical and mental’. </w:t>
      </w:r>
      <w:r w:rsidR="0081545B" w:rsidRPr="00D93F89">
        <w:rPr>
          <w:rFonts w:asciiTheme="minorHAnsi" w:hAnsiTheme="minorHAnsi"/>
        </w:rPr>
        <w:t>Ultimately</w:t>
      </w:r>
      <w:r w:rsidRPr="00D93F89">
        <w:rPr>
          <w:rFonts w:asciiTheme="minorHAnsi" w:hAnsiTheme="minorHAnsi"/>
        </w:rPr>
        <w:t xml:space="preserve">, what they </w:t>
      </w:r>
      <w:r w:rsidR="0081545B" w:rsidRPr="00D93F89">
        <w:rPr>
          <w:rFonts w:asciiTheme="minorHAnsi" w:hAnsiTheme="minorHAnsi"/>
        </w:rPr>
        <w:t>propose</w:t>
      </w:r>
      <w:r w:rsidRPr="00D93F89">
        <w:rPr>
          <w:rFonts w:asciiTheme="minorHAnsi" w:hAnsiTheme="minorHAnsi"/>
        </w:rPr>
        <w:t xml:space="preserve"> is that </w:t>
      </w:r>
      <w:r w:rsidR="0081545B" w:rsidRPr="00D93F89">
        <w:rPr>
          <w:rFonts w:asciiTheme="minorHAnsi" w:hAnsiTheme="minorHAnsi"/>
        </w:rPr>
        <w:t xml:space="preserve">a person may only be responsible for the degree of injury he foresaw or intended’ (Herring, 2020). These proposals are praised due to their clarity, the language used and their relevance in modern society. </w:t>
      </w:r>
    </w:p>
    <w:p w14:paraId="5978EEF7" w14:textId="0F744DF4" w:rsidR="0081545B" w:rsidRPr="00D93F89" w:rsidRDefault="0081545B" w:rsidP="00D93F89">
      <w:pPr>
        <w:spacing w:line="360" w:lineRule="auto"/>
        <w:rPr>
          <w:rFonts w:asciiTheme="minorHAnsi" w:hAnsiTheme="minorHAnsi"/>
        </w:rPr>
      </w:pPr>
    </w:p>
    <w:p w14:paraId="114CA9FF" w14:textId="29B1B9D7" w:rsidR="002B4A96" w:rsidRPr="00D93F89" w:rsidRDefault="0081545B" w:rsidP="00D93F89">
      <w:pPr>
        <w:spacing w:line="360" w:lineRule="auto"/>
        <w:rPr>
          <w:rFonts w:asciiTheme="minorHAnsi" w:hAnsiTheme="minorHAnsi"/>
        </w:rPr>
      </w:pPr>
      <w:r w:rsidRPr="00D93F89">
        <w:rPr>
          <w:rFonts w:asciiTheme="minorHAnsi" w:hAnsiTheme="minorHAnsi"/>
        </w:rPr>
        <w:t>Law Commissioner D. Ormerod spoke about the issues surrounding the Act, and discussed the recommendations put forward. He listed recommendations that were not included in the 1988 bill. Firstly, is the introduction of a new offence of Aggravated Assault. This</w:t>
      </w:r>
      <w:r w:rsidR="000B26AA" w:rsidRPr="00D93F89">
        <w:rPr>
          <w:rFonts w:asciiTheme="minorHAnsi" w:hAnsiTheme="minorHAnsi"/>
        </w:rPr>
        <w:t xml:space="preserve"> is said to deal with offences that fall between Assault and Bodily Harm. Ormerod suggests that the new offence will carry a sentence of up to 12 months and be trialled in the </w:t>
      </w:r>
      <w:r w:rsidR="00B45D0B" w:rsidRPr="00D93F89">
        <w:rPr>
          <w:rFonts w:asciiTheme="minorHAnsi" w:hAnsiTheme="minorHAnsi"/>
        </w:rPr>
        <w:t>magistrate’s</w:t>
      </w:r>
      <w:r w:rsidR="000B26AA" w:rsidRPr="00D93F89">
        <w:rPr>
          <w:rFonts w:asciiTheme="minorHAnsi" w:hAnsiTheme="minorHAnsi"/>
        </w:rPr>
        <w:t xml:space="preserve"> court instead of the Crown Court. This is aimed to reduce the </w:t>
      </w:r>
      <w:r w:rsidR="00B45D0B" w:rsidRPr="00D93F89">
        <w:rPr>
          <w:rFonts w:asciiTheme="minorHAnsi" w:hAnsiTheme="minorHAnsi"/>
        </w:rPr>
        <w:t>number</w:t>
      </w:r>
      <w:r w:rsidR="000B26AA" w:rsidRPr="00D93F89">
        <w:rPr>
          <w:rFonts w:asciiTheme="minorHAnsi" w:hAnsiTheme="minorHAnsi"/>
        </w:rPr>
        <w:t xml:space="preserve"> of 6-month sentences being trialled at Crown Court, this strategy would cause a substantial decrease in funds. </w:t>
      </w:r>
    </w:p>
    <w:p w14:paraId="0E181F5E" w14:textId="41B81CEC" w:rsidR="000B26AA" w:rsidRPr="00D93F89" w:rsidRDefault="000B26AA" w:rsidP="00D93F89">
      <w:pPr>
        <w:spacing w:line="360" w:lineRule="auto"/>
        <w:rPr>
          <w:rFonts w:asciiTheme="minorHAnsi" w:hAnsiTheme="minorHAnsi"/>
        </w:rPr>
      </w:pPr>
      <w:r w:rsidRPr="00D93F89">
        <w:rPr>
          <w:rFonts w:asciiTheme="minorHAnsi" w:hAnsiTheme="minorHAnsi"/>
        </w:rPr>
        <w:t>D. Ormerod claims that the Law Commission</w:t>
      </w:r>
      <w:r w:rsidR="0058368E" w:rsidRPr="00D93F89">
        <w:rPr>
          <w:rFonts w:asciiTheme="minorHAnsi" w:hAnsiTheme="minorHAnsi"/>
        </w:rPr>
        <w:t>’s report will be “</w:t>
      </w:r>
      <w:r w:rsidRPr="00D93F89">
        <w:rPr>
          <w:rFonts w:asciiTheme="minorHAnsi" w:hAnsiTheme="minorHAnsi"/>
        </w:rPr>
        <w:t xml:space="preserve">providing a coherent scheme </w:t>
      </w:r>
    </w:p>
    <w:p w14:paraId="69FB9C04" w14:textId="3D636E95" w:rsidR="00B33BC2" w:rsidRPr="00D93F89" w:rsidRDefault="000B26AA" w:rsidP="00D93F89">
      <w:pPr>
        <w:spacing w:line="360" w:lineRule="auto"/>
        <w:rPr>
          <w:rFonts w:asciiTheme="minorHAnsi" w:hAnsiTheme="minorHAnsi"/>
        </w:rPr>
      </w:pPr>
      <w:r w:rsidRPr="00D93F89">
        <w:rPr>
          <w:rFonts w:asciiTheme="minorHAnsi" w:hAnsiTheme="minorHAnsi"/>
        </w:rPr>
        <w:t xml:space="preserve">of Structured offences </w:t>
      </w:r>
      <w:r w:rsidR="0058368E" w:rsidRPr="00D93F89">
        <w:rPr>
          <w:rFonts w:asciiTheme="minorHAnsi" w:hAnsiTheme="minorHAnsi"/>
        </w:rPr>
        <w:t>t</w:t>
      </w:r>
      <w:r w:rsidRPr="00D93F89">
        <w:rPr>
          <w:rFonts w:asciiTheme="minorHAnsi" w:hAnsiTheme="minorHAnsi"/>
        </w:rPr>
        <w:t>hat can be readily understood and efficiently prosecuted</w:t>
      </w:r>
      <w:r w:rsidR="0058368E" w:rsidRPr="00D93F89">
        <w:rPr>
          <w:rFonts w:asciiTheme="minorHAnsi" w:hAnsiTheme="minorHAnsi"/>
        </w:rPr>
        <w:t>”.</w:t>
      </w:r>
      <w:r w:rsidRPr="00D93F89">
        <w:rPr>
          <w:rFonts w:asciiTheme="minorHAnsi" w:hAnsiTheme="minorHAnsi"/>
        </w:rPr>
        <w:t xml:space="preserve"> </w:t>
      </w:r>
    </w:p>
    <w:p w14:paraId="2A962086" w14:textId="5C6A78B7" w:rsidR="00FD7469" w:rsidRPr="00D93F89" w:rsidRDefault="00FD7469" w:rsidP="00D93F89">
      <w:pPr>
        <w:spacing w:line="360" w:lineRule="auto"/>
        <w:rPr>
          <w:rFonts w:asciiTheme="minorHAnsi" w:hAnsiTheme="minorHAnsi"/>
        </w:rPr>
      </w:pPr>
    </w:p>
    <w:p w14:paraId="7BA5DB9E" w14:textId="4787CB73" w:rsidR="00FD7469" w:rsidRPr="00D93F89" w:rsidRDefault="00FD7469" w:rsidP="00D93F89">
      <w:pPr>
        <w:spacing w:line="360" w:lineRule="auto"/>
        <w:rPr>
          <w:rFonts w:asciiTheme="minorHAnsi" w:hAnsiTheme="minorHAnsi"/>
        </w:rPr>
      </w:pPr>
      <w:r w:rsidRPr="00D93F89">
        <w:rPr>
          <w:rFonts w:asciiTheme="minorHAnsi" w:hAnsiTheme="minorHAnsi"/>
        </w:rPr>
        <w:t xml:space="preserve">Although there are many </w:t>
      </w:r>
      <w:r w:rsidR="004A4947" w:rsidRPr="00D93F89">
        <w:rPr>
          <w:rFonts w:asciiTheme="minorHAnsi" w:hAnsiTheme="minorHAnsi"/>
        </w:rPr>
        <w:t>supporting arguments</w:t>
      </w:r>
      <w:r w:rsidRPr="00D93F89">
        <w:rPr>
          <w:rFonts w:asciiTheme="minorHAnsi" w:hAnsiTheme="minorHAnsi"/>
        </w:rPr>
        <w:t xml:space="preserve"> for the reform, there has been some responses of people who oppose to it. The London Criminal Courts Solicitors’ Association argued that although the language would benefit from some modification, that all of the points included in the Act were </w:t>
      </w:r>
      <w:r w:rsidR="00055F93" w:rsidRPr="00D93F89">
        <w:rPr>
          <w:rFonts w:asciiTheme="minorHAnsi" w:hAnsiTheme="minorHAnsi"/>
        </w:rPr>
        <w:t xml:space="preserve">comprehendible and at times </w:t>
      </w:r>
      <w:r w:rsidRPr="00D93F89">
        <w:rPr>
          <w:rFonts w:asciiTheme="minorHAnsi" w:hAnsiTheme="minorHAnsi"/>
        </w:rPr>
        <w:t>excessive modificatio</w:t>
      </w:r>
      <w:r w:rsidR="00055F93" w:rsidRPr="00D93F89">
        <w:rPr>
          <w:rFonts w:asciiTheme="minorHAnsi" w:hAnsiTheme="minorHAnsi"/>
        </w:rPr>
        <w:t>n will not improve the Act. J. Spencer stated that the flaws in the language used are minimal and irrelevant, but the quantity of offences related to assault and injury could be diminished.</w:t>
      </w:r>
      <w:r w:rsidR="004A4947" w:rsidRPr="00D93F89">
        <w:rPr>
          <w:rFonts w:asciiTheme="minorHAnsi" w:hAnsiTheme="minorHAnsi"/>
        </w:rPr>
        <w:t xml:space="preserve"> </w:t>
      </w:r>
      <w:r w:rsidR="00EA4097" w:rsidRPr="00D93F89">
        <w:rPr>
          <w:rFonts w:asciiTheme="minorHAnsi" w:hAnsiTheme="minorHAnsi"/>
        </w:rPr>
        <w:lastRenderedPageBreak/>
        <w:t xml:space="preserve">The Bar Council </w:t>
      </w:r>
      <w:r w:rsidR="00644F2A" w:rsidRPr="00D93F89">
        <w:rPr>
          <w:rFonts w:asciiTheme="minorHAnsi" w:hAnsiTheme="minorHAnsi"/>
        </w:rPr>
        <w:t xml:space="preserve">say </w:t>
      </w:r>
      <w:r w:rsidR="00EA4097" w:rsidRPr="00D93F89">
        <w:rPr>
          <w:rFonts w:asciiTheme="minorHAnsi" w:hAnsiTheme="minorHAnsi"/>
        </w:rPr>
        <w:t xml:space="preserve">that the flaws in the act were theoretical, and the act operated efficiently in </w:t>
      </w:r>
      <w:r w:rsidR="00644F2A" w:rsidRPr="00D93F89">
        <w:rPr>
          <w:rFonts w:asciiTheme="minorHAnsi" w:hAnsiTheme="minorHAnsi"/>
        </w:rPr>
        <w:t>practice. The</w:t>
      </w:r>
      <w:r w:rsidR="004A4947" w:rsidRPr="00D93F89">
        <w:rPr>
          <w:rFonts w:asciiTheme="minorHAnsi" w:hAnsiTheme="minorHAnsi"/>
        </w:rPr>
        <w:t xml:space="preserve"> general consensus of opposing people is that the outdated language is peripheral, but the amount of offences should be reduced. </w:t>
      </w:r>
      <w:r w:rsidR="004A4947" w:rsidRPr="00D93F89">
        <w:rPr>
          <w:rFonts w:asciiTheme="minorHAnsi" w:hAnsiTheme="minorHAnsi"/>
        </w:rPr>
        <w:t>(Law Com, No 361).</w:t>
      </w:r>
    </w:p>
    <w:p w14:paraId="4D3EB577" w14:textId="16CC82C0" w:rsidR="00B33BC2" w:rsidRPr="00D93F89" w:rsidRDefault="00B33BC2" w:rsidP="00D93F89">
      <w:pPr>
        <w:spacing w:line="360" w:lineRule="auto"/>
        <w:rPr>
          <w:rFonts w:asciiTheme="minorHAnsi" w:hAnsiTheme="minorHAnsi"/>
        </w:rPr>
      </w:pPr>
    </w:p>
    <w:p w14:paraId="3EC0AFEE" w14:textId="3F2357CE" w:rsidR="0058368E" w:rsidRPr="00D93F89" w:rsidRDefault="0058368E" w:rsidP="00D93F89">
      <w:pPr>
        <w:spacing w:line="360" w:lineRule="auto"/>
        <w:rPr>
          <w:rFonts w:asciiTheme="minorHAnsi" w:hAnsiTheme="minorHAnsi"/>
        </w:rPr>
      </w:pPr>
      <w:r w:rsidRPr="00D93F89">
        <w:rPr>
          <w:rFonts w:asciiTheme="minorHAnsi" w:hAnsiTheme="minorHAnsi"/>
        </w:rPr>
        <w:t xml:space="preserve">In conclusion, the Offences Against </w:t>
      </w:r>
      <w:proofErr w:type="gramStart"/>
      <w:r w:rsidRPr="00D93F89">
        <w:rPr>
          <w:rFonts w:asciiTheme="minorHAnsi" w:hAnsiTheme="minorHAnsi"/>
        </w:rPr>
        <w:t>The</w:t>
      </w:r>
      <w:proofErr w:type="gramEnd"/>
      <w:r w:rsidRPr="00D93F89">
        <w:rPr>
          <w:rFonts w:asciiTheme="minorHAnsi" w:hAnsiTheme="minorHAnsi"/>
        </w:rPr>
        <w:t xml:space="preserve"> Person Act is </w:t>
      </w:r>
      <w:r w:rsidR="00B45D0B" w:rsidRPr="00D93F89">
        <w:rPr>
          <w:rFonts w:asciiTheme="minorHAnsi" w:hAnsiTheme="minorHAnsi"/>
        </w:rPr>
        <w:t>seriously</w:t>
      </w:r>
      <w:r w:rsidRPr="00D93F89">
        <w:rPr>
          <w:rFonts w:asciiTheme="minorHAnsi" w:hAnsiTheme="minorHAnsi"/>
        </w:rPr>
        <w:t xml:space="preserve"> outdated and somewhat irrelevant. It includes offences which are not relevant to modern day and lacks total acknowledgement and understanding of the offences of modern society. The language used is outdated, making the Act arduous to read. The Act has no specific structure, resulting in it lacking clarity. The terminology used </w:t>
      </w:r>
      <w:r w:rsidR="00B45D0B" w:rsidRPr="00D93F89">
        <w:rPr>
          <w:rFonts w:asciiTheme="minorHAnsi" w:hAnsiTheme="minorHAnsi"/>
        </w:rPr>
        <w:t xml:space="preserve">is </w:t>
      </w:r>
      <w:r w:rsidRPr="00D93F89">
        <w:rPr>
          <w:rFonts w:asciiTheme="minorHAnsi" w:hAnsiTheme="minorHAnsi"/>
        </w:rPr>
        <w:t xml:space="preserve">ambiguously conflicting, such as the use of ‘caused’ and ‘inflicted’ throughout the Act. The length of sentences for certain offences such as section 47 and section 20 are inadequate, as offences of </w:t>
      </w:r>
      <w:r w:rsidR="00B45D0B" w:rsidRPr="00D93F89">
        <w:rPr>
          <w:rFonts w:asciiTheme="minorHAnsi" w:hAnsiTheme="minorHAnsi"/>
        </w:rPr>
        <w:t xml:space="preserve">different </w:t>
      </w:r>
      <w:r w:rsidRPr="00D93F89">
        <w:rPr>
          <w:rFonts w:asciiTheme="minorHAnsi" w:hAnsiTheme="minorHAnsi"/>
        </w:rPr>
        <w:t xml:space="preserve">degrees of </w:t>
      </w:r>
      <w:r w:rsidR="00B45D0B" w:rsidRPr="00D93F89">
        <w:rPr>
          <w:rFonts w:asciiTheme="minorHAnsi" w:hAnsiTheme="minorHAnsi"/>
        </w:rPr>
        <w:t xml:space="preserve">seriousness </w:t>
      </w:r>
      <w:r w:rsidRPr="00D93F89">
        <w:rPr>
          <w:rFonts w:asciiTheme="minorHAnsi" w:hAnsiTheme="minorHAnsi"/>
        </w:rPr>
        <w:t>should not carry the same number of years imprisonment</w:t>
      </w:r>
      <w:r w:rsidR="00B45D0B" w:rsidRPr="00D93F89">
        <w:rPr>
          <w:rFonts w:asciiTheme="minorHAnsi" w:hAnsiTheme="minorHAnsi"/>
        </w:rPr>
        <w:t xml:space="preserve">. The Offences Against </w:t>
      </w:r>
      <w:proofErr w:type="gramStart"/>
      <w:r w:rsidR="00B45D0B" w:rsidRPr="00D93F89">
        <w:rPr>
          <w:rFonts w:asciiTheme="minorHAnsi" w:hAnsiTheme="minorHAnsi"/>
        </w:rPr>
        <w:t>The</w:t>
      </w:r>
      <w:proofErr w:type="gramEnd"/>
      <w:r w:rsidR="00B45D0B" w:rsidRPr="00D93F89">
        <w:rPr>
          <w:rFonts w:asciiTheme="minorHAnsi" w:hAnsiTheme="minorHAnsi"/>
        </w:rPr>
        <w:t xml:space="preserve"> Person Act 1861 is desperate for modification, and unquestionably requires reform</w:t>
      </w:r>
      <w:r w:rsidR="004A4947" w:rsidRPr="00D93F89">
        <w:rPr>
          <w:rFonts w:asciiTheme="minorHAnsi" w:hAnsiTheme="minorHAnsi"/>
        </w:rPr>
        <w:t>.</w:t>
      </w:r>
    </w:p>
    <w:p w14:paraId="174A0E82" w14:textId="0EEF30A6" w:rsidR="00DC4F91" w:rsidRPr="00D93F89" w:rsidRDefault="00DC4F91" w:rsidP="00D93F89">
      <w:pPr>
        <w:spacing w:line="360" w:lineRule="auto"/>
        <w:rPr>
          <w:rFonts w:asciiTheme="minorHAnsi" w:hAnsiTheme="minorHAnsi"/>
        </w:rPr>
      </w:pPr>
    </w:p>
    <w:p w14:paraId="3ABC6C4F" w14:textId="6993E2CC" w:rsidR="00DC4F91" w:rsidRPr="00D93F89" w:rsidRDefault="00DC4F91" w:rsidP="00D93F89">
      <w:pPr>
        <w:spacing w:line="360" w:lineRule="auto"/>
        <w:rPr>
          <w:rFonts w:asciiTheme="minorHAnsi" w:hAnsiTheme="minorHAnsi"/>
        </w:rPr>
      </w:pPr>
    </w:p>
    <w:p w14:paraId="69708C9D" w14:textId="77777777" w:rsidR="00DC4F91" w:rsidRPr="00D93F89" w:rsidRDefault="00DC4F91" w:rsidP="00D93F89">
      <w:pPr>
        <w:spacing w:line="360" w:lineRule="auto"/>
        <w:rPr>
          <w:rFonts w:asciiTheme="minorHAnsi" w:hAnsiTheme="minorHAnsi"/>
        </w:rPr>
      </w:pPr>
    </w:p>
    <w:p w14:paraId="490EB6CD" w14:textId="77777777" w:rsidR="000E18EB" w:rsidRPr="00D93F89" w:rsidRDefault="000E18EB" w:rsidP="00D93F89">
      <w:pPr>
        <w:spacing w:line="360" w:lineRule="auto"/>
        <w:rPr>
          <w:rFonts w:asciiTheme="minorHAnsi" w:hAnsiTheme="minorHAnsi"/>
        </w:rPr>
      </w:pPr>
    </w:p>
    <w:p w14:paraId="2F5672E9" w14:textId="0A93F8C3" w:rsidR="003C5F62" w:rsidRPr="00D93F89" w:rsidRDefault="003C5F62" w:rsidP="00D93F89">
      <w:pPr>
        <w:spacing w:line="360" w:lineRule="auto"/>
        <w:rPr>
          <w:rFonts w:asciiTheme="minorHAnsi" w:hAnsiTheme="minorHAnsi"/>
        </w:rPr>
      </w:pPr>
    </w:p>
    <w:p w14:paraId="02275DBA" w14:textId="2283123D" w:rsidR="003C5F62" w:rsidRPr="00D93F89" w:rsidRDefault="003C5F62" w:rsidP="00D93F89">
      <w:pPr>
        <w:spacing w:line="360" w:lineRule="auto"/>
        <w:rPr>
          <w:rFonts w:asciiTheme="minorHAnsi" w:hAnsiTheme="minorHAnsi"/>
        </w:rPr>
      </w:pPr>
    </w:p>
    <w:sectPr w:rsidR="003C5F62" w:rsidRPr="00D93F89" w:rsidSect="0078184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F62"/>
    <w:rsid w:val="00055F93"/>
    <w:rsid w:val="000B26AA"/>
    <w:rsid w:val="000E18EB"/>
    <w:rsid w:val="00100BE4"/>
    <w:rsid w:val="001110B2"/>
    <w:rsid w:val="0022321F"/>
    <w:rsid w:val="002B4A96"/>
    <w:rsid w:val="002E1D74"/>
    <w:rsid w:val="0031444F"/>
    <w:rsid w:val="00337851"/>
    <w:rsid w:val="00342BB6"/>
    <w:rsid w:val="003479A3"/>
    <w:rsid w:val="003733AB"/>
    <w:rsid w:val="003C5F62"/>
    <w:rsid w:val="00402C02"/>
    <w:rsid w:val="004476C9"/>
    <w:rsid w:val="004A4947"/>
    <w:rsid w:val="0058368E"/>
    <w:rsid w:val="005B5FF2"/>
    <w:rsid w:val="00602DA8"/>
    <w:rsid w:val="00644F2A"/>
    <w:rsid w:val="006A59B7"/>
    <w:rsid w:val="00705C56"/>
    <w:rsid w:val="0078184F"/>
    <w:rsid w:val="00796DF6"/>
    <w:rsid w:val="007B4B61"/>
    <w:rsid w:val="007D4437"/>
    <w:rsid w:val="007D6E4E"/>
    <w:rsid w:val="0081545B"/>
    <w:rsid w:val="008E74E3"/>
    <w:rsid w:val="00A84C0C"/>
    <w:rsid w:val="00A95B6C"/>
    <w:rsid w:val="00B33BC2"/>
    <w:rsid w:val="00B45D0B"/>
    <w:rsid w:val="00C44092"/>
    <w:rsid w:val="00C84B35"/>
    <w:rsid w:val="00CC2ECD"/>
    <w:rsid w:val="00D066BA"/>
    <w:rsid w:val="00D1051F"/>
    <w:rsid w:val="00D65F50"/>
    <w:rsid w:val="00D74446"/>
    <w:rsid w:val="00D93F89"/>
    <w:rsid w:val="00DC4F91"/>
    <w:rsid w:val="00DD3835"/>
    <w:rsid w:val="00E80AD3"/>
    <w:rsid w:val="00EA4097"/>
    <w:rsid w:val="00EF162C"/>
    <w:rsid w:val="00F748E8"/>
    <w:rsid w:val="00F97476"/>
    <w:rsid w:val="00FA4BE8"/>
    <w:rsid w:val="00FD7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0A692C"/>
  <w15:chartTrackingRefBased/>
  <w15:docId w15:val="{26BA2C63-6524-004A-928F-C0CCFF173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DA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766409">
      <w:bodyDiv w:val="1"/>
      <w:marLeft w:val="0"/>
      <w:marRight w:val="0"/>
      <w:marTop w:val="0"/>
      <w:marBottom w:val="0"/>
      <w:divBdr>
        <w:top w:val="none" w:sz="0" w:space="0" w:color="auto"/>
        <w:left w:val="none" w:sz="0" w:space="0" w:color="auto"/>
        <w:bottom w:val="none" w:sz="0" w:space="0" w:color="auto"/>
        <w:right w:val="none" w:sz="0" w:space="0" w:color="auto"/>
      </w:divBdr>
    </w:div>
    <w:div w:id="451359577">
      <w:bodyDiv w:val="1"/>
      <w:marLeft w:val="0"/>
      <w:marRight w:val="0"/>
      <w:marTop w:val="0"/>
      <w:marBottom w:val="0"/>
      <w:divBdr>
        <w:top w:val="none" w:sz="0" w:space="0" w:color="auto"/>
        <w:left w:val="none" w:sz="0" w:space="0" w:color="auto"/>
        <w:bottom w:val="none" w:sz="0" w:space="0" w:color="auto"/>
        <w:right w:val="none" w:sz="0" w:space="0" w:color="auto"/>
      </w:divBdr>
    </w:div>
    <w:div w:id="721487627">
      <w:bodyDiv w:val="1"/>
      <w:marLeft w:val="0"/>
      <w:marRight w:val="0"/>
      <w:marTop w:val="0"/>
      <w:marBottom w:val="0"/>
      <w:divBdr>
        <w:top w:val="none" w:sz="0" w:space="0" w:color="auto"/>
        <w:left w:val="none" w:sz="0" w:space="0" w:color="auto"/>
        <w:bottom w:val="none" w:sz="0" w:space="0" w:color="auto"/>
        <w:right w:val="none" w:sz="0" w:space="0" w:color="auto"/>
      </w:divBdr>
    </w:div>
    <w:div w:id="1028870383">
      <w:bodyDiv w:val="1"/>
      <w:marLeft w:val="0"/>
      <w:marRight w:val="0"/>
      <w:marTop w:val="0"/>
      <w:marBottom w:val="0"/>
      <w:divBdr>
        <w:top w:val="none" w:sz="0" w:space="0" w:color="auto"/>
        <w:left w:val="none" w:sz="0" w:space="0" w:color="auto"/>
        <w:bottom w:val="none" w:sz="0" w:space="0" w:color="auto"/>
        <w:right w:val="none" w:sz="0" w:space="0" w:color="auto"/>
      </w:divBdr>
    </w:div>
    <w:div w:id="1040208629">
      <w:bodyDiv w:val="1"/>
      <w:marLeft w:val="0"/>
      <w:marRight w:val="0"/>
      <w:marTop w:val="0"/>
      <w:marBottom w:val="0"/>
      <w:divBdr>
        <w:top w:val="none" w:sz="0" w:space="0" w:color="auto"/>
        <w:left w:val="none" w:sz="0" w:space="0" w:color="auto"/>
        <w:bottom w:val="none" w:sz="0" w:space="0" w:color="auto"/>
        <w:right w:val="none" w:sz="0" w:space="0" w:color="auto"/>
      </w:divBdr>
    </w:div>
    <w:div w:id="143100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5</Pages>
  <Words>1724</Words>
  <Characters>9193</Characters>
  <Application>Microsoft Office Word</Application>
  <DocSecurity>0</DocSecurity>
  <Lines>137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Cana</dc:creator>
  <cp:keywords/>
  <dc:description/>
  <cp:lastModifiedBy>Molly Cana</cp:lastModifiedBy>
  <cp:revision>16</cp:revision>
  <dcterms:created xsi:type="dcterms:W3CDTF">2021-03-04T09:24:00Z</dcterms:created>
  <dcterms:modified xsi:type="dcterms:W3CDTF">2021-03-04T21:03:00Z</dcterms:modified>
</cp:coreProperties>
</file>